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方正小标宋_GBK" w:hAnsi="方正小标宋_GBK" w:eastAsia="方正小标宋_GBK" w:cs="方正小标宋_GBK"/>
          <w:color w:val="auto"/>
          <w:sz w:val="84"/>
          <w:highlight w:val="none"/>
        </w:rPr>
      </w:pPr>
      <w:r>
        <w:rPr>
          <w:rFonts w:hint="eastAsia" w:ascii="方正小标宋_GBK" w:hAnsi="方正小标宋_GBK" w:eastAsia="方正小标宋_GBK" w:cs="方正小标宋_GBK"/>
          <w:b/>
          <w:bCs/>
          <w:color w:val="auto"/>
          <w:sz w:val="84"/>
          <w:highlight w:val="none"/>
        </w:rPr>
        <w:t xml:space="preserve">招 标 文 件</w:t>
      </w:r>
      <w:r/>
    </w:p>
    <w:p>
      <w:pPr>
        <w:pStyle w:val="1024"/>
        <w:ind w:left="3627" w:hanging="2711"/>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1024"/>
        <w:ind w:left="3627" w:hanging="2711"/>
        <w:jc w:val="both"/>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1024"/>
        <w:ind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项目编号：JSZC-320900-JZCG-G2026-</w:t>
      </w:r>
      <w:r>
        <w:rPr>
          <w:rFonts w:hint="eastAsia" w:ascii="宋体" w:hAnsi="宋体" w:cs="宋体"/>
          <w:b/>
          <w:bCs/>
          <w:color w:val="auto"/>
          <w:sz w:val="30"/>
          <w:szCs w:val="30"/>
          <w:highlight w:val="none"/>
          <w:lang w:val="en-US" w:eastAsia="zh-CN"/>
        </w:rPr>
        <w:t xml:space="preserve">0042</w:t>
      </w:r>
      <w:r/>
    </w:p>
    <w:p>
      <w:pPr>
        <w:pStyle w:val="1024"/>
        <w:ind w:left="3617" w:hanging="1807"/>
        <w:jc w:val="both"/>
        <w:tabs>
          <w:tab w:val="left" w:pos="8450" w:leader="none"/>
        </w:tabs>
        <w:rPr>
          <w:rFonts w:ascii="宋体" w:hAnsi="宋体" w:cs="宋体"/>
          <w:b/>
          <w:bCs/>
          <w:color w:val="auto"/>
          <w:sz w:val="30"/>
          <w:szCs w:val="30"/>
          <w:highlight w:val="none"/>
        </w:rPr>
      </w:pPr>
      <w:r>
        <w:rPr>
          <w:rFonts w:hint="eastAsia" w:ascii="宋体" w:hAnsi="宋体" w:cs="宋体"/>
          <w:b/>
          <w:bCs/>
          <w:color w:val="auto"/>
          <w:sz w:val="30"/>
          <w:szCs w:val="30"/>
          <w:highlight w:val="none"/>
        </w:rPr>
        <w:tab/>
      </w:r>
      <w:r/>
    </w:p>
    <w:p>
      <w:pPr>
        <w:pStyle w:val="1024"/>
        <w:ind w:firstLine="0"/>
        <w:jc w:val="center"/>
        <w:rPr>
          <w:rFonts w:ascii="宋体" w:hAnsi="宋体" w:cs="宋体"/>
          <w:b/>
          <w:bCs/>
          <w:color w:val="auto"/>
          <w:sz w:val="28"/>
          <w:szCs w:val="28"/>
          <w:highlight w:val="none"/>
        </w:rPr>
      </w:pPr>
      <w:r>
        <w:rPr>
          <w:rFonts w:hint="eastAsia" w:ascii="宋体" w:hAnsi="宋体" w:cs="宋体"/>
          <w:b/>
          <w:bCs/>
          <w:color w:val="auto"/>
          <w:sz w:val="30"/>
          <w:szCs w:val="30"/>
          <w:highlight w:val="none"/>
        </w:rPr>
        <w:t xml:space="preserve">项目名称：盐城市妇幼保健院物业管理服务项目</w:t>
      </w:r>
      <w:r/>
    </w:p>
    <w:p>
      <w:pPr>
        <w:pStyle w:val="1024"/>
        <w:ind w:firstLine="0"/>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024"/>
        <w:ind w:firstLine="0"/>
        <w:spacing w:before="0" w:after="0"/>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020"/>
        <w:jc w:val="center"/>
        <w:spacing w:before="120" w:beforeAutospacing="0" w:after="120" w:afterAutospacing="0" w:line="460" w:lineRule="exact"/>
        <w:widowControl w:val="off"/>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盐城市妇幼保健院</w:t>
      </w:r>
      <w:r/>
    </w:p>
    <w:p>
      <w:pPr>
        <w:pStyle w:val="1020"/>
        <w:jc w:val="center"/>
        <w:spacing w:before="120" w:beforeAutospacing="0" w:after="120" w:afterAutospacing="0" w:line="460" w:lineRule="exact"/>
        <w:widowControl w:val="off"/>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2026年7月</w:t>
      </w:r>
      <w:r/>
    </w:p>
    <w:p>
      <w:pPr>
        <w:jc w:val="center"/>
        <w:rPr>
          <w:rFonts w:ascii="宋体" w:hAnsi="宋体" w:cs="宋体"/>
          <w:color w:val="auto"/>
          <w:sz w:val="28"/>
          <w:szCs w:val="28"/>
          <w:highlight w:val="none"/>
        </w:rPr>
      </w:pPr>
      <w:r>
        <w:rPr>
          <w:rFonts w:ascii="宋体" w:hAnsi="宋体" w:cs="宋体"/>
          <w:color w:val="auto"/>
          <w:sz w:val="28"/>
          <w:szCs w:val="28"/>
          <w:highlight w:val="none"/>
        </w:rPr>
      </w:r>
      <w:r/>
    </w:p>
    <w:p>
      <w:pPr>
        <w:pStyle w:val="1017"/>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7" w:right="1417" w:bottom="1417" w:left="1417" w:header="851" w:footer="907" w:gutter="0"/>
          <w:cols w:num="1" w:sep="0" w:space="0" w:equalWidth="1"/>
          <w:docGrid w:linePitch="360"/>
          <w:titlePg/>
        </w:sectPr>
      </w:pPr>
      <w:r>
        <w:rPr>
          <w:rFonts w:ascii="宋体" w:hAnsi="宋体" w:cs="宋体"/>
          <w:b/>
          <w:color w:val="auto"/>
          <w:sz w:val="28"/>
          <w:szCs w:val="28"/>
          <w:highlight w:val="none"/>
        </w:rPr>
      </w:r>
      <w:r/>
    </w:p>
    <w:sdt>
      <w:sdtPr>
        <w15:appearance w15:val="boundingBox"/>
        <w:id w:val="12442721"/>
        <w:showingPlcHdr w:val="true"/>
        <w:docPartObj>
          <w:docPartGallery w:val="Table of Contents"/>
          <w:docPartUnique w:val="true"/>
        </w:docPartObj>
        <w:rPr>
          <w:color w:val="auto"/>
          <w:highlight w:val="none"/>
          <w:lang w:val="zh-CN"/>
        </w:rPr>
      </w:sdtPr>
      <w:sdtContent>
        <w:p>
          <w:pPr>
            <w:spacing w:line="360" w:lineRule="auto"/>
            <w:rPr>
              <w:color w:val="auto"/>
              <w:highlight w:val="none"/>
            </w:rPr>
          </w:pPr>
          <w:r>
            <w:rPr>
              <w:rFonts w:hint="eastAsia"/>
              <w:color w:val="auto"/>
              <w:highlight w:val="none"/>
              <w:lang w:val="zh-CN"/>
            </w:rPr>
            <w:t xml:space="preserve">     </w:t>
          </w:r>
          <w:r/>
        </w:p>
      </w:sdtContent>
    </w:sdt>
    <w:p>
      <w:pPr>
        <w:jc w:val="center"/>
        <w:tabs>
          <w:tab w:val="center" w:pos="4878" w:leader="none"/>
          <w:tab w:val="left" w:pos="6903" w:leader="none"/>
        </w:tabs>
        <w:rPr>
          <w:rFonts w:ascii="宋体" w:hAnsi="宋体"/>
          <w:b/>
          <w:bCs/>
          <w:color w:val="auto"/>
          <w:sz w:val="44"/>
          <w:szCs w:val="52"/>
          <w:highlight w:val="none"/>
        </w:rPr>
      </w:pPr>
      <w:r>
        <w:rPr>
          <w:rFonts w:hint="eastAsia" w:ascii="宋体" w:hAnsi="宋体"/>
          <w:b/>
          <w:bCs/>
          <w:color w:val="auto"/>
          <w:sz w:val="44"/>
          <w:szCs w:val="52"/>
          <w:highlight w:val="none"/>
        </w:rPr>
        <w:tab/>
      </w:r>
      <w:r/>
    </w:p>
    <w:sdt>
      <w:sdtPr>
        <w15:appearance w15:val="boundingBox"/>
        <w:id w:val="147464671"/>
        <w:docPartObj>
          <w:docPartGallery w:val="Table of Contents"/>
          <w:docPartUnique w:val="true"/>
        </w:docPartObj>
        <w:rPr>
          <w:rFonts w:ascii="宋体" w:hAnsi="宋体"/>
          <w:b/>
          <w:bCs/>
          <w:color w:val="auto"/>
          <w:sz w:val="44"/>
          <w:szCs w:val="52"/>
          <w:highlight w:val="none"/>
        </w:rPr>
      </w:sdtPr>
      <w:sdtContent>
        <w:p>
          <w:pPr>
            <w:jc w:val="center"/>
            <w:tabs>
              <w:tab w:val="center" w:pos="4878" w:leader="none"/>
              <w:tab w:val="left" w:pos="6903" w:leader="none"/>
            </w:tabs>
            <w:rPr>
              <w:rFonts w:ascii="宋体" w:hAnsi="宋体"/>
              <w:b/>
              <w:bCs/>
              <w:color w:val="auto"/>
              <w:sz w:val="44"/>
              <w:szCs w:val="52"/>
              <w:highlight w:val="none"/>
            </w:rPr>
          </w:pPr>
          <w:r>
            <w:rPr>
              <w:rFonts w:ascii="宋体" w:hAnsi="宋体"/>
              <w:b/>
              <w:bCs/>
              <w:color w:val="auto"/>
              <w:sz w:val="44"/>
              <w:szCs w:val="52"/>
              <w:highlight w:val="none"/>
            </w:rPr>
          </w:r>
          <w:r/>
        </w:p>
        <w:p>
          <w:pPr>
            <w:jc w:val="center"/>
            <w:tabs>
              <w:tab w:val="center" w:pos="4878" w:leader="none"/>
              <w:tab w:val="left" w:pos="6903" w:leader="none"/>
            </w:tabs>
            <w:rPr>
              <w:rFonts w:ascii="宋体" w:hAnsi="宋体"/>
              <w:b/>
              <w:bCs/>
              <w:color w:val="auto"/>
              <w:sz w:val="44"/>
              <w:szCs w:val="52"/>
              <w:highlight w:val="none"/>
            </w:rPr>
          </w:pPr>
          <w:r>
            <w:rPr>
              <w:rFonts w:ascii="宋体" w:hAnsi="宋体"/>
              <w:b/>
              <w:bCs/>
              <w:color w:val="auto"/>
              <w:sz w:val="44"/>
              <w:szCs w:val="52"/>
              <w:highlight w:val="none"/>
            </w:rPr>
          </w:r>
          <w:r/>
        </w:p>
        <w:p>
          <w:pPr>
            <w:jc w:val="center"/>
            <w:tabs>
              <w:tab w:val="center" w:pos="4878" w:leader="none"/>
              <w:tab w:val="left" w:pos="6903" w:leader="none"/>
            </w:tabs>
            <w:rPr>
              <w:rFonts w:ascii="宋体" w:hAnsi="宋体"/>
              <w:b/>
              <w:bCs/>
              <w:color w:val="auto"/>
              <w:sz w:val="44"/>
              <w:szCs w:val="52"/>
              <w:highlight w:val="none"/>
            </w:rPr>
          </w:pPr>
          <w:r>
            <w:rPr>
              <w:rFonts w:ascii="宋体" w:hAnsi="宋体"/>
              <w:b/>
              <w:bCs/>
              <w:color w:val="auto"/>
              <w:sz w:val="44"/>
              <w:szCs w:val="52"/>
              <w:highlight w:val="none"/>
            </w:rPr>
            <w:t xml:space="preserve">目</w:t>
          </w:r>
          <w:r>
            <w:rPr>
              <w:rFonts w:hint="eastAsia" w:ascii="宋体" w:hAnsi="宋体"/>
              <w:b/>
              <w:bCs/>
              <w:color w:val="auto"/>
              <w:sz w:val="44"/>
              <w:szCs w:val="52"/>
              <w:highlight w:val="none"/>
              <w:lang w:val="en-US" w:eastAsia="zh-CN"/>
            </w:rPr>
            <w:t xml:space="preserve">    </w:t>
          </w:r>
          <w:r>
            <w:rPr>
              <w:rFonts w:ascii="宋体" w:hAnsi="宋体"/>
              <w:b/>
              <w:bCs/>
              <w:color w:val="auto"/>
              <w:sz w:val="44"/>
              <w:szCs w:val="52"/>
              <w:highlight w:val="none"/>
            </w:rPr>
            <w:t xml:space="preserve">录</w:t>
          </w:r>
          <w:r/>
        </w:p>
        <w:p>
          <w:pPr>
            <w:jc w:val="center"/>
            <w:rPr>
              <w:rFonts w:ascii="宋体" w:hAnsi="宋体"/>
              <w:b/>
              <w:bCs/>
              <w:color w:val="auto"/>
              <w:sz w:val="44"/>
              <w:szCs w:val="52"/>
              <w:highlight w:val="none"/>
            </w:rPr>
          </w:pPr>
          <w:r>
            <w:rPr>
              <w:rFonts w:ascii="宋体" w:hAnsi="宋体"/>
              <w:b/>
              <w:bCs/>
              <w:color w:val="auto"/>
              <w:sz w:val="44"/>
              <w:szCs w:val="52"/>
              <w:highlight w:val="none"/>
            </w:rPr>
          </w:r>
          <w:r/>
        </w:p>
        <w:p>
          <w:pPr>
            <w:pStyle w:val="802"/>
            <w:spacing w:line="480" w:lineRule="auto"/>
            <w:tabs>
              <w:tab w:val="right" w:pos="9638" w:leader="dot"/>
            </w:tabs>
            <w:rPr>
              <w:rFonts w:ascii="宋体" w:hAnsi="宋体" w:cs="宋体"/>
              <w:b/>
              <w:bCs/>
              <w:color w:val="auto"/>
              <w:sz w:val="32"/>
              <w:szCs w:val="40"/>
              <w:highlight w:val="none"/>
            </w:rPr>
          </w:pP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TOC \o "1-1" \h \u </w:instrText>
          </w:r>
          <w:r>
            <w:rPr>
              <w:rFonts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"_Toc20289" </w:instrText>
          </w:r>
          <w:r>
            <w:rPr>
              <w:color w:val="auto"/>
              <w:highlight w:val="none"/>
            </w:rPr>
            <w:fldChar w:fldCharType="separate"/>
          </w:r>
          <w:r>
            <w:rPr>
              <w:rFonts w:hint="eastAsia" w:ascii="宋体" w:hAnsi="宋体" w:cs="宋体"/>
              <w:b/>
              <w:bCs/>
              <w:color w:val="auto"/>
              <w:sz w:val="32"/>
              <w:szCs w:val="60"/>
              <w:highlight w:val="none"/>
            </w:rPr>
            <w:t xml:space="preserve">第一章  招标公告</w:t>
          </w:r>
          <w:r>
            <w:rPr>
              <w:rFonts w:hint="eastAsia" w:ascii="宋体" w:hAnsi="宋体" w:cs="宋体"/>
              <w:b/>
              <w:bCs/>
              <w:color w:val="auto"/>
              <w:sz w:val="32"/>
              <w:szCs w:val="40"/>
              <w:highlight w:val="none"/>
            </w:rPr>
            <w:tab/>
          </w:r>
          <w:r>
            <w:rPr>
              <w:rFonts w:hint="eastAsia" w:ascii="宋体" w:hAnsi="宋体" w:cs="宋体"/>
              <w:b/>
              <w:bCs/>
              <w:color w:val="auto"/>
              <w:sz w:val="32"/>
              <w:szCs w:val="40"/>
              <w:highlight w:val="none"/>
            </w:rPr>
            <w:fldChar w:fldCharType="begin"/>
          </w:r>
          <w:r>
            <w:rPr>
              <w:rFonts w:hint="eastAsia" w:ascii="宋体" w:hAnsi="宋体" w:cs="宋体"/>
              <w:b/>
              <w:bCs/>
              <w:color w:val="auto"/>
              <w:sz w:val="32"/>
              <w:szCs w:val="40"/>
              <w:highlight w:val="none"/>
            </w:rPr>
            <w:instrText xml:space="preserve"> PAGEREF _Toc20289 \h </w:instrText>
          </w:r>
          <w:r>
            <w:rPr>
              <w:rFonts w:hint="eastAsia" w:ascii="宋体" w:hAnsi="宋体" w:cs="宋体"/>
              <w:b/>
              <w:bCs/>
              <w:color w:val="auto"/>
              <w:sz w:val="32"/>
              <w:szCs w:val="40"/>
              <w:highlight w:val="none"/>
            </w:rPr>
            <w:fldChar w:fldCharType="separate"/>
          </w:r>
          <w:r>
            <w:rPr>
              <w:rFonts w:hint="eastAsia" w:ascii="宋体" w:hAnsi="宋体" w:cs="宋体"/>
              <w:b/>
              <w:bCs/>
              <w:color w:val="auto"/>
              <w:sz w:val="32"/>
              <w:szCs w:val="40"/>
              <w:highlight w:val="none"/>
            </w:rPr>
            <w:t xml:space="preserve">2</w:t>
          </w:r>
          <w:r>
            <w:rPr>
              <w:rFonts w:hint="eastAsia" w:ascii="宋体" w:hAnsi="宋体" w:cs="宋体"/>
              <w:b/>
              <w:bCs/>
              <w:color w:val="auto"/>
              <w:sz w:val="32"/>
              <w:szCs w:val="40"/>
              <w:highlight w:val="none"/>
            </w:rPr>
            <w:fldChar w:fldCharType="end"/>
          </w:r>
          <w:r>
            <w:rPr>
              <w:rFonts w:hint="eastAsia" w:ascii="宋体" w:hAnsi="宋体" w:cs="宋体"/>
              <w:b/>
              <w:bCs/>
              <w:color w:val="auto"/>
              <w:sz w:val="32"/>
              <w:szCs w:val="40"/>
              <w:highlight w:val="none"/>
            </w:rPr>
            <w:fldChar w:fldCharType="end"/>
          </w:r>
          <w:r/>
        </w:p>
        <w:p>
          <w:pPr>
            <w:pStyle w:val="802"/>
            <w:spacing w:line="480" w:lineRule="auto"/>
            <w:tabs>
              <w:tab w:val="right" w:pos="9638" w:leader="dot"/>
            </w:tabs>
            <w:rPr>
              <w:rFonts w:ascii="宋体" w:hAnsi="宋体" w:cs="宋体"/>
              <w:b/>
              <w:bCs/>
              <w:color w:val="auto"/>
              <w:sz w:val="32"/>
              <w:szCs w:val="32"/>
              <w:highlight w:val="none"/>
            </w:rPr>
          </w:pPr>
          <w:r>
            <w:rPr>
              <w:color w:val="auto"/>
              <w:highlight w:val="none"/>
            </w:rPr>
            <w:fldChar w:fldCharType="begin"/>
          </w:r>
          <w:r>
            <w:rPr>
              <w:color w:val="auto"/>
              <w:highlight w:val="none"/>
            </w:rPr>
            <w:instrText xml:space="preserve"> HYPERLINK \l "_Toc17407" </w:instrText>
          </w:r>
          <w:r>
            <w:rPr>
              <w:color w:val="auto"/>
              <w:highlight w:val="none"/>
            </w:rPr>
            <w:fldChar w:fldCharType="separate"/>
          </w:r>
          <w:r>
            <w:rPr>
              <w:rFonts w:hint="eastAsia" w:ascii="宋体" w:hAnsi="宋体" w:cs="宋体"/>
              <w:b/>
              <w:bCs/>
              <w:color w:val="auto"/>
              <w:sz w:val="32"/>
              <w:szCs w:val="32"/>
              <w:highlight w:val="none"/>
            </w:rPr>
            <w:t xml:space="preserve">第二章  投标人须知</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_Toc17407 \h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 xml:space="preserve">6</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r/>
        </w:p>
        <w:p>
          <w:pPr>
            <w:pStyle w:val="802"/>
            <w:spacing w:line="480" w:lineRule="auto"/>
            <w:tabs>
              <w:tab w:val="right" w:pos="9638" w:leader="dot"/>
            </w:tabs>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第三章  合同文本</w:t>
          </w:r>
          <w:r>
            <w:rPr>
              <w:color w:val="auto"/>
              <w:highlight w:val="none"/>
            </w:rPr>
            <w:fldChar w:fldCharType="begin"/>
          </w:r>
          <w:r>
            <w:rPr>
              <w:color w:val="auto"/>
              <w:highlight w:val="none"/>
            </w:rPr>
            <w:instrText xml:space="preserve"> HYPERLINK \l "_Toc26467" </w:instrText>
          </w:r>
          <w:r>
            <w:rPr>
              <w:color w:val="auto"/>
              <w:highlight w:val="none"/>
            </w:rPr>
            <w:fldChar w:fldCharType="separate"/>
          </w:r>
          <w:r>
            <w:rPr>
              <w:rFonts w:hint="eastAsia" w:ascii="宋体" w:hAnsi="宋体" w:cs="宋体"/>
              <w:b/>
              <w:bCs/>
              <w:color w:val="auto"/>
              <w:sz w:val="32"/>
              <w:szCs w:val="40"/>
              <w:highlight w:val="none"/>
            </w:rPr>
            <w:tab/>
          </w:r>
          <w:r>
            <w:rPr>
              <w:rFonts w:hint="eastAsia" w:ascii="宋体" w:hAnsi="宋体" w:cs="宋体"/>
              <w:b/>
              <w:bCs/>
              <w:color w:val="auto"/>
              <w:sz w:val="32"/>
              <w:szCs w:val="40"/>
              <w:highlight w:val="none"/>
            </w:rPr>
            <w:fldChar w:fldCharType="begin"/>
          </w:r>
          <w:r>
            <w:rPr>
              <w:rFonts w:hint="eastAsia" w:ascii="宋体" w:hAnsi="宋体" w:cs="宋体"/>
              <w:b/>
              <w:bCs/>
              <w:color w:val="auto"/>
              <w:sz w:val="32"/>
              <w:szCs w:val="40"/>
              <w:highlight w:val="none"/>
            </w:rPr>
            <w:instrText xml:space="preserve"> PAGEREF _Toc26467 \h </w:instrText>
          </w:r>
          <w:r>
            <w:rPr>
              <w:rFonts w:hint="eastAsia" w:ascii="宋体" w:hAnsi="宋体" w:cs="宋体"/>
              <w:b/>
              <w:bCs/>
              <w:color w:val="auto"/>
              <w:sz w:val="32"/>
              <w:szCs w:val="40"/>
              <w:highlight w:val="none"/>
            </w:rPr>
            <w:fldChar w:fldCharType="separate"/>
          </w:r>
          <w:r>
            <w:rPr>
              <w:rFonts w:hint="eastAsia" w:ascii="宋体" w:hAnsi="宋体" w:cs="宋体"/>
              <w:b/>
              <w:bCs/>
              <w:color w:val="auto"/>
              <w:sz w:val="32"/>
              <w:szCs w:val="40"/>
              <w:highlight w:val="none"/>
            </w:rPr>
            <w:t xml:space="preserve">32</w:t>
          </w:r>
          <w:r>
            <w:rPr>
              <w:rFonts w:hint="eastAsia" w:ascii="宋体" w:hAnsi="宋体" w:cs="宋体"/>
              <w:b/>
              <w:bCs/>
              <w:color w:val="auto"/>
              <w:sz w:val="32"/>
              <w:szCs w:val="40"/>
              <w:highlight w:val="none"/>
            </w:rPr>
            <w:fldChar w:fldCharType="end"/>
          </w:r>
          <w:r>
            <w:rPr>
              <w:rFonts w:hint="eastAsia" w:ascii="宋体" w:hAnsi="宋体" w:cs="宋体"/>
              <w:b/>
              <w:bCs/>
              <w:color w:val="auto"/>
              <w:sz w:val="32"/>
              <w:szCs w:val="40"/>
              <w:highlight w:val="none"/>
            </w:rPr>
            <w:fldChar w:fldCharType="end"/>
          </w:r>
          <w:r/>
        </w:p>
        <w:p>
          <w:pPr>
            <w:pStyle w:val="802"/>
            <w:spacing w:line="480" w:lineRule="auto"/>
            <w:tabs>
              <w:tab w:val="right" w:pos="9638" w:leader="dot"/>
            </w:tabs>
            <w:rPr>
              <w:rFonts w:ascii="宋体" w:hAnsi="宋体" w:cs="宋体"/>
              <w:b/>
              <w:bCs/>
              <w:color w:val="auto"/>
              <w:sz w:val="32"/>
              <w:szCs w:val="40"/>
              <w:highlight w:val="none"/>
            </w:rPr>
          </w:pPr>
          <w:r>
            <w:rPr>
              <w:color w:val="auto"/>
              <w:highlight w:val="none"/>
            </w:rPr>
            <w:fldChar w:fldCharType="begin"/>
          </w:r>
          <w:r>
            <w:rPr>
              <w:color w:val="auto"/>
              <w:highlight w:val="none"/>
            </w:rPr>
            <w:instrText xml:space="preserve"> HYPERLINK \l "_Toc26467" </w:instrText>
          </w:r>
          <w:r>
            <w:rPr>
              <w:color w:val="auto"/>
              <w:highlight w:val="none"/>
            </w:rPr>
            <w:fldChar w:fldCharType="separate"/>
          </w:r>
          <w:r>
            <w:rPr>
              <w:rFonts w:hint="eastAsia" w:ascii="宋体" w:hAnsi="宋体" w:cs="宋体"/>
              <w:b/>
              <w:bCs/>
              <w:color w:val="auto"/>
              <w:sz w:val="32"/>
              <w:szCs w:val="60"/>
              <w:highlight w:val="none"/>
            </w:rPr>
            <w:t xml:space="preserve">第四章  采购需求</w:t>
          </w:r>
          <w:r>
            <w:rPr>
              <w:rFonts w:hint="eastAsia" w:ascii="宋体" w:hAnsi="宋体" w:cs="宋体"/>
              <w:b/>
              <w:bCs/>
              <w:color w:val="auto"/>
              <w:sz w:val="32"/>
              <w:szCs w:val="40"/>
              <w:highlight w:val="none"/>
            </w:rPr>
            <w:tab/>
          </w:r>
          <w:r>
            <w:rPr>
              <w:rFonts w:hint="eastAsia" w:ascii="宋体" w:hAnsi="宋体" w:cs="宋体"/>
              <w:b/>
              <w:bCs/>
              <w:color w:val="auto"/>
              <w:sz w:val="32"/>
              <w:szCs w:val="40"/>
              <w:highlight w:val="none"/>
            </w:rPr>
            <w:fldChar w:fldCharType="begin"/>
          </w:r>
          <w:r>
            <w:rPr>
              <w:rFonts w:hint="eastAsia" w:ascii="宋体" w:hAnsi="宋体" w:cs="宋体"/>
              <w:b/>
              <w:bCs/>
              <w:color w:val="auto"/>
              <w:sz w:val="32"/>
              <w:szCs w:val="40"/>
              <w:highlight w:val="none"/>
            </w:rPr>
            <w:instrText xml:space="preserve"> PAGEREF _Toc26467 \h </w:instrText>
          </w:r>
          <w:r>
            <w:rPr>
              <w:rFonts w:hint="eastAsia" w:ascii="宋体" w:hAnsi="宋体" w:cs="宋体"/>
              <w:b/>
              <w:bCs/>
              <w:color w:val="auto"/>
              <w:sz w:val="32"/>
              <w:szCs w:val="40"/>
              <w:highlight w:val="none"/>
            </w:rPr>
            <w:fldChar w:fldCharType="separate"/>
          </w:r>
          <w:r>
            <w:rPr>
              <w:rFonts w:hint="eastAsia" w:ascii="宋体" w:hAnsi="宋体" w:cs="宋体"/>
              <w:b/>
              <w:bCs/>
              <w:color w:val="auto"/>
              <w:sz w:val="32"/>
              <w:szCs w:val="40"/>
              <w:highlight w:val="none"/>
            </w:rPr>
            <w:t xml:space="preserve">32</w:t>
          </w:r>
          <w:r>
            <w:rPr>
              <w:rFonts w:hint="eastAsia" w:ascii="宋体" w:hAnsi="宋体" w:cs="宋体"/>
              <w:b/>
              <w:bCs/>
              <w:color w:val="auto"/>
              <w:sz w:val="32"/>
              <w:szCs w:val="40"/>
              <w:highlight w:val="none"/>
            </w:rPr>
            <w:fldChar w:fldCharType="end"/>
          </w:r>
          <w:r>
            <w:rPr>
              <w:rFonts w:hint="eastAsia" w:ascii="宋体" w:hAnsi="宋体" w:cs="宋体"/>
              <w:b/>
              <w:bCs/>
              <w:color w:val="auto"/>
              <w:sz w:val="32"/>
              <w:szCs w:val="40"/>
              <w:highlight w:val="none"/>
            </w:rPr>
            <w:fldChar w:fldCharType="end"/>
          </w:r>
          <w:r/>
        </w:p>
        <w:p>
          <w:pPr>
            <w:pStyle w:val="802"/>
            <w:spacing w:line="480" w:lineRule="auto"/>
            <w:tabs>
              <w:tab w:val="right" w:pos="9638" w:leader="dot"/>
            </w:tabs>
            <w:rPr>
              <w:rFonts w:ascii="宋体" w:hAnsi="宋体" w:cs="宋体"/>
              <w:b/>
              <w:bCs/>
              <w:color w:val="auto"/>
              <w:sz w:val="32"/>
              <w:szCs w:val="40"/>
              <w:highlight w:val="none"/>
            </w:rPr>
          </w:pPr>
          <w:r>
            <w:rPr>
              <w:color w:val="auto"/>
              <w:highlight w:val="none"/>
            </w:rPr>
            <w:fldChar w:fldCharType="begin"/>
          </w:r>
          <w:r>
            <w:rPr>
              <w:color w:val="auto"/>
              <w:highlight w:val="none"/>
            </w:rPr>
            <w:instrText xml:space="preserve"> HYPERLINK \l "_Toc15374" </w:instrText>
          </w:r>
          <w:r>
            <w:rPr>
              <w:color w:val="auto"/>
              <w:highlight w:val="none"/>
            </w:rPr>
            <w:fldChar w:fldCharType="separate"/>
          </w:r>
          <w:r>
            <w:rPr>
              <w:rFonts w:hint="eastAsia" w:ascii="宋体" w:hAnsi="宋体" w:cs="宋体"/>
              <w:b/>
              <w:bCs/>
              <w:color w:val="auto"/>
              <w:sz w:val="32"/>
              <w:szCs w:val="60"/>
              <w:highlight w:val="none"/>
            </w:rPr>
            <w:t xml:space="preserve">第五章  评标方法与评标标准</w:t>
          </w:r>
          <w:r>
            <w:rPr>
              <w:rFonts w:hint="eastAsia" w:ascii="宋体" w:hAnsi="宋体" w:cs="宋体"/>
              <w:b/>
              <w:bCs/>
              <w:color w:val="auto"/>
              <w:sz w:val="32"/>
              <w:szCs w:val="40"/>
              <w:highlight w:val="none"/>
            </w:rPr>
            <w:tab/>
          </w:r>
          <w:r>
            <w:rPr>
              <w:rFonts w:hint="eastAsia" w:ascii="宋体" w:hAnsi="宋体" w:cs="宋体"/>
              <w:b/>
              <w:bCs/>
              <w:color w:val="auto"/>
              <w:sz w:val="32"/>
              <w:szCs w:val="40"/>
              <w:highlight w:val="none"/>
            </w:rPr>
            <w:fldChar w:fldCharType="begin"/>
          </w:r>
          <w:r>
            <w:rPr>
              <w:rFonts w:hint="eastAsia" w:ascii="宋体" w:hAnsi="宋体" w:cs="宋体"/>
              <w:b/>
              <w:bCs/>
              <w:color w:val="auto"/>
              <w:sz w:val="32"/>
              <w:szCs w:val="40"/>
              <w:highlight w:val="none"/>
            </w:rPr>
            <w:instrText xml:space="preserve"> PAGEREF _Toc15374 \h </w:instrText>
          </w:r>
          <w:r>
            <w:rPr>
              <w:rFonts w:hint="eastAsia" w:ascii="宋体" w:hAnsi="宋体" w:cs="宋体"/>
              <w:b/>
              <w:bCs/>
              <w:color w:val="auto"/>
              <w:sz w:val="32"/>
              <w:szCs w:val="40"/>
              <w:highlight w:val="none"/>
            </w:rPr>
            <w:fldChar w:fldCharType="separate"/>
          </w:r>
          <w:r>
            <w:rPr>
              <w:rFonts w:hint="eastAsia" w:ascii="宋体" w:hAnsi="宋体" w:cs="宋体"/>
              <w:b/>
              <w:bCs/>
              <w:color w:val="auto"/>
              <w:sz w:val="32"/>
              <w:szCs w:val="40"/>
              <w:highlight w:val="none"/>
            </w:rPr>
            <w:t xml:space="preserve">76</w:t>
          </w:r>
          <w:r>
            <w:rPr>
              <w:rFonts w:hint="eastAsia" w:ascii="宋体" w:hAnsi="宋体" w:cs="宋体"/>
              <w:b/>
              <w:bCs/>
              <w:color w:val="auto"/>
              <w:sz w:val="32"/>
              <w:szCs w:val="40"/>
              <w:highlight w:val="none"/>
            </w:rPr>
            <w:fldChar w:fldCharType="end"/>
          </w:r>
          <w:r>
            <w:rPr>
              <w:rFonts w:hint="eastAsia" w:ascii="宋体" w:hAnsi="宋体" w:cs="宋体"/>
              <w:b/>
              <w:bCs/>
              <w:color w:val="auto"/>
              <w:sz w:val="32"/>
              <w:szCs w:val="40"/>
              <w:highlight w:val="none"/>
            </w:rPr>
            <w:fldChar w:fldCharType="end"/>
          </w:r>
          <w:r/>
        </w:p>
        <w:p>
          <w:pPr>
            <w:pStyle w:val="802"/>
            <w:spacing w:line="480" w:lineRule="auto"/>
            <w:tabs>
              <w:tab w:val="right" w:pos="9638" w:leader="dot"/>
            </w:tabs>
            <w:rPr>
              <w:color w:val="auto"/>
              <w:highlight w:val="none"/>
            </w:rPr>
          </w:pPr>
          <w:r>
            <w:rPr>
              <w:color w:val="auto"/>
              <w:highlight w:val="none"/>
            </w:rPr>
            <w:fldChar w:fldCharType="begin"/>
          </w:r>
          <w:r>
            <w:rPr>
              <w:color w:val="auto"/>
              <w:highlight w:val="none"/>
            </w:rPr>
            <w:instrText xml:space="preserve"> HYPERLINK \l "_Toc22873" </w:instrText>
          </w:r>
          <w:r>
            <w:rPr>
              <w:color w:val="auto"/>
              <w:highlight w:val="none"/>
            </w:rPr>
            <w:fldChar w:fldCharType="separate"/>
          </w:r>
          <w:r>
            <w:rPr>
              <w:rFonts w:hint="eastAsia" w:ascii="宋体" w:hAnsi="宋体" w:cs="宋体"/>
              <w:b/>
              <w:bCs/>
              <w:color w:val="auto"/>
              <w:sz w:val="32"/>
              <w:szCs w:val="40"/>
              <w:highlight w:val="none"/>
            </w:rPr>
            <w:t xml:space="preserve">第六章  投标文件格式</w:t>
          </w:r>
          <w:r>
            <w:rPr>
              <w:rFonts w:hint="eastAsia" w:ascii="宋体" w:hAnsi="宋体" w:cs="宋体"/>
              <w:b/>
              <w:bCs/>
              <w:color w:val="auto"/>
              <w:sz w:val="32"/>
              <w:szCs w:val="40"/>
              <w:highlight w:val="none"/>
            </w:rPr>
            <w:tab/>
          </w:r>
          <w:r>
            <w:rPr>
              <w:rFonts w:hint="eastAsia" w:ascii="宋体" w:hAnsi="宋体" w:cs="宋体"/>
              <w:b/>
              <w:bCs/>
              <w:color w:val="auto"/>
              <w:sz w:val="32"/>
              <w:szCs w:val="40"/>
              <w:highlight w:val="none"/>
            </w:rPr>
            <w:fldChar w:fldCharType="begin"/>
          </w:r>
          <w:r>
            <w:rPr>
              <w:rFonts w:hint="eastAsia" w:ascii="宋体" w:hAnsi="宋体" w:cs="宋体"/>
              <w:b/>
              <w:bCs/>
              <w:color w:val="auto"/>
              <w:sz w:val="32"/>
              <w:szCs w:val="40"/>
              <w:highlight w:val="none"/>
            </w:rPr>
            <w:instrText xml:space="preserve"> PAGEREF _Toc22873 \h </w:instrText>
          </w:r>
          <w:r>
            <w:rPr>
              <w:rFonts w:hint="eastAsia" w:ascii="宋体" w:hAnsi="宋体" w:cs="宋体"/>
              <w:b/>
              <w:bCs/>
              <w:color w:val="auto"/>
              <w:sz w:val="32"/>
              <w:szCs w:val="40"/>
              <w:highlight w:val="none"/>
            </w:rPr>
            <w:fldChar w:fldCharType="separate"/>
          </w:r>
          <w:r>
            <w:rPr>
              <w:rFonts w:hint="eastAsia" w:ascii="宋体" w:hAnsi="宋体" w:cs="宋体"/>
              <w:b/>
              <w:bCs/>
              <w:color w:val="auto"/>
              <w:sz w:val="32"/>
              <w:szCs w:val="40"/>
              <w:highlight w:val="none"/>
            </w:rPr>
            <w:t xml:space="preserve">83</w:t>
          </w:r>
          <w:r>
            <w:rPr>
              <w:rFonts w:hint="eastAsia" w:ascii="宋体" w:hAnsi="宋体" w:cs="宋体"/>
              <w:b/>
              <w:bCs/>
              <w:color w:val="auto"/>
              <w:sz w:val="32"/>
              <w:szCs w:val="40"/>
              <w:highlight w:val="none"/>
            </w:rPr>
            <w:fldChar w:fldCharType="end"/>
          </w:r>
          <w:r>
            <w:rPr>
              <w:rFonts w:hint="eastAsia" w:ascii="宋体" w:hAnsi="宋体" w:cs="宋体"/>
              <w:b/>
              <w:bCs/>
              <w:color w:val="auto"/>
              <w:sz w:val="32"/>
              <w:szCs w:val="40"/>
              <w:highlight w:val="none"/>
            </w:rPr>
            <w:fldChar w:fldCharType="end"/>
          </w:r>
          <w:r/>
        </w:p>
        <w:p>
          <w:pPr>
            <w:jc w:val="center"/>
            <w:rPr>
              <w:rFonts w:ascii="宋体" w:hAnsi="宋体" w:cs="宋体"/>
              <w:color w:val="auto"/>
              <w:szCs w:val="28"/>
              <w:highlight w:val="none"/>
            </w:rPr>
          </w:pPr>
          <w:r>
            <w:rPr>
              <w:rFonts w:ascii="宋体" w:hAnsi="宋体" w:cs="宋体"/>
              <w:color w:val="auto"/>
              <w:szCs w:val="28"/>
              <w:highlight w:val="none"/>
            </w:rPr>
            <w:fldChar w:fldCharType="end"/>
          </w:r>
          <w:r/>
        </w:p>
      </w:sdtContent>
    </w:sdt>
    <w:p>
      <w:pPr>
        <w:jc w:val="left"/>
        <w:tabs>
          <w:tab w:val="left" w:pos="7815" w:leader="none"/>
        </w:tabs>
        <w:rPr>
          <w:rFonts w:ascii="宋体" w:hAnsi="宋体" w:cs="宋体"/>
          <w:color w:val="auto"/>
          <w:szCs w:val="28"/>
          <w:highlight w:val="none"/>
        </w:rPr>
      </w:pPr>
      <w:r>
        <w:rPr>
          <w:rFonts w:hint="eastAsia" w:ascii="宋体" w:hAnsi="宋体" w:cs="宋体"/>
          <w:color w:val="auto"/>
          <w:szCs w:val="28"/>
          <w:highlight w:val="none"/>
        </w:rPr>
        <w:tab/>
      </w:r>
      <w:r/>
    </w:p>
    <w:p>
      <w:pPr>
        <w:pStyle w:val="1020"/>
        <w:jc w:val="center"/>
        <w:spacing w:beforeAutospacing="0" w:afterAutospacing="0"/>
        <w:rPr>
          <w:rFonts w:ascii="黑体" w:hAnsi="黑体" w:eastAsia="黑体" w:cs="黑体"/>
          <w:color w:val="auto"/>
          <w:sz w:val="44"/>
          <w:szCs w:val="44"/>
          <w:highlight w:val="none"/>
        </w:rPr>
        <w:outlineLvl w:val="0"/>
      </w:pPr>
      <w:r/>
      <w:bookmarkStart w:id="0" w:name="_Toc161336371"/>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highlight w:val="none"/>
        </w:rPr>
      </w:r>
      <w:r>
        <w:rPr>
          <w:highlight w:val="none"/>
        </w:rPr>
      </w:r>
      <w:r/>
    </w:p>
    <w:p>
      <w:pPr>
        <w:pStyle w:val="1020"/>
        <w:jc w:val="center"/>
        <w:spacing w:beforeAutospacing="0" w:afterAutospacing="0"/>
        <w:rPr>
          <w:highlight w:val="none"/>
        </w:rPr>
        <w:outlineLvl w:val="0"/>
      </w:pPr>
      <w:r/>
      <w:bookmarkStart w:id="1" w:name="_Toc20289"/>
      <w:r>
        <w:rPr>
          <w:rFonts w:hint="eastAsia" w:ascii="黑体" w:hAnsi="黑体" w:eastAsia="黑体" w:cs="黑体"/>
          <w:color w:val="auto"/>
          <w:sz w:val="44"/>
          <w:szCs w:val="44"/>
          <w:highlight w:val="none"/>
        </w:rPr>
        <w:t xml:space="preserve">第一章</w:t>
      </w:r>
      <w:bookmarkEnd w:id="0"/>
      <w:r>
        <w:rPr>
          <w:rFonts w:hint="eastAsia" w:ascii="黑体" w:eastAsia="黑体" w:cs="黑体"/>
          <w:color w:val="auto"/>
          <w:sz w:val="44"/>
          <w:szCs w:val="44"/>
          <w:highlight w:val="none"/>
        </w:rPr>
        <w:t xml:space="preserve"> 招标公告</w:t>
      </w:r>
      <w:bookmarkEnd w:id="1"/>
      <w:r/>
      <w:r/>
    </w:p>
    <w:p>
      <w:pPr>
        <w:ind w:firstLine="480"/>
        <w:jc w:val="left"/>
        <w:spacing w:line="560" w:lineRule="exact"/>
        <w:widowControl/>
        <w:rPr>
          <w:rFonts w:ascii="宋体" w:hAnsi="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 w:val="24"/>
          <w:szCs w:val="20"/>
          <w:highlight w:val="none"/>
        </w:rPr>
        <w:t xml:space="preserve">项目概况</w:t>
      </w:r>
      <w:r/>
    </w:p>
    <w:p>
      <w:pPr>
        <w:ind w:firstLine="480"/>
        <w:jc w:val="left"/>
        <w:spacing w:line="560" w:lineRule="exact"/>
        <w:widowControl/>
        <w:rPr>
          <w:rFonts w:ascii="宋体" w:hAnsi="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 w:val="24"/>
          <w:szCs w:val="20"/>
          <w:highlight w:val="none"/>
          <w:u w:val="single"/>
        </w:rPr>
        <w:t xml:space="preserve">盐城市妇幼保健院物业管理服务项目</w:t>
      </w:r>
      <w:r>
        <w:rPr>
          <w:rFonts w:hint="eastAsia" w:ascii="宋体" w:hAnsi="宋体" w:cs="宋体"/>
          <w:color w:val="auto"/>
          <w:sz w:val="24"/>
          <w:szCs w:val="20"/>
          <w:highlight w:val="none"/>
        </w:rPr>
        <w:t xml:space="preserve">JSZC-320900-JZCG-G2026-</w:t>
      </w:r>
      <w:r>
        <w:rPr>
          <w:rFonts w:hint="eastAsia" w:ascii="宋体" w:hAnsi="宋体" w:cs="宋体"/>
          <w:color w:val="auto"/>
          <w:sz w:val="24"/>
          <w:szCs w:val="20"/>
          <w:highlight w:val="none"/>
          <w:lang w:val="en-US" w:eastAsia="zh-CN"/>
        </w:rPr>
        <w:t xml:space="preserve">0042</w:t>
      </w:r>
      <w:r>
        <w:rPr>
          <w:rFonts w:hint="eastAsia" w:ascii="宋体" w:hAnsi="宋体" w:cs="宋体"/>
          <w:color w:val="auto"/>
          <w:sz w:val="24"/>
          <w:szCs w:val="20"/>
          <w:highlight w:val="none"/>
        </w:rPr>
        <w:t xml:space="preserve">招标项目的潜在</w:t>
      </w:r>
      <w:bookmarkStart w:id="2" w:name="_Toc28359089"/>
      <w:r/>
      <w:bookmarkStart w:id="3" w:name="_Toc28359012"/>
      <w:r/>
      <w:bookmarkStart w:id="4" w:name="_Toc35393798"/>
      <w:r/>
      <w:bookmarkStart w:id="5" w:name="_Toc35393629"/>
      <w:r>
        <w:rPr>
          <w:rFonts w:hint="eastAsia" w:ascii="宋体" w:hAnsi="宋体" w:cs="宋体"/>
          <w:color w:val="auto"/>
          <w:sz w:val="24"/>
          <w:szCs w:val="20"/>
          <w:highlight w:val="none"/>
        </w:rPr>
        <w:t xml:space="preserve">投标人</w:t>
      </w:r>
      <w:bookmarkEnd w:id="2"/>
      <w:r/>
      <w:bookmarkEnd w:id="3"/>
      <w:r/>
      <w:bookmarkEnd w:id="4"/>
      <w:r/>
      <w:bookmarkEnd w:id="5"/>
      <w:r>
        <w:rPr>
          <w:rFonts w:hint="eastAsia" w:ascii="宋体" w:hAnsi="宋体" w:cs="宋体"/>
          <w:color w:val="auto"/>
          <w:sz w:val="24"/>
          <w:szCs w:val="20"/>
          <w:highlight w:val="none"/>
        </w:rPr>
        <w:t xml:space="preserve">应</w:t>
      </w:r>
      <w:r>
        <w:rPr>
          <w:rFonts w:hint="eastAsia" w:ascii="宋体" w:hAnsi="宋体" w:cs="宋体"/>
          <w:color w:val="auto"/>
          <w:sz w:val="24"/>
          <w:highlight w:val="none"/>
        </w:rPr>
        <w:t xml:space="preserve">在</w:t>
      </w:r>
      <w:r>
        <w:rPr>
          <w:rFonts w:hint="eastAsia" w:ascii="宋体" w:hAnsi="宋体" w:cs="宋体"/>
          <w:color w:val="auto"/>
          <w:sz w:val="24"/>
          <w:highlight w:val="none"/>
          <w:shd w:val="clear" w:color="auto" w:fill="ffffff"/>
        </w:rPr>
        <w:t xml:space="preserve">“苏采云”系统内免费下载（投标人必须在苏采云系统中获取采购文件，方能参与政府采购项目）获取采购文件</w:t>
      </w:r>
      <w:r>
        <w:rPr>
          <w:rFonts w:ascii="宋体" w:hAnsi="宋体" w:cs="宋体"/>
          <w:color w:val="auto"/>
          <w:sz w:val="24"/>
          <w:highlight w:val="none"/>
          <w:shd w:val="clear" w:color="auto" w:fill="ffffff"/>
        </w:rPr>
        <w:t xml:space="preserve">,</w:t>
      </w:r>
      <w:r>
        <w:rPr>
          <w:rFonts w:hint="eastAsia" w:ascii="宋体" w:hAnsi="宋体" w:cs="宋体"/>
          <w:color w:val="auto"/>
          <w:sz w:val="24"/>
          <w:highlight w:val="none"/>
        </w:rPr>
        <w:t xml:space="preserve">并于</w:t>
      </w:r>
      <w:r>
        <w:rPr>
          <w:rFonts w:ascii="宋体" w:hAnsi="宋体" w:cs="宋体"/>
          <w:color w:val="auto"/>
          <w:sz w:val="24"/>
          <w:highlight w:val="none"/>
          <w:u w:val="single"/>
        </w:rPr>
        <w:t xml:space="preserve">202</w:t>
      </w:r>
      <w:r>
        <w:rPr>
          <w:rFonts w:hint="eastAsia" w:ascii="宋体" w:hAnsi="宋体" w:cs="宋体"/>
          <w:color w:val="auto"/>
          <w:sz w:val="24"/>
          <w:highlight w:val="none"/>
          <w:u w:val="single"/>
        </w:rPr>
        <w:t xml:space="preserve">6年</w:t>
      </w:r>
      <w:r>
        <w:rPr>
          <w:rFonts w:hint="eastAsia" w:ascii="宋体" w:hAnsi="宋体" w:cs="宋体"/>
          <w:color w:val="auto"/>
          <w:sz w:val="24"/>
          <w:highlight w:val="none"/>
          <w:u w:val="single"/>
        </w:rPr>
        <w:t xml:space="preserve">8</w:t>
      </w:r>
      <w:r>
        <w:rPr>
          <w:rFonts w:hint="eastAsia" w:ascii="宋体" w:hAnsi="宋体" w:cs="宋体"/>
          <w:color w:val="auto"/>
          <w:sz w:val="24"/>
          <w:highlight w:val="none"/>
          <w:u w:val="single"/>
        </w:rPr>
        <w:t xml:space="preserve">月</w:t>
      </w:r>
      <w:r>
        <w:rPr>
          <w:rFonts w:hint="eastAsia" w:ascii="宋体" w:hAnsi="宋体" w:cs="宋体"/>
          <w:color w:val="auto"/>
          <w:sz w:val="24"/>
          <w:highlight w:val="none"/>
          <w:u w:val="single"/>
        </w:rPr>
        <w:t xml:space="preserve">2</w:t>
      </w:r>
      <w:r>
        <w:rPr>
          <w:rFonts w:hint="eastAsia" w:ascii="宋体" w:hAnsi="宋体" w:cs="宋体"/>
          <w:color w:val="auto"/>
          <w:sz w:val="24"/>
          <w:highlight w:val="none"/>
          <w:u w:val="single"/>
        </w:rPr>
        <w:t xml:space="preserve">4</w:t>
      </w:r>
      <w:r>
        <w:rPr>
          <w:rFonts w:hint="eastAsia" w:ascii="宋体" w:hAnsi="宋体" w:cs="宋体"/>
          <w:color w:val="auto"/>
          <w:sz w:val="24"/>
          <w:highlight w:val="none"/>
          <w:u w:val="single"/>
        </w:rPr>
        <w:t xml:space="preserve">日9点</w:t>
      </w:r>
      <w:r>
        <w:rPr>
          <w:rFonts w:hint="eastAsia" w:ascii="宋体" w:hAnsi="宋体" w:cs="宋体"/>
          <w:color w:val="auto"/>
          <w:sz w:val="24"/>
          <w:highlight w:val="none"/>
          <w:u w:val="single"/>
        </w:rPr>
        <w:t xml:space="preserve">3</w:t>
      </w:r>
      <w:r>
        <w:rPr>
          <w:rFonts w:hint="eastAsia" w:ascii="宋体" w:hAnsi="宋体" w:cs="宋体"/>
          <w:color w:val="auto"/>
          <w:sz w:val="24"/>
          <w:highlight w:val="none"/>
          <w:u w:val="single"/>
        </w:rPr>
        <w:t xml:space="preserve">0分</w:t>
      </w:r>
      <w:r>
        <w:rPr>
          <w:rFonts w:hint="eastAsia" w:ascii="宋体" w:hAnsi="宋体" w:cs="宋体"/>
          <w:color w:val="auto"/>
          <w:sz w:val="24"/>
          <w:highlight w:val="none"/>
        </w:rPr>
        <w:t xml:space="preserve">北京时间）前递交投标文件。</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一、项目基本情况</w:t>
      </w:r>
      <w:r/>
    </w:p>
    <w:p>
      <w:pPr>
        <w:ind w:firstLine="480"/>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cs="宋体"/>
          <w:color w:val="auto"/>
          <w:sz w:val="24"/>
          <w:szCs w:val="20"/>
          <w:highlight w:val="none"/>
        </w:rPr>
        <w:t xml:space="preserve">1.项目编号：JSZC-320900-JZCG-G2026-</w:t>
      </w:r>
      <w:r>
        <w:rPr>
          <w:rFonts w:hint="eastAsia" w:ascii="宋体" w:hAnsi="宋体" w:cs="宋体"/>
          <w:color w:val="auto"/>
          <w:sz w:val="24"/>
          <w:szCs w:val="20"/>
          <w:highlight w:val="none"/>
          <w:lang w:val="en-US" w:eastAsia="zh-CN"/>
        </w:rPr>
        <w:t xml:space="preserve">0042</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2.项目名称：盐城市妇幼保健院物业管理服务项目</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3.采购方式：公开招标</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4.预算金额：预算1100万元</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bookmarkStart w:id="6" w:name="_Toc28359002"/>
      <w:r>
        <w:rPr>
          <w:rFonts w:hint="eastAsia" w:ascii="宋体" w:hAnsi="宋体" w:cs="宋体"/>
          <w:color w:val="auto"/>
          <w:sz w:val="24"/>
          <w:szCs w:val="20"/>
          <w:highlight w:val="none"/>
        </w:rPr>
        <w:t xml:space="preserve">最高限价：1100万元。</w:t>
      </w:r>
      <w:bookmarkEnd w:id="6"/>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采购需求（简介）：盐城市妇幼保健院物业管理服务，主要包含盐城市妇幼保健院门诊医技楼、病房楼、附房、地下室、室外等整个医院区域内的卫生保洁，病员陪检，标本送样，物资配送，被服洗涤、水电维修，后勤运行设备值班，控虫灭鼠除“四害”，室外绿化景观维护等后勤服务工作。（详细内容见本招标文件第四章）</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7.合同履行期限：两年。</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w:t>
      </w:r>
      <w:r>
        <w:rPr>
          <w:rFonts w:ascii="宋体" w:hAnsi="宋体" w:cs="宋体"/>
          <w:color w:val="auto"/>
          <w:sz w:val="24"/>
          <w:highlight w:val="none"/>
        </w:rPr>
        <w:t xml:space="preserve">本项目（是</w:t>
      </w:r>
      <w:r>
        <w:rPr>
          <w:rFonts w:ascii="Calibri" w:hAnsi="Calibri" w:eastAsia="Calibri" w:cs="Calibri"/>
          <w:color w:val="auto"/>
          <w:sz w:val="24"/>
          <w:highlight w:val="none"/>
        </w:rPr>
        <w:t xml:space="preserve">/</w:t>
      </w:r>
      <w:r>
        <w:rPr>
          <w:rFonts w:ascii="宋体" w:hAnsi="宋体" w:cs="宋体"/>
          <w:color w:val="auto"/>
          <w:sz w:val="24"/>
          <w:highlight w:val="none"/>
        </w:rPr>
        <w:t xml:space="preserve">否）接受联合体投标：否。</w:t>
      </w:r>
      <w:r/>
    </w:p>
    <w:p>
      <w:pPr>
        <w:ind w:firstLine="480"/>
        <w:jc w:val="left"/>
        <w:spacing w:line="560" w:lineRule="exact"/>
        <w:widowControl/>
        <w:rPr>
          <w:rFonts w:ascii="宋体" w:hAnsi="宋体" w:cs="宋体"/>
          <w:b/>
          <w:bCs/>
          <w:color w:val="auto"/>
          <w:sz w:val="24"/>
          <w:szCs w:val="20"/>
          <w:highlight w:val="none"/>
        </w:rPr>
      </w:pPr>
      <w:r/>
      <w:bookmarkStart w:id="7" w:name="_Toc28359090"/>
      <w:r/>
      <w:bookmarkStart w:id="8" w:name="_Toc28359013"/>
      <w:r/>
      <w:bookmarkStart w:id="9" w:name="_Toc35393630"/>
      <w:r/>
      <w:bookmarkStart w:id="10" w:name="_Toc35393799"/>
      <w:r>
        <w:rPr>
          <w:rFonts w:hint="eastAsia" w:ascii="宋体" w:hAnsi="宋体" w:cs="宋体"/>
          <w:b/>
          <w:bCs/>
          <w:color w:val="auto"/>
          <w:sz w:val="24"/>
          <w:szCs w:val="20"/>
          <w:highlight w:val="none"/>
        </w:rPr>
        <w:t xml:space="preserve">二、申请人的资格要求</w:t>
      </w:r>
      <w:bookmarkEnd w:id="7"/>
      <w:r/>
      <w:bookmarkEnd w:id="8"/>
      <w:r/>
      <w:bookmarkEnd w:id="9"/>
      <w:r/>
      <w:bookmarkEnd w:id="10"/>
      <w:r/>
      <w:r/>
    </w:p>
    <w:p>
      <w:pPr>
        <w:ind w:firstLine="480"/>
        <w:jc w:val="left"/>
        <w:spacing w:line="560" w:lineRule="exact"/>
        <w:widowControl/>
        <w:rPr>
          <w:rFonts w:ascii="宋体" w:hAnsi="宋体" w:cs="宋体"/>
          <w:color w:val="auto"/>
          <w:sz w:val="24"/>
          <w:szCs w:val="20"/>
          <w:highlight w:val="none"/>
        </w:rPr>
      </w:pPr>
      <w:r/>
      <w:bookmarkStart w:id="11" w:name="_Toc35393792"/>
      <w:r/>
      <w:bookmarkStart w:id="12" w:name="_Toc35393623"/>
      <w:r>
        <w:rPr>
          <w:rFonts w:hint="eastAsia" w:ascii="宋体" w:hAnsi="宋体" w:cs="宋体"/>
          <w:color w:val="auto"/>
          <w:sz w:val="24"/>
          <w:szCs w:val="20"/>
          <w:highlight w:val="none"/>
        </w:rPr>
        <w:t xml:space="preserve">（一）满足《中华人民共和国政府采购法》第二十二条规定，并提供下列材料：</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 法人或者其他组织的营业执照等证明文件，自然人的身份证明。</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2、上一年度的财务状况报</w:t>
      </w:r>
      <w:r>
        <w:rPr>
          <w:rFonts w:hint="eastAsia" w:ascii="宋体" w:hAnsi="宋体" w:cs="宋体"/>
          <w:color w:val="auto"/>
          <w:sz w:val="24"/>
          <w:szCs w:val="20"/>
          <w:highlight w:val="none"/>
        </w:rPr>
        <w:t xml:space="preserve">告（成立不满一年无需提供）。</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3、具备履行合同所必需的设备和专业技术能力的书面声明。</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5、参加政府采购活动前3年内在经营活动中没有重大违法记录的书面声明。</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6、法律、行政法规规定的其他条件。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8、单位负责人为同一人或者存在直接控股、管理关系的不同供应商，不得参加同一合同项下的政府采购活动。</w:t>
      </w:r>
      <w:r/>
    </w:p>
    <w:p>
      <w:pPr>
        <w:ind w:left="6" w:right="209" w:firstLine="484"/>
        <w:spacing w:before="34" w:line="424" w:lineRule="auto"/>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（二）落实政府采购政策需满足的资格要求：</w:t>
      </w:r>
      <w:r>
        <w:rPr>
          <w:rFonts w:ascii="宋体" w:hAnsi="宋体" w:cs="宋体"/>
          <w:b/>
          <w:bCs/>
          <w:color w:val="auto"/>
          <w:spacing w:val="-1"/>
          <w:sz w:val="24"/>
          <w:highlight w:val="none"/>
        </w:rPr>
        <w:t xml:space="preserve">本项目专门面向中小</w:t>
      </w:r>
      <w:r>
        <w:rPr>
          <w:rFonts w:ascii="宋体" w:hAnsi="宋体" w:cs="宋体"/>
          <w:b/>
          <w:bCs/>
          <w:color w:val="auto"/>
          <w:spacing w:val="-2"/>
          <w:sz w:val="24"/>
          <w:highlight w:val="none"/>
        </w:rPr>
        <w:t xml:space="preserve">企业采购。采购标的的所属行业为物业管理，投标人需按照采购文件的要求提供相应的《中小企业声明函》。企业标准请参照《关于印发中小企业划型标准规定的通知》（工</w:t>
      </w:r>
      <w:r>
        <w:rPr>
          <w:rFonts w:ascii="宋体" w:hAnsi="宋体" w:cs="宋体"/>
          <w:b/>
          <w:bCs/>
          <w:color w:val="auto"/>
          <w:spacing w:val="-3"/>
          <w:sz w:val="24"/>
          <w:highlight w:val="none"/>
        </w:rPr>
        <w:t xml:space="preserve">信部联企业[2011]300号）文件规定自行填写。</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（三）本项目的特定资格要求：无。</w:t>
      </w:r>
      <w:bookmarkEnd w:id="11"/>
      <w:r/>
      <w:bookmarkEnd w:id="12"/>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三、获取招标文件</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1.时间：自招标文件公告发布之日起5个工作日</w:t>
      </w:r>
      <w:r>
        <w:rPr>
          <w:rFonts w:hint="eastAsia" w:ascii="宋体" w:hAnsi="宋体" w:cs="宋体"/>
          <w:color w:val="auto"/>
          <w:sz w:val="24"/>
          <w:highlight w:val="none"/>
        </w:rPr>
        <w:t xml:space="preserve">。</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2.地点：“苏采云”系统内免费下载（供应商必须在苏采云系统中获取采购文件，方能参与政府采购项目）</w:t>
      </w:r>
      <w:r>
        <w:rPr>
          <w:rFonts w:hint="eastAsia" w:ascii="宋体" w:hAnsi="宋体" w:cs="宋体"/>
          <w:color w:val="auto"/>
          <w:sz w:val="24"/>
          <w:highlight w:val="none"/>
        </w:rPr>
        <w:t xml:space="preserve">。</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3.方式：本项目采用网上注册登记方式。</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4.售价：0元。</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四、提交投标文件截止时间、开标时间和地点</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1.时间：202</w:t>
      </w:r>
      <w:r>
        <w:rPr>
          <w:rFonts w:hint="eastAsia" w:ascii="宋体" w:hAnsi="宋体" w:cs="宋体"/>
          <w:color w:val="auto"/>
          <w:sz w:val="24"/>
          <w:highlight w:val="none"/>
        </w:rPr>
        <w:t xml:space="preserve">6</w:t>
      </w:r>
      <w:r>
        <w:rPr>
          <w:rFonts w:ascii="宋体" w:hAnsi="宋体" w:cs="宋体"/>
          <w:color w:val="auto"/>
          <w:sz w:val="24"/>
          <w:highlight w:val="none"/>
        </w:rPr>
        <w:t xml:space="preserve">年</w:t>
      </w:r>
      <w:r>
        <w:rPr>
          <w:rFonts w:ascii="宋体" w:hAnsi="宋体" w:cs="宋体"/>
          <w:color w:val="auto"/>
          <w:sz w:val="24"/>
          <w:highlight w:val="none"/>
        </w:rPr>
        <w:t xml:space="preserve">8</w:t>
      </w:r>
      <w:r>
        <w:rPr>
          <w:rFonts w:ascii="宋体" w:hAnsi="宋体" w:cs="宋体"/>
          <w:color w:val="auto"/>
          <w:sz w:val="24"/>
          <w:highlight w:val="none"/>
        </w:rPr>
        <w:t xml:space="preserve">月</w:t>
      </w:r>
      <w:r>
        <w:rPr>
          <w:rFonts w:ascii="宋体" w:hAnsi="宋体" w:cs="宋体"/>
          <w:color w:val="auto"/>
          <w:sz w:val="24"/>
          <w:highlight w:val="none"/>
        </w:rPr>
        <w:t xml:space="preserve">2</w:t>
      </w:r>
      <w:r>
        <w:rPr>
          <w:rFonts w:ascii="宋体" w:hAnsi="宋体" w:cs="宋体"/>
          <w:color w:val="auto"/>
          <w:sz w:val="24"/>
          <w:highlight w:val="none"/>
        </w:rPr>
        <w:t xml:space="preserve">4</w:t>
      </w:r>
      <w:r>
        <w:rPr>
          <w:rFonts w:ascii="宋体" w:hAnsi="宋体" w:cs="宋体"/>
          <w:color w:val="auto"/>
          <w:sz w:val="24"/>
          <w:highlight w:val="none"/>
        </w:rPr>
        <w:t xml:space="preserve">日09点</w:t>
      </w:r>
      <w:r>
        <w:rPr>
          <w:rFonts w:ascii="宋体" w:hAnsi="宋体" w:cs="宋体"/>
          <w:color w:val="auto"/>
          <w:sz w:val="24"/>
          <w:highlight w:val="none"/>
        </w:rPr>
        <w:t xml:space="preserve">3</w:t>
      </w:r>
      <w:r>
        <w:rPr>
          <w:rFonts w:ascii="宋体" w:hAnsi="宋体" w:cs="宋体"/>
          <w:color w:val="auto"/>
          <w:sz w:val="24"/>
          <w:highlight w:val="none"/>
        </w:rPr>
        <w:t xml:space="preserve">0分（北京时间）</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2.地点：苏采云“不见面”开标大厅。</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五、公告期限</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自本公告发布之日起5个工作日。</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六、其他补充事宜</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2.潜在供应商访问电子招标响应交易平台的网络地址和方法：</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 潜在投标人访问“苏采云”系统方法：江苏省政府采购网首页－“苏采云”链接。</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2.3 采购文件（后缀名为“.kedt”）、供应商操作手册及政府采购客户端 工具可通过“苏采云”系统相应链接进行下载。</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2.4 采购代理机构将数据电文形式的采购文件加载至“苏采云”系统，供潜在供应商下载或者查阅。</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2.5 请潜在投标单位提前安装相应的控件（详见《“苏采云”系统供应商操作手册》）并使用谷歌浏览器登录“苏采云”系统参与不见面开评标。</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如潜在投标人未按上述要求操作，将自行承担所产生的风险。</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3.有关本次招标的事项若存在变动或修改，敬请及时关注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盐城市政府采购中心</w:t>
      </w:r>
      <w:r>
        <w:rPr>
          <w:rFonts w:hint="eastAsia" w:ascii="宋体" w:hAnsi="宋体" w:cs="宋体"/>
          <w:color w:val="auto"/>
          <w:sz w:val="24"/>
          <w:highlight w:val="none"/>
        </w:rPr>
        <w:t xml:space="preserve">在“中国政府采购网”“江苏政府采购网”“盐城市政府采购网”发布的更正公告。</w:t>
      </w:r>
      <w:r/>
    </w:p>
    <w:p>
      <w:pPr>
        <w:ind w:firstLine="480"/>
        <w:spacing w:line="55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4.本次招标不收取投标保证金，不收取质量保证金。</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七、对本次招标提出询问，请按以下方式联系。</w:t>
      </w:r>
      <w:r/>
    </w:p>
    <w:p>
      <w:pPr>
        <w:ind w:firstLine="480"/>
        <w:jc w:val="left"/>
        <w:spacing w:line="520" w:lineRule="exact"/>
        <w:widowControl/>
        <w:rPr>
          <w:rFonts w:ascii="宋体" w:hAnsi="宋体" w:eastAsia="Arial" w:cs="宋体"/>
          <w:b/>
          <w:bCs/>
          <w:color w:val="auto"/>
          <w:sz w:val="24"/>
          <w:szCs w:val="20"/>
          <w:highlight w:val="none"/>
        </w:rPr>
      </w:pPr>
      <w:r/>
      <w:bookmarkStart w:id="13" w:name="_Toc28359019"/>
      <w:r/>
      <w:bookmarkStart w:id="14" w:name="_Toc28359096"/>
      <w:r/>
      <w:bookmarkStart w:id="15" w:name="_Toc35393637"/>
      <w:r/>
      <w:bookmarkStart w:id="16" w:name="_Toc35393806"/>
      <w:r/>
      <w:bookmarkStart w:id="17" w:name="_Toc513029209"/>
      <w:r/>
      <w:bookmarkStart w:id="18" w:name="_Toc61149549"/>
      <w:r/>
      <w:bookmarkStart w:id="19" w:name="_Toc14577347"/>
      <w:r>
        <w:rPr>
          <w:rFonts w:hint="eastAsia" w:ascii="宋体" w:hAnsi="宋体" w:eastAsia="Arial" w:cs="宋体"/>
          <w:b/>
          <w:bCs/>
          <w:color w:val="auto"/>
          <w:sz w:val="24"/>
          <w:szCs w:val="20"/>
          <w:highlight w:val="none"/>
        </w:rPr>
        <w:t xml:space="preserve">1.采购人信息</w:t>
      </w:r>
      <w:bookmarkEnd w:id="13"/>
      <w:r/>
      <w:bookmarkEnd w:id="14"/>
      <w:r/>
      <w:bookmarkEnd w:id="15"/>
      <w:r/>
      <w:bookmarkEnd w:id="16"/>
      <w:r/>
      <w:r/>
    </w:p>
    <w:p>
      <w:pPr>
        <w:ind w:firstLine="480"/>
        <w:jc w:val="left"/>
        <w:spacing w:line="520" w:lineRule="exact"/>
        <w:widowControl/>
        <w:rPr>
          <w:rFonts w:ascii="宋体" w:hAnsi="宋体" w:cs="宋体"/>
          <w:color w:val="auto"/>
          <w:sz w:val="24"/>
          <w:szCs w:val="20"/>
          <w:highlight w:val="none"/>
        </w:rPr>
      </w:pPr>
      <w:r>
        <w:rPr>
          <w:rFonts w:hint="eastAsia" w:ascii="宋体" w:hAnsi="宋体" w:eastAsia="Arial" w:cs="宋体"/>
          <w:color w:val="auto"/>
          <w:sz w:val="24"/>
          <w:szCs w:val="20"/>
          <w:highlight w:val="none"/>
        </w:rPr>
        <w:t xml:space="preserve">名    称：</w:t>
      </w:r>
      <w:r>
        <w:rPr>
          <w:rFonts w:hint="eastAsia" w:ascii="宋体" w:hAnsi="宋体" w:cs="宋体"/>
          <w:color w:val="auto"/>
          <w:sz w:val="24"/>
          <w:szCs w:val="20"/>
          <w:highlight w:val="none"/>
        </w:rPr>
        <w:t xml:space="preserve">盐城市妇幼保健院</w:t>
      </w:r>
      <w:r/>
    </w:p>
    <w:p>
      <w:pPr>
        <w:ind w:firstLine="480"/>
        <w:jc w:val="left"/>
        <w:spacing w:line="520" w:lineRule="exact"/>
        <w:widowControl/>
        <w:rPr>
          <w:rFonts w:ascii="宋体" w:hAnsi="宋体" w:cs="宋体"/>
          <w:color w:val="auto"/>
          <w:sz w:val="24"/>
          <w:szCs w:val="20"/>
          <w:highlight w:val="none"/>
        </w:rPr>
      </w:pPr>
      <w:r>
        <w:rPr>
          <w:rFonts w:hint="eastAsia" w:ascii="宋体" w:hAnsi="宋体" w:eastAsia="Arial" w:cs="宋体"/>
          <w:color w:val="auto"/>
          <w:sz w:val="24"/>
          <w:szCs w:val="20"/>
          <w:highlight w:val="none"/>
        </w:rPr>
        <w:t xml:space="preserve">地    址：盐城市</w:t>
      </w:r>
      <w:r>
        <w:rPr>
          <w:rFonts w:hint="eastAsia" w:ascii="宋体" w:hAnsi="宋体" w:cs="宋体"/>
          <w:color w:val="auto"/>
          <w:sz w:val="24"/>
          <w:szCs w:val="20"/>
          <w:highlight w:val="none"/>
        </w:rPr>
        <w:t xml:space="preserve">世纪大道</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人：王先生</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联系电话：0515-69665699　</w:t>
      </w:r>
      <w:r/>
    </w:p>
    <w:p>
      <w:pPr>
        <w:ind w:firstLine="480"/>
        <w:jc w:val="left"/>
        <w:spacing w:line="52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称：盐城市政府采购中心 </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w:t>
      </w:r>
      <w:r>
        <w:rPr>
          <w:rFonts w:hint="eastAsia" w:ascii="宋体" w:hAnsi="宋体" w:cs="宋体"/>
          <w:color w:val="auto"/>
          <w:sz w:val="24"/>
          <w:szCs w:val="20"/>
          <w:highlight w:val="none"/>
        </w:rPr>
        <w:t xml:space="preserve">盐城市府西路1号市公共资源交易中心5楼</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联系人：</w:t>
      </w:r>
      <w:r>
        <w:rPr>
          <w:rFonts w:hint="eastAsia" w:ascii="宋体" w:hAnsi="宋体" w:cs="宋体"/>
          <w:color w:val="auto"/>
          <w:sz w:val="24"/>
          <w:szCs w:val="20"/>
          <w:highlight w:val="none"/>
          <w:lang w:val="en-US" w:eastAsia="zh-CN"/>
        </w:rPr>
        <w:t xml:space="preserve">倪女士</w:t>
      </w:r>
      <w:r>
        <w:rPr>
          <w:rFonts w:hint="eastAsia" w:ascii="宋体" w:hAnsi="宋体" w:eastAsia="Arial" w:cs="宋体"/>
          <w:color w:val="auto"/>
          <w:sz w:val="24"/>
          <w:szCs w:val="20"/>
          <w:highlight w:val="none"/>
        </w:rPr>
        <w:t xml:space="preserve">                    </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20" w:name="_Toc28359010"/>
      <w:r/>
      <w:bookmarkStart w:id="21" w:name="_Toc28359087"/>
      <w:r>
        <w:rPr>
          <w:rFonts w:hint="eastAsia" w:ascii="宋体" w:hAnsi="宋体" w:eastAsia="Arial" w:cs="宋体"/>
          <w:color w:val="auto"/>
          <w:sz w:val="24"/>
          <w:szCs w:val="20"/>
          <w:highlight w:val="none"/>
        </w:rPr>
        <w:t xml:space="preserve">0515-69083502   </w:t>
      </w:r>
      <w:bookmarkEnd w:id="20"/>
      <w:r/>
      <w:bookmarkEnd w:id="21"/>
      <w:r/>
      <w:r/>
    </w:p>
    <w:p>
      <w:pPr>
        <w:ind w:firstLine="480"/>
        <w:jc w:val="left"/>
        <w:spacing w:line="520" w:lineRule="exact"/>
        <w:widowControl/>
        <w:rPr>
          <w:rFonts w:ascii="宋体" w:hAnsi="宋体" w:eastAsia="Arial" w:cs="宋体"/>
          <w:b/>
          <w:bCs/>
          <w:color w:val="auto"/>
          <w:sz w:val="24"/>
          <w:szCs w:val="20"/>
          <w:highlight w:val="none"/>
        </w:rPr>
      </w:pPr>
      <w:r/>
      <w:bookmarkStart w:id="22" w:name="_Toc28359021"/>
      <w:r>
        <w:rPr>
          <w:rFonts w:hint="eastAsia" w:ascii="宋体" w:hAnsi="宋体" w:eastAsia="Arial" w:cs="宋体"/>
          <w:b/>
          <w:bCs/>
          <w:color w:val="auto"/>
          <w:sz w:val="24"/>
          <w:szCs w:val="20"/>
          <w:highlight w:val="none"/>
        </w:rPr>
        <w:t xml:space="preserve">3.</w:t>
      </w:r>
      <w:bookmarkEnd w:id="22"/>
      <w:r>
        <w:rPr>
          <w:rFonts w:hint="eastAsia" w:ascii="宋体" w:hAnsi="宋体" w:eastAsia="Arial" w:cs="宋体"/>
          <w:b/>
          <w:bCs/>
          <w:color w:val="auto"/>
          <w:sz w:val="24"/>
          <w:szCs w:val="20"/>
          <w:highlight w:val="none"/>
        </w:rPr>
        <w:t xml:space="preserve">项目联系方式</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项目联系人：</w:t>
      </w:r>
      <w:r>
        <w:rPr>
          <w:rFonts w:hint="eastAsia" w:ascii="宋体" w:hAnsi="宋体" w:cs="宋体"/>
          <w:color w:val="auto"/>
          <w:sz w:val="24"/>
          <w:szCs w:val="20"/>
          <w:highlight w:val="none"/>
          <w:lang w:val="en-US" w:eastAsia="zh-CN"/>
        </w:rPr>
        <w:t xml:space="preserve">倪女士</w:t>
      </w:r>
      <w:r>
        <w:rPr>
          <w:rFonts w:hint="eastAsia" w:ascii="宋体" w:hAnsi="宋体" w:eastAsia="Arial" w:cs="宋体"/>
          <w:color w:val="auto"/>
          <w:sz w:val="24"/>
          <w:szCs w:val="20"/>
          <w:highlight w:val="none"/>
        </w:rPr>
        <w:t xml:space="preserve">  </w:t>
      </w:r>
      <w:r/>
    </w:p>
    <w:p>
      <w:pPr>
        <w:ind w:firstLine="480"/>
        <w:jc w:val="left"/>
        <w:spacing w:line="52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电　    话：0515-69083502  　       </w:t>
      </w:r>
      <w:bookmarkEnd w:id="17"/>
      <w:r/>
      <w:bookmarkEnd w:id="18"/>
      <w:r/>
      <w:bookmarkEnd w:id="19"/>
      <w:r/>
      <w:r/>
    </w:p>
    <w:p>
      <w:pPr>
        <w:ind w:firstLine="480"/>
        <w:jc w:val="left"/>
        <w:spacing w:line="520" w:lineRule="exact"/>
        <w:widowControl/>
        <w:rPr>
          <w:rFonts w:ascii="宋体" w:hAnsi="宋体" w:eastAsia="Arial" w:cs="宋体"/>
          <w:color w:val="auto"/>
          <w:sz w:val="24"/>
          <w:szCs w:val="20"/>
          <w:highlight w:val="none"/>
        </w:rPr>
      </w:pPr>
      <w:r>
        <w:rPr>
          <w:rFonts w:ascii="宋体" w:hAnsi="宋体" w:eastAsia="Arial" w:cs="宋体"/>
          <w:color w:val="auto"/>
          <w:sz w:val="24"/>
          <w:szCs w:val="20"/>
          <w:highlight w:val="none"/>
        </w:rPr>
      </w:r>
      <w:r/>
    </w:p>
    <w:p>
      <w:pPr>
        <w:ind w:firstLine="480"/>
        <w:jc w:val="left"/>
        <w:spacing w:line="560" w:lineRule="exact"/>
        <w:widowControl/>
        <w:rPr>
          <w:rFonts w:ascii="宋体" w:hAnsi="宋体" w:cs="宋体"/>
          <w:color w:val="auto"/>
          <w:sz w:val="24"/>
          <w:szCs w:val="20"/>
          <w:highlight w:val="none"/>
        </w:rPr>
      </w:pPr>
      <w:r>
        <w:rPr>
          <w:rFonts w:ascii="宋体" w:hAnsi="宋体" w:cs="宋体"/>
          <w:color w:val="auto"/>
          <w:sz w:val="24"/>
          <w:szCs w:val="20"/>
          <w:highlight w:val="none"/>
        </w:rPr>
      </w:r>
      <w:r/>
    </w:p>
    <w:p>
      <w:pPr>
        <w:rPr>
          <w:rFonts w:ascii="黑体" w:hAnsi="黑体" w:eastAsia="黑体" w:cs="黑体"/>
          <w:color w:val="auto"/>
          <w:sz w:val="44"/>
          <w:szCs w:val="44"/>
          <w:highlight w:val="none"/>
        </w:rPr>
      </w:pPr>
      <w:r/>
      <w:bookmarkStart w:id="23" w:name="_Toc161336372"/>
      <w:r>
        <w:rPr>
          <w:rFonts w:hint="eastAsia" w:ascii="黑体" w:hAnsi="黑体" w:eastAsia="黑体" w:cs="黑体"/>
          <w:color w:val="auto"/>
          <w:sz w:val="44"/>
          <w:szCs w:val="44"/>
          <w:highlight w:val="none"/>
        </w:rPr>
        <w:br w:type="page" w:clear="all"/>
      </w:r>
      <w:r/>
    </w:p>
    <w:p>
      <w:pPr>
        <w:pStyle w:val="1020"/>
        <w:jc w:val="center"/>
        <w:spacing w:beforeAutospacing="0" w:afterAutospacing="0"/>
        <w:rPr>
          <w:rFonts w:ascii="黑体" w:hAnsi="黑体" w:eastAsia="黑体" w:cs="黑体"/>
          <w:color w:val="auto"/>
          <w:sz w:val="44"/>
          <w:szCs w:val="44"/>
          <w:highlight w:val="none"/>
        </w:rPr>
        <w:outlineLvl w:val="0"/>
      </w:pPr>
      <w:r/>
      <w:bookmarkStart w:id="24" w:name="_Toc17407"/>
      <w:r>
        <w:rPr>
          <w:rFonts w:hint="eastAsia" w:ascii="黑体" w:hAnsi="黑体" w:eastAsia="黑体" w:cs="黑体"/>
          <w:color w:val="auto"/>
          <w:sz w:val="44"/>
          <w:szCs w:val="44"/>
          <w:highlight w:val="none"/>
        </w:rPr>
        <w:t xml:space="preserve">第二章</w:t>
      </w:r>
      <w:bookmarkStart w:id="25" w:name="_Toc120614213"/>
      <w:r/>
      <w:bookmarkStart w:id="26" w:name="_Toc20823274"/>
      <w:r/>
      <w:bookmarkStart w:id="27" w:name="_Toc513029202"/>
      <w:r/>
      <w:bookmarkStart w:id="28" w:name="_Toc16938518"/>
      <w:r>
        <w:rPr>
          <w:rFonts w:hint="eastAsia" w:ascii="黑体" w:hAnsi="黑体" w:eastAsia="黑体" w:cs="黑体"/>
          <w:color w:val="auto"/>
          <w:sz w:val="44"/>
          <w:szCs w:val="44"/>
          <w:highlight w:val="none"/>
        </w:rPr>
        <w:t xml:space="preserve">  投标人须知</w:t>
      </w:r>
      <w:bookmarkEnd w:id="23"/>
      <w:r/>
      <w:bookmarkEnd w:id="24"/>
      <w:r/>
      <w:bookmarkEnd w:id="25"/>
      <w:r/>
      <w:bookmarkEnd w:id="26"/>
      <w:r/>
      <w:bookmarkEnd w:id="27"/>
      <w:r/>
      <w:bookmarkEnd w:id="28"/>
      <w:r/>
      <w:r/>
    </w:p>
    <w:p>
      <w:pPr>
        <w:ind w:firstLine="480"/>
        <w:jc w:val="left"/>
        <w:spacing w:line="560" w:lineRule="exact"/>
        <w:widowControl/>
        <w:rPr>
          <w:rFonts w:ascii="宋体" w:hAnsi="宋体" w:cs="宋体"/>
          <w:b/>
          <w:bCs/>
          <w:color w:val="auto"/>
          <w:sz w:val="24"/>
          <w:szCs w:val="20"/>
          <w:highlight w:val="none"/>
        </w:rPr>
      </w:pPr>
      <w:r/>
      <w:bookmarkStart w:id="29" w:name="_Toc513029203"/>
      <w:r/>
      <w:bookmarkStart w:id="30" w:name="_Toc120614214"/>
      <w:r/>
      <w:bookmarkStart w:id="31" w:name="_Toc16938519"/>
      <w:r/>
      <w:bookmarkStart w:id="32" w:name="_Toc20823275"/>
      <w:r>
        <w:rPr>
          <w:rFonts w:hint="eastAsia" w:ascii="宋体" w:hAnsi="宋体" w:cs="宋体"/>
          <w:b/>
          <w:bCs/>
          <w:color w:val="auto"/>
          <w:sz w:val="24"/>
          <w:szCs w:val="20"/>
          <w:highlight w:val="none"/>
        </w:rPr>
        <w:t xml:space="preserve">一、总则</w:t>
      </w:r>
      <w:bookmarkEnd w:id="29"/>
      <w:r/>
      <w:bookmarkEnd w:id="30"/>
      <w:r/>
      <w:bookmarkEnd w:id="31"/>
      <w:r/>
      <w:bookmarkEnd w:id="32"/>
      <w:r/>
      <w:r/>
    </w:p>
    <w:p>
      <w:pPr>
        <w:ind w:firstLine="480"/>
        <w:jc w:val="left"/>
        <w:spacing w:line="560" w:lineRule="exact"/>
        <w:widowControl/>
        <w:rPr>
          <w:rFonts w:ascii="宋体" w:hAnsi="宋体" w:cs="宋体"/>
          <w:b/>
          <w:bCs/>
          <w:color w:val="auto"/>
          <w:sz w:val="24"/>
          <w:szCs w:val="20"/>
          <w:highlight w:val="none"/>
        </w:rPr>
      </w:pPr>
      <w:r/>
      <w:bookmarkStart w:id="33" w:name="_Toc16938520"/>
      <w:r/>
      <w:bookmarkStart w:id="34" w:name="_Toc513029204"/>
      <w:r/>
      <w:bookmarkStart w:id="35" w:name="_Toc458694821"/>
      <w:r/>
      <w:bookmarkStart w:id="36" w:name="_Toc20823276"/>
      <w:r>
        <w:rPr>
          <w:rFonts w:hint="eastAsia" w:ascii="宋体" w:hAnsi="宋体" w:cs="宋体"/>
          <w:b/>
          <w:bCs/>
          <w:color w:val="auto"/>
          <w:sz w:val="24"/>
          <w:szCs w:val="20"/>
          <w:highlight w:val="none"/>
        </w:rPr>
        <w:t xml:space="preserve">1</w:t>
      </w:r>
      <w:bookmarkEnd w:id="33"/>
      <w:r>
        <w:rPr>
          <w:rFonts w:hint="eastAsia" w:ascii="宋体" w:hAnsi="宋体" w:cs="宋体"/>
          <w:b/>
          <w:bCs/>
          <w:color w:val="auto"/>
          <w:sz w:val="24"/>
          <w:szCs w:val="20"/>
          <w:highlight w:val="none"/>
        </w:rPr>
        <w:t xml:space="preserve">、招标方式</w:t>
      </w:r>
      <w:bookmarkEnd w:id="34"/>
      <w:r/>
      <w:bookmarkEnd w:id="35"/>
      <w:r/>
      <w:bookmarkEnd w:id="36"/>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1.1本次招标采取公开招标方式，本招标文件仅适用于招标公告中所述项目。</w:t>
      </w:r>
      <w:r/>
    </w:p>
    <w:p>
      <w:pPr>
        <w:ind w:firstLine="480"/>
        <w:jc w:val="left"/>
        <w:spacing w:line="560" w:lineRule="exact"/>
        <w:widowControl/>
        <w:rPr>
          <w:rFonts w:ascii="宋体" w:hAnsi="宋体" w:cs="宋体"/>
          <w:b/>
          <w:bCs/>
          <w:color w:val="auto"/>
          <w:sz w:val="24"/>
          <w:szCs w:val="20"/>
          <w:highlight w:val="none"/>
        </w:rPr>
      </w:pPr>
      <w:r/>
      <w:bookmarkStart w:id="37" w:name="_Toc513029205"/>
      <w:r/>
      <w:bookmarkStart w:id="38" w:name="_Toc16938521"/>
      <w:r/>
      <w:bookmarkStart w:id="39" w:name="_Toc20823277"/>
      <w:r>
        <w:rPr>
          <w:rFonts w:hint="eastAsia" w:ascii="宋体" w:hAnsi="宋体" w:cs="宋体"/>
          <w:b/>
          <w:bCs/>
          <w:color w:val="auto"/>
          <w:sz w:val="24"/>
          <w:szCs w:val="20"/>
          <w:highlight w:val="none"/>
        </w:rPr>
        <w:t xml:space="preserve">2、合格的投标人</w:t>
      </w:r>
      <w:bookmarkEnd w:id="37"/>
      <w:r/>
      <w:bookmarkEnd w:id="38"/>
      <w:r/>
      <w:bookmarkEnd w:id="39"/>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2.1满足招标公告中供应商的资格要求的规定。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2.2满足本文件实质性要求和条件的规定。</w:t>
      </w:r>
      <w:r/>
    </w:p>
    <w:p>
      <w:pPr>
        <w:ind w:firstLine="480"/>
        <w:jc w:val="left"/>
        <w:spacing w:line="560" w:lineRule="exact"/>
        <w:widowControl/>
        <w:rPr>
          <w:rFonts w:ascii="宋体" w:hAnsi="宋体" w:cs="宋体"/>
          <w:b/>
          <w:bCs/>
          <w:color w:val="auto"/>
          <w:sz w:val="24"/>
          <w:szCs w:val="20"/>
          <w:highlight w:val="none"/>
        </w:rPr>
      </w:pPr>
      <w:r/>
      <w:bookmarkStart w:id="40" w:name="_Toc513029206"/>
      <w:r/>
      <w:bookmarkStart w:id="41" w:name="_Toc20823278"/>
      <w:r/>
      <w:bookmarkStart w:id="42" w:name="_Toc16938522"/>
      <w:r>
        <w:rPr>
          <w:rFonts w:hint="eastAsia" w:ascii="宋体" w:hAnsi="宋体" w:cs="宋体"/>
          <w:b/>
          <w:bCs/>
          <w:color w:val="auto"/>
          <w:sz w:val="24"/>
          <w:szCs w:val="20"/>
          <w:highlight w:val="none"/>
        </w:rPr>
        <w:t xml:space="preserve">3、适用法律</w:t>
      </w:r>
      <w:bookmarkEnd w:id="40"/>
      <w:r/>
      <w:bookmarkEnd w:id="41"/>
      <w:r/>
      <w:bookmarkEnd w:id="42"/>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widowControl/>
        <w:rPr>
          <w:rFonts w:ascii="宋体" w:hAnsi="宋体" w:cs="宋体"/>
          <w:b/>
          <w:bCs/>
          <w:color w:val="auto"/>
          <w:sz w:val="24"/>
          <w:szCs w:val="20"/>
          <w:highlight w:val="none"/>
        </w:rPr>
      </w:pPr>
      <w:r/>
      <w:bookmarkStart w:id="43" w:name="_Toc513029207"/>
      <w:r/>
      <w:bookmarkStart w:id="44" w:name="_Toc16938523"/>
      <w:r/>
      <w:bookmarkStart w:id="45" w:name="_Toc20823279"/>
      <w:r/>
      <w:bookmarkStart w:id="46" w:name="_Toc462564067"/>
      <w:r>
        <w:rPr>
          <w:rFonts w:hint="eastAsia" w:ascii="宋体" w:hAnsi="宋体" w:cs="宋体"/>
          <w:b/>
          <w:bCs/>
          <w:color w:val="auto"/>
          <w:sz w:val="24"/>
          <w:szCs w:val="20"/>
          <w:highlight w:val="none"/>
        </w:rPr>
        <w:t xml:space="preserve">4、投标费用</w:t>
      </w:r>
      <w:bookmarkEnd w:id="43"/>
      <w:r/>
      <w:bookmarkEnd w:id="44"/>
      <w:r/>
      <w:bookmarkEnd w:id="45"/>
      <w:r/>
      <w:bookmarkEnd w:id="46"/>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4.2本次招标采购中心和采购人不收取标书工本费与中标服务费。</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5、招标文件的约束力</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widowControl/>
        <w:rPr>
          <w:rFonts w:ascii="宋体" w:hAnsi="宋体" w:cs="宋体"/>
          <w:b/>
          <w:bCs/>
          <w:color w:val="auto"/>
          <w:sz w:val="24"/>
          <w:szCs w:val="20"/>
          <w:highlight w:val="none"/>
        </w:rPr>
      </w:pPr>
      <w:r/>
      <w:bookmarkStart w:id="47" w:name="_Toc20823281"/>
      <w:r/>
      <w:bookmarkStart w:id="48" w:name="_Toc16938525"/>
      <w:r/>
      <w:bookmarkStart w:id="49" w:name="_Toc120614215"/>
      <w:r>
        <w:rPr>
          <w:rFonts w:hint="eastAsia" w:ascii="宋体" w:hAnsi="宋体" w:cs="宋体"/>
          <w:b/>
          <w:bCs/>
          <w:color w:val="auto"/>
          <w:sz w:val="24"/>
          <w:szCs w:val="20"/>
          <w:highlight w:val="none"/>
        </w:rPr>
        <w:t xml:space="preserve">二、招标文件</w:t>
      </w:r>
      <w:bookmarkEnd w:id="47"/>
      <w:r/>
      <w:bookmarkEnd w:id="48"/>
      <w:r/>
      <w:bookmarkEnd w:id="49"/>
      <w:r/>
      <w:r/>
    </w:p>
    <w:p>
      <w:pPr>
        <w:ind w:firstLine="480"/>
        <w:jc w:val="left"/>
        <w:spacing w:line="560" w:lineRule="exact"/>
        <w:widowControl/>
        <w:rPr>
          <w:rFonts w:ascii="宋体" w:hAnsi="宋体" w:cs="宋体"/>
          <w:b/>
          <w:bCs/>
          <w:color w:val="auto"/>
          <w:sz w:val="24"/>
          <w:szCs w:val="20"/>
          <w:highlight w:val="none"/>
        </w:rPr>
      </w:pPr>
      <w:r/>
      <w:bookmarkStart w:id="50" w:name="_Toc16938526"/>
      <w:r/>
      <w:bookmarkStart w:id="51" w:name="_Toc20823282"/>
      <w:r/>
      <w:bookmarkStart w:id="52" w:name="_Toc513029210"/>
      <w:r>
        <w:rPr>
          <w:rFonts w:hint="eastAsia" w:ascii="宋体" w:hAnsi="宋体" w:cs="宋体"/>
          <w:b/>
          <w:bCs/>
          <w:color w:val="auto"/>
          <w:sz w:val="24"/>
          <w:szCs w:val="20"/>
          <w:highlight w:val="none"/>
        </w:rPr>
        <w:t xml:space="preserve">6、招标文件构成</w:t>
      </w:r>
      <w:bookmarkEnd w:id="50"/>
      <w:r/>
      <w:bookmarkEnd w:id="51"/>
      <w:r/>
      <w:bookmarkEnd w:id="52"/>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6.1 招标文件由以下部分组成：</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（1）招标公告</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（2）投标人须知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（3）合同文本</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（4）采购需求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（5）评标方法与评标标准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（6）投标文件格式</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请仔细检查招标文件是否齐全，如有缺漏请立即与采购中心联系解决。</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widowControl/>
        <w:rPr>
          <w:rFonts w:ascii="宋体" w:hAnsi="宋体" w:cs="宋体"/>
          <w:b/>
          <w:bCs/>
          <w:color w:val="auto"/>
          <w:sz w:val="24"/>
          <w:szCs w:val="20"/>
          <w:highlight w:val="none"/>
        </w:rPr>
      </w:pPr>
      <w:r/>
      <w:bookmarkStart w:id="53" w:name="_Toc20823283"/>
      <w:r/>
      <w:bookmarkStart w:id="54" w:name="_Toc513029211"/>
      <w:r/>
      <w:bookmarkStart w:id="55" w:name="_Toc16938527"/>
      <w:r/>
      <w:bookmarkStart w:id="56" w:name="_Toc462564070"/>
      <w:r>
        <w:rPr>
          <w:rFonts w:hint="eastAsia" w:ascii="宋体" w:hAnsi="宋体" w:cs="宋体"/>
          <w:b/>
          <w:bCs/>
          <w:color w:val="auto"/>
          <w:sz w:val="24"/>
          <w:szCs w:val="20"/>
          <w:highlight w:val="none"/>
        </w:rPr>
        <w:t xml:space="preserve">7、招标文件的澄清</w:t>
      </w:r>
      <w:bookmarkEnd w:id="53"/>
      <w:r/>
      <w:bookmarkEnd w:id="54"/>
      <w:r/>
      <w:bookmarkEnd w:id="55"/>
      <w:r/>
      <w:bookmarkEnd w:id="56"/>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7.1任何要求对招标文件进行澄清的投标人，应在投标截止期</w:t>
      </w:r>
      <w:r>
        <w:rPr>
          <w:rFonts w:hint="eastAsia" w:ascii="宋体" w:hAnsi="宋体" w:cs="宋体"/>
          <w:b/>
          <w:bCs/>
          <w:color w:val="auto"/>
          <w:sz w:val="24"/>
          <w:szCs w:val="20"/>
          <w:highlight w:val="none"/>
        </w:rPr>
        <w:t xml:space="preserve">十日</w:t>
      </w:r>
      <w:r>
        <w:rPr>
          <w:rFonts w:hint="eastAsia" w:ascii="宋体" w:hAnsi="宋体" w:cs="宋体"/>
          <w:color w:val="auto"/>
          <w:sz w:val="24"/>
          <w:szCs w:val="20"/>
          <w:highlight w:val="none"/>
        </w:rPr>
        <w:t xml:space="preserve">前按招标公告中的通讯地址，以书面形式通知采购中心。</w:t>
      </w:r>
      <w:r/>
    </w:p>
    <w:p>
      <w:pPr>
        <w:ind w:firstLine="480"/>
        <w:jc w:val="left"/>
        <w:spacing w:line="560" w:lineRule="exact"/>
        <w:widowControl/>
        <w:rPr>
          <w:rFonts w:ascii="宋体" w:hAnsi="宋体" w:cs="宋体"/>
          <w:b/>
          <w:bCs/>
          <w:color w:val="auto"/>
          <w:sz w:val="24"/>
          <w:szCs w:val="20"/>
          <w:highlight w:val="none"/>
        </w:rPr>
      </w:pPr>
      <w:r/>
      <w:bookmarkStart w:id="57" w:name="_Toc513029212"/>
      <w:r/>
      <w:bookmarkStart w:id="58" w:name="_Toc20823284"/>
      <w:r/>
      <w:bookmarkStart w:id="59" w:name="_Toc462564071"/>
      <w:r/>
      <w:bookmarkStart w:id="60" w:name="_Toc16938528"/>
      <w:r>
        <w:rPr>
          <w:rFonts w:hint="eastAsia" w:ascii="宋体" w:hAnsi="宋体" w:cs="宋体"/>
          <w:b/>
          <w:bCs/>
          <w:color w:val="auto"/>
          <w:sz w:val="24"/>
          <w:szCs w:val="20"/>
          <w:highlight w:val="none"/>
        </w:rPr>
        <w:t xml:space="preserve">8、招标文件的修改</w:t>
      </w:r>
      <w:bookmarkEnd w:id="57"/>
      <w:r/>
      <w:bookmarkEnd w:id="58"/>
      <w:r/>
      <w:bookmarkEnd w:id="59"/>
      <w:r/>
      <w:bookmarkEnd w:id="60"/>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8.1在投标截止时间前，采购中心可以对招标文件进行修改。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8.2采购中心有权按照法定的要求推迟投标截止日期和开标日期。</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widowControl/>
        <w:rPr>
          <w:rFonts w:ascii="宋体" w:hAnsi="宋体" w:cs="宋体"/>
          <w:b/>
          <w:bCs/>
          <w:color w:val="auto"/>
          <w:sz w:val="24"/>
          <w:szCs w:val="20"/>
          <w:highlight w:val="none"/>
        </w:rPr>
      </w:pPr>
      <w:r/>
      <w:bookmarkStart w:id="61" w:name="_Toc16938529"/>
      <w:r/>
      <w:bookmarkStart w:id="62" w:name="_Toc120614216"/>
      <w:r/>
      <w:bookmarkStart w:id="63" w:name="_Toc513029213"/>
      <w:r/>
      <w:bookmarkStart w:id="64" w:name="_Toc20823285"/>
      <w:r/>
      <w:bookmarkStart w:id="65" w:name="_Toc462564072"/>
      <w:r>
        <w:rPr>
          <w:rFonts w:hint="eastAsia" w:ascii="宋体" w:hAnsi="宋体" w:cs="宋体"/>
          <w:b/>
          <w:bCs/>
          <w:color w:val="auto"/>
          <w:sz w:val="24"/>
          <w:szCs w:val="20"/>
          <w:highlight w:val="none"/>
        </w:rPr>
        <w:t xml:space="preserve">三、投标文件的编制</w:t>
      </w:r>
      <w:bookmarkEnd w:id="61"/>
      <w:r/>
      <w:bookmarkEnd w:id="62"/>
      <w:r/>
      <w:bookmarkEnd w:id="63"/>
      <w:r/>
      <w:bookmarkEnd w:id="64"/>
      <w:r/>
      <w:bookmarkEnd w:id="65"/>
      <w:r/>
      <w:r/>
    </w:p>
    <w:p>
      <w:pPr>
        <w:ind w:firstLine="480"/>
        <w:jc w:val="left"/>
        <w:spacing w:line="560" w:lineRule="exact"/>
        <w:widowControl/>
        <w:rPr>
          <w:rFonts w:ascii="宋体" w:hAnsi="宋体" w:cs="宋体"/>
          <w:b/>
          <w:bCs/>
          <w:color w:val="auto"/>
          <w:sz w:val="24"/>
          <w:szCs w:val="20"/>
          <w:highlight w:val="none"/>
        </w:rPr>
      </w:pPr>
      <w:r/>
      <w:bookmarkStart w:id="66" w:name="_Toc462564073"/>
      <w:r/>
      <w:bookmarkStart w:id="67" w:name="_Toc513029214"/>
      <w:r/>
      <w:bookmarkStart w:id="68" w:name="_Toc20823286"/>
      <w:r/>
      <w:bookmarkStart w:id="69" w:name="_Toc16938530"/>
      <w:r>
        <w:rPr>
          <w:rFonts w:hint="eastAsia" w:ascii="宋体" w:hAnsi="宋体" w:cs="宋体"/>
          <w:b/>
          <w:bCs/>
          <w:color w:val="auto"/>
          <w:sz w:val="24"/>
          <w:szCs w:val="20"/>
          <w:highlight w:val="none"/>
        </w:rPr>
        <w:t xml:space="preserve">9、投标文件的语言及度量衡单位</w:t>
      </w:r>
      <w:bookmarkEnd w:id="66"/>
      <w:r/>
      <w:bookmarkEnd w:id="67"/>
      <w:r/>
      <w:bookmarkEnd w:id="68"/>
      <w:r/>
      <w:bookmarkEnd w:id="69"/>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cs="宋体"/>
          <w:b/>
          <w:bCs/>
          <w:color w:val="auto"/>
          <w:sz w:val="24"/>
          <w:szCs w:val="20"/>
          <w:highlight w:val="none"/>
        </w:rPr>
        <w:t xml:space="preserve">简体中文</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widowControl/>
        <w:rPr>
          <w:rFonts w:ascii="宋体" w:hAnsi="宋体" w:cs="宋体"/>
          <w:b/>
          <w:bCs/>
          <w:color w:val="auto"/>
          <w:sz w:val="24"/>
          <w:szCs w:val="20"/>
          <w:highlight w:val="none"/>
        </w:rPr>
      </w:pPr>
      <w:r/>
      <w:bookmarkStart w:id="70" w:name="_Toc513029215"/>
      <w:r/>
      <w:bookmarkStart w:id="71" w:name="_Toc462564074"/>
      <w:r/>
      <w:bookmarkStart w:id="72" w:name="_Toc16938531"/>
      <w:r/>
      <w:bookmarkStart w:id="73" w:name="_Toc20823287"/>
      <w:r>
        <w:rPr>
          <w:rFonts w:hint="eastAsia" w:ascii="宋体" w:hAnsi="宋体" w:cs="宋体"/>
          <w:b/>
          <w:bCs/>
          <w:color w:val="auto"/>
          <w:sz w:val="24"/>
          <w:szCs w:val="20"/>
          <w:highlight w:val="none"/>
        </w:rPr>
        <w:t xml:space="preserve">10、投标文件构成</w:t>
      </w:r>
      <w:bookmarkEnd w:id="70"/>
      <w:r/>
      <w:bookmarkEnd w:id="71"/>
      <w:r/>
      <w:bookmarkEnd w:id="72"/>
      <w:r/>
      <w:bookmarkEnd w:id="73"/>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widowControl/>
        <w:rPr>
          <w:rFonts w:ascii="宋体" w:hAnsi="宋体" w:cs="宋体"/>
          <w:b/>
          <w:bCs/>
          <w:color w:val="auto"/>
          <w:sz w:val="24"/>
          <w:szCs w:val="20"/>
          <w:highlight w:val="none"/>
        </w:rPr>
      </w:pPr>
      <w:r/>
      <w:bookmarkStart w:id="74" w:name="_Toc513029216"/>
      <w:r/>
      <w:bookmarkStart w:id="75" w:name="_Toc513029219"/>
      <w:r/>
      <w:bookmarkStart w:id="76" w:name="_Toc14577357"/>
      <w:r/>
      <w:bookmarkStart w:id="77" w:name="_Toc14577354"/>
      <w:r/>
      <w:bookmarkStart w:id="78" w:name="_Toc49090507"/>
      <w:r/>
      <w:bookmarkStart w:id="79" w:name="_Toc49090509"/>
      <w:r>
        <w:rPr>
          <w:rFonts w:hint="eastAsia" w:ascii="宋体" w:hAnsi="宋体" w:cs="宋体"/>
          <w:b/>
          <w:bCs/>
          <w:color w:val="auto"/>
          <w:sz w:val="24"/>
          <w:szCs w:val="20"/>
          <w:highlight w:val="none"/>
        </w:rPr>
        <w:t xml:space="preserve">11、证明投标人及投标标的符合招标文件规定的文件</w:t>
      </w:r>
      <w:bookmarkEnd w:id="74"/>
      <w:r/>
      <w:bookmarkEnd w:id="75"/>
      <w:r/>
      <w:bookmarkEnd w:id="76"/>
      <w:r/>
      <w:bookmarkEnd w:id="77"/>
      <w:r/>
      <w:bookmarkEnd w:id="78"/>
      <w:r/>
      <w:bookmarkEnd w:id="79"/>
      <w:r/>
      <w:r/>
    </w:p>
    <w:p>
      <w:pPr>
        <w:ind w:firstLine="480"/>
        <w:jc w:val="left"/>
        <w:spacing w:line="560" w:lineRule="exact"/>
        <w:widowControl/>
        <w:rPr>
          <w:rFonts w:ascii="宋体" w:hAnsi="宋体" w:cs="宋体"/>
          <w:color w:val="auto"/>
          <w:sz w:val="24"/>
          <w:szCs w:val="20"/>
          <w:highlight w:val="none"/>
        </w:rPr>
      </w:pPr>
      <w:r/>
      <w:bookmarkStart w:id="80" w:name="_Toc49090508"/>
      <w:r/>
      <w:bookmarkStart w:id="81" w:name="_Toc14577355"/>
      <w:r>
        <w:rPr>
          <w:rFonts w:hint="eastAsia" w:ascii="宋体" w:hAnsi="宋体" w:cs="宋体"/>
          <w:color w:val="auto"/>
          <w:sz w:val="24"/>
          <w:szCs w:val="20"/>
          <w:highlight w:val="none"/>
        </w:rPr>
        <w:t xml:space="preserve">11.1投标人应按照法律、法规、规章和规范性文件以及招标文件要求提交证明文件，证明其及投标标的符合招标文件规定。</w:t>
      </w:r>
      <w:bookmarkEnd w:id="80"/>
      <w:r/>
      <w:bookmarkEnd w:id="81"/>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12、投标分项报价表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12.1投标人应按照招标文件规定格式填报投标分项报价表。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12.3投标分项报价表，主要包括（但不限于）：人员工资、社会保险费（含养老保险、医疗保险、失业</w:t>
      </w:r>
      <w:r>
        <w:rPr>
          <w:rFonts w:hint="eastAsia" w:ascii="宋体" w:hAnsi="宋体" w:cs="宋体"/>
          <w:color w:val="auto"/>
          <w:sz w:val="24"/>
          <w:szCs w:val="20"/>
          <w:highlight w:val="none"/>
          <w:lang w:val="en-US" w:eastAsia="zh-CN"/>
        </w:rPr>
        <w:t xml:space="preserve">保险</w:t>
      </w:r>
      <w:r>
        <w:rPr>
          <w:rFonts w:hint="eastAsia" w:ascii="宋体" w:hAnsi="宋体" w:cs="宋体"/>
          <w:color w:val="auto"/>
          <w:sz w:val="24"/>
          <w:szCs w:val="20"/>
          <w:highlight w:val="none"/>
        </w:rPr>
        <w:t xml:space="preserve">、工伤保险）</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企业缴纳部分</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住房公积金</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企业缴纳部分</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、国家法定节假日加班费、</w:t>
      </w:r>
      <w:r>
        <w:rPr>
          <w:rFonts w:hint="eastAsia" w:ascii="宋体" w:hAnsi="宋体" w:cs="宋体"/>
          <w:color w:val="auto"/>
          <w:sz w:val="24"/>
          <w:szCs w:val="20"/>
          <w:highlight w:val="none"/>
          <w:lang w:val="en-US" w:eastAsia="zh-CN"/>
        </w:rPr>
        <w:t xml:space="preserve">税金等费用</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（1）用于保洁的日常易耗品、工具等物品由投标人购置并承担费用。</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（2）所有人员的通讯、工作服装（分不同季节）由投标人购置并承担费用。</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lang w:val="zh-CN"/>
        </w:rPr>
        <w:t xml:space="preserve">）服务人员须服从采购人管理，采购人安排的短期加班或活动不另行增加费用。</w:t>
      </w:r>
      <w:r/>
    </w:p>
    <w:p>
      <w:pPr>
        <w:ind w:firstLine="480"/>
        <w:jc w:val="left"/>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12.4（</w:t>
      </w:r>
      <w:r>
        <w:rPr>
          <w:rFonts w:hint="eastAsia" w:ascii="宋体" w:hAnsi="宋体" w:cs="宋体"/>
          <w:b/>
          <w:bCs/>
          <w:color w:val="auto"/>
          <w:sz w:val="24"/>
          <w:szCs w:val="20"/>
          <w:highlight w:val="none"/>
        </w:rPr>
        <w:t xml:space="preserve">1</w:t>
      </w:r>
      <w:r>
        <w:rPr>
          <w:rFonts w:hint="eastAsia" w:ascii="宋体" w:hAnsi="宋体" w:cs="宋体"/>
          <w:b/>
          <w:bCs/>
          <w:color w:val="auto"/>
          <w:sz w:val="24"/>
          <w:szCs w:val="20"/>
          <w:highlight w:val="none"/>
          <w:lang w:val="zh-CN"/>
        </w:rPr>
        <w:t xml:space="preserve">）所有人员工资不低于本市最低工资标准</w:t>
      </w:r>
      <w:r>
        <w:rPr>
          <w:rFonts w:hint="eastAsia" w:ascii="宋体" w:hAnsi="宋体" w:cs="宋体"/>
          <w:b/>
          <w:bCs/>
          <w:color w:val="auto"/>
          <w:sz w:val="24"/>
          <w:szCs w:val="20"/>
          <w:highlight w:val="none"/>
        </w:rPr>
        <w:t xml:space="preserve">2430</w:t>
      </w:r>
      <w:r>
        <w:rPr>
          <w:rFonts w:hint="eastAsia" w:ascii="宋体" w:hAnsi="宋体" w:cs="宋体"/>
          <w:b/>
          <w:bCs/>
          <w:color w:val="auto"/>
          <w:sz w:val="24"/>
          <w:szCs w:val="20"/>
          <w:highlight w:val="none"/>
          <w:lang w:val="zh-CN"/>
        </w:rPr>
        <w:t xml:space="preserve">元/人/月，所有人员必须足额缴纳社保费用，</w:t>
      </w:r>
      <w:r>
        <w:rPr>
          <w:rFonts w:hint="eastAsia" w:ascii="宋体" w:hAnsi="宋体" w:cs="宋体"/>
          <w:b/>
          <w:bCs/>
          <w:color w:val="auto"/>
          <w:sz w:val="24"/>
          <w:szCs w:val="20"/>
          <w:highlight w:val="none"/>
        </w:rPr>
        <w:t xml:space="preserve">社会保险费</w:t>
      </w:r>
      <w:r>
        <w:rPr>
          <w:rFonts w:hint="eastAsia" w:ascii="宋体" w:hAnsi="宋体" w:cs="宋体"/>
          <w:b/>
          <w:bCs/>
          <w:color w:val="auto"/>
          <w:sz w:val="24"/>
          <w:szCs w:val="20"/>
          <w:highlight w:val="none"/>
          <w:lang w:val="zh-CN"/>
        </w:rPr>
        <w:t xml:space="preserve">（企业部分）不得低于</w:t>
      </w:r>
      <w:r>
        <w:rPr>
          <w:rFonts w:hint="eastAsia" w:ascii="宋体" w:hAnsi="宋体" w:cs="宋体"/>
          <w:b/>
          <w:bCs/>
          <w:color w:val="auto"/>
          <w:sz w:val="24"/>
          <w:szCs w:val="20"/>
          <w:highlight w:val="none"/>
        </w:rPr>
        <w:t xml:space="preserve">1292.47</w:t>
      </w:r>
      <w:r>
        <w:rPr>
          <w:rFonts w:hint="eastAsia" w:ascii="宋体" w:hAnsi="宋体" w:cs="宋体"/>
          <w:b/>
          <w:bCs/>
          <w:color w:val="auto"/>
          <w:sz w:val="24"/>
          <w:szCs w:val="20"/>
          <w:highlight w:val="none"/>
          <w:lang w:val="zh-CN"/>
        </w:rPr>
        <w:t xml:space="preserve">元/人/月，住房公积金（企业部分）不得低于</w:t>
      </w:r>
      <w:r>
        <w:rPr>
          <w:rFonts w:hint="eastAsia" w:ascii="宋体" w:hAnsi="宋体" w:cs="宋体"/>
          <w:b/>
          <w:bCs/>
          <w:color w:val="auto"/>
          <w:sz w:val="24"/>
          <w:szCs w:val="20"/>
          <w:highlight w:val="none"/>
        </w:rPr>
        <w:t xml:space="preserve">1</w:t>
      </w:r>
      <w:r>
        <w:rPr>
          <w:rFonts w:hint="eastAsia" w:ascii="宋体" w:hAnsi="宋体" w:cs="宋体"/>
          <w:b/>
          <w:bCs/>
          <w:color w:val="auto"/>
          <w:sz w:val="24"/>
          <w:szCs w:val="20"/>
          <w:highlight w:val="none"/>
          <w:lang w:val="en-US" w:eastAsia="zh-CN"/>
        </w:rPr>
        <w:t xml:space="preserve">14</w:t>
      </w:r>
      <w:r>
        <w:rPr>
          <w:rFonts w:hint="eastAsia" w:ascii="宋体" w:hAnsi="宋体" w:cs="宋体"/>
          <w:b/>
          <w:bCs/>
          <w:color w:val="auto"/>
          <w:sz w:val="24"/>
          <w:szCs w:val="20"/>
          <w:highlight w:val="none"/>
          <w:lang w:val="zh-CN"/>
        </w:rPr>
        <w:t xml:space="preserve">元/人/月，</w:t>
      </w:r>
      <w:r>
        <w:rPr>
          <w:rFonts w:hint="eastAsia" w:ascii="宋体" w:hAnsi="宋体" w:cs="宋体"/>
          <w:b/>
          <w:bCs/>
          <w:color w:val="auto"/>
          <w:sz w:val="24"/>
          <w:szCs w:val="20"/>
          <w:highlight w:val="none"/>
          <w:lang w:val="en-US" w:eastAsia="zh-CN"/>
        </w:rPr>
        <w:t xml:space="preserve">国家</w:t>
      </w:r>
      <w:r>
        <w:rPr>
          <w:rFonts w:hint="eastAsia" w:ascii="宋体" w:hAnsi="宋体" w:cs="宋体"/>
          <w:b/>
          <w:bCs/>
          <w:color w:val="auto"/>
          <w:sz w:val="24"/>
          <w:szCs w:val="20"/>
          <w:highlight w:val="none"/>
          <w:lang w:val="zh-CN"/>
        </w:rPr>
        <w:t xml:space="preserve">法定节假日加班费不得低于</w:t>
      </w:r>
      <w:r>
        <w:rPr>
          <w:rFonts w:hint="eastAsia" w:ascii="宋体" w:hAnsi="宋体" w:cs="宋体"/>
          <w:b/>
          <w:bCs/>
          <w:color w:val="auto"/>
          <w:sz w:val="24"/>
          <w:highlight w:val="none"/>
          <w:lang w:val="zh-CN"/>
        </w:rPr>
        <w:t xml:space="preserve">4357.25</w:t>
      </w:r>
      <w:r>
        <w:rPr>
          <w:rFonts w:hint="eastAsia" w:ascii="宋体" w:hAnsi="宋体" w:cs="宋体"/>
          <w:b/>
          <w:bCs/>
          <w:color w:val="auto"/>
          <w:sz w:val="24"/>
          <w:szCs w:val="20"/>
          <w:highlight w:val="none"/>
          <w:lang w:val="zh-CN"/>
        </w:rPr>
        <w:t xml:space="preserve">元/人/年，按</w:t>
      </w:r>
      <w:r>
        <w:rPr>
          <w:rFonts w:hint="eastAsia" w:ascii="宋体" w:hAnsi="宋体" w:cs="宋体"/>
          <w:b/>
          <w:bCs/>
          <w:color w:val="auto"/>
          <w:sz w:val="24"/>
          <w:szCs w:val="20"/>
          <w:highlight w:val="none"/>
        </w:rPr>
        <w:t xml:space="preserve">总</w:t>
      </w:r>
      <w:r>
        <w:rPr>
          <w:rFonts w:hint="eastAsia" w:ascii="宋体" w:hAnsi="宋体" w:cs="宋体"/>
          <w:b/>
          <w:bCs/>
          <w:color w:val="auto"/>
          <w:sz w:val="24"/>
          <w:szCs w:val="20"/>
          <w:highlight w:val="none"/>
          <w:lang w:val="zh-CN"/>
        </w:rPr>
        <w:t xml:space="preserve">人数</w:t>
      </w:r>
      <w:r>
        <w:rPr>
          <w:rFonts w:hint="eastAsia" w:ascii="宋体" w:hAnsi="宋体" w:cs="宋体"/>
          <w:b/>
          <w:bCs/>
          <w:color w:val="auto"/>
          <w:sz w:val="24"/>
          <w:szCs w:val="20"/>
          <w:highlight w:val="none"/>
        </w:rPr>
        <w:t xml:space="preserve">的</w:t>
      </w:r>
      <w:r>
        <w:rPr>
          <w:rFonts w:hint="eastAsia" w:ascii="宋体" w:hAnsi="宋体" w:cs="宋体"/>
          <w:b/>
          <w:bCs/>
          <w:color w:val="auto"/>
          <w:sz w:val="24"/>
          <w:szCs w:val="20"/>
          <w:highlight w:val="none"/>
          <w:lang w:val="zh-CN"/>
        </w:rPr>
        <w:t xml:space="preserve">70%（</w:t>
      </w:r>
      <w:r>
        <w:rPr>
          <w:rFonts w:hint="eastAsia" w:ascii="宋体" w:hAnsi="宋体" w:cs="宋体"/>
          <w:b/>
          <w:bCs/>
          <w:color w:val="auto"/>
          <w:sz w:val="24"/>
          <w:szCs w:val="20"/>
          <w:highlight w:val="none"/>
        </w:rPr>
        <w:t xml:space="preserve">即</w:t>
      </w:r>
      <w:r>
        <w:rPr>
          <w:rFonts w:ascii="宋体" w:hAnsi="宋体" w:cs="宋体"/>
          <w:b/>
          <w:bCs/>
          <w:color w:val="auto"/>
          <w:sz w:val="24"/>
          <w:szCs w:val="20"/>
          <w:highlight w:val="none"/>
        </w:rPr>
        <w:t xml:space="preserve">70</w:t>
      </w:r>
      <w:r>
        <w:rPr>
          <w:rFonts w:hint="eastAsia" w:ascii="宋体" w:hAnsi="宋体" w:cs="宋体"/>
          <w:b/>
          <w:bCs/>
          <w:color w:val="auto"/>
          <w:sz w:val="24"/>
          <w:szCs w:val="20"/>
          <w:highlight w:val="none"/>
        </w:rPr>
        <w:t xml:space="preserve">人</w:t>
      </w:r>
      <w:r>
        <w:rPr>
          <w:rFonts w:hint="eastAsia" w:ascii="宋体" w:hAnsi="宋体" w:cs="宋体"/>
          <w:b/>
          <w:bCs/>
          <w:color w:val="auto"/>
          <w:sz w:val="24"/>
          <w:szCs w:val="20"/>
          <w:highlight w:val="none"/>
          <w:lang w:val="zh-CN"/>
        </w:rPr>
        <w:t xml:space="preserve">）计算加班，税金费率</w:t>
      </w:r>
      <w:r>
        <w:rPr>
          <w:rFonts w:hint="eastAsia" w:ascii="宋体" w:hAnsi="宋体" w:cs="宋体"/>
          <w:b/>
          <w:bCs/>
          <w:color w:val="auto"/>
          <w:sz w:val="24"/>
          <w:szCs w:val="20"/>
          <w:highlight w:val="none"/>
        </w:rPr>
        <w:t xml:space="preserve">不得低于</w:t>
      </w:r>
      <w:r>
        <w:rPr>
          <w:rFonts w:hint="eastAsia" w:ascii="宋体" w:hAnsi="宋体" w:cs="宋体"/>
          <w:b/>
          <w:bCs/>
          <w:color w:val="auto"/>
          <w:sz w:val="24"/>
          <w:szCs w:val="20"/>
          <w:highlight w:val="none"/>
          <w:lang w:val="zh-CN"/>
        </w:rPr>
        <w:t xml:space="preserve">6.72%。</w:t>
      </w:r>
      <w:r/>
    </w:p>
    <w:p>
      <w:pPr>
        <w:ind w:firstLine="480"/>
        <w:jc w:val="left"/>
        <w:spacing w:line="560" w:lineRule="exact"/>
        <w:widowControl/>
        <w:rPr>
          <w:rFonts w:ascii="宋体" w:hAnsi="宋体" w:cs="宋体"/>
          <w:b/>
          <w:bCs/>
          <w:color w:val="auto"/>
          <w:sz w:val="24"/>
          <w:szCs w:val="20"/>
          <w:highlight w:val="none"/>
          <w:lang w:val="zh-CN"/>
        </w:rPr>
      </w:pPr>
      <w:r>
        <w:rPr>
          <w:rFonts w:hint="eastAsia" w:eastAsia="Arial"/>
          <w:b/>
          <w:bCs/>
          <w:color w:val="auto"/>
          <w:sz w:val="24"/>
          <w:szCs w:val="20"/>
          <w:highlight w:val="none"/>
          <w:lang w:val="zh-CN"/>
        </w:rPr>
        <w:t xml:space="preserve">投标人所</w:t>
      </w:r>
      <w:r>
        <w:rPr>
          <w:rFonts w:hint="eastAsia"/>
          <w:b/>
          <w:bCs/>
          <w:color w:val="auto"/>
          <w:sz w:val="24"/>
          <w:szCs w:val="20"/>
          <w:highlight w:val="none"/>
          <w:lang w:val="en-US" w:eastAsia="zh-CN"/>
        </w:rPr>
        <w:t xml:space="preserve">填报</w:t>
      </w:r>
      <w:r>
        <w:rPr>
          <w:rFonts w:hint="eastAsia" w:eastAsia="Arial"/>
          <w:b/>
          <w:bCs/>
          <w:color w:val="auto"/>
          <w:sz w:val="24"/>
          <w:szCs w:val="20"/>
          <w:highlight w:val="none"/>
          <w:lang w:val="zh-CN"/>
        </w:rPr>
        <w:t xml:space="preserve">的费用</w:t>
      </w:r>
      <w:r>
        <w:rPr>
          <w:rFonts w:hint="eastAsia"/>
          <w:b/>
          <w:bCs/>
          <w:color w:val="auto"/>
          <w:sz w:val="24"/>
          <w:szCs w:val="20"/>
          <w:highlight w:val="none"/>
        </w:rPr>
        <w:t xml:space="preserve">按</w:t>
      </w:r>
      <w:r>
        <w:rPr>
          <w:rFonts w:hint="eastAsia" w:eastAsia="Arial"/>
          <w:b/>
          <w:bCs/>
          <w:color w:val="auto"/>
          <w:sz w:val="24"/>
          <w:szCs w:val="20"/>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widowControl/>
        <w:rPr>
          <w:rFonts w:hint="default" w:ascii="宋体" w:hAnsi="宋体" w:eastAsia="宋体" w:cs="宋体"/>
          <w:b/>
          <w:bCs/>
          <w:color w:val="ff0000"/>
          <w:sz w:val="24"/>
          <w:szCs w:val="20"/>
          <w:highlight w:val="none"/>
          <w:lang w:val="en-US" w:eastAsia="zh-CN"/>
        </w:rPr>
      </w:pPr>
      <w:r>
        <w:rPr>
          <w:rFonts w:hint="eastAsia" w:ascii="宋体" w:hAnsi="宋体" w:cs="宋体"/>
          <w:b/>
          <w:bCs/>
          <w:color w:val="ff0000"/>
          <w:sz w:val="24"/>
          <w:szCs w:val="20"/>
          <w:highlight w:val="none"/>
          <w:lang w:val="zh-CN"/>
        </w:rPr>
        <w:t xml:space="preserve">（</w:t>
      </w:r>
      <w:r>
        <w:rPr>
          <w:rFonts w:hint="eastAsia" w:ascii="宋体" w:hAnsi="宋体" w:cs="宋体"/>
          <w:b/>
          <w:bCs/>
          <w:color w:val="ff0000"/>
          <w:sz w:val="24"/>
          <w:szCs w:val="20"/>
          <w:highlight w:val="none"/>
        </w:rPr>
        <w:t xml:space="preserve">2</w:t>
      </w:r>
      <w:r>
        <w:rPr>
          <w:rFonts w:hint="eastAsia" w:ascii="宋体" w:hAnsi="宋体" w:cs="宋体"/>
          <w:b/>
          <w:bCs/>
          <w:color w:val="ff0000"/>
          <w:sz w:val="24"/>
          <w:szCs w:val="20"/>
          <w:highlight w:val="none"/>
          <w:lang w:val="zh-CN"/>
        </w:rPr>
        <w:t xml:space="preserve">）本项目</w:t>
      </w:r>
      <w:r>
        <w:rPr>
          <w:rFonts w:hint="eastAsia" w:ascii="宋体" w:hAnsi="宋体" w:cs="宋体"/>
          <w:b/>
          <w:bCs/>
          <w:color w:val="ff0000"/>
          <w:sz w:val="24"/>
          <w:szCs w:val="20"/>
          <w:highlight w:val="none"/>
          <w:lang w:val="en-US" w:eastAsia="zh-CN"/>
        </w:rPr>
        <w:t xml:space="preserve">特殊岗位津贴往年实发1000元/人/月，特殊岗位津贴费用仅供投标人参考，由</w:t>
      </w:r>
      <w:r>
        <w:rPr>
          <w:rFonts w:hint="eastAsia" w:ascii="宋体" w:hAnsi="宋体" w:cs="宋体"/>
          <w:b/>
          <w:bCs/>
          <w:color w:val="ff0000"/>
          <w:sz w:val="24"/>
          <w:szCs w:val="20"/>
          <w:highlight w:val="none"/>
          <w:lang w:val="zh-CN"/>
        </w:rPr>
        <w:t xml:space="preserve">投标人自行报价。</w:t>
      </w:r>
      <w:r/>
    </w:p>
    <w:p>
      <w:pPr>
        <w:ind w:firstLine="480"/>
        <w:jc w:val="left"/>
        <w:spacing w:line="560" w:lineRule="exact"/>
        <w:widowControl/>
        <w:rPr>
          <w:rFonts w:ascii="宋体" w:hAnsi="宋体" w:cs="宋体"/>
          <w:b/>
          <w:bCs/>
          <w:color w:val="ff0000"/>
          <w:sz w:val="24"/>
          <w:szCs w:val="20"/>
          <w:highlight w:val="none"/>
          <w:lang w:val="zh-CN"/>
        </w:rPr>
      </w:pPr>
      <w:r>
        <w:rPr>
          <w:rFonts w:hint="eastAsia" w:ascii="宋体" w:hAnsi="宋体" w:cs="宋体"/>
          <w:b/>
          <w:bCs/>
          <w:color w:val="ff0000"/>
          <w:sz w:val="24"/>
          <w:szCs w:val="20"/>
          <w:highlight w:val="none"/>
          <w:lang w:val="zh-CN"/>
        </w:rPr>
        <w:t xml:space="preserve">（</w:t>
      </w:r>
      <w:r>
        <w:rPr>
          <w:rFonts w:hint="eastAsia" w:ascii="宋体" w:hAnsi="宋体" w:cs="宋体"/>
          <w:b/>
          <w:bCs/>
          <w:color w:val="ff0000"/>
          <w:sz w:val="24"/>
          <w:szCs w:val="20"/>
          <w:highlight w:val="none"/>
          <w:lang w:val="en-US" w:eastAsia="zh-CN"/>
        </w:rPr>
        <w:t xml:space="preserve">3</w:t>
      </w:r>
      <w:r>
        <w:rPr>
          <w:rFonts w:hint="eastAsia" w:ascii="宋体" w:hAnsi="宋体" w:cs="宋体"/>
          <w:b/>
          <w:bCs/>
          <w:color w:val="ff0000"/>
          <w:sz w:val="24"/>
          <w:szCs w:val="20"/>
          <w:highlight w:val="none"/>
          <w:lang w:val="zh-CN"/>
        </w:rPr>
        <w:t xml:space="preserve">）本项目综合管理费包括办公、服装及装备费、体检费，具体包含服装费、培训费、耗材、文具、电脑、打印机、保洁设备、用具、器具、工具及耗材费、不可预见费等一切招标文件中要求报价时考虑的费用，</w:t>
      </w:r>
      <w:r>
        <w:rPr>
          <w:rFonts w:hint="eastAsia" w:ascii="宋体" w:hAnsi="宋体" w:cs="宋体"/>
          <w:b/>
          <w:bCs/>
          <w:color w:val="ff0000"/>
          <w:sz w:val="24"/>
          <w:szCs w:val="20"/>
          <w:highlight w:val="none"/>
          <w:lang w:val="en-US" w:eastAsia="zh-CN"/>
        </w:rPr>
        <w:t xml:space="preserve">由</w:t>
      </w:r>
      <w:r>
        <w:rPr>
          <w:rFonts w:hint="eastAsia" w:ascii="宋体" w:hAnsi="宋体" w:cs="宋体"/>
          <w:b/>
          <w:bCs/>
          <w:color w:val="ff0000"/>
          <w:sz w:val="24"/>
          <w:szCs w:val="20"/>
          <w:highlight w:val="none"/>
          <w:lang w:val="zh-CN"/>
        </w:rPr>
        <w:t xml:space="preserve">投标人自行报价。</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12.5 投标人根据招标内容的要求准确报价，一经报出，不得更改。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12.6投标报价的单位为人民币(元)。如果未能按合同、招标投标文件履约的，中止合同，履约保证金不予退还，并不支付服务期间的物业管理服务费用。招标方有权终止合同的履行，受托单位应承担相应的完全责任，包括赔偿因此而给本单位及第三人带来的相应损失。合同期满后，中标供应商退出本物业管理时必须向采购人移交全套档案资料等，经采购人验收合格，并完成与后续物业服务企业的衔接后，方可退出，同时无息退还履约保证金余额。合同提前终止或期满退出的，规定时间内必须与本单位及后续物业管理企业的完成交接、衔接工作。 </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12.7对于超出招标文件的其他临时性服务项目，由甲乙双方协商解决。</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13、技术要求响应及偏离表、商务要求响应及偏离表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13.1投标人需对招标文件中的技术要求与商务要求逐项作出响应或偏离，并说明原因。</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13.2投标人可在投标文件中提供认为需要的其他技术文件或说明。</w:t>
      </w:r>
      <w:r/>
    </w:p>
    <w:p>
      <w:pPr>
        <w:ind w:firstLine="480"/>
        <w:jc w:val="left"/>
        <w:spacing w:line="560" w:lineRule="exact"/>
        <w:widowControl/>
        <w:rPr>
          <w:rFonts w:ascii="宋体" w:hAnsi="宋体" w:cs="宋体"/>
          <w:b/>
          <w:bCs/>
          <w:color w:val="auto"/>
          <w:sz w:val="24"/>
          <w:szCs w:val="20"/>
          <w:highlight w:val="none"/>
        </w:rPr>
      </w:pPr>
      <w:r/>
      <w:bookmarkStart w:id="82" w:name="_Toc14577359"/>
      <w:r/>
      <w:bookmarkStart w:id="83" w:name="_Toc49090510"/>
      <w:r>
        <w:rPr>
          <w:rFonts w:hint="eastAsia" w:ascii="宋体" w:hAnsi="宋体" w:cs="宋体"/>
          <w:b/>
          <w:bCs/>
          <w:color w:val="auto"/>
          <w:sz w:val="24"/>
          <w:szCs w:val="20"/>
          <w:highlight w:val="none"/>
        </w:rPr>
        <w:t xml:space="preserve">14、投标函和开标一览表</w:t>
      </w:r>
      <w:bookmarkEnd w:id="82"/>
      <w:r/>
      <w:bookmarkEnd w:id="83"/>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14.1投标人应按照招标文件中提供的格式完整、正确填写投标函、开标一览表。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widowControl/>
        <w:rPr>
          <w:rFonts w:ascii="宋体" w:hAnsi="宋体" w:cs="宋体"/>
          <w:b/>
          <w:bCs/>
          <w:color w:val="auto"/>
          <w:sz w:val="24"/>
          <w:szCs w:val="20"/>
          <w:highlight w:val="none"/>
        </w:rPr>
      </w:pPr>
      <w:r/>
      <w:bookmarkStart w:id="84" w:name="_Toc14577360"/>
      <w:r/>
      <w:bookmarkStart w:id="85" w:name="_Toc49090511"/>
      <w:r>
        <w:rPr>
          <w:rFonts w:hint="eastAsia" w:ascii="宋体" w:hAnsi="宋体" w:cs="宋体"/>
          <w:b/>
          <w:bCs/>
          <w:color w:val="auto"/>
          <w:sz w:val="24"/>
          <w:szCs w:val="20"/>
          <w:highlight w:val="none"/>
        </w:rPr>
        <w:t xml:space="preserve">15、投标有效期</w:t>
      </w:r>
      <w:bookmarkEnd w:id="84"/>
      <w:r/>
      <w:bookmarkEnd w:id="85"/>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15.1投标有效期为采购中心规定的开标之日后</w:t>
      </w:r>
      <w:r>
        <w:rPr>
          <w:rFonts w:hint="eastAsia" w:ascii="宋体" w:hAnsi="宋体" w:cs="宋体"/>
          <w:b/>
          <w:bCs/>
          <w:color w:val="auto"/>
          <w:sz w:val="24"/>
          <w:szCs w:val="20"/>
          <w:highlight w:val="none"/>
          <w:u w:val="single"/>
        </w:rPr>
        <w:t xml:space="preserve">九十（90）天</w:t>
      </w:r>
      <w:r>
        <w:rPr>
          <w:rFonts w:hint="eastAsia" w:ascii="宋体" w:hAnsi="宋体" w:cs="宋体"/>
          <w:color w:val="auto"/>
          <w:sz w:val="24"/>
          <w:szCs w:val="20"/>
          <w:highlight w:val="none"/>
        </w:rPr>
        <w:t xml:space="preserve">。投标有效期比规定短的将被视为未实质性响应招标文件而予以拒绝。</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16、投标有效期的延长</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widowControl/>
        <w:rPr>
          <w:rFonts w:ascii="宋体" w:hAnsi="宋体" w:cs="宋体"/>
          <w:b/>
          <w:bCs/>
          <w:color w:val="auto"/>
          <w:sz w:val="24"/>
          <w:szCs w:val="20"/>
          <w:highlight w:val="none"/>
        </w:rPr>
      </w:pPr>
      <w:r/>
      <w:bookmarkStart w:id="86" w:name="_Toc16938540"/>
      <w:r/>
      <w:bookmarkStart w:id="87" w:name="_Toc120614217"/>
      <w:r/>
      <w:bookmarkStart w:id="88" w:name="_Toc513029224"/>
      <w:r/>
      <w:bookmarkStart w:id="89" w:name="_Toc20823296"/>
      <w:r>
        <w:rPr>
          <w:rFonts w:hint="eastAsia" w:ascii="宋体" w:hAnsi="宋体" w:cs="宋体"/>
          <w:b/>
          <w:bCs/>
          <w:color w:val="auto"/>
          <w:sz w:val="24"/>
          <w:szCs w:val="20"/>
          <w:highlight w:val="none"/>
        </w:rPr>
        <w:t xml:space="preserve">四、投标文件的递交</w:t>
      </w:r>
      <w:bookmarkEnd w:id="86"/>
      <w:r/>
      <w:bookmarkEnd w:id="87"/>
      <w:r/>
      <w:bookmarkEnd w:id="88"/>
      <w:r/>
      <w:bookmarkEnd w:id="89"/>
      <w:r/>
      <w:r/>
    </w:p>
    <w:p>
      <w:pPr>
        <w:ind w:firstLine="480"/>
        <w:jc w:val="left"/>
        <w:spacing w:line="560" w:lineRule="exact"/>
        <w:widowControl/>
        <w:rPr>
          <w:rFonts w:ascii="宋体" w:hAnsi="宋体" w:cs="宋体"/>
          <w:b/>
          <w:bCs/>
          <w:color w:val="auto"/>
          <w:sz w:val="24"/>
          <w:szCs w:val="20"/>
          <w:highlight w:val="none"/>
        </w:rPr>
      </w:pPr>
      <w:r/>
      <w:bookmarkStart w:id="90" w:name="_Toc16938541"/>
      <w:r/>
      <w:bookmarkStart w:id="91" w:name="_Toc20823297"/>
      <w:r/>
      <w:bookmarkStart w:id="92" w:name="_Toc462564084"/>
      <w:r/>
      <w:bookmarkStart w:id="93" w:name="_Toc513029225"/>
      <w:r>
        <w:rPr>
          <w:rFonts w:hint="eastAsia" w:ascii="宋体" w:hAnsi="宋体" w:cs="宋体"/>
          <w:b/>
          <w:bCs/>
          <w:color w:val="auto"/>
          <w:sz w:val="24"/>
          <w:szCs w:val="20"/>
          <w:highlight w:val="none"/>
        </w:rPr>
        <w:t xml:space="preserve">17、投标文件</w:t>
      </w:r>
      <w:bookmarkEnd w:id="90"/>
      <w:r/>
      <w:bookmarkEnd w:id="91"/>
      <w:r/>
      <w:bookmarkEnd w:id="92"/>
      <w:r/>
      <w:bookmarkEnd w:id="93"/>
      <w:r>
        <w:rPr>
          <w:rFonts w:hint="eastAsia" w:ascii="宋体" w:hAnsi="宋体" w:cs="宋体"/>
          <w:b/>
          <w:bCs/>
          <w:color w:val="auto"/>
          <w:sz w:val="24"/>
          <w:szCs w:val="20"/>
          <w:highlight w:val="none"/>
        </w:rPr>
        <w:t xml:space="preserve">的递交</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17.1 电子投标文件的递交</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投标人应当按照《操作手册》规定，在投标截止时间前制作并上传电子投标文件。</w:t>
      </w:r>
      <w:bookmarkStart w:id="94" w:name="_Toc16938542"/>
      <w:r/>
      <w:bookmarkEnd w:id="94"/>
      <w:r/>
      <w:bookmarkStart w:id="95" w:name="_Toc20823298"/>
      <w:r/>
      <w:bookmarkEnd w:id="95"/>
      <w:r/>
      <w:r/>
    </w:p>
    <w:p>
      <w:pPr>
        <w:ind w:firstLine="480"/>
        <w:jc w:val="left"/>
        <w:spacing w:line="560" w:lineRule="exact"/>
        <w:widowControl/>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上传的“明标”材料中不得出现与服务方案相关的内容，否则作无效标书处理。</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18、投标截止时间</w:t>
      </w:r>
      <w:r/>
    </w:p>
    <w:p>
      <w:pPr>
        <w:ind w:firstLine="480"/>
        <w:jc w:val="left"/>
        <w:spacing w:line="560" w:lineRule="exact"/>
        <w:widowControl/>
        <w:rPr>
          <w:rFonts w:ascii="宋体" w:hAnsi="宋体" w:cs="宋体"/>
          <w:i/>
          <w:iCs/>
          <w:color w:val="auto"/>
          <w:sz w:val="24"/>
          <w:szCs w:val="20"/>
          <w:highlight w:val="none"/>
        </w:rPr>
      </w:pPr>
      <w:r>
        <w:rPr>
          <w:rFonts w:hint="eastAsia" w:ascii="宋体" w:hAnsi="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cs="宋体"/>
          <w:i/>
          <w:iCs/>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widowControl/>
        <w:rPr>
          <w:rFonts w:ascii="宋体" w:hAnsi="宋体" w:cs="宋体"/>
          <w:b/>
          <w:bCs/>
          <w:color w:val="auto"/>
          <w:sz w:val="24"/>
          <w:szCs w:val="20"/>
          <w:highlight w:val="none"/>
        </w:rPr>
      </w:pPr>
      <w:r/>
      <w:bookmarkStart w:id="96" w:name="_Toc16938543"/>
      <w:r/>
      <w:bookmarkStart w:id="97" w:name="_Toc513029227"/>
      <w:r/>
      <w:bookmarkStart w:id="98" w:name="_Toc20823299"/>
      <w:r>
        <w:rPr>
          <w:rFonts w:hint="eastAsia" w:ascii="宋体" w:hAnsi="宋体" w:cs="宋体"/>
          <w:b/>
          <w:bCs/>
          <w:color w:val="auto"/>
          <w:sz w:val="24"/>
          <w:szCs w:val="20"/>
          <w:highlight w:val="none"/>
        </w:rPr>
        <w:t xml:space="preserve">19、投标文件</w:t>
      </w:r>
      <w:bookmarkEnd w:id="96"/>
      <w:r/>
      <w:bookmarkEnd w:id="97"/>
      <w:r/>
      <w:bookmarkEnd w:id="98"/>
      <w:r>
        <w:rPr>
          <w:rFonts w:hint="eastAsia" w:ascii="宋体" w:hAnsi="宋体" w:cs="宋体"/>
          <w:b/>
          <w:bCs/>
          <w:color w:val="auto"/>
          <w:sz w:val="24"/>
          <w:szCs w:val="20"/>
          <w:highlight w:val="none"/>
        </w:rPr>
        <w:t xml:space="preserve">的拒收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19.1采购中心拒绝接收在其规定的投标截止时间后上传的任何投标文件。</w:t>
      </w:r>
      <w:r/>
    </w:p>
    <w:p>
      <w:pPr>
        <w:ind w:firstLine="480"/>
        <w:jc w:val="left"/>
        <w:spacing w:line="560" w:lineRule="exact"/>
        <w:widowControl/>
        <w:rPr>
          <w:rFonts w:ascii="宋体" w:hAnsi="宋体" w:cs="宋体"/>
          <w:b/>
          <w:bCs/>
          <w:color w:val="auto"/>
          <w:sz w:val="24"/>
          <w:szCs w:val="20"/>
          <w:highlight w:val="none"/>
        </w:rPr>
      </w:pPr>
      <w:r/>
      <w:bookmarkStart w:id="99" w:name="_Toc20823300"/>
      <w:r/>
      <w:bookmarkStart w:id="100" w:name="_Toc16938544"/>
      <w:r/>
      <w:bookmarkStart w:id="101" w:name="_Toc513029228"/>
      <w:r>
        <w:rPr>
          <w:rFonts w:hint="eastAsia" w:ascii="宋体" w:hAnsi="宋体" w:cs="宋体"/>
          <w:b/>
          <w:bCs/>
          <w:color w:val="auto"/>
          <w:sz w:val="24"/>
          <w:szCs w:val="20"/>
          <w:highlight w:val="none"/>
        </w:rPr>
        <w:t xml:space="preserve">20、投标文件的撤回和修改</w:t>
      </w:r>
      <w:bookmarkEnd w:id="99"/>
      <w:r/>
      <w:bookmarkEnd w:id="100"/>
      <w:r/>
      <w:bookmarkEnd w:id="101"/>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20.1投标文件的撤回</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20.1.1电子投标文件的撤回</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21.1.2投标人撤回电子投标文件，则认为其不再参与本项目投标活动。</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20.2 投标文件的修改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20.2.2在投标截止时间之后，投标人不得对其电子投标文件作任何修改。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widowControl/>
        <w:rPr>
          <w:rFonts w:ascii="宋体" w:hAnsi="宋体" w:cs="宋体"/>
          <w:b/>
          <w:bCs/>
          <w:color w:val="auto"/>
          <w:sz w:val="24"/>
          <w:szCs w:val="20"/>
          <w:highlight w:val="none"/>
        </w:rPr>
      </w:pPr>
      <w:r/>
      <w:bookmarkStart w:id="102" w:name="_Toc20823301"/>
      <w:r/>
      <w:bookmarkStart w:id="103" w:name="_Toc16938545"/>
      <w:r/>
      <w:bookmarkStart w:id="104" w:name="_Toc513029229"/>
      <w:r/>
      <w:bookmarkStart w:id="105" w:name="_Toc120614218"/>
      <w:r>
        <w:rPr>
          <w:rFonts w:hint="eastAsia" w:ascii="宋体" w:hAnsi="宋体" w:cs="宋体"/>
          <w:b/>
          <w:bCs/>
          <w:color w:val="auto"/>
          <w:sz w:val="24"/>
          <w:szCs w:val="20"/>
          <w:highlight w:val="none"/>
        </w:rPr>
        <w:t xml:space="preserve">五、开标与评标</w:t>
      </w:r>
      <w:bookmarkEnd w:id="102"/>
      <w:r/>
      <w:bookmarkEnd w:id="103"/>
      <w:r/>
      <w:bookmarkEnd w:id="104"/>
      <w:r/>
      <w:bookmarkEnd w:id="105"/>
      <w:r/>
      <w:r/>
    </w:p>
    <w:p>
      <w:pPr>
        <w:ind w:firstLine="480"/>
        <w:jc w:val="left"/>
        <w:spacing w:line="560" w:lineRule="exact"/>
        <w:widowControl/>
        <w:rPr>
          <w:rFonts w:ascii="宋体" w:hAnsi="宋体" w:cs="宋体"/>
          <w:b/>
          <w:bCs/>
          <w:color w:val="auto"/>
          <w:sz w:val="24"/>
          <w:szCs w:val="20"/>
          <w:highlight w:val="none"/>
        </w:rPr>
      </w:pPr>
      <w:r/>
      <w:bookmarkStart w:id="106" w:name="_Toc16938546"/>
      <w:r/>
      <w:bookmarkStart w:id="107" w:name="_Toc513029230"/>
      <w:r/>
      <w:bookmarkStart w:id="108" w:name="_Toc20823302"/>
      <w:r>
        <w:rPr>
          <w:rFonts w:hint="eastAsia" w:ascii="宋体" w:hAnsi="宋体" w:cs="宋体"/>
          <w:b/>
          <w:bCs/>
          <w:color w:val="auto"/>
          <w:sz w:val="24"/>
          <w:szCs w:val="20"/>
          <w:highlight w:val="none"/>
        </w:rPr>
        <w:t xml:space="preserve">21、开标</w:t>
      </w:r>
      <w:bookmarkEnd w:id="106"/>
      <w:r/>
      <w:bookmarkEnd w:id="107"/>
      <w:r/>
      <w:bookmarkEnd w:id="108"/>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21.2开标仪式由采购中心组织。苏采云系统将自动对项目进行开标，并宣布各投标人名称和投标价格。</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21.3投标人在开标过程中涉及到的投标文件解密、开标结果确认等工作，应按照《操作手册》规定执行。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widowControl/>
        <w:rPr>
          <w:rFonts w:ascii="宋体" w:hAnsi="宋体" w:cs="宋体"/>
          <w:b/>
          <w:bCs/>
          <w:color w:val="auto"/>
          <w:sz w:val="24"/>
          <w:szCs w:val="20"/>
          <w:highlight w:val="none"/>
        </w:rPr>
      </w:pPr>
      <w:r/>
      <w:bookmarkStart w:id="109" w:name="_Toc513029231"/>
      <w:r/>
      <w:bookmarkStart w:id="110" w:name="_Toc20823303"/>
      <w:r/>
      <w:bookmarkStart w:id="111" w:name="_Toc16938547"/>
      <w:r>
        <w:rPr>
          <w:rFonts w:hint="eastAsia" w:ascii="宋体" w:hAnsi="宋体" w:cs="宋体"/>
          <w:b/>
          <w:bCs/>
          <w:color w:val="auto"/>
          <w:sz w:val="24"/>
          <w:szCs w:val="20"/>
          <w:highlight w:val="none"/>
        </w:rPr>
        <w:t xml:space="preserve">22、评标委员会</w:t>
      </w:r>
      <w:bookmarkEnd w:id="109"/>
      <w:r/>
      <w:bookmarkEnd w:id="110"/>
      <w:r/>
      <w:bookmarkEnd w:id="111"/>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22.1开标后，采购中心将立即组织评标委员会（以下简称评委会）进行评标。</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22.3评委会独立工作，负责评审所有投标文件并确定中标侯选人。</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23、评标过程的保密与公正</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23.3采购中心和评标委员会不向未中标的投标人解释未中标原因，也不公布评标过程中的相关细节。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widowControl/>
        <w:rPr>
          <w:rFonts w:ascii="宋体" w:hAnsi="宋体" w:cs="宋体"/>
          <w:b/>
          <w:bCs/>
          <w:color w:val="auto"/>
          <w:sz w:val="24"/>
          <w:szCs w:val="20"/>
          <w:highlight w:val="none"/>
        </w:rPr>
      </w:pPr>
      <w:r/>
      <w:bookmarkStart w:id="112" w:name="_Toc20823304"/>
      <w:r/>
      <w:bookmarkStart w:id="113" w:name="_Toc513029232"/>
      <w:r/>
      <w:bookmarkStart w:id="114" w:name="_Toc16938548"/>
      <w:r>
        <w:rPr>
          <w:rFonts w:hint="eastAsia" w:ascii="宋体" w:hAnsi="宋体" w:cs="宋体"/>
          <w:b/>
          <w:bCs/>
          <w:color w:val="auto"/>
          <w:sz w:val="24"/>
          <w:szCs w:val="20"/>
          <w:highlight w:val="none"/>
        </w:rPr>
        <w:t xml:space="preserve">24、投标文件的澄清</w:t>
      </w:r>
      <w:bookmarkEnd w:id="112"/>
      <w:r/>
      <w:bookmarkEnd w:id="113"/>
      <w:r/>
      <w:bookmarkEnd w:id="114"/>
      <w:r/>
      <w:r/>
    </w:p>
    <w:p>
      <w:pPr>
        <w:ind w:firstLine="480"/>
        <w:jc w:val="left"/>
        <w:spacing w:line="560" w:lineRule="exact"/>
        <w:widowControl/>
        <w:rPr>
          <w:rFonts w:ascii="宋体" w:hAnsi="宋体" w:cs="宋体"/>
          <w:color w:val="auto"/>
          <w:sz w:val="24"/>
          <w:szCs w:val="20"/>
          <w:highlight w:val="none"/>
        </w:rPr>
      </w:pPr>
      <w:r/>
      <w:bookmarkStart w:id="115" w:name="_Toc513029233"/>
      <w:r/>
      <w:bookmarkStart w:id="116" w:name="_Toc16938549"/>
      <w:r/>
      <w:bookmarkStart w:id="117" w:name="_Toc20823305"/>
      <w:r>
        <w:rPr>
          <w:rFonts w:hint="eastAsia" w:ascii="宋体" w:hAnsi="宋体" w:cs="宋体"/>
          <w:color w:val="auto"/>
          <w:sz w:val="24"/>
          <w:szCs w:val="20"/>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投标人的澄清、说明或者补正不得超出投标文件的范围或者改变投标文件的实质性内容。</w:t>
      </w:r>
      <w:r/>
    </w:p>
    <w:p>
      <w:pPr>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评标委员会并非对每个投标人都做澄清要求。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24.3接到评委会澄清、说明和补正要求的投标人如未按规定做出澄清、说明和补正，其风险由投标人自行承担。</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25、对投标文件的初审</w:t>
      </w:r>
      <w:bookmarkEnd w:id="115"/>
      <w:r/>
      <w:bookmarkEnd w:id="116"/>
      <w:r/>
      <w:bookmarkEnd w:id="117"/>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25.1投标文件初审分为资格审查和符合性审查。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（2）大写金额和小写金额不一致的，以大写金额为准。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（4）总价金额与按单价汇总金额不一致的，以单价金额计算结果为准。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同时出现两种以上错误的，按照前款规定的顺序修正。</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widowControl/>
        <w:rPr>
          <w:rFonts w:ascii="宋体" w:hAnsi="宋体" w:cs="宋体"/>
          <w:color w:val="auto"/>
          <w:sz w:val="24"/>
          <w:szCs w:val="20"/>
          <w:highlight w:val="none"/>
        </w:rPr>
      </w:pPr>
      <w:r/>
      <w:bookmarkStart w:id="118" w:name="_Toc513029234"/>
      <w:r/>
      <w:bookmarkStart w:id="119" w:name="_Toc20823306"/>
      <w:r/>
      <w:bookmarkStart w:id="120" w:name="_Toc16938550"/>
      <w:r>
        <w:rPr>
          <w:rFonts w:hint="eastAsia" w:ascii="宋体" w:hAnsi="宋体" w:cs="宋体"/>
          <w:color w:val="auto"/>
          <w:sz w:val="24"/>
          <w:szCs w:val="20"/>
          <w:highlight w:val="none"/>
        </w:rPr>
        <w:t xml:space="preserve">25.6投标人在开、评标全过程中应保持通讯畅通，及时登录苏采云系统查阅、答复相关信息，并安排专人与采购中心及评标委员会联系。</w:t>
      </w:r>
      <w:bookmarkEnd w:id="118"/>
      <w:r/>
      <w:bookmarkEnd w:id="119"/>
      <w:r/>
      <w:bookmarkEnd w:id="120"/>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26、无效投标条款和废标条款</w:t>
      </w:r>
      <w:r/>
    </w:p>
    <w:p>
      <w:pPr>
        <w:ind w:firstLine="480"/>
        <w:jc w:val="left"/>
        <w:spacing w:line="560" w:lineRule="exact"/>
        <w:widowControl/>
        <w:rPr>
          <w:rFonts w:ascii="宋体" w:hAnsi="宋体" w:cs="宋体"/>
          <w:color w:val="auto"/>
          <w:sz w:val="24"/>
          <w:szCs w:val="20"/>
          <w:highlight w:val="none"/>
        </w:rPr>
      </w:pPr>
      <w:r/>
      <w:bookmarkStart w:id="121" w:name="_Toc20823307"/>
      <w:r/>
      <w:bookmarkStart w:id="122" w:name="_Toc513029235"/>
      <w:r/>
      <w:bookmarkStart w:id="123" w:name="_Toc16938551"/>
      <w:r>
        <w:rPr>
          <w:rFonts w:hint="eastAsia" w:ascii="宋体" w:hAnsi="宋体" w:cs="宋体"/>
          <w:color w:val="auto"/>
          <w:sz w:val="24"/>
          <w:szCs w:val="20"/>
          <w:highlight w:val="none"/>
        </w:rPr>
        <w:t xml:space="preserve">26.1无效投标条款</w:t>
      </w:r>
      <w:bookmarkEnd w:id="121"/>
      <w:r/>
      <w:bookmarkEnd w:id="122"/>
      <w:r/>
      <w:bookmarkEnd w:id="123"/>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26.1.1投标人在苏采云系统规定的时间内未成功解密电子投标文件的。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26.1.2投标人未按照招标文件要求上传电子投标文件的。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26.1.3同一投标人提交两个（含两个）以上不同的投标报价的。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26.1.4投标人不具备招标文件中规定资格要求的。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26.1.5投标人的报价超过了采购预算或最高限价的。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26.1.6未通过符合性审查的。</w:t>
      </w:r>
      <w:r/>
    </w:p>
    <w:p>
      <w:pPr>
        <w:ind w:firstLine="480"/>
        <w:jc w:val="left"/>
        <w:spacing w:line="560" w:lineRule="exact"/>
        <w:widowControl/>
        <w:rPr>
          <w:rFonts w:ascii="宋体" w:hAnsi="宋体" w:cs="宋体"/>
          <w:color w:val="auto"/>
          <w:highlight w:val="none"/>
        </w:rPr>
      </w:pPr>
      <w:r>
        <w:rPr>
          <w:rFonts w:hint="eastAsia" w:ascii="宋体" w:hAnsi="宋体" w:cs="宋体"/>
          <w:color w:val="auto"/>
          <w:sz w:val="24"/>
          <w:szCs w:val="20"/>
          <w:highlight w:val="none"/>
        </w:rPr>
        <w:t xml:space="preserve">26.1.7不符合招标文件中规定的实质性要求和条件的</w:t>
      </w:r>
      <w:r>
        <w:rPr>
          <w:rFonts w:hint="eastAsia" w:ascii="宋体" w:hAnsi="宋体" w:cs="宋体"/>
          <w:i/>
          <w:iCs/>
          <w:color w:val="auto"/>
          <w:sz w:val="24"/>
          <w:szCs w:val="20"/>
          <w:highlight w:val="none"/>
          <w:u w:val="single"/>
        </w:rPr>
        <w:t xml:space="preserve">（本招标文件中斜体且有下划线部分为实质性要求和条件）</w:t>
      </w:r>
      <w:r>
        <w:rPr>
          <w:rFonts w:hint="eastAsia" w:ascii="宋体" w:hAnsi="宋体" w:cs="宋体"/>
          <w:i/>
          <w:iCs/>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26.1.9投标文件含有采购人不能接受的附加条件的。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26.1.10投标人不能证明其报价合理性的，评标委员会应当将其作为无效投标处理。</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（一）评审过程中出现下列情形之一的，评标委员会应当启动异常低价投标审查程序：</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pStyle w:val="811"/>
        <w:ind w:firstLine="480"/>
        <w:jc w:val="both"/>
        <w:spacing w:beforeAutospacing="0" w:afterAutospacing="0" w:line="520" w:lineRule="exact"/>
        <w:rPr>
          <w:rFonts w:ascii="宋体" w:hAnsi="宋体" w:cs="宋体"/>
          <w:b/>
          <w:bCs/>
          <w:color w:val="auto"/>
          <w:highlight w:val="none"/>
          <w:u w:val="single"/>
        </w:rPr>
      </w:pPr>
      <w:r>
        <w:rPr>
          <w:rFonts w:hint="eastAsia" w:ascii="宋体" w:hAnsi="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811"/>
        <w:ind w:firstLine="480"/>
        <w:jc w:val="both"/>
        <w:spacing w:beforeAutospacing="0" w:afterAutospacing="0" w:line="520" w:lineRule="exact"/>
        <w:rPr>
          <w:rFonts w:ascii="宋体" w:hAnsi="宋体" w:cs="宋体"/>
          <w:b/>
          <w:bCs/>
          <w:color w:val="auto"/>
          <w:highlight w:val="none"/>
        </w:rPr>
      </w:pPr>
      <w:r>
        <w:rPr>
          <w:rFonts w:hint="eastAsia" w:ascii="宋体" w:hAnsi="宋体" w:cs="宋体"/>
          <w:b/>
          <w:bCs/>
          <w:color w:val="auto"/>
          <w:highlight w:val="none"/>
        </w:rPr>
        <w:t xml:space="preserve">相关法律法规对供应商报价有规定的，从其规定。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26.1.11投标文件未按照招标文件要求加盖CA电子公章的。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26.1.12其他法律、法规及本招标文件规定的属无效投标的情形。</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26.2废标条款</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26.2.2出现影响采购公正的违法、违规行为的。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26.2.3因重大变故，采购任务取消的。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26.2.4评标委员会认定招标文件存在歧义、重大缺陷导致评审工作无法进行。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26.2.5因苏采云系统系统故障原因造成开标不成功的。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26.3 投标截止时间结束后参加投标的供应商不足三家的处理：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widowControl/>
        <w:rPr>
          <w:rFonts w:ascii="宋体" w:hAnsi="宋体" w:cs="宋体"/>
          <w:b/>
          <w:bCs/>
          <w:color w:val="auto"/>
          <w:sz w:val="24"/>
          <w:szCs w:val="20"/>
          <w:highlight w:val="none"/>
        </w:rPr>
      </w:pPr>
      <w:r/>
      <w:bookmarkStart w:id="124" w:name="_Toc120614219"/>
      <w:r>
        <w:rPr>
          <w:rFonts w:hint="eastAsia" w:ascii="宋体" w:hAnsi="宋体" w:cs="宋体"/>
          <w:b/>
          <w:bCs/>
          <w:color w:val="auto"/>
          <w:sz w:val="24"/>
          <w:szCs w:val="20"/>
          <w:highlight w:val="none"/>
        </w:rPr>
        <w:t xml:space="preserve">六、定标</w:t>
      </w:r>
      <w:bookmarkEnd w:id="124"/>
      <w:r/>
      <w:r/>
    </w:p>
    <w:p>
      <w:pPr>
        <w:ind w:firstLine="480"/>
        <w:jc w:val="left"/>
        <w:spacing w:line="560" w:lineRule="exact"/>
        <w:widowControl/>
        <w:rPr>
          <w:rFonts w:ascii="宋体" w:hAnsi="宋体" w:cs="宋体"/>
          <w:b/>
          <w:bCs/>
          <w:color w:val="auto"/>
          <w:sz w:val="24"/>
          <w:szCs w:val="20"/>
          <w:highlight w:val="none"/>
        </w:rPr>
      </w:pPr>
      <w:r/>
      <w:bookmarkStart w:id="125" w:name="_Toc20823310"/>
      <w:r/>
      <w:bookmarkStart w:id="126" w:name="_Toc16938554"/>
      <w:r/>
      <w:bookmarkStart w:id="127" w:name="_Toc513029238"/>
      <w:r>
        <w:rPr>
          <w:rFonts w:hint="eastAsia" w:ascii="宋体" w:hAnsi="宋体" w:cs="宋体"/>
          <w:b/>
          <w:bCs/>
          <w:color w:val="auto"/>
          <w:sz w:val="24"/>
          <w:szCs w:val="20"/>
          <w:highlight w:val="none"/>
        </w:rPr>
        <w:t xml:space="preserve">27、</w:t>
      </w:r>
      <w:bookmarkEnd w:id="125"/>
      <w:r>
        <w:rPr>
          <w:rFonts w:hint="eastAsia" w:ascii="宋体" w:hAnsi="宋体" w:cs="宋体"/>
          <w:b/>
          <w:bCs/>
          <w:color w:val="auto"/>
          <w:sz w:val="24"/>
          <w:szCs w:val="20"/>
          <w:highlight w:val="none"/>
        </w:rPr>
        <w:t xml:space="preserve">确定</w:t>
      </w:r>
      <w:bookmarkEnd w:id="126"/>
      <w:r/>
      <w:bookmarkEnd w:id="127"/>
      <w:r>
        <w:rPr>
          <w:rFonts w:hint="eastAsia" w:ascii="宋体" w:hAnsi="宋体" w:cs="宋体"/>
          <w:b/>
          <w:bCs/>
          <w:color w:val="auto"/>
          <w:sz w:val="24"/>
          <w:szCs w:val="20"/>
          <w:highlight w:val="none"/>
        </w:rPr>
        <w:t xml:space="preserve">中标单位</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27.1中标候选人的选取原则和数量见招标文件第五章规定。 </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27.2采购人应根据评委会推荐的中标候选人确定中标人。</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27.3采购中心将在“中国政府采购网”、“江苏政府采购网”、“盐城市政府采购网”发布中标公告，公告期限为1个工作日。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27.4.1提供虚假材料谋取中标的。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27.4.2向采购人、采购中心行贿或者提供其他不正当利益的。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27.4.3属于本文件规定的无效条件，但在评标过程中又未被评委会发现的。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27.4.4与采购人或者其他供应商恶意串通的。</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27.4.5采取不正当手段诋毁、排挤其他供应商的。</w:t>
      </w:r>
      <w:r/>
    </w:p>
    <w:p>
      <w:pPr>
        <w:ind w:firstLine="480"/>
        <w:jc w:val="left"/>
        <w:spacing w:line="560" w:lineRule="exact"/>
        <w:widowControl/>
        <w:rPr>
          <w:rFonts w:ascii="宋体" w:hAnsi="宋体" w:cs="宋体"/>
          <w:color w:val="auto"/>
          <w:sz w:val="24"/>
          <w:szCs w:val="20"/>
          <w:highlight w:val="none"/>
        </w:rPr>
      </w:pPr>
      <w:r/>
      <w:bookmarkStart w:id="128" w:name="_Toc200451960"/>
      <w:r>
        <w:rPr>
          <w:rFonts w:hint="eastAsia" w:ascii="宋体" w:hAnsi="宋体" w:cs="宋体"/>
          <w:color w:val="auto"/>
          <w:sz w:val="24"/>
          <w:szCs w:val="20"/>
          <w:highlight w:val="none"/>
        </w:rPr>
        <w:t xml:space="preserve">27.5 有下列情形之一的，视为投标人串通投标，投标无效：</w:t>
      </w:r>
      <w:bookmarkEnd w:id="128"/>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27.5.1不同投标人的投标文件由同一单位或者个人编制。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27.5.2不同投标人委托同一单位或者个人办理投标事宜。</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27.5.3不同投标人的投标文件载明的项目管理成员或者联系人员为同一人。</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27.5.4不同投标人的投标文件异常一致或者投标报价呈规律性差异。</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28、质疑处理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28.2.2对采购过程提出质疑的，为各采购程序环节结束之日；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-86665052。</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 以下情形的质疑不予受理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28.5.1内容不符合《政府采购质疑和投诉办法》第十二条规定的质疑。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28.5.2超出政府采购法定期限的质疑。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28.5.3以传真、电子邮件等方式递交的非原件形式的质疑。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29、中标通知书</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widowControl/>
        <w:rPr>
          <w:rFonts w:ascii="宋体" w:hAnsi="宋体" w:cs="宋体"/>
          <w:b/>
          <w:bCs/>
          <w:color w:val="auto"/>
          <w:sz w:val="24"/>
          <w:szCs w:val="20"/>
          <w:highlight w:val="none"/>
        </w:rPr>
      </w:pPr>
      <w:r/>
      <w:bookmarkStart w:id="129" w:name="_Toc16938552"/>
      <w:r/>
      <w:bookmarkStart w:id="130" w:name="_Toc513029236"/>
      <w:r/>
      <w:bookmarkStart w:id="131" w:name="_Toc120614220"/>
      <w:r/>
      <w:bookmarkStart w:id="132" w:name="_Toc20823308"/>
      <w:r>
        <w:rPr>
          <w:rFonts w:hint="eastAsia" w:ascii="宋体" w:hAnsi="宋体" w:cs="宋体"/>
          <w:b/>
          <w:bCs/>
          <w:color w:val="auto"/>
          <w:sz w:val="24"/>
          <w:szCs w:val="20"/>
          <w:highlight w:val="none"/>
        </w:rPr>
        <w:t xml:space="preserve">七、授予合同</w:t>
      </w:r>
      <w:bookmarkEnd w:id="129"/>
      <w:r/>
      <w:bookmarkEnd w:id="130"/>
      <w:r/>
      <w:bookmarkEnd w:id="131"/>
      <w:r/>
      <w:bookmarkEnd w:id="132"/>
      <w:r/>
      <w:r/>
    </w:p>
    <w:p>
      <w:pPr>
        <w:ind w:firstLine="480"/>
        <w:jc w:val="left"/>
        <w:spacing w:line="560" w:lineRule="exact"/>
        <w:widowControl/>
        <w:rPr>
          <w:rFonts w:ascii="宋体" w:hAnsi="宋体" w:cs="宋体"/>
          <w:b/>
          <w:bCs/>
          <w:color w:val="auto"/>
          <w:sz w:val="24"/>
          <w:szCs w:val="20"/>
          <w:highlight w:val="none"/>
        </w:rPr>
      </w:pPr>
      <w:r/>
      <w:bookmarkStart w:id="133" w:name="_Toc513029237"/>
      <w:r/>
      <w:bookmarkStart w:id="134" w:name="_Toc16938553"/>
      <w:r/>
      <w:bookmarkStart w:id="135" w:name="_Toc20823309"/>
      <w:r>
        <w:rPr>
          <w:rFonts w:hint="eastAsia" w:ascii="宋体" w:hAnsi="宋体" w:cs="宋体"/>
          <w:b/>
          <w:bCs/>
          <w:color w:val="auto"/>
          <w:sz w:val="24"/>
          <w:szCs w:val="20"/>
          <w:highlight w:val="none"/>
        </w:rPr>
        <w:t xml:space="preserve">30.签订合同</w:t>
      </w:r>
      <w:bookmarkEnd w:id="133"/>
      <w:r/>
      <w:bookmarkEnd w:id="134"/>
      <w:r/>
      <w:bookmarkEnd w:id="135"/>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30.3签订合同后，</w:t>
      </w:r>
      <w:r>
        <w:rPr>
          <w:rFonts w:hint="eastAsia" w:ascii="宋体" w:hAnsi="宋体" w:cs="宋体"/>
          <w:i/>
          <w:iCs/>
          <w:color w:val="auto"/>
          <w:sz w:val="24"/>
          <w:szCs w:val="20"/>
          <w:highlight w:val="none"/>
          <w:u w:val="single"/>
        </w:rPr>
        <w:t xml:space="preserve">中标人不得将合同标的进行转包</w:t>
      </w:r>
      <w:r>
        <w:rPr>
          <w:rFonts w:hint="eastAsia" w:ascii="宋体" w:hAnsi="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31、服务（包含与服务相关的货物）的追加</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32、政府采购政策功能落实</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32.1政府采购线上合同信用融资政策</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w:t>
      </w:r>
      <w:r>
        <w:rPr>
          <w:rFonts w:hint="eastAsia" w:ascii="宋体" w:hAnsi="宋体" w:cs="宋体"/>
          <w:color w:val="auto"/>
          <w:sz w:val="24"/>
          <w:highlight w:val="none"/>
        </w:rPr>
        <w:t xml:space="preserve">省</w:t>
      </w:r>
      <w:r>
        <w:rPr>
          <w:rFonts w:ascii="宋体" w:hAnsi="宋体" w:cs="宋体"/>
          <w:color w:val="auto"/>
          <w:sz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32.2进口产品</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32.3中小企业、监狱企业及残疾人福利性单位</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32.3.1中小企业定义：</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中小企业是</w:t>
      </w:r>
      <w:r>
        <w:rPr>
          <w:rFonts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32.3.2供应商提供的货物、工程或者服务符合下列情形的，享受中小企业扶持政策：</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32.3.2.2在工程采购项目中，工程由中小企业承建，即工程施工单位为中小企业；</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32.3.6残疾人福利单位定义：享受政府采购支持政策的残疾人福利性单位应当同时满足以下条件：</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32.3.6.1安置的残疾人占本单位在职职工人数的比例不低于25%（含25%），并且安置的残疾人人数不少于10 人（含10 人）；</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32.3.6.2依法与安置的每位残疾人签订了一年以上（含一年）的劳动合同或服务协议；</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32.3.7本项目是否专门面向中小企业预留采购份额见第一章《招标公告》。</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32.3.8采购标的对应的中小企业划分标准所属行业见第四章《采购需求》。</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32.3.9小微企业价格评审优惠的政策：见第五章《评标方法和评标标准》。</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32.4政府采购节能产品、环境标志产品</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b/>
          <w:i/>
          <w:color w:val="auto"/>
          <w:sz w:val="24"/>
          <w:highlight w:val="none"/>
        </w:rPr>
        <w:t xml:space="preserve">如属政府强制采购产品未提供认证证书的或认证证书提供不全的将视为未实质性响应采购要求</w:t>
      </w:r>
      <w:r>
        <w:rPr>
          <w:rFonts w:ascii="宋体" w:hAnsi="宋体" w:cs="宋体"/>
          <w:i/>
          <w:color w:val="auto"/>
          <w:sz w:val="24"/>
          <w:highlight w:val="none"/>
        </w:rPr>
        <w:t xml:space="preserve">。</w:t>
      </w:r>
      <w:r>
        <w:rPr>
          <w:rFonts w:ascii="宋体" w:hAnsi="宋体" w:cs="宋体"/>
          <w:color w:val="auto"/>
          <w:sz w:val="24"/>
          <w:highlight w:val="none"/>
        </w:rPr>
        <w:t xml:space="preserve">其他条件相同情况下，应当优先采购节能产品、环境标志产品。</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32.5绿色包装</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32.6政府采购创新产品</w:t>
      </w:r>
      <w:r/>
    </w:p>
    <w:p>
      <w:pPr>
        <w:ind w:firstLine="478"/>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32.7绿色数据中心政策 </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本文件中若涉及到数据中心采购，采购人应依据《绿色数据中心政府采购需求标准（试行）》（财办库〔2023〕7号）文件精神</w:t>
      </w:r>
      <w:r>
        <w:rPr>
          <w:rFonts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rPr>
          <w:rFonts w:ascii="宋体" w:hAnsi="宋体" w:cs="宋体"/>
          <w:color w:val="auto"/>
          <w:sz w:val="24"/>
          <w:highlight w:val="none"/>
        </w:rPr>
      </w:pPr>
      <w:r/>
      <w:bookmarkStart w:id="136" w:name="_Toc161336373"/>
      <w:r>
        <w:rPr>
          <w:rFonts w:hint="eastAsia" w:ascii="宋体" w:hAnsi="宋体" w:cs="宋体"/>
          <w:color w:val="auto"/>
          <w:sz w:val="24"/>
          <w:highlight w:val="none"/>
        </w:rPr>
        <w:t xml:space="preserve">32.8实施本国产品标准及相关政策</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32.8.1本项目对采购本国产品给予政策支持，具体内容见招标文件“第五章评标方法与评标标准”。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tabs>
          <w:tab w:val="left" w:pos="1381" w:leader="none"/>
        </w:tabs>
        <w:rPr>
          <w:rFonts w:ascii="宋体" w:hAnsi="宋体" w:cs="宋体"/>
          <w:color w:val="auto"/>
          <w:sz w:val="24"/>
          <w:highlight w:val="none"/>
        </w:rPr>
      </w:pPr>
      <w:r>
        <w:rPr>
          <w:rFonts w:hint="eastAsia" w:ascii="宋体" w:hAnsi="宋体" w:cs="宋体"/>
          <w:color w:val="auto"/>
          <w:sz w:val="24"/>
          <w:highlight w:val="none"/>
        </w:rPr>
        <w:t xml:space="preserve">32.9履约保证金政策</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确需收取履约保证金的，履约保证金的缴纳形式：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33.预付款制度</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ind w:firstLine="480"/>
        <w:jc w:val="center"/>
        <w:spacing w:line="560" w:lineRule="exact"/>
        <w:widowControl/>
        <w:rPr>
          <w:rFonts w:ascii="黑体" w:hAnsi="黑体" w:eastAsia="黑体" w:cs="黑体"/>
          <w:bCs/>
          <w:color w:val="auto"/>
          <w:sz w:val="44"/>
          <w:szCs w:val="44"/>
          <w:highlight w:val="none"/>
        </w:rPr>
      </w:pPr>
      <w:r>
        <w:rPr>
          <w:rFonts w:hint="eastAsia" w:ascii="黑体" w:hAnsi="黑体" w:eastAsia="黑体" w:cs="黑体"/>
          <w:color w:val="auto"/>
          <w:sz w:val="44"/>
          <w:szCs w:val="44"/>
          <w:highlight w:val="none"/>
        </w:rPr>
        <w:t xml:space="preserve">第三章  合同文本</w:t>
      </w:r>
      <w:bookmarkEnd w:id="136"/>
      <w:r/>
      <w:r/>
    </w:p>
    <w:p>
      <w:pPr>
        <w:pStyle w:val="1002"/>
        <w:ind w:firstLine="480"/>
        <w:spacing w:line="560" w:lineRule="exact"/>
        <w:rPr>
          <w:rFonts w:ascii="宋体" w:hAnsi="宋体" w:cs="宋体"/>
          <w:color w:val="auto"/>
          <w:sz w:val="24"/>
          <w:szCs w:val="24"/>
          <w:highlight w:val="none"/>
        </w:rPr>
      </w:pPr>
      <w:r/>
      <w:bookmarkStart w:id="137" w:name="_Hlt16619369"/>
      <w:r/>
      <w:bookmarkEnd w:id="137"/>
      <w:r/>
      <w:bookmarkStart w:id="138" w:name="_Toc16938559"/>
      <w:r/>
      <w:bookmarkStart w:id="139" w:name="_Toc513029243"/>
      <w:r/>
      <w:bookmarkStart w:id="140" w:name="_Toc20823315"/>
      <w:r>
        <w:rPr>
          <w:rFonts w:hint="eastAsia" w:ascii="宋体" w:hAnsi="宋体" w:cs="宋体"/>
          <w:color w:val="auto"/>
          <w:sz w:val="24"/>
          <w:szCs w:val="24"/>
          <w:highlight w:val="none"/>
        </w:rPr>
        <w:t xml:space="preserve">以下为中标后签定本项目合同的通用条款，中标人不得提出实质性的修改。</w:t>
      </w:r>
      <w:r/>
    </w:p>
    <w:p>
      <w:pPr>
        <w:pStyle w:val="1002"/>
        <w:ind w:firstLine="1885"/>
        <w:spacing w:line="560" w:lineRule="exact"/>
        <w:rPr>
          <w:rFonts w:ascii="宋体" w:hAnsi="宋体" w:cs="宋体"/>
          <w:b/>
          <w:color w:val="auto"/>
          <w:sz w:val="30"/>
          <w:highlight w:val="none"/>
        </w:rPr>
      </w:pPr>
      <w:r>
        <w:rPr>
          <w:rFonts w:ascii="宋体" w:hAnsi="宋体" w:cs="宋体"/>
          <w:b/>
          <w:color w:val="auto"/>
          <w:sz w:val="30"/>
          <w:highlight w:val="none"/>
        </w:rPr>
      </w:r>
      <w:r/>
    </w:p>
    <w:p>
      <w:pPr>
        <w:pStyle w:val="1002"/>
        <w:ind w:firstLine="1885"/>
        <w:spacing w:line="560" w:lineRule="exact"/>
        <w:rPr>
          <w:rFonts w:ascii="宋体" w:hAnsi="宋体" w:cs="宋体"/>
          <w:b/>
          <w:color w:val="auto"/>
          <w:sz w:val="30"/>
          <w:highlight w:val="none"/>
        </w:rPr>
      </w:pPr>
      <w:r>
        <w:rPr>
          <w:rFonts w:ascii="宋体" w:hAnsi="宋体" w:cs="宋体"/>
          <w:b/>
          <w:color w:val="auto"/>
          <w:sz w:val="30"/>
          <w:highlight w:val="none"/>
        </w:rPr>
        <w:t xml:space="preserve">盐城市政府采购合同（服务）（合同编号）</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left="0" w:firstLine="480"/>
        <w:keepLines w:val="0"/>
        <w:keepNext w:val="0"/>
        <w:pageBreakBefore w:val="0"/>
        <w:spacing w:line="360" w:lineRule="auto"/>
        <w:rPr>
          <w:color w:val="auto"/>
          <w:highlight w:val="none"/>
          <w:u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none"/>
        </w:rPr>
        <w:t xml:space="preserve">项目名称：盐城市</w:t>
      </w:r>
      <w:r>
        <w:rPr>
          <w:rFonts w:hint="eastAsia" w:ascii="宋体" w:hAnsi="宋体" w:cs="宋体"/>
          <w:color w:val="auto"/>
          <w:sz w:val="24"/>
          <w:highlight w:val="none"/>
          <w:u w:val="none"/>
        </w:rPr>
        <w:t xml:space="preserve">妇幼保健院</w:t>
      </w:r>
      <w:r>
        <w:rPr>
          <w:rFonts w:ascii="宋体" w:hAnsi="宋体" w:cs="宋体"/>
          <w:color w:val="auto"/>
          <w:sz w:val="24"/>
          <w:highlight w:val="none"/>
          <w:u w:val="none"/>
        </w:rPr>
        <w:t xml:space="preserve">物业管理服务项目</w:t>
      </w:r>
      <w:r/>
    </w:p>
    <w:p>
      <w:pPr>
        <w:ind w:left="0" w:firstLine="480"/>
        <w:keepLines w:val="0"/>
        <w:keepNext w:val="0"/>
        <w:pageBreakBefore w:val="0"/>
        <w:spacing w:line="360" w:lineRule="auto"/>
        <w:rPr>
          <w:rFonts w:hint="default" w:eastAsia="宋体"/>
          <w:color w:val="auto"/>
          <w:highlight w:val="none"/>
          <w:u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none"/>
        </w:rPr>
        <w:t xml:space="preserve">项目编号：</w:t>
      </w:r>
      <w:r>
        <w:rPr>
          <w:rFonts w:hint="eastAsia" w:ascii="宋体" w:hAnsi="宋体" w:cs="宋体"/>
          <w:color w:val="auto"/>
          <w:sz w:val="24"/>
          <w:highlight w:val="none"/>
          <w:u w:val="none"/>
        </w:rPr>
        <w:t xml:space="preserve">JSZC-320900-JZCG-G2026-</w:t>
      </w:r>
      <w:r>
        <w:rPr>
          <w:rFonts w:hint="eastAsia" w:ascii="宋体" w:hAnsi="宋体" w:cs="宋体"/>
          <w:color w:val="auto"/>
          <w:sz w:val="24"/>
          <w:highlight w:val="none"/>
          <w:u w:val="none"/>
          <w:lang w:val="en-US" w:eastAsia="zh-CN"/>
        </w:rPr>
        <w:t xml:space="preserve">0042</w:t>
      </w:r>
      <w:r/>
    </w:p>
    <w:p>
      <w:pPr>
        <w:pStyle w:val="1002"/>
        <w:ind w:left="0" w:firstLine="480"/>
        <w:keepLines w:val="0"/>
        <w:keepNext w:val="0"/>
        <w:pageBreakBefore w:val="0"/>
        <w:spacing w:line="360" w:lineRule="auto"/>
        <w:rPr>
          <w:rFonts w:ascii="宋体" w:hAnsi="宋体" w:cs="宋体"/>
          <w:color w:val="auto"/>
          <w:sz w:val="24"/>
          <w:szCs w:val="20"/>
          <w:highlight w:val="none"/>
          <w:u w:val="none"/>
        </w:rPr>
      </w:pPr>
      <w:r>
        <w:rPr>
          <w:rFonts w:hint="eastAsia" w:ascii="宋体" w:hAnsi="宋体" w:cs="宋体"/>
          <w:color w:val="auto"/>
          <w:sz w:val="24"/>
          <w:szCs w:val="24"/>
          <w:highlight w:val="none"/>
          <w:u w:val="none"/>
        </w:rPr>
        <w:t xml:space="preserve">甲方：</w:t>
      </w:r>
      <w:r>
        <w:rPr>
          <w:rFonts w:hint="eastAsia" w:ascii="宋体" w:hAnsi="宋体" w:cs="宋体"/>
          <w:color w:val="auto"/>
          <w:sz w:val="24"/>
          <w:szCs w:val="20"/>
          <w:highlight w:val="none"/>
          <w:u w:val="none"/>
        </w:rPr>
        <w:t xml:space="preserve">盐城市妇幼保健院</w:t>
      </w:r>
      <w:r/>
    </w:p>
    <w:p>
      <w:pPr>
        <w:pStyle w:val="1002"/>
        <w:ind w:left="0"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bookmarkEnd w:id="138"/>
      <w:r/>
      <w:bookmarkEnd w:id="139"/>
      <w:r/>
      <w:bookmarkEnd w:id="140"/>
      <w:r/>
      <w:r/>
    </w:p>
    <w:p>
      <w:pPr>
        <w:pStyle w:val="1002"/>
        <w:ind w:left="0" w:firstLine="480"/>
        <w:keepLines w:val="0"/>
        <w:keepNext w:val="0"/>
        <w:pageBreakBefore w:val="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根据国家、地方有关物业管理法律、法规和政策及盐城市妇幼保健院物业服务管理项目公开招标的结果，在平等、自愿、协商一致的基础上，就甲方委托乙方对盐城市妇幼保健院物业管理服务，签署本合同，以便共同遵守执行。</w:t>
      </w:r>
      <w:r/>
    </w:p>
    <w:p>
      <w:pPr>
        <w:pStyle w:val="1002"/>
        <w:ind w:left="0"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第一条物业基本情况 </w:t>
      </w:r>
      <w:r>
        <w:rPr>
          <w:rFonts w:hint="eastAsia" w:ascii="宋体" w:hAnsi="宋体" w:cs="宋体"/>
          <w:b/>
          <w:bCs/>
          <w:color w:val="auto"/>
          <w:sz w:val="24"/>
          <w:szCs w:val="24"/>
          <w:highlight w:val="none"/>
        </w:rPr>
        <w:tab/>
      </w:r>
      <w:r/>
    </w:p>
    <w:p>
      <w:pPr>
        <w:pStyle w:val="1002"/>
        <w:ind w:left="0" w:firstLine="480"/>
        <w:keepLines w:val="0"/>
        <w:keepNext w:val="0"/>
        <w:pageBreakBefore w:val="0"/>
        <w:spacing w:line="360" w:lineRule="auto"/>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zh-CN"/>
        </w:rPr>
        <w:t xml:space="preserve">物业名称：盐城市妇幼保健院物业管理服务项目</w:t>
      </w:r>
      <w:r/>
    </w:p>
    <w:p>
      <w:pPr>
        <w:pStyle w:val="1002"/>
        <w:ind w:left="0" w:firstLine="480"/>
        <w:keepLines w:val="0"/>
        <w:keepNext w:val="0"/>
        <w:pageBreakBefore w:val="0"/>
        <w:spacing w:line="360" w:lineRule="auto"/>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zh-CN"/>
        </w:rPr>
        <w:t xml:space="preserve">座落位置：盐城市世纪大道东路31号</w:t>
      </w:r>
      <w:r/>
    </w:p>
    <w:p>
      <w:pPr>
        <w:pStyle w:val="1002"/>
        <w:ind w:left="0" w:firstLine="480"/>
        <w:keepLines w:val="0"/>
        <w:keepNext w:val="0"/>
        <w:pageBreakBefore w:val="0"/>
        <w:spacing w:line="360" w:lineRule="auto"/>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zh-CN"/>
        </w:rPr>
        <w:t xml:space="preserve">盐城市妇幼保健院项目占地面积166亩，建筑面积约126600平方米（其中：其中门诊医技楼4层，62627平方米；病房楼2幢，以连接廊连接，均为11层，合计37558平方米；附房3幢，均为2层，合计4700平方米；地下室18731平方米），设置床位400张。</w:t>
      </w:r>
      <w:r/>
    </w:p>
    <w:p>
      <w:pPr>
        <w:ind w:left="0"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第二条合同价款</w:t>
      </w:r>
      <w:r/>
    </w:p>
    <w:p>
      <w:pPr>
        <w:pStyle w:val="1002"/>
        <w:ind w:left="0" w:firstLine="480"/>
        <w:keepLines w:val="0"/>
        <w:keepNext w:val="0"/>
        <w:pageBreakBefore w:val="0"/>
        <w:spacing w:line="360" w:lineRule="auto"/>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zh-CN"/>
        </w:rPr>
        <w:t xml:space="preserve">本项目物业</w:t>
      </w:r>
      <w:r>
        <w:rPr>
          <w:rFonts w:hint="eastAsia" w:ascii="宋体" w:hAnsi="宋体" w:cs="宋体"/>
          <w:color w:val="auto"/>
          <w:sz w:val="24"/>
          <w:szCs w:val="20"/>
          <w:highlight w:val="none"/>
        </w:rPr>
        <w:t xml:space="preserve">管理</w:t>
      </w:r>
      <w:r>
        <w:rPr>
          <w:rFonts w:hint="eastAsia" w:ascii="宋体" w:hAnsi="宋体" w:cs="宋体"/>
          <w:color w:val="auto"/>
          <w:sz w:val="24"/>
          <w:szCs w:val="20"/>
          <w:highlight w:val="none"/>
          <w:lang w:val="zh-CN"/>
        </w:rPr>
        <w:t xml:space="preserve">服务费</w:t>
      </w:r>
      <w:r>
        <w:rPr>
          <w:rFonts w:hint="eastAsia" w:ascii="宋体" w:hAnsi="宋体" w:cs="宋体"/>
          <w:color w:val="auto"/>
          <w:sz w:val="24"/>
          <w:szCs w:val="20"/>
          <w:highlight w:val="none"/>
        </w:rPr>
        <w:t xml:space="preserve">两</w:t>
      </w:r>
      <w:r>
        <w:rPr>
          <w:rFonts w:hint="eastAsia" w:ascii="宋体" w:hAnsi="宋体" w:cs="宋体"/>
          <w:color w:val="auto"/>
          <w:sz w:val="24"/>
          <w:szCs w:val="20"/>
          <w:highlight w:val="none"/>
          <w:lang w:val="zh-CN"/>
        </w:rPr>
        <w:t xml:space="preserve">年总价为人民币（大写）：元整（</w:t>
      </w:r>
      <w:r>
        <w:rPr>
          <w:rFonts w:hint="eastAsia" w:ascii="宋体" w:hAnsi="宋体" w:cs="宋体"/>
          <w:color w:val="auto"/>
          <w:sz w:val="24"/>
          <w:szCs w:val="20"/>
          <w:highlight w:val="none"/>
        </w:rPr>
        <w:t xml:space="preserve">小写</w:t>
      </w:r>
      <w:r>
        <w:rPr>
          <w:rFonts w:hint="eastAsia" w:ascii="宋体" w:hAnsi="宋体" w:cs="宋体"/>
          <w:color w:val="auto"/>
          <w:sz w:val="24"/>
          <w:szCs w:val="20"/>
          <w:highlight w:val="none"/>
          <w:lang w:val="zh-CN"/>
        </w:rPr>
        <w:t xml:space="preserve">¥：元）。</w:t>
      </w:r>
      <w:r/>
    </w:p>
    <w:p>
      <w:pPr>
        <w:pStyle w:val="1002"/>
        <w:ind w:left="0" w:firstLine="480"/>
        <w:keepLines w:val="0"/>
        <w:keepNext w:val="0"/>
        <w:pageBreakBefore w:val="0"/>
        <w:spacing w:line="360" w:lineRule="auto"/>
        <w:rPr>
          <w:rFonts w:ascii="宋体" w:hAnsi="宋体" w:cs="宋体"/>
          <w:color w:val="0000ff"/>
          <w:sz w:val="24"/>
          <w:szCs w:val="20"/>
          <w:highlight w:val="none"/>
        </w:rPr>
      </w:pPr>
      <w:r>
        <w:rPr>
          <w:rFonts w:hint="eastAsia" w:ascii="宋体" w:hAnsi="宋体" w:cs="宋体"/>
          <w:color w:val="auto"/>
          <w:sz w:val="24"/>
          <w:szCs w:val="20"/>
          <w:highlight w:val="none"/>
          <w:lang w:val="zh-CN"/>
        </w:rPr>
        <w:t xml:space="preserve">2</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zh-CN"/>
        </w:rPr>
        <w:t xml:space="preserve">合同价应包括人员工资、社保费、办公费、工作所需的保洁工具及耗材、法定税费及公众责任保险费和合理利润外，还应包括：管理、劳务、培训、体检、国家法定假日加班、高温补助、服装、风险、税金及政策性文件规定等各项应有费用，以及为完成招标文件规定服务工作所涉及的一切相关费用。</w:t>
      </w:r>
      <w:r>
        <w:rPr>
          <w:rFonts w:hint="eastAsia" w:ascii="宋体" w:hAnsi="宋体" w:cs="宋体"/>
          <w:color w:val="0000ff"/>
          <w:sz w:val="24"/>
          <w:szCs w:val="20"/>
          <w:highlight w:val="none"/>
          <w:lang w:val="zh-CN"/>
        </w:rPr>
        <w:t xml:space="preserve">合同期内遇政府调整职工最低工资标准或社会保险缴纳基数，</w:t>
      </w:r>
      <w:r>
        <w:rPr>
          <w:rFonts w:hint="eastAsia" w:ascii="宋体" w:hAnsi="宋体" w:cs="宋体"/>
          <w:color w:val="0000ff"/>
          <w:sz w:val="24"/>
          <w:szCs w:val="20"/>
          <w:highlight w:val="none"/>
        </w:rPr>
        <w:t xml:space="preserve">合同价</w:t>
      </w:r>
      <w:r>
        <w:rPr>
          <w:rFonts w:hint="eastAsia" w:ascii="宋体" w:hAnsi="宋体" w:cs="宋体"/>
          <w:color w:val="0000ff"/>
          <w:sz w:val="24"/>
          <w:szCs w:val="20"/>
          <w:highlight w:val="none"/>
          <w:lang w:val="zh-CN"/>
        </w:rPr>
        <w:t xml:space="preserve">不调整，增加的费用由乙方承担，甲方不承担增加此项费用的义务。</w:t>
      </w:r>
      <w:r/>
    </w:p>
    <w:p>
      <w:pPr>
        <w:ind w:left="0"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第三条委托管理期限</w:t>
      </w:r>
      <w:r/>
    </w:p>
    <w:p>
      <w:pPr>
        <w:ind w:left="0" w:firstLine="480"/>
        <w:keepLines w:val="0"/>
        <w:keepNext w:val="0"/>
        <w:pageBreakBefore w:val="0"/>
        <w:spacing w:line="360" w:lineRule="auto"/>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委托管理期限为</w:t>
      </w: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val="zh-CN"/>
        </w:rPr>
        <w:t xml:space="preserve">年，自</w:t>
      </w:r>
      <w:r>
        <w:rPr>
          <w:rFonts w:hint="eastAsia" w:ascii="宋体" w:hAnsi="宋体" w:cs="宋体"/>
          <w:color w:val="auto"/>
          <w:sz w:val="24"/>
          <w:szCs w:val="20"/>
          <w:highlight w:val="none"/>
        </w:rPr>
        <w:t xml:space="preserve">2026</w:t>
      </w:r>
      <w:r>
        <w:rPr>
          <w:rFonts w:hint="eastAsia" w:ascii="宋体" w:hAnsi="宋体" w:cs="宋体"/>
          <w:color w:val="auto"/>
          <w:sz w:val="24"/>
          <w:szCs w:val="20"/>
          <w:highlight w:val="none"/>
          <w:lang w:val="zh-CN"/>
        </w:rPr>
        <w:t xml:space="preserve">年月日至年月日止。</w:t>
      </w:r>
      <w:r/>
    </w:p>
    <w:p>
      <w:pPr>
        <w:ind w:left="0" w:firstLine="482"/>
        <w:jc w:val="left"/>
        <w:keepLines w:val="0"/>
        <w:keepNext w:val="0"/>
        <w:pageBreakBefore w:val="0"/>
        <w:spacing w:line="360" w:lineRule="auto"/>
        <w:widowControl/>
        <w:rPr>
          <w:rFonts w:ascii="宋体" w:hAnsi="宋体" w:cs="宋体"/>
          <w:b/>
          <w:bCs/>
          <w:color w:val="auto"/>
          <w:sz w:val="24"/>
          <w:szCs w:val="20"/>
          <w:highlight w:val="none"/>
        </w:rPr>
      </w:pPr>
      <w:r>
        <w:rPr>
          <w:rFonts w:hint="eastAsia" w:ascii="宋体" w:hAnsi="宋体" w:cs="宋体"/>
          <w:b/>
          <w:bCs/>
          <w:color w:val="auto"/>
          <w:sz w:val="24"/>
          <w:highlight w:val="none"/>
        </w:rPr>
        <w:t xml:space="preserve">第四条</w:t>
      </w:r>
      <w:r>
        <w:rPr>
          <w:rFonts w:hint="eastAsia" w:ascii="宋体" w:hAnsi="宋体" w:cs="宋体"/>
          <w:b/>
          <w:bCs/>
          <w:color w:val="auto"/>
          <w:sz w:val="24"/>
          <w:szCs w:val="20"/>
          <w:highlight w:val="none"/>
        </w:rPr>
        <w:t xml:space="preserve">委托管理事项</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本合同中委托管理范围包含但不限于：卫生保洁，病员陪检，标本送样，物资配送，被服洗涤、水电维修，后勤运行设备值班，控虫灭鼠除“四害”，室外绿化景观维护等后勤服务及甲方要求的其他服务等。</w:t>
      </w:r>
      <w:r>
        <w:rPr>
          <w:rFonts w:hint="eastAsia"/>
          <w:color w:val="auto"/>
          <w:sz w:val="24"/>
          <w:highlight w:val="none"/>
        </w:rPr>
        <w:t xml:space="preserve">具体详见招标文件项目需求。</w:t>
      </w:r>
      <w:r/>
    </w:p>
    <w:p>
      <w:pPr>
        <w:ind w:left="0" w:firstLine="482"/>
        <w:jc w:val="left"/>
        <w:keepLines w:val="0"/>
        <w:keepNext w:val="0"/>
        <w:pageBreakBefore w:val="0"/>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第五条付款方式</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预付款支付比例：合同签订后30日内，甲方收到发票10个工作日内支付合同金额的30%。</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付款方式：按月计付物业服务费，乙方提供发票后10个工作日内，甲方支付费用（预付款应在前3次付款前抵扣，扣完为止）。</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注：服务期内，如医院有增加人员或病区(超出合同服务范围的)，结算时可以按相同的报价结算，但增加金额不超过原合同金额的10%。</w:t>
      </w:r>
      <w:r/>
    </w:p>
    <w:p>
      <w:pPr>
        <w:ind w:left="0" w:firstLine="482"/>
        <w:keepLines w:val="0"/>
        <w:keepNext w:val="0"/>
        <w:pageBreakBefore w:val="0"/>
        <w:spacing w:line="360" w:lineRule="auto"/>
        <w:rPr>
          <w:rFonts w:ascii="宋体" w:hAnsi="宋体" w:cs="宋体"/>
          <w:color w:val="auto"/>
          <w:szCs w:val="28"/>
          <w:highlight w:val="none"/>
        </w:rPr>
      </w:pPr>
      <w:r>
        <w:rPr>
          <w:rFonts w:hint="eastAsia" w:ascii="宋体" w:hAnsi="宋体" w:cs="宋体"/>
          <w:b/>
          <w:bCs/>
          <w:color w:val="auto"/>
          <w:sz w:val="24"/>
          <w:highlight w:val="none"/>
        </w:rPr>
        <w:t xml:space="preserve">第六条甲方的权利</w:t>
      </w:r>
      <w:r>
        <w:rPr>
          <w:rFonts w:hint="eastAsia" w:ascii="宋体" w:hAnsi="宋体" w:cs="宋体"/>
          <w:b/>
          <w:bCs/>
          <w:color w:val="auto"/>
          <w:sz w:val="24"/>
          <w:szCs w:val="20"/>
          <w:highlight w:val="none"/>
        </w:rPr>
        <w:t xml:space="preserve">和</w:t>
      </w:r>
      <w:r>
        <w:rPr>
          <w:rFonts w:hint="eastAsia" w:ascii="宋体" w:hAnsi="宋体" w:cs="宋体"/>
          <w:b/>
          <w:bCs/>
          <w:color w:val="auto"/>
          <w:sz w:val="24"/>
          <w:highlight w:val="none"/>
        </w:rPr>
        <w:t xml:space="preserve">义务</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甲方有权对乙方进行业务指导、督查。</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审定乙方拟定的物业管理制度。</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检查、监督乙方管理工作的实施及有关物管制度的执行情况。</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向乙方提供管理运作所需的办公室。</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水电维修所需耗材由甲方承担，乙方根据维修需要向甲方申领。</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协助乙方做好物业管理工作，对乙方主要物管费用的使用情况有知情权、建议权。</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甲方每月对乙方的服务情况进行考核。具体考核要求详见附件。</w:t>
      </w:r>
      <w:r/>
    </w:p>
    <w:p>
      <w:pPr>
        <w:ind w:left="0" w:firstLine="480"/>
        <w:keepLines w:val="0"/>
        <w:keepNext w:val="0"/>
        <w:pageBreakBefore w:val="0"/>
        <w:spacing w:line="360" w:lineRule="auto"/>
        <w:tabs>
          <w:tab w:val="left" w:pos="8474" w:leader="none"/>
        </w:tabs>
        <w:rPr>
          <w:rFonts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甲方在下列情况下可解除或终止与乙方签订的协议，不视为违约：</w:t>
      </w:r>
      <w:r>
        <w:rPr>
          <w:rFonts w:hint="eastAsia" w:ascii="宋体" w:hAnsi="宋体"/>
          <w:color w:val="auto"/>
          <w:sz w:val="24"/>
          <w:highlight w:val="none"/>
        </w:rPr>
        <w:tab/>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（1）乙方连续三次满意度考核低于80分，乙方应立即整改，否则甲方有权终止合同。</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（2）遇有国家或地方政府的政策原因或医院重大决策调整以及发生不可抗力因素，甲方有权解除与乙方签订的协议，所造成的损失由双方协商解决。</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法律法规规定的应由甲方承担的其他责任。</w:t>
      </w:r>
      <w:r/>
    </w:p>
    <w:p>
      <w:pPr>
        <w:ind w:left="0" w:firstLine="482"/>
        <w:keepLines w:val="0"/>
        <w:keepNext w:val="0"/>
        <w:pageBreakBefore w:val="0"/>
        <w:spacing w:line="360" w:lineRule="auto"/>
        <w:rPr>
          <w:rFonts w:ascii="宋体" w:hAnsi="宋体" w:cs="宋体"/>
          <w:color w:val="auto"/>
          <w:szCs w:val="28"/>
          <w:highlight w:val="none"/>
        </w:rPr>
      </w:pPr>
      <w:r>
        <w:rPr>
          <w:rFonts w:hint="eastAsia" w:ascii="宋体" w:hAnsi="宋体" w:cs="宋体"/>
          <w:b/>
          <w:bCs/>
          <w:color w:val="auto"/>
          <w:sz w:val="24"/>
          <w:highlight w:val="none"/>
        </w:rPr>
        <w:t xml:space="preserve">第七条乙方的权利</w:t>
      </w:r>
      <w:r>
        <w:rPr>
          <w:rFonts w:hint="eastAsia" w:ascii="宋体" w:hAnsi="宋体" w:cs="宋体"/>
          <w:b/>
          <w:bCs/>
          <w:color w:val="auto"/>
          <w:sz w:val="24"/>
          <w:szCs w:val="20"/>
          <w:highlight w:val="none"/>
        </w:rPr>
        <w:t xml:space="preserve">和</w:t>
      </w:r>
      <w:r>
        <w:rPr>
          <w:rFonts w:hint="eastAsia" w:ascii="宋体" w:hAnsi="宋体" w:cs="宋体"/>
          <w:b/>
          <w:bCs/>
          <w:color w:val="auto"/>
          <w:sz w:val="24"/>
          <w:highlight w:val="none"/>
        </w:rPr>
        <w:t xml:space="preserve">义务</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制定物业管理制度，加强管理，严格认真的定期督查考核，并征求甲方管理人员意见。</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物业服务人员均由乙方招聘、管理和使用，工资、福利待遇等均由乙方负责。根据《中华人民共和国劳动法》、《中华人民共和国劳动合同法》等法律法规的规定，乙方自行缴纳在甲方服务人员的各项社会保险费用并发放按国家享有各种福利待遇。</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特殊工种人员必须经过培训并具备相应资格证书，培训费用由乙方承担。</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乙方在本物业的主要负责人（含主管）须符合招标文件规定的条件。所有管理岗位人员必须达到规定的资格要求，甲方有权要求乙方对不符合条件的乙方人员予以调整。</w:t>
      </w:r>
      <w:r/>
    </w:p>
    <w:p>
      <w:pPr>
        <w:ind w:left="0" w:firstLine="480"/>
        <w:keepLines w:val="0"/>
        <w:keepNext w:val="0"/>
        <w:pageBreakBefore w:val="0"/>
        <w:spacing w:line="360" w:lineRule="auto"/>
        <w:rPr>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乙方不得将本物业的管理服务责任转让给第三方，不得与任何一家物业服务公司进行合作管理本物业。</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对本物业公共设施不得擅自占用和改变使用功能，如需改变用途，须报甲方批准。</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乙方在工作期间必须节约和使用耗材，杜绝浪费，对甲方相关房屋、设备、家具等人为造成损坏或由于工作不到位等原因造成甲方财产损失的要依法赔偿，并追究相关人员责任。</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乙方工作人员要统一着装，所有人员一律挂牌上岗。</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乙方服务人员必须文明服务、安全操作，所有服务人员的人身安全和经济责任，均由乙方负责。</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10</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物业服务所需机械设备、设施由乙方自行提供。</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乙方服务人员必须遵纪守法，同时遵守医院相关规定，如出现违纪违规的行为，乙方负责教育和处理，并承担相应经济和法律责任。</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乙方应加强对员工的教育管理，员工如出现违规、违纪行为，造成纠纷、财产损失、人员伤亡的，乙方负全部责任。</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接受盐城市业务主管部门及政府有关部门的监督指导，遵守甲方的管理制度，服从甲方整体管理。</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如某个岗位人员流动造成此岗位空缺的，乙方须在7日内安排合格人员到岗，否则甲方有权直接安排人员到岗，甲方直接安排该人员工资，直接从合同价款扣除。同时须承担5000元的违约金。</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法律法规规定的应由乙方承担的其他责任。</w:t>
      </w: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16</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本合同终止后，乙方必须向甲方移交全部服务用房及物业管理服务的全部档案资料，甲方不负责乙方招聘人员的安排和补偿。</w:t>
      </w:r>
      <w:r/>
    </w:p>
    <w:p>
      <w:pPr>
        <w:ind w:left="0"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第八条物业管理用房</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s="宋体"/>
          <w:color w:val="auto"/>
          <w:sz w:val="24"/>
          <w:highlight w:val="none"/>
        </w:rPr>
        <w:t xml:space="preserve">甲方按照有关规定，向乙方提供固定的物业管理用房。其中包括：物业管理企业的办公用房、值班用房等；</w:t>
      </w: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s="宋体"/>
          <w:color w:val="auto"/>
          <w:sz w:val="24"/>
          <w:highlight w:val="none"/>
        </w:rPr>
        <w:t xml:space="preserve">物业管理用房属甲方所有，由乙方在本合同期限内无偿使用，但不得改变其用途。本合同终止时，乙方应当将物业管理用房、物业管理相关资料等及时如数地移交给甲方。</w:t>
      </w:r>
      <w:r/>
    </w:p>
    <w:p>
      <w:pPr>
        <w:ind w:left="0" w:firstLine="482"/>
        <w:jc w:val="left"/>
        <w:keepLines w:val="0"/>
        <w:keepNext w:val="0"/>
        <w:pageBreakBefore w:val="0"/>
        <w:spacing w:line="360" w:lineRule="auto"/>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第九条合同的构成</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本合同书；</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本招标文件；</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成交供应商投标文件；</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医院物业管理服务考核办法；</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国家相关法律法规。</w:t>
      </w:r>
      <w:r/>
    </w:p>
    <w:p>
      <w:pPr>
        <w:ind w:left="0" w:firstLine="482"/>
        <w:keepLines w:val="0"/>
        <w:keepNext w:val="0"/>
        <w:pageBreakBefore w:val="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第十条违约责任 </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因甲方违反本合同第四条，造成乙方未完成规定管理目标或直接造成经济损失的，乙方可要求甲方限期整改或终止合同，并有权要求甲方给予赔偿。</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szCs w:val="20"/>
          <w:highlight w:val="none"/>
        </w:rPr>
        <w:t xml:space="preserve">2</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乙方在合同期内如未完全按照招标文件要求或投标文件承诺进行服务的，视为中标人未能履行合同，甲方可要求乙方限期整改，如整改不到位或拒绝整改的，甲方有权终止合同，并要求中标人立即退场，中标人须无条件服从。</w:t>
      </w:r>
      <w:r/>
    </w:p>
    <w:p>
      <w:p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szCs w:val="20"/>
          <w:highlight w:val="none"/>
        </w:rPr>
        <w:t xml:space="preserve">3</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因乙方违反本合同第五条，造成未完成管理目标或直接造成甲方经济损失的，甲方可要求乙方限期整改或终止合同，并有权要求乙方给予赔偿。</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在合同期内，乙方的项目负责人（项目经理）要保持相对稳定，不得随意调整或更换，确需调整或更换时，必须经过甲方同意后方可进行；甲方发现有擅自调整或更换的，扣履约保证金10%。</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如果乙方未能按合同、招标投标文件履约的，擅自转包和分包的，发生违法、违规行为或责任事故的，甲方有权单方面终止合同，履约保证金不予退还，并不支付服务期间的物业服务费用；乙方承担完全责任，包括赔偿因此而给本单位及第三人带来的相应损失。</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甲乙双方任何一方均不得无正当理由提前变更或解除合同。 如乙方无正当理由退场，扣除全部履约保证金，并赔偿给甲方造成的实际损失；如因甲方原因，甲方提出提前解约，除全额退还乙方所缴纳的履约保证金外，还需赔偿乙方一倍的履约保证金。</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合同履行期间，如遇不可抗力的因素造成经济损失的，双方应相互体谅，协调处理善后事宜。乙方如果违反招标文件第二章投标人须知部分第12.4条义务，且政府或任何第三方因此追究甲方责任的，则甲方有权将乙方的行为视为根本违约，甲方有权要求乙方立即整改，乙方拒绝整改到位的，甲方有权单方面终止合同并且向乙方主张因此而导致的损失。</w:t>
      </w:r>
      <w:r/>
    </w:p>
    <w:p>
      <w:pPr>
        <w:ind w:left="0"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第十一条履约保证金</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olor w:val="auto"/>
          <w:sz w:val="24"/>
          <w:highlight w:val="none"/>
          <w:lang w:val="en-US" w:eastAsia="zh-CN"/>
        </w:rPr>
        <w:t xml:space="preserve">.</w:t>
      </w:r>
      <w:r>
        <w:rPr>
          <w:rFonts w:ascii="宋体" w:hAnsi="宋体" w:cs="宋体"/>
          <w:color w:val="auto"/>
          <w:sz w:val="24"/>
          <w:highlight w:val="none"/>
        </w:rPr>
        <w:t xml:space="preserve">乙方交纳人民币</w:t>
      </w:r>
      <w:r>
        <w:rPr>
          <w:rFonts w:eastAsia="Times New Roman"/>
          <w:color w:val="auto"/>
          <w:sz w:val="24"/>
          <w:highlight w:val="none"/>
        </w:rPr>
        <w:t xml:space="preserve">_________</w:t>
      </w:r>
      <w:r>
        <w:rPr>
          <w:rFonts w:ascii="宋体" w:hAnsi="宋体" w:cs="宋体"/>
          <w:color w:val="auto"/>
          <w:sz w:val="24"/>
          <w:highlight w:val="none"/>
        </w:rPr>
        <w:t xml:space="preserve">元作为本合同的履约保证金。</w:t>
      </w:r>
      <w:r/>
    </w:p>
    <w:p>
      <w:pPr>
        <w:ind w:left="0"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（备注：合同金额</w:t>
      </w:r>
      <w:r>
        <w:rPr>
          <w:rFonts w:eastAsia="Times New Roman"/>
          <w:color w:val="auto"/>
          <w:sz w:val="24"/>
          <w:highlight w:val="none"/>
        </w:rPr>
        <w:t xml:space="preserve">10%</w:t>
      </w:r>
      <w:r>
        <w:rPr>
          <w:rFonts w:ascii="宋体" w:hAnsi="宋体" w:cs="宋体"/>
          <w:color w:val="auto"/>
          <w:sz w:val="24"/>
          <w:highlight w:val="none"/>
        </w:rPr>
        <w:t xml:space="preserve">，采购人对</w:t>
      </w:r>
      <w:r>
        <w:rPr>
          <w:rFonts w:eastAsia="Times New Roman"/>
          <w:color w:val="auto"/>
          <w:sz w:val="24"/>
          <w:highlight w:val="none"/>
        </w:rPr>
        <w:t xml:space="preserve">AA</w:t>
      </w:r>
      <w:r>
        <w:rPr>
          <w:rFonts w:ascii="宋体" w:hAnsi="宋体" w:cs="宋体"/>
          <w:color w:val="auto"/>
          <w:sz w:val="24"/>
          <w:highlight w:val="none"/>
        </w:rPr>
        <w:t xml:space="preserve">评级及以上政府采购供应商（需提供信用管理部门备案的第三方信用报告）降低履约保证金缴纳比例至</w:t>
      </w:r>
      <w:r>
        <w:rPr>
          <w:rFonts w:eastAsia="Times New Roman"/>
          <w:color w:val="auto"/>
          <w:sz w:val="24"/>
          <w:highlight w:val="none"/>
        </w:rPr>
        <w:t xml:space="preserve">5%</w:t>
      </w:r>
      <w:r>
        <w:rPr>
          <w:rFonts w:ascii="宋体" w:hAnsi="宋体" w:cs="宋体"/>
          <w:color w:val="auto"/>
          <w:sz w:val="24"/>
          <w:highlight w:val="none"/>
        </w:rPr>
        <w:t xml:space="preserve">。）</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确需收取履约保证金的，履约保证金的缴纳形式：</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 如以履约保函（保险）形式缴纳履约保证金，供应商可通过政府采购电子履约保函（保险）平台（www.jsdzbh.com）在线申请履约保函（保险）。</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合同履行结束后，甲方应及时退还交纳的履约保证金。</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履约保证金的退还：</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4.1方式：无息退还至乙方缴纳履约保证金的账户。如为保函，在到期时自行失效。</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4.2时间：验收合格且甲方收到发票后30日内。</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4.3条件：按合同要求全部履约完成并经甲方验收合格，且甲方收到乙方出具的发票。</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4.4不予退还情形：</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除不可抗力情况外，乙方出现下列情形之一的，其履约保证金，甲方将视情节决定不予退还或部分不予退还。</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（1）乙方无正当理由拒绝签订合同的，或者在签订合同时向甲方提出附加条件或者更改合同实质性内容要求的；</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（2）乙方不履行与甲方订立的合同的；</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（3）乙方所供货物或服务不符合招标文件规定要求的；</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（4）乙方采取欺骗、弄虚作假方式投标的或与其它投标人串通投标的；</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（5）乙方将合同内容转包、违法分包的；</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（6）乙方故意捏造事实或伪造证明材料，进行虚假恶意投诉或反映的。  </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4.5逾期退还的违约责任：采购人逾期无故未退还履约保证金的，按中国人民银行</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同期贷款基准利率上浮20%后的利率支付超期资金占用费，但因供应商自身原因导致无法及时退还的除外。</w:t>
      </w:r>
      <w:r/>
    </w:p>
    <w:p>
      <w:pPr>
        <w:ind w:left="0" w:firstLine="482"/>
        <w:keepLines w:val="0"/>
        <w:keepNext w:val="0"/>
        <w:pageBreakBefore w:val="0"/>
        <w:spacing w:line="360" w:lineRule="auto"/>
        <w:rPr>
          <w:rFonts w:hint="default" w:ascii="宋体" w:hAnsi="宋体" w:eastAsia="宋体" w:cs="宋体"/>
          <w:b/>
          <w:bCs/>
          <w:color w:val="auto"/>
          <w:sz w:val="24"/>
          <w:highlight w:val="none"/>
          <w:lang w:val="en-US" w:eastAsia="zh-CN"/>
        </w:rPr>
      </w:pPr>
      <w:r/>
      <w:bookmarkStart w:id="160" w:name="_GoBack"/>
      <w:r>
        <w:rPr>
          <w:rFonts w:hint="eastAsia" w:ascii="宋体" w:hAnsi="宋体" w:cs="宋体"/>
          <w:b/>
          <w:bCs/>
          <w:color w:val="auto"/>
          <w:sz w:val="24"/>
          <w:highlight w:val="none"/>
          <w:lang w:val="en-US" w:eastAsia="zh-CN"/>
        </w:rPr>
        <w:t xml:space="preserve">第十二条履约验收</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 验收主体与依据</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甲方为履约验收责任主体，由甲方总务、院感、医务、护理等科室组成验收小组，负责全周期履约验收；乙方须全程配合，完整提供台账、记录、人员资质、设备</w:t>
      </w:r>
      <w:r>
        <w:rPr>
          <w:rFonts w:hint="eastAsia" w:ascii="宋体" w:hAnsi="宋体" w:cs="宋体"/>
          <w:b w:val="0"/>
          <w:bCs w:val="0"/>
          <w:color w:val="auto"/>
          <w:sz w:val="24"/>
          <w:highlight w:val="none"/>
          <w:lang w:val="en-US" w:eastAsia="zh-CN"/>
        </w:rPr>
        <w:t xml:space="preserve">耗材使用</w:t>
      </w:r>
      <w:r>
        <w:rPr>
          <w:rFonts w:hint="eastAsia" w:ascii="宋体" w:hAnsi="宋体" w:cs="宋体"/>
          <w:b w:val="0"/>
          <w:bCs w:val="0"/>
          <w:color w:val="auto"/>
          <w:sz w:val="24"/>
          <w:highlight w:val="none"/>
        </w:rPr>
        <w:t xml:space="preserve">清单、培训资料、整改回执等全部验收资料。</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验收依据：本合同、招标文件、乙方投标文件、《盐城市妇幼保健院物业考核表》、《医院消毒卫生标准》</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《医院医用织物洗涤消毒技术规范》、三级妇幼保健院评审标准</w:t>
      </w:r>
      <w:r>
        <w:rPr>
          <w:rFonts w:hint="eastAsia" w:ascii="宋体" w:hAnsi="宋体" w:cs="宋体"/>
          <w:b w:val="0"/>
          <w:bCs w:val="0"/>
          <w:color w:val="auto"/>
          <w:sz w:val="24"/>
          <w:highlight w:val="none"/>
          <w:lang w:val="en-US" w:eastAsia="zh-CN"/>
        </w:rPr>
        <w:t xml:space="preserve">等</w:t>
      </w:r>
      <w:r>
        <w:rPr>
          <w:rFonts w:hint="eastAsia" w:ascii="宋体" w:hAnsi="宋体" w:cs="宋体"/>
          <w:b w:val="0"/>
          <w:bCs w:val="0"/>
          <w:color w:val="auto"/>
          <w:sz w:val="24"/>
          <w:highlight w:val="none"/>
        </w:rPr>
        <w:t xml:space="preserve">相关规范。</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验收分为月度过程验收、年度阶段性总验收</w:t>
      </w:r>
      <w:r>
        <w:rPr>
          <w:rFonts w:hint="eastAsia" w:ascii="宋体" w:hAnsi="宋体" w:cs="宋体"/>
          <w:b w:val="0"/>
          <w:bCs w:val="0"/>
          <w:color w:val="auto"/>
          <w:sz w:val="24"/>
          <w:highlight w:val="none"/>
          <w:lang w:val="en-US" w:eastAsia="zh-CN"/>
        </w:rPr>
        <w:t xml:space="preserve">两</w:t>
      </w:r>
      <w:r>
        <w:rPr>
          <w:rFonts w:hint="eastAsia" w:ascii="宋体" w:hAnsi="宋体" w:cs="宋体"/>
          <w:b w:val="0"/>
          <w:bCs w:val="0"/>
          <w:color w:val="auto"/>
          <w:sz w:val="24"/>
          <w:highlight w:val="none"/>
        </w:rPr>
        <w:t xml:space="preserve">类。</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月度过程验收</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每月</w:t>
      </w:r>
      <w:r>
        <w:rPr>
          <w:rFonts w:hint="eastAsia" w:ascii="宋体" w:hAnsi="宋体" w:cs="宋体"/>
          <w:b w:val="0"/>
          <w:bCs w:val="0"/>
          <w:color w:val="auto"/>
          <w:sz w:val="24"/>
          <w:highlight w:val="none"/>
          <w:lang w:val="en-US" w:eastAsia="zh-CN"/>
        </w:rPr>
        <w:t xml:space="preserve">10</w:t>
      </w:r>
      <w:r>
        <w:rPr>
          <w:rFonts w:hint="eastAsia" w:ascii="宋体" w:hAnsi="宋体" w:cs="宋体"/>
          <w:b w:val="0"/>
          <w:bCs w:val="0"/>
          <w:color w:val="auto"/>
          <w:sz w:val="24"/>
          <w:highlight w:val="none"/>
        </w:rPr>
        <w:t xml:space="preserve">日前甲方完成上月物业履约全项考核验收，按《盐城市妇幼保健院物业考核表》满分</w:t>
      </w:r>
      <w:r>
        <w:rPr>
          <w:rFonts w:hint="eastAsia" w:ascii="宋体" w:hAnsi="宋体" w:cs="宋体"/>
          <w:b w:val="0"/>
          <w:bCs w:val="0"/>
          <w:color w:val="auto"/>
          <w:sz w:val="24"/>
          <w:highlight w:val="none"/>
          <w:lang w:val="en-US" w:eastAsia="zh-CN"/>
        </w:rPr>
        <w:t xml:space="preserve">100</w:t>
      </w:r>
      <w:r>
        <w:rPr>
          <w:rFonts w:hint="eastAsia" w:ascii="宋体" w:hAnsi="宋体" w:cs="宋体"/>
          <w:b w:val="0"/>
          <w:bCs w:val="0"/>
          <w:color w:val="auto"/>
          <w:sz w:val="24"/>
          <w:highlight w:val="none"/>
        </w:rPr>
        <w:t xml:space="preserve">分逐项核查，采取现场实地抽查、台账查阅、科室满意度</w:t>
      </w:r>
      <w:r>
        <w:rPr>
          <w:rFonts w:hint="eastAsia" w:ascii="宋体" w:hAnsi="宋体" w:cs="宋体"/>
          <w:b w:val="0"/>
          <w:bCs w:val="0"/>
          <w:color w:val="auto"/>
          <w:sz w:val="24"/>
          <w:highlight w:val="none"/>
          <w:lang w:val="en-US" w:eastAsia="zh-CN"/>
        </w:rPr>
        <w:t xml:space="preserve">等</w:t>
      </w:r>
      <w:r>
        <w:rPr>
          <w:rFonts w:hint="eastAsia" w:ascii="宋体" w:hAnsi="宋体" w:cs="宋体"/>
          <w:b w:val="0"/>
          <w:bCs w:val="0"/>
          <w:color w:val="auto"/>
          <w:sz w:val="24"/>
          <w:highlight w:val="none"/>
        </w:rPr>
        <w:t xml:space="preserve">方式。</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验收分级及对应处置：</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90</w:t>
      </w:r>
      <w:r>
        <w:rPr>
          <w:rFonts w:hint="eastAsia" w:ascii="宋体" w:hAnsi="宋体" w:cs="宋体"/>
          <w:b w:val="0"/>
          <w:bCs w:val="0"/>
          <w:color w:val="auto"/>
          <w:sz w:val="24"/>
          <w:highlight w:val="none"/>
        </w:rPr>
        <w:t xml:space="preserve">分及以上（优秀）：验收合格，全额支付当月物业服务费；</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（2）80（含）</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89 分（良好）：验收合格但存在瑕疵，扣除当月违约金5000元后支付剩余服务费，乙方须</w:t>
      </w: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rPr>
        <w:t xml:space="preserve">小时内提交整改方案，48小时内全部闭环整改，甲方复核验收；</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（3）80 分以下（不合格）：月度验收不合格，扣除当月违约金10000元，限期 15日全面整改；连续两月月度验收低</w:t>
      </w:r>
      <w:r>
        <w:rPr>
          <w:rFonts w:hint="eastAsia" w:ascii="宋体" w:hAnsi="宋体" w:cs="宋体"/>
          <w:b w:val="0"/>
          <w:bCs w:val="0"/>
          <w:color w:val="auto"/>
          <w:sz w:val="24"/>
          <w:highlight w:val="none"/>
          <w:lang w:val="en-US" w:eastAsia="zh-CN"/>
        </w:rPr>
        <w:t xml:space="preserve">于</w:t>
      </w:r>
      <w:r>
        <w:rPr>
          <w:rFonts w:hint="eastAsia" w:ascii="宋体" w:hAnsi="宋体" w:cs="宋体"/>
          <w:b w:val="0"/>
          <w:bCs w:val="0"/>
          <w:color w:val="auto"/>
          <w:sz w:val="24"/>
          <w:highlight w:val="none"/>
        </w:rPr>
        <w:t xml:space="preserve">80分，或合同期内累计三月不合格，甲方有权单方解除合同、没收履约保证金，并追偿全部损失。</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上级督查、媒体曝光、患者有效投诉造成医院负面影响，验收直接扣5分/次，同步扣罚500元/次，纳入当月验收总分核算。</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年度阶段性总验收（每服务满</w:t>
      </w: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rPr>
        <w:t xml:space="preserve">个月开展）</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每年服务期满前</w:t>
      </w:r>
      <w:r>
        <w:rPr>
          <w:rFonts w:hint="eastAsia" w:ascii="宋体" w:hAnsi="宋体" w:cs="宋体"/>
          <w:b w:val="0"/>
          <w:bCs w:val="0"/>
          <w:color w:val="auto"/>
          <w:sz w:val="24"/>
          <w:highlight w:val="none"/>
          <w:lang w:val="en-US" w:eastAsia="zh-CN"/>
        </w:rPr>
        <w:t xml:space="preserve">10</w:t>
      </w:r>
      <w:r>
        <w:rPr>
          <w:rFonts w:hint="eastAsia" w:ascii="宋体" w:hAnsi="宋体" w:cs="宋体"/>
          <w:b w:val="0"/>
          <w:bCs w:val="0"/>
          <w:color w:val="auto"/>
          <w:sz w:val="24"/>
          <w:highlight w:val="none"/>
        </w:rPr>
        <w:t xml:space="preserve">个工作日，甲方组织全面年度履约总验收，覆盖：人员配置稳定性、院感防控指标、设备运维完好率、陪检配送时效、除四害效果、绿化养护、应急演练落实、完整台账归档、人员持证合规性等内容。</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年度验收总分≥85分为合格；年度验收不合格，甲方给予</w:t>
      </w:r>
      <w:r>
        <w:rPr>
          <w:rFonts w:hint="eastAsia" w:ascii="宋体" w:hAnsi="宋体" w:cs="宋体"/>
          <w:b w:val="0"/>
          <w:bCs w:val="0"/>
          <w:color w:val="auto"/>
          <w:sz w:val="24"/>
          <w:highlight w:val="none"/>
          <w:lang w:val="en-US" w:eastAsia="zh-CN"/>
        </w:rPr>
        <w:t xml:space="preserve">30</w:t>
      </w:r>
      <w:r>
        <w:rPr>
          <w:rFonts w:hint="eastAsia" w:ascii="宋体" w:hAnsi="宋体" w:cs="宋体"/>
          <w:b w:val="0"/>
          <w:bCs w:val="0"/>
          <w:color w:val="auto"/>
          <w:sz w:val="24"/>
          <w:highlight w:val="none"/>
        </w:rPr>
        <w:t xml:space="preserve">日整改期，整改后复验仍不合格，甲方有权终止合同，扣除</w:t>
      </w:r>
      <w:r>
        <w:rPr>
          <w:rFonts w:hint="eastAsia" w:ascii="宋体" w:hAnsi="宋体" w:cs="宋体"/>
          <w:b w:val="0"/>
          <w:bCs w:val="0"/>
          <w:color w:val="auto"/>
          <w:sz w:val="24"/>
          <w:highlight w:val="none"/>
          <w:lang w:val="en-US" w:eastAsia="zh-CN"/>
        </w:rPr>
        <w:t xml:space="preserve">50%</w:t>
      </w:r>
      <w:r>
        <w:rPr>
          <w:rFonts w:hint="eastAsia" w:ascii="宋体" w:hAnsi="宋体" w:cs="宋体"/>
          <w:b w:val="0"/>
          <w:bCs w:val="0"/>
          <w:color w:val="auto"/>
          <w:sz w:val="24"/>
          <w:highlight w:val="none"/>
        </w:rPr>
        <w:t xml:space="preserve">履约保证金。</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验收不合格通用处置规则</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任意阶段验收发现服务、人员、设备、台账不满足合同及招标文件标准，甲方出具书面整改通知书，载明问题、整改时限、扣分及扣罚标准；</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乙方逾期未完成整改或整改后复验仍不合格：甲方可自行安排第三方处置，产生全部费用由乙方承担，直接从当月服务费抵扣，同时追加</w:t>
      </w:r>
      <w:r>
        <w:rPr>
          <w:rFonts w:hint="eastAsia" w:ascii="宋体" w:hAnsi="宋体" w:cs="宋体"/>
          <w:b w:val="0"/>
          <w:bCs w:val="0"/>
          <w:color w:val="auto"/>
          <w:sz w:val="24"/>
          <w:highlight w:val="none"/>
          <w:lang w:val="en-US" w:eastAsia="zh-CN"/>
        </w:rPr>
        <w:t xml:space="preserve">相应的</w:t>
      </w:r>
      <w:r>
        <w:rPr>
          <w:rFonts w:hint="eastAsia" w:ascii="宋体" w:hAnsi="宋体" w:cs="宋体"/>
          <w:b w:val="0"/>
          <w:bCs w:val="0"/>
          <w:color w:val="auto"/>
          <w:sz w:val="24"/>
          <w:highlight w:val="none"/>
        </w:rPr>
        <w:t xml:space="preserve">违约金；</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存在弄虚作假、伪造台账、隐瞒安全/院感隐患、人员无证上岗、擅自减少配置人数等严重不合格情形，甲方可立即中止服务、终止合同，全额没收履约保证金，乙方承担全部经济与声誉损失。</w:t>
      </w:r>
      <w:r/>
    </w:p>
    <w:p>
      <w:pPr>
        <w:ind w:left="0" w:firstLine="480"/>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验收资料归档要求</w:t>
      </w:r>
      <w:r/>
    </w:p>
    <w:p>
      <w:pPr>
        <w:ind w:left="0" w:firstLine="480"/>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所有各类验收记录表一式两份，甲乙双方各执一份，作为付款、合同争议判定法定依据；验收资料随本项目全部物业档案一并归档，保存期限不少于</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年。</w:t>
      </w:r>
      <w:bookmarkEnd w:id="160"/>
      <w:r/>
      <w:r/>
    </w:p>
    <w:p>
      <w:pPr>
        <w:ind w:left="0"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条 其它</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合同期满后退出本物业管理时必须向甲方移交全套档案资料等，经甲方验收合格，并完成与后续物业服务公司的衔接后，方可退出。合同提前终止或期满退出的，规定时间内必须与甲方及后续物业管理公司的完成交接、衔接工作。</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乙方自行协调解决本项目实施过程中发生的各种矛盾，甲方不承担任何费用和责任；乙方已到项目现场勘察以充分了解项目位置、情况及任何其他影响承包价的情况，任何因忽视或误解项目情况而导致的索赔申请不被批准。</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本合同中的未尽事宜，双方可协商后进行补充，以书面形式签订补充协议，补充协议与本合同具同等效力。本合同之附件均为本合同不可分割的组成部分，与本合同具有同等的法律效力。</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本合同及其附件和补充协议中的未规定事宜，均按照中华人民共和国有关法律、法规和规章执行。</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本合同之附件如有与本合同相抵触之处，以本合同规定为准。</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本合同在履行中如遇争议，双方可以通过协商和解，如协商不成，可向甲方所在地人民法院提起诉讼。</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本合同连同附件，一式陆份，甲方肆份，乙方贰份，具同等法律效力。</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w:t>
      </w:r>
      <w:r>
        <w:rPr>
          <w:rFonts w:hint="eastAsia" w:ascii="宋体" w:hAnsi="宋体"/>
          <w:color w:val="auto"/>
          <w:sz w:val="24"/>
          <w:highlight w:val="none"/>
          <w:lang w:val="en-US" w:eastAsia="zh-CN"/>
        </w:rPr>
        <w:t xml:space="preserve">.</w:t>
      </w:r>
      <w:r>
        <w:rPr>
          <w:rFonts w:hint="eastAsia" w:ascii="宋体" w:hAnsi="宋体" w:cs="宋体"/>
          <w:color w:val="auto"/>
          <w:sz w:val="24"/>
          <w:szCs w:val="20"/>
          <w:highlight w:val="none"/>
        </w:rPr>
        <w:t xml:space="preserve">本合同自甲乙双方签订之日起生效。</w:t>
      </w:r>
      <w:r/>
    </w:p>
    <w:p>
      <w:pPr>
        <w:ind w:left="0" w:firstLine="480"/>
        <w:jc w:val="left"/>
        <w:keepLines w:val="0"/>
        <w:keepNext w:val="0"/>
        <w:pageBreakBefore w:val="0"/>
        <w:spacing w:line="360" w:lineRule="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附件：《盐城市妇幼保健院物业考核表》</w:t>
      </w:r>
      <w:r/>
    </w:p>
    <w:p>
      <w:pPr>
        <w:ind w:firstLine="1024"/>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甲方：                                   乙方： </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地址：                                   地址： </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法定代表人或授权代表：                   法定代表人或授权代表：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联系电话：                               联系电话：</w:t>
      </w:r>
      <w:r/>
    </w:p>
    <w:p>
      <w:pPr>
        <w:jc w:val="right"/>
        <w:spacing w:before="120" w:after="120" w:line="56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pStyle w:val="1020"/>
        <w:jc w:val="center"/>
        <w:spacing w:beforeAutospacing="0" w:afterAutospacing="0"/>
        <w:rPr>
          <w:rFonts w:ascii="黑体" w:hAnsi="黑体" w:eastAsia="黑体" w:cs="黑体"/>
          <w:color w:val="auto"/>
          <w:sz w:val="44"/>
          <w:szCs w:val="44"/>
          <w:highlight w:val="none"/>
        </w:rPr>
        <w:outlineLvl w:val="0"/>
      </w:pPr>
      <w:r/>
      <w:bookmarkStart w:id="141" w:name="_Toc161336375"/>
      <w:r/>
      <w:r/>
    </w:p>
    <w:p>
      <w:pPr>
        <w:jc w:val="center"/>
        <w:spacing w:line="440" w:lineRule="exact"/>
        <w:widowControl/>
        <w:rPr>
          <w:rFonts w:hint="eastAsia" w:ascii="宋体" w:hAnsi="宋体" w:cs="宋体"/>
          <w:b/>
          <w:bCs/>
          <w:color w:val="auto"/>
          <w:sz w:val="28"/>
          <w:szCs w:val="28"/>
          <w:highlight w:val="none"/>
        </w:rPr>
      </w:pPr>
      <w:r/>
      <w:bookmarkStart w:id="142" w:name="_Toc26467"/>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4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盐城市妇幼保健院物业考核表</w:t>
      </w:r>
      <w:r/>
    </w:p>
    <w:p>
      <w:pPr>
        <w:jc w:val="center"/>
        <w:spacing w:line="440" w:lineRule="exact"/>
        <w:widowControl/>
        <w:rPr>
          <w:rFonts w:ascii="宋体" w:hAnsi="宋体" w:cs="宋体"/>
          <w:color w:val="auto"/>
          <w:sz w:val="28"/>
          <w:szCs w:val="28"/>
          <w:highlight w:val="none"/>
        </w:rPr>
      </w:pPr>
      <w:r>
        <w:rPr>
          <w:rFonts w:ascii="宋体" w:hAnsi="宋体" w:cs="宋体"/>
          <w:color w:val="auto"/>
          <w:sz w:val="28"/>
          <w:szCs w:val="28"/>
          <w:highlight w:val="none"/>
        </w:rPr>
      </w:r>
      <w:r/>
    </w:p>
    <w:tbl>
      <w:tblPr>
        <w:tblStyle w:val="790"/>
        <w:tblW w:w="5000" w:type="pct"/>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86"/>
        <w:gridCol w:w="1058"/>
        <w:gridCol w:w="1990"/>
        <w:gridCol w:w="2018"/>
        <w:gridCol w:w="924"/>
        <w:gridCol w:w="827"/>
        <w:gridCol w:w="1051"/>
        <w:gridCol w:w="857"/>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考核标准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考核结论</w:t>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问题描述</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总分</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（可添加附件）</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综合类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每月新进员工培训、重点岗位培训、月度集体培训、院感知识培训等有记录有图片资料。</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缺一项资料的扣0.2分，缺三项以上扣1分。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整改：有整改方案，并按时整改。</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制定完整的年度、月度各类总结及工作、培训计划等，并切实执行。</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投诉管理：有投诉处置记录、回访</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有效投诉扣1分/次，无整改、记录及回访扣0.5分/次，整改不及时扣0.5分/次。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劳动纪律：工作时间不闲聊、做与工作无关的事、公共场所大声喧哗吵架、打架、旷工</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闲聊、做与工作无关的事情发现一次扣0.2分，吵架打架发现一次扣2分，脱岗发现一次扣2分。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现场管理：每日现场巡查至少2次，巡查有记录；办公场所干净整洁无垃圾、烟头</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少巡查一次扣0.2分，无巡查记录扣一次0.2分，办公室桌面脏、地面有垃圾、烟头一次扣1分。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仪容仪表：服务人员衣着统一，规范，服务态度端正</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精神面貌不佳扣0.2分一次，服务态度差或工作时间未着工作服或工作服脏扣0.2分一次。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环境类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地面：每日推尘、循环保洁</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无大量烟头、果皮、纸屑、污渍；无明显浮尘、树叶、纸屑、塑料袋；地面面貌无杂物、无呕吐物、无积水、无泥沙；发现未执行处一次扣0.2分。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墙面、踢脚线、玻璃、门窗：每日、周、月计划性清洁、打尘、抹擦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墙面光洁、明亮、无污渍、无蜘蛛网及其它粘附杂物；每月定期用清水清洁剂擦洗。玻璃幕墙、门、窗等透亮、无污迹、无水迹，发现未执行处一次扣0.2分。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天花板：每日、周、月计划性清洁、打尘、抹擦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空调风口、灯具、指示牌、外露管道等顶部设施无积尘、无蜘蛛网；室外雨蓬无杂物，发现未执行处一次扣0.2分。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各类器材：每日清洁抹擦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器材表面无污迹、无灰尘，物件表面光洁，无粗糙感、无污迹，发现未执行处一次扣0.2分。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标识牌：无污渍、无积灰等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光亮、干净、无污渍，发现未执行处一次扣0.2分。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垃圾桶：外部及周边无垃圾、无污垢、桶身无污渍，桶内垃圾不超过桶高3/4</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表面光亮无污迹、油迹、无蚊蝇等，发现未执行处一次扣0.2分。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电梯：每日清洁、消毒、无灰尘等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玻璃镜面光亮无污迹；不锈钢表面无灰尘、无污迹；灯具天花板无灰尘、无蜘蛛网、电梯内地面干净，发现未执行处一次扣0.2分。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病房：地面、墙面、床（及陪护床）、床边柜、储物柜、设备带、空调出风口无积灰、无污渍、无蜘蛛网</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表面无污迹、无灰尘、无蜘蛛网，发现未执行处一次扣0.2分。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卫生间：无异味、马桶无污垢，地面无积水无污渍、墙面、水龙头、洗手盆、镜面、窗框玻璃无污渍，排风扇、吸顶灯无积灰</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无异味、臭味、干净卫生、无积水，发现未执行处一次扣0.2分。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绿化：大量杂草、未按计划进行修枝、抗旱、施肥、涂白等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公共区域、绿化带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道路无明显大量浮尘、烟头、果皮、纸屑、塑料袋；花基、花坛无烟头、杂物，发现未执行处一次扣0.2分。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生活垃圾运送：日产日清，周边无垃圾、桶身无污渍、桶内垃圾不超过桶高3/4</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每天清运两次，发现未执行处一次扣0.5分。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工程类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机房设备整洁，各设施设备标牌标识完善清楚</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现场检查，机房内清洁达不到要求,有大量浮尘、烟头、果皮、纸屑、餐盒等，工具随意乱放发现一次扣0.5分：缺标牌标识一次扣0.5分。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各机房建立完整的管理制度及操作规程并掌握、对应岗位持证上岗。</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现场检查，有不完善各机房管理制度及操作规程，未明确标识、公示或员工不知晓的，发现一处扣0.5分。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各班组建立完善的岗位职责并掌握</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现场检查，有不完善各班组岗位职责，未明确标识、公示或员工不知晓的，发现一处扣0.5分。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44"/>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机电设备建立完整的档案台账资料、特种设备管理规范，检测时间登记完善有序，无特种设备检测过期现象发生</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随机抽查，不能提供抽查机电设备完整档案包括运行维修进出记录、特种设备检测登记等档案台账的，发现一处扣0.2分；发现一次特种设备检测时间过期扣1分。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全天候24小时内，紧急报修10分钟内作出响应，常规报修12小时作出处理</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未按规定时间到达并作出响应的，一次扣0.5分。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每月统计能源消耗表</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按月考核，未及时统计或统计漏项的，发现一处扣0.5分。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设备标签、管道标识、阀门标识、电气线路图、阀门图表、计量表正常范围标识等标识图表规、正确、完整</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现场检查，标识不规范或未标识的，发现一处扣0.5分。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其他类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洗衣房收送及时</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未及时收送的，发现一次扣0.2分。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洗衣房洗涤清洁度符合规定要求</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发现一次不合格的扣0.5分。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医疗废物分类收集、包装规范并及时转运至暂存地</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专人运送、交接登记清楚，每天清运两次，发现未执行处一次扣0.5分。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医疗废物处理登记表记录、消毒记录等记录规范</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发现一次不规范的扣0.5分。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因运送响应不及时导致投诉的，一次扣0.5分。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10"/>
        </w:trPr>
        <w:tc>
          <w:tcPr>
            <w:gridSpan w:val="4"/>
            <w:shd w:val="clear" w:color="auto" w:fill="ffffff"/>
            <w:tcBorders>
              <w:top w:val="single" w:color="000000" w:sz="4" w:space="0"/>
              <w:left w:val="single" w:color="000000" w:sz="4" w:space="0"/>
              <w:bottom w:val="single" w:color="000000" w:sz="4" w:space="0"/>
              <w:right w:val="single" w:color="000000" w:sz="4" w:space="0"/>
            </w:tcBorders>
            <w:tcW w:w="303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08"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1、考核发现的一般问题12小时内整改，重大问题48小时内整改，检查中发现未按频次清洁的，视为未执行。每月考核中若涉及到扣除金额的则直接从每月服务费中扣除。            </w:t>
      </w:r>
      <w:r/>
    </w:p>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2、如出现上级检查通报文件中涉及物业问题的，每项扣5分并扣500元/次。</w:t>
      </w:r>
      <w:r/>
    </w:p>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3、考核得分低于80分为不合格。</w:t>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ascii="黑体" w:hAnsi="黑体" w:eastAsia="黑体" w:cs="黑体"/>
          <w:color w:val="auto"/>
          <w:sz w:val="44"/>
          <w:szCs w:val="44"/>
          <w:highlight w:val="none"/>
        </w:rPr>
      </w:r>
      <w:r/>
    </w:p>
    <w:p>
      <w:pPr>
        <w:pStyle w:val="1020"/>
        <w:jc w:val="center"/>
        <w:spacing w:beforeAutospacing="0" w:afterAutospacing="0"/>
        <w:rPr>
          <w:rFonts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第四章  采购需求</w:t>
      </w:r>
      <w:bookmarkEnd w:id="141"/>
      <w:r/>
      <w:bookmarkEnd w:id="142"/>
      <w:r/>
      <w:r/>
    </w:p>
    <w:p>
      <w:pPr>
        <w:ind w:firstLine="482"/>
        <w:jc w:val="left"/>
        <w:spacing w:line="560" w:lineRule="exact"/>
        <w:widowControl/>
        <w:rPr>
          <w:rFonts w:ascii="宋体" w:hAnsi="宋体" w:cs="宋体"/>
          <w:b/>
          <w:bCs/>
          <w:color w:val="auto"/>
          <w:sz w:val="24"/>
          <w:szCs w:val="20"/>
          <w:highlight w:val="none"/>
          <w:lang w:val="zh-TW"/>
        </w:rPr>
      </w:pPr>
      <w:r>
        <w:rPr>
          <w:rFonts w:ascii="宋体" w:hAnsi="宋体" w:cs="宋体"/>
          <w:b/>
          <w:bCs/>
          <w:color w:val="auto"/>
          <w:sz w:val="24"/>
          <w:szCs w:val="20"/>
          <w:highlight w:val="none"/>
          <w:lang w:val="zh-TW"/>
        </w:rPr>
      </w:r>
      <w:r/>
    </w:p>
    <w:p>
      <w:pPr>
        <w:ind w:firstLine="482"/>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lang w:val="zh-TW"/>
        </w:rPr>
        <w:t xml:space="preserve">项目属性:服务类项目。</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一、项目基本情况</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b/>
          <w:bCs/>
          <w:color w:val="auto"/>
          <w:sz w:val="24"/>
          <w:szCs w:val="20"/>
          <w:highlight w:val="none"/>
        </w:rPr>
        <w:t xml:space="preserve">1、</w:t>
      </w:r>
      <w:r>
        <w:rPr>
          <w:rFonts w:hint="eastAsia" w:ascii="宋体" w:hAnsi="宋体" w:cs="宋体"/>
          <w:b/>
          <w:bCs/>
          <w:color w:val="auto"/>
          <w:sz w:val="24"/>
          <w:szCs w:val="20"/>
          <w:highlight w:val="none"/>
          <w:lang w:val="zh-TW"/>
        </w:rPr>
        <w:t xml:space="preserve">项目概况：</w:t>
      </w:r>
      <w:r>
        <w:rPr>
          <w:rFonts w:hint="eastAsia" w:ascii="宋体" w:hAnsi="宋体" w:cs="宋体"/>
          <w:color w:val="auto"/>
          <w:sz w:val="24"/>
          <w:szCs w:val="20"/>
          <w:highlight w:val="none"/>
          <w:lang w:val="zh-TW"/>
        </w:rPr>
        <w:t xml:space="preserve">盐城市妇幼保健院项目占地面积166亩，建筑面积约126600平方米（其中：门诊医技楼4层，62627平方米；病房楼2幢，以连接廊连接，均为11层，合计37558平方米；附房3幢，均为2层，合计4700平方米；地下室18731平方米），设置床位400张。</w:t>
      </w:r>
      <w:r/>
    </w:p>
    <w:p>
      <w:pPr>
        <w:ind w:firstLine="480"/>
        <w:jc w:val="left"/>
        <w:spacing w:line="5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2、本次拟采购项目是物业管理服务，服务范围至少包含</w:t>
      </w:r>
      <w:r>
        <w:rPr>
          <w:rFonts w:hint="eastAsia" w:ascii="宋体" w:hAnsi="宋体" w:cs="宋体"/>
          <w:color w:val="auto"/>
          <w:sz w:val="24"/>
          <w:highlight w:val="none"/>
        </w:rPr>
        <w:t xml:space="preserve">盐城市妇幼保健院门诊医技楼、病房楼、附房、地下室、室外等整个医院区域内的卫生保洁，病员陪检，标本送样，物资配送，被服洗涤、水电维修，后勤运行设备值班，控虫灭鼠除“四害”，室外绿化景观维护等后勤服务工作。</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b/>
          <w:bCs/>
          <w:color w:val="auto"/>
          <w:sz w:val="24"/>
          <w:szCs w:val="20"/>
          <w:highlight w:val="none"/>
        </w:rPr>
        <w:t xml:space="preserve">3、</w:t>
      </w:r>
      <w:r>
        <w:rPr>
          <w:rFonts w:hint="eastAsia" w:ascii="宋体" w:hAnsi="宋体" w:cs="宋体"/>
          <w:b/>
          <w:bCs/>
          <w:color w:val="auto"/>
          <w:sz w:val="24"/>
          <w:szCs w:val="20"/>
          <w:highlight w:val="none"/>
          <w:lang w:val="zh-TW"/>
        </w:rPr>
        <w:t xml:space="preserve">采购项目预算（万元）</w:t>
      </w:r>
      <w:r>
        <w:rPr>
          <w:rFonts w:hint="eastAsia" w:ascii="宋体" w:hAnsi="宋体" w:cs="宋体"/>
          <w:color w:val="auto"/>
          <w:sz w:val="24"/>
          <w:szCs w:val="20"/>
          <w:highlight w:val="none"/>
          <w:lang w:val="zh-TW"/>
        </w:rPr>
        <w:t xml:space="preserve">：</w:t>
      </w:r>
      <w:r>
        <w:rPr>
          <w:rFonts w:hint="eastAsia" w:ascii="宋体" w:hAnsi="宋体" w:cs="宋体"/>
          <w:color w:val="auto"/>
          <w:sz w:val="24"/>
          <w:szCs w:val="20"/>
          <w:highlight w:val="none"/>
        </w:rPr>
        <w:t xml:space="preserve">两年总预算</w:t>
      </w:r>
      <w:r>
        <w:rPr>
          <w:rFonts w:hint="eastAsia" w:ascii="宋体" w:hAnsi="宋体" w:cs="宋体"/>
          <w:color w:val="auto"/>
          <w:sz w:val="24"/>
          <w:szCs w:val="20"/>
          <w:highlight w:val="none"/>
          <w:lang w:val="zh-TW"/>
        </w:rPr>
        <w:t xml:space="preserve">RMB</w:t>
      </w:r>
      <w:r>
        <w:rPr>
          <w:rFonts w:hint="eastAsia" w:ascii="宋体" w:hAnsi="宋体" w:cs="宋体"/>
          <w:color w:val="auto"/>
          <w:sz w:val="24"/>
          <w:szCs w:val="20"/>
          <w:highlight w:val="none"/>
          <w:u w:val="single"/>
        </w:rPr>
        <w:t xml:space="preserve">1100</w:t>
      </w:r>
      <w:r/>
    </w:p>
    <w:p>
      <w:pPr>
        <w:ind w:firstLine="480"/>
        <w:jc w:val="left"/>
        <w:spacing w:line="560" w:lineRule="exact"/>
        <w:widowControl/>
        <w:rPr>
          <w:rFonts w:ascii="宋体" w:hAnsi="宋体" w:cs="宋体"/>
          <w:color w:val="auto"/>
          <w:sz w:val="22"/>
          <w:szCs w:val="22"/>
          <w:highlight w:val="none"/>
          <w:u w:val="single"/>
        </w:rPr>
      </w:pPr>
      <w:r>
        <w:rPr>
          <w:rFonts w:hint="eastAsia" w:ascii="宋体" w:hAnsi="宋体" w:cs="宋体"/>
          <w:b/>
          <w:bCs/>
          <w:color w:val="auto"/>
          <w:sz w:val="24"/>
          <w:szCs w:val="20"/>
          <w:highlight w:val="none"/>
        </w:rPr>
        <w:t xml:space="preserve">4、</w:t>
      </w:r>
      <w:r>
        <w:rPr>
          <w:rFonts w:hint="eastAsia" w:ascii="宋体" w:hAnsi="宋体" w:cs="宋体"/>
          <w:b/>
          <w:bCs/>
          <w:color w:val="auto"/>
          <w:sz w:val="24"/>
          <w:szCs w:val="20"/>
          <w:highlight w:val="none"/>
          <w:lang w:val="zh-TW"/>
        </w:rPr>
        <w:t xml:space="preserve">采购项目最高限价（万元）</w:t>
      </w:r>
      <w:r>
        <w:rPr>
          <w:rFonts w:hint="eastAsia" w:ascii="宋体" w:hAnsi="宋体" w:cs="宋体"/>
          <w:color w:val="auto"/>
          <w:sz w:val="22"/>
          <w:szCs w:val="22"/>
          <w:highlight w:val="none"/>
        </w:rPr>
        <w:t xml:space="preserve">：RMB</w:t>
      </w:r>
      <w:r>
        <w:rPr>
          <w:rFonts w:hint="eastAsia" w:ascii="宋体" w:hAnsi="宋体" w:cs="宋体"/>
          <w:color w:val="auto"/>
          <w:sz w:val="22"/>
          <w:szCs w:val="22"/>
          <w:highlight w:val="none"/>
          <w:u w:val="single"/>
        </w:rPr>
        <w:t xml:space="preserve">1100</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二、技术要求</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2.1整体方案需求</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投标人根据招标人采购需求，编制整体方案，至少包含：服务范围、目标、整体规划及设想，服务的重点及难点等管理方案。</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2.1.1物业管理服务范围</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服务范围至少包含盐城市妇幼保健院门诊医技楼、病房楼、附房、地下室、室外等整个医院区域内的卫生保洁，病员陪检，标本送样，物资配送，被服洗涤、水电维修，后勤运行设备值班，控虫灭鼠除“四害”，室外绿化景观维护等后勤服务工作。</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2.1.2物业管理目标</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保障医院正常运转、提升医疗服务质量，需围绕 “高效、洁净、舒适、专业” 四大核心目标。</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（1）提升运营效率，支撑医疗流程。</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后勤保障高效化：优化保洁、维修、物资配送等流程，例如：保洁人员按“污染区-半污染区-清洁区”的顺序作业，避免交叉感染，同时确保病房在患者轮换间隙快速清洁消毒；</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工程维修团队实行“全天候24小时内紧急报修10分钟响应、2小时内处理、24小时值班机制；常规报修12小时作出处理”，保障水电系统等及时恢复使用；</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协助医院进行标本送检、病员陪检、急救病人搬运、物资（如药品、耗材、被服）的运输和分发等工作，减少医护人员非医疗工作负担。</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（2）维持洁净环境，符合医疗标准。</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1）清洁与消毒专业化：严格遵循《医院消毒卫生标准》，对不同区域采取差异化清洁措施。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普通病房：每日清洁消毒，更换床单位，对高频接触表面（门把手、床头柜）进行擦拭消毒；</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手术室、产房：采用“术前彻底消毒+术后终末消毒”模式，使用符合医疗标准的消毒剂（如含氯消毒剂），并定期配合医院做好环境微生物检测；</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医疗废物收集：按规范收集、暂存、转运医疗废物（如针管、感染性敷料），避免环境污染和交叉感染。</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2）环境指标达标：控制病房、手术室的温湿度（如手术室温度保持在22-25℃、噪声（白天≤55分贝，夜间≤40分贝）、空气质量（定期通风或使用新风系统），为患者提供适宜的康复环境。</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（3）强化专业服务能力，适配医院特殊性。</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人员专业化：物业团队需具备医疗相关知识，例如：保洁、维修人员需接受院感防控培训（如穿脱防护服、医疗废物分类）；特殊区域（如 ICU、放射科）的物业人员需掌握辐射防护、无菌操作等基础技能。</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应急响应专业化：配合医院制定应急预案（如火灾、停电、突发传染病），在紧急情况下快速联动，例如：停电时协助启动备用电源，疫情期间协助搭建隔离通道、进行环境消杀。</w:t>
      </w:r>
      <w:r/>
    </w:p>
    <w:p>
      <w:pPr>
        <w:ind w:firstLine="482"/>
        <w:jc w:val="left"/>
        <w:spacing w:line="5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2.1.3物业管理服务的重点和难点</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院感防控类服务</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环境指标控制服务：明确病房温湿度（夏季 24-26℃，冬季 20-22℃，湿度 40%-60%）、噪声（门诊≤60分贝，病房夜间≤40分贝）、空气质量（每月检测 PM2.5≤35μg/m³，细菌总数≤4cfu/皿）的量化要求。</w:t>
      </w:r>
      <w:r/>
    </w:p>
    <w:p>
      <w:pPr>
        <w:ind w:firstLine="482"/>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物资流转服务：被服洗涤需满足“收运-洗涤-烘干- 配送”闭环（感染性被服单独处理，洁净被服合格率100%）；药品/耗材转运需配备恒温转运箱（冷藏药品温度控制在2-8℃），每日定时配送，误差不超过30分钟。</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2.2专项实施方案要求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专项实施方案至少包含投标人对各项要求作出具体承诺及所采用的流程、标准、具体实施计划和专项实施方案，专项内容包含重点科室(手术室、新生儿科含NICU、产房、儿科PICU、产科OICU、检验科、放射科、B超室、病理科、人流室、消毒供应中心、急诊中心）、院感防控等。</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专项内容包含手术室、术后观察病房、消毒供应中心、急诊中心、院感防控等。专项管理标准：符合三级甲等妇幼保健院评审标准。</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color w:val="auto"/>
          <w:sz w:val="24"/>
          <w:szCs w:val="20"/>
          <w:highlight w:val="none"/>
        </w:rPr>
        <w:t xml:space="preserve">2.2.1手术室环境与洁净度管理要求</w:t>
      </w:r>
      <w:r>
        <w:rPr>
          <w:rFonts w:hint="eastAsia" w:ascii="宋体" w:hAnsi="宋体" w:cs="宋体"/>
          <w:b/>
          <w:bCs/>
          <w:color w:val="auto"/>
          <w:sz w:val="24"/>
          <w:szCs w:val="20"/>
          <w:highlight w:val="none"/>
        </w:rPr>
        <w:t xml:space="preserve">​</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1）分区管控标准​</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严格划分洁净区（手术间、无菌物品存放间）、准洁净区（刷手区、敷料准备间）、污染区（污物通道、标本处理间），各区之间设缓冲间，门体保持常闭，气流由洁净区向污染区定向流动（压差≥5Pa）。​</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手术间洁净等级：产科剖宫产手术间≥Ⅰ级（百级），妇科肿瘤等大手术间≥Ⅱ级（千级），门诊小手术间≥Ⅲ 级（万级），每月检测尘埃粒子数（0.5μm 粒子≤3520 个/m³ 为Ⅰ级达标）。​</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2）清洁消毒规范​</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日常清洁：每日手术结束后用含氯消毒剂（500-1000mg/L）擦拭手术台、器械车等表面，地面采用 “湿式清扫”，洁净区清洁工具专用，标识区分。​</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终末消毒：连台手术间隔≥30分钟，使用含氯消毒剂消毒，（作用时间≥30分钟）；每周进行彻底大扫除，包括空调滤网清洗、天花板及墙角除尘。​</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环境监测：每季做空气培养（Ⅰ级手术间菌落数≤0.2-0.4cfu/30 分钟・直径 9cm 平皿）、物体表面采样（≤5cfu/cm²），结果存档并与院感科联动分析。</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2.2.2术后观察病房环境消毒​</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1）患者入住前30分钟，用紫外线消毒病房30分钟（或空气消毒机运行≥60分钟），物体表面用75%酒精擦拭，通风换气≥2 次/小时，温度保持24-26℃，湿度50%-60%。</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2）患者转出后30分钟内，清理床单位（污染被服放入黄色医疗废物袋），用含氯消毒剂（500-1000mg/L）擦拭床栏、监护仪等表面，地面用消毒拖把拖拭不少于2次，医疗废物按 “感染性”“损伤性”等分类收集（针头放入锐器盒，缝合线等放入专用垃圾袋）。​​3）每日最后1名患者转出后，关闭门窗，用紫外线消毒病房60分钟（或空气消毒机运行≥60分钟），空调滤网定期拆卸清洗，所有仪器设备充电备用，为接收患者做好准备。</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2.2.3消毒供应中心管理要求</w:t>
      </w:r>
      <w:r/>
    </w:p>
    <w:p>
      <w:pPr>
        <w:ind w:firstLine="482"/>
        <w:jc w:val="left"/>
        <w:spacing w:line="560" w:lineRule="exact"/>
        <w:widowControl/>
        <w:rPr>
          <w:rFonts w:ascii="宋体" w:hAnsi="宋体" w:cs="宋体"/>
          <w:color w:val="auto"/>
          <w:sz w:val="24"/>
          <w:szCs w:val="20"/>
          <w:highlight w:val="none"/>
        </w:rPr>
      </w:pPr>
      <w:r>
        <w:rPr>
          <w:rFonts w:ascii="宋体" w:hAnsi="宋体" w:cs="宋体"/>
          <w:color w:val="auto"/>
          <w:sz w:val="24"/>
          <w:szCs w:val="20"/>
          <w:highlight w:val="none"/>
        </w:rPr>
        <w:t xml:space="preserve">分区设置，严格划分去污区、检查包装及灭菌区、无菌物品存放区，各区独立封闭，由污到洁单向流程，不得交叉逆行。去污区入口设缓冲间（配备洗手池、防护用品柜），无菌物品存放区设双扉传递窗，传递窗内外侧不得同时开启。​​</w:t>
      </w:r>
      <w:r/>
    </w:p>
    <w:p>
      <w:pPr>
        <w:ind w:firstLine="482"/>
        <w:jc w:val="left"/>
        <w:spacing w:line="560" w:lineRule="exact"/>
        <w:widowControl/>
        <w:rPr>
          <w:rFonts w:ascii="宋体" w:hAnsi="宋体" w:cs="宋体"/>
          <w:color w:val="auto"/>
          <w:sz w:val="24"/>
          <w:szCs w:val="20"/>
          <w:highlight w:val="none"/>
        </w:rPr>
      </w:pPr>
      <w:r>
        <w:rPr>
          <w:rFonts w:ascii="宋体" w:hAnsi="宋体" w:cs="宋体"/>
          <w:color w:val="auto"/>
          <w:sz w:val="24"/>
          <w:szCs w:val="20"/>
          <w:highlight w:val="none"/>
        </w:rPr>
        <w:t xml:space="preserve">环境要求，去污区：温度16-21℃，相对湿度 30%-60%，通风≥10次/小时，设防溅屏、负压装置（负压≥5Pa），防止积水。​</w:t>
      </w:r>
      <w:r/>
    </w:p>
    <w:p>
      <w:pPr>
        <w:ind w:firstLine="482"/>
        <w:jc w:val="left"/>
        <w:spacing w:line="560" w:lineRule="exact"/>
        <w:widowControl/>
        <w:rPr>
          <w:rFonts w:ascii="宋体" w:hAnsi="宋体" w:cs="宋体"/>
          <w:color w:val="auto"/>
          <w:sz w:val="24"/>
          <w:szCs w:val="20"/>
          <w:highlight w:val="none"/>
        </w:rPr>
      </w:pPr>
      <w:r>
        <w:rPr>
          <w:rFonts w:ascii="宋体" w:hAnsi="宋体" w:cs="宋体"/>
          <w:color w:val="auto"/>
          <w:sz w:val="24"/>
          <w:szCs w:val="20"/>
          <w:highlight w:val="none"/>
        </w:rPr>
        <w:t xml:space="preserve">无菌物品存放区：温度 20-25℃，相对湿度＜60%，空气洁净度≥8 级（十万级），货架距地面≥20cm、距墙≥5cm，避免阳光直射。</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2.2.4急诊中心管理要求</w:t>
      </w:r>
      <w:r/>
    </w:p>
    <w:p>
      <w:pPr>
        <w:ind w:firstLine="482"/>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负责协助医护人员急救病人的搬运工作；接到急救指令后携带平车或轮椅及时到位；在工作中要做到不怕脏、不怕累，树立全心全意为人民服务的思想。</w:t>
      </w:r>
      <w:r/>
    </w:p>
    <w:p>
      <w:pPr>
        <w:ind w:firstLine="482"/>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2.2.5院感防控专项指标（针对母婴易感人群）</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1）重点区域感染控制​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新生儿科医院感染率：≤2‰；​</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手术切口感染率：≤1.5%；</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母婴床旁护理感染率：0%。</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2）消毒灭菌效果​</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高压灭菌器合格率：100%；​</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color w:val="auto"/>
          <w:sz w:val="24"/>
          <w:szCs w:val="20"/>
          <w:highlight w:val="none"/>
        </w:rPr>
        <w:t xml:space="preserve">新生儿暖箱、蓝光箱清洁消毒合格率：100%（使用后终末消毒，表面菌落数≤</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color w:val="auto"/>
          <w:sz w:val="24"/>
          <w:szCs w:val="20"/>
          <w:highlight w:val="none"/>
        </w:rPr>
        <w:t xml:space="preserve">5cfu/cm²）；母乳储存容器消毒合格率：100%（遵循 “巴氏消毒 + 密封储存”流程，避免污染）。</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2.2.6其他：室内儿童游乐区服务质量：每日消毒2次；室外儿童游乐区服务质量：每周消毒1次。</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2.3交接过渡管理要求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b/>
          <w:bCs/>
          <w:color w:val="auto"/>
          <w:sz w:val="24"/>
          <w:szCs w:val="20"/>
          <w:highlight w:val="none"/>
        </w:rPr>
        <w:t xml:space="preserve">交接过渡管理方案至少包含交接的期限，派驻项目总人数的80%到岗时间，派驻项目总人数的95%到岗时间，</w:t>
      </w:r>
      <w:r>
        <w:rPr>
          <w:rFonts w:hint="eastAsia" w:ascii="宋体" w:hAnsi="宋体" w:cs="宋体"/>
          <w:b/>
          <w:bCs/>
          <w:color w:val="auto"/>
          <w:sz w:val="24"/>
          <w:szCs w:val="20"/>
          <w:highlight w:val="none"/>
          <w:lang w:val="zh-CN"/>
        </w:rPr>
        <w:t xml:space="preserve">重点科室</w:t>
      </w:r>
      <w:r>
        <w:rPr>
          <w:rFonts w:hint="eastAsia" w:ascii="宋体" w:hAnsi="宋体" w:cs="宋体"/>
          <w:b/>
          <w:bCs/>
          <w:color w:val="auto"/>
          <w:sz w:val="24"/>
          <w:szCs w:val="20"/>
          <w:highlight w:val="none"/>
        </w:rPr>
        <w:t xml:space="preserve">需求人数的90%到岗时间，</w:t>
      </w:r>
      <w:r>
        <w:rPr>
          <w:rFonts w:hint="eastAsia" w:ascii="宋体" w:hAnsi="宋体" w:cs="宋体"/>
          <w:b/>
          <w:bCs/>
          <w:color w:val="auto"/>
          <w:sz w:val="24"/>
          <w:szCs w:val="20"/>
          <w:highlight w:val="none"/>
          <w:lang w:val="zh-CN"/>
        </w:rPr>
        <w:t xml:space="preserve">人员岗位培训流程方案。</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（1）中标供应商与采购人原服务供应商进行项目交接的期限为自合同生效之日起20个工作日。中标供应商应确保：</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1）自交接期开始之日起第5个工作日前，拟派驻项目总人数的80%已到岗，并完成基础的院感、安全培训（需提供培训记录）；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2）自交接期开始之日起第10个工作日前，拟派驻项目总人数的95%已到岗，且所有到岗人员均已完成其岗位所需的专业技能和院感知识培训；</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重点科室（手术室、新生儿科（含NICU）、产房、儿科PICU、产科OICU、检验科、放射科、B超室、病理科、人流室、消毒供应中心、急诊中心）的到岗人员，除满足上述要求外，其到岗率应在交接期开始之日起第7个工作日前达到90%，且人员资质需满足本文件‘专项内容实施需求’及‘人员岗位培训要求’中的规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（2）服务人员岗位培训要求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1）重点科室服务人员至少包含：手术室、新生儿科（含NICU）、产房、儿科PICU、产科OICU、检验科、放射科、B超室、病理科、人流室、消毒供应中心、急诊中心。</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2）新进员工岗前培训、每月培训、重点岗位培训、月度集体培训、院感知识培训等，并留有记录有培训图片资料。每次培训不少于2小时。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3）服务人员参加相关的专业知识培训并取得相应专业岗位资格证。</w:t>
      </w:r>
      <w:r/>
    </w:p>
    <w:p>
      <w:pPr>
        <w:ind w:firstLine="482"/>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2.4物业管理要求</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物业管理方案至少包含拟为本项目设立的组织机构（附组织机构图）、人员配备方案、人员岗位职责、运作流程图、管理服务标准、工作制度等。</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2.4.1</w:t>
      </w:r>
      <w:r>
        <w:rPr>
          <w:rFonts w:hint="eastAsia" w:ascii="宋体" w:hAnsi="宋体" w:cs="宋体"/>
          <w:b/>
          <w:bCs/>
          <w:color w:val="auto"/>
          <w:sz w:val="24"/>
          <w:szCs w:val="20"/>
          <w:highlight w:val="none"/>
          <w:lang w:val="zh-TW"/>
        </w:rPr>
        <w:t xml:space="preserve">管理人员要求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1）项目经理（1人）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必须为投标人正式员工，具有大专及以上学历，具备相关管理经验，无不良执业记录。本项目经理人一经确定，必须在本项目现场服务满两年以上，未经采购人同意不得随意更换，否则采购人有权予以相应处罚。</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2）主管（3人）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必须为投标人正式员工，具有较好的物业服务管理经验；有良好的沟通技巧和表达能力；较强的领导能力、组织能力、应变能力，协调能力，能独立处理突发状况；较强的团队管理和沟通能力，能够承受一定的工作强度和压力；对物业服务工作富有激情及注重团队协作精神。</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3）特种设备安全管理员（电梯、压力容器及管道）（1人）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必须为投标人正式员工，持有《特种设备安全管理人员证》，熟悉特种设备使用相关法律法规、安全技术规范、标准和特种设备安全使用等要求；具备识别和防控特种设备使用安全风险的专业知识；具备按照相关要求履行岗位职责的能力。负责院区所有电梯、压力管道和压力容器的日常运行管理工作（不含维保），每日1次巡视并做好巡视记录，运行期间如出现故障立即上报主管领导及维修公司，同时疏导相关人员，稳定和维护现场秩序；按相关规章、要求管理，能独立完成操作任务，当发生意外事故时，要立即赶到现场做出妥善处理，24小时备班。</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2.4.2</w:t>
      </w:r>
      <w:r>
        <w:rPr>
          <w:rFonts w:hint="eastAsia" w:ascii="宋体" w:hAnsi="宋体" w:cs="宋体"/>
          <w:b/>
          <w:bCs/>
          <w:color w:val="auto"/>
          <w:sz w:val="24"/>
          <w:szCs w:val="20"/>
          <w:highlight w:val="none"/>
          <w:lang w:val="zh-TW"/>
        </w:rPr>
        <w:t xml:space="preserve">保洁服务人员要求（66人）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报价应包括服务人员工资、社会保险费、加班费、福利费、办公费、培训费用、服装费、清洁材料费（含垃圾袋、清洁剂、易耗品、劳动保护用品及工具等所有清洁材料）、固定资产折旧费、不可预计费用，管理费用、合理利润、相关税费等一切费用。</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保洁工作范围：门诊医技楼、病房楼、附房、地下室、室外环境等全部。</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保洁工作内容：</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病区保洁：负责各病区及病房的医护办公室、治疗室、换药室、病房等所有诊疗场所的地面、墙壁、房顶、门窗、卫生间、卫生设施（洗面池、马桶等）及病房床单元设施（包括设备带、床头柜、病床、陪护椅、贮藏柜、方凳等）的保洁，以及病区走廊、公共厕所的保洁，微波炉、茶水炉等设备设施的保洁及管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（2）住院大厅保洁：负责住院大厅地面、四周墙面、门窗、玻璃幕墙、走廊、公共厕所、内外楼梯、电梯轿厢、内阳台、外平台的保洁。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（3）手术室保洁：负责手术室各手术间、麻醉复苏室、洗澡间、卫生间、储物间、医护办公室、病员休息室等区域的墙地面、内外走廊、门窗、玻璃幕墙的保洁。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（4）急诊区保洁：负责急诊内科、外科、儿科、妇科等各诊疗室；注射室、抢救室、观察病房、输液大厅、治疗室、门诊手术室、换药室等诊疗场所的墙地面、门窗、玻璃幕墙及设备设施的保洁。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门诊楼保洁：负责门诊大厅、各楼层卫生间、楼梯、扶手及办公区域、各层走廊等区域的保洁。负责门诊楼内、外、妇、儿、中医、皮肤、五官等科室的诊疗室、检查室、治疗室、换药室及影像科（含放射、CT、超声）、检验科、病理科、内镜中心、心脑电图室等医技科室诊疗场所的墙地面、门窗、玻璃幕墙及设备设施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（6）体检中心及行政办公区保洁：负责体检中心、行政办公区各楼层卫生间、楼梯、扶手、走廊及各科室的墙地面、门窗、玻璃幕墙及设备设施的保洁。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（7）会议室、学术报告厅的保洁：负责会议室和学术报告厅的墙地面、门窗、设备设施的保洁。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（8）室外环境保洁：负责医院范围内的道路，房屋四周、前后庭院、采光井的保洁，包括河塘清理、室外及医院西门外两侧的绿化维护保养。</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9）生活垃圾清运：依据《关于在医疗机构推进生活垃圾分类管理的通知》，每日分类收集清运生活垃圾2次，保证楼内无垃圾积压；垃圾箱（桶）内外保持清洁；及时处理、更换垃圾袋，无散乱垃圾，无积水，无异味，各类垃圾运到医院指定地点，并对专用运送垃圾器具进行维护。</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10）医院感控方面的擦拭、工具管理：按医院感染管理科要求做好物品表面消毒擦拭工作，为防止交叉感染，对不同区域的清洁工具按院感要求实行严格分类摆放和使用，用颜色、字标等方式进行区分；提供干净、足量的拖把头，拖把头按要求统一清洗。如医院感染管理方面的服务内容发生变化，中标人需配合完成将发生变化的服务内容。</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（11）当院方有特殊任务，如创卫创文活动、各类检查、庆典活动、科室调整等，中标人应按照医院要求无条件配合保洁。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（12）当遇到暴雨、台风、下雪等恶劣天气，物业管理公司需及时做好相关应急处置工作，必要时无条件安排值班，确保医疗工作正常开展。</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（13）保洁过程中及时关闭走廊和各间办公室、诊疗室、病房、卫生间等的照明灯、水龙头、空调等，如发现损坏及时与护士长、物业主管联系报修。</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（14）协助医院做好禁烟工作，做好保洁区域内的烟蒂清扫工作，并主动劝阻病员及其家属不要吸烟。</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保洁其他相关要求：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（1）要有“过紧日子”思想，做好节能工作，管理好空调、</w:t>
      </w:r>
      <w:r>
        <w:rPr>
          <w:rFonts w:hint="eastAsia" w:ascii="宋体" w:hAnsi="宋体" w:cs="宋体"/>
          <w:color w:val="auto"/>
          <w:sz w:val="24"/>
          <w:szCs w:val="20"/>
          <w:highlight w:val="none"/>
        </w:rPr>
        <w:t xml:space="preserve">照明</w:t>
      </w:r>
      <w:r>
        <w:rPr>
          <w:rFonts w:hint="eastAsia" w:ascii="宋体" w:hAnsi="宋体" w:cs="宋体"/>
          <w:color w:val="auto"/>
          <w:sz w:val="24"/>
          <w:szCs w:val="20"/>
          <w:highlight w:val="none"/>
          <w:lang w:val="zh-TW"/>
        </w:rPr>
        <w:t xml:space="preserve">灯、水龙头等开关，以及在合理时间给房间通风。</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（2）员工应精神健康，有爱心、耐心，服从科室安排与保证员工的稳定性，不能因员工变动影响工作。</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（3）日常保洁工作时间根据医院要求进行合理安排，当院方有特殊任务如创卫创文活动、各类检查、庆典活动等，中标人应无条件配合医院延长工作时间。</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（4）采取科学环保的方式进行保洁服务。</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保洁服务所需的设备以及使用清洁剂、地面保养剂的要求：提供使用的设备、清洁、洗涤剂、消毒剂、地面保养产品，必须是通过国家相关部门审批并予以使用的优质产品，符合绿色环保要求，并要求符合医院感染管理科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（6）保洁的工作质量应符合国家卫生城市和医院管理相关法律法规的有关标准。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（7）如未详尽事宜以实际操作情况为准。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保洁服务具体范围和内容明细表</w:t>
      </w:r>
      <w:r/>
    </w:p>
    <w:tbl>
      <w:tblPr>
        <w:tblStyle w:val="7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000"/>
        <w:gridCol w:w="4415"/>
        <w:gridCol w:w="3283"/>
      </w:tblGrid>
      <w:tr>
        <w:trPr>
          <w:trHeight w:val="587"/>
        </w:trPr>
        <w:tc>
          <w:tcPr>
            <w:tcBorders>
              <w:bottom w:val="single" w:color="auto" w:sz="4" w:space="0"/>
            </w:tcBorders>
            <w:tcW w:w="704" w:type="dxa"/>
            <w:vAlign w:val="center"/>
            <w:textDirection w:val="lrTb"/>
            <w:noWrap/>
          </w:tcPr>
          <w:p>
            <w:pPr>
              <w:jc w:val="center"/>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分类</w:t>
            </w:r>
            <w:r/>
          </w:p>
        </w:tc>
        <w:tc>
          <w:tcPr>
            <w:tcBorders>
              <w:bottom w:val="single" w:color="auto" w:sz="4" w:space="0"/>
            </w:tcBorders>
            <w:tcW w:w="1000" w:type="dxa"/>
            <w:vAlign w:val="center"/>
            <w:textDirection w:val="lrTb"/>
            <w:noWrap/>
          </w:tcPr>
          <w:p>
            <w:pPr>
              <w:jc w:val="center"/>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区域</w:t>
            </w:r>
            <w:r/>
          </w:p>
        </w:tc>
        <w:tc>
          <w:tcPr>
            <w:tcW w:w="4415" w:type="dxa"/>
            <w:vAlign w:val="center"/>
            <w:textDirection w:val="lrTb"/>
            <w:noWrap/>
          </w:tcPr>
          <w:p>
            <w:pPr>
              <w:ind w:firstLine="480"/>
              <w:jc w:val="center"/>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内容</w:t>
            </w:r>
            <w:r/>
          </w:p>
        </w:tc>
        <w:tc>
          <w:tcPr>
            <w:tcW w:w="3283" w:type="dxa"/>
            <w:vAlign w:val="center"/>
            <w:textDirection w:val="lrTb"/>
            <w:noWrap/>
          </w:tcPr>
          <w:p>
            <w:pPr>
              <w:ind w:firstLine="480"/>
              <w:jc w:val="center"/>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要求</w:t>
            </w:r>
            <w:r/>
          </w:p>
        </w:tc>
      </w:tr>
      <w:tr>
        <w:trPr>
          <w:trHeight w:val="1364"/>
        </w:trPr>
        <w:tc>
          <w:tcPr>
            <w:tcBorders>
              <w:top w:val="single" w:color="auto" w:sz="4" w:space="0"/>
              <w:left w:val="single" w:color="auto" w:sz="4" w:space="0"/>
              <w:bottom w:val="none" w:color="000000" w:sz="4" w:space="0"/>
            </w:tcBorders>
            <w:tcW w:w="704" w:type="dxa"/>
            <w:vAlign w:val="center"/>
            <w:vMerge w:val="restart"/>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室外环境</w:t>
            </w:r>
            <w:r/>
          </w:p>
        </w:tc>
        <w:tc>
          <w:tcPr>
            <w:tcBorders>
              <w:top w:val="single" w:color="auto" w:sz="4" w:space="0"/>
              <w:bottom w:val="none" w:color="000000" w:sz="4" w:space="0"/>
              <w:right w:val="single" w:color="auto" w:sz="4" w:space="0"/>
            </w:tcBorders>
            <w:tcW w:w="1000" w:type="dxa"/>
            <w:vAlign w:val="center"/>
            <w:vMerge w:val="restart"/>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道路</w:t>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医院所有道路全天候保持干净，无明显泥沙、污垢、积水、树叶等。</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每100平方米范围内烟头、果皮、纸屑等污物平均不超过2处。</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无体积1厘米以上的石子且应在15分钟内及时清除掉。</w:t>
            </w:r>
            <w:r/>
          </w:p>
        </w:tc>
      </w:tr>
      <w:tr>
        <w:trPr>
          <w:trHeight w:val="1091"/>
        </w:trPr>
        <w:tc>
          <w:tcPr>
            <w:tcBorders>
              <w:top w:val="none" w:color="000000" w:sz="4" w:space="0"/>
              <w:left w:val="single" w:color="auto" w:sz="4" w:space="0"/>
              <w:bottom w:val="none" w:color="000000"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top w:val="none" w:color="000000" w:sz="4" w:space="0"/>
              <w:right w:val="single" w:color="auto" w:sz="4" w:space="0"/>
            </w:tcBorders>
            <w:tcW w:w="1000"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院区道路保持干燥，尤其雨天、雪天要加强管理，及时清扫积雪、为防止地面上冻需及时撒盐解冻，坡道等易滑处放置防滑地垫，防止行人摔伤，确保安全。</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事先备好防滑用具、有防滑措施及警示标识。</w:t>
            </w:r>
            <w:r/>
          </w:p>
        </w:tc>
      </w:tr>
      <w:tr>
        <w:trPr>
          <w:trHeight w:val="1259"/>
        </w:trPr>
        <w:tc>
          <w:tcPr>
            <w:tcBorders>
              <w:top w:val="none" w:color="000000" w:sz="4" w:space="0"/>
              <w:left w:val="single" w:color="auto" w:sz="4" w:space="0"/>
              <w:bottom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bottom w:val="single" w:color="auto" w:sz="4" w:space="0"/>
              <w:right w:val="single" w:color="auto" w:sz="4" w:space="0"/>
            </w:tcBorders>
            <w:tcW w:w="1000" w:type="dxa"/>
            <w:vAlign w:val="center"/>
            <w:vMerge w:val="restart"/>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公共设施</w:t>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院内各处严禁张贴小广告，外墙面转角处无积土、垃圾；宣传栏无乱贴现象，金属门和金属护板保持干净光亮，无污渍、无脚踢印迹、无锈迹。</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每日巡查不得少于2次，有记录有整改。</w:t>
            </w:r>
            <w:r/>
          </w:p>
        </w:tc>
      </w:tr>
      <w:tr>
        <w:trPr>
          <w:trHeight w:val="1364"/>
        </w:trPr>
        <w:tc>
          <w:tcPr>
            <w:tcBorders>
              <w:top w:val="single" w:color="auto" w:sz="4" w:space="0"/>
              <w:left w:val="single" w:color="auto" w:sz="4" w:space="0"/>
              <w:bottom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top w:val="single" w:color="auto" w:sz="4" w:space="0"/>
              <w:bottom w:val="single" w:color="auto" w:sz="4" w:space="0"/>
              <w:right w:val="single" w:color="auto" w:sz="4" w:space="0"/>
            </w:tcBorders>
            <w:tcW w:w="1000"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标识牌、介绍栏、宣传栏、雕塑像、软门帘、冬季棉帘等公共设施目视无明显灰尘；平台、转换层无积水、杂物；明管线槽板无灰尘，雨棚目视无垃圾、青苔、积水、污迹；明沟通畅，无污物堆积。</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每日巡查不得少于2次，有记录有整改。</w:t>
            </w:r>
            <w:r/>
          </w:p>
        </w:tc>
      </w:tr>
      <w:tr>
        <w:trPr>
          <w:trHeight w:val="722"/>
        </w:trPr>
        <w:tc>
          <w:tcPr>
            <w:tcBorders>
              <w:top w:val="single" w:color="auto" w:sz="4" w:space="0"/>
              <w:left w:val="single" w:color="auto" w:sz="4" w:space="0"/>
              <w:bottom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top w:val="single" w:color="auto" w:sz="4" w:space="0"/>
              <w:bottom w:val="single" w:color="auto" w:sz="4" w:space="0"/>
              <w:right w:val="single" w:color="auto" w:sz="4" w:space="0"/>
            </w:tcBorders>
            <w:tcW w:w="1000"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定期检查污水池、窖井、化粪池，确保排水通畅，无外溢，箅子内无纸屑、烟头，盖上无污泥。</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排水通畅、设施及周围环境清洁、整齐。</w:t>
            </w:r>
            <w:r/>
          </w:p>
        </w:tc>
      </w:tr>
      <w:tr>
        <w:trPr>
          <w:trHeight w:val="625"/>
        </w:trPr>
        <w:tc>
          <w:tcPr>
            <w:tcBorders>
              <w:top w:val="single" w:color="auto" w:sz="4" w:space="0"/>
              <w:left w:val="single" w:color="auto" w:sz="4" w:space="0"/>
              <w:bottom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top w:val="single" w:color="auto" w:sz="4" w:space="0"/>
              <w:bottom w:val="single" w:color="auto" w:sz="4" w:space="0"/>
              <w:right w:val="single" w:color="auto" w:sz="4" w:space="0"/>
            </w:tcBorders>
            <w:tcW w:w="1000"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left w:val="single" w:color="auto" w:sz="4" w:space="0"/>
            </w:tcBorders>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室外垃圾箱、室内垃圾桶要按规定及时清运，地面不积水，每天及时清洗，无异味。</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设施及周围环境清洁、整齐。</w:t>
            </w:r>
            <w:r/>
          </w:p>
        </w:tc>
      </w:tr>
      <w:tr>
        <w:trPr>
          <w:trHeight w:val="839"/>
        </w:trPr>
        <w:tc>
          <w:tcPr>
            <w:gridSpan w:val="2"/>
            <w:tcBorders>
              <w:top w:val="single" w:color="auto" w:sz="4" w:space="0"/>
            </w:tcBorders>
            <w:tcW w:w="1704"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停车场</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停车场（含地面及地下停车场）、电动车车棚：无杂物、纸屑、油污，棚上无垃圾、蜘蛛网；地面清洁、无扬尘，无积水。</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环境清洁。</w:t>
            </w:r>
            <w:r/>
          </w:p>
        </w:tc>
      </w:tr>
      <w:tr>
        <w:trPr>
          <w:trHeight w:val="842"/>
        </w:trPr>
        <w:tc>
          <w:tcPr>
            <w:gridSpan w:val="2"/>
            <w:tcW w:w="1704"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电梯</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保持电梯内的清洁，定时专业保养、消毒，轿厢无手印、无污渍、保持不锈钢表面有亮丽的金属光泽，电梯地面干净无杂物。自动扶梯扶手清洁。</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电梯内随时保养，每日消毒2次，</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专业保养一周2次。</w:t>
            </w:r>
            <w:r/>
          </w:p>
        </w:tc>
      </w:tr>
      <w:tr>
        <w:trPr>
          <w:trHeight w:val="1320"/>
        </w:trPr>
        <w:tc>
          <w:tcPr>
            <w:tcBorders>
              <w:bottom w:val="none" w:color="000000" w:sz="4" w:space="0"/>
            </w:tcBorders>
            <w:tcW w:w="704" w:type="dxa"/>
            <w:vAlign w:val="center"/>
            <w:vMerge w:val="restart"/>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病区</w:t>
            </w:r>
            <w:r/>
          </w:p>
        </w:tc>
        <w:tc>
          <w:tcPr>
            <w:tcW w:w="1000" w:type="dxa"/>
            <w:vAlign w:val="center"/>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办公区域</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保持主任办公室、医生办公室、值班室、更衣室、库房等清洁、整齐。门窗干净整洁，地面无水迹、无积尘、无脚踢印。电脑及其他管线干净无积灰。</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打扫频率：2次/日。地面湿滑时有警示标志。</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PVC地面每三个月打蜡一次。</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（中标后，合同履行过程中提供记录备查）</w:t>
            </w:r>
            <w:r/>
          </w:p>
        </w:tc>
      </w:tr>
      <w:tr>
        <w:trPr>
          <w:trHeight w:val="1412"/>
        </w:trPr>
        <w:tc>
          <w:tcPr>
            <w:tcBorders>
              <w:top w:val="none" w:color="000000" w:sz="4" w:space="0"/>
              <w:bottom w:val="none" w:color="000000"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W w:w="1000" w:type="dxa"/>
            <w:vAlign w:val="center"/>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公共区域</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保持走廊及消防通道的墙面、地面清洁，无水迹。污洗间、茶水间保持清洁、整齐，地面干燥无水迹，无异味、无杂物。卫生间清洁、无异味。垃圾桶及时更换。</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打扫频率：2次/日。每日三餐后，应保持病区走廊清洁、干燥，无污物。</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地面湿滑时有警示标志。PVC地面每三个月打蜡一次（提供记录备查）。</w:t>
            </w:r>
            <w:r/>
          </w:p>
        </w:tc>
      </w:tr>
      <w:tr>
        <w:trPr>
          <w:trHeight w:val="1506"/>
        </w:trPr>
        <w:tc>
          <w:tcPr>
            <w:tcBorders>
              <w:top w:val="none" w:color="000000" w:sz="4" w:space="0"/>
              <w:bottom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W w:w="1000" w:type="dxa"/>
            <w:vAlign w:val="center"/>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医疗区域</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保持各病房、治疗室、检查室、护士站、处置室等清洁、整齐，地面无水迹且门窗干净整洁。处置室保持干燥无水迹、无异味、无杂物。处置室内各种垃圾（包括治疗车上的利器盒）及时清理、更换。</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打扫频率：2次/日。地面湿滑时有警示标志。</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PVC地面每三个月打蜡一次（提供记录备查）。</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（中标后，合同履行过程中提供记录备查）</w:t>
            </w:r>
            <w:r/>
          </w:p>
        </w:tc>
      </w:tr>
      <w:tr>
        <w:trPr>
          <w:trHeight w:val="1260"/>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门诊</w:t>
            </w:r>
            <w:r/>
          </w:p>
        </w:tc>
        <w:tc>
          <w:tcPr>
            <w:tcBorders>
              <w:left w:val="single" w:color="auto" w:sz="4" w:space="0"/>
            </w:tcBorders>
            <w:tcW w:w="1000" w:type="dxa"/>
            <w:vAlign w:val="center"/>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诊疗区域</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保持各诊室清洁、整齐。门窗干净整洁，地面无水迹、无积尘、无脚踢印。电脑及其他管线干净无积灰。</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打扫频率：2次/日。地面湿滑时有警示标志。</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PVC地面每三个月打蜡一次（提供记录备查）。</w:t>
            </w:r>
            <w:r/>
          </w:p>
        </w:tc>
      </w:tr>
      <w:tr>
        <w:trPr>
          <w:trHeight w:val="491"/>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ind w:firstLine="480"/>
              <w:jc w:val="left"/>
              <w:spacing w:line="560" w:lineRule="exact"/>
              <w:widowControl/>
              <w:rPr>
                <w:rFonts w:ascii="宋体" w:hAnsi="宋体" w:cs="宋体"/>
                <w:color w:val="auto"/>
                <w:szCs w:val="16"/>
                <w:highlight w:val="none"/>
                <w:lang w:val="zh-TW"/>
              </w:rPr>
            </w:pPr>
            <w:r>
              <w:rPr>
                <w:rFonts w:ascii="宋体" w:hAnsi="宋体" w:cs="宋体"/>
                <w:color w:val="auto"/>
                <w:szCs w:val="16"/>
                <w:highlight w:val="none"/>
                <w:lang w:val="zh-TW"/>
              </w:rPr>
            </w:r>
            <w:r/>
          </w:p>
        </w:tc>
        <w:tc>
          <w:tcPr>
            <w:tcBorders>
              <w:left w:val="single" w:color="auto" w:sz="4" w:space="0"/>
            </w:tcBorders>
            <w:tcW w:w="1000" w:type="dxa"/>
            <w:vAlign w:val="center"/>
            <w:textDirection w:val="lrTb"/>
            <w:noWrap/>
          </w:tcPr>
          <w:p>
            <w:pPr>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公共区域</w:t>
            </w:r>
            <w:r/>
          </w:p>
        </w:tc>
        <w:tc>
          <w:tcPr>
            <w:tcW w:w="4415"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保持走廊及消防通道的墙面、地面清洁，无水迹。污洗间、茶水间保持清洁、整齐，地面干燥无水迹，无异味、无杂物。卫生间清洁、无异味。垃圾桶及时更换。</w:t>
            </w:r>
            <w:r/>
          </w:p>
        </w:tc>
        <w:tc>
          <w:tcPr>
            <w:tcW w:w="3283" w:type="dxa"/>
            <w:vAlign w:val="center"/>
            <w:textDirection w:val="lrTb"/>
            <w:noWrap/>
          </w:tcPr>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打扫频率：2次/日。每日三餐后，应保持病区走廊清洁、干燥，无污物。</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地面湿滑时有警示标志。PVC地面每三个月打蜡一次。</w:t>
            </w:r>
            <w:r/>
          </w:p>
          <w:p>
            <w:pPr>
              <w:ind w:firstLine="480"/>
              <w:jc w:val="left"/>
              <w:spacing w:line="560" w:lineRule="exact"/>
              <w:widowControl/>
              <w:rPr>
                <w:rFonts w:ascii="宋体" w:hAnsi="宋体" w:cs="宋体"/>
                <w:color w:val="auto"/>
                <w:szCs w:val="16"/>
                <w:highlight w:val="none"/>
                <w:lang w:val="zh-TW"/>
              </w:rPr>
            </w:pPr>
            <w:r>
              <w:rPr>
                <w:rFonts w:hint="eastAsia" w:ascii="宋体" w:hAnsi="宋体" w:cs="宋体"/>
                <w:color w:val="auto"/>
                <w:szCs w:val="16"/>
                <w:highlight w:val="none"/>
                <w:lang w:val="zh-TW"/>
              </w:rPr>
              <w:t xml:space="preserve">（中标后，合同履行过程中提供记录备查）</w:t>
            </w:r>
            <w:r/>
          </w:p>
        </w:tc>
      </w:tr>
    </w:tbl>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2.4.3</w:t>
      </w:r>
      <w:r>
        <w:rPr>
          <w:rFonts w:hint="eastAsia" w:ascii="宋体" w:hAnsi="宋体" w:cs="宋体"/>
          <w:b/>
          <w:bCs/>
          <w:color w:val="auto"/>
          <w:sz w:val="24"/>
          <w:szCs w:val="20"/>
          <w:highlight w:val="none"/>
          <w:lang w:val="zh-TW"/>
        </w:rPr>
        <w:t xml:space="preserve">洗衣房洗涤服务人员要求（7人）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1）根据医院的具体情况设置工作流程和工作时间，牢固树立优质服务意识。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依据《医院医用织物洗涤消毒技术规范》，管理洗衣房、工作人员、设施设备等。做好医用织物，包括：患者使用的衣物、床单、被罩、枕套，工作人员使用的工作服、帽，手术衣、手术铺单，病床隔帘、窗帘以及环境清洁使用的布巾、地巾等的分类收集、洗涤、下收、下送、缝补、折叠、熨烫工作。</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3）负责洗衣房及建筑周边的卫生清洁工作。</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4）建立健全洗衣房洗涤消毒管理，洗涤剂、消毒剂及消毒器械使用，设备运行、维护和管理台帐制度，如实填写记录，并妥善保存，防止安全事故发生。</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5）节约用料，废旧材料要回收，不允许将医院的公共物资送人或占为己有。</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6）做好临时性应急洗涤工作。</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b/>
          <w:bCs/>
          <w:color w:val="auto"/>
          <w:sz w:val="24"/>
          <w:szCs w:val="20"/>
          <w:highlight w:val="none"/>
        </w:rPr>
        <w:t xml:space="preserve">2.4.4</w:t>
      </w:r>
      <w:r>
        <w:rPr>
          <w:rFonts w:hint="eastAsia" w:ascii="宋体" w:hAnsi="宋体" w:cs="宋体"/>
          <w:b/>
          <w:bCs/>
          <w:color w:val="auto"/>
          <w:sz w:val="24"/>
          <w:szCs w:val="20"/>
          <w:highlight w:val="none"/>
          <w:lang w:val="zh-TW"/>
        </w:rPr>
        <w:t xml:space="preserve">病员服务中心陪检配送人员（院方配有轨道物流系统）（6人）、卫材库物资接收下送人员（1人）要求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1）标本送检：血液、体液、组织、空气培养等标本送检；</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2）病员接送：手术病人接送；门诊（重、弱、残、老年患者及其他需要帮助的就诊病人）和住院病人转诊；</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3）病员陪检：住院病人、门诊重病人各项检查接送与陪同；</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4）药品配送：住院病人常规和临时药品取送；静配中心药品取送；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5）物品运送：消毒液下送、供应室消毒包送取、部分试管取送（大小便盒、痰盒、培养管等）、小型仪器维修送取、家具和设备搬运（不包含科室/部门整体搬迁及需动用机械搬迁的搬运）；</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6）单据递送：各类诊断报告（包含影像片）递送等；</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7）仓库物资供应（总务、设备、药库等）：根据各科室的工作要求，将药库（含病区药房）、总务库房、卫材库内物资按相关要求送至所需科室，并自觉遵守仓库的各项规章制度。收取临床、医技等科室申请单，根据申请单下送各科室物资；</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8）检验中心：标本接收、分检、内部递送等；</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9）绿色通道：负责协助医护人员急救病人的搬运工作；接到急救指令后携带平车或轮椅及时到位；在工作中要做到不怕脏、不怕累，树立全心全意为人民服务的思想；</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10）病员服务中心实行24小时值班制。</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2.4.5</w:t>
      </w:r>
      <w:r>
        <w:rPr>
          <w:rFonts w:hint="eastAsia" w:ascii="宋体" w:hAnsi="宋体" w:cs="宋体"/>
          <w:b/>
          <w:bCs/>
          <w:color w:val="auto"/>
          <w:sz w:val="24"/>
          <w:szCs w:val="20"/>
          <w:highlight w:val="none"/>
          <w:lang w:val="zh-TW"/>
        </w:rPr>
        <w:t xml:space="preserve">后勤技术人员要求（13人）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总体要求：工作主动、积极，服从医院管理，服务意识强，廉洁奉公，遵纪守法，爱护公共财产，持有相应岗位的资格证书（高压电工证、低压电工证、制冷与空调设备运行操作证、特种设备作业证），</w:t>
      </w:r>
      <w:r>
        <w:rPr>
          <w:rFonts w:hint="eastAsia" w:ascii="宋体" w:hAnsi="宋体" w:cs="宋体"/>
          <w:b w:val="0"/>
          <w:bCs w:val="0"/>
          <w:color w:val="ff0000"/>
          <w:sz w:val="24"/>
          <w:szCs w:val="20"/>
          <w:highlight w:val="none"/>
          <w:lang w:val="en-US" w:eastAsia="zh-CN"/>
        </w:rPr>
        <w:t xml:space="preserve">中标后，中标人需在进场之前提供配备的所有服务人员相关证明供医院归口管理科室进行备案，投标时无需提供</w:t>
      </w:r>
      <w:r>
        <w:rPr>
          <w:rFonts w:hint="eastAsia" w:ascii="宋体" w:hAnsi="宋体" w:cs="宋体"/>
          <w:b w:val="0"/>
          <w:bCs w:val="0"/>
          <w:color w:val="ff0000"/>
          <w:sz w:val="24"/>
          <w:szCs w:val="20"/>
          <w:highlight w:val="none"/>
          <w:lang w:val="zh-TW"/>
        </w:rPr>
        <w:t xml:space="preserve">。</w:t>
      </w:r>
      <w:r>
        <w:rPr>
          <w:rFonts w:hint="eastAsia" w:ascii="宋体" w:hAnsi="宋体" w:cs="宋体"/>
          <w:color w:val="auto"/>
          <w:sz w:val="24"/>
          <w:szCs w:val="20"/>
          <w:highlight w:val="none"/>
          <w:lang w:val="zh-TW"/>
        </w:rPr>
        <w:t xml:space="preserve">做好全院配电房、开闭所、热交换站、空调机房、二次供水系统等运行、维修保障，牢固树立安全第一意识，提供优质服务。</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具体要求：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电工（6人）：遵守医院的各项规章制度，服从医院的各项安排，按照《电工安全技术操作规程》要求，严格遵守各项操作规程，禁止违章作业，防止安全事故发生。配电房按相关规章、要求管理，实行24小时值班制，做好相应值守工作。能独立完成零星电设施设备的布线、架设、安装等任务，当发生意外供电事故时，要立即到现场排查原因、启动应急预案并做出相应处置。</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明确其中一名电工除常规工作外负责整个水电班组的管理工作，该人员需熟悉医院电力设备的运行原理和操作方法，有较强的责任心，具备良好的沟通能力、执行力及团队协作能力，合理安排水电班组各项工作，定期组织水电班组成员开展业务学习，确保水电班组成员的能力提升，每年至少一次组织应急抢险和突发事故（如停电、停水等）的应急演练，负责水电耗材的领用，合理使用水电耗材，杜绝浪费。</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热交换站（2人）：机房每日1次巡视，检查督促安全、节约用汽制度的执行，发现问题及时解决。热交换站按相关规章、要求管理，能独立完成设备操作，当发生意外停汽等事故时，要立即赶到现场并做出妥善处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空调机房（2人）：实行24小时值班制，按相关规章、要求做好空调机房运行管理工作，能独立完成机房常规性值班、机房范畴内设备的维保管理服务等；当发生意外冷热气事故时，要立即赶到现场并做出妥善处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水工（1人）：实行值班制，每日至少1次巡视全院水、卫设施等，重点区域（如手术室、产房、术后观察病房、NICU、PICU、OICU、检验科、放射科、B超室、病理科、人流室、消毒供应中心、生活水泵房等）及公共卫生间，检查督促节约用水制度的执行情况，发现问题及时解决。能独立完成零星水设施设备的布线、架设、安装等任务，依据《盐城市市区二次供水管理办法》，执行二次供水系统的运行、维护和管理，能独立完成二次供水系统的操作等任务。当发生意外供水事故时，要立即赶到现场并做出妥善处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中心供氧、供气（2人）：每日1次巡检重点区域（如手术室、产房、新生儿科、术后观察病房、NICU、PICU、OICU、液氧站等），发现问题及时解决。能独立完成零星设施设备操作任务，当发生意外供氧、供气事故时，要立即赶到现场并做出妥善处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6）建立健全专业工种的运行、维护和管理台帐制度，如实填写运行、巡查、维修记录，并妥善保存。</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7）按时做好有关设施设备的年检、验证、验照工作。</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8）及时维修科室的报修问题，力争把损失降到最小。节约用料，不得大材小用，余料、废旧材料要回收，不允许将医院的公共材料送人或占为己有。</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9）有义务对各专业的合理使用提出意见和建议，并能有创造性地工作，防止安全事故发生。</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10）配合医院的智能化建设，努力钻研专科业务，掌握智能监控技术。</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11）完成临时交办的其他任务。</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2.4.6</w:t>
      </w:r>
      <w:r>
        <w:rPr>
          <w:rFonts w:hint="eastAsia" w:ascii="宋体" w:hAnsi="宋体" w:cs="宋体"/>
          <w:b/>
          <w:bCs/>
          <w:color w:val="auto"/>
          <w:sz w:val="24"/>
          <w:szCs w:val="20"/>
          <w:highlight w:val="none"/>
          <w:lang w:val="zh-TW"/>
        </w:rPr>
        <w:t xml:space="preserve">医疗废物收集转运和管理人员要求（2人）</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w:t>
      </w: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TW"/>
        </w:rPr>
        <w:t xml:space="preserve">）每日上、下午各1次至各科室收集医疗废物，按要求进行分类收集、转运、暂时贮存、处置，科室产生的医疗废物日产日清，暂时贮存的时间不得超过2天；医疗废物按指定路线转运至医院规定的暂存点，与医疗废物集中处置单位做好交接转移手续，</w:t>
      </w:r>
      <w:r>
        <w:rPr>
          <w:rFonts w:hint="eastAsia" w:ascii="宋体" w:hAnsi="宋体" w:cs="宋体"/>
          <w:color w:val="auto"/>
          <w:sz w:val="24"/>
          <w:szCs w:val="20"/>
          <w:highlight w:val="none"/>
          <w:lang w:val="zh-TW"/>
        </w:rPr>
        <w:t xml:space="preserve">严禁流失、泄漏、扩散；对暂存点、设施、专用运送器具等进行及时清洁、消毒、维护，收集箱（桶）内外保持清洁；台账完善，做好相关记录、签字，内容应当包括医疗废物的来源、种类、重量或者数量、交接时间、最终去向以及经办人签名等项目。医疗废物院内交接资料保存 3 年、转移联单保存 5 年。依据《中华人民共和国传染病防治法》、《中华人民共和国固体废物污染环境防治法》、《江苏省固体废物污染环境防治条例》、《医疗废物管理条例》、《医疗卫生机构医疗废物管理办法》、《医疗废物分类目录》等有关法律法规，对医疗废物负责人员进行培训。</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w:t>
      </w:r>
      <w:r>
        <w:rPr>
          <w:rFonts w:hint="eastAsia" w:ascii="宋体" w:hAnsi="宋体" w:cs="宋体"/>
          <w:color w:val="auto"/>
          <w:sz w:val="24"/>
          <w:szCs w:val="20"/>
          <w:highlight w:val="none"/>
        </w:rPr>
        <w:t xml:space="preserve">2</w:t>
      </w:r>
      <w:r>
        <w:rPr>
          <w:rFonts w:hint="eastAsia" w:ascii="宋体" w:hAnsi="宋体" w:cs="宋体"/>
          <w:color w:val="auto"/>
          <w:sz w:val="24"/>
          <w:szCs w:val="20"/>
          <w:highlight w:val="none"/>
          <w:lang w:val="zh-TW"/>
        </w:rPr>
        <w:t xml:space="preserve">）未被污染输液瓶（袋）收集要求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严格贯彻落实国家卫生健康委《关于在医疗机构推进生活垃圾分类</w:t>
      </w:r>
      <w:r>
        <w:rPr>
          <w:rFonts w:hint="eastAsia" w:ascii="宋体" w:hAnsi="宋体" w:cs="宋体"/>
          <w:color w:val="auto"/>
          <w:sz w:val="24"/>
          <w:szCs w:val="20"/>
          <w:highlight w:val="none"/>
          <w:lang w:val="zh-TW"/>
        </w:rPr>
        <w:t xml:space="preserve">管理的通知》（国卫办医发〔2017〕30号）和省卫健委《关于切实做好医疗卫生机构使用后未被污染输液瓶（袋）管理工作的通知》（苏卫医政〔2017〕58号）要求，确保未被污染输液瓶（袋）规范收集与处置。各科室保洁须严格按照塑料类、玻璃药瓶类进行分类收集，严禁私自买卖，每日下午4点前，将分类收集的未被污染输液瓶（袋）送至指定暂存点，并定期对暂存点进行清洁、消毒，确保环境卫生。与相关科室及回收单位交接时，须详细记录转运种类（玻璃与塑料）、转运数量（袋数与重量）、交接时间、交接人员等信息，交接记录应完整保存至少3年。</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2.4.7</w:t>
      </w:r>
      <w:r>
        <w:rPr>
          <w:rFonts w:hint="eastAsia" w:ascii="宋体" w:hAnsi="宋体" w:cs="宋体"/>
          <w:b/>
          <w:bCs/>
          <w:color w:val="auto"/>
          <w:sz w:val="24"/>
          <w:szCs w:val="20"/>
          <w:highlight w:val="none"/>
          <w:lang w:val="zh-TW"/>
        </w:rPr>
        <w:t xml:space="preserve">控虫灭鼠除“四害”服务标准及要求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负责蚊、蝇、蟑螂、老鼠的灭杀及孳生控制技术服务，达到国家和江苏省除“四害”管理规定执行的标准。中标后，中标人须提供相关物理设备和化学药物。5月至10月每月不得少于4次大规模作业，11月至4月每月不得少于2次大规模作业。如有紧急情况，中标人须在2小时内赶到现场解决问题。</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2）按照全国爱卫会关于印发《鼠、蚊、蝇、蟑螂控制标准》及《鼠、蚊、蝇、蟑螂控制考核鉴定办法》的通知中要求执行。</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特别说明：除“四害”服务单位具备有效的爱卫机构颁发的除“四害”专业服务技术质量认定证书或城市害虫灭杀相关资质，</w:t>
      </w:r>
      <w:r>
        <w:rPr>
          <w:rFonts w:hint="eastAsia" w:ascii="宋体" w:hAnsi="宋体" w:cs="宋体"/>
          <w:color w:val="auto"/>
          <w:sz w:val="24"/>
          <w:szCs w:val="20"/>
          <w:highlight w:val="none"/>
          <w:lang w:val="en-US" w:eastAsia="zh-CN"/>
        </w:rPr>
        <w:t xml:space="preserve">中标后，</w:t>
      </w:r>
      <w:r>
        <w:rPr>
          <w:rFonts w:hint="eastAsia" w:ascii="宋体" w:hAnsi="宋体" w:cs="宋体"/>
          <w:color w:val="ff0000"/>
          <w:sz w:val="24"/>
          <w:szCs w:val="20"/>
          <w:highlight w:val="none"/>
          <w:lang w:val="zh-TW"/>
        </w:rPr>
        <w:t xml:space="preserve">中标人需</w:t>
      </w:r>
      <w:r>
        <w:rPr>
          <w:rFonts w:hint="eastAsia" w:ascii="宋体" w:hAnsi="宋体" w:cs="宋体"/>
          <w:color w:val="ff0000"/>
          <w:sz w:val="24"/>
          <w:szCs w:val="20"/>
          <w:highlight w:val="none"/>
          <w:lang w:val="en-US" w:eastAsia="zh-CN"/>
        </w:rPr>
        <w:t xml:space="preserve">在进场</w:t>
      </w:r>
      <w:r>
        <w:rPr>
          <w:rFonts w:hint="eastAsia" w:ascii="宋体" w:hAnsi="宋体" w:cs="宋体"/>
          <w:color w:val="ff0000"/>
          <w:sz w:val="24"/>
          <w:szCs w:val="20"/>
          <w:highlight w:val="none"/>
          <w:lang w:val="zh-TW"/>
        </w:rPr>
        <w:t xml:space="preserve">之前提供相关</w:t>
      </w:r>
      <w:r>
        <w:rPr>
          <w:rFonts w:hint="eastAsia" w:ascii="宋体" w:hAnsi="宋体" w:cs="宋体"/>
          <w:color w:val="ff0000"/>
          <w:sz w:val="24"/>
          <w:szCs w:val="20"/>
          <w:highlight w:val="none"/>
          <w:lang w:val="en-US" w:eastAsia="zh-CN"/>
        </w:rPr>
        <w:t xml:space="preserve">资质证书</w:t>
      </w:r>
      <w:r>
        <w:rPr>
          <w:rFonts w:hint="eastAsia" w:ascii="宋体" w:hAnsi="宋体" w:cs="宋体"/>
          <w:color w:val="ff0000"/>
          <w:sz w:val="24"/>
          <w:szCs w:val="20"/>
          <w:highlight w:val="none"/>
          <w:lang w:val="zh-TW"/>
        </w:rPr>
        <w:t xml:space="preserve">供医院归口管理科室进行备案，投标时无需提供。</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2.4.8</w:t>
      </w:r>
      <w:r>
        <w:rPr>
          <w:rFonts w:hint="eastAsia" w:ascii="宋体" w:hAnsi="宋体" w:cs="宋体"/>
          <w:b/>
          <w:bCs/>
          <w:color w:val="auto"/>
          <w:sz w:val="24"/>
          <w:szCs w:val="20"/>
          <w:highlight w:val="none"/>
          <w:lang w:val="zh-TW"/>
        </w:rPr>
        <w:t xml:space="preserve">室外绿化维护要求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1）浇水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对多种乔木、灌木、地被、草坪要适时适量浇水，保证水分满足植物的生长需要，无因干旱而造成植物枯萎旱死情况。</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2）施肥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对生长不旺的地被、草坪要适时适量施肥增壮。对肥料用完后的各类包装物，不得随地丢弃，要在施肥结束后，捡拾整理后集中清理。</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3）杀菌灭虫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经常观察乔木、灌木、地被、花卉、草坪的生长情况，掌握多种病、虫害的发生规律，在病、虫害易发和高发期前，普遍施药预防，每月二到三次，一旦发现病、虫害，要立即施药杀灭，勿使其蔓延泛滥。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4）修剪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多种灌木及绿篱造型每月修剪一次，保持顶面，两侧平整。无枯死干黄枝叶。修剪后散落在顶面、两侧周围的枝叶，要及时清理干净，倒到附近垃圾箱内或指定地点。 </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对多种乔木，每年冬季对树冠树型进行一次全面修整，伐除重生叠压、低垂、过密、不利枝干生长和有碍树型的枝条和多种雍枝，并对寄生在树干枝条上的多种虫包囊进行清除，每月根据苗木生长情况及现场实际情况修剪一到两次。</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5）草坪维护养护措施</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本项目草坪面积较大，且草坪是校园植物景观的背景，是“绿量”的主要来源。草坪景观的好坏，决定着整个校园植物景观的效果，所以草坪维护养护是重中之重。根据草坪生长情况定期对草坪进行修剪、浇水、清除杂草、病虫防治以及补草坪。</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2.4.9</w:t>
      </w:r>
      <w:r>
        <w:rPr>
          <w:rFonts w:hint="eastAsia" w:ascii="宋体" w:hAnsi="宋体" w:cs="宋体"/>
          <w:b/>
          <w:bCs/>
          <w:color w:val="auto"/>
          <w:sz w:val="24"/>
          <w:szCs w:val="20"/>
          <w:highlight w:val="none"/>
          <w:lang w:val="zh-TW"/>
        </w:rPr>
        <w:t xml:space="preserve">其他服务要求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1）接受科室常规性、指令性、随机性等工作（比如家具、设备搬运等）。</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2）每月至少一次对门诊楼、病房楼、附属用房等屋面进行卫生打扫，在梅雨季节前需加强清扫频次，并做好记录，确保屋面卫生干净、整洁。</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3）遇有重大活动或重大节日，中标人可另外抽调人员进行突击服务。</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2.4.10</w:t>
      </w:r>
      <w:r>
        <w:rPr>
          <w:rFonts w:hint="eastAsia" w:ascii="宋体" w:hAnsi="宋体" w:cs="宋体"/>
          <w:b/>
          <w:bCs/>
          <w:color w:val="auto"/>
          <w:sz w:val="24"/>
          <w:szCs w:val="20"/>
          <w:highlight w:val="none"/>
          <w:lang w:val="zh-TW"/>
        </w:rPr>
        <w:t xml:space="preserve">采购人提供的条件</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1）采购人按照规定在物业管理区域内配置必要的物业管理用房。</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2）物业管理用房的所有权依法属于采购人。未经采购人同意，物业管理企业不得改变物业管理用房的用途。</w:t>
      </w:r>
      <w:r/>
    </w:p>
    <w:p>
      <w:pPr>
        <w:ind w:firstLine="480"/>
        <w:jc w:val="left"/>
        <w:spacing w:line="560" w:lineRule="exact"/>
        <w:widowControl/>
        <w:rPr>
          <w:rFonts w:ascii="宋体" w:hAnsi="宋体" w:cs="宋体"/>
          <w:b/>
          <w:bCs/>
          <w:color w:val="auto"/>
          <w:sz w:val="24"/>
          <w:szCs w:val="20"/>
          <w:highlight w:val="none"/>
          <w:lang w:val="zh-TW"/>
        </w:rPr>
      </w:pPr>
      <w:r>
        <w:rPr>
          <w:rFonts w:hint="eastAsia" w:ascii="宋体" w:hAnsi="宋体" w:cs="宋体"/>
          <w:b/>
          <w:bCs/>
          <w:color w:val="auto"/>
          <w:sz w:val="24"/>
          <w:szCs w:val="20"/>
          <w:highlight w:val="none"/>
        </w:rPr>
        <w:t xml:space="preserve">2.4.11</w:t>
      </w:r>
      <w:r>
        <w:rPr>
          <w:rFonts w:hint="eastAsia" w:ascii="宋体" w:hAnsi="宋体" w:cs="宋体"/>
          <w:b/>
          <w:bCs/>
          <w:color w:val="auto"/>
          <w:sz w:val="24"/>
          <w:szCs w:val="20"/>
          <w:highlight w:val="none"/>
          <w:lang w:val="zh-TW"/>
        </w:rPr>
        <w:t xml:space="preserve">物业人员设置及要求</w:t>
      </w:r>
      <w:r/>
    </w:p>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w:t>
      </w:r>
      <w:r>
        <w:rPr>
          <w:rFonts w:hint="eastAsia" w:ascii="宋体" w:hAnsi="宋体" w:cs="宋体"/>
          <w:b/>
          <w:bCs/>
          <w:color w:val="auto"/>
          <w:sz w:val="24"/>
          <w:szCs w:val="20"/>
          <w:highlight w:val="none"/>
          <w:lang w:val="zh-TW"/>
        </w:rPr>
        <w:t xml:space="preserve">物业人员设置详见附件：盐城市妇幼保健院物业点位人数。</w:t>
      </w:r>
      <w:r/>
    </w:p>
    <w:p>
      <w:pPr>
        <w:ind w:firstLine="480"/>
        <w:jc w:val="left"/>
        <w:spacing w:line="560" w:lineRule="exact"/>
        <w:widowControl/>
        <w:rPr>
          <w:rFonts w:ascii="宋体" w:hAnsi="宋体" w:cs="宋体"/>
          <w:color w:val="ff0000"/>
          <w:sz w:val="24"/>
          <w:szCs w:val="20"/>
          <w:highlight w:val="none"/>
          <w:lang w:val="zh-TW"/>
        </w:rPr>
      </w:pPr>
      <w:r>
        <w:rPr>
          <w:rFonts w:hint="eastAsia" w:ascii="宋体" w:hAnsi="宋体" w:cs="宋体"/>
          <w:color w:val="ff0000"/>
          <w:sz w:val="24"/>
          <w:szCs w:val="20"/>
          <w:highlight w:val="none"/>
          <w:lang w:val="zh-TW"/>
        </w:rPr>
        <w:t xml:space="preserve">2）根据医院要求，中标人应为本项目承包区域内各项服务工作配备足够人员。中标人要合法用工，并派用与医院后勤服务相适应的工人。所有人员必须遵守国家法律、法规及采购人的各项规章制度，具有良好素养和上岗资质，具有与工作相适应的文化程度，无不良记录及嗜好，爱岗敬业、工作勤快，礼貌待人、和蔼处事，相貌端正、身体健康（无重大器官残疾或传染疾病）。</w:t>
      </w:r>
      <w:r/>
    </w:p>
    <w:p>
      <w:pPr>
        <w:ind w:firstLine="480"/>
        <w:jc w:val="left"/>
        <w:spacing w:line="560" w:lineRule="exact"/>
        <w:widowControl/>
        <w:rPr>
          <w:rFonts w:hint="default" w:ascii="宋体" w:hAnsi="宋体" w:eastAsia="宋体" w:cs="宋体"/>
          <w:color w:val="ff0000"/>
          <w:sz w:val="24"/>
          <w:szCs w:val="20"/>
          <w:highlight w:val="none"/>
          <w:lang w:val="en-US" w:eastAsia="zh-CN"/>
        </w:rPr>
      </w:pPr>
      <w:r>
        <w:rPr>
          <w:rFonts w:hint="eastAsia" w:ascii="宋体" w:hAnsi="宋体" w:cs="宋体"/>
          <w:color w:val="auto"/>
          <w:sz w:val="24"/>
          <w:szCs w:val="20"/>
          <w:highlight w:val="none"/>
          <w:lang w:val="zh-TW"/>
        </w:rPr>
        <w:t xml:space="preserve">3）本项目配备的服务人员必须符合国家相关法律法规要求（包括国家劳动法和地方相关管理规定），中标人须保证配备的所有服务人员无刑事犯罪记录，持有健康的体检证明，参加相关的专业知识培训并取得相应专业岗位资格证。</w:t>
      </w:r>
      <w:r>
        <w:rPr>
          <w:rFonts w:hint="eastAsia" w:ascii="宋体" w:hAnsi="宋体" w:cs="宋体"/>
          <w:color w:val="ff0000"/>
          <w:sz w:val="24"/>
          <w:szCs w:val="20"/>
          <w:highlight w:val="none"/>
        </w:rPr>
        <w:t xml:space="preserve">以上证书中标人需中标后</w:t>
      </w:r>
      <w:r>
        <w:rPr>
          <w:rFonts w:hint="eastAsia" w:ascii="宋体" w:hAnsi="宋体" w:cs="宋体"/>
          <w:color w:val="ff0000"/>
          <w:sz w:val="24"/>
          <w:szCs w:val="20"/>
          <w:highlight w:val="none"/>
          <w:lang w:eastAsia="zh-CN"/>
        </w:rPr>
        <w:t xml:space="preserve">，</w:t>
      </w:r>
      <w:r>
        <w:rPr>
          <w:rFonts w:hint="eastAsia" w:ascii="宋体" w:hAnsi="宋体" w:cs="宋体"/>
          <w:color w:val="ff0000"/>
          <w:sz w:val="24"/>
          <w:szCs w:val="20"/>
          <w:highlight w:val="none"/>
          <w:lang w:val="en-US" w:eastAsia="zh-CN"/>
        </w:rPr>
        <w:t xml:space="preserve">中标人需在进场</w:t>
      </w:r>
      <w:r>
        <w:rPr>
          <w:rFonts w:hint="eastAsia" w:ascii="宋体" w:hAnsi="宋体" w:cs="宋体"/>
          <w:color w:val="ff0000"/>
          <w:sz w:val="24"/>
          <w:szCs w:val="20"/>
          <w:highlight w:val="none"/>
        </w:rPr>
        <w:t xml:space="preserve">之前提供</w:t>
      </w:r>
      <w:r>
        <w:rPr>
          <w:rFonts w:hint="eastAsia" w:ascii="宋体" w:hAnsi="宋体" w:cs="宋体"/>
          <w:color w:val="ff0000"/>
          <w:sz w:val="24"/>
          <w:szCs w:val="20"/>
          <w:highlight w:val="none"/>
          <w:lang w:val="zh-TW"/>
        </w:rPr>
        <w:t xml:space="preserve">配备的所有服务人员</w:t>
      </w:r>
      <w:r>
        <w:rPr>
          <w:rFonts w:hint="eastAsia" w:ascii="宋体" w:hAnsi="宋体" w:cs="宋体"/>
          <w:color w:val="ff0000"/>
          <w:sz w:val="24"/>
          <w:szCs w:val="20"/>
          <w:highlight w:val="none"/>
          <w:lang w:val="en-US" w:eastAsia="zh-CN"/>
        </w:rPr>
        <w:t xml:space="preserve">相关证明供</w:t>
      </w:r>
      <w:r>
        <w:rPr>
          <w:rFonts w:hint="eastAsia" w:ascii="宋体" w:hAnsi="宋体" w:cs="宋体"/>
          <w:color w:val="ff0000"/>
          <w:sz w:val="24"/>
          <w:szCs w:val="20"/>
          <w:highlight w:val="none"/>
          <w:lang w:val="zh-TW"/>
        </w:rPr>
        <w:t xml:space="preserve">医院归口管理科室进行备案</w:t>
      </w:r>
      <w:r>
        <w:rPr>
          <w:rFonts w:hint="eastAsia" w:ascii="宋体" w:hAnsi="宋体" w:cs="宋体"/>
          <w:color w:val="ff0000"/>
          <w:sz w:val="24"/>
          <w:szCs w:val="20"/>
          <w:highlight w:val="none"/>
          <w:lang w:val="zh-TW" w:eastAsia="zh-CN"/>
        </w:rPr>
        <w:t xml:space="preserve">，</w:t>
      </w:r>
      <w:r>
        <w:rPr>
          <w:rFonts w:hint="eastAsia" w:ascii="宋体" w:hAnsi="宋体" w:cs="宋体"/>
          <w:color w:val="ff0000"/>
          <w:sz w:val="24"/>
          <w:szCs w:val="20"/>
          <w:highlight w:val="none"/>
        </w:rPr>
        <w:t xml:space="preserve">投标时无需提供。</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2.4.12物业管理制度要求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（1）基本原则：遵循 “医疗优先、安全第一、患者至上、合规运营” 原则，物业服务需服从医院统一调度，在医疗活动与物业服务冲突时，优先保障医疗需求（如手术期间暂停周边区域保洁作业）。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（2）服务标准​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保洁：（1）道路保洁：每100平方米范围内烟头、果皮、纸屑等污物平均不超过2处。无体积1厘米以上的石子且应在15分钟内及时清除掉。</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（3）公共设施：每日巡查不得少于2次，有记录有整改。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（4）电梯内随时保养，每日消毒2次，专业保养一周2次。</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（5）病区办公区域：打扫频率：2次/日。地面湿滑时有警示标志。PVC地面每三个月打蜡一次（中标后，合同履行过程中提供记录备查）。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（6）病区公共区域：打扫频率：2次/日。每日三餐后，应保持病区走廊清洁、干燥，无污物。地面湿滑时有警示标志。PVC地面每三个月打蜡一次（提供记录备查）。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（7）医疗区域：打扫频率：2次/日。地面湿滑时有警示标志。PVC地面每三个月打蜡一次（中标后，合同履行过程中提供记录备查）。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（8）门诊区域：打扫频率：2次/日。每日三餐后，应保持病区走廊清洁、干燥，无污物。</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地面湿滑时及时摆放警示标志。PVC地面每三个月打蜡一次（中标后，合同履行过程中提供记录备查）。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（9）综合类别事项：</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1）劳动纪律：工作时间不闲聊、做与工作无关的事、公共场所大声喧哗吵架、打架、旷工。</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2）现场管理：每日现场巡查至少2次，巡查有记录；办公场所干净整洁无垃圾、烟头。</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3）仪容仪表：服务人员衣着统一，规范，服务态度端正。</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4）地面：每日推尘、循环保洁；</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5）墙面、踢脚线、玻璃、门窗：每日、周、月计划性清洁、打尘、抹擦。</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6）天花板：每日、周、月计划性清洁、打尘、抹擦各类器材：每日清洁抹擦。</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7）标识牌：无污渍、无积灰等。</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8）垃圾桶：外部及周边无垃圾、无污垢、桶身无污渍，桶内垃圾不超过桶高3/4。9）电梯：每日清洁、消毒、无灰尘等。</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10）病房：地面、墙面、床（及陪护床）、床边柜、储物柜、设备带、空调出风口无积灰、无污渍、无蜘蛛网。</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11）卫生间：无异味、马桶无污垢，地面无积水无污渍、墙面、水龙头、洗手盆、镜面、窗框玻璃无污渍，排风扇、吸顶灯无积灰。</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12）绿化：大量杂草、未按计划进行修枝、抗旱、施肥、涂白等。</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13）生活垃圾运送：日产日清，周边无垃圾、桶身无污渍、桶内垃圾不超过桶高3/4。</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14）机房设备整洁，设备无锈蚀现象、机房各设施设备标牌标识完善清楚。</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15)各机房建立完整的管理制度及操作规程并掌握、对应岗位持证上岗。</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各班组建立完善的岗位职责并掌握机电设备建立完整的档案台账资料、特种设备管理规范，检测时间登记完善有序，无特种设备检测过期现象发生，全天候24小时内紧急报修10分钟内作出响应，常规报修12小时作出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17）每月统计能源消耗表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设备标签、管道标识、阀门标识、电气线路图、阀门图表、计量表正常范围标识等标识图表规、正确、完整。</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18）洗衣房收送及时洗衣房洗涤清洁度符合规定要求。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19）医疗废物分类收集、包装规范并及时转运至暂存地，医疗废物处理登记表记录、消毒记录等记录规范。</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2.5应急处理要求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b/>
          <w:bCs/>
          <w:color w:val="auto"/>
          <w:sz w:val="24"/>
          <w:szCs w:val="20"/>
          <w:highlight w:val="none"/>
        </w:rPr>
        <w:t xml:space="preserve">应急处理方案至少包含突发事件处理人员组织架构，应对措施，处理方法。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中标供应商需成立应急工作小组，明确组长（项目经理）、副组长（主管）及成员职责，确保应急事件发生时“全天候24小时内紧急报修10分钟响应、30分钟内到场处理”。同时，需指定2名应急联络员（如楼层保洁员），负责第一时间上报异常情况（如发现火情、设备故障）。</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（2）停电处理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认真做好停电的原因、处理过程的详细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认真做好停电的原因、处理过程的详细记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（3）停水处理：立即关闭非必要用水区域（如绿化灌溉），优先保障手术室、新生儿科用水，同时启用储备水箱，联系自来水公司抢修，4 小时内恢复正常供水；若停水超过 8 小时，需协调水车运送生活用水，确保患者饮水与基本清洁需求。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（4）公共卫生与环境事件处理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配合医院划定隔离区域（如发热门诊、临时观察室），2 小时内完成隔离通道搭建（使用警戒线+防护挡板），对污染区域（如患者呕吐物、分泌物）用含氯消毒剂（2000mg/L）擦拭消毒，每日增加公共区域通风（≥6 次/小时）。​</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医疗废物管理：对感染性废物（如防护服、口罩）实行“双层包装 + 单独标识”，由专人专车转运，避免与其他废物混放，暂存点每日消毒2次（紫外线照射60分钟）。</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（5）每年至少组织2次综合应急演练和4次专项应急演练，演练后及时进行总结，不断完善应急预案。</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2.6拟投入工具设备要求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拟投入工具设备方案至少包含详细的物业服务所需设备、工具及耗材设备清单，设备名称、数量；其他工具及耗材配备清单。</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2.6.1物业服务所需的设备、工具最低设备配置要求</w:t>
      </w:r>
      <w:r/>
    </w:p>
    <w:tbl>
      <w:tblPr>
        <w:tblStyle w:val="790"/>
        <w:tblW w:w="44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74"/>
        <w:gridCol w:w="2687"/>
        <w:gridCol w:w="1967"/>
      </w:tblGrid>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设备名称</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用途</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数量</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驾驶式全自动洗地机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洗地</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洗尘器</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洗尘</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吹风机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吹风</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高压水枪</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冲洗</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抛光机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抛光</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手机、无线对讲机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通讯</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按需</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保洁车</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清洁</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40台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重型擦地机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抛光</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石材处理机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抛光</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工业洗涤机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洗涤</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工业烘干机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洗涤</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垃圾车（带盖）</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垃圾</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2台</w:t>
            </w:r>
            <w:r/>
          </w:p>
        </w:tc>
      </w:tr>
      <w:tr>
        <w:trPr>
          <w:jc w:val="center"/>
          <w:trHeight w:val="510" w:hRule="exact"/>
        </w:trPr>
        <w:tc>
          <w:tcPr>
            <w:tcW w:w="2171"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电脑、打印机考勤机</w:t>
            </w:r>
            <w:r/>
          </w:p>
        </w:tc>
        <w:tc>
          <w:tcPr>
            <w:tcW w:w="1632"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考勤</w:t>
            </w:r>
            <w:r/>
          </w:p>
        </w:tc>
        <w:tc>
          <w:tcPr>
            <w:tcW w:w="1195" w:type="pct"/>
            <w:vAlign w:val="center"/>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2台</w:t>
            </w:r>
            <w:r/>
          </w:p>
        </w:tc>
      </w:tr>
    </w:tbl>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2.6.</w:t>
      </w:r>
      <w:r>
        <w:rPr>
          <w:rFonts w:hint="eastAsia" w:ascii="宋体" w:hAnsi="宋体" w:cs="宋体"/>
          <w:color w:val="auto"/>
          <w:sz w:val="24"/>
          <w:szCs w:val="20"/>
          <w:highlight w:val="none"/>
        </w:rPr>
        <w:t xml:space="preserve">2其他工具及耗材最低设备配置要求：1）拖把压干机，2）搬动式杂物箱，3）塑料刷头，4）重型撮箕，5）长柄撮箕，6）厕刷，7）厕刷托架，8）伸缩式手柄，9）高空除尘清洁套，10）拖把手柄，11）混合式拖把中号，12）混合式拖把大号，13）地面提示牌，14）除尘拖把框架，15）拖把手柄，16）除尘拖把长把，17）除尘拖把短把，18）中粗地板刷，19）特大扫帚，20）圆形旋转清扫器，21）木制手柄，22）木制手柄锥形磨砂，23）多用推车，24）地板橡皮刮，25）标准载重倾卸斗车，26）拱形盖，27）无盖储物桶，2</w:t>
      </w:r>
      <w:r>
        <w:rPr>
          <w:rFonts w:hint="eastAsia" w:ascii="宋体" w:hAnsi="宋体" w:cs="宋体"/>
          <w:color w:val="auto"/>
          <w:sz w:val="24"/>
          <w:szCs w:val="20"/>
          <w:highlight w:val="none"/>
        </w:rPr>
        <w:t xml:space="preserve">8）多口袋杂物袋，29）储物桶推车，30）17英寸圆形旋转清扫器，31）抹窗桶，32）墙面清洁工具组合，33）墙面清洁工具组合的更换棉刷，34）双格桶，35）洗手露，36）圆形桶，37）立式刷手柄底托，38）60cm地推罩，39）空气清香剂，40）空气清新剂—除异味，41）全能消毒清洁剂地面用，42）消毒杀菌清洁剂（桌面/台面用），43）专业全能清洁剂，44）铁光不锈钢，45）铁光不锈钢剂，46）浓缩玻璃清洁剂，47）洁厕剂，48）除垢剂，49）光洁地拖牵尘剂，50）黑色垃圾袋（大、小），51）卫生间熏香。</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2.7台账资料管理要求</w:t>
      </w:r>
      <w:r/>
    </w:p>
    <w:p>
      <w:pPr>
        <w:ind w:firstLine="480"/>
        <w:jc w:val="left"/>
        <w:spacing w:line="560" w:lineRule="exact"/>
        <w:widowControl/>
        <w:rPr>
          <w:rFonts w:ascii="宋体" w:hAnsi="宋体" w:eastAsia="仿宋" w:cs="宋体"/>
          <w:color w:val="auto"/>
          <w:sz w:val="24"/>
          <w:szCs w:val="20"/>
          <w:highlight w:val="none"/>
        </w:rPr>
      </w:pPr>
      <w:r>
        <w:rPr>
          <w:rFonts w:hint="eastAsia" w:ascii="宋体" w:hAnsi="宋体" w:cs="宋体"/>
          <w:color w:val="auto"/>
          <w:sz w:val="24"/>
          <w:szCs w:val="20"/>
          <w:highlight w:val="none"/>
          <w:lang w:val="zh-TW"/>
        </w:rPr>
        <w:t xml:space="preserve">台账资料管理</w:t>
      </w:r>
      <w:r>
        <w:rPr>
          <w:rFonts w:hint="eastAsia" w:ascii="宋体" w:hAnsi="宋体" w:cs="宋体"/>
          <w:color w:val="auto"/>
          <w:sz w:val="24"/>
          <w:szCs w:val="20"/>
          <w:highlight w:val="none"/>
        </w:rPr>
        <w:t xml:space="preserve">方案至少包含台账资料范围、</w:t>
      </w:r>
      <w:r>
        <w:rPr>
          <w:rFonts w:hint="eastAsia" w:ascii="宋体" w:hAnsi="宋体" w:cs="宋体"/>
          <w:color w:val="auto"/>
          <w:sz w:val="24"/>
          <w:szCs w:val="20"/>
          <w:highlight w:val="none"/>
          <w:lang w:val="zh-TW"/>
        </w:rPr>
        <w:t xml:space="preserve">台账内容、记录</w:t>
      </w:r>
      <w:r>
        <w:rPr>
          <w:rFonts w:hint="eastAsia" w:ascii="宋体" w:hAnsi="宋体" w:cs="宋体"/>
          <w:color w:val="auto"/>
          <w:sz w:val="24"/>
          <w:szCs w:val="20"/>
          <w:highlight w:val="none"/>
        </w:rPr>
        <w:t xml:space="preserve">方案。</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（1）台账资料范围包括：环境卫生（保洁、垃圾处理）、设施维护值守、标本配送、陪检服务、后勤服务（被服洗涤、物资配送）、应急管理（突发事件响应）等。</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（2）台账内容</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1）日常记录：保洁消毒记录、设备巡检维护记录、标本配送登记等。</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2）专项台账：医疗废物交接记录、未被污染输液瓶（袋）交接记录、培训考核档案等。</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3）应急台账：突发事件处理记录、应急预案演练记录。</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（3）记录规范</w:t>
      </w:r>
      <w:r/>
    </w:p>
    <w:p>
      <w:pPr>
        <w:pStyle w:val="807"/>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台账需真实、完整、及时填写，签字确认，保存期限≥2年。电子台账需定期备份，纸质台账分类归档。合同期满后，所有台账资料（纸质版+电子版）移交归口管理科室存档。</w:t>
      </w:r>
      <w:r/>
    </w:p>
    <w:p>
      <w:pPr>
        <w:pStyle w:val="807"/>
        <w:numPr>
          <w:ilvl w:val="0"/>
          <w:numId w:val="1"/>
        </w:numPr>
        <w:ind w:left="0" w:firstLine="480"/>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考核指标与评分标准</w:t>
      </w:r>
      <w:r/>
    </w:p>
    <w:tbl>
      <w:tblPr>
        <w:tblStyle w:val="815"/>
        <w:tblW w:w="9315" w:type="dxa"/>
        <w:tblInd w:w="3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885"/>
        <w:gridCol w:w="3870"/>
      </w:tblGrid>
      <w:tr>
        <w:trPr>
          <w:trHeight w:val="504" w:hRule="exact"/>
        </w:trPr>
        <w:tc>
          <w:tcPr>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考核内容</w:t>
            </w:r>
            <w:r/>
          </w:p>
        </w:tc>
        <w:tc>
          <w:tcPr>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评分标准（满分100分）</w:t>
            </w:r>
            <w:r/>
          </w:p>
        </w:tc>
      </w:tr>
      <w:tr>
        <w:trPr>
          <w:trHeight w:val="779" w:hRule="exact"/>
        </w:trPr>
        <w:tc>
          <w:tcPr>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台账完整性</w:t>
            </w:r>
            <w:r/>
          </w:p>
        </w:tc>
        <w:tc>
          <w:tcPr>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记录是否齐全、无遗漏</w:t>
            </w:r>
            <w:r/>
          </w:p>
        </w:tc>
        <w:tc>
          <w:tcPr>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每缺1项扣2分，扣完为止（20分）</w:t>
            </w:r>
            <w:r/>
          </w:p>
        </w:tc>
      </w:tr>
      <w:tr>
        <w:trPr>
          <w:trHeight w:val="779" w:hRule="exact"/>
        </w:trPr>
        <w:tc>
          <w:tcPr>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记录及时性</w:t>
            </w:r>
            <w:r/>
          </w:p>
        </w:tc>
        <w:tc>
          <w:tcPr>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是否按时间节点填写</w:t>
            </w:r>
            <w:r/>
          </w:p>
        </w:tc>
        <w:tc>
          <w:tcPr>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延迟1次扣1分（15分）</w:t>
            </w:r>
            <w:r/>
          </w:p>
        </w:tc>
      </w:tr>
      <w:tr>
        <w:trPr>
          <w:trHeight w:val="779" w:hRule="exact"/>
        </w:trPr>
        <w:tc>
          <w:tcPr>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数据准确性</w:t>
            </w:r>
            <w:r/>
          </w:p>
        </w:tc>
        <w:tc>
          <w:tcPr>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内容与实际工作是否一致</w:t>
            </w:r>
            <w:r/>
          </w:p>
        </w:tc>
        <w:tc>
          <w:tcPr>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发现1处错误扣1分（20分）</w:t>
            </w:r>
            <w:r/>
          </w:p>
        </w:tc>
      </w:tr>
      <w:tr>
        <w:trPr>
          <w:trHeight w:val="779" w:hRule="exact"/>
        </w:trPr>
        <w:tc>
          <w:tcPr>
            <w:tcBorders>
              <w:left w:val="single" w:color="auto" w:sz="4" w:space="0"/>
              <w:bottom w:val="single" w:color="auto" w:sz="4" w:space="0"/>
            </w:tcBorders>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问题整改率</w:t>
            </w:r>
            <w:r/>
          </w:p>
        </w:tc>
        <w:tc>
          <w:tcPr>
            <w:tcBorders>
              <w:bottom w:val="single" w:color="auto" w:sz="4" w:space="0"/>
            </w:tcBorders>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台账中记录的问题是否闭环处理</w:t>
            </w:r>
            <w:r/>
          </w:p>
        </w:tc>
        <w:tc>
          <w:tcPr>
            <w:tcBorders>
              <w:bottom w:val="single" w:color="auto" w:sz="4" w:space="0"/>
              <w:right w:val="single" w:color="auto" w:sz="4" w:space="0"/>
            </w:tcBorders>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未整改1项扣3分（25分）</w:t>
            </w:r>
            <w:r/>
          </w:p>
        </w:tc>
      </w:tr>
      <w:tr>
        <w:trPr>
          <w:trHeight w:val="534" w:hRule="exact"/>
        </w:trPr>
        <w:tc>
          <w:tcPr>
            <w:tcBorders>
              <w:top w:val="single" w:color="auto" w:sz="4" w:space="0"/>
              <w:left w:val="single" w:color="auto" w:sz="4" w:space="0"/>
              <w:bottom w:val="single" w:color="auto" w:sz="4" w:space="0"/>
            </w:tcBorders>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档案管理</w:t>
            </w:r>
            <w:r/>
          </w:p>
        </w:tc>
        <w:tc>
          <w:tcPr>
            <w:tcBorders>
              <w:top w:val="single" w:color="auto" w:sz="4" w:space="0"/>
              <w:bottom w:val="single" w:color="auto" w:sz="4" w:space="0"/>
            </w:tcBorders>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台账归档是否规范、便于追溯</w:t>
            </w:r>
            <w:r/>
          </w:p>
        </w:tc>
        <w:tc>
          <w:tcPr>
            <w:tcBorders>
              <w:top w:val="single" w:color="auto" w:sz="4" w:space="0"/>
              <w:bottom w:val="single" w:color="auto" w:sz="4" w:space="0"/>
              <w:right w:val="single" w:color="auto" w:sz="4" w:space="0"/>
            </w:tcBorders>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不符合要求扣1-5分（10分）</w:t>
            </w:r>
            <w:r/>
          </w:p>
        </w:tc>
      </w:tr>
      <w:tr>
        <w:trPr>
          <w:trHeight w:val="804" w:hRule="exact"/>
        </w:trPr>
        <w:tc>
          <w:tcPr>
            <w:tcBorders>
              <w:top w:val="single" w:color="auto" w:sz="4" w:space="0"/>
              <w:left w:val="single" w:color="auto" w:sz="4" w:space="0"/>
              <w:bottom w:val="single" w:color="auto" w:sz="4" w:space="0"/>
            </w:tcBorders>
            <w:tcW w:w="15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创新与改进</w:t>
            </w:r>
            <w:r/>
          </w:p>
        </w:tc>
        <w:tc>
          <w:tcPr>
            <w:tcBorders>
              <w:top w:val="single" w:color="auto" w:sz="4" w:space="0"/>
              <w:bottom w:val="single" w:color="auto" w:sz="4" w:space="0"/>
            </w:tcBorders>
            <w:tcW w:w="3885"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台账优化建议或管理提升措施</w:t>
            </w:r>
            <w:r/>
          </w:p>
        </w:tc>
        <w:tc>
          <w:tcPr>
            <w:tcBorders>
              <w:top w:val="single" w:color="auto" w:sz="4" w:space="0"/>
              <w:bottom w:val="single" w:color="auto" w:sz="4" w:space="0"/>
              <w:right w:val="single" w:color="auto" w:sz="4" w:space="0"/>
            </w:tcBorders>
            <w:tcW w:w="387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加分项（最高10分）</w:t>
            </w:r>
            <w:r/>
          </w:p>
        </w:tc>
      </w:tr>
    </w:tbl>
    <w:p>
      <w:pPr>
        <w:ind w:firstLine="480"/>
        <w:jc w:val="left"/>
        <w:spacing w:line="560" w:lineRule="exact"/>
        <w:widowControl/>
        <w:rPr>
          <w:rFonts w:ascii="宋体" w:hAnsi="宋体" w:cs="宋体"/>
          <w:color w:val="auto"/>
          <w:sz w:val="24"/>
          <w:szCs w:val="20"/>
          <w:highlight w:val="none"/>
          <w:lang w:val="zh-TW"/>
        </w:rPr>
      </w:pPr>
      <w:r>
        <w:rPr>
          <w:rFonts w:hint="eastAsia" w:ascii="宋体" w:hAnsi="宋体" w:cs="宋体"/>
          <w:color w:val="auto"/>
          <w:sz w:val="24"/>
          <w:szCs w:val="20"/>
          <w:highlight w:val="none"/>
        </w:rPr>
        <w:t xml:space="preserve">三</w:t>
      </w:r>
      <w:r>
        <w:rPr>
          <w:rFonts w:hint="eastAsia" w:ascii="宋体" w:hAnsi="宋体" w:cs="宋体"/>
          <w:color w:val="auto"/>
          <w:sz w:val="24"/>
          <w:szCs w:val="20"/>
          <w:highlight w:val="none"/>
          <w:lang w:val="zh-TW"/>
        </w:rPr>
        <w:t xml:space="preserve">、预算金额、服务期限和价格测算要求</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val="zh-TW"/>
        </w:rPr>
        <w:t xml:space="preserve">本次招标</w:t>
      </w:r>
      <w:r>
        <w:rPr>
          <w:rFonts w:hint="eastAsia" w:ascii="宋体" w:hAnsi="宋体" w:cs="宋体"/>
          <w:color w:val="auto"/>
          <w:sz w:val="24"/>
          <w:szCs w:val="20"/>
          <w:highlight w:val="none"/>
        </w:rPr>
        <w:t xml:space="preserve">两年</w:t>
      </w:r>
      <w:r>
        <w:rPr>
          <w:rFonts w:hint="eastAsia" w:ascii="宋体" w:hAnsi="宋体" w:cs="宋体"/>
          <w:color w:val="auto"/>
          <w:sz w:val="24"/>
          <w:szCs w:val="20"/>
          <w:highlight w:val="none"/>
          <w:lang w:val="en-US" w:eastAsia="zh-CN"/>
        </w:rPr>
        <w:t xml:space="preserve">预算金额为1100万元，</w:t>
      </w:r>
      <w:r>
        <w:rPr>
          <w:rFonts w:hint="eastAsia" w:ascii="宋体" w:hAnsi="宋体" w:cs="宋体"/>
          <w:color w:val="auto"/>
          <w:sz w:val="24"/>
          <w:szCs w:val="20"/>
          <w:highlight w:val="none"/>
        </w:rPr>
        <w:t xml:space="preserve">两年</w:t>
      </w:r>
      <w:r>
        <w:rPr>
          <w:rFonts w:hint="eastAsia" w:ascii="宋体" w:hAnsi="宋体" w:cs="宋体"/>
          <w:color w:val="auto"/>
          <w:sz w:val="24"/>
          <w:szCs w:val="20"/>
          <w:highlight w:val="none"/>
          <w:lang w:val="en-US" w:eastAsia="zh-CN"/>
        </w:rPr>
        <w:t xml:space="preserve">服务费</w:t>
      </w:r>
      <w:r>
        <w:rPr>
          <w:rFonts w:hint="eastAsia" w:ascii="宋体" w:hAnsi="宋体" w:cs="宋体"/>
          <w:color w:val="auto"/>
          <w:sz w:val="24"/>
          <w:szCs w:val="20"/>
          <w:highlight w:val="none"/>
          <w:lang w:val="zh-TW"/>
        </w:rPr>
        <w:t xml:space="preserve">最高限价为人民币1100万元，超过最高限价的投标均为无效投标</w:t>
      </w:r>
      <w:r>
        <w:rPr>
          <w:rFonts w:hint="eastAsia" w:ascii="宋体" w:hAnsi="宋体" w:cs="宋体"/>
          <w:color w:val="auto"/>
          <w:sz w:val="24"/>
          <w:szCs w:val="20"/>
          <w:highlight w:val="none"/>
          <w:lang w:val="zh-TW" w:eastAsia="zh-CN"/>
        </w:rPr>
        <w:t xml:space="preserve">，</w:t>
      </w:r>
      <w:r>
        <w:rPr>
          <w:rFonts w:hint="eastAsia" w:ascii="宋体" w:hAnsi="宋体" w:cs="宋体"/>
          <w:color w:val="auto"/>
          <w:sz w:val="24"/>
          <w:szCs w:val="20"/>
          <w:highlight w:val="none"/>
          <w:lang w:val="zh-TW"/>
        </w:rPr>
        <w:t xml:space="preserve">同时本项目反对不正当竞争（恶意低价或哄抬高价）。投标人须提供分项报价表，主要包括（但不限于）：人员工资、社会保险费（含养老保险、医疗保险、失业保险、工伤保险）（企业缴纳部分）、住房公积金（企业缴纳部分）、国家法定节假日加班费、税金等费用。</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（1）用于保洁的日常易耗品、工具等物品由投标人购置并承担费用。</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（2）所有人员的通讯、工作服装（分不同季节）由投标人购置并承担费用。</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lang w:val="zh-TW"/>
        </w:rPr>
        <w:t xml:space="preserve">）服务人员须服从采购人管理，采购人安排的短期加班或活动不另行增加费用。</w:t>
      </w:r>
      <w:r/>
    </w:p>
    <w:p>
      <w:pPr>
        <w:ind w:firstLine="480"/>
        <w:jc w:val="left"/>
        <w:spacing w:line="560" w:lineRule="exact"/>
        <w:widowControl/>
        <w:rPr>
          <w:rFonts w:hint="eastAsia" w:ascii="宋体" w:hAnsi="宋体" w:cs="宋体"/>
          <w:b/>
          <w:bCs/>
          <w:color w:val="auto"/>
          <w:sz w:val="24"/>
          <w:szCs w:val="20"/>
          <w:highlight w:val="none"/>
          <w:lang w:val="zh-TW"/>
        </w:rPr>
      </w:pPr>
      <w:r>
        <w:rPr>
          <w:rFonts w:hint="eastAsia" w:ascii="宋体" w:hAnsi="宋体" w:cs="宋体"/>
          <w:b/>
          <w:bCs/>
          <w:color w:val="auto"/>
          <w:sz w:val="24"/>
          <w:szCs w:val="20"/>
          <w:highlight w:val="none"/>
          <w:lang w:val="en-US" w:eastAsia="zh-CN"/>
        </w:rPr>
        <w:t xml:space="preserve">2、</w:t>
      </w:r>
      <w:r>
        <w:rPr>
          <w:rFonts w:hint="eastAsia" w:ascii="宋体" w:hAnsi="宋体" w:cs="宋体"/>
          <w:b/>
          <w:bCs/>
          <w:color w:val="auto"/>
          <w:sz w:val="24"/>
          <w:szCs w:val="20"/>
          <w:highlight w:val="none"/>
          <w:lang w:val="zh-TW"/>
        </w:rPr>
        <w:t xml:space="preserve">所有人员工资不低于本市最低工资标准2430元/人/月，所有人员必须足额缴纳社保费用，社会保险费（企业部分）不得低于1292.47元/人/月，住房公积金（企业部分）不得低于</w:t>
      </w:r>
      <w:r>
        <w:rPr>
          <w:rFonts w:hint="eastAsia" w:ascii="宋体" w:hAnsi="宋体" w:cs="宋体"/>
          <w:b/>
          <w:bCs/>
          <w:color w:val="auto"/>
          <w:sz w:val="24"/>
          <w:szCs w:val="20"/>
          <w:highlight w:val="green"/>
          <w:lang w:val="en-US" w:eastAsia="zh-CN"/>
        </w:rPr>
        <w:t xml:space="preserve">114</w:t>
      </w:r>
      <w:r>
        <w:rPr>
          <w:rFonts w:hint="eastAsia" w:ascii="宋体" w:hAnsi="宋体" w:cs="宋体"/>
          <w:b/>
          <w:bCs/>
          <w:color w:val="auto"/>
          <w:sz w:val="24"/>
          <w:szCs w:val="20"/>
          <w:highlight w:val="green"/>
          <w:lang w:val="zh-TW"/>
        </w:rPr>
        <w:t xml:space="preserve">元/人/月</w:t>
      </w:r>
      <w:r>
        <w:rPr>
          <w:rFonts w:hint="eastAsia" w:ascii="宋体" w:hAnsi="宋体" w:cs="宋体"/>
          <w:b/>
          <w:bCs/>
          <w:color w:val="auto"/>
          <w:sz w:val="24"/>
          <w:szCs w:val="20"/>
          <w:highlight w:val="none"/>
          <w:lang w:val="zh-TW"/>
        </w:rPr>
        <w:t xml:space="preserve">，国家法定节假日加班费不得低于4357.25元/人/年，按总人数的70%（即70人）计算加班，税金费率不得低于6.72%。</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b/>
          <w:bCs/>
          <w:color w:val="auto"/>
          <w:sz w:val="24"/>
          <w:szCs w:val="20"/>
          <w:highlight w:val="none"/>
          <w:lang w:val="zh-TW"/>
        </w:rPr>
        <w:t xml:space="preserve">投标人所填报的费用按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本项目特殊岗位津贴往年实发1000元/人/月，特殊岗位津贴费用仅供投标人参考，由投标人自行报价。</w:t>
      </w:r>
      <w:r/>
    </w:p>
    <w:p>
      <w:pPr>
        <w:ind w:firstLine="480"/>
        <w:jc w:val="left"/>
        <w:spacing w:line="560" w:lineRule="exact"/>
        <w:widowControl/>
        <w:rPr>
          <w:rFonts w:hint="eastAsia" w:ascii="宋体" w:hAnsi="宋体" w:cs="宋体"/>
          <w:color w:val="auto"/>
          <w:sz w:val="24"/>
          <w:szCs w:val="20"/>
          <w:highlight w:val="none"/>
          <w:lang w:val="zh-TW"/>
        </w:rPr>
      </w:pPr>
      <w:r>
        <w:rPr>
          <w:rFonts w:hint="eastAsia" w:ascii="宋体" w:hAnsi="宋体" w:cs="宋体"/>
          <w:color w:val="auto"/>
          <w:sz w:val="24"/>
          <w:szCs w:val="20"/>
          <w:highlight w:val="none"/>
          <w:lang w:val="zh-TW"/>
        </w:rPr>
        <w:t xml:space="preserve">本项目综合管理费包括办公、装备费、体检费，具体包含服装费、培训费、耗材、文具、电脑、打印机、保洁设备、用具、器具、工具及耗材费、不可预见费等一切招标文件中要求报价时考虑的费用，由投标人自行报价。</w:t>
      </w:r>
      <w:r/>
    </w:p>
    <w:p>
      <w:pPr>
        <w:ind w:firstLine="480"/>
        <w:jc w:val="left"/>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lang w:val="zh-CN"/>
        </w:rPr>
        <w:t xml:space="preserve">投标人应当自行为服务人员办理必需的保险，有关人员伤亡及第三者责任险均应当考虑在报价因素中，</w:t>
      </w:r>
      <w:r>
        <w:rPr>
          <w:rFonts w:hint="eastAsia" w:ascii="宋体" w:hAnsi="宋体" w:cs="宋体"/>
          <w:color w:val="auto"/>
          <w:sz w:val="24"/>
          <w:szCs w:val="20"/>
          <w:highlight w:val="none"/>
          <w:lang w:val="zh-TW"/>
        </w:rPr>
        <w:t xml:space="preserve">由投标人自行报价。</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lang w:val="zh-CN"/>
        </w:rPr>
        <w:t xml:space="preserve">合同履行期限：两年。</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四、项目要求</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1）服务人员工作期间必须遵守医院的工作时间，不能影响医院正常办公秩序。在重大活动和突击性工作中，投标人须配合医院要求对服务人员统一指挥和调度。</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2）投标人不得在管理区域内从事与管理、服务工作无关的其他活动。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3）投标人和个人不得利用管理区域内采购人的房产、物业、水电等资源从事经营活动。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4）保洁、秩序维护、维修人员因工作失误造成医院损失，投标人必须负全部责任并承担相应经济赔偿或调整人员，造成严重社会影响的事件，医院有权及时终止合同。</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5）因物业管理服务不到位（包括卫生保洁不到位以及公共场所控烟工作不到位等），采购人将依照工作制度扣减物业管理费用。</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6）所有服务人员</w:t>
      </w:r>
      <w:r>
        <w:rPr>
          <w:rFonts w:hint="eastAsia" w:ascii="宋体" w:hAnsi="宋体" w:cs="宋体"/>
          <w:color w:val="auto"/>
          <w:sz w:val="24"/>
          <w:szCs w:val="20"/>
          <w:highlight w:val="none"/>
          <w:lang w:val="en-US" w:eastAsia="zh-CN"/>
        </w:rPr>
        <w:t xml:space="preserve">持证上岗</w:t>
      </w:r>
      <w:r>
        <w:rPr>
          <w:rFonts w:hint="eastAsia" w:ascii="宋体" w:hAnsi="宋体" w:cs="宋体"/>
          <w:color w:val="auto"/>
          <w:sz w:val="24"/>
          <w:szCs w:val="20"/>
          <w:highlight w:val="none"/>
        </w:rPr>
        <w:t xml:space="preserve">（包括项目需求中要求的健康体检报告等）。</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7）投标人须按采购人要求时间进行交接，不得延误。</w:t>
      </w:r>
      <w:r/>
    </w:p>
    <w:p>
      <w:pPr>
        <w:ind w:firstLine="480"/>
        <w:jc w:val="left"/>
        <w:spacing w:line="560" w:lineRule="exact"/>
        <w:widowControl/>
        <w:rPr>
          <w:rFonts w:ascii="宋体" w:hAnsi="宋体" w:cs="宋体"/>
          <w:i/>
          <w:iCs/>
          <w:color w:val="auto"/>
          <w:sz w:val="24"/>
          <w:szCs w:val="20"/>
          <w:highlight w:val="none"/>
          <w:u w:val="single"/>
          <w:lang w:val="zh-TW"/>
        </w:rPr>
      </w:pPr>
      <w:r>
        <w:rPr>
          <w:rFonts w:hint="eastAsia" w:ascii="宋体" w:hAnsi="宋体" w:cs="宋体"/>
          <w:b/>
          <w:bCs/>
          <w:color w:val="auto"/>
          <w:sz w:val="24"/>
          <w:szCs w:val="20"/>
          <w:highlight w:val="none"/>
        </w:rPr>
        <w:t xml:space="preserve">8）投标人须</w:t>
      </w:r>
      <w:r>
        <w:rPr>
          <w:rFonts w:hint="eastAsia" w:ascii="宋体" w:hAnsi="宋体" w:cs="宋体"/>
          <w:b/>
          <w:bCs/>
          <w:color w:val="auto"/>
          <w:sz w:val="24"/>
          <w:szCs w:val="20"/>
          <w:highlight w:val="none"/>
          <w:lang w:val="en-US" w:eastAsia="zh-CN"/>
        </w:rPr>
        <w:t xml:space="preserve">确保</w:t>
      </w:r>
      <w:r>
        <w:rPr>
          <w:rFonts w:hint="eastAsia" w:ascii="宋体" w:hAnsi="宋体" w:cs="宋体"/>
          <w:b/>
          <w:bCs/>
          <w:color w:val="auto"/>
          <w:sz w:val="24"/>
          <w:szCs w:val="20"/>
          <w:highlight w:val="none"/>
        </w:rPr>
        <w:t xml:space="preserve">本项目服务人员专门为本项目服务，不允许借用其他项目</w:t>
      </w:r>
      <w:r>
        <w:rPr>
          <w:rFonts w:hint="eastAsia" w:ascii="宋体" w:hAnsi="宋体" w:cs="宋体"/>
          <w:color w:val="auto"/>
          <w:sz w:val="24"/>
          <w:szCs w:val="20"/>
          <w:highlight w:val="none"/>
        </w:rPr>
        <w:t xml:space="preserve">。</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注：中标人需中标后签订合同之前提供</w:t>
      </w:r>
      <w:r>
        <w:rPr>
          <w:rFonts w:hint="eastAsia" w:ascii="宋体" w:hAnsi="宋体" w:cs="宋体"/>
          <w:color w:val="auto"/>
          <w:sz w:val="24"/>
          <w:szCs w:val="20"/>
          <w:highlight w:val="none"/>
          <w:lang w:val="en-US" w:eastAsia="zh-CN"/>
        </w:rPr>
        <w:t xml:space="preserve">以上</w:t>
      </w:r>
      <w:r>
        <w:rPr>
          <w:rFonts w:hint="eastAsia" w:ascii="宋体" w:hAnsi="宋体" w:cs="宋体"/>
          <w:color w:val="auto"/>
          <w:sz w:val="24"/>
          <w:szCs w:val="20"/>
          <w:highlight w:val="none"/>
        </w:rPr>
        <w:t xml:space="preserve">相关</w:t>
      </w:r>
      <w:r>
        <w:rPr>
          <w:rFonts w:hint="eastAsia" w:ascii="宋体" w:hAnsi="宋体" w:cs="宋体"/>
          <w:color w:val="auto"/>
          <w:sz w:val="24"/>
          <w:szCs w:val="20"/>
          <w:highlight w:val="none"/>
          <w:lang w:val="en-US" w:eastAsia="zh-CN"/>
        </w:rPr>
        <w:t xml:space="preserve">证书供</w:t>
      </w:r>
      <w:r>
        <w:rPr>
          <w:rFonts w:hint="eastAsia" w:ascii="宋体" w:hAnsi="宋体" w:cs="宋体"/>
          <w:color w:val="auto"/>
          <w:sz w:val="24"/>
          <w:szCs w:val="20"/>
          <w:highlight w:val="none"/>
        </w:rPr>
        <w:t xml:space="preserve">医院归口管理科室进行备案，投标时无需提供。</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五、</w:t>
      </w:r>
      <w:r>
        <w:rPr>
          <w:rFonts w:hint="eastAsia" w:ascii="宋体" w:hAnsi="宋体" w:cs="宋体"/>
          <w:b/>
          <w:bCs/>
          <w:color w:val="auto"/>
          <w:sz w:val="24"/>
          <w:szCs w:val="20"/>
          <w:highlight w:val="none"/>
          <w:lang w:val="zh-CN"/>
        </w:rPr>
        <w:t xml:space="preserve">商务要求 </w:t>
      </w:r>
      <w:r/>
    </w:p>
    <w:p>
      <w:pPr>
        <w:ind w:firstLine="480"/>
        <w:jc w:val="left"/>
        <w:spacing w:line="56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1</w:t>
      </w:r>
      <w:r>
        <w:rPr>
          <w:rFonts w:hint="eastAsia" w:ascii="宋体" w:hAnsi="宋体" w:cs="宋体"/>
          <w:b/>
          <w:bCs/>
          <w:color w:val="auto"/>
          <w:sz w:val="24"/>
          <w:szCs w:val="20"/>
          <w:highlight w:val="none"/>
          <w:lang w:val="zh-CN"/>
        </w:rPr>
        <w:t xml:space="preserve">.服务类项目</w:t>
      </w:r>
      <w:r/>
    </w:p>
    <w:p>
      <w:pPr>
        <w:ind w:firstLine="480"/>
        <w:jc w:val="left"/>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.1服务期：</w:t>
      </w:r>
      <w:r>
        <w:rPr>
          <w:rFonts w:hint="eastAsia" w:ascii="宋体" w:hAnsi="宋体" w:cs="宋体"/>
          <w:color w:val="auto"/>
          <w:sz w:val="24"/>
          <w:szCs w:val="20"/>
          <w:highlight w:val="none"/>
        </w:rPr>
        <w:t xml:space="preserve">两年。</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.2服务地点：盐城市妇幼保健院</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.3医院联系人：蔡荣鑫，联系方式：17312988777</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质量要求：为做好盐城市妇幼保健院物业管理服务，促进中标人能够切实履行物业服务合同，更好地落实管理措施，使物业管理工作标准化、制度化、规范化，创建优美、整洁、安全、方便、舒适、文明的医疗就诊环境，特制订《盐城市妇幼保健院物业管理考核办法》，具体内容如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1.4.1 考核单位：盐城市妇幼保健院，考核对象：物业管理公司及其拟派物业服务人员。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1.4.2 考核目的：督促物业管理公司进行制度化、规范化、科学化服务医院，树立良好的服务形象，保证医院环境整洁优美、陪检配送服务规范、物资配送到位，不断完善物业管理工作，提高服务水平。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1.4.3考核内容：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1.4.1保洁工作：门诊医技楼、病房楼、附房、地下室、室外环境的全部保洁，被服洗涤，控虫灭鼠除“四害”，室外绿化景观维护，医疗垃圾、生活垃圾收集等。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1.4.2陪检配送：各科物资配送、患者陪护检查。</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1.4.3工程值班人员：水电维修及后勤运行设备机房值班。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1.5量化考核:归口管理科室每月至少一次派出专人对工作内容的完成情况进行督促检查，其余时间不定期抽查，检查人填写工作检查记录，双方签字确认，检查结果作为考核内容存档。归口管理科室有权针对出现的问题对物业管理公司实施处罚，并下达书面整改通知，责成物业管理公司限期整改，相关整改资料交检查人保存。</w:t>
      </w:r>
      <w:r/>
    </w:p>
    <w:p>
      <w:pPr>
        <w:ind w:firstLine="480"/>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考核等级分为优、良、差三等</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2483"/>
        <w:gridCol w:w="2153"/>
        <w:gridCol w:w="2483"/>
      </w:tblGrid>
      <w:tr>
        <w:trPr>
          <w:jc w:val="center"/>
          <w:trHeight w:val="451"/>
        </w:trPr>
        <w:tc>
          <w:tcPr>
            <w:tcW w:w="2319"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考核等级</w:t>
            </w:r>
            <w:r/>
          </w:p>
        </w:tc>
        <w:tc>
          <w:tcPr>
            <w:tcW w:w="248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优</w:t>
            </w:r>
            <w:r/>
          </w:p>
        </w:tc>
        <w:tc>
          <w:tcPr>
            <w:tcW w:w="215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良</w:t>
            </w:r>
            <w:r/>
          </w:p>
        </w:tc>
        <w:tc>
          <w:tcPr>
            <w:tcW w:w="248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差</w:t>
            </w:r>
            <w:r/>
          </w:p>
        </w:tc>
      </w:tr>
      <w:tr>
        <w:trPr>
          <w:jc w:val="center"/>
          <w:trHeight w:val="460"/>
        </w:trPr>
        <w:tc>
          <w:tcPr>
            <w:tcW w:w="2319"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分数范围</w:t>
            </w:r>
            <w:r/>
          </w:p>
        </w:tc>
        <w:tc>
          <w:tcPr>
            <w:tcW w:w="248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90~100分</w:t>
            </w:r>
            <w:r/>
          </w:p>
        </w:tc>
        <w:tc>
          <w:tcPr>
            <w:tcW w:w="215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80~90分</w:t>
            </w:r>
            <w:r/>
          </w:p>
        </w:tc>
        <w:tc>
          <w:tcPr>
            <w:tcW w:w="2483" w:type="dxa"/>
            <w:textDirection w:val="lrTb"/>
            <w:noWrap/>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80分以下</w:t>
            </w:r>
            <w:r/>
          </w:p>
        </w:tc>
      </w:tr>
    </w:tbl>
    <w:p>
      <w:pPr>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物业费根据考核结果发放。考核为优，全额发</w:t>
      </w:r>
      <w:r>
        <w:rPr>
          <w:rFonts w:hint="eastAsia" w:ascii="宋体" w:hAnsi="宋体" w:cs="宋体"/>
          <w:color w:val="auto"/>
          <w:sz w:val="24"/>
          <w:highlight w:val="none"/>
        </w:rPr>
        <w:t xml:space="preserve">放；考核为良，中标人应向采购人支付违约金人民币伍仟元，该款项采购人有权从当月应付服务费中直接扣除；考核为差，中标人应向采购人支付违约金人民币壹万元，该款项采购人有权从当月应付服务费中直接扣除。若中标人连续两个月考核得分低于80分，或在整个服务期内累计三个月考核得分低于80分，采购人有权向中标人发出书面整改通知，要求其在15个工作日内提交整改方案并切实改进。若整改期满后，下一个月度考核得分仍低于80分，采购人有权单方解除合同，并要求中标人承担由此造成的损失。具体考核标准详见附件2：盐城市妇幼保健院物业考核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1.6对上级主管部门专项检查或服务对象满意度调查反馈情况中发生下列情形的实行一票否决：①对第三方机构出院患者满意度调查中，连续三次或累计五次满意度低于90%，经调查问责，系物管人员主观原因造成的服务缺失；②因行风服务问题，导致患者向上级部门和新闻媒体投诉或曝光，经查有明确责任的当事人，以及因违纪违规行为受到党政纪处理的物业公司当事人(如诚信记录）；③因物业公司自身工作缺失，直接导致迎接上级创文督查或其他专项检查得分排名严重靠后，对医院工作造成严重不良后果或巨大损失的实行一票否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1.7其他说明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1.7.1投标人必须是有能力按照招标文件规定的要求独立完成物业服务工作的投标人，中标后不允许分包、转包，中标项目负责人在合同期内未经采购人许可不得更换。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1.7.2本项目严禁以“挂靠”等形式投标、中标，一经发现取消投标、中标资格，并按相关规定进行处罚。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1.7.3签订合同后，采购人提供物业管理办公用房，办公设施用品由物业管理企业自行提供。</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1.7.4物业服务合同终止时，物业管理企业应当将物业管理用房和所有物管资料、档案完整地移交给采购人。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1.7.5物业服务合同终止时，新中标的物业管理企业与原物业管理企业之间应当做好交接工作。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1.7.6中标人在合同期内如未完全按照招标文件要求或投标文件承诺进行服务的，采购人有权中止合同（视为中标人未能履行合同）重新选择中标人（物业服务单位）。</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1.7.7本招标文件中未尽事宜，按国家和地方最新《物业管理条例》执行。</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814"/>
        <w:ind w:firstLine="0"/>
        <w:spacing w:line="440" w:lineRule="exact"/>
        <w:rPr>
          <w:rFonts w:ascii="宋体" w:hAnsi="宋体" w:cs="宋体"/>
          <w:color w:val="auto"/>
          <w:sz w:val="24"/>
          <w:highlight w:val="none"/>
        </w:rPr>
      </w:pPr>
      <w:r>
        <w:rPr>
          <w:rFonts w:hint="eastAsia" w:ascii="宋体" w:hAnsi="宋体" w:cs="宋体"/>
          <w:color w:val="auto"/>
          <w:sz w:val="24"/>
          <w:highlight w:val="none"/>
        </w:rPr>
        <w:t xml:space="preserve">附件1</w:t>
      </w:r>
      <w:r/>
    </w:p>
    <w:tbl>
      <w:tblPr>
        <w:tblStyle w:val="790"/>
        <w:tblW w:w="4951" w:type="pct"/>
        <w:tblInd w:w="0" w:type="dxa"/>
        <w:tblLayout w:type="autofit"/>
        <w:tblCellMar>
          <w:left w:w="108" w:type="dxa"/>
          <w:top w:w="0" w:type="dxa"/>
          <w:right w:w="108" w:type="dxa"/>
          <w:bottom w:w="0" w:type="dxa"/>
        </w:tblCellMar>
        <w:tblLook w:val="04A0" w:firstRow="1" w:lastRow="0" w:firstColumn="1" w:lastColumn="0" w:noHBand="0" w:noVBand="1"/>
      </w:tblPr>
      <w:tblGrid>
        <w:gridCol w:w="896"/>
        <w:gridCol w:w="2142"/>
        <w:gridCol w:w="4692"/>
        <w:gridCol w:w="1489"/>
      </w:tblGrid>
      <w:tr>
        <w:trPr>
          <w:trHeight w:val="240"/>
        </w:trPr>
        <w:tc>
          <w:tcPr>
            <w:gridSpan w:val="4"/>
            <w:shd w:val="clear" w:color="auto" w:fill="ffffff"/>
            <w:tcBorders>
              <w:top w:val="none" w:color="000000" w:sz="4" w:space="0"/>
              <w:left w:val="none" w:color="000000" w:sz="4" w:space="0"/>
              <w:bottom w:val="single" w:color="000000" w:sz="4" w:space="0"/>
              <w:right w:val="none" w:color="000000" w:sz="4" w:space="0"/>
            </w:tcBorders>
            <w:tcW w:w="5000" w:type="pct"/>
            <w:vAlign w:val="center"/>
            <w:textDirection w:val="lrTb"/>
            <w:noWrap/>
          </w:tcPr>
          <w:p>
            <w:pPr>
              <w:pStyle w:val="814"/>
              <w:ind w:firstLine="0"/>
              <w:jc w:val="center"/>
              <w:spacing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盐城市妇幼保健院物业点位人数</w:t>
            </w:r>
            <w:r/>
          </w:p>
          <w:p>
            <w:pPr>
              <w:rPr>
                <w:rFonts w:ascii="宋体" w:hAnsi="宋体" w:cs="宋体"/>
                <w:color w:val="auto"/>
                <w:highlight w:val="none"/>
              </w:rPr>
            </w:pPr>
            <w:r>
              <w:rPr>
                <w:rFonts w:ascii="宋体" w:hAnsi="宋体" w:cs="宋体"/>
                <w:color w:val="auto"/>
                <w:highlight w:val="none"/>
              </w:rPr>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楼层</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科室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人数</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全院</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主管</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门诊1楼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急诊</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门诊大厅、门诊药房</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放射科、收费处</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儿科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皮肤科、内科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门诊2楼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输液室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妇科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检验科（含收发标本）</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B超室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人流室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生殖中心（含实验区）</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门诊3楼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内镜中心</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信息科、消毒供应中心外围</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检验科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病理科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医学遗传中心、产后康复</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五官科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中医馆</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消毒供应中心（含下收器械、保洁）</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门诊4楼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术后观察病房</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产前诊断中心、大通道</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产后特需</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体检中心1楼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体检中心</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体检中心2楼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儿保科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行政办公3楼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行政办公区</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行政办公4楼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行政办公区</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地下室</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住院部东1楼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静脉中心</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住院部东2楼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妇科1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住院部东3楼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妇科2</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住院部东4楼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产房</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住院部东5楼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产科1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住院部东6楼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产科2</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住院部东7楼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内科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住院部东8楼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乳腺+外科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restart"/>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住院部西1楼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药事科、住院大厅</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vMerge w:val="continue"/>
            <w:textDirection w:val="lrTb"/>
            <w:noWrap/>
          </w:tcPr>
          <w:p>
            <w:pPr>
              <w:pStyle w:val="814"/>
              <w:ind w:firstLine="0"/>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病员服务中心</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住院部西2楼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儿科1</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住院部西4楼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儿科3</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住院部西5楼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新生儿科</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住院部西6楼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新生儿+儿童家庭化</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162"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住院部西7楼</w:t>
            </w:r>
            <w:r/>
          </w:p>
        </w:tc>
        <w:tc>
          <w:tcPr>
            <w:shd w:val="clear" w:color="auto" w:fill="ffffff"/>
            <w:tcBorders>
              <w:top w:val="single" w:color="000000" w:sz="4" w:space="0"/>
              <w:left w:val="single" w:color="000000" w:sz="4" w:space="0"/>
              <w:bottom w:val="single" w:color="000000" w:sz="4" w:space="0"/>
              <w:right w:val="single" w:color="000000" w:sz="4" w:space="0"/>
            </w:tcBorders>
            <w:tcW w:w="254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儿科4</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电梯保洁</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外围保洁</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发热门诊保洁</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电工</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水工</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特种设备安全管理员（电梯、压力容器及管道）</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空调机房值守</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热交换站值守</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供氧、供气值守</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洗衣房洗涤服务</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医疗废物垃圾收集</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卫材库物资接收、下送人员</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r>
      <w:tr>
        <w:trPr>
          <w:trHeight w:val="246"/>
        </w:trPr>
        <w:tc>
          <w:tcPr>
            <w:shd w:val="clear" w:color="auto" w:fill="ffffff"/>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7"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805" w:type="pct"/>
            <w:vAlign w:val="center"/>
            <w:textDirection w:val="lrTb"/>
            <w:noWrap/>
          </w:tcPr>
          <w:p>
            <w:pPr>
              <w:pStyle w:val="814"/>
              <w:ind w:firstLine="0"/>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100</w:t>
            </w:r>
            <w:r/>
          </w:p>
        </w:tc>
      </w:tr>
      <w:tr>
        <w:trPr>
          <w:trHeight w:val="485"/>
        </w:trPr>
        <w:tc>
          <w:tcPr>
            <w:gridSpan w:val="4"/>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pStyle w:val="814"/>
              <w:ind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说明：1、各物业点位的人员配置将依据医院的具体运营需求进行动态调整。</w:t>
            </w:r>
            <w:r/>
          </w:p>
          <w:p>
            <w:pPr>
              <w:pStyle w:val="814"/>
              <w:numPr>
                <w:ilvl w:val="0"/>
                <w:numId w:val="2"/>
              </w:numPr>
              <w:ind w:firstLine="63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五官科病区因暂未开设、未设置人数。</w:t>
            </w:r>
            <w:r/>
          </w:p>
          <w:p>
            <w:pPr>
              <w:pStyle w:val="814"/>
              <w:numPr>
                <w:ilvl w:val="0"/>
                <w:numId w:val="2"/>
              </w:numPr>
              <w:ind w:firstLine="632"/>
              <w:spacing w:line="440" w:lineRule="exact"/>
            </w:pPr>
            <w:r>
              <w:rPr>
                <w:rFonts w:hint="eastAsia"/>
                <w:b/>
                <w:bCs/>
                <w:color w:val="auto"/>
                <w:highlight w:val="none"/>
              </w:rPr>
              <w:t xml:space="preserve">所有物业服务人员年龄要求:男性年龄在60周岁(含)以下，女性年龄在50周岁(含)以</w:t>
            </w:r>
            <w:r>
              <w:rPr>
                <w:rFonts w:hint="eastAsia"/>
                <w:b/>
                <w:bCs/>
                <w:color w:val="auto"/>
                <w:highlight w:val="none"/>
                <w:lang w:val="en-US" w:eastAsia="zh-CN"/>
              </w:rPr>
              <w:t xml:space="preserve">下。</w:t>
            </w:r>
            <w:r/>
          </w:p>
        </w:tc>
      </w:tr>
    </w:tbl>
    <w:p>
      <w:pPr>
        <w:pStyle w:val="814"/>
        <w:ind w:firstLine="0"/>
        <w:spacing w:line="44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br w:type="page" w:clear="all"/>
      </w:r>
      <w:r/>
    </w:p>
    <w:p>
      <w:r/>
      <w:r/>
    </w:p>
    <w:p>
      <w:pPr>
        <w:pStyle w:val="814"/>
        <w:ind w:firstLine="0"/>
        <w:spacing w:line="440" w:lineRule="exact"/>
        <w:rPr>
          <w:rFonts w:ascii="宋体" w:hAnsi="宋体" w:cs="宋体"/>
          <w:color w:val="auto"/>
          <w:sz w:val="24"/>
          <w:highlight w:val="none"/>
        </w:rPr>
      </w:pPr>
      <w:r>
        <w:rPr>
          <w:rFonts w:hint="eastAsia" w:ascii="宋体" w:hAnsi="宋体" w:cs="宋体"/>
          <w:color w:val="auto"/>
          <w:sz w:val="24"/>
          <w:highlight w:val="none"/>
        </w:rPr>
        <w:t xml:space="preserve">附件2</w:t>
      </w:r>
      <w:r/>
    </w:p>
    <w:p>
      <w:pPr>
        <w:jc w:val="center"/>
        <w:spacing w:line="44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盐城市妇幼保健院物业考核表</w:t>
      </w:r>
      <w:r/>
    </w:p>
    <w:tbl>
      <w:tblPr>
        <w:tblStyle w:val="790"/>
        <w:tblW w:w="5000" w:type="pct"/>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586"/>
        <w:gridCol w:w="1059"/>
        <w:gridCol w:w="1989"/>
        <w:gridCol w:w="2018"/>
        <w:gridCol w:w="924"/>
        <w:gridCol w:w="827"/>
        <w:gridCol w:w="1050"/>
        <w:gridCol w:w="857"/>
      </w:tblGrid>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w:t>
            </w:r>
            <w:r/>
          </w:p>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考核标准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考核结论</w:t>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问题描述</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总分</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得分</w:t>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（可添加附件）</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综合类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每月新进员工培训、重点岗位培训、月度集体培训、院感知识培训等有记录有图片资料。</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缺一项资料的扣0.2分，缺三项以上扣1分。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整改：有整改方案，并按时整改。</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制定完整的年度、月度各类总结及工作、培训计划等，并切实执行。</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投诉管理：有投诉处置记录、回访</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有效投诉扣1分/次，无整改、记录及回访扣0.5分/次，整改不及时扣0.5分/次。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劳动纪律：工作时间不闲聊、做与工作无关的事、公共场所大声喧哗吵架、打架、旷工</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闲聊、做与工作无关的事情发现一次扣0.2分，吵架打架发现一次扣2分，脱岗发现一次扣2分。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现场管理：每日现场巡查至少2次，巡查有记录；办公场所干净整洁无垃圾、烟头</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少巡查一次扣0.2分，无巡查记录扣一次0.2分，办公室桌面脏、地面有垃圾、烟头一次扣1分。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仪容仪表：服务人员衣着统一，规范，服务态度端正</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精神面貌不佳扣0.2分一次，服务态度差或工作时间未着工作服或工作服脏扣0.2分一次。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环境类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地面：每日推尘、循环保洁</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无大量烟头、果皮、纸屑、污渍；无明显浮尘、树叶、纸屑、塑料袋；地面面貌无杂物、无呕吐物、无积水、无泥沙；发现未执行处一次扣0.2分。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3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墙面、踢脚线、玻璃、门窗：每日、周、月计划性清洁、打尘、抹擦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墙面光洁、明亮、无污渍、无蜘蛛网及其它粘附杂物；每月定期用清水清洁剂擦洗。玻璃幕墙、门、窗等透亮、无污迹、无水迹，发现未执行处一次扣0.2分。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天花板：每日、周、月计划性清洁、打尘、抹擦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空调风口、灯具、指示牌、外露管道等顶部设施无积尘、无蜘蛛网；室外雨蓬无杂物，发现未执行处一次扣0.2分。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各类器材：每日清洁抹擦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器材表面无污迹、无灰尘，物件表面光洁，无粗糙感、无污迹，发现未执行处一次扣0.2分。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标识牌：无污渍、无积灰等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光亮、干净、无污渍，发现未执行处一次扣0.2分。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垃圾桶：外部及周边无垃圾、无污垢、桶身无污渍，桶内垃圾不超过桶高3/4</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表面光亮无污迹、油迹、无蚊蝇等，发现未执行处一次扣0.2分。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电梯：每日清洁、消毒、无灰尘等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玻璃镜面光亮无污迹；不锈钢表面无灰尘、无污迹；灯具天花板无灰尘、无蜘蛛网、电梯内地面干净，发现未执行处一次扣0.2分。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病房：地面、墙面、床（及陪护床）、床边柜、储物柜、设备带、空调出风口无积灰、无污渍、无蜘蛛网</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表面无污迹、无灰尘、无蜘蛛网，发现未执行处一次扣0.2分。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卫生间：无异味、马桶无污垢，地面无积水无污渍、墙面、水龙头、洗手盆、镜面、窗框玻璃无污渍，排风扇、吸顶灯无积灰</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无异味、臭味、干净卫生、无积水，发现未执行处一次扣0.2分。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绿化：大量杂草、未按计划进行修枝、抗旱、施肥、涂白等</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公共区域、绿化带</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道路无明显大量浮尘、烟头、果皮、纸屑、塑料袋；花基、花坛无烟头、杂物，发现未执行处一次扣0.2分。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生活垃圾运送：日产日清，周边无垃圾、桶身无污渍、桶内垃圾不超过桶高3/4</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每天清运两次，发现未执行处一次扣0.5分。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工程类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机房设备整洁，各设施设备标牌标识完善清楚</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现场检查，机房内清洁达不到要求,有大量浮尘、烟头、果皮、纸屑、餐盒等，工具随意乱放发现一次扣0.5分：缺标牌标识一次扣0.5分。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各机房建立完整的管理制度及操作规程并掌握、对应岗位持证上岗。</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现场检查，有不完善各机房管理制度及操作规程，未明确标识、公示或员工不知晓的，发现一处扣0.5分。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26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各班组建立完善的岗位职责并掌握</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现场检查，有不完善各班组岗位职责，未明确标识、公示或员工不知晓的，发现一处扣0.5分。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44"/>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机电设备建立完整的档案台账资料、特种设备管理规范，检测时间登记完善有序，无特种设备检测过期现象发生</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随机抽查，不能提供抽查机电设备完整档案包括运行维修进出记录、特种设备检测登记等档案台账的，发现一处扣0.2分；发现一次特种设备检测时间过期扣1分。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0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全天候24小时内，紧急报修10分钟内作出响应，常规报修12小时作出处理</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未按规定时间到达并作出响应的，一次扣0.5分。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11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每月统计能源消耗表</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按月考核，未及时统计或统计漏项的，发现一处扣0.5分。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设备标签、管道标识、阀门标识、电气线路图、阀门图表、计量表正常范围标识等标识图表规、正确、完整</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现场检查，标识不规范或未标识的，发现一处扣0.5分。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其他类</w:t>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洗衣房收送及时</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未及时收送的，发现一次扣0.2分。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洗衣房洗涤清洁度符合规定要求</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发现一次不合格的扣0.5分。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医疗废物分类收集、包装规范并及时转运至暂存地</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专人运送、交接登记清楚，每天清运两次，发现未执行处一次扣0.5分。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医疗废物处理登记表记录、消毒记录等记录规范</w:t>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vMerge w:val="restart"/>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发现一次不规范的扣0.5分。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vMerge w:val="restart"/>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5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8" w:type="pct"/>
            <w:vAlign w:val="center"/>
            <w:vMerge w:val="continue"/>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3" w:type="pct"/>
            <w:vAlign w:val="center"/>
            <w:textDirection w:val="lrTb"/>
            <w:noWrap/>
          </w:tcPr>
          <w:p>
            <w:pPr>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因运送响应不及时导致投诉的，一次扣0.5分。</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64"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710"/>
        </w:trPr>
        <w:tc>
          <w:tcPr>
            <w:gridSpan w:val="4"/>
            <w:shd w:val="clear" w:color="auto" w:fill="ffffff"/>
            <w:tcBorders>
              <w:top w:val="single" w:color="000000" w:sz="4" w:space="0"/>
              <w:left w:val="single" w:color="000000" w:sz="4" w:space="0"/>
              <w:bottom w:val="single" w:color="000000" w:sz="4" w:space="0"/>
              <w:right w:val="single" w:color="000000" w:sz="4" w:space="0"/>
            </w:tcBorders>
            <w:tcW w:w="3034"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tcPr>
          <w:p>
            <w:pPr>
              <w:jc w:val="center"/>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008"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tcPr>
          <w:p>
            <w:pPr>
              <w:jc w:val="left"/>
              <w:spacing w:line="400" w:lineRule="exact"/>
              <w:rPr>
                <w:rFonts w:ascii="宋体" w:hAnsi="宋体" w:cs="宋体"/>
                <w:color w:val="auto"/>
                <w:szCs w:val="21"/>
                <w:highlight w:val="none"/>
              </w:rPr>
            </w:pPr>
            <w:r>
              <w:rPr>
                <w:rFonts w:ascii="宋体" w:hAnsi="宋体" w:cs="宋体"/>
                <w:color w:val="auto"/>
                <w:szCs w:val="21"/>
                <w:highlight w:val="none"/>
              </w:rPr>
            </w:r>
            <w:r/>
          </w:p>
        </w:tc>
      </w:tr>
    </w:tbl>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1、考核发现的一般问题12小时内整改，重大问题48小时内整改，检查中发现未按频次清洁的，视为未执行。每月考核中若涉及到扣除金额的则直接从每月服务费中扣除。            </w:t>
      </w:r>
      <w:r/>
    </w:p>
    <w:p>
      <w:pPr>
        <w:ind w:firstLine="482"/>
        <w:jc w:val="left"/>
        <w:spacing w:line="44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2、如出现上级检查通报文件中涉及物业问题的，每项扣5分并扣500元/次。</w:t>
      </w:r>
      <w:r/>
    </w:p>
    <w:p>
      <w:pPr>
        <w:ind w:firstLine="480"/>
        <w:spacing w:line="558"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3、考核得分低于80分为不合格。</w:t>
      </w:r>
      <w:r/>
    </w:p>
    <w:p>
      <w:pPr>
        <w:ind w:firstLine="480"/>
        <w:spacing w:line="558"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w:t>
      </w:r>
      <w:r>
        <w:rPr>
          <w:rFonts w:ascii="宋体" w:hAnsi="宋体" w:cs="宋体"/>
          <w:b/>
          <w:color w:val="auto"/>
          <w:sz w:val="24"/>
          <w:highlight w:val="none"/>
        </w:rPr>
        <w:t xml:space="preserve">、</w:t>
      </w:r>
      <w:r>
        <w:rPr>
          <w:rFonts w:hint="eastAsia" w:ascii="宋体" w:hAnsi="宋体" w:cs="宋体"/>
          <w:b/>
          <w:color w:val="auto"/>
          <w:sz w:val="24"/>
          <w:highlight w:val="none"/>
        </w:rPr>
        <w:t xml:space="preserve">供应商综合实力要求</w:t>
      </w:r>
      <w:r/>
    </w:p>
    <w:p>
      <w:pPr>
        <w:ind w:firstLine="480"/>
        <w:spacing w:line="558" w:lineRule="atLeast"/>
        <w:rPr>
          <w:rFonts w:eastAsia="Arial"/>
          <w:color w:val="auto"/>
          <w:sz w:val="24"/>
          <w:szCs w:val="20"/>
          <w:highlight w:val="none"/>
          <w:lang w:val="zh-CN"/>
        </w:rPr>
        <w:pBdr>
          <w:top w:val="none" w:color="000000" w:sz="0" w:space="0"/>
          <w:left w:val="none" w:color="000000" w:sz="0" w:space="0"/>
          <w:bottom w:val="none" w:color="000000" w:sz="0" w:space="0"/>
          <w:right w:val="none" w:color="000000" w:sz="0" w:space="0"/>
        </w:pBdr>
      </w:pPr>
      <w:r>
        <w:rPr>
          <w:rFonts w:hint="eastAsia"/>
          <w:color w:val="auto"/>
          <w:sz w:val="24"/>
          <w:szCs w:val="20"/>
          <w:highlight w:val="none"/>
        </w:rPr>
        <w:t xml:space="preserve">1、</w:t>
      </w:r>
      <w:r>
        <w:rPr>
          <w:rFonts w:hint="eastAsia" w:eastAsia="Arial"/>
          <w:color w:val="auto"/>
          <w:sz w:val="24"/>
          <w:szCs w:val="20"/>
          <w:highlight w:val="none"/>
          <w:lang w:val="zh-CN"/>
        </w:rPr>
        <w:t xml:space="preserve">投标人需</w:t>
      </w:r>
      <w:r>
        <w:rPr>
          <w:rFonts w:hint="eastAsia"/>
          <w:color w:val="auto"/>
          <w:sz w:val="24"/>
          <w:szCs w:val="20"/>
          <w:highlight w:val="none"/>
        </w:rPr>
        <w:t xml:space="preserve">具备</w:t>
      </w:r>
      <w:r>
        <w:rPr>
          <w:rFonts w:hint="eastAsia" w:eastAsia="Arial"/>
          <w:color w:val="auto"/>
          <w:sz w:val="24"/>
          <w:szCs w:val="20"/>
          <w:highlight w:val="none"/>
          <w:lang w:val="zh-CN"/>
        </w:rPr>
        <w:t xml:space="preserve">丰富的物业服务</w:t>
      </w:r>
      <w:r>
        <w:rPr>
          <w:rFonts w:hint="eastAsia"/>
          <w:color w:val="auto"/>
          <w:sz w:val="24"/>
          <w:szCs w:val="20"/>
          <w:highlight w:val="none"/>
        </w:rPr>
        <w:t xml:space="preserve">经验，承担过</w:t>
      </w:r>
      <w:r>
        <w:rPr>
          <w:rFonts w:hint="eastAsia" w:eastAsia="Arial"/>
          <w:color w:val="auto"/>
          <w:sz w:val="24"/>
          <w:szCs w:val="20"/>
          <w:highlight w:val="none"/>
          <w:lang w:val="zh-CN"/>
        </w:rPr>
        <w:t xml:space="preserve">相关物业服务</w:t>
      </w:r>
      <w:r>
        <w:rPr>
          <w:rFonts w:hint="eastAsia"/>
          <w:color w:val="auto"/>
          <w:sz w:val="24"/>
          <w:szCs w:val="20"/>
          <w:highlight w:val="none"/>
        </w:rPr>
        <w:t xml:space="preserve">业绩</w:t>
      </w:r>
      <w:r>
        <w:rPr>
          <w:rFonts w:hint="eastAsia" w:eastAsia="Arial"/>
          <w:color w:val="auto"/>
          <w:sz w:val="24"/>
          <w:szCs w:val="20"/>
          <w:highlight w:val="none"/>
          <w:lang w:val="zh-CN"/>
        </w:rPr>
        <w:t xml:space="preserve">，确保本项目的顺利实施，投标人自2022年1月1日以来承担过与本项目服务内容相匹配的业绩，业绩服务范围包括卫生保洁、陪检配送、</w:t>
      </w:r>
      <w:r>
        <w:rPr>
          <w:rFonts w:hint="eastAsia" w:eastAsia="Arial"/>
          <w:color w:val="auto"/>
          <w:sz w:val="24"/>
          <w:szCs w:val="20"/>
          <w:highlight w:val="none"/>
          <w:lang w:val="en-US" w:eastAsia="zh-CN"/>
        </w:rPr>
        <w:t xml:space="preserve">后勤技术</w:t>
      </w:r>
      <w:r>
        <w:rPr>
          <w:rFonts w:hint="eastAsia" w:eastAsia="Arial"/>
          <w:color w:val="auto"/>
          <w:sz w:val="24"/>
          <w:szCs w:val="20"/>
          <w:highlight w:val="none"/>
          <w:lang w:val="zh-CN"/>
        </w:rPr>
        <w:t xml:space="preserve">服务（</w:t>
      </w:r>
      <w:r>
        <w:rPr>
          <w:rFonts w:hint="eastAsia" w:eastAsia="Arial"/>
          <w:color w:val="auto"/>
          <w:sz w:val="24"/>
          <w:szCs w:val="20"/>
          <w:highlight w:val="none"/>
          <w:lang w:val="en-US" w:eastAsia="zh-CN"/>
        </w:rPr>
        <w:t xml:space="preserve">水电维修等</w:t>
      </w:r>
      <w:r>
        <w:rPr>
          <w:rFonts w:hint="eastAsia" w:eastAsia="Arial"/>
          <w:color w:val="auto"/>
          <w:sz w:val="24"/>
          <w:szCs w:val="20"/>
          <w:highlight w:val="none"/>
          <w:lang w:val="zh-CN"/>
        </w:rPr>
        <w:t xml:space="preserve">）的优先。</w:t>
      </w:r>
      <w:r/>
    </w:p>
    <w:p>
      <w:pPr>
        <w:ind w:firstLine="480"/>
        <w:spacing w:line="520" w:lineRule="exact"/>
        <w:widowControl/>
        <w:rPr>
          <w:rFonts w:eastAsia="Arial"/>
          <w:color w:val="auto"/>
          <w:sz w:val="24"/>
          <w:szCs w:val="20"/>
          <w:highlight w:val="none"/>
          <w:lang w:val="zh-CN"/>
        </w:rPr>
      </w:pPr>
      <w:r>
        <w:rPr>
          <w:rFonts w:hint="eastAsia"/>
          <w:color w:val="auto"/>
          <w:sz w:val="24"/>
          <w:szCs w:val="20"/>
          <w:highlight w:val="none"/>
          <w:lang w:val="en-US" w:eastAsia="zh-CN"/>
        </w:rPr>
        <w:t xml:space="preserve">2</w:t>
      </w:r>
      <w:r>
        <w:rPr>
          <w:rFonts w:hint="eastAsia"/>
          <w:color w:val="auto"/>
          <w:sz w:val="24"/>
          <w:szCs w:val="20"/>
          <w:highlight w:val="none"/>
        </w:rPr>
        <w:t xml:space="preserve">、</w:t>
      </w:r>
      <w:r>
        <w:rPr>
          <w:rFonts w:hint="eastAsia" w:eastAsia="Arial"/>
          <w:color w:val="auto"/>
          <w:sz w:val="24"/>
          <w:szCs w:val="20"/>
          <w:highlight w:val="none"/>
          <w:lang w:val="zh-CN"/>
        </w:rPr>
        <w:t xml:space="preserve">体系认证</w:t>
      </w:r>
      <w:r/>
    </w:p>
    <w:p>
      <w:pPr>
        <w:ind w:firstLine="480"/>
        <w:jc w:val="left"/>
        <w:spacing w:line="560" w:lineRule="exact"/>
        <w:widowControl/>
        <w:rPr>
          <w:color w:val="auto"/>
          <w:highlight w:val="none"/>
        </w:rPr>
      </w:pPr>
      <w:r>
        <w:rPr>
          <w:rFonts w:hint="eastAsia" w:eastAsia="Arial"/>
          <w:color w:val="auto"/>
          <w:sz w:val="24"/>
          <w:szCs w:val="20"/>
          <w:highlight w:val="none"/>
          <w:lang w:val="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w:t>
      </w:r>
      <w:r>
        <w:rPr>
          <w:rFonts w:hint="eastAsia" w:ascii="宋体" w:hAnsi="宋体" w:cs="宋体"/>
          <w:color w:val="auto"/>
          <w:sz w:val="24"/>
          <w:highlight w:val="none"/>
        </w:rPr>
        <w:t xml:space="preserve">公共环境灭菌消毒作业服务专业相关资质或认证证书的</w:t>
      </w:r>
      <w:r>
        <w:rPr>
          <w:rFonts w:hint="eastAsia" w:eastAsia="Arial"/>
          <w:color w:val="auto"/>
          <w:sz w:val="24"/>
          <w:szCs w:val="20"/>
          <w:highlight w:val="none"/>
          <w:lang w:val="zh-CN"/>
        </w:rPr>
        <w:t xml:space="preserve">优先。</w:t>
      </w:r>
      <w:r/>
    </w:p>
    <w:p>
      <w:pPr>
        <w:ind w:firstLine="480"/>
        <w:spacing w:line="558"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auto"/>
          <w:sz w:val="24"/>
          <w:highlight w:val="none"/>
        </w:rPr>
        <w:t xml:space="preserve">七、</w:t>
      </w:r>
      <w:r>
        <w:rPr>
          <w:rFonts w:ascii="Arial" w:hAnsi="Arial" w:eastAsia="Arial" w:cs="Arial"/>
          <w:b/>
          <w:color w:val="auto"/>
          <w:sz w:val="24"/>
          <w:highlight w:val="none"/>
        </w:rPr>
        <w:t xml:space="preserve">采购标的对应的中小企业划分标准所属行业一览表</w:t>
      </w:r>
      <w:r/>
    </w:p>
    <w:tbl>
      <w:tblPr>
        <w:tblStyle w:val="815"/>
        <w:tblW w:w="93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43"/>
        <w:gridCol w:w="4097"/>
      </w:tblGrid>
      <w:tr>
        <w:trPr>
          <w:trHeight w:val="90"/>
        </w:trPr>
        <w:tc>
          <w:tcPr>
            <w:tcMar>
              <w:left w:w="108" w:type="dxa"/>
              <w:top w:w="0" w:type="dxa"/>
              <w:right w:w="108" w:type="dxa"/>
              <w:bottom w:w="0" w:type="dxa"/>
            </w:tcMar>
            <w:tcW w:w="5243" w:type="dxa"/>
            <w:vAlign w:val="center"/>
            <w:textDirection w:val="lrTb"/>
            <w:noWrap/>
          </w:tcPr>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采购标的</w:t>
            </w:r>
            <w:r/>
          </w:p>
        </w:tc>
        <w:tc>
          <w:tcPr>
            <w:tcMar>
              <w:left w:w="108" w:type="dxa"/>
              <w:top w:w="0" w:type="dxa"/>
              <w:right w:w="108" w:type="dxa"/>
              <w:bottom w:w="0" w:type="dxa"/>
            </w:tcMar>
            <w:tcW w:w="4097" w:type="dxa"/>
            <w:vAlign w:val="center"/>
            <w:textDirection w:val="lrTb"/>
            <w:noWrap/>
          </w:tcPr>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对应中小企业划分标准所属行业</w:t>
            </w:r>
            <w:r/>
          </w:p>
        </w:tc>
      </w:tr>
      <w:tr>
        <w:trPr>
          <w:trHeight w:val="625"/>
        </w:trPr>
        <w:tc>
          <w:tcPr>
            <w:tcMar>
              <w:left w:w="108" w:type="dxa"/>
              <w:top w:w="0" w:type="dxa"/>
              <w:right w:w="108" w:type="dxa"/>
              <w:bottom w:w="0" w:type="dxa"/>
            </w:tcMar>
            <w:tcW w:w="5243" w:type="dxa"/>
            <w:vAlign w:val="center"/>
            <w:textDirection w:val="lrTb"/>
            <w:noWrap/>
          </w:tcPr>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盐城市妇幼保健院物业服务</w:t>
            </w:r>
            <w:r/>
          </w:p>
        </w:tc>
        <w:tc>
          <w:tcPr>
            <w:tcMar>
              <w:left w:w="108" w:type="dxa"/>
              <w:top w:w="0" w:type="dxa"/>
              <w:right w:w="108" w:type="dxa"/>
              <w:bottom w:w="0" w:type="dxa"/>
            </w:tcMar>
            <w:tcW w:w="4097" w:type="dxa"/>
            <w:vAlign w:val="center"/>
            <w:textDirection w:val="lrTb"/>
            <w:noWrap/>
          </w:tcPr>
          <w:p>
            <w:pPr>
              <w:jc w:val="cente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物业管理</w:t>
            </w:r>
            <w:r/>
          </w:p>
        </w:tc>
      </w:tr>
    </w:tbl>
    <w:p>
      <w:pPr>
        <w:pStyle w:val="1020"/>
        <w:jc w:val="center"/>
        <w:spacing w:beforeAutospacing="0" w:afterAutospacing="0"/>
        <w:rPr>
          <w:color w:val="auto"/>
          <w:highlight w:val="none"/>
        </w:rPr>
        <w:outlineLvl w:val="0"/>
      </w:pPr>
      <w:r/>
      <w:bookmarkStart w:id="143" w:name="_Toc15374"/>
      <w:r>
        <w:rPr>
          <w:rFonts w:hint="eastAsia" w:ascii="黑体" w:hAnsi="黑体" w:eastAsia="黑体" w:cs="黑体"/>
          <w:color w:val="auto"/>
          <w:sz w:val="44"/>
          <w:szCs w:val="44"/>
          <w:highlight w:val="none"/>
        </w:rPr>
        <w:t xml:space="preserve">第五章  评标方法与评标标准</w:t>
      </w:r>
      <w:bookmarkEnd w:id="143"/>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政府采购政策功能落实</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w:t>
      </w:r>
      <w:r>
        <w:rPr>
          <w:rFonts w:hint="eastAsia" w:ascii="宋体" w:hAnsi="宋体" w:cs="宋体"/>
          <w:b/>
          <w:bCs/>
          <w:color w:val="auto"/>
          <w:sz w:val="24"/>
          <w:szCs w:val="20"/>
          <w:highlight w:val="none"/>
        </w:rPr>
        <w:t xml:space="preserve">中</w:t>
      </w:r>
      <w:r>
        <w:rPr>
          <w:rFonts w:hint="eastAsia" w:ascii="宋体" w:hAnsi="宋体" w:cs="宋体"/>
          <w:b/>
          <w:bCs/>
          <w:color w:val="auto"/>
          <w:sz w:val="24"/>
          <w:szCs w:val="20"/>
          <w:highlight w:val="none"/>
          <w:lang w:val="zh-CN"/>
        </w:rPr>
        <w:t xml:space="preserve">小微型企业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（1）本项目专门面向中小企业采购，不再对小型和微型企业报价给予价格扣除。</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（2）供应商需按照采购文件的要求提供相应的《</w:t>
      </w:r>
      <w:r>
        <w:rPr>
          <w:rFonts w:hint="eastAsia" w:ascii="宋体" w:hAnsi="宋体" w:cs="宋体"/>
          <w:color w:val="auto"/>
          <w:sz w:val="24"/>
          <w:szCs w:val="20"/>
          <w:highlight w:val="none"/>
        </w:rPr>
        <w:t xml:space="preserve">中</w:t>
      </w:r>
      <w:r>
        <w:rPr>
          <w:rFonts w:hint="eastAsia" w:ascii="宋体" w:hAnsi="宋体" w:cs="宋体"/>
          <w:color w:val="auto"/>
          <w:sz w:val="24"/>
          <w:szCs w:val="20"/>
          <w:highlight w:val="none"/>
          <w:lang w:val="zh-CN"/>
        </w:rPr>
        <w:t xml:space="preserve">小企业声明函》。</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（3）企业标准请参照《关于印发中小企业划型标准规定的通知》（工信部联企业〔2011〕300号）文件规定自行填写。</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2.残疾人福利单位</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（1）本项目对残疾人福利性单位视同小型、微型企业。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（2）残疾人福利单位需按照采购文件的要求提供《残疾人福利性单位声明函》。</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（3）残疾人福利单位标准请参照《关于促进残疾人就业政府采购政策的通知》（财库〔2017〕141号）。</w:t>
      </w:r>
      <w:r/>
    </w:p>
    <w:p>
      <w:pPr>
        <w:ind w:firstLine="482"/>
        <w:spacing w:line="520" w:lineRule="exac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3.监狱和戒毒企业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（1）本项目对监狱和戒毒企业（简称监狱企业）视同小型、微型企业。</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（3）监狱企业标准请参照《关于政府采购支持监狱企业发展有关问题的通知》（财库〔2014〕68号）。</w:t>
      </w:r>
      <w:r/>
    </w:p>
    <w:p>
      <w:pPr>
        <w:ind w:firstLine="480"/>
        <w:spacing w:line="520" w:lineRule="exac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4.残疾人福利单位、监狱企业属于小型、微型企业的，不重复享受政策。</w:t>
      </w:r>
      <w:r/>
    </w:p>
    <w:p>
      <w:pPr>
        <w:ind w:firstLine="480"/>
        <w:spacing w:line="520" w:lineRule="exact"/>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cs="宋体"/>
          <w:color w:val="auto"/>
          <w:sz w:val="24"/>
          <w:szCs w:val="20"/>
          <w:highlight w:val="none"/>
        </w:rPr>
        <w:t xml:space="preserve">其他条件相同情况下，应当优先采购节能产品、环境标志产品。</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6.采购本国产品的支持政策</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6.1本项目政府采购活动中既有本国产品又有非本国产品参与竞争的，依法对本国产品给予价格评审优惠，对本国产品的报价给予20%的价格扣除，用扣除后的价格参与评审。</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6.3供应商需按照招标文件的要求提供《关于符合本国产品标准的声明函》（以下简称《声明函》），如不提供将不享受本国产品价格评审优惠。</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1062"/>
        <w:widowControl w:val="off"/>
        <w:rPr>
          <w:color w:val="auto"/>
          <w:highlight w:val="none"/>
        </w:rPr>
      </w:pPr>
      <w:r>
        <w:rPr>
          <w:rFonts w:hint="eastAsia" w:ascii="宋体" w:hAnsi="宋体" w:cs="宋体"/>
          <w:color w:val="auto"/>
          <w:sz w:val="24"/>
          <w:highlight w:val="none"/>
        </w:rPr>
        <w:t xml:space="preserve">6</w:t>
      </w: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二、评标方法与评标标准</w:t>
      </w:r>
      <w:r/>
    </w:p>
    <w:p>
      <w:pPr>
        <w:ind w:firstLine="480"/>
        <w:jc w:val="left"/>
        <w:spacing w:line="560" w:lineRule="exact"/>
        <w:widowControl/>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本项目评分总分值为100分。</w:t>
      </w:r>
      <w:r/>
    </w:p>
    <w:tbl>
      <w:tblPr>
        <w:tblStyle w:val="790"/>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850"/>
        <w:gridCol w:w="6963"/>
        <w:gridCol w:w="787"/>
      </w:tblGrid>
      <w:tr>
        <w:trPr>
          <w:trHeight w:val="834"/>
        </w:trPr>
        <w:tc>
          <w:tcPr>
            <w:gridSpan w:val="2"/>
            <w:tcW w:w="1414" w:type="dxa"/>
            <w:vAlign w:val="center"/>
            <w:textDirection w:val="lrTb"/>
            <w:noWrap/>
          </w:tcPr>
          <w:p>
            <w:pPr>
              <w:jc w:val="center"/>
              <w:rPr>
                <w:rFonts w:ascii="宋体" w:hAnsi="宋体" w:cs="宋体"/>
                <w:color w:val="auto"/>
                <w:sz w:val="24"/>
                <w:highlight w:val="none"/>
              </w:rPr>
            </w:pPr>
            <w:r/>
            <w:bookmarkStart w:id="144" w:name="_Toc161336377"/>
            <w:r/>
            <w:bookmarkStart w:id="145" w:name="_Toc23828480"/>
            <w:r/>
            <w:bookmarkStart w:id="146" w:name="_Toc61149622"/>
            <w:r/>
            <w:bookmarkStart w:id="147" w:name="_Toc26554097"/>
            <w:r>
              <w:rPr>
                <w:rFonts w:hint="eastAsia" w:ascii="宋体" w:hAnsi="宋体" w:cs="宋体"/>
                <w:b/>
                <w:bCs/>
                <w:color w:val="auto"/>
                <w:sz w:val="24"/>
                <w:highlight w:val="none"/>
              </w:rPr>
              <w:t xml:space="preserve">评审项目</w:t>
            </w:r>
            <w:r/>
          </w:p>
        </w:tc>
        <w:tc>
          <w:tcPr>
            <w:tcW w:w="6963" w:type="dxa"/>
            <w:vAlign w:val="center"/>
            <w:textDirection w:val="lrTb"/>
            <w:noWrap/>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评审标准</w:t>
            </w:r>
            <w:r/>
          </w:p>
        </w:tc>
        <w:tc>
          <w:tcPr>
            <w:tcW w:w="787" w:type="dxa"/>
            <w:vAlign w:val="center"/>
            <w:textDirection w:val="lrTb"/>
            <w:noWrap/>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分值</w:t>
            </w:r>
            <w:r/>
          </w:p>
        </w:tc>
      </w:tr>
      <w:tr>
        <w:trPr>
          <w:trHeight w:val="1445"/>
        </w:trPr>
        <w:tc>
          <w:tcPr>
            <w:gridSpan w:val="2"/>
            <w:tcW w:w="1414"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6963" w:type="dxa"/>
            <w:vAlign w:val="center"/>
            <w:textDirection w:val="lrTb"/>
            <w:noWrap/>
          </w:tcPr>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1.采用低价优先法，即满足招标文件要求且投标价格最低的有效投标报价为评标基准价，其价格分为满分。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2.其他投标人的价格分统一按下列公式计算：投标报价得分为（评标基准价/投标报价）×50（小数点保留两位）。</w:t>
            </w:r>
            <w:r/>
          </w:p>
        </w:tc>
        <w:tc>
          <w:tcPr>
            <w:tcW w:w="78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50分</w:t>
            </w:r>
            <w:r/>
          </w:p>
        </w:tc>
      </w:tr>
      <w:tr>
        <w:trPr/>
        <w:tc>
          <w:tcPr>
            <w:gridSpan w:val="2"/>
            <w:tcW w:w="1414"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业绩</w:t>
            </w:r>
            <w:r/>
          </w:p>
        </w:tc>
        <w:tc>
          <w:tcPr>
            <w:tcW w:w="6963" w:type="dxa"/>
            <w:vAlign w:val="center"/>
            <w:textDirection w:val="lrTb"/>
            <w:noWrap/>
          </w:tcPr>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自2022年1月1日以来（以合同签订日期为准），投标人承担过与本项目服务内容相匹配的业绩，业绩服务范围须至少包括：卫生保洁、陪检配送、</w:t>
            </w:r>
            <w:r>
              <w:rPr>
                <w:rFonts w:hint="eastAsia" w:ascii="宋体" w:hAnsi="宋体" w:cs="宋体"/>
                <w:color w:val="auto"/>
                <w:sz w:val="24"/>
                <w:highlight w:val="none"/>
                <w:lang w:val="en-US" w:eastAsia="zh-CN"/>
              </w:rPr>
              <w:t xml:space="preserve">后勤技术</w:t>
            </w:r>
            <w:r>
              <w:rPr>
                <w:rFonts w:hint="eastAsia" w:ascii="宋体" w:hAnsi="宋体" w:cs="宋体"/>
                <w:color w:val="auto"/>
                <w:sz w:val="24"/>
                <w:highlight w:val="none"/>
              </w:rPr>
              <w:t xml:space="preserve">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水电维修等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。每提供一个业绩得2分，最高得6分。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备注：以投标人提供的有效的合同原件扫描件，合同中必须包含服务内容、合同签订时间等信息计分，如合同内无法体现服务内容的，可提供业主单位出具的证明并加盖公章扫描件，否则不计分。</w:t>
            </w:r>
            <w:r/>
          </w:p>
        </w:tc>
        <w:tc>
          <w:tcPr>
            <w:tcW w:w="78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6分</w:t>
            </w:r>
            <w:r/>
          </w:p>
        </w:tc>
      </w:tr>
      <w:tr>
        <w:trPr>
          <w:trHeight w:val="5825"/>
        </w:trPr>
        <w:tc>
          <w:tcPr>
            <w:gridSpan w:val="2"/>
            <w:tcW w:w="1414"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资质</w:t>
            </w:r>
            <w:r/>
          </w:p>
          <w:p>
            <w:pPr>
              <w:jc w:val="center"/>
              <w:rPr>
                <w:rFonts w:ascii="宋体" w:hAnsi="宋体" w:cs="宋体"/>
                <w:color w:val="auto"/>
                <w:sz w:val="24"/>
                <w:highlight w:val="none"/>
              </w:rPr>
            </w:pPr>
            <w:r>
              <w:rPr>
                <w:rFonts w:hint="eastAsia" w:ascii="宋体" w:hAnsi="宋体" w:cs="宋体"/>
                <w:color w:val="auto"/>
                <w:sz w:val="24"/>
                <w:highlight w:val="none"/>
              </w:rPr>
              <w:t xml:space="preserve">信誉</w:t>
            </w:r>
            <w:r/>
          </w:p>
        </w:tc>
        <w:tc>
          <w:tcPr>
            <w:tcW w:w="6963" w:type="dxa"/>
            <w:vAlign w:val="center"/>
            <w:textDirection w:val="lrTb"/>
            <w:noWrap/>
          </w:tcPr>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1、取得有效期内质量管理体系认证证书得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2、取得有效期内环境管理体系认证证书得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3、取得</w:t>
            </w:r>
            <w:r>
              <w:rPr>
                <w:rFonts w:ascii="宋体" w:hAnsi="宋体" w:cs="宋体"/>
                <w:color w:val="auto"/>
                <w:sz w:val="24"/>
                <w:highlight w:val="none"/>
              </w:rPr>
              <w:t xml:space="preserve">职业健康安全管理体系认证证书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4、取得有效期内公共环境灭菌消毒作业服务专业相关资质或认证证书的得1分；</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【投标时需提供证书扫描件。认证证书可通过“国家认证认可监督管理委员会”网站查询，投标人提供网站查询结果截图并加盖公章，投标人应当确保证书开标当天处于有效期内，否则不予认可。】</w:t>
            </w:r>
            <w:r/>
          </w:p>
        </w:tc>
        <w:tc>
          <w:tcPr>
            <w:tcW w:w="78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tc>
      </w:tr>
      <w:tr>
        <w:trPr>
          <w:trHeight w:val="624"/>
        </w:trPr>
        <w:tc>
          <w:tcPr>
            <w:tcW w:w="564" w:type="dxa"/>
            <w:vAlign w:val="center"/>
            <w:vMerge w:val="restart"/>
            <w:textDirection w:val="lrTb"/>
            <w:noWrap/>
          </w:tcPr>
          <w:p>
            <w:pPr>
              <w:jc w:val="center"/>
              <w:spacing w:line="480" w:lineRule="exact"/>
              <w:rPr>
                <w:rFonts w:ascii="宋体" w:hAnsi="宋体" w:cs="宋体"/>
                <w:bCs/>
                <w:color w:val="auto"/>
                <w:sz w:val="24"/>
                <w:highlight w:val="none"/>
              </w:rPr>
            </w:pPr>
            <w:r>
              <w:rPr>
                <w:rFonts w:hint="eastAsia" w:ascii="宋体" w:hAnsi="宋体" w:cs="宋体"/>
                <w:bCs/>
                <w:color w:val="auto"/>
                <w:sz w:val="24"/>
                <w:highlight w:val="none"/>
              </w:rPr>
              <w:t xml:space="preserve">服务方案</w:t>
            </w:r>
            <w:r/>
          </w:p>
          <w:p>
            <w:pPr>
              <w:pStyle w:val="793"/>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整体</w:t>
            </w:r>
            <w:r/>
          </w:p>
          <w:p>
            <w:pPr>
              <w:jc w:val="center"/>
              <w:rPr>
                <w:rFonts w:ascii="宋体" w:hAnsi="宋体" w:cs="宋体"/>
                <w:color w:val="auto"/>
                <w:sz w:val="24"/>
                <w:highlight w:val="none"/>
              </w:rPr>
            </w:pPr>
            <w:r>
              <w:rPr>
                <w:rFonts w:hint="eastAsia" w:ascii="宋体" w:hAnsi="宋体" w:cs="宋体"/>
                <w:color w:val="auto"/>
                <w:sz w:val="24"/>
                <w:highlight w:val="none"/>
              </w:rPr>
              <w:t xml:space="preserve">方案</w:t>
            </w:r>
            <w:r/>
          </w:p>
        </w:tc>
        <w:tc>
          <w:tcPr>
            <w:tcW w:w="6963" w:type="dxa"/>
            <w:vAlign w:val="center"/>
            <w:textDirection w:val="lrTb"/>
            <w:noWrap/>
          </w:tcPr>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投标人根据招标文件中的</w:t>
            </w:r>
            <w:r>
              <w:rPr>
                <w:rFonts w:hint="eastAsia" w:ascii="宋体" w:hAnsi="宋体" w:cs="宋体"/>
                <w:color w:val="auto"/>
                <w:sz w:val="24"/>
                <w:szCs w:val="20"/>
                <w:highlight w:val="none"/>
              </w:rPr>
              <w:t xml:space="preserve">项目需求第2.1条编制整体</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lang w:val="en-US" w:eastAsia="zh-CN"/>
              </w:rPr>
              <w:t xml:space="preserve">至少</w:t>
            </w:r>
            <w:r>
              <w:rPr>
                <w:rFonts w:hint="eastAsia" w:ascii="宋体" w:hAnsi="宋体" w:cs="宋体"/>
                <w:color w:val="auto"/>
                <w:sz w:val="24"/>
                <w:szCs w:val="20"/>
                <w:highlight w:val="none"/>
                <w:lang w:val="zh-CN"/>
              </w:rPr>
              <w:t xml:space="preserve">包含：管理服务的范围、目标、整体规划及设想，服务的重点及难点</w:t>
            </w:r>
            <w:r>
              <w:rPr>
                <w:rFonts w:hint="eastAsia" w:ascii="宋体" w:hAnsi="宋体" w:cs="宋体"/>
                <w:color w:val="auto"/>
                <w:sz w:val="24"/>
                <w:szCs w:val="20"/>
                <w:highlight w:val="none"/>
              </w:rPr>
              <w:t xml:space="preserve">等</w:t>
            </w:r>
            <w:r>
              <w:rPr>
                <w:rFonts w:hint="eastAsia" w:ascii="宋体" w:hAnsi="宋体" w:cs="宋体"/>
                <w:color w:val="auto"/>
                <w:sz w:val="24"/>
                <w:szCs w:val="20"/>
                <w:highlight w:val="none"/>
                <w:lang w:val="zh-CN"/>
              </w:rPr>
              <w:t xml:space="preserve">。评委根据投标人提供的</w:t>
            </w:r>
            <w:r>
              <w:rPr>
                <w:rFonts w:hint="eastAsia" w:ascii="宋体" w:hAnsi="宋体" w:cs="宋体"/>
                <w:color w:val="auto"/>
                <w:sz w:val="24"/>
                <w:szCs w:val="20"/>
                <w:highlight w:val="none"/>
              </w:rPr>
              <w:t xml:space="preserve">整体</w:t>
            </w:r>
            <w:r>
              <w:rPr>
                <w:rFonts w:hint="eastAsia" w:ascii="宋体" w:hAnsi="宋体" w:cs="宋体"/>
                <w:color w:val="auto"/>
                <w:sz w:val="24"/>
                <w:szCs w:val="20"/>
                <w:highlight w:val="none"/>
                <w:lang w:val="zh-CN"/>
              </w:rPr>
              <w:t xml:space="preserve">方案进行评审。优于项目需求得</w:t>
            </w:r>
            <w:r>
              <w:rPr>
                <w:rFonts w:hint="eastAsia" w:ascii="宋体" w:hAnsi="宋体" w:cs="宋体"/>
                <w:color w:val="auto"/>
                <w:sz w:val="24"/>
                <w:szCs w:val="20"/>
                <w:highlight w:val="none"/>
              </w:rPr>
              <w:t xml:space="preserve">6</w:t>
            </w:r>
            <w:r>
              <w:rPr>
                <w:rFonts w:hint="eastAsia" w:ascii="宋体" w:hAnsi="宋体" w:cs="宋体"/>
                <w:color w:val="auto"/>
                <w:sz w:val="24"/>
                <w:szCs w:val="20"/>
                <w:highlight w:val="none"/>
                <w:lang w:val="zh-CN"/>
              </w:rPr>
              <w:t xml:space="preserve">分，满足项目需求得</w:t>
            </w:r>
            <w:r>
              <w:rPr>
                <w:rFonts w:hint="eastAsia" w:ascii="宋体" w:hAnsi="宋体" w:cs="宋体"/>
                <w:color w:val="auto"/>
                <w:sz w:val="24"/>
                <w:szCs w:val="20"/>
                <w:highlight w:val="none"/>
              </w:rPr>
              <w:t xml:space="preserve">5</w:t>
            </w:r>
            <w:r>
              <w:rPr>
                <w:rFonts w:hint="eastAsia" w:ascii="宋体" w:hAnsi="宋体" w:cs="宋体"/>
                <w:color w:val="auto"/>
                <w:sz w:val="24"/>
                <w:szCs w:val="20"/>
                <w:highlight w:val="none"/>
                <w:lang w:val="zh-CN"/>
              </w:rPr>
              <w:t xml:space="preserve">分，不满足或不提供得0分。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投标人编制的</w:t>
            </w:r>
            <w:r>
              <w:rPr>
                <w:rFonts w:hint="eastAsia" w:ascii="宋体" w:hAnsi="宋体" w:cs="宋体"/>
                <w:color w:val="auto"/>
                <w:sz w:val="24"/>
                <w:szCs w:val="20"/>
                <w:highlight w:val="none"/>
                <w:lang w:val="zh-CN"/>
              </w:rPr>
              <w:t xml:space="preserve">整体方案完全覆盖招标文件列明的所有服务内容，</w:t>
            </w:r>
            <w:r>
              <w:rPr>
                <w:rFonts w:hint="eastAsia" w:ascii="宋体" w:hAnsi="宋体" w:cs="宋体"/>
                <w:color w:val="auto"/>
                <w:sz w:val="24"/>
                <w:szCs w:val="20"/>
                <w:highlight w:val="none"/>
              </w:rPr>
              <w:t xml:space="preserve">目标内容与招标文件需求完全匹配，准确识别招标文件中明确的核心重点，同时还包含了除招标文件项目需求以外且和本项目有关的内容，可视为优于；</w:t>
            </w:r>
            <w:r>
              <w:rPr>
                <w:rFonts w:hint="eastAsia" w:ascii="宋体" w:hAnsi="宋体" w:cs="宋体"/>
                <w:color w:val="auto"/>
                <w:sz w:val="24"/>
                <w:szCs w:val="20"/>
                <w:highlight w:val="none"/>
                <w:lang w:val="zh-CN"/>
              </w:rPr>
              <w:t xml:space="preserve">整体方案</w:t>
            </w:r>
            <w:r>
              <w:rPr>
                <w:rFonts w:hint="eastAsia" w:ascii="宋体" w:hAnsi="宋体" w:cs="宋体"/>
                <w:color w:val="auto"/>
                <w:sz w:val="24"/>
                <w:szCs w:val="20"/>
                <w:highlight w:val="none"/>
              </w:rPr>
              <w:t xml:space="preserve">能响应需求的，视为满足项目需求；整体方案内容简单，不能完全响应项目需求或有负偏离的，可视为不符合。具体由评标委员会根据投标人的方案进行评审。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r>
      <w:tr>
        <w:trPr>
          <w:trHeight w:val="90"/>
        </w:trPr>
        <w:tc>
          <w:tcPr>
            <w:tcW w:w="564" w:type="dxa"/>
            <w:vMerge w:val="continue"/>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专项实施方案</w:t>
            </w:r>
            <w:r/>
          </w:p>
        </w:tc>
        <w:tc>
          <w:tcPr>
            <w:tcW w:w="6963" w:type="dxa"/>
            <w:vAlign w:val="center"/>
            <w:textDirection w:val="lrTb"/>
            <w:noWrap/>
          </w:tcPr>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投标人根据招标文件中的</w:t>
            </w:r>
            <w:r>
              <w:rPr>
                <w:rFonts w:hint="eastAsia" w:ascii="宋体" w:hAnsi="宋体" w:cs="宋体"/>
                <w:color w:val="auto"/>
                <w:sz w:val="24"/>
                <w:szCs w:val="20"/>
                <w:highlight w:val="none"/>
              </w:rPr>
              <w:t xml:space="preserve">项目需求第2.2条编制</w:t>
            </w:r>
            <w:r>
              <w:rPr>
                <w:rFonts w:hint="eastAsia" w:ascii="宋体" w:hAnsi="宋体" w:cs="宋体"/>
                <w:color w:val="auto"/>
                <w:sz w:val="24"/>
                <w:highlight w:val="none"/>
              </w:rPr>
              <w:t xml:space="preserve">专项实施方案</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至少包含</w:t>
            </w:r>
            <w:r>
              <w:rPr>
                <w:rFonts w:hint="eastAsia" w:ascii="宋体" w:hAnsi="宋体" w:cs="宋体"/>
                <w:color w:val="auto"/>
                <w:sz w:val="24"/>
                <w:szCs w:val="20"/>
                <w:highlight w:val="none"/>
                <w:lang w:val="zh-CN"/>
              </w:rPr>
              <w:t xml:space="preserve">投标人对各项要求作出具体承诺及所采用的流程、标准、具体实施计划和专项实施方案，专项内容包含重点科室（手术室、新生儿科（含NICU）、产房、儿科PICU、产科MICU、检验科、放射科、B超室、病理科、人流室、消毒供应中心、急诊中心）、院感防控等。</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highlight w:val="none"/>
              </w:rPr>
              <w:t xml:space="preserve">方案优于项目需求得6分，方案满足项目需求得5分，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投标人编制的专项实施</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内容详细，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r>
      <w:tr>
        <w:trPr>
          <w:trHeight w:val="611"/>
        </w:trPr>
        <w:tc>
          <w:tcPr>
            <w:tcW w:w="564" w:type="dxa"/>
            <w:vMerge w:val="continue"/>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交接过渡方案</w:t>
            </w:r>
            <w:r/>
          </w:p>
        </w:tc>
        <w:tc>
          <w:tcPr>
            <w:tcW w:w="6963" w:type="dxa"/>
            <w:vAlign w:val="center"/>
            <w:textDirection w:val="lrTb"/>
            <w:noWrap/>
          </w:tcPr>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投标人根据招标文件中的项目需求第2.</w:t>
            </w:r>
            <w:r>
              <w:rPr>
                <w:rFonts w:hint="eastAsia" w:ascii="宋体" w:hAnsi="宋体" w:cs="宋体"/>
                <w:color w:val="auto"/>
                <w:sz w:val="24"/>
                <w:szCs w:val="20"/>
                <w:highlight w:val="none"/>
              </w:rPr>
              <w:t xml:space="preserve">3</w:t>
            </w:r>
            <w:r>
              <w:rPr>
                <w:rFonts w:hint="eastAsia" w:ascii="宋体" w:hAnsi="宋体" w:cs="宋体"/>
                <w:color w:val="auto"/>
                <w:sz w:val="24"/>
                <w:szCs w:val="20"/>
                <w:highlight w:val="none"/>
                <w:lang w:val="zh-CN"/>
              </w:rPr>
              <w:t xml:space="preserve">条编制</w:t>
            </w:r>
            <w:r>
              <w:rPr>
                <w:rFonts w:hint="eastAsia" w:ascii="宋体" w:hAnsi="宋体" w:cs="宋体"/>
                <w:color w:val="auto"/>
                <w:sz w:val="24"/>
                <w:highlight w:val="none"/>
              </w:rPr>
              <w:t xml:space="preserve">交接过渡方案</w:t>
            </w: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方案至少包含交接的期限，派驻项目总人数的80%到岗时间，派驻项目总人数的95%到岗时间，重点科室需求人数的90%到岗时间，人员岗位培训流程方案。</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投标人编制的</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内容详细，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rHeight w:val="411"/>
        </w:trPr>
        <w:tc>
          <w:tcPr>
            <w:tcW w:w="564" w:type="dxa"/>
            <w:vMerge w:val="continue"/>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eastAsia="Arial"/>
                <w:color w:val="auto"/>
                <w:sz w:val="24"/>
                <w:szCs w:val="20"/>
                <w:highlight w:val="none"/>
                <w:lang w:val="zh-CN"/>
              </w:rPr>
              <w:t xml:space="preserve">物业管理</w:t>
            </w:r>
            <w:r>
              <w:rPr>
                <w:rFonts w:hint="eastAsia"/>
                <w:color w:val="auto"/>
                <w:sz w:val="24"/>
                <w:szCs w:val="20"/>
                <w:highlight w:val="none"/>
              </w:rPr>
              <w:t xml:space="preserve">方案</w:t>
            </w:r>
            <w:r/>
          </w:p>
        </w:tc>
        <w:tc>
          <w:tcPr>
            <w:tcW w:w="6963" w:type="dxa"/>
            <w:vAlign w:val="center"/>
            <w:textDirection w:val="lrTb"/>
            <w:noWrap/>
          </w:tcPr>
          <w:p>
            <w:pPr>
              <w:ind w:firstLine="480"/>
              <w:jc w:val="left"/>
              <w:spacing w:line="560" w:lineRule="exact"/>
              <w:widowControl/>
              <w:rPr>
                <w:rFonts w:ascii="宋体" w:hAnsi="宋体" w:cs="宋体"/>
                <w:color w:val="auto"/>
                <w:sz w:val="24"/>
                <w:highlight w:val="none"/>
              </w:rPr>
            </w:pPr>
            <w:r>
              <w:rPr>
                <w:rFonts w:hint="eastAsia" w:eastAsia="Arial"/>
                <w:color w:val="auto"/>
                <w:sz w:val="24"/>
                <w:szCs w:val="20"/>
                <w:highlight w:val="none"/>
                <w:lang w:val="zh-CN"/>
              </w:rPr>
              <w:t xml:space="preserve">投标人根据招标文件中的项目需求第2.</w:t>
            </w:r>
            <w:r>
              <w:rPr>
                <w:rFonts w:hint="eastAsia"/>
                <w:color w:val="auto"/>
                <w:sz w:val="24"/>
                <w:szCs w:val="20"/>
                <w:highlight w:val="none"/>
              </w:rPr>
              <w:t xml:space="preserve">4</w:t>
            </w:r>
            <w:r>
              <w:rPr>
                <w:rFonts w:hint="eastAsia" w:eastAsia="Arial"/>
                <w:color w:val="auto"/>
                <w:sz w:val="24"/>
                <w:szCs w:val="20"/>
                <w:highlight w:val="none"/>
                <w:lang w:val="zh-CN"/>
              </w:rPr>
              <w:t xml:space="preserve">条编制物业管理方案，方案至少包含</w:t>
            </w:r>
            <w:r>
              <w:rPr>
                <w:rFonts w:hint="eastAsia" w:ascii="宋体" w:hAnsi="宋体" w:cs="宋体"/>
                <w:color w:val="auto"/>
                <w:sz w:val="24"/>
                <w:highlight w:val="none"/>
              </w:rPr>
              <w:t xml:space="preserve">拟为本项目设立的组织机构（附组织机构图）、人员配备方案、人员岗位职责、运作流程图、管理服务标准、工作制度等。</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投标人编制的物业管理制度内容详细，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rHeight w:val="1701"/>
        </w:trPr>
        <w:tc>
          <w:tcPr>
            <w:tcW w:w="564" w:type="dxa"/>
            <w:vMerge w:val="continue"/>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应急处理方案</w:t>
            </w:r>
            <w:r/>
          </w:p>
        </w:tc>
        <w:tc>
          <w:tcPr>
            <w:tcW w:w="6963" w:type="dxa"/>
            <w:vAlign w:val="center"/>
            <w:textDirection w:val="lrTb"/>
            <w:noWrap/>
          </w:tcPr>
          <w:p>
            <w:pPr>
              <w:jc w:val="left"/>
              <w:spacing w:line="56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投标人根据招标文件中的项目需求第2.</w:t>
            </w:r>
            <w:r>
              <w:rPr>
                <w:rFonts w:hint="eastAsia"/>
                <w:color w:val="auto"/>
                <w:sz w:val="24"/>
                <w:szCs w:val="20"/>
                <w:highlight w:val="none"/>
              </w:rPr>
              <w:t xml:space="preserve">5</w:t>
            </w:r>
            <w:r>
              <w:rPr>
                <w:rFonts w:hint="eastAsia" w:eastAsia="Arial"/>
                <w:color w:val="auto"/>
                <w:sz w:val="24"/>
                <w:szCs w:val="20"/>
                <w:highlight w:val="none"/>
                <w:lang w:val="zh-CN"/>
              </w:rPr>
              <w:t xml:space="preserve">条编制</w:t>
            </w:r>
            <w:r>
              <w:rPr>
                <w:rFonts w:hint="eastAsia" w:ascii="宋体" w:hAnsi="宋体" w:cs="宋体"/>
                <w:color w:val="auto"/>
                <w:sz w:val="24"/>
                <w:highlight w:val="none"/>
              </w:rPr>
              <w:t xml:space="preserve">应急处理方案</w:t>
            </w:r>
            <w:r>
              <w:rPr>
                <w:rFonts w:hint="eastAsia" w:eastAsia="Arial"/>
                <w:color w:val="auto"/>
                <w:sz w:val="24"/>
                <w:szCs w:val="20"/>
                <w:highlight w:val="none"/>
                <w:lang w:val="zh-CN"/>
              </w:rPr>
              <w:t xml:space="preserve">，方案至少包含突发事件</w:t>
            </w:r>
            <w:r>
              <w:rPr>
                <w:rFonts w:hint="eastAsia"/>
                <w:color w:val="auto"/>
                <w:sz w:val="24"/>
                <w:szCs w:val="20"/>
                <w:highlight w:val="none"/>
              </w:rPr>
              <w:t xml:space="preserve">处理</w:t>
            </w:r>
            <w:r>
              <w:rPr>
                <w:rFonts w:hint="eastAsia" w:eastAsia="Arial"/>
                <w:color w:val="auto"/>
                <w:sz w:val="24"/>
                <w:szCs w:val="20"/>
                <w:highlight w:val="none"/>
                <w:lang w:val="zh-CN"/>
              </w:rPr>
              <w:t xml:space="preserve">人员组织架构，应对措施，处理方法。</w:t>
            </w:r>
            <w:r/>
          </w:p>
          <w:p>
            <w:pPr>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投标人编制的</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内容详细，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rHeight w:val="832"/>
        </w:trPr>
        <w:tc>
          <w:tcPr>
            <w:tcW w:w="564" w:type="dxa"/>
            <w:vMerge w:val="continue"/>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投入工具</w:t>
            </w:r>
            <w:r/>
          </w:p>
          <w:p>
            <w:pPr>
              <w:jc w:val="center"/>
              <w:rPr>
                <w:rFonts w:ascii="宋体" w:hAnsi="宋体" w:cs="宋体"/>
                <w:color w:val="auto"/>
                <w:sz w:val="24"/>
                <w:highlight w:val="none"/>
              </w:rPr>
            </w:pPr>
            <w:r>
              <w:rPr>
                <w:rFonts w:hint="eastAsia" w:ascii="宋体" w:hAnsi="宋体" w:cs="宋体"/>
                <w:color w:val="auto"/>
                <w:sz w:val="24"/>
                <w:highlight w:val="none"/>
              </w:rPr>
              <w:t xml:space="preserve">设备方案</w:t>
            </w:r>
            <w:r/>
          </w:p>
        </w:tc>
        <w:tc>
          <w:tcPr>
            <w:tcW w:w="6963" w:type="dxa"/>
            <w:vAlign w:val="center"/>
            <w:textDirection w:val="lrTb"/>
            <w:noWrap/>
          </w:tcPr>
          <w:p>
            <w:pPr>
              <w:ind w:firstLine="480"/>
              <w:jc w:val="left"/>
              <w:spacing w:line="560" w:lineRule="exact"/>
              <w:widowControl/>
              <w:rPr>
                <w:rFonts w:ascii="宋体" w:hAnsi="宋体" w:cs="宋体"/>
                <w:color w:val="auto"/>
                <w:sz w:val="24"/>
                <w:szCs w:val="20"/>
                <w:highlight w:val="none"/>
              </w:rPr>
            </w:pPr>
            <w:r>
              <w:rPr>
                <w:rFonts w:hint="eastAsia" w:eastAsia="Arial"/>
                <w:color w:val="auto"/>
                <w:sz w:val="24"/>
                <w:szCs w:val="20"/>
                <w:highlight w:val="none"/>
                <w:lang w:val="zh-CN"/>
              </w:rPr>
              <w:t xml:space="preserve">投标人根据招标文件中的项目需求第2.</w:t>
            </w:r>
            <w:r>
              <w:rPr>
                <w:rFonts w:hint="eastAsia"/>
                <w:color w:val="auto"/>
                <w:sz w:val="24"/>
                <w:szCs w:val="20"/>
                <w:highlight w:val="none"/>
              </w:rPr>
              <w:t xml:space="preserve">6</w:t>
            </w:r>
            <w:r>
              <w:rPr>
                <w:rFonts w:hint="eastAsia" w:eastAsia="Arial"/>
                <w:color w:val="auto"/>
                <w:sz w:val="24"/>
                <w:szCs w:val="20"/>
                <w:highlight w:val="none"/>
                <w:lang w:val="zh-CN"/>
              </w:rPr>
              <w:t xml:space="preserve">条编制</w:t>
            </w:r>
            <w:r>
              <w:rPr>
                <w:rFonts w:hint="eastAsia" w:ascii="宋体" w:hAnsi="宋体" w:cs="宋体"/>
                <w:color w:val="auto"/>
                <w:sz w:val="24"/>
                <w:szCs w:val="20"/>
                <w:highlight w:val="none"/>
              </w:rPr>
              <w:t xml:space="preserve">拟投入工具设备方案，方案至少包含详细的物业服务所需设备、工具及耗材设备清单，设备名称、数量；其他工具及耗材配备清单。</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投标人编制的</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投入工具设备方案详细，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r>
        <w:trPr>
          <w:trHeight w:val="568"/>
        </w:trPr>
        <w:tc>
          <w:tcPr>
            <w:tcW w:w="564" w:type="dxa"/>
            <w:textDirection w:val="lrTb"/>
            <w:noWrap/>
          </w:tcPr>
          <w:p>
            <w:pPr>
              <w:pStyle w:val="793"/>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vAlign w:val="center"/>
            <w:textDirection w:val="lrTb"/>
            <w:noWrap/>
          </w:tcPr>
          <w:p>
            <w:pPr>
              <w:jc w:val="center"/>
              <w:rPr>
                <w:rFonts w:ascii="宋体" w:hAnsi="宋体" w:cs="宋体"/>
                <w:color w:val="auto"/>
                <w:sz w:val="24"/>
                <w:highlight w:val="none"/>
              </w:rPr>
            </w:pPr>
            <w:r>
              <w:rPr>
                <w:rStyle w:val="1058"/>
                <w:rFonts w:hint="eastAsia" w:ascii="宋体" w:hAnsi="宋体" w:cs="宋体"/>
                <w:color w:val="auto"/>
                <w:sz w:val="24"/>
                <w:highlight w:val="none"/>
              </w:rPr>
              <w:t xml:space="preserve">台账资料管理方案</w:t>
            </w:r>
            <w:r/>
          </w:p>
        </w:tc>
        <w:tc>
          <w:tcPr>
            <w:tcW w:w="6963" w:type="dxa"/>
            <w:vAlign w:val="center"/>
            <w:textDirection w:val="lrTb"/>
            <w:noWrap/>
          </w:tcPr>
          <w:p>
            <w:pPr>
              <w:ind w:firstLine="480"/>
              <w:jc w:val="left"/>
              <w:spacing w:line="560" w:lineRule="exact"/>
              <w:widowControl/>
              <w:rPr>
                <w:rFonts w:ascii="宋体" w:hAnsi="宋体" w:cs="宋体"/>
                <w:color w:val="auto"/>
                <w:sz w:val="24"/>
                <w:szCs w:val="20"/>
                <w:highlight w:val="none"/>
                <w:lang w:val="zh-CN"/>
              </w:rPr>
            </w:pPr>
            <w:r>
              <w:rPr>
                <w:rFonts w:hint="eastAsia" w:eastAsia="Arial"/>
                <w:color w:val="auto"/>
                <w:sz w:val="24"/>
                <w:szCs w:val="20"/>
                <w:highlight w:val="none"/>
                <w:lang w:val="zh-CN"/>
              </w:rPr>
              <w:t xml:space="preserve">投标人根据招标文件中的项目需求第2.</w:t>
            </w:r>
            <w:r>
              <w:rPr>
                <w:rFonts w:hint="eastAsia"/>
                <w:color w:val="auto"/>
                <w:sz w:val="24"/>
                <w:szCs w:val="20"/>
                <w:highlight w:val="none"/>
              </w:rPr>
              <w:t xml:space="preserve">7</w:t>
            </w:r>
            <w:r>
              <w:rPr>
                <w:rFonts w:hint="eastAsia" w:eastAsia="Arial"/>
                <w:color w:val="auto"/>
                <w:sz w:val="24"/>
                <w:szCs w:val="20"/>
                <w:highlight w:val="none"/>
                <w:lang w:val="zh-CN"/>
              </w:rPr>
              <w:t xml:space="preserve">条编制</w:t>
            </w:r>
            <w:r>
              <w:rPr>
                <w:rStyle w:val="1058"/>
                <w:rFonts w:hint="eastAsia" w:ascii="宋体" w:hAnsi="宋体" w:cs="宋体"/>
                <w:color w:val="auto"/>
                <w:sz w:val="24"/>
                <w:highlight w:val="none"/>
              </w:rPr>
              <w:t xml:space="preserve">台账资料管理方案</w:t>
            </w:r>
            <w:r>
              <w:rPr>
                <w:rFonts w:hint="eastAsia" w:ascii="宋体" w:hAnsi="宋体" w:cs="宋体"/>
                <w:color w:val="auto"/>
                <w:sz w:val="24"/>
                <w:szCs w:val="20"/>
                <w:highlight w:val="none"/>
              </w:rPr>
              <w:t xml:space="preserve">，方案至少包含</w:t>
            </w:r>
            <w:r>
              <w:rPr>
                <w:rFonts w:hint="eastAsia" w:ascii="宋体" w:hAnsi="宋体" w:cs="宋体"/>
                <w:color w:val="auto"/>
                <w:sz w:val="24"/>
                <w:highlight w:val="none"/>
              </w:rPr>
              <w:t xml:space="preserve">台账资料范围、台账内容、记录方案。方案优于项目需求得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分，内容满足项目需求得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szCs w:val="20"/>
                <w:highlight w:val="none"/>
                <w:lang w:val="zh-CN"/>
              </w:rPr>
              <w:t xml:space="preserve">不满足或不提供得0分。</w:t>
            </w:r>
            <w:r/>
          </w:p>
          <w:p>
            <w:pPr>
              <w:ind w:firstLine="480"/>
              <w:jc w:val="left"/>
              <w:spacing w:line="56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rPr>
              <w:t xml:space="preserve">投标人编制的</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内容详细，</w:t>
            </w:r>
            <w:r>
              <w:rPr>
                <w:rFonts w:hint="eastAsia" w:ascii="宋体" w:hAnsi="宋体" w:cs="宋体"/>
                <w:color w:val="auto"/>
                <w:sz w:val="24"/>
                <w:szCs w:val="20"/>
                <w:highlight w:val="none"/>
                <w:lang w:val="zh-CN"/>
              </w:rPr>
              <w:t xml:space="preserve">完全覆盖招标文件的</w:t>
            </w:r>
            <w:r>
              <w:rPr>
                <w:rFonts w:hint="eastAsia" w:ascii="宋体" w:hAnsi="宋体" w:cs="宋体"/>
                <w:color w:val="auto"/>
                <w:sz w:val="24"/>
                <w:szCs w:val="20"/>
                <w:highlight w:val="none"/>
              </w:rPr>
              <w:t xml:space="preserve">需求</w:t>
            </w:r>
            <w:r>
              <w:rPr>
                <w:rFonts w:hint="eastAsia" w:ascii="宋体" w:hAnsi="宋体" w:cs="宋体"/>
                <w:color w:val="auto"/>
                <w:sz w:val="24"/>
                <w:szCs w:val="20"/>
                <w:highlight w:val="none"/>
                <w:lang w:val="zh-CN"/>
              </w:rPr>
              <w:t xml:space="preserve">服务内容，</w:t>
            </w:r>
            <w:r>
              <w:rPr>
                <w:rFonts w:hint="eastAsia" w:ascii="宋体" w:hAnsi="宋体" w:cs="宋体"/>
                <w:color w:val="auto"/>
                <w:sz w:val="24"/>
                <w:szCs w:val="20"/>
                <w:highlight w:val="none"/>
              </w:rPr>
              <w:t xml:space="preserve">有针对性，切实可行，同时还包含了除招标文件项目需求以外且和本项目有关的内容，可视为优于；</w:t>
            </w:r>
            <w:r>
              <w:rPr>
                <w:rFonts w:hint="eastAsia" w:ascii="宋体" w:hAnsi="宋体" w:cs="宋体"/>
                <w:color w:val="auto"/>
                <w:sz w:val="24"/>
                <w:szCs w:val="20"/>
                <w:highlight w:val="none"/>
                <w:lang w:val="zh-CN"/>
              </w:rPr>
              <w:t xml:space="preserve">方案</w:t>
            </w:r>
            <w:r>
              <w:rPr>
                <w:rFonts w:hint="eastAsia" w:ascii="宋体" w:hAnsi="宋体" w:cs="宋体"/>
                <w:color w:val="auto"/>
                <w:sz w:val="24"/>
                <w:szCs w:val="20"/>
                <w:highlight w:val="none"/>
              </w:rPr>
              <w:t xml:space="preserve">能响应需求的，视为满足项目需求；方案内容简单，不能完全响应项目需求或有负偏离的，可视为不符合。具体由评标委员会根据投标人的方案进行评审。</w:t>
            </w:r>
            <w:r/>
          </w:p>
        </w:tc>
        <w:tc>
          <w:tcPr>
            <w:tcW w:w="787" w:type="dxa"/>
            <w:vAlign w:val="center"/>
            <w:textDirection w:val="lrTb"/>
            <w:noWrap/>
          </w:tcPr>
          <w:p>
            <w:pPr>
              <w:pStyle w:val="793"/>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r>
    </w:tbl>
    <w:p>
      <w:pPr>
        <w:pStyle w:val="1039"/>
        <w:jc w:val="left"/>
        <w:spacing w:line="360" w:lineRule="auto"/>
        <w:rPr>
          <w:rFonts w:ascii="宋体" w:hAnsi="宋体" w:eastAsia="宋体" w:cs="宋体"/>
          <w:b/>
          <w:i/>
          <w:iCs/>
          <w:color w:val="auto"/>
          <w:sz w:val="24"/>
          <w:szCs w:val="24"/>
          <w:highlight w:val="none"/>
        </w:rPr>
      </w:pPr>
      <w:r>
        <w:rPr>
          <w:rFonts w:ascii="宋体" w:hAnsi="宋体" w:eastAsia="宋体" w:cs="宋体"/>
          <w:b/>
          <w:i/>
          <w:iCs/>
          <w:color w:val="auto"/>
          <w:sz w:val="24"/>
          <w:szCs w:val="24"/>
          <w:highlight w:val="none"/>
        </w:rPr>
      </w:r>
      <w:r/>
    </w:p>
    <w:p>
      <w:pPr>
        <w:pStyle w:val="1039"/>
        <w:ind w:firstLine="482"/>
        <w:jc w:val="left"/>
        <w:keepNext w:val="0"/>
        <w:spacing w:line="520" w:lineRule="exact"/>
        <w:rPr>
          <w:rFonts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p>
    <w:p>
      <w:pPr>
        <w:pStyle w:val="1039"/>
        <w:ind w:firstLine="482"/>
        <w:jc w:val="left"/>
        <w:keepNext w:val="0"/>
        <w:spacing w:line="520" w:lineRule="exact"/>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上传的“明标”材料中不得出现与服务方案相关的内容，否则作无效标书处理。</w:t>
      </w:r>
      <w:r>
        <w:rPr>
          <w:rFonts w:hint="eastAsia" w:ascii="宋体" w:hAnsi="宋体" w:eastAsia="宋体" w:cs="宋体"/>
          <w:b/>
          <w:i/>
          <w:iCs/>
          <w:color w:val="auto"/>
          <w:sz w:val="24"/>
          <w:szCs w:val="24"/>
          <w:highlight w:val="none"/>
          <w:u w:val="single"/>
        </w:rPr>
        <w:b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r>
      <w:r/>
    </w:p>
    <w:p>
      <w:pPr>
        <w:rPr>
          <w:rFonts w:ascii="黑体" w:hAnsi="黑体" w:eastAsia="黑体" w:cs="黑体"/>
          <w:bCs/>
          <w:color w:val="auto"/>
          <w:sz w:val="44"/>
          <w:highlight w:val="none"/>
        </w:rPr>
      </w:pPr>
      <w:r>
        <w:rPr>
          <w:rFonts w:ascii="黑体" w:hAnsi="黑体" w:eastAsia="黑体" w:cs="黑体"/>
          <w:bCs/>
          <w:color w:val="auto"/>
          <w:sz w:val="44"/>
          <w:highlight w:val="none"/>
        </w:rPr>
      </w:r>
      <w:r/>
    </w:p>
    <w:p>
      <w:pPr>
        <w:pStyle w:val="1039"/>
        <w:spacing w:line="360" w:lineRule="auto"/>
        <w:rPr>
          <w:rFonts w:hint="eastAsia" w:ascii="黑体" w:hAnsi="黑体" w:eastAsia="黑体" w:cs="黑体"/>
          <w:bCs/>
          <w:color w:val="auto"/>
          <w:sz w:val="44"/>
          <w:highlight w:val="none"/>
        </w:rPr>
      </w:pPr>
      <w:r/>
      <w:bookmarkStart w:id="148" w:name="_Toc22873"/>
      <w:r/>
      <w:r/>
    </w:p>
    <w:p>
      <w:pPr>
        <w:pStyle w:val="1039"/>
        <w:spacing w:line="360" w:lineRule="auto"/>
        <w:rPr>
          <w:rFonts w:ascii="方正小标宋简体" w:hAnsi="方正小标宋简体" w:eastAsia="方正小标宋简体" w:cs="方正小标宋简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144"/>
      <w:r/>
      <w:bookmarkEnd w:id="148"/>
      <w:r/>
      <w:r/>
    </w:p>
    <w:p>
      <w:pPr>
        <w:jc w:val="center"/>
        <w:spacing w:line="360" w:lineRule="auto"/>
        <w:rPr>
          <w:rFonts w:ascii="方正小标宋简体" w:hAnsi="方正小标宋简体" w:eastAsia="方正小标宋简体" w:cs="方正小标宋简体"/>
          <w:b/>
          <w:color w:val="auto"/>
          <w:sz w:val="72"/>
          <w:highlight w:val="none"/>
        </w:rPr>
      </w:pPr>
      <w:r/>
      <w:bookmarkStart w:id="149" w:name="_Hlt26671244"/>
      <w:r/>
      <w:bookmarkEnd w:id="149"/>
      <w:r/>
      <w:bookmarkStart w:id="150" w:name="_Hlt26955039"/>
      <w:r/>
      <w:bookmarkEnd w:id="150"/>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pStyle w:val="1049"/>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49"/>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49"/>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49"/>
        <w:ind w:firstLine="723"/>
        <w:jc w:val="both"/>
        <w:spacing w:beforeAutospacing="0" w:afterAutospacing="0" w:line="360" w:lineRule="auto"/>
        <w:rPr>
          <w:b/>
          <w:color w:val="auto"/>
          <w:sz w:val="36"/>
          <w:szCs w:val="36"/>
          <w:highlight w:val="none"/>
        </w:rPr>
      </w:pPr>
      <w:r>
        <w:rPr>
          <w:b/>
          <w:color w:val="auto"/>
          <w:sz w:val="36"/>
          <w:szCs w:val="36"/>
          <w:highlight w:val="none"/>
        </w:rPr>
      </w:r>
      <w:r/>
    </w:p>
    <w:p>
      <w:pPr>
        <w:pStyle w:val="1049"/>
        <w:ind w:firstLine="1446"/>
        <w:jc w:val="both"/>
        <w:spacing w:beforeAutospacing="0" w:afterAutospacing="0" w:line="360" w:lineRule="auto"/>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1049"/>
        <w:ind w:firstLine="1446"/>
        <w:jc w:val="both"/>
        <w:spacing w:beforeAutospacing="0" w:afterAutospacing="0" w:line="360" w:lineRule="auto"/>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1049"/>
        <w:ind w:firstLine="1446"/>
        <w:jc w:val="both"/>
        <w:spacing w:beforeAutospacing="0" w:afterAutospacing="0" w:line="360" w:lineRule="auto"/>
        <w:rPr>
          <w:b/>
          <w:color w:val="auto"/>
          <w:sz w:val="36"/>
          <w:szCs w:val="36"/>
          <w:highlight w:val="none"/>
          <w:u w:val="singl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r/>
    </w:p>
    <w:p>
      <w:pPr>
        <w:pStyle w:val="1049"/>
        <w:ind w:firstLine="1446"/>
        <w:jc w:val="both"/>
        <w:spacing w:beforeAutospacing="0" w:afterAutospacing="0" w:line="360" w:lineRule="auto"/>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1024"/>
        <w:ind w:firstLine="2464"/>
        <w:rPr>
          <w:rFonts w:ascii="宋体" w:hAnsi="宋体" w:cs="宋体"/>
          <w:color w:val="auto"/>
          <w:sz w:val="32"/>
          <w:szCs w:val="32"/>
          <w:highlight w:val="none"/>
        </w:rPr>
      </w:pPr>
      <w:r>
        <w:rPr>
          <w:rFonts w:ascii="宋体" w:hAnsi="宋体" w:cs="宋体"/>
          <w:color w:val="auto"/>
          <w:sz w:val="32"/>
          <w:szCs w:val="32"/>
          <w:highlight w:val="none"/>
        </w:rPr>
      </w:r>
      <w:r/>
    </w:p>
    <w:p>
      <w:pPr>
        <w:pStyle w:val="1024"/>
        <w:ind w:firstLine="2464"/>
        <w:rPr>
          <w:rFonts w:ascii="宋体" w:hAnsi="宋体" w:cs="宋体"/>
          <w:color w:val="auto"/>
          <w:sz w:val="32"/>
          <w:szCs w:val="32"/>
          <w:highlight w:val="none"/>
        </w:rPr>
      </w:pPr>
      <w:r>
        <w:rPr>
          <w:rFonts w:ascii="宋体" w:hAnsi="宋体" w:cs="宋体"/>
          <w:color w:val="auto"/>
          <w:sz w:val="32"/>
          <w:szCs w:val="32"/>
          <w:highlight w:val="none"/>
        </w:rPr>
      </w:r>
      <w:r/>
    </w:p>
    <w:p>
      <w:pPr>
        <w:pStyle w:val="1049"/>
        <w:jc w:val="center"/>
        <w:spacing w:beforeAutospacing="0" w:afterAutospacing="0" w:line="0" w:lineRule="atLeast"/>
        <w:rPr>
          <w:color w:val="auto"/>
          <w:highlight w:val="none"/>
        </w:rPr>
      </w:pPr>
      <w:r>
        <w:rPr>
          <w:rFonts w:hint="eastAsia"/>
          <w:b/>
          <w:bCs/>
          <w:color w:val="auto"/>
          <w:sz w:val="32"/>
          <w:szCs w:val="32"/>
          <w:highlight w:val="none"/>
        </w:rPr>
        <w:t xml:space="preserve">投标文件目录</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二、上一年度的财务状况报告（至少提供资产负债表、利润表、现金流量表，投标人成立不满一年无需提供）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三、具备履行合同所必需的设备和专业技术能力的书面声明</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五、参加政府采购活动前3年内在经营活动中没有重大违法记录的书面声明</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、投标分项报价表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、技术要求响应及偏离表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、商务要求响应及偏离表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、开标一览表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、服务方案等</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、盐城市政府采购事前信用承诺书</w:t>
      </w:r>
      <w:r/>
    </w:p>
    <w:p>
      <w:pPr>
        <w:ind w:firstLine="480"/>
        <w:rPr>
          <w:rFonts w:ascii="宋体" w:hAnsi="宋体" w:cs="宋体"/>
          <w:color w:val="auto"/>
          <w:sz w:val="24"/>
          <w:highlight w:val="none"/>
        </w:r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pStyle w:val="1049"/>
        <w:jc w:val="center"/>
        <w:spacing w:beforeAutospacing="0" w:afterAutospacing="0" w:line="0" w:lineRule="atLeast"/>
        <w:rPr>
          <w:b/>
          <w:bCs/>
          <w:color w:val="auto"/>
          <w:sz w:val="32"/>
          <w:szCs w:val="32"/>
          <w:highlight w:val="none"/>
        </w:rPr>
      </w:pPr>
      <w:r>
        <w:rPr>
          <w:rFonts w:hint="eastAsia"/>
          <w:b/>
          <w:color w:val="auto"/>
          <w:sz w:val="32"/>
          <w:szCs w:val="32"/>
          <w:highlight w:val="none"/>
        </w:rPr>
        <w:br w:type="page" w:clear="all"/>
      </w:r>
      <w:bookmarkStart w:id="151" w:name="_Toc120614284"/>
      <w:r/>
      <w:bookmarkStart w:id="152" w:name="_Toc513029281"/>
      <w:r/>
      <w:bookmarkStart w:id="153" w:name="_Toc120614291"/>
      <w:r/>
      <w:bookmarkStart w:id="154" w:name="_Toc26554103"/>
      <w:r/>
      <w:bookmarkStart w:id="155" w:name="_Toc23828483"/>
      <w:r/>
      <w:bookmarkStart w:id="156" w:name="_Toc49090582"/>
      <w:r/>
      <w:bookmarkStart w:id="157" w:name="_Toc22356583"/>
      <w:r/>
      <w:bookmarkStart w:id="158" w:name="_Toc24878535"/>
      <w:r>
        <w:rPr>
          <w:rFonts w:hint="eastAsia"/>
          <w:b/>
          <w:bCs/>
          <w:color w:val="auto"/>
          <w:sz w:val="32"/>
          <w:szCs w:val="32"/>
          <w:highlight w:val="none"/>
        </w:rPr>
        <w:t xml:space="preserve">一、法人或者其他组织的营业执照等证明文件，自然人的</w:t>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身份证明</w:t>
      </w:r>
      <w:r/>
    </w:p>
    <w:p>
      <w:pPr>
        <w:pStyle w:val="811"/>
        <w:ind w:firstLine="480"/>
        <w:jc w:val="both"/>
        <w:spacing w:beforeAutospacing="0" w:afterAutospacing="0" w:line="0" w:lineRule="atLeast"/>
        <w:rPr>
          <w:color w:val="auto"/>
          <w:highlight w:val="none"/>
        </w:rPr>
      </w:pPr>
      <w:r>
        <w:rPr>
          <w:color w:val="auto"/>
          <w:highlight w:val="none"/>
        </w:rPr>
        <w:t xml:space="preserve"> </w:t>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二、上一年度的财务状况报告</w:t>
      </w:r>
      <w:r/>
    </w:p>
    <w:p>
      <w:pPr>
        <w:pStyle w:val="811"/>
        <w:jc w:val="center"/>
        <w:spacing w:beforeAutospacing="0" w:afterAutospacing="0" w:line="360" w:lineRule="auto"/>
        <w:rPr>
          <w:color w:val="auto"/>
          <w:highlight w:val="none"/>
        </w:rPr>
      </w:pPr>
      <w:r>
        <w:rPr>
          <w:rFonts w:hint="eastAsia" w:ascii="宋体" w:hAnsi="宋体" w:cs="宋体"/>
          <w:color w:val="auto"/>
          <w:highlight w:val="none"/>
        </w:rPr>
        <w:t xml:space="preserve">（至少提供资产负债表、利润表、现金流量表，投标人成立不满一年无需提供）</w:t>
      </w:r>
      <w:r/>
    </w:p>
    <w:p>
      <w:pPr>
        <w:pStyle w:val="811"/>
        <w:jc w:val="both"/>
        <w:spacing w:beforeAutospacing="0" w:afterAutospacing="0"/>
        <w:rPr>
          <w:color w:val="auto"/>
          <w:highlight w:val="none"/>
        </w:rPr>
      </w:pPr>
      <w:r>
        <w:rPr>
          <w:color w:val="auto"/>
          <w:highlight w:val="none"/>
        </w:rPr>
        <w:t xml:space="preserve"> </w:t>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三、具备履行合同所必需的设备和专业技术能力的书面声明</w:t>
      </w:r>
      <w:r/>
    </w:p>
    <w:p>
      <w:pPr>
        <w:pStyle w:val="1049"/>
        <w:ind w:firstLine="480"/>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049"/>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1049"/>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11"/>
        <w:jc w:val="center"/>
        <w:spacing w:beforeAutospacing="0" w:afterAutospacing="0"/>
        <w:rPr>
          <w:rFonts w:ascii="宋体" w:hAnsi="宋体" w:cs="宋体"/>
          <w:color w:val="auto"/>
          <w:highlight w:val="none"/>
        </w:rPr>
      </w:pPr>
      <w:r>
        <w:rPr>
          <w:rFonts w:ascii="宋体" w:hAnsi="宋体" w:cs="宋体"/>
          <w:color w:val="auto"/>
          <w:highlight w:val="none"/>
        </w:rPr>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四、依法缴纳税收和社会保障资金的相关材料</w:t>
      </w:r>
      <w:r/>
    </w:p>
    <w:p>
      <w:pPr>
        <w:pStyle w:val="1049"/>
        <w:jc w:val="both"/>
        <w:spacing w:beforeAutospacing="0" w:afterAutospacing="0" w:line="440" w:lineRule="exact"/>
        <w:rPr>
          <w:rFonts w:ascii="黑体" w:hAnsi="黑体" w:eastAsia="黑体" w:cs="黑体"/>
          <w:iCs/>
          <w:color w:val="auto"/>
          <w:sz w:val="32"/>
          <w:szCs w:val="32"/>
          <w:highlight w:val="none"/>
          <w:u w:val="single"/>
        </w:rPr>
      </w:pPr>
      <w:r>
        <w:rPr>
          <w:color w:val="auto"/>
          <w:highlight w:val="none"/>
        </w:rPr>
        <w:t xml:space="preserve"> </w:t>
      </w:r>
      <w:r>
        <w:rPr>
          <w:rFonts w:hint="eastAsia"/>
          <w:color w:val="auto"/>
          <w:highlight w:val="none"/>
        </w:rPr>
        <w:t xml:space="preserve">（提交响应文件截止时间前一年内至少一个月依法缴纳税收及缴纳社会保障资金的证明材料。供应商依法享受缓缴、免缴税收、社会保障资金的提供证明材料）</w:t>
      </w:r>
      <w:r/>
    </w:p>
    <w:p>
      <w:pPr>
        <w:pStyle w:val="811"/>
        <w:ind w:firstLine="480"/>
        <w:jc w:val="both"/>
        <w:spacing w:beforeAutospacing="0" w:afterAutospacing="0"/>
        <w:rPr>
          <w:color w:val="auto"/>
          <w:highlight w:val="none"/>
        </w:rPr>
      </w:pPr>
      <w:r>
        <w:rPr>
          <w:color w:val="auto"/>
          <w:highlight w:val="none"/>
        </w:rPr>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五、参加政府采购活动前 3 年内在经营活动中没有重大违 法记录的书面声明</w:t>
      </w:r>
      <w:r/>
    </w:p>
    <w:p>
      <w:pPr>
        <w:pStyle w:val="1049"/>
        <w:jc w:val="center"/>
        <w:spacing w:beforeAutospacing="0" w:afterAutospacing="0" w:line="500" w:lineRule="exact"/>
        <w:rPr>
          <w:color w:val="auto"/>
          <w:highlight w:val="none"/>
        </w:rPr>
      </w:pPr>
      <w:r>
        <w:rPr>
          <w:rFonts w:hint="eastAsia"/>
          <w:b/>
          <w:color w:val="auto"/>
          <w:sz w:val="44"/>
          <w:szCs w:val="44"/>
          <w:highlight w:val="none"/>
        </w:rPr>
        <w:t xml:space="preserve">声  明</w:t>
      </w:r>
      <w:r/>
    </w:p>
    <w:p>
      <w:pPr>
        <w:pStyle w:val="1049"/>
        <w:ind w:firstLine="482"/>
        <w:jc w:val="both"/>
        <w:spacing w:beforeAutospacing="0" w:afterAutospacing="0" w:line="500" w:lineRule="exact"/>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11"/>
        <w:jc w:val="both"/>
        <w:spacing w:beforeAutospacing="0" w:afterAutospacing="0" w:line="0" w:lineRule="atLeast"/>
        <w:rPr>
          <w:color w:val="auto"/>
          <w:highlight w:val="none"/>
        </w:rPr>
      </w:pPr>
      <w:r>
        <w:rPr>
          <w:color w:val="auto"/>
          <w:highlight w:val="none"/>
        </w:rPr>
      </w:r>
      <w:r/>
    </w:p>
    <w:p>
      <w:pPr>
        <w:pStyle w:val="811"/>
        <w:jc w:val="both"/>
        <w:spacing w:beforeAutospacing="0" w:afterAutospacing="0"/>
        <w:rPr>
          <w:color w:val="auto"/>
          <w:highlight w:val="none"/>
        </w:rPr>
      </w:pPr>
      <w:r>
        <w:rPr>
          <w:color w:val="auto"/>
          <w:highlight w:val="none"/>
        </w:rPr>
        <w:t xml:space="preserve"> </w:t>
      </w:r>
      <w:r/>
    </w:p>
    <w:p>
      <w:pPr>
        <w:pStyle w:val="811"/>
        <w:jc w:val="both"/>
        <w:spacing w:beforeAutospacing="0" w:afterAutospacing="0" w:line="0" w:lineRule="atLeast"/>
        <w:rPr>
          <w:color w:val="auto"/>
          <w:highlight w:val="none"/>
        </w:rPr>
      </w:pPr>
      <w:r>
        <w:rPr>
          <w:color w:val="auto"/>
          <w:highlight w:val="none"/>
        </w:rPr>
        <w:t xml:space="preserve"> </w:t>
      </w:r>
      <w:r/>
    </w:p>
    <w:p>
      <w:pPr>
        <w:pStyle w:val="81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11"/>
        <w:jc w:val="center"/>
        <w:spacing w:beforeAutospacing="0" w:afterAutospacing="0" w:line="500" w:lineRule="exact"/>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六、特定资格要求的证明文件</w:t>
      </w:r>
      <w:r/>
    </w:p>
    <w:p>
      <w:pPr>
        <w:pStyle w:val="811"/>
        <w:jc w:val="center"/>
        <w:spacing w:beforeAutospacing="0" w:afterAutospacing="0" w:line="500" w:lineRule="exact"/>
        <w:rPr>
          <w:color w:val="auto"/>
          <w:highlight w:val="none"/>
        </w:rPr>
      </w:pPr>
      <w:r>
        <w:rPr>
          <w:rFonts w:hint="eastAsia" w:ascii="宋体" w:hAnsi="宋体" w:cs="宋体"/>
          <w:color w:val="auto"/>
          <w:highlight w:val="none"/>
        </w:rPr>
        <w:t xml:space="preserve">如果本项目申请人的特定资格要求中要求提供的，必须提供。</w:t>
      </w:r>
      <w:r/>
    </w:p>
    <w:p>
      <w:pPr>
        <w:pStyle w:val="811"/>
        <w:jc w:val="center"/>
        <w:spacing w:beforeAutospacing="0" w:afterAutospacing="0" w:line="500" w:lineRule="exact"/>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rPr>
          <w:rFonts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七、法人授权书</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JSZC-320900-JZCG-G2026-</w:t>
      </w:r>
      <w:r>
        <w:rPr>
          <w:color w:val="auto"/>
          <w:highlight w:val="none"/>
        </w:rPr>
        <w:t xml:space="preserve">号</w:t>
      </w:r>
      <w:r>
        <w:rPr>
          <w:rFonts w:hint="eastAsia"/>
          <w:color w:val="auto"/>
          <w:szCs w:val="20"/>
          <w:highlight w:val="none"/>
          <w:u w:val="single"/>
        </w:rPr>
        <w:t xml:space="preserve">盐城市妇幼保健院物业管理服务项目</w:t>
      </w:r>
      <w:r>
        <w:rPr>
          <w:color w:val="auto"/>
          <w:highlight w:val="none"/>
        </w:rPr>
        <w:t xml:space="preserve">采购活动的合法代理人，以本单位名义全权处理一切与该项目采购有关的事务。</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本授权书于______年____月____日起生效，特此声明。</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被授权人联系电话：（手机）</w:t>
      </w:r>
      <w:r>
        <w:rPr>
          <w:color w:val="auto"/>
          <w:highlight w:val="none"/>
          <w:u w:val="single"/>
        </w:rPr>
        <w:t xml:space="preserve">              </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授权单位名称：</w:t>
      </w:r>
      <w:r>
        <w:rPr>
          <w:color w:val="auto"/>
          <w:highlight w:val="none"/>
          <w:u w:val="single"/>
        </w:rPr>
        <w:t xml:space="preserve">（加盖CA电子公章）</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单位地址：</w:t>
      </w:r>
      <w:r>
        <w:rPr>
          <w:color w:val="auto"/>
          <w:highlight w:val="none"/>
          <w:u w:val="single"/>
        </w:rPr>
        <w:t xml:space="preserve">                           </w:t>
      </w:r>
      <w:r/>
    </w:p>
    <w:p>
      <w:pPr>
        <w:pStyle w:val="1049"/>
        <w:ind w:firstLine="480"/>
        <w:jc w:val="both"/>
        <w:spacing w:beforeAutospacing="0" w:afterAutospacing="0" w:line="500" w:lineRule="exact"/>
        <w:tabs>
          <w:tab w:val="left" w:pos="360" w:leader="none"/>
        </w:tabs>
        <w:rPr>
          <w:color w:val="auto"/>
          <w:highlight w:val="none"/>
        </w:rPr>
      </w:pPr>
      <w:r>
        <w:rPr>
          <w:color w:val="auto"/>
          <w:highlight w:val="none"/>
        </w:rPr>
        <w:t xml:space="preserve">日期：</w:t>
      </w:r>
      <w:r>
        <w:rPr>
          <w:color w:val="auto"/>
          <w:highlight w:val="none"/>
          <w:u w:val="single"/>
        </w:rPr>
        <w:t xml:space="preserve">                        </w:t>
      </w:r>
      <w:r/>
    </w:p>
    <w:p>
      <w:pPr>
        <w:pStyle w:val="1049"/>
        <w:ind w:firstLine="600"/>
        <w:jc w:val="both"/>
        <w:spacing w:beforeAutospacing="0" w:afterAutospacing="0" w:line="500" w:lineRule="exact"/>
        <w:rPr>
          <w:color w:val="auto"/>
          <w:highlight w:val="none"/>
        </w:rPr>
      </w:pPr>
      <w:r>
        <w:rPr>
          <w:color w:val="auto"/>
          <w:highlight w:val="none"/>
        </w:rPr>
        <w:t xml:space="preserve"> </w:t>
      </w:r>
      <w:r/>
    </w:p>
    <w:p>
      <w:pPr>
        <w:pStyle w:val="1049"/>
        <w:jc w:val="center"/>
        <w:spacing w:beforeAutospacing="0" w:afterAutospacing="0" w:line="0" w:lineRule="atLeast"/>
        <w:rPr>
          <w:rFonts w:ascii="黑体" w:hAnsi="黑体" w:eastAsia="黑体" w:cs="黑体"/>
          <w:bCs/>
          <w:iCs/>
          <w:color w:val="auto"/>
          <w:sz w:val="32"/>
          <w:szCs w:val="32"/>
          <w:highlight w:val="none"/>
        </w:rPr>
      </w:pPr>
      <w:r>
        <w:rPr>
          <w:rFonts w:hint="eastAsia"/>
          <w:b/>
          <w:color w:val="auto"/>
          <w:highlight w:val="none"/>
        </w:rPr>
        <w:br w:type="page" w:clear="all"/>
      </w:r>
      <w:r>
        <w:rPr>
          <w:rFonts w:hint="eastAsia"/>
          <w:b/>
          <w:bCs/>
          <w:color w:val="auto"/>
          <w:sz w:val="32"/>
          <w:szCs w:val="32"/>
          <w:highlight w:val="none"/>
        </w:rPr>
        <w:t xml:space="preserve">八、投标函</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left="479" w:firstLine="64"/>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JSZC-320900-JZCG-G2026-</w:t>
      </w:r>
      <w:r>
        <w:rPr>
          <w:rFonts w:hint="eastAsia" w:ascii="宋体" w:hAnsi="宋体" w:cs="宋体"/>
          <w:color w:val="auto"/>
          <w:sz w:val="24"/>
          <w:highlight w:val="none"/>
        </w:rPr>
        <w:t xml:space="preserve">号招标文件，正式授权下述签字人______(姓名)代表我方______________（投标人的名称），全权处理本次项目投标的有关事宜。</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黑体" w:hAnsi="黑体" w:eastAsia="黑体" w:cs="黑体"/>
          <w:bCs/>
          <w:iCs/>
          <w:color w:val="auto"/>
          <w:sz w:val="32"/>
          <w:szCs w:val="32"/>
          <w:highlight w:val="none"/>
        </w:rPr>
      </w:pPr>
      <w:r>
        <w:rPr>
          <w:rFonts w:hint="eastAsia" w:ascii="黑体" w:hAnsi="黑体" w:eastAsia="黑体" w:cs="黑体"/>
          <w:bCs/>
          <w:iCs/>
          <w:color w:val="auto"/>
          <w:sz w:val="32"/>
          <w:szCs w:val="32"/>
          <w:highlight w:val="none"/>
        </w:rPr>
        <w:br w:type="page" w:clear="all"/>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九、中小企业声明函（服务）</w:t>
      </w:r>
      <w:r/>
    </w:p>
    <w:p>
      <w:pPr>
        <w:ind w:firstLine="480"/>
        <w:jc w:val="lef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cs="宋体"/>
          <w:color w:val="auto"/>
          <w:sz w:val="24"/>
          <w:szCs w:val="20"/>
          <w:highlight w:val="none"/>
          <w:u w:val="single"/>
        </w:rPr>
        <w:t xml:space="preserve">盐城市妇幼保健院</w:t>
      </w:r>
      <w:r>
        <w:rPr>
          <w:rFonts w:hint="eastAsia" w:ascii="宋体" w:hAnsi="宋体" w:cs="宋体"/>
          <w:color w:val="auto"/>
          <w:sz w:val="24"/>
          <w:szCs w:val="20"/>
          <w:highlight w:val="none"/>
        </w:rPr>
        <w:t xml:space="preserve">，</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JSZC-320900-JZCG-G2026-</w:t>
      </w:r>
      <w:r>
        <w:rPr>
          <w:rFonts w:hint="eastAsia" w:ascii="宋体" w:hAnsi="宋体" w:cs="宋体"/>
          <w:color w:val="auto"/>
          <w:sz w:val="24"/>
          <w:highlight w:val="none"/>
        </w:rPr>
        <w:t xml:space="preserve">，</w:t>
      </w:r>
      <w:r>
        <w:rPr>
          <w:rFonts w:hint="eastAsia" w:ascii="宋体" w:hAnsi="宋体" w:cs="宋体"/>
          <w:color w:val="auto"/>
          <w:sz w:val="24"/>
          <w:szCs w:val="20"/>
          <w:highlight w:val="none"/>
          <w:u w:val="single"/>
        </w:rPr>
        <w:t xml:space="preserve">盐城市妇幼保健院物业管理服务项目</w:t>
      </w:r>
      <w:r>
        <w:rPr>
          <w:rFonts w:hint="eastAsia" w:ascii="宋体" w:hAnsi="宋体" w:cs="宋体"/>
          <w:color w:val="auto"/>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i/>
          <w:iCs/>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iCs/>
          <w:color w:val="auto"/>
          <w:sz w:val="24"/>
          <w:highlight w:val="none"/>
          <w:u w:val="single"/>
        </w:rPr>
        <w:t xml:space="preserve">（采购文件中明确的所属行业）</w:t>
      </w:r>
      <w:r>
        <w:rPr>
          <w:rFonts w:hint="eastAsia" w:ascii="宋体" w:hAnsi="宋体" w:cs="宋体"/>
          <w:color w:val="auto"/>
          <w:sz w:val="24"/>
          <w:highlight w:val="none"/>
        </w:rPr>
        <w:t xml:space="preserve">行业；承接企业为（</w:t>
      </w:r>
      <w:r>
        <w:rPr>
          <w:rFonts w:hint="eastAsia" w:ascii="宋体" w:hAnsi="宋体" w:cs="宋体"/>
          <w:i/>
          <w:iCs/>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iCs/>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pStyle w:val="1049"/>
        <w:numPr>
          <w:ilvl w:val="0"/>
          <w:numId w:val="3"/>
        </w:numPr>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残疾人福利性单位声明函</w:t>
      </w:r>
      <w:r/>
    </w:p>
    <w:p>
      <w:pPr>
        <w:pStyle w:val="1049"/>
        <w:jc w:val="both"/>
        <w:spacing w:beforeAutospacing="0" w:afterAutospacing="0" w:line="0" w:lineRule="atLeast"/>
        <w:rPr>
          <w:b/>
          <w:bCs/>
          <w:color w:val="auto"/>
          <w:sz w:val="32"/>
          <w:szCs w:val="32"/>
          <w:highlight w:val="none"/>
        </w:rPr>
      </w:pPr>
      <w:r>
        <w:rPr>
          <w:b/>
          <w:bCs/>
          <w:color w:val="auto"/>
          <w:sz w:val="32"/>
          <w:szCs w:val="32"/>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rPr>
        <w:t xml:space="preserve">盐城市妇幼保健院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JSZC-320900-JZCG-G2026-</w:t>
      </w: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rPr>
        <w:t xml:space="preserve">盐城市妇幼保健院物业管理服务项目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ind w:firstLine="480"/>
        <w:jc w:val="right"/>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一</w:t>
      </w:r>
      <w:r>
        <w:rPr>
          <w:rFonts w:hint="eastAsia"/>
          <w:b/>
          <w:bCs/>
          <w:color w:val="auto"/>
          <w:sz w:val="32"/>
          <w:szCs w:val="32"/>
          <w:highlight w:val="none"/>
        </w:rPr>
        <w:t xml:space="preserve">、投标分项报价表</w:t>
      </w:r>
      <w:r/>
    </w:p>
    <w:tbl>
      <w:tblPr>
        <w:tblStyle w:val="790"/>
        <w:tblW w:w="9478" w:type="dxa"/>
        <w:tblInd w:w="93" w:type="dxa"/>
        <w:tblLayout w:type="fixed"/>
        <w:tblCellMar>
          <w:left w:w="108" w:type="dxa"/>
          <w:top w:w="0" w:type="dxa"/>
          <w:right w:w="108" w:type="dxa"/>
          <w:bottom w:w="0" w:type="dxa"/>
        </w:tblCellMar>
        <w:tblLook w:val="04A0" w:firstRow="1" w:lastRow="0" w:firstColumn="1" w:lastColumn="0" w:noHBand="0" w:noVBand="1"/>
      </w:tblPr>
      <w:tblGrid>
        <w:gridCol w:w="717"/>
        <w:gridCol w:w="1206"/>
        <w:gridCol w:w="1701"/>
        <w:gridCol w:w="691"/>
        <w:gridCol w:w="1479"/>
        <w:gridCol w:w="1747"/>
        <w:gridCol w:w="1937"/>
      </w:tblGrid>
      <w:tr>
        <w:trPr>
          <w:trHeight w:val="537"/>
        </w:trPr>
        <w:tc>
          <w:tcPr>
            <w:gridSpan w:val="7"/>
            <w:shd w:val="clear" w:color="auto" w:fill="auto"/>
            <w:tcBorders>
              <w:top w:val="none" w:color="000000" w:sz="4" w:space="0"/>
              <w:left w:val="none" w:color="000000" w:sz="4" w:space="0"/>
              <w:bottom w:val="none" w:color="000000" w:sz="4" w:space="0"/>
              <w:right w:val="none" w:color="000000" w:sz="4" w:space="0"/>
            </w:tcBorders>
            <w:tcW w:w="9478" w:type="dxa"/>
            <w:vAlign w:val="center"/>
            <w:textDirection w:val="lrTb"/>
            <w:noWrap/>
          </w:tcPr>
          <w:p>
            <w:pPr>
              <w:ind w:firstLine="562"/>
              <w:jc w:val="center"/>
              <w:spacing w:line="40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盐城市妇幼保健院物业管理服务项目投标分项报价表</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spacing w:line="4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楼层</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spacing w:line="4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单价</w:t>
            </w:r>
            <w:r/>
          </w:p>
          <w:p>
            <w:pPr>
              <w:jc w:val="center"/>
              <w:spacing w:line="3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总价</w:t>
            </w:r>
            <w:r/>
          </w:p>
          <w:p>
            <w:pPr>
              <w:jc w:val="center"/>
              <w:spacing w:line="3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备注</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22"/>
                <w:highlight w:val="none"/>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32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所有人员工资不低于本市最低工资标准2430元/人/月</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全院</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门诊1楼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门诊大厅、门诊药房</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w:t>
            </w:r>
            <w:r/>
          </w:p>
        </w:tc>
        <w:tc>
          <w:tcPr>
            <w:shd w:val="clear" w:color="auto" w:fill="ffffff"/>
            <w:tcBorders>
              <w:left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放射科、收费处</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left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儿科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皮肤科、内科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门诊2楼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输液室</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妇科</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10</w:t>
            </w:r>
            <w:r/>
          </w:p>
        </w:tc>
        <w:tc>
          <w:tcPr>
            <w:shd w:val="clear" w:color="auto" w:fill="ffffff"/>
            <w:tcBorders>
              <w:left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检验科（含收发标本）</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B超室</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人流室</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生殖中心（含实验区）</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产科</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门诊3楼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内镜中心</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信息科、消毒供应中心外围</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病理科</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医学遗传中心、产后康复</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五官科</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中医馆</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0"/>
                <w:szCs w:val="20"/>
                <w:highlight w:val="none"/>
              </w:rPr>
              <w:t xml:space="preserve">消毒供应中心（含下收器械、保洁）</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门诊4楼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24</w:t>
            </w:r>
            <w:r/>
          </w:p>
        </w:tc>
        <w:tc>
          <w:tcPr>
            <w:shd w:val="clear" w:color="auto" w:fill="ffffff"/>
            <w:tcBorders>
              <w:left w:val="single" w:color="000000" w:sz="4" w:space="0"/>
              <w:right w:val="single" w:color="000000" w:sz="4" w:space="0"/>
            </w:tcBorders>
            <w:tcW w:w="1206" w:type="dxa"/>
            <w:vAlign w:val="center"/>
            <w:vMerge w:val="continue"/>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术后观察病房</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产前诊断中心、大通道</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产后特需</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体检中心1楼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体检中心</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28</w:t>
            </w:r>
            <w:r/>
          </w:p>
        </w:tc>
        <w:tc>
          <w:tcPr>
            <w:shd w:val="clear" w:color="auto" w:fill="ffffff"/>
            <w:tcBorders>
              <w:left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体检中心2楼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儿保科</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29</w:t>
            </w:r>
            <w:r/>
          </w:p>
        </w:tc>
        <w:tc>
          <w:tcPr>
            <w:shd w:val="clear" w:color="auto" w:fill="ffffff"/>
            <w:tcBorders>
              <w:left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行政办公3楼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行政办公区</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行政办公4楼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行政办公区</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地下室</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住院部东1楼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静脉中心</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住院部东2楼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妇科1</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住院部东3楼</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妇科2</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住院部东4楼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highlight w:val="none"/>
              </w:rPr>
            </w:pPr>
            <w:r>
              <w:rPr>
                <w:rFonts w:hint="eastAsia" w:ascii="宋体" w:hAnsi="宋体" w:cs="宋体"/>
                <w:color w:val="auto"/>
                <w:sz w:val="20"/>
                <w:szCs w:val="20"/>
                <w:highlight w:val="none"/>
              </w:rPr>
              <w:t xml:space="preserve">产房</w:t>
            </w:r>
            <w:r/>
          </w:p>
        </w:tc>
        <w:tc>
          <w:tcPr>
            <w:shd w:val="clear" w:color="auto" w:fill="ffffff"/>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住院部东5楼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产科1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住院部东6楼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产科2</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住院部东7楼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住院部东8楼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乳腺+外科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vMerge w:val="restart"/>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住院部西1楼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药事科、住院大厅</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vMerge w:val="continue"/>
            <w:textDirection w:val="lrTb"/>
            <w:noWrap/>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病员服务中心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住院部西2楼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儿科1</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住院部西4楼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儿科3</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住院部西5楼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新生儿科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住院部西6楼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新生儿+儿童家庭化</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住院部西7楼</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儿科4</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电梯保洁</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外围保洁</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发热门诊保洁</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水工</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特种设备安全管理员（电梯、压力容器及管道）</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空调机房值守</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热交换站值守</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供氧、供气值守</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洗衣房洗涤服务</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医疗废物垃圾收集</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卫材库物资接收、下送人员</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所有人员必须足额缴纳社保费用，社保（企业部分）不得低于1292.47元/人/月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住房公积金（企业部分）不得低于1</w:t>
            </w:r>
            <w:r>
              <w:rPr>
                <w:rFonts w:hint="eastAsia" w:ascii="宋体" w:hAnsi="宋体" w:cs="宋体"/>
                <w:color w:val="auto"/>
                <w:sz w:val="18"/>
                <w:szCs w:val="18"/>
                <w:highlight w:val="none"/>
                <w:lang w:val="en-US" w:eastAsia="zh-CN"/>
              </w:rPr>
              <w:t xml:space="preserve">14</w:t>
            </w:r>
            <w:r>
              <w:rPr>
                <w:rFonts w:hint="eastAsia" w:ascii="宋体" w:hAnsi="宋体" w:cs="宋体"/>
                <w:color w:val="auto"/>
                <w:sz w:val="18"/>
                <w:szCs w:val="18"/>
                <w:highlight w:val="none"/>
              </w:rPr>
              <w:t xml:space="preserve">元/人/月</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300" w:lineRule="exact"/>
              <w:widowControl/>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300" w:lineRule="exact"/>
              <w:widowControl/>
              <w:rPr>
                <w:rFonts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国家</w:t>
            </w:r>
            <w:r>
              <w:rPr>
                <w:rFonts w:hint="eastAsia" w:ascii="宋体" w:hAnsi="宋体" w:cs="宋体"/>
                <w:color w:val="auto"/>
                <w:sz w:val="18"/>
                <w:szCs w:val="18"/>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right"/>
              <w:spacing w:line="300" w:lineRule="exact"/>
              <w:widowControl/>
              <w:rPr>
                <w:rFonts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元/人/年</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00" w:lineRule="exact"/>
              <w:widowControl/>
              <w:rPr>
                <w:rFonts w:ascii="宋体" w:hAnsi="宋体" w:eastAsia="宋体" w:cs="宋体"/>
                <w:color w:val="auto"/>
                <w:sz w:val="18"/>
                <w:szCs w:val="18"/>
                <w:highlight w:val="none"/>
                <w:lang w:val="en-US" w:eastAsia="zh-CN" w:bidi="ar-SA"/>
              </w:rPr>
            </w:pPr>
            <w:r>
              <w:rPr>
                <w:rFonts w:ascii="宋体" w:hAnsi="宋体" w:eastAsia="宋体" w:cs="宋体"/>
                <w:color w:val="auto"/>
                <w:sz w:val="18"/>
                <w:szCs w:val="18"/>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300" w:lineRule="exac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rPr>
              <w:t xml:space="preserve">法定节假日加班费不得低于4357.25元/人/年，按70%人数加班计算。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300" w:lineRule="exact"/>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rPr>
              <w:t xml:space="preserve">特殊岗位津贴</w:t>
            </w:r>
            <w:r>
              <w:rPr>
                <w:rFonts w:hint="eastAsia" w:ascii="宋体" w:hAnsi="宋体" w:cs="宋体"/>
                <w:color w:val="auto"/>
                <w:sz w:val="18"/>
                <w:szCs w:val="18"/>
                <w:highlight w:val="none"/>
                <w:lang w:val="en-US" w:eastAsia="zh-CN"/>
              </w:rPr>
              <w:t xml:space="preserve">往年实发1000元/人/月，</w:t>
            </w:r>
            <w:r>
              <w:rPr>
                <w:rFonts w:hint="eastAsia" w:ascii="宋体" w:hAnsi="宋体" w:cs="宋体"/>
                <w:color w:val="auto"/>
                <w:sz w:val="18"/>
                <w:szCs w:val="18"/>
                <w:highlight w:val="none"/>
              </w:rPr>
              <w:t xml:space="preserve">特殊岗位</w:t>
            </w:r>
            <w:r>
              <w:rPr>
                <w:rFonts w:hint="eastAsia" w:ascii="宋体" w:hAnsi="宋体" w:cs="宋体"/>
                <w:color w:val="auto"/>
                <w:sz w:val="18"/>
                <w:szCs w:val="18"/>
                <w:highlight w:val="none"/>
                <w:lang w:val="en-US" w:eastAsia="zh-CN"/>
              </w:rPr>
              <w:t xml:space="preserve">工种一共6人，</w:t>
            </w:r>
            <w:r>
              <w:rPr>
                <w:rFonts w:hint="eastAsia" w:ascii="宋体" w:hAnsi="宋体" w:cs="宋体"/>
                <w:b/>
                <w:bCs/>
                <w:color w:val="ff0000"/>
                <w:sz w:val="18"/>
                <w:szCs w:val="18"/>
                <w:highlight w:val="none"/>
              </w:rPr>
              <w:t xml:space="preserve">特殊岗位津贴</w:t>
            </w:r>
            <w:r>
              <w:rPr>
                <w:rFonts w:hint="eastAsia" w:ascii="宋体" w:hAnsi="宋体" w:cs="宋体"/>
                <w:b/>
                <w:bCs/>
                <w:color w:val="ff0000"/>
                <w:sz w:val="18"/>
                <w:szCs w:val="18"/>
                <w:highlight w:val="none"/>
                <w:lang w:val="en-US" w:eastAsia="zh-CN"/>
              </w:rPr>
              <w:t xml:space="preserve">仅供投标人。</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right"/>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服装及装备费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ind w:firstLine="360"/>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4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4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税金费率不得低于6.72%计算</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5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一年总费用（元）=</w:t>
            </w:r>
            <w:r/>
          </w:p>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（一+二+......+七）</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jc w:val="center"/>
              <w:spacing w:line="5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07" w:type="dxa"/>
            <w:vAlign w:val="center"/>
            <w:textDirection w:val="lrTb"/>
            <w:noWrap/>
          </w:tcPr>
          <w:p>
            <w:pPr>
              <w:jc w:val="center"/>
              <w:spacing w:line="300" w:lineRule="exac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两年总费用（元）=八*2</w:t>
            </w:r>
            <w:r/>
          </w:p>
        </w:tc>
        <w:tc>
          <w:tcPr>
            <w:shd w:val="clear" w:color="auto" w:fill="auto"/>
            <w:tcBorders>
              <w:top w:val="single" w:color="000000" w:sz="4" w:space="0"/>
              <w:left w:val="single" w:color="000000" w:sz="4" w:space="0"/>
              <w:bottom w:val="single" w:color="000000" w:sz="4" w:space="0"/>
              <w:right w:val="single" w:color="000000" w:sz="4" w:space="0"/>
            </w:tcBorders>
            <w:tcW w:w="691"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9"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37" w:type="dxa"/>
            <w:vAlign w:val="center"/>
            <w:textDirection w:val="lrTb"/>
            <w:noWrap/>
          </w:tcPr>
          <w:p>
            <w:pPr>
              <w:jc w:val="center"/>
              <w:spacing w:line="500" w:lineRule="exact"/>
              <w:widowControl/>
              <w:rPr>
                <w:rFonts w:ascii="宋体" w:hAnsi="宋体" w:cs="宋体"/>
                <w:color w:val="auto"/>
                <w:sz w:val="18"/>
                <w:szCs w:val="18"/>
                <w:highlight w:val="none"/>
              </w:rPr>
            </w:pPr>
            <w:r>
              <w:rPr>
                <w:rFonts w:ascii="宋体" w:hAnsi="宋体" w:cs="宋体"/>
                <w:color w:val="auto"/>
                <w:sz w:val="18"/>
                <w:szCs w:val="18"/>
                <w:highlight w:val="none"/>
              </w:rPr>
            </w:r>
            <w:r/>
          </w:p>
        </w:tc>
      </w:tr>
    </w:tbl>
    <w:p>
      <w:pPr>
        <w:ind w:firstLine="470"/>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i/>
          <w:iCs/>
          <w:color w:val="auto"/>
          <w:sz w:val="24"/>
          <w:highlight w:val="none"/>
          <w:u w:val="single"/>
        </w:rPr>
        <w:t xml:space="preserve">投标人</w:t>
      </w:r>
      <w:r>
        <w:rPr>
          <w:rFonts w:hint="eastAsia" w:ascii="宋体" w:hAnsi="宋体" w:cs="宋体"/>
          <w:b/>
          <w:bCs/>
          <w:i/>
          <w:iCs/>
          <w:color w:val="auto"/>
          <w:sz w:val="24"/>
          <w:highlight w:val="none"/>
          <w:u w:val="single"/>
        </w:rPr>
        <w:t xml:space="preserve">所提供人员的费用</w:t>
      </w:r>
      <w:r>
        <w:rPr>
          <w:rFonts w:hint="eastAsia" w:ascii="宋体" w:hAnsi="宋体" w:cs="宋体"/>
          <w:b/>
          <w:bCs/>
          <w:i/>
          <w:iCs/>
          <w:color w:val="auto"/>
          <w:sz w:val="24"/>
          <w:highlight w:val="none"/>
          <w:u w:val="single"/>
          <w:lang w:eastAsia="zh-CN"/>
        </w:rPr>
        <w:t xml:space="preserve">（</w:t>
      </w:r>
      <w:r>
        <w:rPr>
          <w:rFonts w:hint="eastAsia" w:ascii="宋体" w:hAnsi="宋体" w:cs="宋体"/>
          <w:b/>
          <w:bCs/>
          <w:i/>
          <w:iCs/>
          <w:color w:val="ff0000"/>
          <w:sz w:val="24"/>
          <w:highlight w:val="none"/>
          <w:u w:val="single"/>
          <w:lang w:eastAsia="zh-CN"/>
        </w:rPr>
        <w:t xml:space="preserve">特殊岗位津贴</w:t>
      </w:r>
      <w:r>
        <w:rPr>
          <w:rFonts w:hint="eastAsia" w:ascii="宋体" w:hAnsi="宋体" w:cs="宋体"/>
          <w:b/>
          <w:bCs/>
          <w:i/>
          <w:iCs/>
          <w:color w:val="ff0000"/>
          <w:sz w:val="24"/>
          <w:highlight w:val="none"/>
          <w:u w:val="single"/>
          <w:lang w:val="en-US" w:eastAsia="zh-CN"/>
        </w:rPr>
        <w:t xml:space="preserve">除外</w:t>
      </w:r>
      <w:r>
        <w:rPr>
          <w:rFonts w:hint="eastAsia" w:ascii="宋体" w:hAnsi="宋体" w:cs="宋体"/>
          <w:b/>
          <w:bCs/>
          <w:i/>
          <w:iCs/>
          <w:color w:val="ff0000"/>
          <w:sz w:val="24"/>
          <w:highlight w:val="none"/>
          <w:u w:val="single"/>
          <w:lang w:eastAsia="zh-CN"/>
        </w:rPr>
        <w:t xml:space="preserve">）</w:t>
      </w:r>
      <w:r>
        <w:rPr>
          <w:rFonts w:hint="eastAsia" w:ascii="宋体" w:hAnsi="宋体" w:cs="宋体"/>
          <w:b/>
          <w:bCs/>
          <w:i/>
          <w:iCs/>
          <w:color w:val="auto"/>
          <w:sz w:val="24"/>
          <w:highlight w:val="none"/>
          <w:u w:val="single"/>
        </w:rPr>
        <w:t xml:space="preserve">不得低于上述标准进行测算，</w:t>
      </w:r>
      <w:r>
        <w:rPr>
          <w:rFonts w:hint="eastAsia" w:ascii="宋体" w:hAnsi="宋体" w:cs="宋体"/>
          <w:b/>
          <w:i/>
          <w:iCs/>
          <w:color w:val="auto"/>
          <w:sz w:val="24"/>
          <w:highlight w:val="none"/>
          <w:u w:val="single"/>
        </w:rPr>
        <w:t xml:space="preserve">否则</w:t>
      </w:r>
      <w:r>
        <w:rPr>
          <w:rFonts w:hint="eastAsia" w:ascii="宋体" w:hAnsi="宋体" w:cs="宋体"/>
          <w:b/>
          <w:bCs/>
          <w:i/>
          <w:iCs/>
          <w:color w:val="auto"/>
          <w:sz w:val="24"/>
          <w:highlight w:val="none"/>
          <w:u w:val="single"/>
        </w:rPr>
        <w:t xml:space="preserve">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500" w:lineRule="exact"/>
        <w:rPr>
          <w:rFonts w:ascii="宋体" w:hAnsi="宋体" w:cs="宋体"/>
          <w:b/>
          <w:color w:val="auto"/>
          <w:sz w:val="24"/>
          <w:highlight w:val="none"/>
        </w:rPr>
      </w:pPr>
      <w:r>
        <w:rPr>
          <w:rFonts w:ascii="宋体" w:hAnsi="宋体" w:cs="宋体"/>
          <w:b/>
          <w:color w:val="auto"/>
          <w:sz w:val="24"/>
          <w:highlight w:val="none"/>
        </w:rPr>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二</w:t>
      </w:r>
      <w:r>
        <w:rPr>
          <w:rFonts w:hint="eastAsia"/>
          <w:b/>
          <w:bCs/>
          <w:color w:val="auto"/>
          <w:sz w:val="32"/>
          <w:szCs w:val="32"/>
          <w:highlight w:val="none"/>
        </w:rPr>
        <w:t xml:space="preserve">、技术要求响应及偏离表</w:t>
      </w:r>
      <w:r/>
    </w:p>
    <w:p>
      <w:pPr>
        <w:pStyle w:val="1049"/>
        <w:jc w:val="both"/>
        <w:spacing w:beforeAutospacing="0" w:afterAutospacing="0"/>
        <w:rPr>
          <w:bCs/>
          <w:i/>
          <w:color w:val="auto"/>
          <w:sz w:val="13"/>
          <w:szCs w:val="13"/>
          <w:highlight w:val="none"/>
          <w:u w:val="single"/>
        </w:rPr>
      </w:pPr>
      <w:r>
        <w:rPr>
          <w:bCs/>
          <w:i/>
          <w:color w:val="auto"/>
          <w:sz w:val="13"/>
          <w:szCs w:val="13"/>
          <w:highlight w:val="none"/>
          <w:u w:val="single"/>
        </w:rPr>
      </w:r>
      <w:r/>
    </w:p>
    <w:tbl>
      <w:tblPr>
        <w:tblStyle w:val="790"/>
        <w:tblW w:w="903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439"/>
        <w:gridCol w:w="2306"/>
        <w:gridCol w:w="1729"/>
        <w:gridCol w:w="1729"/>
      </w:tblGrid>
      <w:tr>
        <w:trPr>
          <w:jc w:val="center"/>
          <w:tblCellSpacing w:w="0" w:type="dxa"/>
          <w:trHeight w:val="1075"/>
        </w:trPr>
        <w:tc>
          <w:tcPr>
            <w:tcW w:w="834"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序号</w:t>
            </w:r>
            <w:r/>
          </w:p>
        </w:tc>
        <w:tc>
          <w:tcPr>
            <w:tcW w:w="2439"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招标文件要求</w:t>
            </w:r>
            <w:r/>
          </w:p>
        </w:tc>
        <w:tc>
          <w:tcPr>
            <w:tcW w:w="2306"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投标响应情况</w:t>
            </w:r>
            <w:r/>
          </w:p>
        </w:tc>
        <w:tc>
          <w:tcPr>
            <w:tcW w:w="1729"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超出、符合或偏离</w:t>
            </w:r>
            <w:r/>
          </w:p>
        </w:tc>
        <w:tc>
          <w:tcPr>
            <w:tcW w:w="1729"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证明</w:t>
            </w:r>
            <w:r/>
          </w:p>
          <w:p>
            <w:pPr>
              <w:pStyle w:val="1049"/>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r>
        <w:trPr>
          <w:jc w:val="center"/>
          <w:tblCellSpacing w:w="0" w:type="dxa"/>
          <w:trHeight w:val="769"/>
        </w:trPr>
        <w:tc>
          <w:tcPr>
            <w:tcW w:w="834"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2439" w:type="dxa"/>
            <w:vAlign w:val="center"/>
            <w:textDirection w:val="lrTb"/>
            <w:noWrap/>
          </w:tcPr>
          <w:p>
            <w:pPr>
              <w:pStyle w:val="1049"/>
              <w:ind w:firstLine="480"/>
              <w:jc w:val="center"/>
              <w:spacing w:beforeAutospacing="0" w:afterAutospacing="0"/>
              <w:rPr>
                <w:color w:val="auto"/>
                <w:highlight w:val="none"/>
              </w:rPr>
            </w:pPr>
            <w:r>
              <w:rPr>
                <w:rFonts w:hint="eastAsia"/>
                <w:color w:val="auto"/>
                <w:highlight w:val="none"/>
              </w:rPr>
              <w:t xml:space="preserve">……</w:t>
            </w:r>
            <w:r/>
          </w:p>
        </w:tc>
        <w:tc>
          <w:tcPr>
            <w:tcW w:w="2306"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c>
          <w:tcPr>
            <w:tcW w:w="1729" w:type="dxa"/>
            <w:vAlign w:val="center"/>
            <w:textDirection w:val="lrTb"/>
            <w:noWrap/>
          </w:tcPr>
          <w:p>
            <w:pPr>
              <w:pStyle w:val="1049"/>
              <w:ind w:firstLine="600"/>
              <w:jc w:val="center"/>
              <w:spacing w:beforeAutospacing="0" w:afterAutospacing="0"/>
              <w:rPr>
                <w:color w:val="auto"/>
                <w:highlight w:val="none"/>
              </w:rPr>
            </w:pPr>
            <w:r>
              <w:rPr>
                <w:rFonts w:hint="eastAsia"/>
                <w:color w:val="auto"/>
                <w:highlight w:val="none"/>
              </w:rPr>
              <w:t xml:space="preserve"> </w:t>
            </w:r>
            <w:r/>
          </w:p>
        </w:tc>
      </w:tr>
    </w:tbl>
    <w:p>
      <w:pPr>
        <w:pStyle w:val="1049"/>
        <w:ind w:firstLine="480"/>
        <w:jc w:val="both"/>
        <w:spacing w:beforeAutospacing="0" w:afterAutospacing="0"/>
        <w:rPr>
          <w:color w:val="auto"/>
          <w:highlight w:val="none"/>
        </w:rPr>
      </w:pPr>
      <w:r>
        <w:rPr>
          <w:rFonts w:hint="eastAsia"/>
          <w:color w:val="auto"/>
          <w:highlight w:val="none"/>
        </w:rPr>
        <w:t xml:space="preserve">注： 行数不够，可自行添加。</w:t>
      </w:r>
      <w:r/>
    </w:p>
    <w:p>
      <w:pPr>
        <w:pStyle w:val="1049"/>
        <w:ind w:firstLine="600"/>
        <w:jc w:val="center"/>
        <w:spacing w:beforeAutospacing="0" w:afterAutospacing="0"/>
        <w:rPr>
          <w:color w:val="auto"/>
          <w:highlight w:val="none"/>
        </w:rPr>
      </w:pPr>
      <w:r>
        <w:rPr>
          <w:rFonts w:hint="eastAsia"/>
          <w:color w:val="auto"/>
          <w:highlight w:val="none"/>
        </w:rPr>
        <w:t xml:space="preserve"> </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pStyle w:val="1049"/>
        <w:jc w:val="center"/>
        <w:spacing w:beforeAutospacing="0" w:afterAutospacing="0" w:line="0" w:lineRule="atLeast"/>
        <w:rPr>
          <w:color w:val="auto"/>
          <w:highlight w:val="none"/>
        </w:rPr>
      </w:pPr>
      <w:r>
        <w:rPr>
          <w:rFonts w:hint="eastAsia"/>
          <w:color w:val="auto"/>
          <w:highlight w:val="none"/>
        </w:rPr>
        <w:br w:type="page" w:clear="all"/>
      </w: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三</w:t>
      </w:r>
      <w:r>
        <w:rPr>
          <w:rFonts w:hint="eastAsia"/>
          <w:b/>
          <w:bCs/>
          <w:color w:val="auto"/>
          <w:sz w:val="32"/>
          <w:szCs w:val="32"/>
          <w:highlight w:val="none"/>
        </w:rPr>
        <w:t xml:space="preserve">、商务要求响应及偏离表</w:t>
      </w:r>
      <w:r/>
    </w:p>
    <w:p>
      <w:pPr>
        <w:pStyle w:val="1049"/>
        <w:jc w:val="both"/>
        <w:spacing w:beforeAutospacing="0" w:afterAutospacing="0"/>
        <w:rPr>
          <w:rFonts w:ascii="黑体" w:eastAsia="黑体" w:cs="黑体"/>
          <w:bCs/>
          <w:i/>
          <w:color w:val="auto"/>
          <w:sz w:val="13"/>
          <w:szCs w:val="13"/>
          <w:highlight w:val="none"/>
          <w:u w:val="single"/>
        </w:rPr>
      </w:pPr>
      <w:r>
        <w:rPr>
          <w:rFonts w:ascii="黑体" w:eastAsia="黑体" w:cs="黑体"/>
          <w:bCs/>
          <w:i/>
          <w:color w:val="auto"/>
          <w:sz w:val="13"/>
          <w:szCs w:val="13"/>
          <w:highlight w:val="none"/>
          <w:u w:val="single"/>
        </w:rPr>
      </w:r>
      <w:r/>
    </w:p>
    <w:tbl>
      <w:tblPr>
        <w:tblStyle w:val="790"/>
        <w:tblW w:w="93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2258"/>
        <w:gridCol w:w="2376"/>
        <w:gridCol w:w="1932"/>
        <w:gridCol w:w="1932"/>
      </w:tblGrid>
      <w:tr>
        <w:trPr>
          <w:jc w:val="center"/>
          <w:tblCellSpacing w:w="0" w:type="dxa"/>
          <w:trHeight w:val="949"/>
        </w:trPr>
        <w:tc>
          <w:tcPr>
            <w:tcW w:w="820"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序号</w:t>
            </w:r>
            <w:r/>
          </w:p>
        </w:tc>
        <w:tc>
          <w:tcPr>
            <w:tcW w:w="2258"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招标文件要求</w:t>
            </w:r>
            <w:r/>
          </w:p>
        </w:tc>
        <w:tc>
          <w:tcPr>
            <w:tcW w:w="2376"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投标响应情况</w:t>
            </w:r>
            <w:r/>
          </w:p>
        </w:tc>
        <w:tc>
          <w:tcPr>
            <w:tcW w:w="1932"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超出、符合或偏离</w:t>
            </w:r>
            <w:r/>
          </w:p>
        </w:tc>
        <w:tc>
          <w:tcPr>
            <w:tcW w:w="1932" w:type="dxa"/>
            <w:vAlign w:val="center"/>
            <w:textDirection w:val="lrTb"/>
            <w:noWrap/>
          </w:tcPr>
          <w:p>
            <w:pPr>
              <w:pStyle w:val="1049"/>
              <w:jc w:val="center"/>
              <w:spacing w:beforeAutospacing="0" w:afterAutospacing="0"/>
              <w:rPr>
                <w:color w:val="auto"/>
                <w:highlight w:val="none"/>
              </w:rPr>
            </w:pPr>
            <w:r>
              <w:rPr>
                <w:rFonts w:hint="eastAsia"/>
                <w:color w:val="auto"/>
                <w:highlight w:val="none"/>
              </w:rPr>
              <w:t xml:space="preserve">证明</w:t>
            </w:r>
            <w:r/>
          </w:p>
          <w:p>
            <w:pPr>
              <w:pStyle w:val="1049"/>
              <w:jc w:val="center"/>
              <w:spacing w:beforeAutospacing="0" w:afterAutospacing="0"/>
              <w:rPr>
                <w:color w:val="auto"/>
                <w:highlight w:val="none"/>
              </w:rPr>
            </w:pPr>
            <w:r>
              <w:rPr>
                <w:rFonts w:hint="eastAsia"/>
                <w:color w:val="auto"/>
                <w:highlight w:val="none"/>
              </w:rPr>
              <w:t xml:space="preserve">材料</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r>
        <w:trPr>
          <w:jc w:val="center"/>
          <w:tblCellSpacing w:w="0" w:type="dxa"/>
          <w:trHeight w:val="774"/>
        </w:trPr>
        <w:tc>
          <w:tcPr>
            <w:tcW w:w="820"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258"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2376"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c>
          <w:tcPr>
            <w:tcW w:w="1932" w:type="dxa"/>
            <w:vAlign w:val="center"/>
            <w:textDirection w:val="lrTb"/>
            <w:noWrap/>
          </w:tcPr>
          <w:p>
            <w:pPr>
              <w:pStyle w:val="1049"/>
              <w:ind w:firstLine="600"/>
              <w:jc w:val="center"/>
              <w:spacing w:beforeAutospacing="0" w:afterAutospacing="0"/>
              <w:rPr>
                <w:color w:val="auto"/>
                <w:highlight w:val="none"/>
              </w:rPr>
            </w:pPr>
            <w:r>
              <w:rPr>
                <w:color w:val="auto"/>
                <w:highlight w:val="none"/>
              </w:rPr>
              <w:t xml:space="preserve"> </w:t>
            </w:r>
            <w:r/>
          </w:p>
        </w:tc>
      </w:tr>
    </w:tbl>
    <w:p>
      <w:pPr>
        <w:pStyle w:val="1049"/>
        <w:jc w:val="both"/>
        <w:spacing w:beforeAutospacing="0" w:afterAutospacing="0"/>
        <w:rPr>
          <w:color w:val="auto"/>
          <w:highlight w:val="none"/>
        </w:rPr>
      </w:pPr>
      <w:r>
        <w:rPr>
          <w:rFonts w:hint="eastAsia"/>
          <w:color w:val="auto"/>
          <w:highlight w:val="none"/>
        </w:rPr>
        <w:t xml:space="preserve">注：行数不够，可自行添加。</w:t>
      </w:r>
      <w:r/>
    </w:p>
    <w:p>
      <w:pPr>
        <w:pStyle w:val="1049"/>
        <w:ind w:firstLine="600"/>
        <w:jc w:val="both"/>
        <w:spacing w:beforeAutospacing="0" w:afterAutospacing="0" w:line="480" w:lineRule="auto"/>
        <w:rPr>
          <w:color w:val="auto"/>
          <w:highlight w:val="none"/>
        </w:rPr>
      </w:pPr>
      <w:r>
        <w:rPr>
          <w:color w:val="auto"/>
          <w:highlight w:val="none"/>
        </w:rPr>
        <w:t xml:space="preserve"> </w:t>
      </w:r>
      <w:r/>
    </w:p>
    <w:p>
      <w:pPr>
        <w:pStyle w:val="1049"/>
        <w:ind w:firstLine="600"/>
        <w:jc w:val="both"/>
        <w:spacing w:beforeAutospacing="0" w:afterAutospacing="0" w:line="480" w:lineRule="auto"/>
        <w:rPr>
          <w:color w:val="auto"/>
          <w:highlight w:val="none"/>
        </w:rPr>
      </w:pPr>
      <w:r>
        <w:rPr>
          <w:color w:val="auto"/>
          <w:highlight w:val="none"/>
        </w:rPr>
        <w:t xml:space="preserve"> </w:t>
      </w:r>
      <w:r/>
    </w:p>
    <w:p>
      <w:pPr>
        <w:pStyle w:val="1049"/>
        <w:ind w:firstLine="600"/>
        <w:jc w:val="center"/>
        <w:spacing w:beforeAutospacing="0" w:afterAutospacing="0"/>
        <w:rPr>
          <w:color w:val="auto"/>
          <w:highlight w:val="none"/>
        </w:rPr>
      </w:pPr>
      <w:r>
        <w:rPr>
          <w:color w:val="auto"/>
          <w:highlight w:val="none"/>
        </w:rPr>
        <w:t xml:space="preserve"> </w:t>
      </w:r>
      <w:r/>
    </w:p>
    <w:p>
      <w:pPr>
        <w:pStyle w:val="1049"/>
        <w:ind w:firstLine="600"/>
        <w:jc w:val="both"/>
        <w:spacing w:beforeAutospacing="0" w:afterAutospacing="0"/>
        <w:rPr>
          <w:color w:val="auto"/>
          <w:highlight w:val="none"/>
        </w:rPr>
      </w:pPr>
      <w:r>
        <w:rPr>
          <w:color w:val="auto"/>
          <w:highlight w:val="none"/>
        </w:rPr>
        <w:t xml:space="preserve"> </w:t>
      </w:r>
      <w:r/>
    </w:p>
    <w:p>
      <w:pPr>
        <w:pStyle w:val="1049"/>
        <w:ind w:firstLine="600"/>
        <w:jc w:val="both"/>
        <w:spacing w:beforeAutospacing="0" w:afterAutospacing="0"/>
        <w:rPr>
          <w:color w:val="auto"/>
          <w:highlight w:val="none"/>
        </w:rPr>
      </w:pPr>
      <w:r>
        <w:rPr>
          <w:color w:val="auto"/>
          <w:highlight w:val="none"/>
        </w:rPr>
        <w:t xml:space="preserve"> </w:t>
      </w:r>
      <w:r/>
    </w:p>
    <w:p>
      <w:pPr>
        <w:pStyle w:val="1049"/>
        <w:jc w:val="center"/>
        <w:spacing w:beforeAutospacing="0" w:afterAutospacing="0" w:line="0" w:lineRule="atLeast"/>
        <w:rPr>
          <w:rFonts w:ascii="黑体" w:hAnsi="黑体" w:cs="黑体"/>
          <w:bCs/>
          <w:color w:val="auto"/>
          <w:sz w:val="32"/>
          <w:szCs w:val="32"/>
          <w:highlight w:val="none"/>
        </w:rPr>
      </w:pPr>
      <w:r>
        <w:rPr>
          <w:rFonts w:ascii="黑体" w:eastAsia="黑体" w:cs="黑体"/>
          <w:b/>
          <w:i/>
          <w:color w:val="auto"/>
          <w:sz w:val="32"/>
          <w:szCs w:val="32"/>
          <w:highlight w:val="none"/>
          <w:u w:val="single"/>
        </w:rPr>
        <w:br w:type="page" w:clear="all"/>
      </w: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四</w:t>
      </w:r>
      <w:r>
        <w:rPr>
          <w:rFonts w:hint="eastAsia"/>
          <w:b/>
          <w:bCs/>
          <w:color w:val="auto"/>
          <w:sz w:val="32"/>
          <w:szCs w:val="32"/>
          <w:highlight w:val="none"/>
        </w:rPr>
        <w:t xml:space="preserve">、开标一览表（总价）</w:t>
      </w:r>
      <w:r/>
    </w:p>
    <w:p>
      <w:pPr>
        <w:pStyle w:val="1049"/>
        <w:ind w:firstLine="480"/>
        <w:jc w:val="both"/>
        <w:spacing w:beforeAutospacing="0" w:afterAutospacing="0" w:line="400" w:lineRule="exact"/>
        <w:rPr>
          <w:color w:val="auto"/>
          <w:highlight w:val="none"/>
        </w:rPr>
      </w:pPr>
      <w:r>
        <w:rPr>
          <w:color w:val="auto"/>
          <w:highlight w:val="none"/>
        </w:rPr>
      </w:r>
      <w:r/>
    </w:p>
    <w:p>
      <w:pPr>
        <w:pStyle w:val="1049"/>
        <w:ind w:firstLine="480"/>
        <w:jc w:val="both"/>
        <w:spacing w:beforeAutospacing="0" w:afterAutospacing="0" w:line="400" w:lineRule="exact"/>
        <w:rPr>
          <w:color w:val="auto"/>
          <w:highlight w:val="none"/>
        </w:rPr>
      </w:pPr>
      <w:r>
        <w:rPr>
          <w:rFonts w:hint="eastAsia"/>
          <w:color w:val="auto"/>
          <w:highlight w:val="none"/>
        </w:rPr>
        <w:t xml:space="preserve">投标人全称（加盖CA电子签章）：</w:t>
      </w:r>
      <w:r/>
    </w:p>
    <w:p>
      <w:pPr>
        <w:pStyle w:val="1049"/>
        <w:ind w:firstLine="480"/>
        <w:jc w:val="both"/>
        <w:spacing w:beforeAutospacing="0" w:afterAutospacing="0" w:line="400" w:lineRule="exact"/>
        <w:rPr>
          <w:color w:val="auto"/>
          <w:highlight w:val="none"/>
        </w:rPr>
      </w:pPr>
      <w:r>
        <w:rPr>
          <w:rFonts w:hint="eastAsia"/>
          <w:color w:val="auto"/>
          <w:highlight w:val="none"/>
        </w:rPr>
        <w:t xml:space="preserve">项目名称：盐城市妇幼保健院物业管理服务项目</w:t>
      </w:r>
      <w:r/>
    </w:p>
    <w:p>
      <w:pPr>
        <w:pStyle w:val="1049"/>
        <w:ind w:firstLine="480"/>
        <w:jc w:val="both"/>
        <w:spacing w:beforeAutospacing="0" w:afterAutospacing="0" w:line="400" w:lineRule="exact"/>
        <w:rPr>
          <w:color w:val="auto"/>
          <w:highlight w:val="none"/>
        </w:rPr>
      </w:pPr>
      <w:r>
        <w:rPr>
          <w:rFonts w:hint="eastAsia"/>
          <w:color w:val="auto"/>
          <w:highlight w:val="none"/>
        </w:rPr>
        <w:t xml:space="preserve">项目编号：JSZC-320900-JZCG-G2026-       </w:t>
      </w:r>
      <w:r/>
    </w:p>
    <w:tbl>
      <w:tblPr>
        <w:tblStyle w:val="790"/>
        <w:tblW w:w="9060" w:type="dxa"/>
        <w:tblCellSpacing w:w="0"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0"/>
      </w:tblGrid>
      <w:tr>
        <w:trPr>
          <w:tblCellSpacing w:w="0" w:type="dxa"/>
          <w:trHeight w:val="1158"/>
        </w:trPr>
        <w:tc>
          <w:tcPr>
            <w:tcW w:w="9060" w:type="dxa"/>
            <w:vAlign w:val="center"/>
            <w:textDirection w:val="lrTb"/>
            <w:noWrap/>
          </w:tcPr>
          <w:p>
            <w:pPr>
              <w:pStyle w:val="1049"/>
              <w:jc w:val="center"/>
              <w:spacing w:beforeAutospacing="0" w:afterAutospacing="0" w:line="400" w:lineRule="exact"/>
              <w:widowControl w:val="off"/>
              <w:rPr>
                <w:color w:val="auto"/>
                <w:highlight w:val="none"/>
              </w:rPr>
            </w:pPr>
            <w:r>
              <w:rPr>
                <w:rFonts w:hint="eastAsia"/>
                <w:color w:val="auto"/>
                <w:highlight w:val="none"/>
              </w:rPr>
              <w:t xml:space="preserve">投标总报价：</w:t>
            </w:r>
            <w:r/>
          </w:p>
        </w:tc>
      </w:tr>
      <w:tr>
        <w:trPr>
          <w:tblCellSpacing w:w="0" w:type="dxa"/>
          <w:trHeight w:val="1070"/>
        </w:trPr>
        <w:tc>
          <w:tcPr>
            <w:tcW w:w="9060" w:type="dxa"/>
            <w:vAlign w:val="center"/>
            <w:textDirection w:val="lrTb"/>
            <w:noWrap/>
          </w:tcPr>
          <w:p>
            <w:pPr>
              <w:pStyle w:val="1049"/>
              <w:spacing w:beforeAutospacing="0" w:afterAutospacing="0" w:line="400" w:lineRule="exact"/>
              <w:widowControl w:val="off"/>
              <w:rPr>
                <w:color w:val="auto"/>
                <w:highlight w:val="none"/>
              </w:rPr>
            </w:pPr>
            <w:r>
              <w:rPr>
                <w:rFonts w:hint="eastAsia"/>
                <w:color w:val="auto"/>
                <w:highlight w:val="none"/>
              </w:rPr>
              <w:t xml:space="preserve">大写：                </w:t>
            </w:r>
            <w:r/>
          </w:p>
        </w:tc>
      </w:tr>
      <w:tr>
        <w:trPr>
          <w:tblCellSpacing w:w="0" w:type="dxa"/>
          <w:trHeight w:val="1070"/>
        </w:trPr>
        <w:tc>
          <w:tcPr>
            <w:tcW w:w="9060" w:type="dxa"/>
            <w:vAlign w:val="center"/>
            <w:textDirection w:val="lrTb"/>
            <w:noWrap/>
          </w:tcPr>
          <w:p>
            <w:pPr>
              <w:pStyle w:val="1049"/>
              <w:spacing w:beforeAutospacing="0" w:afterAutospacing="0" w:line="400" w:lineRule="exact"/>
              <w:widowControl w:val="off"/>
              <w:rPr>
                <w:color w:val="auto"/>
                <w:highlight w:val="none"/>
              </w:rPr>
            </w:pPr>
            <w:r>
              <w:rPr>
                <w:rFonts w:hint="eastAsia"/>
                <w:color w:val="auto"/>
                <w:szCs w:val="21"/>
                <w:highlight w:val="none"/>
              </w:rPr>
              <w:t xml:space="preserve">小写：   </w:t>
            </w:r>
            <w:r>
              <w:rPr>
                <w:rFonts w:hint="eastAsia"/>
                <w:color w:val="auto"/>
                <w:highlight w:val="none"/>
              </w:rPr>
              <w:t xml:space="preserve"> （人民币：元）</w:t>
            </w:r>
            <w:r/>
          </w:p>
        </w:tc>
      </w:tr>
    </w:tbl>
    <w:p>
      <w:pPr>
        <w:pStyle w:val="1049"/>
        <w:ind w:firstLine="600"/>
        <w:jc w:val="both"/>
        <w:spacing w:beforeAutospacing="0" w:afterAutospacing="0" w:line="500" w:lineRule="exact"/>
        <w:rPr>
          <w:color w:val="auto"/>
          <w:highlight w:val="none"/>
        </w:rPr>
      </w:pPr>
      <w:r>
        <w:rPr>
          <w:color w:val="auto"/>
          <w:highlight w:val="none"/>
        </w:rPr>
        <w:t xml:space="preserve"> </w:t>
      </w:r>
      <w:r/>
    </w:p>
    <w:p>
      <w:pPr>
        <w:pStyle w:val="1049"/>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49"/>
        <w:ind w:firstLine="600"/>
        <w:jc w:val="both"/>
        <w:spacing w:beforeAutospacing="0" w:afterAutospacing="0" w:line="500" w:lineRule="exact"/>
        <w:rPr>
          <w:color w:val="auto"/>
          <w:highlight w:val="none"/>
        </w:rPr>
      </w:pPr>
      <w:r>
        <w:rPr>
          <w:rFonts w:hint="eastAsia"/>
          <w:color w:val="auto"/>
          <w:highlight w:val="none"/>
        </w:rPr>
        <w:t xml:space="preserve"> </w:t>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rPr>
      </w:r>
      <w:r/>
    </w:p>
    <w:p>
      <w:pPr>
        <w:pStyle w:val="1049"/>
        <w:jc w:val="center"/>
        <w:spacing w:beforeAutospacing="0" w:afterAutospacing="0" w:line="0" w:lineRule="atLeast"/>
        <w:rPr>
          <w:b/>
          <w:bCs/>
          <w:color w:val="auto"/>
          <w:sz w:val="32"/>
          <w:szCs w:val="32"/>
          <w:highlight w:val="none"/>
        </w:rPr>
      </w:pP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五</w:t>
      </w:r>
      <w:r>
        <w:rPr>
          <w:rFonts w:hint="eastAsia"/>
          <w:b/>
          <w:bCs/>
          <w:color w:val="auto"/>
          <w:sz w:val="32"/>
          <w:szCs w:val="32"/>
          <w:highlight w:val="none"/>
        </w:rPr>
        <w:t xml:space="preserve">、服务方案等</w:t>
      </w:r>
      <w:r/>
    </w:p>
    <w:p>
      <w:pPr>
        <w:pStyle w:val="1020"/>
        <w:jc w:val="both"/>
        <w:spacing w:beforeAutospacing="0" w:afterAutospacing="0"/>
        <w:tabs>
          <w:tab w:val="left" w:pos="2160" w:leader="none"/>
        </w:tabs>
        <w:rPr>
          <w:rStyle w:val="1050"/>
          <w:rFonts w:ascii="宋体" w:hAnsi="宋体"/>
          <w:b/>
          <w:iCs/>
          <w:color w:val="auto"/>
          <w:highlight w:val="none"/>
        </w:rPr>
      </w:pPr>
      <w:r>
        <w:rPr>
          <w:rFonts w:ascii="宋体" w:hAnsi="宋体"/>
          <w:b/>
          <w:iCs/>
          <w:color w:val="auto"/>
          <w:highlight w:val="none"/>
        </w:rPr>
      </w:r>
      <w:r/>
    </w:p>
    <w:p>
      <w:pPr>
        <w:pStyle w:val="1049"/>
        <w:ind w:firstLine="482"/>
        <w:jc w:val="center"/>
        <w:spacing w:beforeAutospacing="0" w:afterAutospacing="0" w:line="360" w:lineRule="auto"/>
        <w:rPr>
          <w:rFonts w:ascii="黑体" w:hAnsi="黑体" w:eastAsia="黑体" w:cs="黑体"/>
          <w:bCs/>
          <w:iCs/>
          <w:color w:val="auto"/>
          <w:sz w:val="32"/>
          <w:szCs w:val="32"/>
          <w:highlight w:val="none"/>
        </w:rPr>
      </w:pPr>
      <w:r/>
      <w:bookmarkStart w:id="159" w:name="_Hlt26955054"/>
      <w:r/>
      <w:bookmarkEnd w:id="159"/>
      <w:r>
        <w:rPr>
          <w:rFonts w:hint="eastAsia"/>
          <w:b/>
          <w:bCs/>
          <w:i/>
          <w:iCs/>
          <w:color w:val="auto"/>
          <w:szCs w:val="20"/>
          <w:highlight w:val="non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上传的“明标”材料中不得出现与服务方案相关的内容，否则作无效标书处理。</w:t>
      </w:r>
      <w:r>
        <w:rPr>
          <w:rFonts w:hint="eastAsia"/>
          <w:color w:val="auto"/>
          <w:sz w:val="32"/>
          <w:szCs w:val="32"/>
          <w:highlight w:val="none"/>
        </w:rPr>
        <w:br w:type="page" w:clear="all"/>
      </w:r>
      <w:r>
        <w:rPr>
          <w:rFonts w:hint="eastAsia"/>
          <w:b/>
          <w:bCs/>
          <w:color w:val="auto"/>
          <w:sz w:val="32"/>
          <w:szCs w:val="32"/>
          <w:highlight w:val="none"/>
        </w:rPr>
        <w:t xml:space="preserve">十</w:t>
      </w:r>
      <w:r>
        <w:rPr>
          <w:rFonts w:hint="eastAsia"/>
          <w:b/>
          <w:bCs/>
          <w:color w:val="auto"/>
          <w:sz w:val="32"/>
          <w:szCs w:val="32"/>
          <w:highlight w:val="none"/>
          <w:lang w:val="en-US" w:eastAsia="zh-CN"/>
        </w:rPr>
        <w:t xml:space="preserve">六、</w:t>
      </w:r>
      <w:r>
        <w:rPr>
          <w:rFonts w:hint="eastAsia"/>
          <w:b/>
          <w:bCs/>
          <w:color w:val="auto"/>
          <w:sz w:val="32"/>
          <w:szCs w:val="32"/>
          <w:highlight w:val="none"/>
        </w:rPr>
        <w:t xml:space="preserve">盐城市政府采购事前信用承诺书</w:t>
      </w:r>
      <w:bookmarkEnd w:id="145"/>
      <w:r/>
      <w:bookmarkEnd w:id="146"/>
      <w:r/>
      <w:bookmarkEnd w:id="147"/>
      <w:r/>
      <w:bookmarkEnd w:id="151"/>
      <w:r/>
      <w:bookmarkEnd w:id="152"/>
      <w:r/>
      <w:bookmarkEnd w:id="153"/>
      <w:r/>
      <w:bookmarkEnd w:id="154"/>
      <w:r/>
      <w:bookmarkEnd w:id="155"/>
      <w:r/>
      <w:bookmarkEnd w:id="156"/>
      <w:r/>
      <w:bookmarkEnd w:id="157"/>
      <w:r/>
      <w:bookmarkEnd w:id="158"/>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年月日</w:t>
      </w:r>
      <w:r/>
    </w:p>
    <w:p>
      <w:pPr>
        <w:pStyle w:val="811"/>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11"/>
        <w:jc w:val="center"/>
        <w:spacing w:beforeAutospacing="0" w:afterAutospacing="0"/>
        <w:rPr>
          <w:rFonts w:ascii="宋体" w:hAnsi="宋体" w:cs="宋体"/>
          <w:b/>
          <w:color w:val="auto"/>
          <w:sz w:val="32"/>
          <w:szCs w:val="32"/>
          <w:highlight w:val="none"/>
        </w:rPr>
      </w:pPr>
      <w:r>
        <w:rPr>
          <w:rFonts w:ascii="宋体" w:hAnsi="宋体" w:cs="宋体"/>
          <w:b/>
          <w:color w:val="auto"/>
          <w:sz w:val="32"/>
          <w:szCs w:val="32"/>
          <w:highlight w:val="none"/>
        </w:rPr>
      </w:r>
      <w:r/>
    </w:p>
    <w:p>
      <w:pPr>
        <w:pStyle w:val="811"/>
        <w:jc w:val="center"/>
        <w:spacing w:beforeAutospacing="0" w:afterAutospacing="0"/>
        <w:rPr>
          <w:rFonts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811"/>
        <w:jc w:val="both"/>
        <w:spacing w:before="290"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一、质疑供应商基本信息</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二、质疑项目基本情况</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三、质疑事项具体内容</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811"/>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质疑事项2</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color w:val="auto"/>
          <w:highlight w:val="none"/>
        </w:rPr>
        <w:t xml:space="preserve">签字(签章)：                 公章：               日期：    </w:t>
      </w:r>
      <w:r/>
    </w:p>
    <w:p>
      <w:pPr>
        <w:pStyle w:val="811"/>
        <w:jc w:val="both"/>
        <w:spacing w:beforeAutospacing="0" w:afterAutospacing="0" w:line="360" w:lineRule="auto"/>
        <w:rPr>
          <w:rFonts w:ascii="宋体" w:hAnsi="宋体" w:cs="宋体"/>
          <w:color w:val="auto"/>
          <w:highlight w:val="none"/>
        </w:rPr>
      </w:pPr>
      <w:r>
        <w:rPr>
          <w:rFonts w:hint="eastAsia" w:ascii="宋体" w:hAnsi="宋体" w:cs="宋体"/>
          <w:b/>
          <w:color w:val="auto"/>
          <w:highlight w:val="none"/>
        </w:rPr>
        <w:t xml:space="preserve">质疑函制作说明：</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811"/>
        <w:ind w:firstLine="480"/>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20"/>
        <w:ind w:firstLine="420"/>
        <w:jc w:val="both"/>
        <w:spacing w:beforeAutospacing="0" w:afterAutospacing="0" w:line="500" w:lineRule="exact"/>
        <w:rPr>
          <w:color w:val="auto"/>
          <w:highlight w:val="none"/>
        </w:rPr>
      </w:pPr>
      <w:r>
        <w:rPr>
          <w:color w:val="auto"/>
          <w:highlight w:val="none"/>
        </w:rPr>
      </w:r>
      <w:r/>
    </w:p>
    <w:sectPr>
      <w:headerReference w:type="default" r:id="rId12"/>
      <w:footerReference w:type="default" r:id="rId16"/>
      <w:footerReference w:type="first" r:id="rId17"/>
      <w:footnotePr/>
      <w:endnotePr/>
      <w:type w:val="nextPage"/>
      <w:pgSz w:w="11906" w:h="16838" w:orient="portrait"/>
      <w:pgMar w:top="1440" w:right="1406" w:bottom="1440" w:left="140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libri">
    <w:panose1 w:val="020F0502020204030204"/>
  </w:font>
  <w:font w:name="黑体">
    <w:panose1 w:val="02010609060101010101"/>
  </w:font>
  <w:font w:name="幼圆">
    <w:panose1 w:val="020105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5844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58445" cy="131445"/>
                      </a:xfrm>
                      <a:prstGeom prst="rect">
                        <a:avLst/>
                      </a:prstGeom>
                      <a:noFill/>
                      <a:ln>
                        <a:noFill/>
                        <a:miter/>
                      </a:ln>
                      <a:effectLst/>
                    </wps:spPr>
                    <wps:txbx>
                      <w:txbxContent>
                        <w:p>
                          <w:pPr>
                            <w:pStyle w:val="800"/>
                          </w:pPr>
                          <w:r>
                            <w:fldChar w:fldCharType="begin"/>
                          </w:r>
                          <w:r>
                            <w:instrText xml:space="preserve"> PAGE  \* MERGEFORMAT </w:instrText>
                          </w:r>
                          <w:r>
                            <w:fldChar w:fldCharType="separate"/>
                          </w:r>
                          <w:r>
                            <w:t xml:space="preserve">71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3pt;height:10.3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00"/>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left" w:pos="3565"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spacing w:line="400" w:lineRule="exact"/>
      <w:rPr>
        <w:color w:val="000000"/>
      </w:rPr>
      <w:pBdr>
        <w:bottom w:val="none" w:color="000000" w:sz="0" w:space="1"/>
      </w:pBdr>
    </w:pPr>
    <w:r>
      <w:rPr>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spacing w:line="400" w:lineRule="exact"/>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TOC Heading"/>
    <w:uiPriority w:val="39"/>
    <w:unhideWhenUsed/>
  </w:style>
  <w:style w:type="paragraph" w:styleId="78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8">
    <w:name w:val="Heading 1"/>
    <w:basedOn w:val="787"/>
    <w:next w:val="787"/>
    <w:link w:val="1055"/>
    <w:uiPriority w:val="9"/>
    <w:qFormat/>
    <w:pPr>
      <w:keepLines/>
      <w:keepNext/>
      <w:spacing w:before="340" w:after="330" w:line="578" w:lineRule="auto"/>
      <w:outlineLvl w:val="0"/>
    </w:pPr>
    <w:rPr>
      <w:b/>
      <w:bCs/>
      <w:sz w:val="44"/>
      <w:szCs w:val="44"/>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87"/>
    <w:next w:val="787"/>
    <w:uiPriority w:val="39"/>
    <w:unhideWhenUsed/>
    <w:qFormat/>
    <w:pPr>
      <w:ind w:left="1701"/>
      <w:spacing w:after="57"/>
    </w:pPr>
  </w:style>
  <w:style w:type="paragraph" w:styleId="792">
    <w:name w:val="annotation text"/>
    <w:basedOn w:val="787"/>
    <w:link w:val="1063"/>
    <w:uiPriority w:val="99"/>
    <w:semiHidden/>
    <w:unhideWhenUsed/>
    <w:qFormat/>
    <w:pPr>
      <w:jc w:val="left"/>
    </w:pPr>
  </w:style>
  <w:style w:type="paragraph" w:styleId="793">
    <w:name w:val="Body Text"/>
    <w:basedOn w:val="787"/>
    <w:uiPriority w:val="0"/>
    <w:qFormat/>
    <w:rPr>
      <w:rFonts w:ascii="楷体_GB2312" w:hAnsi="Arial" w:eastAsia="楷体_GB2312"/>
      <w:sz w:val="28"/>
      <w:szCs w:val="28"/>
    </w:rPr>
  </w:style>
  <w:style w:type="paragraph" w:styleId="794">
    <w:name w:val="toc 5"/>
    <w:basedOn w:val="787"/>
    <w:next w:val="787"/>
    <w:uiPriority w:val="39"/>
    <w:unhideWhenUsed/>
    <w:qFormat/>
    <w:pPr>
      <w:ind w:left="1134"/>
      <w:spacing w:after="57"/>
    </w:pPr>
  </w:style>
  <w:style w:type="paragraph" w:styleId="795">
    <w:name w:val="toc 3"/>
    <w:basedOn w:val="787"/>
    <w:next w:val="787"/>
    <w:uiPriority w:val="39"/>
    <w:unhideWhenUsed/>
    <w:qFormat/>
    <w:pPr>
      <w:ind w:left="567"/>
      <w:spacing w:after="57"/>
    </w:pPr>
  </w:style>
  <w:style w:type="paragraph" w:styleId="796">
    <w:name w:val="Plain Text"/>
    <w:basedOn w:val="787"/>
    <w:uiPriority w:val="0"/>
    <w:qFormat/>
    <w:rPr>
      <w:rFonts w:ascii="宋体" w:hAnsi="Courier New" w:eastAsia="楷体_GB2312"/>
      <w:sz w:val="28"/>
      <w:szCs w:val="20"/>
    </w:rPr>
  </w:style>
  <w:style w:type="paragraph" w:styleId="797">
    <w:name w:val="toc 8"/>
    <w:basedOn w:val="787"/>
    <w:next w:val="787"/>
    <w:uiPriority w:val="39"/>
    <w:unhideWhenUsed/>
    <w:qFormat/>
    <w:pPr>
      <w:ind w:left="1984"/>
      <w:spacing w:after="57"/>
    </w:pPr>
  </w:style>
  <w:style w:type="paragraph" w:styleId="798">
    <w:name w:val="endnote text"/>
    <w:basedOn w:val="787"/>
    <w:link w:val="992"/>
    <w:uiPriority w:val="99"/>
    <w:semiHidden/>
    <w:unhideWhenUsed/>
    <w:qFormat/>
    <w:rPr>
      <w:sz w:val="20"/>
    </w:rPr>
  </w:style>
  <w:style w:type="paragraph" w:styleId="799">
    <w:name w:val="Balloon Text"/>
    <w:basedOn w:val="787"/>
    <w:link w:val="1057"/>
    <w:uiPriority w:val="99"/>
    <w:semiHidden/>
    <w:unhideWhenUsed/>
    <w:qFormat/>
    <w:rPr>
      <w:sz w:val="18"/>
      <w:szCs w:val="18"/>
    </w:rPr>
  </w:style>
  <w:style w:type="paragraph" w:styleId="800">
    <w:name w:val="Footer"/>
    <w:basedOn w:val="787"/>
    <w:link w:val="1051"/>
    <w:uiPriority w:val="99"/>
    <w:semiHidden/>
    <w:unhideWhenUsed/>
    <w:qFormat/>
    <w:pPr>
      <w:jc w:val="left"/>
      <w:tabs>
        <w:tab w:val="center" w:pos="4153" w:leader="none"/>
        <w:tab w:val="right" w:pos="8306" w:leader="none"/>
      </w:tabs>
    </w:pPr>
    <w:rPr>
      <w:sz w:val="18"/>
      <w:szCs w:val="18"/>
    </w:rPr>
  </w:style>
  <w:style w:type="paragraph" w:styleId="801">
    <w:name w:val="Header"/>
    <w:basedOn w:val="787"/>
    <w:link w:val="105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87"/>
    <w:next w:val="787"/>
    <w:uiPriority w:val="39"/>
    <w:unhideWhenUsed/>
    <w:qFormat/>
    <w:pPr>
      <w:spacing w:after="57"/>
    </w:pPr>
  </w:style>
  <w:style w:type="paragraph" w:styleId="803">
    <w:name w:val="toc 4"/>
    <w:basedOn w:val="787"/>
    <w:next w:val="787"/>
    <w:uiPriority w:val="39"/>
    <w:unhideWhenUsed/>
    <w:qFormat/>
    <w:pPr>
      <w:ind w:left="850"/>
      <w:spacing w:after="57"/>
    </w:pPr>
  </w:style>
  <w:style w:type="paragraph" w:styleId="804">
    <w:name w:val="Subtitle"/>
    <w:basedOn w:val="787"/>
    <w:next w:val="787"/>
    <w:link w:val="858"/>
    <w:uiPriority w:val="11"/>
    <w:qFormat/>
    <w:pPr>
      <w:spacing w:before="200" w:after="200"/>
    </w:pPr>
    <w:rPr>
      <w:sz w:val="24"/>
    </w:rPr>
  </w:style>
  <w:style w:type="paragraph" w:styleId="805">
    <w:name w:val="footnote text"/>
    <w:basedOn w:val="787"/>
    <w:link w:val="991"/>
    <w:uiPriority w:val="99"/>
    <w:semiHidden/>
    <w:unhideWhenUsed/>
    <w:qFormat/>
    <w:pPr>
      <w:spacing w:after="40"/>
    </w:pPr>
    <w:rPr>
      <w:sz w:val="18"/>
    </w:rPr>
  </w:style>
  <w:style w:type="paragraph" w:styleId="806">
    <w:name w:val="toc 6"/>
    <w:basedOn w:val="787"/>
    <w:next w:val="787"/>
    <w:uiPriority w:val="39"/>
    <w:unhideWhenUsed/>
    <w:qFormat/>
    <w:pPr>
      <w:ind w:left="1417"/>
      <w:spacing w:after="57"/>
    </w:pPr>
  </w:style>
  <w:style w:type="paragraph" w:styleId="807">
    <w:name w:val="Body Text Indent 3"/>
    <w:basedOn w:val="787"/>
    <w:uiPriority w:val="0"/>
    <w:qFormat/>
    <w:pPr>
      <w:ind w:left="645" w:firstLine="645"/>
    </w:pPr>
    <w:rPr>
      <w:rFonts w:ascii="Arial" w:hAnsi="Arial" w:eastAsia="仿宋_GB2312" w:cs="Arial"/>
      <w:color w:val="ffff00"/>
      <w:sz w:val="32"/>
      <w:szCs w:val="32"/>
    </w:rPr>
  </w:style>
  <w:style w:type="paragraph" w:styleId="808">
    <w:name w:val="table of figures"/>
    <w:basedOn w:val="787"/>
    <w:next w:val="787"/>
    <w:uiPriority w:val="99"/>
    <w:unhideWhenUsed/>
    <w:qFormat/>
  </w:style>
  <w:style w:type="paragraph" w:styleId="809">
    <w:name w:val="toc 2"/>
    <w:basedOn w:val="787"/>
    <w:next w:val="787"/>
    <w:uiPriority w:val="39"/>
    <w:unhideWhenUsed/>
    <w:qFormat/>
    <w:pPr>
      <w:ind w:left="283"/>
      <w:spacing w:after="57"/>
    </w:pPr>
  </w:style>
  <w:style w:type="paragraph" w:styleId="810">
    <w:name w:val="toc 9"/>
    <w:basedOn w:val="787"/>
    <w:next w:val="787"/>
    <w:uiPriority w:val="39"/>
    <w:unhideWhenUsed/>
    <w:qFormat/>
    <w:pPr>
      <w:ind w:left="2268"/>
      <w:spacing w:after="57"/>
    </w:pPr>
  </w:style>
  <w:style w:type="paragraph" w:styleId="811">
    <w:name w:val="Normal (Web)"/>
    <w:basedOn w:val="787"/>
    <w:uiPriority w:val="0"/>
    <w:qFormat/>
    <w:pPr>
      <w:jc w:val="left"/>
      <w:spacing w:beforeAutospacing="1" w:afterAutospacing="1"/>
    </w:pPr>
    <w:rPr>
      <w:sz w:val="24"/>
    </w:rPr>
  </w:style>
  <w:style w:type="paragraph" w:styleId="812">
    <w:name w:val="Title"/>
    <w:basedOn w:val="787"/>
    <w:next w:val="787"/>
    <w:link w:val="857"/>
    <w:uiPriority w:val="10"/>
    <w:qFormat/>
    <w:pPr>
      <w:contextualSpacing/>
      <w:spacing w:before="300" w:after="200"/>
    </w:pPr>
    <w:rPr>
      <w:sz w:val="48"/>
      <w:szCs w:val="48"/>
    </w:rPr>
  </w:style>
  <w:style w:type="paragraph" w:styleId="813">
    <w:name w:val="annotation subject"/>
    <w:basedOn w:val="792"/>
    <w:next w:val="792"/>
    <w:link w:val="1064"/>
    <w:uiPriority w:val="99"/>
    <w:semiHidden/>
    <w:unhideWhenUsed/>
    <w:qFormat/>
    <w:rPr>
      <w:b/>
      <w:bCs/>
    </w:rPr>
  </w:style>
  <w:style w:type="paragraph" w:styleId="814">
    <w:name w:val="Body Text First Indent"/>
    <w:basedOn w:val="787"/>
    <w:next w:val="787"/>
    <w:uiPriority w:val="99"/>
    <w:unhideWhenUsed/>
    <w:qFormat/>
    <w:pPr>
      <w:ind w:firstLine="420"/>
    </w:pPr>
  </w:style>
  <w:style w:type="table" w:styleId="8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annotation reference"/>
    <w:basedOn w:val="789"/>
    <w:uiPriority w:val="99"/>
    <w:semiHidden/>
    <w:unhideWhenUsed/>
    <w:qFormat/>
    <w:rPr>
      <w:sz w:val="21"/>
      <w:szCs w:val="21"/>
    </w:rPr>
  </w:style>
  <w:style w:type="character" w:styleId="819">
    <w:name w:val="footnote reference"/>
    <w:uiPriority w:val="99"/>
    <w:unhideWhenUsed/>
    <w:qFormat/>
    <w:rPr>
      <w:vertAlign w:val="superscript"/>
    </w:rPr>
  </w:style>
  <w:style w:type="paragraph" w:styleId="820" w:customStyle="1">
    <w:name w:val="TOC 标题1"/>
    <w:uiPriority w:val="39"/>
    <w:unhideWhenUsed/>
    <w:qFormat/>
    <w:rPr>
      <w:rFonts w:ascii="Times New Roman" w:hAnsi="Times New Roman" w:eastAsia="宋体" w:cs="Times New Roman"/>
      <w:lang w:val="en-US" w:eastAsia="zh-CN" w:bidi="ar-SA"/>
    </w:rPr>
  </w:style>
  <w:style w:type="paragraph" w:styleId="821" w:customStyle="1">
    <w:name w:val="正文首行缩进 212"/>
    <w:basedOn w:val="822"/>
    <w:next w:val="824"/>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paragraph" w:styleId="822" w:customStyle="1">
    <w:name w:val="正文文本缩进12"/>
    <w:basedOn w:val="787"/>
    <w:next w:val="823"/>
    <w:uiPriority w:val="0"/>
    <w:qFormat/>
    <w:pPr>
      <w:ind w:firstLine="645"/>
    </w:pPr>
    <w:rPr>
      <w:rFonts w:ascii="楷体_GB2312" w:eastAsia="楷体_GB2312"/>
      <w:sz w:val="32"/>
      <w:szCs w:val="32"/>
    </w:rPr>
  </w:style>
  <w:style w:type="paragraph" w:styleId="823" w:customStyle="1">
    <w:name w:val="寄信人地址11"/>
    <w:basedOn w:val="787"/>
    <w:uiPriority w:val="0"/>
    <w:qFormat/>
    <w:pPr>
      <w:ind w:firstLine="420"/>
      <w:jc w:val="left"/>
      <w:spacing w:line="360" w:lineRule="auto"/>
    </w:pPr>
    <w:rPr>
      <w:rFonts w:ascii="Arial" w:hAnsi="Arial" w:cs="宋体"/>
      <w:color w:val="000000"/>
      <w:sz w:val="22"/>
      <w:szCs w:val="21"/>
    </w:rPr>
  </w:style>
  <w:style w:type="paragraph" w:styleId="824" w:customStyle="1">
    <w:name w:val="正文缩进12"/>
    <w:basedOn w:val="787"/>
    <w:uiPriority w:val="0"/>
    <w:qFormat/>
    <w:pPr>
      <w:ind w:firstLine="420"/>
      <w:jc w:val="left"/>
      <w:spacing w:line="360" w:lineRule="auto"/>
    </w:pPr>
    <w:rPr>
      <w:rFonts w:ascii="宋体" w:hAnsi="宋体" w:cs="宋体"/>
      <w:color w:val="000000"/>
      <w:sz w:val="24"/>
      <w:szCs w:val="21"/>
    </w:rPr>
  </w:style>
  <w:style w:type="paragraph" w:styleId="825" w:customStyle="1">
    <w:name w:val="TOC 标题112"/>
    <w:uiPriority w:val="39"/>
    <w:unhideWhenUsed/>
    <w:qFormat/>
    <w:rPr>
      <w:rFonts w:ascii="Times New Roman" w:hAnsi="Times New Roman" w:eastAsia="宋体" w:cs="Times New Roman"/>
      <w:lang w:val="en-US" w:eastAsia="zh-CN" w:bidi="ar-SA"/>
    </w:rPr>
  </w:style>
  <w:style w:type="character" w:styleId="826" w:customStyle="1">
    <w:name w:val="Title Char"/>
    <w:basedOn w:val="789"/>
    <w:uiPriority w:val="10"/>
    <w:qFormat/>
    <w:rPr>
      <w:sz w:val="48"/>
      <w:szCs w:val="48"/>
    </w:rPr>
  </w:style>
  <w:style w:type="character" w:styleId="827" w:customStyle="1">
    <w:name w:val="Subtitle Char"/>
    <w:basedOn w:val="789"/>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11"/>
    <w:uiPriority w:val="39"/>
    <w:unhideWhenUsed/>
    <w:qFormat/>
    <w:rPr>
      <w:rFonts w:ascii="Times New Roman" w:hAnsi="Times New Roman" w:eastAsia="宋体" w:cs="Times New Roman"/>
      <w:lang w:val="en-US" w:eastAsia="zh-CN" w:bidi="ar-SA"/>
    </w:rPr>
  </w:style>
  <w:style w:type="paragraph" w:styleId="833" w:customStyle="1">
    <w:name w:val="Heading 1"/>
    <w:basedOn w:val="787"/>
    <w:next w:val="787"/>
    <w:link w:val="846"/>
    <w:uiPriority w:val="9"/>
    <w:qFormat/>
    <w:pPr>
      <w:keepLines/>
      <w:keepNext/>
      <w:spacing w:before="480" w:after="200"/>
      <w:outlineLvl w:val="0"/>
    </w:pPr>
    <w:rPr>
      <w:rFonts w:ascii="Arial" w:hAnsi="Arial" w:eastAsia="Arial" w:cs="Arial"/>
      <w:sz w:val="40"/>
      <w:szCs w:val="40"/>
    </w:rPr>
  </w:style>
  <w:style w:type="paragraph" w:styleId="834" w:customStyle="1">
    <w:name w:val="Heading 2"/>
    <w:basedOn w:val="787"/>
    <w:next w:val="787"/>
    <w:link w:val="847"/>
    <w:uiPriority w:val="9"/>
    <w:unhideWhenUsed/>
    <w:qFormat/>
    <w:pPr>
      <w:keepLines/>
      <w:keepNext/>
      <w:spacing w:before="360" w:after="200"/>
      <w:outlineLvl w:val="1"/>
    </w:pPr>
    <w:rPr>
      <w:rFonts w:ascii="Arial" w:hAnsi="Arial" w:eastAsia="Arial" w:cs="Arial"/>
      <w:sz w:val="34"/>
    </w:rPr>
  </w:style>
  <w:style w:type="paragraph" w:styleId="835" w:customStyle="1">
    <w:name w:val="Heading 3"/>
    <w:basedOn w:val="787"/>
    <w:next w:val="787"/>
    <w:link w:val="848"/>
    <w:uiPriority w:val="9"/>
    <w:unhideWhenUsed/>
    <w:qFormat/>
    <w:pPr>
      <w:keepLines/>
      <w:keepNext/>
      <w:spacing w:before="320" w:after="200"/>
      <w:outlineLvl w:val="2"/>
    </w:pPr>
    <w:rPr>
      <w:rFonts w:ascii="Arial" w:hAnsi="Arial" w:eastAsia="Arial" w:cs="Arial"/>
      <w:sz w:val="30"/>
      <w:szCs w:val="30"/>
    </w:rPr>
  </w:style>
  <w:style w:type="paragraph" w:styleId="836" w:customStyle="1">
    <w:name w:val="Heading 4"/>
    <w:basedOn w:val="787"/>
    <w:next w:val="787"/>
    <w:link w:val="849"/>
    <w:uiPriority w:val="9"/>
    <w:unhideWhenUsed/>
    <w:qFormat/>
    <w:pPr>
      <w:keepLines/>
      <w:keepNext/>
      <w:spacing w:before="320" w:after="200"/>
      <w:outlineLvl w:val="3"/>
    </w:pPr>
    <w:rPr>
      <w:rFonts w:ascii="Arial" w:hAnsi="Arial" w:eastAsia="Arial" w:cs="Arial"/>
      <w:b/>
      <w:bCs/>
      <w:sz w:val="26"/>
      <w:szCs w:val="26"/>
    </w:rPr>
  </w:style>
  <w:style w:type="paragraph" w:styleId="837" w:customStyle="1">
    <w:name w:val="Heading 5"/>
    <w:basedOn w:val="787"/>
    <w:next w:val="787"/>
    <w:link w:val="850"/>
    <w:uiPriority w:val="9"/>
    <w:unhideWhenUsed/>
    <w:qFormat/>
    <w:pPr>
      <w:keepLines/>
      <w:keepNext/>
      <w:spacing w:before="320" w:after="200"/>
      <w:outlineLvl w:val="4"/>
    </w:pPr>
    <w:rPr>
      <w:rFonts w:ascii="Arial" w:hAnsi="Arial" w:eastAsia="Arial" w:cs="Arial"/>
      <w:b/>
      <w:bCs/>
      <w:sz w:val="24"/>
    </w:rPr>
  </w:style>
  <w:style w:type="paragraph" w:styleId="838" w:customStyle="1">
    <w:name w:val="Heading 6"/>
    <w:basedOn w:val="787"/>
    <w:next w:val="787"/>
    <w:link w:val="851"/>
    <w:uiPriority w:val="9"/>
    <w:unhideWhenUsed/>
    <w:qFormat/>
    <w:pPr>
      <w:keepLines/>
      <w:keepNext/>
      <w:spacing w:before="320" w:after="200"/>
      <w:outlineLvl w:val="5"/>
    </w:pPr>
    <w:rPr>
      <w:rFonts w:ascii="Arial" w:hAnsi="Arial" w:eastAsia="Arial" w:cs="Arial"/>
      <w:b/>
      <w:bCs/>
      <w:sz w:val="22"/>
      <w:szCs w:val="22"/>
    </w:rPr>
  </w:style>
  <w:style w:type="paragraph" w:styleId="839" w:customStyle="1">
    <w:name w:val="Heading 7"/>
    <w:basedOn w:val="787"/>
    <w:next w:val="787"/>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40" w:customStyle="1">
    <w:name w:val="Heading 8"/>
    <w:basedOn w:val="787"/>
    <w:next w:val="787"/>
    <w:link w:val="853"/>
    <w:uiPriority w:val="9"/>
    <w:unhideWhenUsed/>
    <w:qFormat/>
    <w:pPr>
      <w:keepLines/>
      <w:keepNext/>
      <w:spacing w:before="320" w:after="200"/>
      <w:outlineLvl w:val="7"/>
    </w:pPr>
    <w:rPr>
      <w:rFonts w:ascii="Arial" w:hAnsi="Arial" w:eastAsia="Arial" w:cs="Arial"/>
      <w:i/>
      <w:iCs/>
      <w:sz w:val="22"/>
      <w:szCs w:val="22"/>
    </w:rPr>
  </w:style>
  <w:style w:type="paragraph" w:styleId="841" w:customStyle="1">
    <w:name w:val="Heading 9"/>
    <w:basedOn w:val="787"/>
    <w:next w:val="787"/>
    <w:link w:val="854"/>
    <w:uiPriority w:val="9"/>
    <w:unhideWhenUsed/>
    <w:qFormat/>
    <w:pPr>
      <w:keepLines/>
      <w:keepNext/>
      <w:spacing w:before="320" w:after="200"/>
      <w:outlineLvl w:val="8"/>
    </w:pPr>
    <w:rPr>
      <w:rFonts w:ascii="Arial" w:hAnsi="Arial" w:eastAsia="Arial" w:cs="Arial"/>
      <w:i/>
      <w:iCs/>
      <w:szCs w:val="21"/>
    </w:rPr>
  </w:style>
  <w:style w:type="paragraph" w:styleId="842" w:customStyle="1">
    <w:name w:val="文本块1"/>
    <w:basedOn w:val="787"/>
    <w:uiPriority w:val="99"/>
    <w:qFormat/>
    <w:pPr>
      <w:ind w:left="1440" w:right="1440"/>
      <w:spacing w:after="120"/>
      <w:tabs>
        <w:tab w:val="left" w:pos="9000" w:leader="none"/>
      </w:tabs>
    </w:pPr>
  </w:style>
  <w:style w:type="paragraph" w:styleId="843" w:customStyle="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4" w:customStyle="1">
    <w:name w:val="Footer"/>
    <w:basedOn w:val="787"/>
    <w:link w:val="865"/>
    <w:uiPriority w:val="99"/>
    <w:unhideWhenUsed/>
    <w:qFormat/>
    <w:pPr>
      <w:tabs>
        <w:tab w:val="center" w:pos="7143" w:leader="none"/>
        <w:tab w:val="right" w:pos="14287" w:leader="none"/>
      </w:tabs>
    </w:pPr>
  </w:style>
  <w:style w:type="paragraph" w:styleId="845" w:customStyle="1">
    <w:name w:val="Header"/>
    <w:basedOn w:val="787"/>
    <w:link w:val="863"/>
    <w:uiPriority w:val="99"/>
    <w:unhideWhenUsed/>
    <w:qFormat/>
    <w:pPr>
      <w:tabs>
        <w:tab w:val="center" w:pos="7143" w:leader="none"/>
        <w:tab w:val="right" w:pos="14287" w:leader="none"/>
      </w:tabs>
    </w:pPr>
  </w:style>
  <w:style w:type="character" w:styleId="846" w:customStyle="1">
    <w:name w:val="Heading 1 Char"/>
    <w:link w:val="833"/>
    <w:uiPriority w:val="9"/>
    <w:qFormat/>
    <w:rPr>
      <w:rFonts w:ascii="Arial" w:hAnsi="Arial" w:eastAsia="Arial" w:cs="Arial"/>
      <w:sz w:val="40"/>
      <w:szCs w:val="40"/>
    </w:rPr>
  </w:style>
  <w:style w:type="character" w:styleId="847" w:customStyle="1">
    <w:name w:val="Heading 2 Char"/>
    <w:link w:val="834"/>
    <w:uiPriority w:val="9"/>
    <w:qFormat/>
    <w:rPr>
      <w:rFonts w:ascii="Arial" w:hAnsi="Arial" w:eastAsia="Arial" w:cs="Arial"/>
      <w:sz w:val="34"/>
    </w:rPr>
  </w:style>
  <w:style w:type="character" w:styleId="848" w:customStyle="1">
    <w:name w:val="Heading 3 Char"/>
    <w:link w:val="835"/>
    <w:uiPriority w:val="9"/>
    <w:qFormat/>
    <w:rPr>
      <w:rFonts w:ascii="Arial" w:hAnsi="Arial" w:eastAsia="Arial" w:cs="Arial"/>
      <w:sz w:val="30"/>
      <w:szCs w:val="30"/>
    </w:rPr>
  </w:style>
  <w:style w:type="character" w:styleId="849" w:customStyle="1">
    <w:name w:val="Heading 4 Char"/>
    <w:link w:val="836"/>
    <w:uiPriority w:val="9"/>
    <w:qFormat/>
    <w:rPr>
      <w:rFonts w:ascii="Arial" w:hAnsi="Arial" w:eastAsia="Arial" w:cs="Arial"/>
      <w:b/>
      <w:bCs/>
      <w:sz w:val="26"/>
      <w:szCs w:val="26"/>
    </w:rPr>
  </w:style>
  <w:style w:type="character" w:styleId="850" w:customStyle="1">
    <w:name w:val="Heading 5 Char"/>
    <w:link w:val="837"/>
    <w:uiPriority w:val="9"/>
    <w:qFormat/>
    <w:rPr>
      <w:rFonts w:ascii="Arial" w:hAnsi="Arial" w:eastAsia="Arial" w:cs="Arial"/>
      <w:b/>
      <w:bCs/>
      <w:sz w:val="24"/>
      <w:szCs w:val="24"/>
    </w:rPr>
  </w:style>
  <w:style w:type="character" w:styleId="851" w:customStyle="1">
    <w:name w:val="Heading 6 Char"/>
    <w:link w:val="838"/>
    <w:uiPriority w:val="9"/>
    <w:qFormat/>
    <w:rPr>
      <w:rFonts w:ascii="Arial" w:hAnsi="Arial" w:eastAsia="Arial" w:cs="Arial"/>
      <w:b/>
      <w:bCs/>
      <w:sz w:val="22"/>
      <w:szCs w:val="22"/>
    </w:rPr>
  </w:style>
  <w:style w:type="character" w:styleId="852" w:customStyle="1">
    <w:name w:val="Heading 7 Char"/>
    <w:link w:val="839"/>
    <w:uiPriority w:val="9"/>
    <w:qFormat/>
    <w:rPr>
      <w:rFonts w:ascii="Arial" w:hAnsi="Arial" w:eastAsia="Arial" w:cs="Arial"/>
      <w:b/>
      <w:bCs/>
      <w:i/>
      <w:iCs/>
      <w:sz w:val="22"/>
      <w:szCs w:val="22"/>
    </w:rPr>
  </w:style>
  <w:style w:type="character" w:styleId="853" w:customStyle="1">
    <w:name w:val="Heading 8 Char"/>
    <w:link w:val="840"/>
    <w:uiPriority w:val="9"/>
    <w:qFormat/>
    <w:rPr>
      <w:rFonts w:ascii="Arial" w:hAnsi="Arial" w:eastAsia="Arial" w:cs="Arial"/>
      <w:i/>
      <w:iCs/>
      <w:sz w:val="22"/>
      <w:szCs w:val="22"/>
    </w:rPr>
  </w:style>
  <w:style w:type="character" w:styleId="854" w:customStyle="1">
    <w:name w:val="Heading 9 Char"/>
    <w:link w:val="841"/>
    <w:uiPriority w:val="9"/>
    <w:qFormat/>
    <w:rPr>
      <w:rFonts w:ascii="Arial" w:hAnsi="Arial" w:eastAsia="Arial" w:cs="Arial"/>
      <w:i/>
      <w:iCs/>
      <w:sz w:val="21"/>
      <w:szCs w:val="21"/>
    </w:rPr>
  </w:style>
  <w:style w:type="paragraph" w:styleId="855">
    <w:name w:val="List Paragraph"/>
    <w:basedOn w:val="787"/>
    <w:uiPriority w:val="34"/>
    <w:qFormat/>
    <w:pPr>
      <w:contextualSpacing/>
      <w:ind w:left="720"/>
    </w:pPr>
  </w:style>
  <w:style w:type="paragraph" w:styleId="856">
    <w:name w:val="No Spacing"/>
    <w:uiPriority w:val="1"/>
    <w:qFormat/>
    <w:rPr>
      <w:rFonts w:ascii="Calibri" w:hAnsi="Calibri" w:eastAsia="宋体" w:cs="Times New Roman"/>
      <w:lang w:val="en-US" w:eastAsia="zh-CN" w:bidi="ar-SA"/>
    </w:rPr>
  </w:style>
  <w:style w:type="character" w:styleId="857" w:customStyle="1">
    <w:name w:val="标题 Char"/>
    <w:link w:val="812"/>
    <w:uiPriority w:val="10"/>
    <w:qFormat/>
    <w:rPr>
      <w:sz w:val="48"/>
      <w:szCs w:val="48"/>
    </w:rPr>
  </w:style>
  <w:style w:type="character" w:styleId="858" w:customStyle="1">
    <w:name w:val="副标题 Char"/>
    <w:link w:val="804"/>
    <w:uiPriority w:val="11"/>
    <w:qFormat/>
    <w:rPr>
      <w:sz w:val="24"/>
      <w:szCs w:val="24"/>
    </w:rPr>
  </w:style>
  <w:style w:type="paragraph" w:styleId="859">
    <w:name w:val="Quote"/>
    <w:basedOn w:val="787"/>
    <w:next w:val="787"/>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787"/>
    <w:next w:val="787"/>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Header Char"/>
    <w:link w:val="845"/>
    <w:uiPriority w:val="99"/>
    <w:qFormat/>
  </w:style>
  <w:style w:type="character" w:styleId="864" w:customStyle="1">
    <w:name w:val="Footer Char"/>
    <w:link w:val="844"/>
    <w:uiPriority w:val="99"/>
    <w:qFormat/>
  </w:style>
  <w:style w:type="character" w:styleId="865" w:customStyle="1">
    <w:name w:val="Caption Char"/>
    <w:link w:val="844"/>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Char"/>
    <w:link w:val="805"/>
    <w:uiPriority w:val="99"/>
    <w:qFormat/>
    <w:rPr>
      <w:sz w:val="18"/>
    </w:rPr>
  </w:style>
  <w:style w:type="character" w:styleId="992" w:customStyle="1">
    <w:name w:val="尾注文本 Char"/>
    <w:link w:val="798"/>
    <w:uiPriority w:val="99"/>
    <w:qFormat/>
    <w:rPr>
      <w:sz w:val="20"/>
    </w:rPr>
  </w:style>
  <w:style w:type="paragraph" w:styleId="993" w:customStyle="1">
    <w:name w:val="TOC 标题11"/>
    <w:uiPriority w:val="39"/>
    <w:unhideWhenUsed/>
    <w:qFormat/>
    <w:rPr>
      <w:rFonts w:ascii="Calibri" w:hAnsi="Calibri" w:eastAsia="宋体" w:cs="Times New Roman"/>
      <w:lang w:val="en-US" w:eastAsia="zh-CN" w:bidi="ar-SA"/>
    </w:rPr>
  </w:style>
  <w:style w:type="paragraph" w:styleId="994" w:customStyle="1">
    <w:name w:val="标题 111"/>
    <w:basedOn w:val="787"/>
    <w:next w:val="787"/>
    <w:uiPriority w:val="0"/>
    <w:qFormat/>
    <w:pPr>
      <w:keepNext/>
      <w:outlineLvl w:val="0"/>
    </w:pPr>
    <w:rPr>
      <w:rFonts w:ascii="楷体_GB2312" w:eastAsia="楷体_GB2312"/>
      <w:sz w:val="28"/>
      <w:szCs w:val="20"/>
    </w:rPr>
  </w:style>
  <w:style w:type="paragraph" w:styleId="995" w:customStyle="1">
    <w:name w:val="标题 211"/>
    <w:basedOn w:val="787"/>
    <w:next w:val="787"/>
    <w:link w:val="1001"/>
    <w:uiPriority w:val="0"/>
    <w:qFormat/>
    <w:pPr>
      <w:jc w:val="center"/>
      <w:keepLines/>
      <w:keepNext/>
      <w:spacing w:before="260" w:after="260" w:line="416" w:lineRule="auto"/>
      <w:outlineLvl w:val="1"/>
    </w:pPr>
    <w:rPr>
      <w:rFonts w:ascii="Arial" w:hAnsi="Arial" w:eastAsia="幼圆"/>
      <w:b/>
      <w:sz w:val="44"/>
      <w:szCs w:val="20"/>
    </w:rPr>
  </w:style>
  <w:style w:type="paragraph" w:styleId="996" w:customStyle="1">
    <w:name w:val="标题 311"/>
    <w:basedOn w:val="787"/>
    <w:next w:val="787"/>
    <w:uiPriority w:val="0"/>
    <w:qFormat/>
    <w:pPr>
      <w:keepLines/>
      <w:keepNext/>
      <w:spacing w:before="260" w:after="260" w:line="416" w:lineRule="auto"/>
      <w:outlineLvl w:val="2"/>
    </w:pPr>
    <w:rPr>
      <w:b/>
      <w:sz w:val="32"/>
      <w:szCs w:val="20"/>
    </w:rPr>
  </w:style>
  <w:style w:type="paragraph" w:styleId="997" w:customStyle="1">
    <w:name w:val="标题 411"/>
    <w:basedOn w:val="787"/>
    <w:next w:val="998"/>
    <w:uiPriority w:val="0"/>
    <w:qFormat/>
    <w:pPr>
      <w:keepLines/>
      <w:keepNext/>
      <w:spacing w:before="280" w:after="290" w:line="376" w:lineRule="auto"/>
      <w:outlineLvl w:val="3"/>
    </w:pPr>
    <w:rPr>
      <w:rFonts w:ascii="Arial" w:hAnsi="Arial" w:eastAsia="黑体"/>
      <w:b/>
      <w:bCs/>
      <w:sz w:val="28"/>
      <w:szCs w:val="28"/>
    </w:rPr>
  </w:style>
  <w:style w:type="paragraph" w:styleId="998" w:customStyle="1">
    <w:name w:val="正文缩进11"/>
    <w:basedOn w:val="787"/>
    <w:uiPriority w:val="0"/>
    <w:qFormat/>
    <w:pPr>
      <w:ind w:firstLine="420"/>
    </w:pPr>
    <w:rPr>
      <w:szCs w:val="20"/>
    </w:rPr>
  </w:style>
  <w:style w:type="character" w:styleId="999" w:customStyle="1">
    <w:name w:val="默认段落字体1"/>
    <w:uiPriority w:val="0"/>
    <w:semiHidden/>
    <w:qFormat/>
  </w:style>
  <w:style w:type="table" w:styleId="1000" w:customStyle="1">
    <w:name w:val="普通表格1"/>
    <w:uiPriority w:val="0"/>
    <w:semiHidden/>
    <w:qFormat/>
    <w:tblPr>
      <w:tblCellMar>
        <w:left w:w="0" w:type="dxa"/>
        <w:top w:w="0" w:type="dxa"/>
        <w:right w:w="0" w:type="dxa"/>
        <w:bottom w:w="0" w:type="dxa"/>
      </w:tblCellMar>
    </w:tblPr>
  </w:style>
  <w:style w:type="character" w:styleId="1001" w:customStyle="1">
    <w:name w:val="标题 2 Char"/>
    <w:link w:val="995"/>
    <w:uiPriority w:val="0"/>
    <w:qFormat/>
    <w:rPr>
      <w:rFonts w:ascii="Arial" w:hAnsi="Arial" w:eastAsia="幼圆"/>
      <w:b/>
      <w:sz w:val="44"/>
      <w:szCs w:val="20"/>
    </w:rPr>
  </w:style>
  <w:style w:type="paragraph" w:styleId="1002" w:customStyle="1">
    <w:name w:val="批注文字1"/>
    <w:basedOn w:val="787"/>
    <w:uiPriority w:val="0"/>
    <w:qFormat/>
    <w:pPr>
      <w:jc w:val="left"/>
    </w:pPr>
    <w:rPr>
      <w:rFonts w:ascii="Calibri" w:hAnsi="Calibri"/>
      <w:szCs w:val="22"/>
    </w:rPr>
  </w:style>
  <w:style w:type="paragraph" w:styleId="1003" w:customStyle="1">
    <w:name w:val="正文文本1"/>
    <w:basedOn w:val="787"/>
    <w:next w:val="1004"/>
    <w:uiPriority w:val="0"/>
    <w:qFormat/>
    <w:rPr>
      <w:rFonts w:ascii="楷体_GB2312" w:hAnsi="Arial" w:eastAsia="楷体_GB2312"/>
      <w:sz w:val="28"/>
      <w:szCs w:val="20"/>
    </w:rPr>
  </w:style>
  <w:style w:type="paragraph" w:styleId="1004" w:customStyle="1">
    <w:name w:val="正文1"/>
    <w:basedOn w:val="1005"/>
    <w:next w:val="1003"/>
    <w:uiPriority w:val="0"/>
    <w:qFormat/>
    <w:pPr>
      <w:ind w:right="-167"/>
      <w:spacing w:line="440" w:lineRule="exact"/>
      <w:widowControl/>
    </w:pPr>
    <w:rPr>
      <w:b/>
      <w:sz w:val="21"/>
    </w:rPr>
  </w:style>
  <w:style w:type="paragraph" w:styleId="1005" w:customStyle="1">
    <w:name w:val="正文11"/>
    <w:next w:val="1006"/>
    <w:uiPriority w:val="0"/>
    <w:qFormat/>
    <w:pPr>
      <w:jc w:val="both"/>
      <w:widowControl w:val="off"/>
    </w:pPr>
    <w:rPr>
      <w:rFonts w:ascii="Times New Roman" w:hAnsi="Times New Roman" w:eastAsia="Arial" w:cs="Times New Roman"/>
      <w:lang w:val="en-US" w:eastAsia="zh-CN" w:bidi="ar-SA"/>
    </w:rPr>
  </w:style>
  <w:style w:type="paragraph" w:styleId="1006" w:customStyle="1">
    <w:name w:val="目录 11"/>
    <w:basedOn w:val="1007"/>
    <w:next w:val="1005"/>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07" w:customStyle="1">
    <w:name w:val="正文12"/>
    <w:next w:val="1008"/>
    <w:uiPriority w:val="0"/>
    <w:qFormat/>
    <w:pPr>
      <w:jc w:val="both"/>
      <w:widowControl w:val="off"/>
    </w:pPr>
    <w:rPr>
      <w:rFonts w:ascii="Calibri" w:hAnsi="Calibri" w:eastAsia="宋体" w:cs="Times New Roman"/>
      <w:sz w:val="21"/>
      <w:szCs w:val="24"/>
      <w:lang w:val="en-US" w:eastAsia="zh-CN" w:bidi="ar-SA"/>
    </w:rPr>
  </w:style>
  <w:style w:type="paragraph" w:styleId="1008" w:customStyle="1">
    <w:name w:val="正文文本11"/>
    <w:basedOn w:val="1009"/>
    <w:next w:val="1010"/>
    <w:uiPriority w:val="0"/>
    <w:qFormat/>
    <w:pPr>
      <w:spacing w:after="120"/>
    </w:pPr>
  </w:style>
  <w:style w:type="paragraph" w:styleId="1009" w:customStyle="1">
    <w:name w:val="正文112"/>
    <w:next w:val="1008"/>
    <w:uiPriority w:val="0"/>
    <w:qFormat/>
    <w:pPr>
      <w:jc w:val="both"/>
      <w:widowControl w:val="off"/>
    </w:pPr>
    <w:rPr>
      <w:rFonts w:ascii="Times New Roman" w:hAnsi="Times New Roman" w:eastAsia="宋体" w:cs="Times New Roman"/>
      <w:sz w:val="21"/>
      <w:szCs w:val="24"/>
      <w:lang w:val="en-US" w:eastAsia="zh-CN" w:bidi="ar-SA"/>
    </w:rPr>
  </w:style>
  <w:style w:type="paragraph" w:styleId="1010" w:customStyle="1">
    <w:name w:val="一级条标题"/>
    <w:basedOn w:val="1011"/>
    <w:next w:val="1012"/>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011" w:customStyle="1">
    <w:name w:val="章标题"/>
    <w:next w:val="787"/>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12" w:customStyle="1">
    <w:name w:val="段"/>
    <w:next w:val="787"/>
    <w:uiPriority w:val="0"/>
    <w:qFormat/>
    <w:pPr>
      <w:ind w:firstLine="420"/>
      <w:jc w:val="both"/>
      <w:tabs>
        <w:tab w:val="center" w:pos="4201" w:leader="none"/>
        <w:tab w:val="right" w:pos="9298" w:leader="dot"/>
      </w:tabs>
    </w:pPr>
    <w:rPr>
      <w:rFonts w:ascii="宋体" w:hAnsi="Calibri" w:eastAsia="宋体" w:cs="Times New Roman"/>
      <w:sz w:val="21"/>
      <w:lang w:val="en-US" w:eastAsia="zh-CN" w:bidi="ar-SA"/>
    </w:rPr>
  </w:style>
  <w:style w:type="paragraph" w:styleId="1013" w:customStyle="1">
    <w:name w:val="正文文本 21"/>
    <w:basedOn w:val="787"/>
    <w:uiPriority w:val="0"/>
    <w:qFormat/>
    <w:pPr>
      <w:jc w:val="center"/>
    </w:pPr>
    <w:rPr>
      <w:rFonts w:ascii="仿宋_GB2312" w:eastAsia="仿宋_GB2312"/>
      <w:sz w:val="44"/>
    </w:rPr>
  </w:style>
  <w:style w:type="paragraph" w:styleId="1014" w:customStyle="1">
    <w:name w:val="正文文本缩进11"/>
    <w:basedOn w:val="787"/>
    <w:next w:val="1015"/>
    <w:uiPriority w:val="0"/>
    <w:qFormat/>
    <w:pPr>
      <w:ind w:left="420"/>
      <w:spacing w:after="120"/>
    </w:pPr>
  </w:style>
  <w:style w:type="paragraph" w:styleId="1015" w:customStyle="1">
    <w:name w:val="寄信人地址1"/>
    <w:basedOn w:val="787"/>
    <w:uiPriority w:val="0"/>
    <w:qFormat/>
    <w:rPr>
      <w:rFonts w:ascii="Arial" w:hAnsi="Arial"/>
    </w:rPr>
  </w:style>
  <w:style w:type="paragraph" w:styleId="1016" w:customStyle="1">
    <w:name w:val="纯文本11"/>
    <w:basedOn w:val="787"/>
    <w:uiPriority w:val="99"/>
    <w:qFormat/>
    <w:rPr>
      <w:rFonts w:ascii="宋体" w:hAnsi="Courier New"/>
      <w:szCs w:val="20"/>
    </w:rPr>
  </w:style>
  <w:style w:type="paragraph" w:styleId="1017" w:customStyle="1">
    <w:name w:val="日期1"/>
    <w:basedOn w:val="787"/>
    <w:next w:val="787"/>
    <w:uiPriority w:val="0"/>
    <w:qFormat/>
    <w:rPr>
      <w:sz w:val="24"/>
      <w:szCs w:val="20"/>
    </w:rPr>
  </w:style>
  <w:style w:type="paragraph" w:styleId="1018" w:customStyle="1">
    <w:name w:val="页脚11"/>
    <w:basedOn w:val="787"/>
    <w:uiPriority w:val="0"/>
    <w:qFormat/>
    <w:pPr>
      <w:jc w:val="left"/>
      <w:tabs>
        <w:tab w:val="center" w:pos="4153" w:leader="none"/>
        <w:tab w:val="right" w:pos="8306" w:leader="none"/>
      </w:tabs>
    </w:pPr>
    <w:rPr>
      <w:sz w:val="18"/>
      <w:szCs w:val="20"/>
    </w:rPr>
  </w:style>
  <w:style w:type="paragraph" w:styleId="1019" w:customStyle="1">
    <w:name w:val="页眉11"/>
    <w:basedOn w:val="787"/>
    <w:uiPriority w:val="0"/>
    <w:qFormat/>
    <w:pPr>
      <w:jc w:val="center"/>
      <w:tabs>
        <w:tab w:val="center" w:pos="4153" w:leader="none"/>
        <w:tab w:val="right" w:pos="8306" w:leader="none"/>
      </w:tabs>
      <w:pBdr>
        <w:bottom w:val="single" w:color="000000" w:sz="6" w:space="1"/>
      </w:pBdr>
    </w:pPr>
    <w:rPr>
      <w:sz w:val="18"/>
      <w:szCs w:val="18"/>
    </w:rPr>
  </w:style>
  <w:style w:type="paragraph" w:styleId="1020" w:customStyle="1">
    <w:name w:val="普通(网站)11"/>
    <w:basedOn w:val="787"/>
    <w:uiPriority w:val="0"/>
    <w:unhideWhenUsed/>
    <w:qFormat/>
    <w:pPr>
      <w:jc w:val="left"/>
      <w:spacing w:before="100" w:beforeAutospacing="1" w:after="100" w:afterAutospacing="1"/>
      <w:widowControl/>
    </w:pPr>
    <w:rPr>
      <w:rFonts w:ascii="宋体" w:hAnsi="宋体" w:cs="宋体"/>
      <w:sz w:val="24"/>
    </w:rPr>
  </w:style>
  <w:style w:type="paragraph" w:styleId="1021" w:customStyle="1">
    <w:name w:val="正文首行缩进1"/>
    <w:basedOn w:val="787"/>
    <w:next w:val="1022"/>
    <w:uiPriority w:val="99"/>
    <w:qFormat/>
    <w:pPr>
      <w:ind w:firstLine="200"/>
      <w:spacing w:line="360" w:lineRule="auto"/>
    </w:pPr>
    <w:rPr>
      <w:rFonts w:ascii="仿宋_GB2312" w:eastAsia="仿宋_GB2312"/>
      <w:sz w:val="30"/>
      <w:szCs w:val="30"/>
    </w:rPr>
  </w:style>
  <w:style w:type="paragraph" w:styleId="1022" w:customStyle="1">
    <w:name w:val="正文首行缩进 211"/>
    <w:basedOn w:val="1014"/>
    <w:uiPriority w:val="0"/>
    <w:qFormat/>
    <w:pPr>
      <w:ind w:firstLine="420"/>
    </w:pPr>
  </w:style>
  <w:style w:type="character" w:styleId="1023" w:customStyle="1">
    <w:name w:val="页码11"/>
    <w:uiPriority w:val="0"/>
    <w:qFormat/>
  </w:style>
  <w:style w:type="paragraph" w:styleId="1024" w:customStyle="1">
    <w:name w:val="普通正文"/>
    <w:basedOn w:val="787"/>
    <w:uiPriority w:val="0"/>
    <w:qFormat/>
    <w:pPr>
      <w:ind w:firstLine="480"/>
      <w:jc w:val="left"/>
      <w:spacing w:before="120" w:after="120" w:line="360" w:lineRule="auto"/>
    </w:pPr>
    <w:rPr>
      <w:rFonts w:ascii="Arial" w:hAnsi="Arial"/>
      <w:sz w:val="24"/>
    </w:rPr>
  </w:style>
  <w:style w:type="paragraph" w:styleId="1025"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26" w:customStyle="1">
    <w:name w:val="pa-3"/>
    <w:basedOn w:val="787"/>
    <w:uiPriority w:val="0"/>
    <w:qFormat/>
    <w:pPr>
      <w:jc w:val="left"/>
      <w:spacing w:before="150" w:after="150"/>
      <w:widowControl/>
    </w:pPr>
    <w:rPr>
      <w:rFonts w:ascii="宋体" w:hAnsi="宋体" w:cs="宋体"/>
      <w:color w:val="000000"/>
      <w:sz w:val="24"/>
    </w:rPr>
  </w:style>
  <w:style w:type="paragraph" w:styleId="1027" w:customStyle="1">
    <w:name w:val="pa-4"/>
    <w:basedOn w:val="787"/>
    <w:uiPriority w:val="0"/>
    <w:qFormat/>
    <w:pPr>
      <w:jc w:val="left"/>
      <w:spacing w:before="150" w:after="150"/>
      <w:widowControl/>
    </w:pPr>
    <w:rPr>
      <w:rFonts w:ascii="宋体" w:hAnsi="宋体" w:cs="宋体"/>
      <w:color w:val="000000"/>
      <w:sz w:val="24"/>
    </w:rPr>
  </w:style>
  <w:style w:type="paragraph" w:styleId="1028" w:customStyle="1">
    <w:name w:val="pa-5"/>
    <w:basedOn w:val="787"/>
    <w:uiPriority w:val="0"/>
    <w:qFormat/>
    <w:pPr>
      <w:jc w:val="left"/>
      <w:spacing w:before="150" w:after="150"/>
      <w:widowControl/>
    </w:pPr>
    <w:rPr>
      <w:rFonts w:ascii="宋体" w:hAnsi="宋体" w:cs="宋体"/>
      <w:color w:val="000000"/>
      <w:sz w:val="24"/>
    </w:rPr>
  </w:style>
  <w:style w:type="paragraph" w:styleId="1029" w:customStyle="1">
    <w:name w:val="pa-6"/>
    <w:basedOn w:val="787"/>
    <w:uiPriority w:val="0"/>
    <w:qFormat/>
    <w:pPr>
      <w:jc w:val="left"/>
      <w:spacing w:before="150" w:after="150"/>
      <w:widowControl/>
    </w:pPr>
    <w:rPr>
      <w:rFonts w:ascii="宋体" w:hAnsi="宋体" w:cs="宋体"/>
      <w:color w:val="000000"/>
      <w:sz w:val="24"/>
    </w:rPr>
  </w:style>
  <w:style w:type="paragraph" w:styleId="1030" w:customStyle="1">
    <w:name w:val="flName"/>
    <w:basedOn w:val="787"/>
    <w:uiPriority w:val="0"/>
    <w:qFormat/>
    <w:pPr>
      <w:jc w:val="center"/>
      <w:spacing w:before="320" w:after="160" w:line="360" w:lineRule="atLeast"/>
    </w:pPr>
    <w:rPr>
      <w:rFonts w:ascii="Arial" w:eastAsia="黑体"/>
      <w:sz w:val="32"/>
      <w:szCs w:val="20"/>
    </w:rPr>
  </w:style>
  <w:style w:type="paragraph" w:styleId="103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2" w:customStyle="1">
    <w:name w:val="列出段落1"/>
    <w:basedOn w:val="787"/>
    <w:uiPriority w:val="0"/>
    <w:qFormat/>
    <w:pPr>
      <w:contextualSpacing/>
      <w:ind w:left="720"/>
      <w:jc w:val="left"/>
      <w:widowControl/>
    </w:pPr>
    <w:rPr>
      <w:rFonts w:ascii="Calibri" w:hAnsi="Calibri"/>
      <w:sz w:val="24"/>
      <w:lang w:eastAsia="en-US" w:bidi="en-US"/>
    </w:rPr>
  </w:style>
  <w:style w:type="paragraph" w:styleId="1033" w:customStyle="1">
    <w:name w:val="Char"/>
    <w:basedOn w:val="787"/>
    <w:uiPriority w:val="0"/>
    <w:qFormat/>
    <w:pPr>
      <w:tabs>
        <w:tab w:val="left" w:pos="360" w:leader="none"/>
      </w:tabs>
    </w:pPr>
    <w:rPr>
      <w:sz w:val="24"/>
    </w:rPr>
  </w:style>
  <w:style w:type="paragraph" w:styleId="1034" w:customStyle="1">
    <w:name w:val="Body text|2"/>
    <w:basedOn w:val="787"/>
    <w:uiPriority w:val="0"/>
    <w:qFormat/>
    <w:pPr>
      <w:spacing w:after="580"/>
    </w:pPr>
    <w:rPr>
      <w:rFonts w:ascii="宋体" w:hAnsi="宋体" w:cs="宋体"/>
      <w:sz w:val="28"/>
      <w:szCs w:val="28"/>
      <w:lang w:val="zh-TW" w:eastAsia="zh-TW" w:bidi="zh-TW"/>
    </w:rPr>
  </w:style>
  <w:style w:type="paragraph" w:styleId="1035" w:customStyle="1">
    <w:name w:val="Body text|1"/>
    <w:basedOn w:val="787"/>
    <w:uiPriority w:val="0"/>
    <w:qFormat/>
    <w:pPr>
      <w:ind w:firstLine="320"/>
      <w:spacing w:line="466" w:lineRule="auto"/>
    </w:pPr>
    <w:rPr>
      <w:rFonts w:ascii="宋体" w:hAnsi="宋体" w:cs="宋体"/>
      <w:sz w:val="20"/>
      <w:szCs w:val="20"/>
      <w:lang w:val="zh-TW" w:eastAsia="zh-TW" w:bidi="zh-TW"/>
    </w:rPr>
  </w:style>
  <w:style w:type="paragraph" w:styleId="1036" w:customStyle="1">
    <w:name w:val="Body text|4"/>
    <w:basedOn w:val="787"/>
    <w:uiPriority w:val="0"/>
    <w:qFormat/>
    <w:pPr>
      <w:ind w:hanging="1540"/>
    </w:pPr>
    <w:rPr>
      <w:sz w:val="20"/>
      <w:szCs w:val="20"/>
      <w:lang w:val="zh-CN"/>
    </w:rPr>
  </w:style>
  <w:style w:type="paragraph" w:styleId="1037" w:customStyle="1">
    <w:name w:val="纯文本1"/>
    <w:basedOn w:val="787"/>
    <w:uiPriority w:val="0"/>
    <w:qFormat/>
    <w:rPr>
      <w:rFonts w:ascii="宋体" w:hAnsi="Courier New" w:eastAsia="楷体_GB2312"/>
      <w:sz w:val="26"/>
    </w:rPr>
  </w:style>
  <w:style w:type="paragraph" w:styleId="1038" w:customStyle="1">
    <w:name w:val="样式 小四 段前: 5 磅 段后: 5 磅 首行缩进:  2 字符"/>
    <w:basedOn w:val="787"/>
    <w:uiPriority w:val="0"/>
    <w:qFormat/>
    <w:pPr>
      <w:spacing w:line="360" w:lineRule="auto"/>
    </w:pPr>
    <w:rPr>
      <w:rFonts w:ascii="宋体" w:hAnsi="宋体"/>
    </w:rPr>
  </w:style>
  <w:style w:type="paragraph" w:styleId="1039" w:customStyle="1">
    <w:name w:val="标题 11"/>
    <w:basedOn w:val="787"/>
    <w:next w:val="787"/>
    <w:uiPriority w:val="0"/>
    <w:qFormat/>
    <w:pPr>
      <w:jc w:val="center"/>
      <w:keepNext/>
      <w:outlineLvl w:val="0"/>
    </w:pPr>
    <w:rPr>
      <w:rFonts w:ascii="楷体_GB2312" w:eastAsia="楷体_GB2312"/>
      <w:sz w:val="28"/>
      <w:szCs w:val="28"/>
    </w:rPr>
  </w:style>
  <w:style w:type="paragraph" w:styleId="1040" w:customStyle="1">
    <w:name w:val="标题 21"/>
    <w:basedOn w:val="787"/>
    <w:next w:val="10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1" w:customStyle="1">
    <w:name w:val="正文缩进1"/>
    <w:basedOn w:val="787"/>
    <w:uiPriority w:val="0"/>
    <w:qFormat/>
    <w:pPr>
      <w:ind w:firstLine="420"/>
    </w:pPr>
  </w:style>
  <w:style w:type="paragraph" w:styleId="1042" w:customStyle="1">
    <w:name w:val="标题 41"/>
    <w:basedOn w:val="787"/>
    <w:next w:val="787"/>
    <w:uiPriority w:val="0"/>
    <w:qFormat/>
    <w:pPr>
      <w:keepLines/>
      <w:keepNext/>
      <w:spacing w:before="280" w:after="290" w:line="376" w:lineRule="auto"/>
      <w:outlineLvl w:val="3"/>
    </w:pPr>
    <w:rPr>
      <w:rFonts w:ascii="Arial" w:hAnsi="Arial" w:eastAsia="黑体" w:cs="Arial"/>
      <w:b/>
      <w:bCs/>
      <w:sz w:val="28"/>
      <w:szCs w:val="28"/>
    </w:rPr>
  </w:style>
  <w:style w:type="paragraph" w:styleId="1043" w:customStyle="1">
    <w:name w:val="正文首行缩进 21"/>
    <w:basedOn w:val="1044"/>
    <w:uiPriority w:val="0"/>
    <w:qFormat/>
    <w:pPr>
      <w:ind w:firstLine="420"/>
      <w:spacing w:line="360" w:lineRule="auto"/>
    </w:pPr>
    <w:rPr>
      <w:rFonts w:ascii="宋体" w:hAnsi="宋体" w:eastAsia="宋体"/>
      <w:sz w:val="21"/>
      <w:szCs w:val="20"/>
    </w:rPr>
  </w:style>
  <w:style w:type="paragraph" w:styleId="1044" w:customStyle="1">
    <w:name w:val="正文文本缩进1"/>
    <w:basedOn w:val="787"/>
    <w:uiPriority w:val="0"/>
    <w:qFormat/>
    <w:pPr>
      <w:ind w:firstLine="645"/>
    </w:pPr>
    <w:rPr>
      <w:rFonts w:ascii="楷体_GB2312" w:eastAsia="楷体_GB2312"/>
      <w:sz w:val="32"/>
      <w:szCs w:val="32"/>
    </w:rPr>
  </w:style>
  <w:style w:type="paragraph" w:styleId="1045" w:customStyle="1">
    <w:name w:val="标题 31"/>
    <w:basedOn w:val="787"/>
    <w:next w:val="787"/>
    <w:uiPriority w:val="0"/>
    <w:qFormat/>
    <w:pPr>
      <w:keepLines/>
      <w:keepNext/>
      <w:spacing w:before="260" w:after="260" w:line="416" w:lineRule="auto"/>
      <w:outlineLvl w:val="2"/>
    </w:pPr>
    <w:rPr>
      <w:b/>
      <w:bCs/>
      <w:sz w:val="32"/>
      <w:szCs w:val="32"/>
    </w:rPr>
  </w:style>
  <w:style w:type="paragraph" w:styleId="1046" w:customStyle="1">
    <w:name w:val="页眉1"/>
    <w:basedOn w:val="787"/>
    <w:uiPriority w:val="0"/>
    <w:qFormat/>
    <w:pPr>
      <w:jc w:val="center"/>
      <w:tabs>
        <w:tab w:val="center" w:pos="4153" w:leader="none"/>
        <w:tab w:val="right" w:pos="8306" w:leader="none"/>
      </w:tabs>
      <w:pBdr>
        <w:bottom w:val="single" w:color="000000" w:sz="6" w:space="1"/>
      </w:pBdr>
    </w:pPr>
    <w:rPr>
      <w:sz w:val="18"/>
      <w:szCs w:val="18"/>
    </w:rPr>
  </w:style>
  <w:style w:type="paragraph" w:styleId="1047" w:customStyle="1">
    <w:name w:val="页脚1"/>
    <w:basedOn w:val="787"/>
    <w:uiPriority w:val="0"/>
    <w:qFormat/>
    <w:pPr>
      <w:jc w:val="left"/>
      <w:tabs>
        <w:tab w:val="center" w:pos="4153" w:leader="none"/>
        <w:tab w:val="right" w:pos="8306" w:leader="none"/>
      </w:tabs>
    </w:pPr>
    <w:rPr>
      <w:sz w:val="18"/>
      <w:szCs w:val="18"/>
    </w:rPr>
  </w:style>
  <w:style w:type="character" w:styleId="1048" w:customStyle="1">
    <w:name w:val="页码1"/>
    <w:uiPriority w:val="0"/>
    <w:qFormat/>
  </w:style>
  <w:style w:type="paragraph" w:styleId="1049" w:customStyle="1">
    <w:name w:val="普通(网站)1"/>
    <w:basedOn w:val="787"/>
    <w:uiPriority w:val="99"/>
    <w:qFormat/>
    <w:pPr>
      <w:jc w:val="left"/>
      <w:spacing w:before="100" w:beforeAutospacing="1" w:after="100" w:afterAutospacing="1"/>
      <w:widowControl/>
    </w:pPr>
    <w:rPr>
      <w:rFonts w:ascii="宋体" w:hAnsi="宋体" w:cs="宋体"/>
      <w:sz w:val="24"/>
    </w:rPr>
  </w:style>
  <w:style w:type="character" w:styleId="1050" w:customStyle="1">
    <w:name w:val="NormalCharacter1"/>
    <w:uiPriority w:val="99"/>
    <w:qFormat/>
    <w:rPr>
      <w:rFonts w:ascii="Calibri" w:hAnsi="Calibri" w:eastAsia="宋体"/>
    </w:rPr>
  </w:style>
  <w:style w:type="character" w:styleId="1051" w:customStyle="1">
    <w:name w:val="页脚 Char"/>
    <w:basedOn w:val="789"/>
    <w:link w:val="800"/>
    <w:uiPriority w:val="99"/>
    <w:semiHidden/>
    <w:qFormat/>
    <w:rPr>
      <w:rFonts w:ascii="Times New Roman" w:hAnsi="Times New Roman"/>
      <w:sz w:val="18"/>
      <w:szCs w:val="18"/>
    </w:rPr>
  </w:style>
  <w:style w:type="character" w:styleId="1052" w:customStyle="1">
    <w:name w:val="页眉 Char"/>
    <w:basedOn w:val="789"/>
    <w:link w:val="801"/>
    <w:uiPriority w:val="99"/>
    <w:semiHidden/>
    <w:qFormat/>
    <w:rPr>
      <w:rFonts w:ascii="Times New Roman" w:hAnsi="Times New Roman"/>
      <w:sz w:val="18"/>
      <w:szCs w:val="18"/>
    </w:rPr>
  </w:style>
  <w:style w:type="character" w:styleId="1053" w:customStyle="1">
    <w:name w:val="font21"/>
    <w:basedOn w:val="789"/>
    <w:uiPriority w:val="0"/>
    <w:qFormat/>
    <w:rPr>
      <w:rFonts w:hint="default" w:ascii="Times New Roman" w:hAnsi="Times New Roman" w:cs="Times New Roman"/>
      <w:color w:val="000000"/>
      <w:sz w:val="24"/>
      <w:szCs w:val="24"/>
      <w:u w:val="none"/>
    </w:rPr>
  </w:style>
  <w:style w:type="character" w:styleId="1054" w:customStyle="1">
    <w:name w:val="font11"/>
    <w:basedOn w:val="789"/>
    <w:uiPriority w:val="0"/>
    <w:qFormat/>
    <w:rPr>
      <w:rFonts w:hint="eastAsia" w:ascii="宋体" w:hAnsi="宋体" w:eastAsia="宋体" w:cs="宋体"/>
      <w:b/>
      <w:bCs/>
      <w:color w:val="000000"/>
      <w:sz w:val="21"/>
      <w:szCs w:val="21"/>
      <w:u w:val="none"/>
    </w:rPr>
  </w:style>
  <w:style w:type="character" w:styleId="1055" w:customStyle="1">
    <w:name w:val="标题 1 Char"/>
    <w:basedOn w:val="789"/>
    <w:link w:val="788"/>
    <w:uiPriority w:val="9"/>
    <w:qFormat/>
    <w:rPr>
      <w:rFonts w:ascii="Times New Roman" w:hAnsi="Times New Roman"/>
      <w:b/>
      <w:bCs/>
      <w:sz w:val="44"/>
      <w:szCs w:val="44"/>
    </w:rPr>
  </w:style>
  <w:style w:type="paragraph" w:styleId="1056" w:customStyle="1">
    <w:name w:val="TOC 标题2"/>
    <w:basedOn w:val="788"/>
    <w:next w:val="787"/>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1057" w:customStyle="1">
    <w:name w:val="批注框文本 Char"/>
    <w:basedOn w:val="789"/>
    <w:link w:val="799"/>
    <w:uiPriority w:val="99"/>
    <w:semiHidden/>
    <w:qFormat/>
    <w:rPr>
      <w:rFonts w:ascii="Times New Roman" w:hAnsi="Times New Roman"/>
      <w:sz w:val="18"/>
      <w:szCs w:val="18"/>
    </w:rPr>
  </w:style>
  <w:style w:type="character" w:styleId="1058" w:customStyle="1">
    <w:name w:val="NormalCharacter"/>
    <w:uiPriority w:val="99"/>
    <w:qFormat/>
    <w:rPr>
      <w:rFonts w:ascii="Calibri" w:hAnsi="Calibri" w:eastAsia="宋体"/>
    </w:rPr>
  </w:style>
  <w:style w:type="paragraph" w:styleId="1059" w:customStyle="1">
    <w:name w:val="纯文本2"/>
    <w:basedOn w:val="787"/>
    <w:uiPriority w:val="0"/>
    <w:qFormat/>
    <w:rPr>
      <w:rFonts w:ascii="宋体" w:hAnsi="Courier New" w:eastAsia="楷体_GB2312"/>
      <w:sz w:val="28"/>
      <w:szCs w:val="20"/>
    </w:rPr>
  </w:style>
  <w:style w:type="paragraph" w:styleId="1060" w:customStyle="1">
    <w:name w:val="4"/>
    <w:basedOn w:val="787"/>
    <w:next w:val="807"/>
    <w:uiPriority w:val="0"/>
    <w:qFormat/>
    <w:pPr>
      <w:ind w:firstLine="480"/>
      <w:spacing w:line="360" w:lineRule="auto"/>
    </w:pPr>
    <w:rPr>
      <w:rFonts w:eastAsia="方正仿宋_GBK"/>
      <w:b/>
      <w:color w:val="ff0000"/>
      <w:sz w:val="24"/>
    </w:rPr>
  </w:style>
  <w:style w:type="character" w:styleId="1061" w:customStyle="1">
    <w:name w:val="font31"/>
    <w:basedOn w:val="789"/>
    <w:uiPriority w:val="0"/>
    <w:qFormat/>
    <w:rPr>
      <w:rFonts w:hint="eastAsia" w:ascii="宋体" w:hAnsi="宋体" w:eastAsia="宋体" w:cs="宋体"/>
      <w:color w:val="000000"/>
      <w:sz w:val="19"/>
      <w:szCs w:val="19"/>
      <w:u w:val="none"/>
    </w:rPr>
  </w:style>
  <w:style w:type="paragraph" w:styleId="1062" w:customStyle="1">
    <w:name w:val="列表段落1"/>
    <w:basedOn w:val="1004"/>
    <w:next w:val="787"/>
    <w:uiPriority w:val="99"/>
    <w:qFormat/>
    <w:pPr>
      <w:ind w:firstLine="420"/>
    </w:pPr>
  </w:style>
  <w:style w:type="character" w:styleId="1063" w:customStyle="1">
    <w:name w:val="批注文字 Char"/>
    <w:basedOn w:val="789"/>
    <w:link w:val="792"/>
    <w:uiPriority w:val="99"/>
    <w:semiHidden/>
    <w:qFormat/>
    <w:rPr>
      <w:sz w:val="21"/>
      <w:szCs w:val="24"/>
    </w:rPr>
  </w:style>
  <w:style w:type="character" w:styleId="1064" w:customStyle="1">
    <w:name w:val="批注主题 Char"/>
    <w:basedOn w:val="1063"/>
    <w:link w:val="813"/>
    <w:uiPriority w:val="99"/>
    <w:semiHidden/>
    <w:qFormat/>
    <w:rPr>
      <w:b/>
      <w:bCs/>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F5284EF-B359-48D1-B5A7-9AEFA1360D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倪兆霞</cp:lastModifiedBy>
  <cp:revision>5</cp:revision>
  <dcterms:created xsi:type="dcterms:W3CDTF">2026-07-08T06:37:00Z</dcterms:created>
  <dcterms:modified xsi:type="dcterms:W3CDTF">2026-07-31T09:33:19Z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8A74EF7E95554A7E8EE590871C3C997A_13</vt:lpwstr>
  </property>
  <property fmtid="{D5CDD505-2E9C-101B-9397-08002B2CF9AE}" pid="4" name="KSOTemplateDocerSaveRecord">
    <vt:lpwstr>eyJoZGlkIjoiZTM5NjQ4MDViNzI1OGY2YzE4MzhiZmY5ZTY1YTkxNGYiLCJ1c2VySWQiOiIxNjcxMTcxMDA3In0=</vt:lpwstr>
  </property>
</Properties>
</file>