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hint="eastAsia" w:cs="仿宋" w:asciiTheme="minorEastAsia" w:hAnsiTheme="minorEastAsia" w:eastAsiaTheme="minorEastAsia"/>
          <w:b/>
          <w:i/>
          <w:color w:val="000000" w:themeColor="text1"/>
          <w:sz w:val="21"/>
          <w:szCs w:val="21"/>
        </w:rPr>
      </w:pPr>
      <w:r>
        <w:rPr>
          <w:rFonts w:hint="eastAsia" w:cs="仿宋" w:asciiTheme="minorEastAsia" w:hAnsiTheme="minorEastAsia" w:eastAsiaTheme="minorEastAsia"/>
          <w:b/>
          <w:color w:val="000000" w:themeColor="text1"/>
          <w:sz w:val="72"/>
        </w:rPr>
        <w:tab/>
      </w:r>
      <w:r/>
    </w:p>
    <w:p>
      <w:pPr>
        <w:jc w:val="center"/>
        <w:spacing w:line="360" w:lineRule="auto"/>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jc w:val="center"/>
        <w:spacing w:line="360" w:lineRule="auto"/>
        <w:rPr>
          <w:rFonts w:hint="eastAsia" w:cs="仿宋" w:asciiTheme="minorEastAsia" w:hAnsiTheme="minorEastAsia" w:eastAsiaTheme="minorEastAsia"/>
          <w:bCs/>
          <w:color w:val="000000" w:themeColor="text1"/>
          <w:spacing w:val="20"/>
          <w:sz w:val="72"/>
          <w:szCs w:val="72"/>
        </w:rPr>
      </w:pPr>
      <w:r>
        <w:rPr>
          <w:rFonts w:hint="eastAsia" w:cs="仿宋" w:asciiTheme="minorEastAsia" w:hAnsiTheme="minorEastAsia" w:eastAsiaTheme="minorEastAsia"/>
          <w:bCs/>
          <w:color w:val="000000" w:themeColor="text1"/>
          <w:spacing w:val="20"/>
          <w:sz w:val="72"/>
          <w:szCs w:val="72"/>
        </w:rPr>
        <w:t xml:space="preserve">泰州市政府采购</w:t>
      </w:r>
      <w:r/>
    </w:p>
    <w:p>
      <w:pPr>
        <w:jc w:val="center"/>
        <w:spacing w:line="360" w:lineRule="auto"/>
        <w:rPr>
          <w:rFonts w:hint="eastAsia" w:cs="仿宋" w:asciiTheme="minorEastAsia" w:hAnsiTheme="minorEastAsia" w:eastAsiaTheme="minorEastAsia"/>
          <w:bCs/>
          <w:color w:val="000000" w:themeColor="text1"/>
          <w:spacing w:val="20"/>
          <w:sz w:val="52"/>
          <w:szCs w:val="52"/>
        </w:rPr>
      </w:pPr>
      <w:r>
        <w:rPr>
          <w:rFonts w:hint="eastAsia" w:cs="仿宋" w:asciiTheme="minorEastAsia" w:hAnsiTheme="minorEastAsia" w:eastAsiaTheme="minorEastAsia"/>
          <w:bCs/>
          <w:color w:val="000000" w:themeColor="text1"/>
          <w:spacing w:val="20"/>
          <w:sz w:val="52"/>
          <w:szCs w:val="52"/>
        </w:rPr>
        <w:t xml:space="preserve">公开</w:t>
      </w:r>
      <w:r>
        <w:rPr>
          <w:rFonts w:hint="eastAsia" w:asciiTheme="minorEastAsia" w:hAnsiTheme="minorEastAsia" w:eastAsiaTheme="minorEastAsia"/>
          <w:color w:val="000000" w:themeColor="text1"/>
        </w:rPr>
        <mc:AlternateContent>
          <mc:Choice Requires="wpg">
            <w:drawing>
              <wp:anchor xmlns:wp="http://schemas.openxmlformats.org/drawingml/2006/wordprocessingDrawing" xmlns:wp14="http://schemas.microsoft.com/office/word/2010/wordprocessingDrawing" distT="0" distB="4294967295" distL="114300" distR="114300" simplePos="0" relativeHeight="251661312" behindDoc="0" locked="0" layoutInCell="0" allowOverlap="1">
                <wp:simplePos x="0" y="0"/>
                <wp:positionH relativeFrom="column">
                  <wp:posOffset>-113665</wp:posOffset>
                </wp:positionH>
                <wp:positionV relativeFrom="paragraph">
                  <wp:posOffset>197484</wp:posOffset>
                </wp:positionV>
                <wp:extent cx="635" cy="0"/>
                <wp:effectExtent l="0" t="0" r="0" b="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2" o:spid="_x0000_s2" style="position:absolute;left:0;text-align:left;z-index:251661312;mso-wrap-distance-left:9.0pt;mso-wrap-distance-top:0.0pt;mso-wrap-distance-right:9.0pt;mso-wrap-distance-bottom:-169093.2pt;visibility:visible;" from="-8.9pt,15.5pt" to="-8.9pt,15.5pt" filled="f" strokecolor="#000000"/>
            </w:pict>
          </mc:Fallback>
        </mc:AlternateContent>
      </w:r>
      <w:r>
        <w:rPr>
          <w:rFonts w:hint="eastAsia" w:cs="仿宋" w:asciiTheme="minorEastAsia" w:hAnsiTheme="minorEastAsia" w:eastAsiaTheme="minorEastAsia"/>
          <w:bCs/>
          <w:color w:val="000000" w:themeColor="text1"/>
          <w:spacing w:val="20"/>
          <w:sz w:val="52"/>
          <w:szCs w:val="52"/>
        </w:rPr>
        <w:t xml:space="preserve">招标文件</w:t>
      </w:r>
      <w:r/>
    </w:p>
    <w:p>
      <w:pPr>
        <w:jc w:val="center"/>
        <w:spacing w:line="360" w:lineRule="auto"/>
        <w:rPr>
          <w:rFonts w:hint="eastAsia" w:cs="仿宋" w:asciiTheme="minorEastAsia" w:hAnsiTheme="minorEastAsia" w:eastAsiaTheme="minorEastAsia"/>
          <w:b/>
          <w:color w:val="000000" w:themeColor="text1"/>
          <w:sz w:val="72"/>
          <w:szCs w:val="72"/>
        </w:rPr>
      </w:pPr>
      <w:r>
        <w:rPr>
          <w:rFonts w:hint="eastAsia" w:cs="仿宋" w:asciiTheme="minorEastAsia" w:hAnsiTheme="minorEastAsia" w:eastAsiaTheme="minorEastAsia"/>
          <w:bCs/>
          <w:color w:val="000000" w:themeColor="text1"/>
          <w:sz w:val="30"/>
        </w:rPr>
        <w:t xml:space="preserve">（全流程电子化不见面开标）</w:t>
      </w:r>
      <w:r/>
    </w:p>
    <w:p>
      <w:pPr>
        <w:spacing w:line="360" w:lineRule="auto"/>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pStyle w:val="1010"/>
        <w:ind w:firstLine="568"/>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pStyle w:val="1010"/>
        <w:ind w:firstLine="568"/>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项目编号：</w:t>
      </w:r>
      <w:r>
        <w:rPr>
          <w:rFonts w:hint="eastAsia" w:cs="仿宋" w:asciiTheme="minorEastAsia" w:hAnsiTheme="minorEastAsia" w:eastAsiaTheme="minorEastAsia"/>
          <w:b/>
          <w:bCs/>
          <w:color w:val="000000" w:themeColor="text1"/>
          <w:sz w:val="28"/>
          <w:szCs w:val="28"/>
        </w:rPr>
        <w:t xml:space="preserve">JSZC-321283-HWZX-G2026-0466</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采购代理编号：0675-266JOC003663</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项目名称：重大慢病防控基地建设设备采购项目</w:t>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   购   人：泰兴市卫生健康委员会</w:t>
      </w:r>
      <w:r/>
    </w:p>
    <w:p>
      <w:pPr>
        <w:pStyle w:val="852"/>
        <w:ind w:firstLine="0"/>
        <w:jc w:val="center"/>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采购代理机构：江苏海外集团国际工程咨询有限公司</w:t>
      </w:r>
      <w:r/>
    </w:p>
    <w:p>
      <w:pPr>
        <w:jc w:val="center"/>
        <w:spacing w:line="360" w:lineRule="auto"/>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r>
      <w:r/>
    </w:p>
    <w:p>
      <w:pPr>
        <w:jc w:val="center"/>
        <w:spacing w:line="360" w:lineRule="auto"/>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2026年8月</w:t>
      </w:r>
      <w:r/>
    </w:p>
    <w:p>
      <w:pPr>
        <w:jc w:val="center"/>
        <w:spacing w:line="360" w:lineRule="auto"/>
        <w:widowControl/>
        <w:rPr>
          <w:rFonts w:hint="eastAsia" w:cs="仿宋" w:asciiTheme="minorEastAsia" w:hAnsiTheme="minorEastAsia" w:eastAsiaTheme="minorEastAsia"/>
          <w:b/>
          <w:color w:val="000000" w:themeColor="text1"/>
          <w:sz w:val="36"/>
          <w:szCs w:val="36"/>
        </w:rPr>
      </w:pPr>
      <w:r>
        <w:rPr>
          <w:rFonts w:hint="eastAsia" w:cs="仿宋" w:asciiTheme="minorEastAsia" w:hAnsiTheme="minorEastAsia" w:eastAsiaTheme="minorEastAsia"/>
          <w:b/>
          <w:color w:val="000000" w:themeColor="text1"/>
          <w:sz w:val="36"/>
          <w:szCs w:val="36"/>
        </w:rPr>
        <w:t xml:space="preserve">目  录</w:t>
      </w:r>
      <w:r/>
    </w:p>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pStyle w:val="101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begin"/>
      </w:r>
      <w:r>
        <w:rPr>
          <w:rFonts w:hint="eastAsia" w:cs="仿宋" w:asciiTheme="minorEastAsia" w:hAnsiTheme="minorEastAsia" w:eastAsiaTheme="minorEastAsia"/>
          <w:b/>
          <w:color w:val="000000" w:themeColor="text1"/>
          <w:sz w:val="28"/>
          <w:szCs w:val="21"/>
        </w:rPr>
        <w:instrText xml:space="preserve">TOC  \* MERGEFORMAT</w:instrText>
      </w:r>
      <w:r>
        <w:rPr>
          <w:rFonts w:hint="eastAsia" w:cs="仿宋" w:asciiTheme="minorEastAsia" w:hAnsiTheme="minorEastAsia" w:eastAsiaTheme="minorEastAsia"/>
          <w:b/>
          <w:color w:val="000000" w:themeColor="text1"/>
          <w:sz w:val="28"/>
          <w:szCs w:val="21"/>
        </w:rPr>
        <w:fldChar w:fldCharType="separate"/>
      </w:r>
      <w:r>
        <w:rPr>
          <w:rFonts w:hint="eastAsia" w:cs="仿宋" w:asciiTheme="minorEastAsia" w:hAnsiTheme="minorEastAsia" w:eastAsiaTheme="minorEastAsia"/>
          <w:b/>
          <w:color w:val="000000" w:themeColor="text1"/>
          <w:sz w:val="28"/>
          <w:szCs w:val="21"/>
        </w:rPr>
        <w:t xml:space="preserve">第一章 招标公告</w:t>
      </w:r>
      <w:r/>
    </w:p>
    <w:p>
      <w:pPr>
        <w:pStyle w:val="101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第二章 投标人须知</w:t>
      </w:r>
      <w:r/>
    </w:p>
    <w:p>
      <w:pPr>
        <w:pStyle w:val="101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第三章 采购需求</w:t>
      </w:r>
      <w:r/>
    </w:p>
    <w:p>
      <w:pPr>
        <w:pStyle w:val="101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第四章 评标办法及标准</w:t>
      </w:r>
      <w:r/>
    </w:p>
    <w:p>
      <w:pPr>
        <w:pStyle w:val="101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第五章 合同条款</w:t>
      </w:r>
      <w:r/>
    </w:p>
    <w:p>
      <w:pPr>
        <w:pStyle w:val="1011"/>
        <w:spacing w:line="36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end"/>
      </w:r>
      <w:r>
        <w:rPr>
          <w:rFonts w:hint="eastAsia" w:cs="仿宋" w:asciiTheme="minorEastAsia" w:hAnsiTheme="minorEastAsia" w:eastAsiaTheme="minorEastAsia"/>
          <w:b/>
          <w:color w:val="000000" w:themeColor="text1"/>
          <w:sz w:val="28"/>
          <w:szCs w:val="21"/>
        </w:rPr>
        <w:t xml:space="preserve">第六章 投标文件格式</w:t>
      </w:r>
      <w:r/>
    </w:p>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jc w:val="center"/>
        <w:spacing w:line="360" w:lineRule="auto"/>
        <w:widowControl/>
        <w:rPr>
          <w:rFonts w:hint="eastAsia" w:cs="仿宋" w:asciiTheme="minorEastAsia" w:hAnsiTheme="minorEastAsia" w:eastAsiaTheme="minorEastAsia"/>
          <w:b/>
          <w:color w:val="000000" w:themeColor="text1"/>
          <w:spacing w:val="15"/>
          <w:sz w:val="32"/>
          <w:szCs w:val="32"/>
        </w:rPr>
      </w:pPr>
      <w:r>
        <w:rPr>
          <w:rFonts w:hint="eastAsia" w:cs="仿宋" w:asciiTheme="minorEastAsia" w:hAnsiTheme="minorEastAsia" w:eastAsiaTheme="minorEastAsia"/>
          <w:color w:val="000000" w:themeColor="text1"/>
          <w:sz w:val="21"/>
          <w:szCs w:val="21"/>
        </w:rPr>
        <w:br w:type="page" w:clear="all"/>
      </w:r>
      <w:bookmarkStart w:id="0" w:name="_Hlk198730228"/>
      <w:r/>
      <w:bookmarkStart w:id="1" w:name="_Toc409438817"/>
      <w:r/>
      <w:bookmarkStart w:id="2" w:name="_Toc388026584"/>
      <w:r>
        <w:rPr>
          <w:rFonts w:hint="eastAsia" w:cs="仿宋" w:asciiTheme="minorEastAsia" w:hAnsiTheme="minorEastAsia" w:eastAsiaTheme="minorEastAsia"/>
          <w:b/>
          <w:color w:val="000000" w:themeColor="text1"/>
          <w:spacing w:val="15"/>
          <w:sz w:val="32"/>
          <w:szCs w:val="32"/>
        </w:rPr>
        <w:t xml:space="preserve">第一章</w:t>
      </w:r>
      <w:r>
        <w:rPr>
          <w:rFonts w:hint="eastAsia" w:cs="宋体" w:asciiTheme="minorEastAsia" w:hAnsiTheme="minorEastAsia" w:eastAsiaTheme="minorEastAsia"/>
          <w:color w:val="000000" w:themeColor="text1"/>
          <w:sz w:val="32"/>
          <w:szCs w:val="32"/>
        </w:rPr>
        <w:t xml:space="preserve"> </w:t>
      </w:r>
      <w:bookmarkStart w:id="3" w:name="_Toc417477665"/>
      <w:r/>
      <w:bookmarkStart w:id="4" w:name="_Toc228679947"/>
      <w:r/>
      <w:bookmarkStart w:id="5" w:name="_Toc258329824"/>
      <w:r/>
      <w:bookmarkEnd w:id="3"/>
      <w:r/>
      <w:bookmarkEnd w:id="4"/>
      <w:r/>
      <w:bookmarkEnd w:id="5"/>
      <w:r>
        <w:rPr>
          <w:rFonts w:hint="eastAsia" w:cs="仿宋" w:asciiTheme="minorEastAsia" w:hAnsiTheme="minorEastAsia" w:eastAsiaTheme="minorEastAsia"/>
          <w:b/>
          <w:color w:val="000000" w:themeColor="text1"/>
          <w:spacing w:val="15"/>
          <w:sz w:val="32"/>
          <w:szCs w:val="32"/>
        </w:rPr>
        <w:t xml:space="preserve">招标公告</w:t>
      </w:r>
      <w:r/>
    </w:p>
    <w:p>
      <w:pPr>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rPr>
        <w:t xml:space="preserve">项目概况</w:t>
      </w:r>
      <w:r/>
    </w:p>
    <w:p>
      <w:pPr>
        <w:ind w:firstLine="488"/>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rPr>
        <w:t xml:space="preserve">重大慢病防控基地建设设备采购项目</w:t>
      </w:r>
      <w:r>
        <w:rPr>
          <w:rFonts w:hint="eastAsia" w:cs="仿宋" w:asciiTheme="minorEastAsia" w:hAnsiTheme="minorEastAsia" w:eastAsiaTheme="minorEastAsia"/>
          <w:color w:val="000000" w:themeColor="text1"/>
          <w:sz w:val="24"/>
          <w:szCs w:val="24"/>
        </w:rPr>
        <w:t xml:space="preserve">招标项目的潜在投标人可在“江苏政府采购网</w:t>
      </w:r>
      <w:r>
        <w:rPr>
          <w:rFonts w:hint="eastAsia" w:cs="仿宋" w:asciiTheme="minorEastAsia" w:hAnsiTheme="minorEastAsia" w:eastAsiaTheme="minorEastAsia"/>
          <w:color w:val="000000" w:themeColor="text1"/>
          <w:sz w:val="24"/>
          <w:szCs w:val="24"/>
          <w:u w:val="single"/>
        </w:rPr>
        <w:t xml:space="preserve">-苏采云”系统</w:t>
      </w:r>
      <w:r>
        <w:rPr>
          <w:rFonts w:hint="eastAsia" w:cs="仿宋" w:asciiTheme="minorEastAsia" w:hAnsiTheme="minorEastAsia" w:eastAsiaTheme="minorEastAsia"/>
          <w:color w:val="000000" w:themeColor="text1"/>
          <w:sz w:val="24"/>
          <w:szCs w:val="24"/>
        </w:rPr>
        <w:t xml:space="preserve">自行下载招标文件 </w:t>
      </w:r>
      <w:hyperlink r:id="rId16" w:tooltip="http://jszfcg.jsczt.cn/）获取招标文件，并于2023年11月" w:history="1">
        <w:r>
          <w:rPr>
            <w:rStyle w:val="856"/>
            <w:rFonts w:hint="eastAsia" w:cs="仿宋" w:asciiTheme="minorEastAsia" w:hAnsiTheme="minorEastAsia" w:eastAsiaTheme="minorEastAsia"/>
            <w:color w:val="000000" w:themeColor="text1"/>
            <w:sz w:val="24"/>
            <w:szCs w:val="24"/>
            <w:u w:val="none"/>
          </w:rPr>
          <w:t xml:space="preserve">，并于</w:t>
        </w:r>
        <w:r>
          <w:rPr>
            <w:rStyle w:val="856"/>
            <w:rFonts w:hint="eastAsia" w:cs="仿宋" w:asciiTheme="minorEastAsia" w:hAnsiTheme="minorEastAsia" w:eastAsiaTheme="minorEastAsia"/>
            <w:color w:val="000000" w:themeColor="text1"/>
            <w:sz w:val="24"/>
            <w:szCs w:val="24"/>
          </w:rPr>
          <w:t xml:space="preserve">2026年</w:t>
        </w:r>
        <w:r>
          <w:rPr>
            <w:rStyle w:val="856"/>
            <w:rFonts w:cs="仿宋" w:asciiTheme="minorEastAsia" w:hAnsiTheme="minorEastAsia" w:eastAsiaTheme="minorEastAsia"/>
            <w:color w:val="000000" w:themeColor="text1"/>
            <w:sz w:val="24"/>
            <w:szCs w:val="24"/>
          </w:rPr>
          <w:t xml:space="preserve">9</w:t>
        </w:r>
        <w:r>
          <w:rPr>
            <w:rStyle w:val="856"/>
            <w:rFonts w:hint="eastAsia" w:cs="仿宋" w:asciiTheme="minorEastAsia" w:hAnsiTheme="minorEastAsia" w:eastAsiaTheme="minorEastAsia"/>
            <w:color w:val="000000" w:themeColor="text1"/>
            <w:sz w:val="24"/>
            <w:szCs w:val="24"/>
          </w:rPr>
          <w:t xml:space="preserve">月</w:t>
        </w:r>
      </w:hyperlink>
      <w:r>
        <w:rPr>
          <w:rFonts w:hint="eastAsia" w:cs="仿宋" w:asciiTheme="minorEastAsia" w:hAnsiTheme="minorEastAsia" w:eastAsiaTheme="minorEastAsia"/>
          <w:color w:val="000000" w:themeColor="text1"/>
          <w:sz w:val="24"/>
          <w:szCs w:val="24"/>
          <w:u w:val="single"/>
        </w:rPr>
        <w:t xml:space="preserve">8日1</w:t>
      </w:r>
      <w:r>
        <w:rPr>
          <w:rFonts w:cs="仿宋" w:asciiTheme="minorEastAsia" w:hAnsiTheme="minorEastAsia" w:eastAsiaTheme="minorEastAsia"/>
          <w:color w:val="000000" w:themeColor="text1"/>
          <w:sz w:val="24"/>
          <w:szCs w:val="24"/>
          <w:u w:val="single"/>
        </w:rPr>
        <w:t xml:space="preserve">0</w:t>
      </w:r>
      <w:r>
        <w:rPr>
          <w:rFonts w:hint="eastAsia" w:cs="仿宋" w:asciiTheme="minorEastAsia" w:hAnsiTheme="minorEastAsia" w:eastAsiaTheme="minorEastAsia"/>
          <w:color w:val="000000" w:themeColor="text1"/>
          <w:sz w:val="24"/>
          <w:szCs w:val="24"/>
          <w:u w:val="single"/>
        </w:rPr>
        <w:t xml:space="preserve">时</w:t>
      </w:r>
      <w:r>
        <w:rPr>
          <w:rFonts w:hint="eastAsia" w:cs="仿宋" w:asciiTheme="minorEastAsia" w:hAnsiTheme="minorEastAsia" w:eastAsiaTheme="minorEastAsia"/>
          <w:color w:val="000000" w:themeColor="text1"/>
          <w:sz w:val="24"/>
          <w:szCs w:val="24"/>
          <w:u w:val="single"/>
        </w:rPr>
        <w:t xml:space="preserve">0</w:t>
      </w:r>
      <w:r>
        <w:rPr>
          <w:rFonts w:hint="eastAsia" w:cs="仿宋" w:asciiTheme="minorEastAsia" w:hAnsiTheme="minorEastAsia" w:eastAsiaTheme="minorEastAsia"/>
          <w:color w:val="000000" w:themeColor="text1"/>
          <w:sz w:val="24"/>
          <w:szCs w:val="24"/>
          <w:u w:val="single"/>
        </w:rPr>
        <w:t xml:space="preserve">0分</w:t>
      </w:r>
      <w:r>
        <w:rPr>
          <w:rFonts w:hint="eastAsia" w:cs="仿宋" w:asciiTheme="minorEastAsia" w:hAnsiTheme="minorEastAsia" w:eastAsiaTheme="minorEastAsia"/>
          <w:bCs/>
          <w:color w:val="000000" w:themeColor="text1"/>
          <w:sz w:val="24"/>
          <w:szCs w:val="24"/>
        </w:rPr>
        <w:t xml:space="preserve">（北京时间）前上传投标文件</w:t>
      </w:r>
      <w:r>
        <w:rPr>
          <w:rFonts w:hint="eastAsia" w:cs="仿宋" w:asciiTheme="minorEastAsia" w:hAnsiTheme="minorEastAsia" w:eastAsiaTheme="minorEastAsia"/>
          <w:color w:val="000000" w:themeColor="text1"/>
          <w:sz w:val="24"/>
          <w:szCs w:val="24"/>
        </w:rPr>
        <w:t xml:space="preserve">。</w:t>
      </w:r>
      <w:r/>
    </w:p>
    <w:p>
      <w:pPr>
        <w:pStyle w:val="1012"/>
        <w:spacing w:before="0" w:after="0" w:line="360" w:lineRule="auto"/>
        <w:rPr>
          <w:rFonts w:hint="eastAsia" w:cs="仿宋" w:asciiTheme="minorEastAsia" w:hAnsiTheme="minorEastAsia" w:eastAsiaTheme="minorEastAsia"/>
          <w:bCs w:val="0"/>
          <w:color w:val="000000" w:themeColor="text1"/>
          <w:sz w:val="24"/>
          <w:szCs w:val="24"/>
        </w:rPr>
      </w:pPr>
      <w:r/>
      <w:bookmarkStart w:id="6" w:name="_Toc28359002"/>
      <w:r/>
      <w:bookmarkStart w:id="7" w:name="_Toc35393790"/>
      <w:r/>
      <w:bookmarkStart w:id="8" w:name="_Toc35393621"/>
      <w:r/>
      <w:bookmarkStart w:id="9" w:name="_Toc28359079"/>
      <w:r/>
      <w:bookmarkStart w:id="10" w:name="_Hlk24379207"/>
      <w:r>
        <w:rPr>
          <w:rFonts w:hint="eastAsia" w:cs="仿宋" w:asciiTheme="minorEastAsia" w:hAnsiTheme="minorEastAsia" w:eastAsiaTheme="minorEastAsia"/>
          <w:bCs w:val="0"/>
          <w:color w:val="000000" w:themeColor="text1"/>
          <w:sz w:val="24"/>
          <w:szCs w:val="24"/>
        </w:rPr>
        <w:t xml:space="preserve">一、项目基本情况</w:t>
      </w:r>
      <w:bookmarkEnd w:id="6"/>
      <w:r/>
      <w:bookmarkEnd w:id="7"/>
      <w:r/>
      <w:bookmarkEnd w:id="8"/>
      <w:r/>
      <w:bookmarkEnd w:id="9"/>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w:t>
      </w:r>
      <w:r>
        <w:rPr>
          <w:rFonts w:hint="eastAsia" w:cs="仿宋" w:asciiTheme="minorEastAsia" w:hAnsiTheme="minorEastAsia" w:eastAsiaTheme="minorEastAsia"/>
          <w:color w:val="000000" w:themeColor="text1"/>
          <w:sz w:val="24"/>
          <w:szCs w:val="24"/>
        </w:rPr>
        <w:t xml:space="preserve">JSZC-321283-HWZX-G2026-0466</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采购代理编号：0675-266JOC003663</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bookmarkEnd w:id="10"/>
      <w:r>
        <w:rPr>
          <w:rFonts w:hint="eastAsia" w:cs="仿宋" w:asciiTheme="minorEastAsia" w:hAnsiTheme="minorEastAsia" w:eastAsiaTheme="minorEastAsia"/>
          <w:color w:val="000000" w:themeColor="text1"/>
          <w:sz w:val="24"/>
          <w:szCs w:val="24"/>
        </w:rPr>
        <w:t xml:space="preserve">重大慢病防控基地建设设备采购项目</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预算金额：</w:t>
      </w:r>
      <w:r>
        <w:rPr>
          <w:rFonts w:hint="eastAsia" w:cs="仿宋" w:asciiTheme="minorEastAsia" w:hAnsiTheme="minorEastAsia" w:eastAsiaTheme="minorEastAsia"/>
          <w:color w:val="000000" w:themeColor="text1"/>
          <w:sz w:val="24"/>
          <w:szCs w:val="24"/>
        </w:rPr>
        <w:t xml:space="preserve">800</w:t>
      </w:r>
      <w:r>
        <w:rPr>
          <w:rFonts w:hint="eastAsia" w:cs="仿宋" w:asciiTheme="minorEastAsia" w:hAnsiTheme="minorEastAsia" w:eastAsiaTheme="minorEastAsia"/>
          <w:color w:val="000000" w:themeColor="text1"/>
          <w:sz w:val="24"/>
          <w:szCs w:val="24"/>
        </w:rPr>
        <w:t xml:space="preserve">万元</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最高限价：703.8万元</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采购需求： </w:t>
      </w:r>
      <w:r/>
    </w:p>
    <w:tbl>
      <w:tblPr>
        <w:tblStyle w:val="1039"/>
        <w:tblW w:w="4877"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575"/>
        <w:gridCol w:w="4030"/>
        <w:gridCol w:w="803"/>
        <w:gridCol w:w="1624"/>
        <w:gridCol w:w="1058"/>
      </w:tblGrid>
      <w:tr>
        <w:trPr>
          <w:jc w:val="center"/>
          <w:trHeight w:val="1041"/>
        </w:trPr>
        <w:tc>
          <w:tcPr>
            <w:tcW w:w="3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49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49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00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预算/最高限价</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（万元）</w:t>
            </w:r>
            <w:r/>
          </w:p>
        </w:tc>
        <w:tc>
          <w:tcPr>
            <w:tcW w:w="65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是否接受进口产品</w:t>
            </w:r>
            <w:r/>
          </w:p>
        </w:tc>
      </w:tr>
      <w:tr>
        <w:trPr>
          <w:jc w:val="center"/>
          <w:trHeight w:val="1003" w:hRule="exact"/>
        </w:trPr>
        <w:tc>
          <w:tcPr>
            <w:shd w:val="clear" w:color="auto" w:fill="ffffff"/>
            <w:tcW w:w="3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W w:w="2490" w:type="pct"/>
            <w:vAlign w:val="center"/>
            <w:textDirection w:val="lrTb"/>
            <w:noWrap w:val="false"/>
          </w:tcPr>
          <w:p>
            <w:pPr>
              <w:jc w:val="center"/>
              <w:spacing w:line="360" w:lineRule="auto"/>
              <w:rPr>
                <w:rFonts w:hint="eastAsia" w:ascii="宋体" w:hAnsi="宋体" w:cs="宋体" w:eastAsiaTheme="minorEastAsia"/>
                <w:sz w:val="24"/>
                <w:szCs w:val="24"/>
              </w:rPr>
            </w:pPr>
            <w:r>
              <w:rPr>
                <w:rFonts w:cs="仿宋" w:asciiTheme="minorEastAsia" w:hAnsiTheme="minorEastAsia" w:eastAsiaTheme="minorEastAsia"/>
                <w:color w:val="000000" w:themeColor="text1"/>
                <w:sz w:val="24"/>
                <w:szCs w:val="24"/>
              </w:rPr>
              <w:t xml:space="preserve">肺功能仪和慢病手环</w:t>
            </w:r>
            <w:r/>
          </w:p>
        </w:tc>
        <w:tc>
          <w:tcPr>
            <w:shd w:val="clear" w:color="auto" w:fill="ffffff"/>
            <w:tcW w:w="49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207台</w:t>
            </w:r>
            <w:r/>
          </w:p>
        </w:tc>
        <w:tc>
          <w:tcPr>
            <w:shd w:val="clear" w:color="auto" w:fill="ffffff"/>
            <w:tcW w:w="100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441.4/393.3</w:t>
            </w:r>
            <w:r/>
          </w:p>
        </w:tc>
        <w:tc>
          <w:tcPr>
            <w:shd w:val="clear" w:color="auto" w:fill="ffffff"/>
            <w:tcW w:w="654" w:type="pct"/>
            <w:vAlign w:val="center"/>
            <w:vMerge w:val="restar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否</w:t>
            </w:r>
            <w:r/>
          </w:p>
        </w:tc>
      </w:tr>
      <w:tr>
        <w:trPr>
          <w:jc w:val="center"/>
          <w:trHeight w:val="1003" w:hRule="exact"/>
        </w:trPr>
        <w:tc>
          <w:tcPr>
            <w:shd w:val="clear" w:color="auto" w:fill="ffffff"/>
            <w:tcW w:w="3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ffffff"/>
            <w:tcW w:w="2490"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cs="仿宋" w:asciiTheme="minorEastAsia" w:hAnsiTheme="minorEastAsia" w:eastAsiaTheme="minorEastAsia"/>
                <w:color w:val="000000" w:themeColor="text1"/>
                <w:sz w:val="24"/>
                <w:szCs w:val="24"/>
              </w:rPr>
              <w:t xml:space="preserve">远程心电设备</w:t>
            </w:r>
            <w:r/>
          </w:p>
        </w:tc>
        <w:tc>
          <w:tcPr>
            <w:shd w:val="clear" w:color="auto" w:fill="ffffff"/>
            <w:tcW w:w="49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207套</w:t>
            </w:r>
            <w:r/>
          </w:p>
        </w:tc>
        <w:tc>
          <w:tcPr>
            <w:shd w:val="clear" w:color="auto" w:fill="ffffff"/>
            <w:tcW w:w="1004"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358.6/310.5</w:t>
            </w:r>
            <w:r/>
          </w:p>
        </w:tc>
        <w:tc>
          <w:tcPr>
            <w:shd w:val="clear" w:color="auto" w:fill="ffffff"/>
            <w:tcW w:w="654" w:type="pct"/>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1013"/>
        <w:ind w:firstLine="480"/>
        <w:spacing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合同履行期限：合同签订后一个月内</w:t>
      </w:r>
      <w:r/>
    </w:p>
    <w:p>
      <w:pPr>
        <w:pStyle w:val="1013"/>
        <w:ind w:firstLine="480"/>
        <w:spacing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本项目不接受联合体投标。</w:t>
      </w:r>
      <w:r/>
    </w:p>
    <w:p>
      <w:pPr>
        <w:pStyle w:val="1012"/>
        <w:spacing w:before="0" w:after="0" w:line="360" w:lineRule="auto"/>
        <w:rPr>
          <w:rFonts w:hint="eastAsia" w:cs="仿宋" w:asciiTheme="minorEastAsia" w:hAnsiTheme="minorEastAsia" w:eastAsiaTheme="minorEastAsia"/>
          <w:bCs w:val="0"/>
          <w:color w:val="000000" w:themeColor="text1"/>
          <w:sz w:val="24"/>
          <w:szCs w:val="24"/>
        </w:rPr>
      </w:pPr>
      <w:r/>
      <w:bookmarkStart w:id="11" w:name="_Toc28359080"/>
      <w:r/>
      <w:bookmarkStart w:id="12" w:name="_Toc35393622"/>
      <w:r/>
      <w:bookmarkStart w:id="13" w:name="_Toc35393791"/>
      <w:r/>
      <w:bookmarkStart w:id="14" w:name="_Toc28359003"/>
      <w:r>
        <w:rPr>
          <w:rFonts w:hint="eastAsia" w:cs="仿宋" w:asciiTheme="minorEastAsia" w:hAnsiTheme="minorEastAsia" w:eastAsiaTheme="minorEastAsia"/>
          <w:bCs w:val="0"/>
          <w:color w:val="000000" w:themeColor="text1"/>
          <w:sz w:val="24"/>
          <w:szCs w:val="24"/>
        </w:rPr>
        <w:t xml:space="preserve">二、申请人的资格要求：</w:t>
      </w:r>
      <w:bookmarkEnd w:id="11"/>
      <w:r/>
      <w:bookmarkEnd w:id="12"/>
      <w:r/>
      <w:bookmarkEnd w:id="13"/>
      <w:r/>
      <w:bookmarkEnd w:id="14"/>
      <w:r/>
      <w:r/>
    </w:p>
    <w:p>
      <w:pPr>
        <w:ind w:firstLine="564"/>
        <w:spacing w:line="360" w:lineRule="auto"/>
        <w:widowControl/>
        <w:rPr>
          <w:rFonts w:hint="eastAsia" w:ascii="宋体" w:hAnsi="宋体" w:eastAsia="宋体"/>
          <w:bCs/>
          <w:sz w:val="24"/>
          <w:szCs w:val="24"/>
        </w:rPr>
      </w:pPr>
      <w:r/>
      <w:bookmarkStart w:id="15" w:name="_Toc35393623"/>
      <w:r/>
      <w:bookmarkStart w:id="16" w:name="_Toc28359004"/>
      <w:r/>
      <w:bookmarkStart w:id="17" w:name="_Toc28359081"/>
      <w:r/>
      <w:bookmarkStart w:id="18" w:name="_Toc35393792"/>
      <w:r>
        <w:rPr>
          <w:rFonts w:hint="eastAsia" w:ascii="宋体" w:hAnsi="宋体" w:eastAsia="宋体"/>
          <w:bCs/>
          <w:sz w:val="24"/>
          <w:szCs w:val="24"/>
        </w:rPr>
        <w:t xml:space="preserve">（一）通用资格要求</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1、满足《中华人民共和国政府采购法》第二十二条规定，并提供下列材料：</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1.1具有独立承担民事责任的能力；</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1.2具有良好的商业信誉和健全的财务会计制度；</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1.3有依法缴纳税收和社会保障资金的良好记录；</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1.4具有履行合同所必需的设备和专业技术能力；</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1.5参加政府采购活动前3年内在经营活动中没有重大违法记录；</w:t>
      </w:r>
      <w:r/>
    </w:p>
    <w:p>
      <w:pPr>
        <w:ind w:firstLine="564"/>
        <w:spacing w:line="360" w:lineRule="auto"/>
        <w:widowControl/>
        <w:rPr>
          <w:rFonts w:hint="eastAsia" w:ascii="宋体" w:hAnsi="宋体" w:eastAsia="宋体"/>
          <w:bCs/>
          <w:sz w:val="24"/>
          <w:szCs w:val="24"/>
        </w:rPr>
      </w:pPr>
      <w:r>
        <w:rPr>
          <w:rFonts w:hint="eastAsia" w:ascii="宋体" w:hAnsi="宋体" w:eastAsia="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bCs/>
          <w:sz w:val="24"/>
          <w:szCs w:val="24"/>
        </w:rPr>
      </w:pPr>
      <w:r>
        <w:rPr>
          <w:rFonts w:hint="eastAsia" w:ascii="宋体" w:hAnsi="宋体" w:eastAsia="宋体"/>
          <w:sz w:val="24"/>
          <w:szCs w:val="24"/>
        </w:rPr>
        <w:t xml:space="preserve">3、落实政府采购政策需满足的资格要求：</w:t>
      </w:r>
      <w:r/>
    </w:p>
    <w:p>
      <w:pPr>
        <w:ind w:firstLine="480"/>
        <w:spacing w:line="360" w:lineRule="auto"/>
        <w:rPr>
          <w:rFonts w:hint="eastAsia" w:ascii="宋体" w:hAnsi="宋体" w:eastAsia="宋体"/>
          <w:bCs/>
          <w:sz w:val="24"/>
          <w:szCs w:val="24"/>
        </w:rPr>
      </w:pPr>
      <w:r>
        <w:rPr>
          <w:rFonts w:ascii="宋体" w:hAnsi="宋体" w:eastAsia="宋体"/>
          <w:bCs/>
          <w:sz w:val="24"/>
          <w:szCs w:val="24"/>
        </w:rPr>
        <w:t xml:space="preserve">3.1本项目属于</w:t>
      </w:r>
      <w:r>
        <w:rPr>
          <w:rFonts w:ascii="宋体" w:hAnsi="宋体" w:eastAsia="宋体"/>
          <w:bCs/>
          <w:sz w:val="24"/>
          <w:szCs w:val="24"/>
          <w:u w:val="single"/>
        </w:rPr>
        <w:t xml:space="preserve">货物类</w:t>
      </w:r>
      <w:r>
        <w:rPr>
          <w:rFonts w:ascii="宋体" w:hAnsi="宋体" w:eastAsia="宋体"/>
          <w:bCs/>
          <w:sz w:val="24"/>
          <w:szCs w:val="24"/>
        </w:rPr>
        <w:t xml:space="preserve">采购。根据《政府采购促进中小企业发展管理办法》（财库〔2020〕46号）、《关于做好政府采购支持企业发展有关事项的通知》(苏财购</w:t>
      </w:r>
      <w:r>
        <w:rPr>
          <w:rFonts w:ascii="宋体" w:hAnsi="宋体" w:eastAsia="宋体"/>
          <w:bCs/>
          <w:sz w:val="24"/>
          <w:szCs w:val="24"/>
        </w:rPr>
        <w:t xml:space="preserve">(2020)</w:t>
      </w:r>
      <w:r>
        <w:rPr>
          <w:rFonts w:ascii="宋体" w:hAnsi="宋体" w:eastAsia="宋体"/>
          <w:bCs/>
          <w:sz w:val="24"/>
          <w:szCs w:val="24"/>
        </w:rPr>
        <w:t xml:space="preserve">52</w:t>
      </w:r>
      <w:r>
        <w:rPr>
          <w:rFonts w:ascii="宋体" w:hAnsi="宋体" w:eastAsia="宋体"/>
          <w:bCs/>
          <w:sz w:val="24"/>
          <w:szCs w:val="24"/>
        </w:rPr>
        <w:t xml:space="preserve">号)</w:t>
      </w:r>
      <w:r>
        <w:rPr>
          <w:rFonts w:ascii="宋体" w:hAnsi="宋体" w:eastAsia="宋体"/>
          <w:bCs/>
          <w:sz w:val="24"/>
          <w:szCs w:val="24"/>
        </w:rPr>
        <w:t xml:space="preserve">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eastAsia="宋体"/>
          <w:bCs/>
          <w:sz w:val="24"/>
          <w:szCs w:val="24"/>
        </w:rPr>
        <w:t xml:space="preserve">供应商</w:t>
      </w:r>
      <w:r>
        <w:rPr>
          <w:rFonts w:ascii="宋体" w:hAnsi="宋体" w:eastAsia="宋体"/>
          <w:bCs/>
          <w:sz w:val="24"/>
          <w:szCs w:val="24"/>
        </w:rPr>
        <w:t xml:space="preserve">企业规模。（</w:t>
      </w:r>
      <w:r>
        <w:rPr>
          <w:rFonts w:hint="eastAsia" w:ascii="宋体" w:hAnsi="宋体" w:eastAsia="宋体"/>
          <w:bCs/>
          <w:sz w:val="24"/>
          <w:szCs w:val="24"/>
        </w:rPr>
        <w:t xml:space="preserve">供应商</w:t>
      </w:r>
      <w:r>
        <w:rPr>
          <w:rFonts w:ascii="宋体" w:hAnsi="宋体" w:eastAsia="宋体"/>
          <w:bCs/>
          <w:sz w:val="24"/>
          <w:szCs w:val="24"/>
        </w:rPr>
        <w:t xml:space="preserve">必须提供</w:t>
      </w:r>
      <w:r>
        <w:rPr>
          <w:rFonts w:hint="eastAsia" w:ascii="宋体" w:hAnsi="宋体" w:eastAsia="宋体"/>
          <w:bCs/>
          <w:sz w:val="24"/>
          <w:szCs w:val="24"/>
        </w:rPr>
        <w:t xml:space="preserve">中小企业声明函</w:t>
      </w:r>
      <w:r>
        <w:rPr>
          <w:rFonts w:ascii="宋体" w:hAnsi="宋体" w:eastAsia="宋体"/>
          <w:bCs/>
          <w:sz w:val="24"/>
          <w:szCs w:val="24"/>
        </w:rPr>
        <w:t xml:space="preserve">（见格式））</w:t>
      </w:r>
      <w:r/>
    </w:p>
    <w:p>
      <w:pPr>
        <w:ind w:firstLine="480"/>
        <w:spacing w:line="360" w:lineRule="auto"/>
        <w:rPr>
          <w:rFonts w:hint="eastAsia" w:ascii="宋体" w:hAnsi="宋体" w:eastAsia="宋体"/>
          <w:sz w:val="24"/>
          <w:szCs w:val="24"/>
        </w:rPr>
      </w:pPr>
      <w:r>
        <w:rPr>
          <w:rFonts w:ascii="宋体" w:hAnsi="宋体" w:eastAsia="宋体"/>
          <w:bCs/>
          <w:sz w:val="24"/>
          <w:szCs w:val="24"/>
        </w:rPr>
        <w:t xml:space="preserve">3.2中小微企业划型标准请对照《关于印发中小企业划型标准规定的通知》（工信部联企业〔2011〕300号）（详见</w:t>
      </w:r>
      <w:r>
        <w:rPr>
          <w:rFonts w:hint="eastAsia" w:ascii="宋体" w:hAnsi="宋体" w:eastAsia="宋体"/>
          <w:bCs/>
          <w:sz w:val="24"/>
          <w:szCs w:val="24"/>
        </w:rPr>
        <w:t xml:space="preserve">格式</w:t>
      </w:r>
      <w:r>
        <w:rPr>
          <w:rFonts w:ascii="宋体" w:hAnsi="宋体" w:eastAsia="宋体"/>
          <w:bCs/>
          <w:sz w:val="24"/>
          <w:szCs w:val="24"/>
        </w:rPr>
        <w:t xml:space="preserve">）。本项目采购标的对应的行业主要为</w:t>
      </w:r>
      <w:r>
        <w:rPr>
          <w:rFonts w:ascii="宋体" w:hAnsi="宋体" w:eastAsia="宋体"/>
          <w:bCs/>
          <w:sz w:val="24"/>
          <w:szCs w:val="24"/>
          <w:u w:val="single"/>
        </w:rPr>
        <w:t xml:space="preserve">工业</w:t>
      </w:r>
      <w:r>
        <w:rPr>
          <w:rFonts w:ascii="宋体" w:hAnsi="宋体" w:eastAsia="宋体"/>
          <w:bCs/>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、本项目</w:t>
      </w:r>
      <w:r>
        <w:rPr>
          <w:rFonts w:hint="eastAsia" w:ascii="宋体" w:hAnsi="宋体" w:eastAsia="宋体"/>
          <w:sz w:val="24"/>
          <w:szCs w:val="24"/>
          <w:u w:val="single"/>
        </w:rPr>
        <w:t xml:space="preserve"> 不接受 </w:t>
      </w:r>
      <w:r>
        <w:rPr>
          <w:rFonts w:hint="eastAsia" w:ascii="宋体" w:hAnsi="宋体" w:eastAsia="宋体"/>
          <w:sz w:val="24"/>
          <w:szCs w:val="24"/>
        </w:rPr>
        <w:t xml:space="preserve">联合体投标。</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注：本文件所称进口产品是指通过中国海关报关验放进入中国境内且产自关境外的产品）。供应商必须是所投产品的制造商或代理商，代理商投标时须提供制造商的专项授权（如所投产品为进口产品）”</w:t>
      </w:r>
      <w:r/>
    </w:p>
    <w:p>
      <w:pPr>
        <w:ind w:firstLine="564"/>
        <w:spacing w:line="360" w:lineRule="auto"/>
        <w:widowControl/>
        <w:rPr>
          <w:rFonts w:hint="eastAsia" w:ascii="宋体" w:hAnsi="宋体" w:eastAsia="宋体"/>
          <w:bCs/>
          <w:sz w:val="24"/>
          <w:szCs w:val="24"/>
        </w:rPr>
      </w:pPr>
      <w:r>
        <w:rPr>
          <w:rFonts w:hint="eastAsia" w:ascii="宋体" w:hAnsi="宋体" w:eastAsia="宋体"/>
          <w:bCs/>
          <w:sz w:val="24"/>
          <w:szCs w:val="24"/>
        </w:rPr>
        <w:t xml:space="preserve">（二）本项目的特定资格要求：</w:t>
      </w:r>
      <w:r/>
    </w:p>
    <w:p>
      <w:pPr>
        <w:ind w:firstLine="564"/>
        <w:spacing w:line="360" w:lineRule="auto"/>
        <w:rPr>
          <w:rFonts w:hint="eastAsia" w:ascii="宋体" w:hAnsi="宋体" w:eastAsia="宋体"/>
          <w:sz w:val="24"/>
          <w:szCs w:val="24"/>
        </w:rPr>
      </w:pPr>
      <w:r>
        <w:rPr>
          <w:rFonts w:hint="eastAsia" w:ascii="宋体" w:hAnsi="宋体" w:eastAsia="宋体"/>
          <w:bCs/>
          <w:sz w:val="24"/>
          <w:szCs w:val="24"/>
        </w:rPr>
        <w:t xml:space="preserve">投标人需提供三类医疗器械经营企业许可证/二类医疗器械经营备案凭证、所投产品医疗器械注册证/医疗器械产品注册登记表</w:t>
      </w:r>
      <w:bookmarkStart w:id="19" w:name="OLE_LINK1"/>
      <w:r>
        <w:rPr>
          <w:rFonts w:hint="eastAsia" w:ascii="宋体" w:hAnsi="宋体" w:eastAsia="宋体"/>
          <w:bCs/>
          <w:sz w:val="24"/>
          <w:szCs w:val="24"/>
        </w:rPr>
        <w:t xml:space="preserve">/</w:t>
      </w:r>
      <w:bookmarkEnd w:id="19"/>
      <w:r>
        <w:rPr>
          <w:rFonts w:hint="eastAsia" w:ascii="宋体" w:hAnsi="宋体" w:eastAsia="宋体"/>
          <w:bCs/>
          <w:sz w:val="24"/>
          <w:szCs w:val="24"/>
        </w:rPr>
        <w:t xml:space="preserve">医疗器械备案凭证；</w:t>
      </w:r>
      <w:r/>
    </w:p>
    <w:p>
      <w:pPr>
        <w:pStyle w:val="1012"/>
        <w:spacing w:before="0" w:after="0" w:line="360" w:lineRule="auto"/>
        <w:rPr>
          <w:rFonts w:hint="eastAsia"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三、获取招标文件</w:t>
      </w:r>
      <w:bookmarkEnd w:id="15"/>
      <w:r/>
      <w:bookmarkEnd w:id="16"/>
      <w:r/>
      <w:bookmarkEnd w:id="17"/>
      <w:r/>
      <w:bookmarkEnd w:id="18"/>
      <w:r>
        <w:rPr>
          <w:rFonts w:hint="eastAsia" w:cs="仿宋" w:asciiTheme="minorEastAsia" w:hAnsiTheme="minorEastAsia" w:eastAsiaTheme="minorEastAsia"/>
          <w:bCs w:val="0"/>
          <w:color w:val="000000" w:themeColor="text1"/>
          <w:sz w:val="24"/>
          <w:szCs w:val="24"/>
        </w:rPr>
        <w:t xml:space="preserve">：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时间：自招标文件公告发布之日起5个工作日。</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地点：投标人完成注册并办理CA证书后登录“江苏政府采购‘苏采云’系统”下载本项目招标文件。</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方式：登录江苏政府采购“苏采云”系统免费下载。</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售价：免费。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注意事项：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本项目采用网上注册登记方式。</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1.潜在投标人访问电子招标投标交易平台的网络地址和方法：</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（1）登录 http://jszfcg.jsczt.cn/，点击“苏采云”进入系统。</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2.采购代理机构将数据电文形式的招标文件加载至电子招标投标交易平台，供潜在投标人下载或者查阅。</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3.如潜在投标人未按上述要求操作，将自行承担所产生的风险。</w:t>
      </w:r>
      <w:r/>
    </w:p>
    <w:p>
      <w:pPr>
        <w:pStyle w:val="1012"/>
        <w:spacing w:before="0" w:after="0" w:line="360" w:lineRule="auto"/>
        <w:rPr>
          <w:rFonts w:hint="eastAsia" w:cs="仿宋" w:asciiTheme="minorEastAsia" w:hAnsiTheme="minorEastAsia" w:eastAsiaTheme="minorEastAsia"/>
          <w:bCs w:val="0"/>
          <w:color w:val="000000" w:themeColor="text1"/>
          <w:sz w:val="24"/>
          <w:szCs w:val="24"/>
        </w:rPr>
      </w:pPr>
      <w:r/>
      <w:bookmarkStart w:id="20" w:name="_Toc28359005"/>
      <w:r/>
      <w:bookmarkStart w:id="21" w:name="_Toc28359082"/>
      <w:r/>
      <w:bookmarkStart w:id="22" w:name="_Toc35393793"/>
      <w:r/>
      <w:bookmarkStart w:id="23" w:name="_Toc35393624"/>
      <w:r>
        <w:rPr>
          <w:rFonts w:hint="eastAsia" w:cs="仿宋" w:asciiTheme="minorEastAsia" w:hAnsiTheme="minorEastAsia" w:eastAsiaTheme="minorEastAsia"/>
          <w:bCs w:val="0"/>
          <w:color w:val="000000" w:themeColor="text1"/>
          <w:sz w:val="24"/>
          <w:szCs w:val="24"/>
        </w:rPr>
        <w:t xml:space="preserve">四、提交投标文件</w:t>
      </w:r>
      <w:bookmarkEnd w:id="20"/>
      <w:r/>
      <w:bookmarkEnd w:id="21"/>
      <w:r>
        <w:rPr>
          <w:rFonts w:hint="eastAsia" w:cs="仿宋" w:asciiTheme="minorEastAsia" w:hAnsiTheme="minorEastAsia" w:eastAsiaTheme="minorEastAsia"/>
          <w:bCs w:val="0"/>
          <w:color w:val="000000" w:themeColor="text1"/>
          <w:sz w:val="24"/>
          <w:szCs w:val="24"/>
        </w:rPr>
        <w:t xml:space="preserve">截止时间、开标时间和地点</w:t>
      </w:r>
      <w:bookmarkEnd w:id="22"/>
      <w:r/>
      <w:bookmarkEnd w:id="23"/>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时间：2026年</w:t>
      </w:r>
      <w:r>
        <w:rPr>
          <w:rFonts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8日1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0分（北京时间）</w:t>
      </w:r>
      <w:r/>
    </w:p>
    <w:p>
      <w:pPr>
        <w:ind w:firstLine="54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w:t>
      </w:r>
      <w:r/>
    </w:p>
    <w:p>
      <w:pPr>
        <w:pStyle w:val="1012"/>
        <w:spacing w:before="0" w:after="0" w:line="360" w:lineRule="auto"/>
        <w:rPr>
          <w:rFonts w:hint="eastAsia" w:cs="仿宋" w:asciiTheme="minorEastAsia" w:hAnsiTheme="minorEastAsia" w:eastAsiaTheme="minorEastAsia"/>
          <w:bCs w:val="0"/>
          <w:color w:val="000000" w:themeColor="text1"/>
          <w:sz w:val="24"/>
          <w:szCs w:val="24"/>
        </w:rPr>
      </w:pPr>
      <w:r/>
      <w:bookmarkStart w:id="24" w:name="_Toc28359084"/>
      <w:r/>
      <w:bookmarkStart w:id="25" w:name="_Toc35393625"/>
      <w:r/>
      <w:bookmarkStart w:id="26" w:name="_Toc28359007"/>
      <w:r/>
      <w:bookmarkStart w:id="27" w:name="_Toc35393794"/>
      <w:r>
        <w:rPr>
          <w:rFonts w:hint="eastAsia" w:cs="仿宋" w:asciiTheme="minorEastAsia" w:hAnsiTheme="minorEastAsia" w:eastAsiaTheme="minorEastAsia"/>
          <w:bCs w:val="0"/>
          <w:color w:val="000000" w:themeColor="text1"/>
          <w:sz w:val="24"/>
          <w:szCs w:val="24"/>
        </w:rPr>
        <w:t xml:space="preserve">五、公告期限</w:t>
      </w:r>
      <w:bookmarkEnd w:id="24"/>
      <w:r/>
      <w:bookmarkEnd w:id="25"/>
      <w:r/>
      <w:bookmarkEnd w:id="26"/>
      <w:r/>
      <w:bookmarkEnd w:id="27"/>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自本公告发布之日起5个工作日。</w:t>
      </w:r>
      <w:r/>
    </w:p>
    <w:p>
      <w:pPr>
        <w:pStyle w:val="1012"/>
        <w:spacing w:before="0" w:after="0" w:line="360" w:lineRule="auto"/>
        <w:rPr>
          <w:rFonts w:hint="eastAsia" w:cs="仿宋" w:asciiTheme="minorEastAsia" w:hAnsiTheme="minorEastAsia" w:eastAsiaTheme="minorEastAsia"/>
          <w:bCs w:val="0"/>
          <w:color w:val="000000" w:themeColor="text1"/>
          <w:sz w:val="24"/>
          <w:szCs w:val="24"/>
        </w:rPr>
      </w:pPr>
      <w:r/>
      <w:bookmarkStart w:id="28" w:name="_Toc35393626"/>
      <w:r/>
      <w:bookmarkStart w:id="29" w:name="_Toc35393795"/>
      <w:r>
        <w:rPr>
          <w:rFonts w:hint="eastAsia" w:cs="仿宋" w:asciiTheme="minorEastAsia" w:hAnsiTheme="minorEastAsia" w:eastAsiaTheme="minorEastAsia"/>
          <w:bCs w:val="0"/>
          <w:color w:val="000000" w:themeColor="text1"/>
          <w:sz w:val="24"/>
          <w:szCs w:val="24"/>
        </w:rPr>
        <w:t xml:space="preserve">六、其他补充事宜</w:t>
      </w:r>
      <w:bookmarkEnd w:id="28"/>
      <w:r/>
      <w:bookmarkEnd w:id="29"/>
      <w:r/>
      <w:r/>
    </w:p>
    <w:p>
      <w:pPr>
        <w:ind w:firstLine="48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bookmarkStart w:id="30" w:name="_Toc35393627"/>
      <w:r/>
      <w:bookmarkStart w:id="31" w:name="_Toc35393796"/>
      <w:r/>
      <w:bookmarkStart w:id="32" w:name="_Toc28359008"/>
      <w:r/>
      <w:bookmarkStart w:id="33" w:name="_Toc28359085"/>
      <w:r>
        <w:rPr>
          <w:rFonts w:hint="eastAsia" w:ascii="宋体" w:hAnsi="宋体" w:eastAsia="宋体" w:cs="宋体"/>
          <w:bCs/>
          <w:sz w:val="24"/>
          <w:szCs w:val="24"/>
        </w:rPr>
        <w:t xml:space="preserve">1、本项目不收取</w:t>
      </w:r>
      <w:r>
        <w:rPr>
          <w:rFonts w:ascii="宋体" w:hAnsi="宋体" w:eastAsia="宋体" w:cs="宋体"/>
          <w:bCs/>
          <w:sz w:val="24"/>
          <w:szCs w:val="24"/>
        </w:rPr>
        <w:t xml:space="preserve">投标</w:t>
      </w:r>
      <w:r>
        <w:rPr>
          <w:rFonts w:hint="eastAsia" w:ascii="宋体" w:hAnsi="宋体" w:eastAsia="宋体" w:cs="宋体"/>
          <w:bCs/>
          <w:sz w:val="24"/>
          <w:szCs w:val="24"/>
        </w:rPr>
        <w:t xml:space="preserve">保证金</w:t>
      </w:r>
      <w:r>
        <w:rPr>
          <w:rFonts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rPr>
        <w:t xml:space="preserve">2</w:t>
      </w:r>
      <w:r>
        <w:rPr>
          <w:rFonts w:hint="eastAsia" w:ascii="宋体" w:hAnsi="宋体" w:eastAsia="宋体" w:cs="宋体"/>
          <w:bCs/>
          <w:sz w:val="24"/>
          <w:szCs w:val="24"/>
        </w:rPr>
        <w:t xml:space="preserve">、</w:t>
      </w:r>
      <w:bookmarkStart w:id="34" w:name="_Hlk142317669"/>
      <w:r>
        <w:rPr>
          <w:rFonts w:hint="eastAsia" w:ascii="宋体" w:hAnsi="宋体" w:eastAsia="宋体" w:cs="宋体"/>
          <w:bCs/>
          <w:sz w:val="24"/>
          <w:szCs w:val="24"/>
        </w:rPr>
        <w:t xml:space="preserve">本项目支持</w:t>
      </w:r>
      <w:bookmarkEnd w:id="34"/>
      <w:r>
        <w:rPr>
          <w:rFonts w:hint="eastAsia" w:ascii="宋体" w:hAnsi="宋体" w:eastAsia="宋体" w:cs="宋体"/>
          <w:bCs/>
          <w:sz w:val="24"/>
          <w:szCs w:val="24"/>
        </w:rPr>
        <w:t xml:space="preserve">1）.</w:t>
      </w:r>
      <w:r>
        <w:rPr>
          <w:rFonts w:hint="eastAsia" w:ascii="宋体" w:hAnsi="宋体" w:eastAsia="宋体" w:cs="宋体"/>
          <w:bCs/>
          <w:sz w:val="24"/>
          <w:szCs w:val="24"/>
        </w:rPr>
        <w:t xml:space="preserve">小微企业价格扣除《江苏省财政厅关于进一步加大政府采购支持中小企业力度的通知》（苏财购〔2022〕45号）</w:t>
      </w:r>
      <w:r>
        <w:rPr>
          <w:rFonts w:hint="eastAsia" w:ascii="宋体" w:hAnsi="宋体" w:eastAsia="宋体" w:cs="宋体"/>
          <w:bCs/>
          <w:sz w:val="24"/>
          <w:szCs w:val="24"/>
        </w:rPr>
        <w:t xml:space="preserve">2）.</w:t>
      </w:r>
      <w:r>
        <w:rPr>
          <w:rFonts w:hint="eastAsia" w:ascii="宋体" w:hAnsi="宋体" w:eastAsia="宋体" w:cs="宋体"/>
          <w:bCs/>
          <w:sz w:val="24"/>
          <w:szCs w:val="24"/>
        </w:rPr>
        <w:t xml:space="preserve">节能、环保产品政策《江苏省财政厅关于加强政府绿色采购有关事项的通知》（苏财购〔2023〕65 号）</w:t>
      </w:r>
      <w:r>
        <w:rPr>
          <w:rFonts w:hint="eastAsia" w:ascii="宋体" w:hAnsi="宋体" w:eastAsia="宋体" w:cs="宋体"/>
          <w:bCs/>
          <w:sz w:val="24"/>
          <w:szCs w:val="24"/>
        </w:rPr>
        <w:t xml:space="preserve">3）.</w:t>
      </w:r>
      <w:r>
        <w:rPr>
          <w:rFonts w:hint="eastAsia" w:ascii="宋体" w:hAnsi="宋体" w:eastAsia="宋体" w:cs="宋体"/>
          <w:bCs/>
          <w:sz w:val="24"/>
          <w:szCs w:val="24"/>
        </w:rPr>
        <w:t xml:space="preserve">商品包装、快递包装、绿色数据中心等需求标准《财政部办公厅 生态环境部办公厅 国家邮政局办公室关于印发〈商品包装政府采购需求标准（试行）〉、〈快递包装政府采购需求标准（试行）〉的通知》（财办库〔2020〕123 号）</w:t>
      </w:r>
      <w:r>
        <w:rPr>
          <w:rFonts w:hint="eastAsia" w:ascii="宋体" w:hAnsi="宋体" w:eastAsia="宋体" w:cs="宋体"/>
          <w:bCs/>
          <w:sz w:val="24"/>
          <w:szCs w:val="24"/>
        </w:rPr>
        <w:t xml:space="preserve">4）.</w:t>
      </w:r>
      <w:r>
        <w:rPr>
          <w:rFonts w:hint="eastAsia" w:ascii="宋体" w:hAnsi="宋体" w:eastAsia="宋体" w:cs="宋体"/>
          <w:bCs/>
          <w:sz w:val="24"/>
          <w:szCs w:val="24"/>
        </w:rPr>
        <w:t xml:space="preserve">电子履约保函（保险）《关于在全省政府采购领域推行电子履约保函（保险）的通知》（苏财购〔2023〕150 号）等政策。</w:t>
      </w:r>
      <w:r>
        <w:rPr>
          <w:rFonts w:hint="eastAsia" w:cs="仿宋" w:asciiTheme="minorEastAsia" w:hAnsiTheme="minorEastAsia" w:eastAsiaTheme="minorEastAsia"/>
          <w:color w:val="000000" w:themeColor="text1"/>
          <w:sz w:val="24"/>
          <w:szCs w:val="24"/>
        </w:rPr>
        <w:t xml:space="preserve">5）.本项目对采购本国产品给予政策支持，具体内容见招标文件“第四章 评标方法与评标标准”。</w:t>
      </w:r>
      <w:r/>
    </w:p>
    <w:p>
      <w:pPr>
        <w:ind w:firstLine="24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3、本项目为不专门面向中小企业采购的项目</w:t>
      </w:r>
      <w:r/>
    </w:p>
    <w:p>
      <w:pPr>
        <w:pStyle w:val="1012"/>
        <w:spacing w:before="0" w:after="0"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七、对本次招标提出询问，请按以下方式联系。</w:t>
      </w:r>
      <w:bookmarkEnd w:id="30"/>
      <w:r/>
      <w:bookmarkEnd w:id="31"/>
      <w:r/>
      <w:bookmarkEnd w:id="32"/>
      <w:r/>
      <w:bookmarkEnd w:id="33"/>
      <w:r/>
      <w:r/>
    </w:p>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1.采购人信息</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名 称：泰兴市卫生健康委员会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地址：泰州市泰兴市文昌东路</w:t>
      </w:r>
      <w:r>
        <w:rPr>
          <w:rFonts w:ascii="宋体" w:hAnsi="宋体" w:eastAsia="宋体"/>
          <w:bCs/>
          <w:sz w:val="24"/>
          <w:szCs w:val="24"/>
        </w:rPr>
        <w:t xml:space="preserve">9</w:t>
      </w:r>
      <w:r>
        <w:rPr>
          <w:rFonts w:hint="eastAsia" w:ascii="宋体" w:hAnsi="宋体" w:eastAsia="宋体"/>
          <w:bCs/>
          <w:sz w:val="24"/>
          <w:szCs w:val="24"/>
        </w:rPr>
        <w:t xml:space="preserve">号</w:t>
      </w:r>
      <w:r>
        <w:rPr>
          <w:rFonts w:ascii="宋体" w:hAnsi="宋体" w:eastAsia="宋体"/>
          <w:bCs/>
          <w:sz w:val="24"/>
          <w:szCs w:val="24"/>
        </w:rPr>
        <w:t xml:space="preserve"> </w:t>
      </w:r>
      <w:r/>
    </w:p>
    <w:p>
      <w:pPr>
        <w:ind w:firstLine="452"/>
        <w:jc w:val="left"/>
        <w:spacing w:line="360" w:lineRule="auto"/>
        <w:shd w:val="clear" w:color="auto" w:fill="ffffff"/>
        <w:widowControl/>
        <w:rPr>
          <w:rFonts w:hint="eastAsia" w:asciiTheme="minorEastAsia" w:hAnsiTheme="minorEastAsia" w:eastAsiaTheme="minorEastAsia"/>
          <w:spacing w:val="8"/>
          <w:sz w:val="24"/>
          <w:szCs w:val="24"/>
        </w:rPr>
      </w:pPr>
      <w:r>
        <w:rPr>
          <w:rFonts w:asciiTheme="minorEastAsia" w:hAnsiTheme="minorEastAsia" w:eastAsiaTheme="minorEastAsia"/>
          <w:spacing w:val="8"/>
          <w:sz w:val="24"/>
          <w:szCs w:val="24"/>
          <w:lang w:val="zh-CN"/>
        </w:rPr>
        <w:t xml:space="preserve">联系方式：</w:t>
      </w:r>
      <w:r>
        <w:rPr>
          <w:rFonts w:hint="eastAsia" w:asciiTheme="minorEastAsia" w:hAnsiTheme="minorEastAsia" w:eastAsiaTheme="minorEastAsia"/>
          <w:spacing w:val="8"/>
          <w:sz w:val="24"/>
          <w:szCs w:val="24"/>
        </w:rPr>
        <w:t xml:space="preserve">0523-87602053</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2.采购代理机构信息</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名 称：江苏海外集团国际工程咨询有限公司</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地　址：南京市建邺区云龙山路56号大唐科技大厦A座高区15楼</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联系方式：</w:t>
      </w:r>
      <w:r>
        <w:rPr>
          <w:rFonts w:ascii="宋体" w:hAnsi="宋体" w:eastAsia="宋体"/>
          <w:bCs/>
          <w:sz w:val="24"/>
          <w:szCs w:val="24"/>
        </w:rPr>
        <w:t xml:space="preserve">025-8479546</w:t>
      </w:r>
      <w:r>
        <w:rPr>
          <w:rFonts w:hint="eastAsia" w:ascii="宋体" w:hAnsi="宋体" w:eastAsia="宋体"/>
          <w:bCs/>
          <w:sz w:val="24"/>
          <w:szCs w:val="24"/>
        </w:rPr>
        <w:t xml:space="preserve">9　</w:t>
      </w:r>
      <w:r/>
    </w:p>
    <w:p>
      <w:pPr>
        <w:ind w:firstLine="480"/>
        <w:spacing w:line="360" w:lineRule="auto"/>
        <w:rPr>
          <w:rFonts w:hint="eastAsia" w:ascii="宋体" w:hAnsi="宋体" w:eastAsia="宋体"/>
          <w:bCs/>
          <w:sz w:val="24"/>
          <w:szCs w:val="24"/>
        </w:rPr>
      </w:pPr>
      <w:r>
        <w:rPr>
          <w:rFonts w:hint="eastAsia" w:ascii="宋体" w:hAnsi="宋体" w:eastAsia="宋体"/>
          <w:bCs/>
          <w:sz w:val="24"/>
          <w:szCs w:val="24"/>
        </w:rPr>
        <w:t xml:space="preserve">3.项目联系方式</w:t>
      </w:r>
      <w:r/>
    </w:p>
    <w:p>
      <w:pPr>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项目联系人：马先生、徐先生    </w:t>
      </w:r>
      <w:r/>
    </w:p>
    <w:p>
      <w:pPr>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电　话：</w:t>
      </w:r>
      <w:r>
        <w:rPr>
          <w:rFonts w:ascii="宋体" w:hAnsi="宋体" w:eastAsia="宋体"/>
          <w:bCs/>
          <w:sz w:val="24"/>
          <w:szCs w:val="24"/>
        </w:rPr>
        <w:t xml:space="preserve">18905161867</w:t>
      </w:r>
      <w:r>
        <w:rPr>
          <w:rFonts w:hint="eastAsia" w:ascii="宋体" w:hAnsi="宋体" w:eastAsia="宋体"/>
          <w:bCs/>
          <w:sz w:val="24"/>
          <w:szCs w:val="24"/>
        </w:rPr>
        <w:t xml:space="preserve">、18351006888</w:t>
      </w:r>
      <w:bookmarkEnd w:id="0"/>
      <w:r/>
      <w:r/>
    </w:p>
    <w:p>
      <w:pPr>
        <w:ind w:right="840" w:firstLine="530"/>
        <w:jc w:val="center"/>
        <w:spacing w:line="360" w:lineRule="auto"/>
        <w:widowControl/>
        <w:rPr>
          <w:rFonts w:hint="eastAsia" w:cs="仿宋" w:asciiTheme="minorEastAsia" w:hAnsiTheme="minorEastAsia" w:eastAsiaTheme="minorEastAsia"/>
          <w:b/>
          <w:color w:val="000000" w:themeColor="text1"/>
          <w:szCs w:val="22"/>
        </w:rPr>
      </w:pPr>
      <w:r>
        <w:rPr>
          <w:rFonts w:hint="eastAsia" w:cs="仿宋" w:asciiTheme="minorEastAsia" w:hAnsiTheme="minorEastAsia" w:eastAsiaTheme="minorEastAsia"/>
          <w:b/>
          <w:color w:val="000000" w:themeColor="text1"/>
          <w:szCs w:val="22"/>
        </w:rPr>
      </w:r>
      <w:r/>
    </w:p>
    <w:p>
      <w:pPr>
        <w:jc w:val="center"/>
        <w:spacing w:line="360" w:lineRule="auto"/>
        <w:widowControl/>
        <w:rPr>
          <w:rFonts w:hint="eastAsia"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br w:type="page" w:clear="all"/>
      </w:r>
      <w:r/>
    </w:p>
    <w:p>
      <w:pPr>
        <w:jc w:val="center"/>
        <w:spacing w:line="360" w:lineRule="auto"/>
        <w:widowControl/>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第二章 投标人须知</w:t>
      </w:r>
      <w:bookmarkEnd w:id="1"/>
      <w:r/>
      <w:bookmarkEnd w:id="2"/>
      <w:r/>
      <w:r/>
    </w:p>
    <w:p>
      <w:pPr>
        <w:jc w:val="center"/>
        <w:spacing w:line="360" w:lineRule="auto"/>
        <w:widowControl/>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    投标人须知前附表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5"/>
        <w:gridCol w:w="1384"/>
        <w:gridCol w:w="6166"/>
      </w:tblGrid>
      <w:tr>
        <w:trPr>
          <w:jc w:val="center"/>
          <w:trHeight w:val="558"/>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w:t>
            </w:r>
            <w:r/>
          </w:p>
        </w:tc>
        <w:tc>
          <w:tcPr>
            <w:tcW w:w="6249"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内容</w:t>
            </w:r>
            <w:r/>
          </w:p>
        </w:tc>
      </w:tr>
      <w:tr>
        <w:trPr>
          <w:jc w:val="center"/>
          <w:trHeight w:val="557"/>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重大慢病防控基地建设设备采购项目</w:t>
            </w:r>
            <w:r/>
          </w:p>
        </w:tc>
      </w:tr>
      <w:tr>
        <w:trPr>
          <w:jc w:val="center"/>
          <w:trHeight w:val="543"/>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招标内容</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 w:val="24"/>
                <w:szCs w:val="24"/>
              </w:rPr>
              <w:t xml:space="preserve">详见第三章采购需求</w:t>
            </w:r>
            <w:r/>
          </w:p>
        </w:tc>
      </w:tr>
      <w:tr>
        <w:trPr>
          <w:jc w:val="center"/>
          <w:trHeight w:val="744"/>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供货期及供货地点</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交货期：合同签订后一个月内 </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最高投标限价</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预算金额：</w:t>
            </w:r>
            <w:r>
              <w:rPr>
                <w:rFonts w:hint="eastAsia" w:cs="仿宋" w:asciiTheme="minorEastAsia" w:hAnsiTheme="minorEastAsia" w:eastAsiaTheme="minorEastAsia"/>
                <w:color w:val="000000" w:themeColor="text1"/>
                <w:sz w:val="24"/>
                <w:szCs w:val="24"/>
              </w:rPr>
              <w:t xml:space="preserve">800</w:t>
            </w:r>
            <w:r>
              <w:rPr>
                <w:rFonts w:hint="eastAsia" w:cs="仿宋" w:asciiTheme="minorEastAsia" w:hAnsiTheme="minorEastAsia" w:eastAsiaTheme="minorEastAsia"/>
                <w:color w:val="000000" w:themeColor="text1"/>
                <w:sz w:val="24"/>
                <w:szCs w:val="24"/>
              </w:rPr>
              <w:t xml:space="preserve">万元</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最高限价：</w:t>
            </w:r>
            <w:r>
              <w:rPr>
                <w:rFonts w:hint="eastAsia" w:cs="仿宋" w:asciiTheme="minorEastAsia" w:hAnsiTheme="minorEastAsia" w:eastAsiaTheme="minorEastAsia"/>
                <w:color w:val="000000" w:themeColor="text1"/>
                <w:sz w:val="24"/>
                <w:szCs w:val="24"/>
              </w:rPr>
              <w:t xml:space="preserve">703.8万元</w:t>
            </w:r>
            <w:r/>
          </w:p>
          <w:p>
            <w:pPr>
              <w:spacing w:line="360" w:lineRule="auto"/>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投标单位报价不得高于最高限价且投标单价不得高于清单单价，否则视为无效投标文件。</w:t>
            </w:r>
            <w:r/>
          </w:p>
        </w:tc>
      </w:tr>
      <w:tr>
        <w:trPr>
          <w:jc w:val="center"/>
          <w:trHeight w:val="672"/>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合格投标人资格要求</w:t>
            </w:r>
            <w:r/>
          </w:p>
        </w:tc>
        <w:tc>
          <w:tcPr>
            <w:tcW w:w="6249" w:type="dxa"/>
            <w:vAlign w:val="center"/>
            <w:textDirection w:val="lrTb"/>
            <w:noWrap w:val="false"/>
          </w:tcPr>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详见招标公告</w:t>
            </w:r>
            <w:r/>
          </w:p>
        </w:tc>
      </w:tr>
      <w:tr>
        <w:trPr>
          <w:jc w:val="center"/>
          <w:trHeight w:val="834"/>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联合体投标</w:t>
            </w:r>
            <w:r/>
          </w:p>
        </w:tc>
        <w:tc>
          <w:tcPr>
            <w:tcW w:w="6249" w:type="dxa"/>
            <w:vAlign w:val="center"/>
            <w:textDirection w:val="lrTb"/>
            <w:noWrap w:val="false"/>
          </w:tcPr>
          <w:p>
            <w:pPr>
              <w:spacing w:line="360" w:lineRule="auto"/>
              <w:rPr>
                <w:rFonts w:hint="eastAsia"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869"/>
              <w:numPr>
                <w:ilvl w:val="0"/>
                <w:numId w:val="1"/>
              </w:numPr>
              <w:spacing w:line="360" w:lineRule="auto"/>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接受</w:t>
            </w:r>
            <w:r/>
          </w:p>
        </w:tc>
      </w:tr>
      <w:tr>
        <w:trPr>
          <w:jc w:val="center"/>
          <w:trHeight w:val="1385"/>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现场勘察</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不组织，自行勘察;如投标人需自行勘察,费用自理。</w:t>
            </w:r>
            <w:r/>
          </w:p>
          <w:p>
            <w:pPr>
              <w:pStyle w:val="869"/>
              <w:numPr>
                <w:ilvl w:val="0"/>
                <w:numId w:val="1"/>
              </w:num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组织，勘察时间： 年月日时</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集合地点：</w:t>
            </w:r>
            <w:r/>
          </w:p>
          <w:p>
            <w:pPr>
              <w:ind w:firstLine="9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tc>
      </w:tr>
      <w:tr>
        <w:trPr>
          <w:jc w:val="center"/>
          <w:trHeight w:val="1067"/>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投标答疑会</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不召开</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口召开，召开时间：年月日时</w:t>
            </w:r>
            <w:r/>
          </w:p>
          <w:p>
            <w:pPr>
              <w:ind w:firstLine="9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召开地点：</w:t>
            </w:r>
            <w:r/>
          </w:p>
        </w:tc>
      </w:tr>
      <w:tr>
        <w:trPr>
          <w:jc w:val="center"/>
          <w:trHeight w:val="420"/>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人民币</w:t>
            </w:r>
            <w:r/>
          </w:p>
        </w:tc>
      </w:tr>
      <w:tr>
        <w:trPr>
          <w:jc w:val="center"/>
          <w:trHeight w:val="768"/>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核心产品</w:t>
            </w:r>
            <w:r/>
          </w:p>
        </w:tc>
        <w:tc>
          <w:tcPr>
            <w:tcW w:w="6249" w:type="dxa"/>
            <w:vAlign w:val="center"/>
            <w:textDirection w:val="lrTb"/>
            <w:noWrap w:val="false"/>
          </w:tcPr>
          <w:p>
            <w:pPr>
              <w:jc w:val="left"/>
              <w:spacing w:line="360" w:lineRule="auto"/>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不适用</w:t>
            </w:r>
            <w:r/>
          </w:p>
        </w:tc>
      </w:tr>
      <w:tr>
        <w:trPr>
          <w:jc w:val="center"/>
          <w:trHeight w:val="604"/>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投标保证金</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本项目不收取投标保证金。</w:t>
            </w:r>
            <w:r/>
          </w:p>
        </w:tc>
      </w:tr>
      <w:tr>
        <w:trPr>
          <w:jc w:val="center"/>
          <w:trHeight w:val="429"/>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投标文件有效期</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9</w:t>
            </w:r>
            <w:r>
              <w:rPr>
                <w:rFonts w:hint="eastAsia" w:cs="仿宋" w:asciiTheme="minorEastAsia" w:hAnsiTheme="minorEastAsia" w:eastAsiaTheme="minorEastAsia"/>
                <w:color w:val="000000" w:themeColor="text1"/>
                <w:sz w:val="24"/>
                <w:szCs w:val="24"/>
                <w:u w:val="single"/>
              </w:rPr>
              <w:t xml:space="preserve">0 </w:t>
            </w:r>
            <w:r>
              <w:rPr>
                <w:rFonts w:hint="eastAsia" w:cs="仿宋" w:asciiTheme="minorEastAsia" w:hAnsiTheme="minorEastAsia" w:eastAsiaTheme="minorEastAsia"/>
                <w:color w:val="000000" w:themeColor="text1"/>
                <w:sz w:val="24"/>
                <w:szCs w:val="24"/>
              </w:rPr>
              <w:t xml:space="preserve">日历天（从投标截止之日算起）</w:t>
            </w:r>
            <w:r/>
          </w:p>
        </w:tc>
      </w:tr>
      <w:tr>
        <w:trPr>
          <w:cantSplit/>
          <w:jc w:val="center"/>
          <w:trHeight w:val="406"/>
        </w:trPr>
        <w:tc>
          <w:tcPr>
            <w:tcW w:w="768" w:type="dxa"/>
            <w:vAlign w:val="center"/>
            <w:vMerge w:val="restart"/>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投标截止时间</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2026</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8日1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0分</w:t>
            </w:r>
            <w:r/>
          </w:p>
        </w:tc>
      </w:tr>
      <w:tr>
        <w:trPr>
          <w:cantSplit/>
          <w:jc w:val="center"/>
          <w:trHeight w:val="535"/>
        </w:trPr>
        <w:tc>
          <w:tcPr>
            <w:tcW w:w="768" w:type="dxa"/>
            <w:vAlign w:val="center"/>
            <w:vMerge w:val="continue"/>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tc>
        <w:tc>
          <w:tcPr>
            <w:tcW w:w="1494"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投标地点</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752"/>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开标时间和地点</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2026 </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8日1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w:t>
            </w:r>
            <w:r>
              <w:rPr>
                <w:rFonts w:hint="eastAsia"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0分</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539"/>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评标办法</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定标办法</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采购人根据评标委员会推荐的中标候选供应商顺序确定中标人。</w:t>
            </w:r>
            <w:r/>
          </w:p>
        </w:tc>
      </w:tr>
      <w:tr>
        <w:trPr>
          <w:jc w:val="center"/>
          <w:trHeight w:val="2065"/>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履约保证金</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不提交，招标文件中有关履约保证金的规定均不适用</w:t>
            </w:r>
            <w:r/>
          </w:p>
          <w:p>
            <w:pPr>
              <w:pStyle w:val="869"/>
              <w:ind w:firstLine="0"/>
              <w:spacing w:line="360" w:lineRule="auto"/>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提交</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金额：中标价的/% </w:t>
            </w:r>
            <w:r/>
          </w:p>
          <w:p>
            <w:pPr>
              <w:pStyle w:val="1015"/>
              <w:ind w:firstLine="0"/>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Cs w:val="24"/>
              </w:rPr>
              <w:t xml:space="preserve">形式：保证保险、保函、电汇、转账、汇票、支票、本票等非现金形式</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提交时间：收到中标通知书后签订合同前。</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退还时间：服务期满且经验收合格后无息退还。</w:t>
            </w:r>
            <w:r/>
          </w:p>
        </w:tc>
      </w:tr>
      <w:tr>
        <w:trPr>
          <w:jc w:val="center"/>
          <w:trHeight w:val="792"/>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w:t>
            </w:r>
            <w:r/>
          </w:p>
        </w:tc>
        <w:tc>
          <w:tcPr>
            <w:tcW w:w="6249" w:type="dxa"/>
            <w:vAlign w:val="center"/>
            <w:textDirection w:val="lrTb"/>
            <w:noWrap w:val="false"/>
          </w:tcPr>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中标通知书发出之日起</w:t>
            </w:r>
            <w:r>
              <w:rPr>
                <w:rFonts w:hint="eastAsia" w:cs="仿宋" w:asciiTheme="minorEastAsia" w:hAnsiTheme="minorEastAsia" w:eastAsiaTheme="minorEastAsia"/>
                <w:color w:val="000000" w:themeColor="text1"/>
                <w:sz w:val="24"/>
                <w:szCs w:val="24"/>
                <w:u w:val="single"/>
              </w:rPr>
              <w:t xml:space="preserve"> 30 </w:t>
            </w:r>
            <w:r>
              <w:rPr>
                <w:rFonts w:hint="eastAsia" w:cs="仿宋" w:asciiTheme="minorEastAsia" w:hAnsiTheme="minorEastAsia" w:eastAsiaTheme="minorEastAsia"/>
                <w:color w:val="000000" w:themeColor="text1"/>
                <w:sz w:val="24"/>
                <w:szCs w:val="24"/>
              </w:rPr>
              <w:t xml:space="preserve">日内</w:t>
            </w:r>
            <w:r/>
          </w:p>
        </w:tc>
      </w:tr>
      <w:tr>
        <w:trPr>
          <w:jc w:val="center"/>
          <w:trHeight w:val="848"/>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付款方式</w:t>
            </w:r>
            <w:r/>
          </w:p>
        </w:tc>
        <w:tc>
          <w:tcPr>
            <w:tcW w:w="6249" w:type="dxa"/>
            <w:vAlign w:val="center"/>
            <w:textDirection w:val="lrTb"/>
            <w:noWrap w:val="false"/>
          </w:tcPr>
          <w:p>
            <w:pPr>
              <w:ind w:right="-117"/>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bCs/>
                <w:color w:val="000000" w:themeColor="text1"/>
                <w:sz w:val="24"/>
                <w:szCs w:val="24"/>
              </w:rPr>
              <w:t xml:space="preserve">本次合同由泰兴市卫健委代各单位统一签署，资金按照各单位实际配备数计算，在设备安装调试验收到位后，</w:t>
            </w:r>
            <w:r>
              <w:rPr>
                <w:rFonts w:cs="仿宋" w:asciiTheme="minorEastAsia" w:hAnsiTheme="minorEastAsia" w:eastAsiaTheme="minorEastAsia"/>
                <w:bCs/>
                <w:color w:val="000000" w:themeColor="text1"/>
                <w:sz w:val="24"/>
                <w:szCs w:val="24"/>
              </w:rPr>
              <w:t xml:space="preserve">2027</w:t>
            </w:r>
            <w:r>
              <w:rPr>
                <w:rFonts w:hint="eastAsia" w:cs="仿宋" w:asciiTheme="minorEastAsia" w:hAnsiTheme="minorEastAsia" w:eastAsiaTheme="minorEastAsia"/>
                <w:bCs/>
                <w:color w:val="000000" w:themeColor="text1"/>
                <w:sz w:val="24"/>
                <w:szCs w:val="24"/>
              </w:rPr>
              <w:t xml:space="preserve">年由各实际使用单位按照实际金额的</w:t>
            </w:r>
            <w:r>
              <w:rPr>
                <w:rFonts w:cs="仿宋" w:asciiTheme="minorEastAsia" w:hAnsiTheme="minorEastAsia" w:eastAsiaTheme="minorEastAsia"/>
                <w:bCs/>
                <w:color w:val="000000" w:themeColor="text1"/>
                <w:sz w:val="24"/>
                <w:szCs w:val="24"/>
              </w:rPr>
              <w:t xml:space="preserve">50%</w:t>
            </w:r>
            <w:r>
              <w:rPr>
                <w:rFonts w:hint="eastAsia" w:cs="仿宋" w:asciiTheme="minorEastAsia" w:hAnsiTheme="minorEastAsia" w:eastAsiaTheme="minorEastAsia"/>
                <w:bCs/>
                <w:color w:val="000000" w:themeColor="text1"/>
                <w:sz w:val="24"/>
                <w:szCs w:val="24"/>
              </w:rPr>
              <w:t xml:space="preserve">支付给设备中标商，余款</w:t>
            </w:r>
            <w:r>
              <w:rPr>
                <w:rFonts w:cs="仿宋" w:asciiTheme="minorEastAsia" w:hAnsiTheme="minorEastAsia" w:eastAsiaTheme="minorEastAsia"/>
                <w:bCs/>
                <w:color w:val="000000" w:themeColor="text1"/>
                <w:sz w:val="24"/>
                <w:szCs w:val="24"/>
              </w:rPr>
              <w:t xml:space="preserve">50%</w:t>
            </w:r>
            <w:r>
              <w:rPr>
                <w:rFonts w:hint="eastAsia" w:cs="仿宋" w:asciiTheme="minorEastAsia" w:hAnsiTheme="minorEastAsia" w:eastAsiaTheme="minorEastAsia"/>
                <w:bCs/>
                <w:color w:val="000000" w:themeColor="text1"/>
                <w:sz w:val="24"/>
                <w:szCs w:val="24"/>
              </w:rPr>
              <w:t xml:space="preserve">在</w:t>
            </w:r>
            <w:r>
              <w:rPr>
                <w:rFonts w:cs="仿宋" w:asciiTheme="minorEastAsia" w:hAnsiTheme="minorEastAsia" w:eastAsiaTheme="minorEastAsia"/>
                <w:bCs/>
                <w:color w:val="000000" w:themeColor="text1"/>
                <w:sz w:val="24"/>
                <w:szCs w:val="24"/>
              </w:rPr>
              <w:t xml:space="preserve">2028</w:t>
            </w:r>
            <w:r>
              <w:rPr>
                <w:rFonts w:hint="eastAsia" w:cs="仿宋" w:asciiTheme="minorEastAsia" w:hAnsiTheme="minorEastAsia" w:eastAsiaTheme="minorEastAsia"/>
                <w:bCs/>
                <w:color w:val="000000" w:themeColor="text1"/>
                <w:sz w:val="24"/>
                <w:szCs w:val="24"/>
              </w:rPr>
              <w:t xml:space="preserve">年付清。</w:t>
            </w:r>
            <w:r/>
          </w:p>
        </w:tc>
      </w:tr>
      <w:tr>
        <w:trPr>
          <w:jc w:val="center"/>
          <w:trHeight w:val="1355"/>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中标服务费</w:t>
            </w:r>
            <w:r/>
          </w:p>
        </w:tc>
        <w:tc>
          <w:tcPr>
            <w:tcW w:w="6249" w:type="dxa"/>
            <w:textDirection w:val="lrTb"/>
            <w:noWrap w:val="false"/>
          </w:tcPr>
          <w:p>
            <w:pPr>
              <w:pStyle w:val="1015"/>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
                <w:bCs/>
                <w:color w:val="000000" w:themeColor="text1"/>
                <w:szCs w:val="24"/>
              </w:rPr>
            </w:r>
            <w:r>
              <w:rPr>
                <w:rFonts w:ascii="SimSun" w:hAnsi="SimSun" w:eastAsia="SimSun" w:cs="SimSun"/>
                <w:b/>
                <w:color w:val="000000"/>
                <w:sz w:val="26"/>
              </w:rPr>
              <w:t xml:space="preserve">本项目采购人为泰兴市卫生健康委员会，采购设备的实际使用单位及资金出资方为各乡镇卫生院。鉴于本项目采购预算资金来源于各乡镇卫生院，且预算中已包含代理服务费，根据采购人要求，本项目代理服务费由中标供应商承担。投标供应商在编制投标文件时，应将代理服务费计入投标报价总价中。</w:t>
            </w:r>
            <w:r>
              <w:rPr>
                <w:rFonts w:hint="eastAsia" w:cs="仿宋" w:asciiTheme="minorEastAsia" w:hAnsiTheme="minorEastAsia" w:eastAsiaTheme="minorEastAsia"/>
                <w:b/>
                <w:bCs/>
                <w:color w:val="000000" w:themeColor="text1"/>
                <w:szCs w:val="24"/>
              </w:rPr>
              <w:t xml:space="preserve">领取中标通知书前</w:t>
            </w:r>
            <w:r>
              <w:rPr>
                <w:rFonts w:hint="eastAsia" w:cs="仿宋" w:asciiTheme="minorEastAsia" w:hAnsiTheme="minorEastAsia" w:eastAsiaTheme="minorEastAsia"/>
                <w:bCs/>
                <w:color w:val="000000" w:themeColor="text1"/>
                <w:szCs w:val="24"/>
              </w:rPr>
              <w:t xml:space="preserve">，中标供应商需</w:t>
            </w:r>
            <w:bookmarkStart w:id="35" w:name="_Hlk144458186"/>
            <w:r>
              <w:rPr>
                <w:rFonts w:hint="eastAsia" w:cs="仿宋" w:asciiTheme="minorEastAsia" w:hAnsiTheme="minorEastAsia" w:eastAsiaTheme="minorEastAsia"/>
                <w:color w:val="000000" w:themeColor="text1"/>
                <w:szCs w:val="24"/>
              </w:rPr>
              <w:t xml:space="preserve">按照江苏省政府采购协会《关于印发</w:t>
            </w:r>
            <w:r>
              <w:rPr>
                <w:rFonts w:hint="eastAsia" w:cs="仿宋" w:asciiTheme="minorEastAsia" w:hAnsiTheme="minorEastAsia" w:eastAsiaTheme="minorEastAsia"/>
                <w:color w:val="000000" w:themeColor="text1"/>
                <w:szCs w:val="24"/>
              </w:rPr>
              <w:t xml:space="preserve">(江苏省</w:t>
            </w:r>
            <w:r>
              <w:rPr>
                <w:rFonts w:hint="eastAsia" w:cs="仿宋" w:asciiTheme="minorEastAsia" w:hAnsiTheme="minorEastAsia" w:eastAsiaTheme="minorEastAsia"/>
                <w:color w:val="000000" w:themeColor="text1"/>
                <w:szCs w:val="24"/>
              </w:rPr>
              <w:t xml:space="preserve">政府采购代理服务收费指导意见〉的通知》</w:t>
            </w:r>
            <w:r>
              <w:rPr>
                <w:rFonts w:hint="eastAsia" w:cs="仿宋" w:asciiTheme="minorEastAsia" w:hAnsiTheme="minorEastAsia" w:eastAsiaTheme="minorEastAsia"/>
                <w:color w:val="000000" w:themeColor="text1"/>
                <w:szCs w:val="24"/>
              </w:rPr>
              <w:t xml:space="preserve">(苏政</w:t>
            </w:r>
            <w:r>
              <w:rPr>
                <w:rFonts w:hint="eastAsia" w:cs="仿宋" w:asciiTheme="minorEastAsia" w:hAnsiTheme="minorEastAsia" w:eastAsiaTheme="minorEastAsia"/>
                <w:color w:val="000000" w:themeColor="text1"/>
                <w:szCs w:val="24"/>
              </w:rPr>
              <w:t xml:space="preserve">采协(2024〕20</w:t>
            </w:r>
            <w:r>
              <w:rPr>
                <w:rFonts w:hint="eastAsia" w:cs="仿宋" w:asciiTheme="minorEastAsia" w:hAnsiTheme="minorEastAsia" w:eastAsiaTheme="minorEastAsia"/>
                <w:color w:val="000000" w:themeColor="text1"/>
                <w:szCs w:val="24"/>
              </w:rPr>
              <w:t xml:space="preserve">号)</w:t>
            </w:r>
            <w:r>
              <w:rPr>
                <w:rFonts w:hint="eastAsia" w:cs="仿宋" w:asciiTheme="minorEastAsia" w:hAnsiTheme="minorEastAsia" w:eastAsiaTheme="minorEastAsia"/>
                <w:color w:val="000000" w:themeColor="text1"/>
                <w:szCs w:val="24"/>
              </w:rPr>
              <w:t xml:space="preserve">文件规定的收费标准</w:t>
            </w:r>
            <w:r>
              <w:rPr>
                <w:rFonts w:hint="eastAsia" w:cs="仿宋" w:asciiTheme="minorEastAsia" w:hAnsiTheme="minorEastAsia" w:eastAsiaTheme="minorEastAsia"/>
                <w:color w:val="000000" w:themeColor="text1"/>
                <w:szCs w:val="24"/>
              </w:rPr>
              <w:t xml:space="preserve">的80%</w:t>
            </w:r>
            <w:r>
              <w:rPr>
                <w:rFonts w:hint="eastAsia" w:cs="仿宋" w:asciiTheme="minorEastAsia" w:hAnsiTheme="minorEastAsia" w:eastAsiaTheme="minorEastAsia"/>
                <w:bCs/>
                <w:color w:val="000000" w:themeColor="text1"/>
                <w:szCs w:val="24"/>
              </w:rPr>
              <w:t xml:space="preserve">，向采购代理机构一次性缴纳代理服务费，</w:t>
            </w:r>
            <w:bookmarkEnd w:id="35"/>
            <w:r>
              <w:rPr>
                <w:rFonts w:hint="eastAsia" w:cs="仿宋" w:asciiTheme="minorEastAsia" w:hAnsiTheme="minorEastAsia" w:eastAsiaTheme="minorEastAsia"/>
                <w:bCs/>
                <w:color w:val="000000" w:themeColor="text1"/>
                <w:szCs w:val="24"/>
              </w:rPr>
              <w:t xml:space="preserve">需备注266-</w:t>
            </w:r>
            <w:r>
              <w:rPr>
                <w:rFonts w:cs="仿宋" w:asciiTheme="minorEastAsia" w:hAnsiTheme="minorEastAsia" w:eastAsiaTheme="minorEastAsia"/>
                <w:bCs/>
                <w:color w:val="000000" w:themeColor="text1"/>
                <w:szCs w:val="24"/>
              </w:rPr>
              <w:t xml:space="preserve">003</w:t>
            </w:r>
            <w:r>
              <w:rPr>
                <w:rFonts w:hint="eastAsia" w:cs="仿宋" w:asciiTheme="minorEastAsia" w:hAnsiTheme="minorEastAsia" w:eastAsiaTheme="minorEastAsia"/>
                <w:bCs/>
                <w:color w:val="000000" w:themeColor="text1"/>
                <w:szCs w:val="24"/>
              </w:rPr>
              <w:t xml:space="preserve">663代理服务费。</w:t>
            </w:r>
            <w:r/>
          </w:p>
          <w:p>
            <w:pPr>
              <w:pStyle w:val="1015"/>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江苏省政府采购代理常规服务收费指导价</w:t>
            </w:r>
            <w:r/>
          </w:p>
          <w:tbl>
            <w:tblPr>
              <w:tblW w:w="5241" w:type="dxa"/>
              <w:jc w:val="center"/>
              <w:tblLook w:val="04A0" w:firstRow="1" w:lastRow="0" w:firstColumn="1" w:lastColumn="0" w:noHBand="0" w:noVBand="1"/>
            </w:tblPr>
            <w:tblGrid>
              <w:gridCol w:w="4002"/>
              <w:gridCol w:w="1239"/>
            </w:tblGrid>
            <w:tr>
              <w:trPr>
                <w:jc w:val="center"/>
                <w:trHeight w:val="285"/>
              </w:trPr>
              <w:tc>
                <w:tcPr>
                  <w:shd w:val="clear" w:color="auto" w:fill="dce9f9"/>
                  <w:tcBorders>
                    <w:top w:val="single" w:color="auto" w:sz="4" w:space="0"/>
                    <w:left w:val="single" w:color="auto" w:sz="4" w:space="0"/>
                    <w:bottom w:val="single" w:color="auto" w:sz="4" w:space="0"/>
                    <w:right w:val="single" w:color="auto" w:sz="4" w:space="0"/>
                  </w:tcBorders>
                  <w:tcW w:w="4002" w:type="dxa"/>
                  <w:vAlign w:val="center"/>
                  <w:textDirection w:val="lrTb"/>
                  <w:noWrap w:val="false"/>
                </w:tcPr>
                <w:p>
                  <w:pPr>
                    <w:pStyle w:val="1015"/>
                    <w:ind w:firstLine="0"/>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中标或者成交金额</w:t>
                  </w:r>
                  <w:r/>
                </w:p>
              </w:tc>
              <w:tc>
                <w:tcPr>
                  <w:shd w:val="clear" w:color="auto" w:fill="dce9f9"/>
                  <w:tcBorders>
                    <w:top w:val="single" w:color="auto" w:sz="4" w:space="0"/>
                    <w:left w:val="none" w:color="000000" w:sz="4" w:space="0"/>
                    <w:bottom w:val="single" w:color="auto" w:sz="4" w:space="0"/>
                    <w:right w:val="single" w:color="auto" w:sz="4" w:space="0"/>
                  </w:tcBorders>
                  <w:tcW w:w="1239" w:type="dxa"/>
                  <w:vAlign w:val="center"/>
                  <w:textDirection w:val="lrTb"/>
                  <w:noWrap w:val="false"/>
                </w:tcPr>
                <w:p>
                  <w:pPr>
                    <w:pStyle w:val="1015"/>
                    <w:ind w:firstLine="0"/>
                    <w:jc w:val="center"/>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费率</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1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最低收费金额（每个委托项目）</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1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5000元</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1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50万元以下（含50万元）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1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1.6%</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1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50-400万元（含400万元）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1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1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400-1000万元（含1000万元）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1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1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1000-5000万元（含5000万元）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1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0.8%</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1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5000-1亿元（含1亿元）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1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0.25%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1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1-10亿元（含10亿元）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1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0.05%</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1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10-50亿元（含50亿元）</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1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0.01%</w:t>
                  </w:r>
                  <w:r/>
                </w:p>
              </w:tc>
            </w:tr>
            <w:tr>
              <w:trPr>
                <w:jc w:val="center"/>
                <w:trHeight w:val="285"/>
              </w:trPr>
              <w:tc>
                <w:tcPr>
                  <w:shd w:val="clear" w:color="auto" w:fill="ffffff"/>
                  <w:tcBorders>
                    <w:top w:val="none" w:color="000000" w:sz="4" w:space="0"/>
                    <w:left w:val="single" w:color="auto" w:sz="4" w:space="0"/>
                    <w:bottom w:val="single" w:color="auto" w:sz="4" w:space="0"/>
                    <w:right w:val="single" w:color="auto" w:sz="4" w:space="0"/>
                  </w:tcBorders>
                  <w:tcW w:w="4002" w:type="dxa"/>
                  <w:vAlign w:val="center"/>
                  <w:textDirection w:val="lrTb"/>
                  <w:noWrap w:val="false"/>
                </w:tcPr>
                <w:p>
                  <w:pPr>
                    <w:pStyle w:val="101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50亿元以上</w:t>
                  </w:r>
                  <w:r/>
                </w:p>
              </w:tc>
              <w:tc>
                <w:tcPr>
                  <w:shd w:val="clear" w:color="auto" w:fill="ffffff"/>
                  <w:tcBorders>
                    <w:top w:val="none" w:color="000000" w:sz="4" w:space="0"/>
                    <w:left w:val="none" w:color="000000" w:sz="4" w:space="0"/>
                    <w:bottom w:val="single" w:color="auto" w:sz="4" w:space="0"/>
                    <w:right w:val="single" w:color="auto" w:sz="4" w:space="0"/>
                  </w:tcBorders>
                  <w:tcW w:w="1239" w:type="dxa"/>
                  <w:vAlign w:val="center"/>
                  <w:textDirection w:val="lrTb"/>
                  <w:noWrap w:val="false"/>
                </w:tcPr>
                <w:p>
                  <w:pPr>
                    <w:pStyle w:val="1015"/>
                    <w:ind w:firstLine="0"/>
                    <w:jc w:val="center"/>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0.005%</w:t>
                  </w:r>
                  <w:r/>
                </w:p>
              </w:tc>
            </w:tr>
          </w:tbl>
          <w:p>
            <w:pPr>
              <w:pStyle w:val="1015"/>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银行信息：</w:t>
            </w:r>
            <w:r/>
          </w:p>
          <w:p>
            <w:pPr>
              <w:pStyle w:val="1015"/>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户名：江苏海外集团国际工程咨询有限公司</w:t>
            </w:r>
            <w:r/>
          </w:p>
          <w:p>
            <w:pPr>
              <w:pStyle w:val="1015"/>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开户银行：交行江苏省分行营业部</w:t>
            </w:r>
            <w:r/>
          </w:p>
          <w:p>
            <w:pPr>
              <w:pStyle w:val="1015"/>
              <w:spacing w:line="360" w:lineRule="auto"/>
              <w:rPr>
                <w:rFonts w:hint="eastAsia" w:cs="仿宋" w:asciiTheme="minorEastAsia" w:hAnsiTheme="minorEastAsia" w:eastAsiaTheme="minorEastAsia"/>
                <w:bCs/>
                <w:color w:val="000000" w:themeColor="text1"/>
                <w:szCs w:val="24"/>
              </w:rPr>
            </w:pPr>
            <w:r>
              <w:rPr>
                <w:rFonts w:hint="eastAsia" w:cs="仿宋" w:asciiTheme="minorEastAsia" w:hAnsiTheme="minorEastAsia" w:eastAsiaTheme="minorEastAsia"/>
                <w:bCs/>
                <w:color w:val="000000" w:themeColor="text1"/>
                <w:szCs w:val="24"/>
              </w:rPr>
              <w:t xml:space="preserve">账号：320006607010141124109</w:t>
            </w:r>
            <w:r/>
          </w:p>
        </w:tc>
      </w:tr>
      <w:tr>
        <w:trPr>
          <w:jc w:val="center"/>
          <w:trHeight w:val="1090"/>
        </w:trPr>
        <w:tc>
          <w:tcPr>
            <w:tcW w:w="768"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w:t>
            </w:r>
            <w:r/>
          </w:p>
        </w:tc>
        <w:tc>
          <w:tcPr>
            <w:tcW w:w="1494" w:type="dxa"/>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其他</w:t>
            </w:r>
            <w:r/>
          </w:p>
        </w:tc>
        <w:tc>
          <w:tcPr>
            <w:tcW w:w="6249" w:type="dxa"/>
            <w:vAlign w:val="center"/>
            <w:textDirection w:val="lrTb"/>
            <w:noWrap w:val="false"/>
          </w:tcPr>
          <w:p>
            <w:pPr>
              <w:pStyle w:val="1015"/>
              <w:ind w:firstLine="0"/>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投标文件的制作要求</w:t>
            </w:r>
            <w:r/>
          </w:p>
          <w:p>
            <w:pPr>
              <w:pStyle w:val="1015"/>
              <w:ind w:firstLine="240"/>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本次采购采用“苏采云”系统进行政府采购活动。</w:t>
            </w:r>
            <w:r/>
          </w:p>
          <w:p>
            <w:pPr>
              <w:pStyle w:val="1015"/>
              <w:ind w:firstLine="240"/>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0523-</w:t>
            </w:r>
            <w:r>
              <w:rPr>
                <w:rFonts w:hint="eastAsia" w:cs="仿宋" w:asciiTheme="minorEastAsia" w:hAnsiTheme="minorEastAsia" w:eastAsiaTheme="minorEastAsia"/>
                <w:color w:val="000000" w:themeColor="text1"/>
                <w:szCs w:val="24"/>
              </w:rPr>
              <w:t xml:space="preserve">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一、说明和释义</w:t>
      </w:r>
      <w:r/>
    </w:p>
    <w:p>
      <w:pPr>
        <w:ind w:firstLine="482"/>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1.说明  </w:t>
      </w:r>
      <w:r/>
    </w:p>
    <w:p>
      <w:pPr>
        <w:pStyle w:val="101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1.1本招标文件仅适用于本采购项目的招标、投标、评审、确定中标单位、验收、合同履约、付款等（法律、法规另有规定的，从其规定）。</w:t>
      </w:r>
      <w:r/>
    </w:p>
    <w:p>
      <w:pPr>
        <w:pStyle w:val="101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1.2本次招标活动及因本次招标产生的合同受中国法律制约和保护。</w:t>
      </w:r>
      <w:r/>
    </w:p>
    <w:p>
      <w:pPr>
        <w:pStyle w:val="101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1.3本招标文件的解释权属于采购人（代理机构）。</w:t>
      </w:r>
      <w:r/>
    </w:p>
    <w:p>
      <w:pPr>
        <w:ind w:firstLine="482"/>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2.词语释义</w:t>
      </w:r>
      <w:r/>
    </w:p>
    <w:p>
      <w:pPr>
        <w:pStyle w:val="101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2.1采购人：指依法进行采购的国家机关、事业单位、团体组织。</w:t>
      </w:r>
      <w:r/>
    </w:p>
    <w:p>
      <w:pPr>
        <w:pStyle w:val="101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2.2 供应商、投标人：指向采购人提供货物、工程或服务的法人、其他组织或者自然人，不包括其分公司。</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2.3采购代理机构：指依法接受采购人委托，从事货物、工程和服务等采购招标代理业务的社会中介机构。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2.4招标采购单位：采购人及采购代理机构的统称。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2.6响应：投标人根据采购人或采购代理机构发售的招标文件，编制投标文件并按规定投标的行为。</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2.7知识产权：指专利权、商标权、著作权等无形财产专有权的统称。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2.8天：日历天。</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2.9服务地点：合同中明确约定的乙方履行服务的最终地点。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2.10不可抗力：不能预见、不能避免并且不能克服的客观情况。</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 实质性响应：满足有关本次采购标的、数量、质量、价款或者报酬、履行期限、履行地点和方式、违约责任和解决争议方法等要求。</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2.12书面形式：指书面文字、合同书、信件等可以有形地表现所载内容的形式。</w:t>
      </w:r>
      <w:r/>
    </w:p>
    <w:p>
      <w:pPr>
        <w:ind w:firstLine="36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二、投标人</w:t>
      </w:r>
      <w:r/>
    </w:p>
    <w:p>
      <w:pPr>
        <w:ind w:firstLine="24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3.合格投标人资格要求</w:t>
      </w:r>
      <w:r/>
    </w:p>
    <w:p>
      <w:pPr>
        <w:ind w:firstLine="24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3.1详见投标人须知前附表规定。</w:t>
      </w:r>
      <w:r/>
    </w:p>
    <w:p>
      <w:pPr>
        <w:ind w:firstLine="241"/>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
          <w:color w:val="000000" w:themeColor="text1"/>
          <w:sz w:val="24"/>
          <w:szCs w:val="24"/>
        </w:rPr>
        <w:t xml:space="preserve">4.</w:t>
      </w:r>
      <w:r>
        <w:rPr>
          <w:rFonts w:hint="eastAsia" w:cs="仿宋" w:asciiTheme="minorEastAsia" w:hAnsiTheme="minorEastAsia" w:eastAsiaTheme="minorEastAsia"/>
          <w:bCs/>
          <w:color w:val="000000" w:themeColor="text1"/>
          <w:sz w:val="24"/>
          <w:szCs w:val="24"/>
        </w:rPr>
        <w:t xml:space="preserve">投标人应在江苏政府采购“苏采云”系统（http://jszfcg.jsczt.cn/，下同）下载招标文件及有关资料，按招标文件要求提交全部资料并对招标文件各项内容做出实质性响应。</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5.投标人代表</w:t>
      </w:r>
      <w:r/>
    </w:p>
    <w:p>
      <w:pPr>
        <w:ind w:firstLine="36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5.1指全权代表投标人参加投标活动并签署投标文件的人，如果投标人代表不是法人代表，须具有《法人代表授权委托书》（详见统一格式）。</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6.不接受联合体投标。</w:t>
      </w:r>
      <w:r/>
    </w:p>
    <w:p>
      <w:pPr>
        <w:ind w:firstLine="241"/>
        <w:jc w:val="left"/>
        <w:spacing w:line="360" w:lineRule="auto"/>
        <w:widowControl/>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7.投标人有下列情形之一的不能参加本次投标：</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（1）因重大经济问题正在接受国家有关部门审查的；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（2）正在被其他企业兼并（或收购）或因重大经济纠纷正在进行诉讼或仲裁的；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（3）因腐败和欺诈行为而被有关部门处理的。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（4）被责令停业的；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（5）被暂停或取消投标资格的；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（6）财产被接管或冻结的；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（7）在最近三年内有骗取中标或严重违约或重大工程质量问题的；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（8）在投标过程中弄虚作假、行贿或有其他违法违规行为的；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（9）违反法律法规相关规定的。</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三、招标文件说明</w:t>
      </w:r>
      <w:r/>
    </w:p>
    <w:p>
      <w:pPr>
        <w:ind w:firstLine="120"/>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8.招标文件</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ind w:firstLine="241"/>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9.现场勘察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9.1投标人应按</w:t>
      </w:r>
      <w:r>
        <w:rPr>
          <w:rFonts w:hint="eastAsia" w:cs="仿宋" w:asciiTheme="minorEastAsia" w:hAnsiTheme="minorEastAsia" w:eastAsiaTheme="minorEastAsia"/>
          <w:bCs/>
          <w:color w:val="000000" w:themeColor="text1"/>
          <w:sz w:val="24"/>
          <w:szCs w:val="24"/>
        </w:rPr>
        <w:t xml:space="preserve">招标文件中所述时间</w:t>
      </w:r>
      <w:r>
        <w:rPr>
          <w:rFonts w:hint="eastAsia" w:cs="仿宋" w:asciiTheme="minorEastAsia" w:hAnsiTheme="minorEastAsia" w:eastAsiaTheme="minorEastAsia"/>
          <w:color w:val="000000" w:themeColor="text1"/>
          <w:sz w:val="24"/>
          <w:szCs w:val="24"/>
        </w:rPr>
        <w:t xml:space="preserve">对有关现场和周围环境进行勘察，以获取编制投标文件和签署合同所需的信息。勘察现场所发生的费用由投标人自己承担。</w:t>
      </w:r>
      <w:r/>
    </w:p>
    <w:p>
      <w:pPr>
        <w:pStyle w:val="101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15"/>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1015"/>
        <w:ind w:firstLine="480"/>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color w:val="000000" w:themeColor="text1"/>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firstLine="24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10.招标文件的澄清和修改</w:t>
      </w:r>
      <w:r/>
    </w:p>
    <w:p>
      <w:pPr>
        <w:ind w:firstLine="488"/>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四、投标文件说明</w:t>
      </w:r>
      <w:r/>
    </w:p>
    <w:p>
      <w:pPr>
        <w:ind w:firstLine="361"/>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11.投标文件计量单位和使用文字</w:t>
      </w:r>
      <w:r/>
    </w:p>
    <w:p>
      <w:pPr>
        <w:pStyle w:val="1015"/>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11.1投标文件中所使用的计量单位，除招标文件中有特殊要求外，均应使用中华人民共和国法定计量单位。</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11.2投标文件应使用中文编制，投标文件中必须使用其他文字的，必须附有中文译本，且以中文译本为准。对于未附有中文译本和中文译本不准确的投</w:t>
      </w:r>
      <w:r>
        <w:rPr>
          <w:rFonts w:hint="eastAsia" w:cs="仿宋" w:asciiTheme="minorEastAsia" w:hAnsiTheme="minorEastAsia" w:eastAsiaTheme="minorEastAsia"/>
          <w:color w:val="000000" w:themeColor="text1"/>
          <w:sz w:val="24"/>
          <w:szCs w:val="24"/>
        </w:rPr>
        <w:t xml:space="preserve">标文件可能引起的对投标人不利的后果，招标采购单位概不负责。</w:t>
      </w:r>
      <w:r/>
    </w:p>
    <w:p>
      <w:pPr>
        <w:pStyle w:val="1014"/>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w:t>
      </w:r>
      <w:bookmarkStart w:id="36" w:name="_Toc217446047"/>
      <w:r>
        <w:rPr>
          <w:rFonts w:hint="eastAsia" w:cs="仿宋" w:asciiTheme="minorEastAsia" w:hAnsiTheme="minorEastAsia" w:eastAsiaTheme="minorEastAsia"/>
          <w:b/>
          <w:color w:val="000000" w:themeColor="text1"/>
          <w:sz w:val="24"/>
          <w:szCs w:val="24"/>
        </w:rPr>
        <w:t xml:space="preserve">2.知识产权</w:t>
      </w:r>
      <w:bookmarkEnd w:id="36"/>
      <w:r/>
      <w:r/>
    </w:p>
    <w:p>
      <w:pPr>
        <w:pStyle w:val="1015"/>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13.投标文件的组成</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资格、资信证明文件：</w:t>
      </w:r>
      <w:r/>
    </w:p>
    <w:p>
      <w:pPr>
        <w:pStyle w:val="869"/>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资格证明文件（格式见附件）</w:t>
      </w:r>
      <w:r/>
    </w:p>
    <w:p>
      <w:pPr>
        <w:pStyle w:val="869"/>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中小企业声明函（格式见附件）；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 w:val="24"/>
          <w:szCs w:val="24"/>
        </w:rPr>
        <w:t xml:space="preserve">采购人要求的特定资质证明</w:t>
      </w:r>
      <w:r/>
    </w:p>
    <w:p>
      <w:pPr>
        <w:ind w:left="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（9）未被列入“信用中国”网站(www.creditchina.gov.cn)失信被执行人名单、重大税收违法案件当事人名单和中国政府采购网</w:t>
      </w:r>
      <w:r>
        <w:rPr>
          <w:rFonts w:hint="eastAsia" w:cs="仿宋" w:asciiTheme="minorEastAsia" w:hAnsiTheme="minorEastAsia" w:eastAsiaTheme="minorEastAsia"/>
          <w:color w:val="000000" w:themeColor="text1"/>
          <w:sz w:val="24"/>
          <w:szCs w:val="24"/>
        </w:rPr>
        <w:t xml:space="preserve">(www.ccgp.gov.cn)政府采购严重违法失信行为记录名单（网页截图）。</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hint="eastAsia" w:cs="仿宋" w:asciiTheme="minorEastAsia" w:hAnsiTheme="minorEastAsia" w:eastAsiaTheme="minorEastAsia"/>
          <w:b/>
          <w:color w:val="000000" w:themeColor="text1"/>
          <w:sz w:val="24"/>
          <w:u w:val="single"/>
        </w:rPr>
      </w:pPr>
      <w:r>
        <w:rPr>
          <w:rFonts w:hint="eastAsia" w:cs="仿宋" w:asciiTheme="minorEastAsia" w:hAnsiTheme="minorEastAsia" w:eastAsiaTheme="minorEastAsia"/>
          <w:color w:val="000000" w:themeColor="text1"/>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14.投标文件编制及递交要求</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14.1所有文件、往来函件均应使用</w:t>
      </w:r>
      <w:r>
        <w:rPr>
          <w:rFonts w:hint="eastAsia" w:cs="仿宋" w:asciiTheme="minorEastAsia" w:hAnsiTheme="minorEastAsia" w:eastAsiaTheme="minorEastAsia"/>
          <w:b/>
          <w:bCs/>
          <w:color w:val="000000" w:themeColor="text1"/>
          <w:sz w:val="24"/>
          <w:szCs w:val="24"/>
        </w:rPr>
        <w:t xml:space="preserve">简体中文</w:t>
      </w:r>
      <w:r>
        <w:rPr>
          <w:rFonts w:hint="eastAsia" w:cs="仿宋" w:asciiTheme="minorEastAsia" w:hAnsiTheme="minorEastAsia" w:eastAsiaTheme="minorEastAsia"/>
          <w:color w:val="000000" w:themeColor="text1"/>
          <w:sz w:val="24"/>
          <w:szCs w:val="24"/>
        </w:rPr>
        <w:t xml:space="preserve">（规格、型号辅助符号例外）。</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14.3如无特别说明，投标人报价一律以人民币为投标结算货币,结算单位为“元”。</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14.5投标费用自理。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14.6投标人应当同时凭CA数字证书登录“江苏政府采购“苏采云”系统”，并在投标截止时间前上传电子投标文件。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15.投标报价（编制）要求的说明</w:t>
      </w:r>
      <w:r/>
    </w:p>
    <w:p>
      <w:pPr>
        <w:pStyle w:val="1015"/>
        <w:ind w:firstLine="505"/>
        <w:jc w:val="both"/>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color w:val="000000" w:themeColor="text1"/>
          <w:szCs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w:t>
      </w:r>
      <w:r>
        <w:rPr>
          <w:rFonts w:hint="eastAsia" w:cs="仿宋" w:asciiTheme="minorEastAsia" w:hAnsiTheme="minorEastAsia" w:eastAsiaTheme="minorEastAsia"/>
          <w:color w:val="000000" w:themeColor="text1"/>
          <w:szCs w:val="24"/>
        </w:rPr>
        <w:t xml:space="preserve">项目费）、其它项目费、规费、税金、有关文件规定的政策性调价等以及各种可能发生的风险费用以及招标文件约定的其他等各项费用。</w:t>
      </w:r>
      <w:r/>
    </w:p>
    <w:p>
      <w:pPr>
        <w:pStyle w:val="1015"/>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投标人要认真阅读清单，慎重报价。采购人不再支付报价以外的任何费用。</w:t>
      </w:r>
      <w:r/>
    </w:p>
    <w:p>
      <w:pPr>
        <w:pStyle w:val="1015"/>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15.2投标人应对招标文件内所要采购的全部内容进行报价，只投其中部分内容者，其标书将被拒绝。</w:t>
      </w:r>
      <w:r/>
    </w:p>
    <w:p>
      <w:pPr>
        <w:pStyle w:val="1015"/>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15.3一项投标内容只允许一个报价，招标采购单位不接受任何有选择性的投标报价。</w:t>
      </w:r>
      <w:r/>
    </w:p>
    <w:p>
      <w:pPr>
        <w:pStyle w:val="101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15.4投标文件报价中的单价和总价全部采用人民币表示，除非合同的特殊条款另有规定。</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16.投标保证金</w:t>
      </w:r>
      <w:r/>
    </w:p>
    <w:p>
      <w:pPr>
        <w:pStyle w:val="859"/>
        <w:ind w:firstLine="480"/>
        <w:keepLines w:val="0"/>
        <w:keepNext w:val="0"/>
        <w:spacing w:before="0" w:after="0" w:line="360" w:lineRule="auto"/>
        <w:rPr>
          <w:rFonts w:hint="eastAsia"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根据苏财购〔2020〕52号文件，本项目不收取投标保证金。 </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17.投标文件的有效期</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18.投标文件的拒收</w:t>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采购人拒绝接收在其规定的投标截止时间后上传的任何投标文件。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五、投标文件的递交</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19.投标文件的递交</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19.1电子投标文件的递交</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20.投标截止日期</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20.2采购人可以按照规定，通过修改招标文件酌情延长投标截止日期，在</w:t>
      </w:r>
      <w:r>
        <w:rPr>
          <w:rFonts w:hint="eastAsia" w:cs="仿宋" w:asciiTheme="minorEastAsia" w:hAnsiTheme="minorEastAsia" w:eastAsiaTheme="minorEastAsia"/>
          <w:color w:val="000000" w:themeColor="text1"/>
          <w:sz w:val="24"/>
          <w:szCs w:val="24"/>
        </w:rPr>
        <w:t xml:space="preserve">此情况下，投标人的所有权利和义务以及投标人受制的截止日期均应以延长后新的截止日期为准。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21.投标文件的修改和撤回</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21.1投标文件的撤回</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 投标文件的修改</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21.3在投标截止时间之后，投标人不得对其电子投标文件作任何修改。</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六、开标和评标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22.开标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投标文件的大写金额和小写金额不一致的，以大写金额为准；总价金额与按单价汇总金额不一致的，以单价金额计算结果为准；单价金额小数点有明显</w:t>
      </w:r>
      <w:r>
        <w:rPr>
          <w:rFonts w:hint="eastAsia" w:cs="仿宋" w:asciiTheme="minorEastAsia" w:hAnsiTheme="minorEastAsia" w:eastAsiaTheme="minorEastAsia"/>
          <w:color w:val="000000" w:themeColor="text1"/>
          <w:sz w:val="24"/>
          <w:szCs w:val="24"/>
        </w:rPr>
        <w:t xml:space="preserve">错位的，应以总价为准，并修改单价；对不同文字文本投标文件的解释发生异议的，以中文文本为准。</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22.6投标人未参加开标的，视同认可开标结果。</w:t>
      </w:r>
      <w:r/>
    </w:p>
    <w:p>
      <w:pPr>
        <w:spacing w:line="360" w:lineRule="auto"/>
        <w:tabs>
          <w:tab w:val="center" w:pos="4479" w:leader="none"/>
        </w:tabs>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23.评标委员会</w:t>
      </w:r>
      <w:r>
        <w:rPr>
          <w:rFonts w:hint="eastAsia" w:cs="仿宋" w:asciiTheme="minorEastAsia" w:hAnsiTheme="minorEastAsia" w:eastAsiaTheme="minorEastAsia"/>
          <w:b/>
          <w:color w:val="000000" w:themeColor="text1"/>
          <w:sz w:val="24"/>
          <w:szCs w:val="24"/>
        </w:rPr>
        <w:tab/>
      </w:r>
      <w:r/>
    </w:p>
    <w:p>
      <w:pPr>
        <w:pStyle w:val="101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23.1评标委员会由招标采购单位依法组建，负责本项目的评标事务。</w:t>
      </w:r>
      <w:r/>
    </w:p>
    <w:p>
      <w:pPr>
        <w:pStyle w:val="101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23.2评标委员会独立履行下列职责：</w:t>
      </w:r>
      <w:r/>
    </w:p>
    <w:p>
      <w:pPr>
        <w:pStyle w:val="101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23.2.1审查投标文件是否符合招标文件的要求，并作出评价；</w:t>
      </w:r>
      <w:r/>
    </w:p>
    <w:p>
      <w:pPr>
        <w:pStyle w:val="101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23.2.2可以要求投标供应商对投标文件有关事项作出解释或澄清；</w:t>
      </w:r>
      <w:r/>
    </w:p>
    <w:p>
      <w:pPr>
        <w:pStyle w:val="101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23.2.3推荐中标候选供应商名单，或者受采购人委托按照事先确定的办法直接确定中标供应商；</w:t>
      </w:r>
      <w:r/>
    </w:p>
    <w:p>
      <w:pPr>
        <w:pStyle w:val="101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23.2.4向招标采购单位或者有关部门报告非法干预评标工作的行为。</w:t>
      </w:r>
      <w:r/>
    </w:p>
    <w:p>
      <w:pPr>
        <w:pStyle w:val="101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23.3评标委员会成员应当履行下列义务：</w:t>
      </w:r>
      <w:r/>
    </w:p>
    <w:p>
      <w:pPr>
        <w:pStyle w:val="101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23.3.1遵纪守法，客观、公正、廉洁地履行职责；</w:t>
      </w:r>
      <w:r/>
    </w:p>
    <w:p>
      <w:pPr>
        <w:pStyle w:val="101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23.3.2按照招标文件规定的评标办法和评标标准进行评标，对评审意见承担个人责任；</w:t>
      </w:r>
      <w:r/>
    </w:p>
    <w:p>
      <w:pPr>
        <w:pStyle w:val="101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23.3.3对评标过程和结果，以及投标人的商业秘密保密；</w:t>
      </w:r>
      <w:r/>
    </w:p>
    <w:p>
      <w:pPr>
        <w:pStyle w:val="101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23.3.4参与评标报告的起草；</w:t>
      </w:r>
      <w:r/>
    </w:p>
    <w:p>
      <w:pPr>
        <w:pStyle w:val="101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23.3.5配合相关部门的投诉处理工作；</w:t>
      </w:r>
      <w:r/>
    </w:p>
    <w:p>
      <w:pPr>
        <w:pStyle w:val="101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23.3.6配合招标采购单位答复投标供应商提出的质疑。</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24.评标内容的保密</w:t>
      </w:r>
      <w:r/>
    </w:p>
    <w:p>
      <w:pPr>
        <w:pStyle w:val="101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24.1公开开标后，直到宣布授予中标人合同为止，凡属于审查、澄清、评价和比较投标的所有资料，有关授予合同的信息都不应向投标人或与评标无关的其他人泄露。</w:t>
      </w:r>
      <w:r/>
    </w:p>
    <w:p>
      <w:pPr>
        <w:pStyle w:val="101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24.2 在投标文件的审查、澄清、评价和比较以及授予合同的过程中，投标人对招标采购单位和评标委员会成员施加影响的任何行为，都将取消其投标资格。</w:t>
      </w:r>
      <w:r/>
    </w:p>
    <w:p>
      <w:pPr>
        <w:pStyle w:val="1015"/>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24.3在评标期间，招标采购单位将通过指定联络人与投标人进行联系。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25.对投标文件初审</w:t>
      </w:r>
      <w:r/>
    </w:p>
    <w:p>
      <w:pPr>
        <w:pStyle w:val="1015"/>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25.1投标文件初审分为资格性检查和符合性检查。</w:t>
      </w:r>
      <w:r/>
    </w:p>
    <w:p>
      <w:pPr>
        <w:pStyle w:val="1015"/>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25.1.1资格性检查。依据法律法规和招标文件的规定，对投标文件中的资</w:t>
      </w:r>
      <w:r>
        <w:rPr>
          <w:rFonts w:hint="eastAsia" w:cs="仿宋" w:asciiTheme="minorEastAsia" w:hAnsiTheme="minorEastAsia" w:eastAsiaTheme="minorEastAsia"/>
          <w:color w:val="000000" w:themeColor="text1"/>
          <w:szCs w:val="24"/>
        </w:rPr>
        <w:t xml:space="preserve">格证明、投标保证金等进行审查，以确定投标供应商是否具备投标资格。</w:t>
      </w:r>
      <w:r/>
    </w:p>
    <w:p>
      <w:pPr>
        <w:ind w:firstLine="488"/>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投标人有下列情况之一者，投标文件无效：</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1）投标人未在规定时间内成功解密电子投标文件的；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2）投标人未按照招标文件要求上传电子投标文件的；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3）投标文件未按照招标文件要求加盖电子签章；</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4）招标人的法定代表人授权代表，无法定代表人授权委托书的；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5）不具备招标文件中规定的资格要求或未按招标文件规定的要求提供资格、资信证明文件的；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7）投标文件未按招标文件规定的内容和要求填写的；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8）投标文件中有招标文件未允许提供的选择性内容；</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9）不同投标人的投标文件由同一单位或者个人编制的；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10）不同投标人委托同一单位或者个人办理投标事宜的；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11）不同投标人的投标文件载明的项目管理成员为同一人的；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12）不同投标人的投标文件异常一致或者投标报价呈规律性差异的；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13）不同投标人的单位负责人为同一人或者存在直接控股、管理关系的；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14）项目（标段）投标总价或单价超过本项目（标段）预算或最高限价的；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15）提供虚假材料的（包括工商营业执照、财务报表、资格证明文件等）；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16）投标文件含有采购人不能接受的附加条件的；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w:t>
      </w:r>
      <w:r>
        <w:rPr>
          <w:rFonts w:hint="eastAsia" w:cs="仿宋" w:asciiTheme="minorEastAsia" w:hAnsiTheme="minorEastAsia" w:eastAsiaTheme="minorEastAsia"/>
          <w:color w:val="000000" w:themeColor="text1"/>
          <w:sz w:val="24"/>
          <w:szCs w:val="24"/>
        </w:rPr>
        <w:t xml:space="preserve">明材料）证明其报价合理性的；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18）除单一来源采购项目外，为采购项目提供整体设计、规范编制或者项目管理、监理、检测等服务的；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19）投标文件内容不全或不符合招标文件中规定的其它实质性要求的；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20）法律法规和招标文件规定的其它无效情形；</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21）改变招标文件清单给出的名称、实施范围、工作内容、计量单位、工程量、养护标准等。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25.5招标采购单位对投标文件的判定，只依据投标内容本身，不依靠开标后的任何外来证明。</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25.6招标采购单位将拒绝被确定为非实质性响应的投标，投标人不能通过修正或撤销不符之处而使其投标成为实质性响应的投标。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26.投标的澄清</w:t>
      </w:r>
      <w:r/>
    </w:p>
    <w:p>
      <w:pPr>
        <w:pStyle w:val="101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26.1对投标文件中含义不明确</w:t>
      </w:r>
      <w:r>
        <w:rPr>
          <w:rFonts w:hint="eastAsia" w:cs="仿宋" w:asciiTheme="minorEastAsia" w:hAnsiTheme="minorEastAsia" w:eastAsiaTheme="minorEastAsia"/>
          <w:color w:val="000000" w:themeColor="text1"/>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27.废标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27.1 在招标采购中，出现下列情形之一的，应予废标：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1．符合专业条件的投标人或者对招标文件作出实质性响应的投标人不足三家；</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2．出现影响采购公正的违法、违规行为；</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3．投标人的报价均超过采购预算，采购人不能支付的；</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4．因重大变故，采购任务取消。</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5．因“江苏政府采购“苏采云”系统”系统重大故障原因无法继续开评标的。</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6.关于异常低价的审查</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6.1评审过程中出现下列情形之一的，评审委员会将启动异常低价投标（响应）审查程序：</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（1）投标（响应）报价低于采购项目预算50%的，即投标（响应）报价&lt;采购项目预算×50%；</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（2）投标（响应）报价低于采购项目最高限价45%的，即投标（响应）报价&lt;采购项目最高限价×45%；</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（3）评审委员会认定的供应商报价过低、有可能影响产品质量或者不能诚信履约的其他情形。</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28.投标文件的评价和比较</w:t>
      </w:r>
      <w:r/>
    </w:p>
    <w:p>
      <w:pPr>
        <w:pStyle w:val="1015"/>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28.1评标委员会按招标文件规定的评标方法和标准，对符合性检查合格的投标文件进行商务和技术评估，综合比较与评价。</w:t>
      </w:r>
      <w:r/>
    </w:p>
    <w:p>
      <w:pPr>
        <w:pStyle w:val="1015"/>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28.2最低的投标报价或最高的折扣比例是中标的重要条件，但不是唯一条件。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七、授予合同</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29.中标人的确认</w:t>
      </w:r>
      <w:r/>
    </w:p>
    <w:p>
      <w:pPr>
        <w:pStyle w:val="101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101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29.2中标无效的确认：</w:t>
      </w:r>
      <w:r/>
    </w:p>
    <w:p>
      <w:pPr>
        <w:pStyle w:val="101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（1）提供虚假材料谋取中标的；</w:t>
      </w:r>
      <w:r/>
    </w:p>
    <w:p>
      <w:pPr>
        <w:pStyle w:val="101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（2）采取不正当手段诋毁、排挤其他投标人的；</w:t>
      </w:r>
      <w:r/>
    </w:p>
    <w:p>
      <w:pPr>
        <w:pStyle w:val="101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（3）与招标采购单位、其他投标人恶意串通的；</w:t>
      </w:r>
      <w:r/>
    </w:p>
    <w:p>
      <w:pPr>
        <w:pStyle w:val="101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（4）向招标采购单位行贿或者提供其他不正当利益的；</w:t>
      </w:r>
      <w:r/>
    </w:p>
    <w:p>
      <w:pPr>
        <w:pStyle w:val="101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（5）在招标过程中与招标采购单位进行协商谈判、不按照招标文件和中标供应商的投标文件订立合同，或者与采购人另行订立背离合同实质性内容的协议的；</w:t>
      </w:r>
      <w:r/>
    </w:p>
    <w:p>
      <w:pPr>
        <w:pStyle w:val="101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（6）拒绝有关部门监督检查或者提供虚假情况的。</w:t>
      </w:r>
      <w:r/>
    </w:p>
    <w:p>
      <w:pPr>
        <w:pStyle w:val="101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1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29.3经评标委员</w:t>
      </w:r>
      <w:r>
        <w:rPr>
          <w:rFonts w:hint="eastAsia" w:cs="仿宋" w:asciiTheme="minorEastAsia" w:hAnsiTheme="minorEastAsia" w:eastAsiaTheme="minorEastAsia"/>
          <w:color w:val="000000" w:themeColor="text1"/>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29.6本项目只接收以纸质原件形式送达的质疑，联系方式详见招标公告。</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29.7以下情形的质疑不予受理</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（1）质疑主体和内容不符合《政府采购质疑和投诉办法》第十一条、第十二条规定的；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（2）供应商超过法定质疑期提出质疑的；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（3）供应商以传真、电子邮件等方式递交的非原件形式的；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（4）供应商组成联合体参加投标（响应）的，联合体中任何一方或多方未按要求签字、盖章、加盖公章的；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（5）供应商对自身提出质疑的。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30.合同授予标准</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30.1招标采购单位将把合同授予其投标文件在实质上响应招标文件要求且综合评分得分最高的投标人。</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31.中标通知书</w:t>
      </w:r>
      <w:r/>
    </w:p>
    <w:p>
      <w:pPr>
        <w:pStyle w:val="101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1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31.2中标通知书将成为合同的组成部分。</w:t>
      </w:r>
      <w:r/>
    </w:p>
    <w:p>
      <w:pPr>
        <w:pStyle w:val="1015"/>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31.3招标采购单位对未中标供应商不承担解释未中标原因的义务。</w:t>
      </w:r>
      <w:r/>
    </w:p>
    <w:p>
      <w:pPr>
        <w:spacing w:line="360" w:lineRule="auto"/>
        <w:rPr>
          <w:rFonts w:hint="eastAsia"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32.履约保证金</w:t>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32.1中标人应按规定提交履约保证金。</w:t>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32.2中标人必须在合同签订前按规定将履约保证金交至采购人指定账户。中标人未按上述要求提交履约保证金的,采购人可取消其中标资格。</w:t>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32.3履约保证金用以约束供应商在合同履行中的行为，弥补合同执行中由于自身行为可能给采购人带来的各种损失。</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33.合同的签订</w:t>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33.1中标人应按中标通知书中规定的时间和地点，由法定代表人或委托代</w:t>
      </w:r>
      <w:r>
        <w:rPr>
          <w:rFonts w:hint="eastAsia" w:cs="仿宋" w:asciiTheme="minorEastAsia" w:hAnsiTheme="minorEastAsia" w:eastAsiaTheme="minorEastAsia"/>
          <w:color w:val="000000" w:themeColor="text1"/>
          <w:szCs w:val="24"/>
        </w:rPr>
        <w:t xml:space="preserve">理人与采购人代表签订合同。</w:t>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33.2签订合同及合同条款应以招标文件和中标人的投标文件及其澄清文件为依据。</w:t>
      </w:r>
      <w:r/>
    </w:p>
    <w:p>
      <w:pPr>
        <w:ind w:firstLine="431"/>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34.特别提醒</w:t>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34.1投标单位如有提供不实评审材料，弄虚作假者，一律作废标处理，该不良行为将予以公示。</w:t>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15"/>
        <w:ind w:firstLine="431"/>
        <w:jc w:val="both"/>
        <w:spacing w:line="360" w:lineRule="auto"/>
        <w:rPr>
          <w:rFonts w:hint="eastAsia" w:cs="仿宋" w:asciiTheme="minorEastAsia" w:hAnsiTheme="minorEastAsia" w:eastAsiaTheme="minorEastAsia"/>
          <w:color w:val="000000" w:themeColor="text1"/>
          <w:szCs w:val="24"/>
        </w:rPr>
      </w:pPr>
      <w:r/>
      <w:bookmarkStart w:id="37" w:name="_Toc409438818"/>
      <w:r>
        <w:rPr>
          <w:rFonts w:hint="eastAsia" w:cs="仿宋" w:asciiTheme="minorEastAsia" w:hAnsiTheme="minorEastAsia" w:eastAsiaTheme="minorEastAsia"/>
          <w:color w:val="000000" w:themeColor="text1"/>
          <w:szCs w:val="24"/>
        </w:rPr>
        <w:t xml:space="preserve">34.3政府采购线上合同信用融资功能告知提醒</w:t>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我区已正式启用“苏采云”系统，目前已全面开通政府采购线上合同信用融资（以下简称“政采贷”）功能。成交供应商可凭政府采购合同在中征平台发起贷款申请贷款。</w:t>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34.3.1.“政采贷”业务流程</w:t>
      </w:r>
      <w:r/>
    </w:p>
    <w:p>
      <w:pPr>
        <w:pStyle w:val="1015"/>
        <w:ind w:firstLine="431"/>
        <w:jc w:val="center"/>
        <w:spacing w:line="360" w:lineRule="auto"/>
        <w:rPr>
          <w:rFonts w:hint="eastAsia"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7"/>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7" o:title=""/>
              </v:shape>
            </w:pict>
          </mc:Fallback>
        </mc:AlternateContent>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34.3.2.操作流程</w:t>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34.3.3.常见问题</w:t>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Q1：哪些企业能申请“政采贷”？</w:t>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答：江苏省内采用国库集中支付的政府采购项目的中标供应商，可凭政府采购合同申请</w:t>
      </w:r>
      <w:r>
        <w:rPr>
          <w:rFonts w:hint="eastAsia" w:cs="仿宋" w:asciiTheme="minorEastAsia" w:hAnsiTheme="minorEastAsia" w:eastAsiaTheme="minorEastAsia"/>
          <w:color w:val="000000" w:themeColor="text1"/>
          <w:szCs w:val="24"/>
        </w:rPr>
        <w:t xml:space="preserve">"政</w:t>
      </w:r>
      <w:r>
        <w:rPr>
          <w:rFonts w:hint="eastAsia" w:cs="仿宋" w:asciiTheme="minorEastAsia" w:hAnsiTheme="minorEastAsia" w:eastAsiaTheme="minorEastAsia"/>
          <w:color w:val="000000" w:themeColor="text1"/>
          <w:szCs w:val="24"/>
        </w:rPr>
        <w:t xml:space="preserve">采</w:t>
      </w:r>
      <w:r>
        <w:rPr>
          <w:rFonts w:hint="eastAsia" w:cs="仿宋" w:asciiTheme="minorEastAsia" w:hAnsiTheme="minorEastAsia" w:eastAsiaTheme="minorEastAsia"/>
          <w:color w:val="000000" w:themeColor="text1"/>
          <w:szCs w:val="24"/>
        </w:rPr>
        <w:t xml:space="preserve">贷"。</w:t>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Q2：供应商在哪里申请“政采贷”？</w:t>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答：中标供应商在“中征应收账款融资服务平台”（简称“中征平台”）上向意向银行发起融资申请</w:t>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Q3：中标供应商要注意什么？</w:t>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答：中标供应商要加强和采购单位的沟通协调，尽早确定融资需求。需要“政采贷”融资的，政府采购合同付款账号应当空置。</w:t>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Q4：采购单位要做什么？</w:t>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Q5：“政采贷”融资失败怎么办？</w:t>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34.3.4.网址及联系方式</w:t>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政采贷：http://www.ccgp-jiangsu.gov.cn/jiangsu/paying.html</w:t>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中征平台：https://www.crcrfsp.com/</w:t>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联系人：翟先生           联系电话：0523-88816349</w:t>
      </w:r>
      <w:r/>
    </w:p>
    <w:p>
      <w:pPr>
        <w:pStyle w:val="1015"/>
        <w:numPr>
          <w:ilvl w:val="0"/>
          <w:numId w:val="3"/>
        </w:numPr>
        <w:ind w:firstLine="431"/>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b/>
          <w:color w:val="000000" w:themeColor="text1"/>
          <w:szCs w:val="24"/>
        </w:rPr>
        <w:t xml:space="preserve">货物（包含与货物相关的服务）的追加</w:t>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Start w:id="38" w:name="_Toc388026586"/>
      <w:r/>
      <w:bookmarkEnd w:id="37"/>
      <w:r/>
      <w:r/>
    </w:p>
    <w:p>
      <w:pPr>
        <w:pStyle w:val="1015"/>
        <w:ind w:firstLine="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5"/>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15"/>
        <w:ind w:firstLine="0"/>
        <w:jc w:val="both"/>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r>
      <w:r/>
    </w:p>
    <w:p>
      <w:pPr>
        <w:pStyle w:val="1015"/>
        <w:numPr>
          <w:ilvl w:val="0"/>
          <w:numId w:val="4"/>
        </w:numPr>
        <w:ind w:firstLine="0"/>
        <w:jc w:val="center"/>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 采购</w:t>
      </w:r>
      <w:bookmarkEnd w:id="38"/>
      <w:r>
        <w:rPr>
          <w:rFonts w:hint="eastAsia" w:cs="仿宋" w:asciiTheme="minorEastAsia" w:hAnsiTheme="minorEastAsia" w:eastAsiaTheme="minorEastAsia"/>
          <w:b/>
          <w:color w:val="000000" w:themeColor="text1"/>
          <w:sz w:val="32"/>
          <w:szCs w:val="32"/>
        </w:rPr>
        <w:t xml:space="preserve">需求</w:t>
      </w:r>
      <w:r/>
    </w:p>
    <w:p>
      <w:pPr>
        <w:pStyle w:val="869"/>
        <w:ind w:left="720" w:firstLine="0"/>
        <w:jc w:val="left"/>
        <w:spacing w:line="360" w:lineRule="auto"/>
        <w:tabs>
          <w:tab w:val="left" w:pos="1260" w:leader="none"/>
        </w:tabs>
        <w:rPr>
          <w:rFonts w:hint="eastAsia" w:ascii="宋体" w:hAnsi="宋体" w:eastAsia="宋体"/>
          <w:b/>
          <w:sz w:val="28"/>
          <w:szCs w:val="28"/>
        </w:rPr>
      </w:pPr>
      <w:r/>
      <w:bookmarkStart w:id="39" w:name="_Toc388026588"/>
      <w:r/>
      <w:bookmarkStart w:id="40" w:name="_Toc409438821"/>
      <w:r>
        <w:rPr>
          <w:rFonts w:hint="eastAsia" w:ascii="宋体" w:hAnsi="宋体" w:eastAsia="宋体"/>
          <w:b/>
          <w:sz w:val="28"/>
          <w:szCs w:val="28"/>
        </w:rPr>
        <w:t xml:space="preserve">一</w:t>
      </w:r>
      <w:r>
        <w:rPr>
          <w:rFonts w:ascii="宋体" w:hAnsi="宋体" w:eastAsia="宋体"/>
          <w:b/>
          <w:sz w:val="28"/>
          <w:szCs w:val="28"/>
        </w:rPr>
        <w:t xml:space="preserve">、</w:t>
      </w:r>
      <w:r>
        <w:rPr>
          <w:rFonts w:hint="eastAsia" w:ascii="宋体" w:hAnsi="宋体" w:eastAsia="宋体"/>
          <w:b/>
          <w:sz w:val="28"/>
          <w:szCs w:val="28"/>
        </w:rPr>
        <w:t xml:space="preserve">采购需求</w:t>
      </w:r>
      <w:r/>
    </w:p>
    <w:tbl>
      <w:tblPr>
        <w:tblStyle w:val="1039"/>
        <w:tblW w:w="5005"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97"/>
        <w:gridCol w:w="4023"/>
        <w:gridCol w:w="1038"/>
        <w:gridCol w:w="2344"/>
      </w:tblGrid>
      <w:tr>
        <w:trPr>
          <w:jc w:val="center"/>
          <w:trHeight w:val="707"/>
        </w:trPr>
        <w:tc>
          <w:tcPr>
            <w:tcW w:w="54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42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62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412"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交货地点</w:t>
            </w:r>
            <w:r/>
          </w:p>
        </w:tc>
      </w:tr>
      <w:tr>
        <w:trPr>
          <w:jc w:val="center"/>
          <w:trHeight w:val="1093" w:hRule="exact"/>
        </w:trPr>
        <w:tc>
          <w:tcPr>
            <w:shd w:val="clear" w:color="auto" w:fill="ffffff"/>
            <w:tcW w:w="540" w:type="pct"/>
            <w:vAlign w:val="center"/>
            <w:textDirection w:val="lrTb"/>
            <w:noWrap w:val="false"/>
          </w:tcPr>
          <w:p>
            <w:pPr>
              <w:jc w:val="center"/>
              <w:spacing w:line="360" w:lineRule="auto"/>
              <w:rPr>
                <w:rFonts w:hint="eastAsia" w:ascii="宋体" w:hAnsi="宋体" w:eastAsia="宋体" w:cs="宋体"/>
                <w:sz w:val="24"/>
                <w:szCs w:val="24"/>
              </w:rPr>
            </w:pPr>
            <w:r/>
            <w:bookmarkStart w:id="41" w:name="_Hlk183174083"/>
            <w:r>
              <w:rPr>
                <w:rFonts w:hint="eastAsia" w:cs="仿宋" w:asciiTheme="minorEastAsia" w:hAnsiTheme="minorEastAsia" w:eastAsiaTheme="minorEastAsia"/>
                <w:color w:val="000000" w:themeColor="text1"/>
                <w:sz w:val="24"/>
                <w:szCs w:val="24"/>
              </w:rPr>
              <w:t xml:space="preserve">1</w:t>
            </w:r>
            <w:r/>
          </w:p>
        </w:tc>
        <w:tc>
          <w:tcPr>
            <w:shd w:val="clear" w:color="auto" w:fill="ffffff"/>
            <w:tcW w:w="2423" w:type="pct"/>
            <w:vAlign w:val="center"/>
            <w:textDirection w:val="lrTb"/>
            <w:noWrap w:val="false"/>
          </w:tcPr>
          <w:p>
            <w:pPr>
              <w:jc w:val="center"/>
              <w:spacing w:line="360" w:lineRule="auto"/>
              <w:rPr>
                <w:rFonts w:hint="eastAsia" w:ascii="宋体" w:hAnsi="宋体" w:eastAsia="宋体" w:cs="宋体"/>
                <w:sz w:val="24"/>
                <w:szCs w:val="24"/>
              </w:rPr>
            </w:pPr>
            <w:r>
              <w:rPr>
                <w:rFonts w:cs="仿宋" w:asciiTheme="minorEastAsia" w:hAnsiTheme="minorEastAsia" w:eastAsiaTheme="minorEastAsia"/>
                <w:color w:val="000000" w:themeColor="text1"/>
                <w:sz w:val="24"/>
                <w:szCs w:val="24"/>
              </w:rPr>
              <w:t xml:space="preserve">肺功能仪和慢病手环</w:t>
            </w:r>
            <w:r/>
          </w:p>
        </w:tc>
        <w:tc>
          <w:tcPr>
            <w:shd w:val="clear" w:color="auto" w:fill="ffffff"/>
            <w:tcW w:w="62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207台</w:t>
            </w:r>
            <w:r/>
          </w:p>
        </w:tc>
        <w:tc>
          <w:tcPr>
            <w:shd w:val="clear" w:color="auto" w:fill="ffffff"/>
            <w:tcW w:w="1412" w:type="pct"/>
            <w:vAlign w:val="center"/>
            <w:vMerge w:val="restar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泰兴市卫生健康委员会指定地点</w:t>
            </w:r>
            <w:r/>
          </w:p>
        </w:tc>
      </w:tr>
      <w:tr>
        <w:trPr>
          <w:jc w:val="center"/>
          <w:trHeight w:val="1093" w:hRule="exact"/>
        </w:trPr>
        <w:tc>
          <w:tcPr>
            <w:shd w:val="clear" w:color="auto" w:fill="ffffff"/>
            <w:tcW w:w="540" w:type="pct"/>
            <w:vAlign w:val="center"/>
            <w:textDirection w:val="lrTb"/>
            <w:noWrap w:val="false"/>
          </w:tcPr>
          <w:p>
            <w:pPr>
              <w:jc w:val="cente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shd w:val="clear" w:color="auto" w:fill="ffffff"/>
            <w:tcW w:w="2423" w:type="pct"/>
            <w:vAlign w:val="center"/>
            <w:textDirection w:val="lrTb"/>
            <w:noWrap w:val="false"/>
          </w:tcPr>
          <w:p>
            <w:pPr>
              <w:jc w:val="center"/>
              <w:spacing w:line="360" w:lineRule="auto"/>
              <w:rPr>
                <w:rFonts w:hint="eastAsia" w:ascii="宋体" w:hAnsi="宋体" w:eastAsia="宋体" w:cs="宋体"/>
                <w:sz w:val="24"/>
                <w:szCs w:val="24"/>
              </w:rPr>
            </w:pPr>
            <w:r>
              <w:rPr>
                <w:rFonts w:cs="仿宋" w:asciiTheme="minorEastAsia" w:hAnsiTheme="minorEastAsia" w:eastAsiaTheme="minorEastAsia"/>
                <w:color w:val="000000" w:themeColor="text1"/>
                <w:sz w:val="24"/>
                <w:szCs w:val="24"/>
              </w:rPr>
              <w:t xml:space="preserve">远程心电设备</w:t>
            </w:r>
            <w:r/>
          </w:p>
        </w:tc>
        <w:tc>
          <w:tcPr>
            <w:shd w:val="clear" w:color="auto" w:fill="ffffff"/>
            <w:tcW w:w="62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207套</w:t>
            </w:r>
            <w:r/>
          </w:p>
        </w:tc>
        <w:tc>
          <w:tcPr>
            <w:shd w:val="clear" w:color="auto" w:fill="ffffff"/>
            <w:tcW w:w="1412" w:type="pct"/>
            <w:vAlign w:val="center"/>
            <w:vMerge w:val="continue"/>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bookmarkEnd w:id="41"/>
            <w:r/>
            <w:r/>
          </w:p>
        </w:tc>
      </w:tr>
    </w:tbl>
    <w:p>
      <w:pPr>
        <w:spacing w:line="360" w:lineRule="auto"/>
        <w:tabs>
          <w:tab w:val="left" w:pos="1260" w:leader="none"/>
        </w:tabs>
        <w:rPr>
          <w:rFonts w:hint="eastAsia" w:ascii="宋体" w:hAnsi="宋体" w:eastAsia="宋体"/>
          <w:b/>
          <w:sz w:val="24"/>
          <w:szCs w:val="24"/>
        </w:rPr>
      </w:pPr>
      <w:r>
        <w:rPr>
          <w:rFonts w:ascii="宋体" w:hAnsi="宋体" w:eastAsia="宋体"/>
          <w:b/>
          <w:sz w:val="24"/>
          <w:szCs w:val="24"/>
        </w:rPr>
        <w:br w:type="page" w:clear="all"/>
      </w:r>
      <w:r/>
    </w:p>
    <w:p>
      <w:pPr>
        <w:pStyle w:val="822"/>
        <w:spacing w:line="360" w:lineRule="auto"/>
        <w:rPr>
          <w:rFonts w:hint="eastAsia" w:asciiTheme="minorEastAsia" w:hAnsiTheme="minorEastAsia" w:eastAsiaTheme="minorEastAsia"/>
          <w:b/>
          <w:szCs w:val="28"/>
        </w:rPr>
      </w:pPr>
      <w:r>
        <w:rPr>
          <w:rFonts w:hint="eastAsia" w:asciiTheme="minorEastAsia" w:hAnsiTheme="minorEastAsia" w:eastAsiaTheme="minorEastAsia"/>
          <w:b/>
          <w:szCs w:val="28"/>
        </w:rPr>
        <w:t xml:space="preserve">二</w:t>
      </w:r>
      <w:r>
        <w:rPr>
          <w:rFonts w:asciiTheme="minorEastAsia" w:hAnsiTheme="minorEastAsia" w:eastAsiaTheme="minorEastAsia"/>
          <w:b/>
          <w:szCs w:val="28"/>
        </w:rPr>
        <w:t xml:space="preserve">、技术要求</w:t>
      </w:r>
      <w:r/>
    </w:p>
    <w:p>
      <w:pPr>
        <w:pStyle w:val="822"/>
        <w:jc w:val="center"/>
        <w:rPr>
          <w:rFonts w:hint="eastAsia" w:asciiTheme="minorEastAsia" w:hAnsiTheme="minorEastAsia" w:eastAsiaTheme="minorEastAsia"/>
          <w:b/>
          <w:szCs w:val="28"/>
        </w:rPr>
      </w:pPr>
      <w:r>
        <w:rPr>
          <w:rFonts w:hint="eastAsia" w:asciiTheme="minorEastAsia" w:hAnsiTheme="minorEastAsia" w:eastAsiaTheme="minorEastAsia"/>
          <w:b/>
          <w:szCs w:val="28"/>
        </w:rPr>
        <w:t xml:space="preserve">包一：</w:t>
      </w:r>
      <w:r>
        <w:rPr>
          <w:rFonts w:asciiTheme="minorEastAsia" w:hAnsiTheme="minorEastAsia" w:eastAsiaTheme="minorEastAsia"/>
          <w:b/>
          <w:szCs w:val="28"/>
        </w:rPr>
        <w:t xml:space="preserve">肺功能仪和慢病手环</w:t>
      </w:r>
      <w:r/>
    </w:p>
    <w:p>
      <w:pPr>
        <w:jc w:val="left"/>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一、项目概况</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肺功能仪是用于测定肺的容量和呼吸流速的仪器，是肺功能检查中最为常用的设备。肺功能检查是胸肺疾病及呼吸生理的重要检查方式，是现代肺科检查不可缺少的检测项目，对呼吸系统疾病诊断、鉴别诊断、治疗效果评定以及外科手术适应症的选择均具有重要意义。因此，随着临床呼吸生理学的迅速发展，肺活量检查的临床应用亦日趋普及。</w:t>
      </w:r>
      <w:r/>
    </w:p>
    <w:p>
      <w:pPr>
        <w:jc w:val="left"/>
        <w:spacing w:line="360" w:lineRule="auto"/>
        <w:tabs>
          <w:tab w:val="left" w:pos="1260" w:leader="none"/>
        </w:tabs>
        <w:rPr>
          <w:rFonts w:hint="eastAsia" w:ascii="宋体" w:hAnsi="宋体" w:eastAsia="宋体" w:cs="宋体"/>
          <w:b/>
          <w:bCs/>
          <w:sz w:val="24"/>
          <w:szCs w:val="24"/>
        </w:rPr>
      </w:pPr>
      <w:r>
        <w:rPr>
          <w:rFonts w:ascii="宋体" w:hAnsi="宋体" w:eastAsia="宋体" w:cs="宋体"/>
          <w:b/>
          <w:bCs/>
          <w:sz w:val="24"/>
          <w:szCs w:val="24"/>
        </w:rPr>
        <w:t xml:space="preserve">★</w:t>
      </w:r>
      <w:r>
        <w:rPr>
          <w:rFonts w:hint="eastAsia" w:ascii="宋体" w:hAnsi="宋体" w:eastAsia="宋体" w:cs="宋体"/>
          <w:b/>
          <w:bCs/>
          <w:sz w:val="24"/>
          <w:szCs w:val="24"/>
        </w:rPr>
        <w:t xml:space="preserve">二、产品资质要求</w:t>
      </w:r>
      <w:r>
        <w:rPr>
          <w:rFonts w:ascii="宋体" w:hAnsi="宋体" w:eastAsia="宋体" w:cs="宋体"/>
          <w:b/>
          <w:bCs/>
          <w:sz w:val="24"/>
          <w:szCs w:val="24"/>
        </w:rPr>
        <w:t xml:space="preserve">（实质性要求</w:t>
      </w:r>
      <w:r>
        <w:rPr>
          <w:rFonts w:hint="eastAsia" w:ascii="宋体" w:hAnsi="宋体" w:eastAsia="宋体" w:cs="宋体"/>
          <w:b/>
          <w:bCs/>
          <w:sz w:val="24"/>
          <w:szCs w:val="24"/>
        </w:rPr>
        <w:t xml:space="preserve">）</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1、投标产品具备有效二类医疗器械注册证、厂家生产许可证；</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2、肺功能仪符合国家/行业现行有效的肺量计相关标准（如YY/T 1438等适用标准）；</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3、具有多种预计值公式，自动划分通气功能障碍等级。</w:t>
      </w:r>
      <w:r>
        <w:rPr>
          <w:rFonts w:hint="eastAsia" w:ascii="宋体" w:hAnsi="宋体" w:eastAsia="宋体" w:cs="宋体"/>
          <w:sz w:val="24"/>
          <w:szCs w:val="24"/>
        </w:rPr>
        <w:t xml:space="preserve"> </w:t>
      </w:r>
      <w:r/>
    </w:p>
    <w:p>
      <w:pPr>
        <w:jc w:val="left"/>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三、核心技术参数</w:t>
      </w:r>
      <w:r>
        <w:rPr>
          <w:rFonts w:ascii="宋体" w:hAnsi="宋体" w:eastAsia="宋体" w:cs="宋体"/>
          <w:b/>
          <w:bCs/>
          <w:sz w:val="24"/>
          <w:szCs w:val="24"/>
        </w:rPr>
        <w:t xml:space="preserve">（技术评分项）</w:t>
      </w:r>
      <w:r/>
    </w:p>
    <w:p>
      <w:pPr>
        <w:jc w:val="left"/>
        <w:spacing w:line="360" w:lineRule="auto"/>
        <w:tabs>
          <w:tab w:val="left" w:pos="126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1</w:t>
      </w:r>
      <w:r>
        <w:rPr>
          <w:rFonts w:hint="eastAsia" w:ascii="宋体" w:hAnsi="宋体" w:eastAsia="宋体" w:cs="宋体"/>
          <w:sz w:val="24"/>
          <w:szCs w:val="24"/>
        </w:rPr>
        <w:t xml:space="preserve">、传感器：压差式流量传感器；</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、容量检测：量程</w:t>
      </w:r>
      <w:r>
        <w:rPr>
          <w:rFonts w:ascii="宋体" w:hAnsi="宋体" w:eastAsia="宋体" w:cs="宋体"/>
          <w:sz w:val="24"/>
          <w:szCs w:val="24"/>
        </w:rPr>
        <w:t xml:space="preserve">0L</w:t>
      </w:r>
      <w:r>
        <w:rPr>
          <w:rFonts w:hint="eastAsia" w:ascii="宋体" w:hAnsi="宋体" w:eastAsia="宋体" w:cs="宋体"/>
          <w:sz w:val="24"/>
          <w:szCs w:val="24"/>
        </w:rPr>
        <w:t xml:space="preserve">～</w:t>
      </w:r>
      <w:r>
        <w:rPr>
          <w:rFonts w:ascii="宋体" w:hAnsi="宋体" w:eastAsia="宋体" w:cs="宋体"/>
          <w:sz w:val="24"/>
          <w:szCs w:val="24"/>
        </w:rPr>
        <w:t xml:space="preserve">10L</w:t>
      </w:r>
      <w:r>
        <w:rPr>
          <w:rFonts w:hint="eastAsia" w:ascii="宋体" w:hAnsi="宋体" w:eastAsia="宋体" w:cs="宋体"/>
          <w:sz w:val="24"/>
          <w:szCs w:val="24"/>
        </w:rPr>
        <w:t xml:space="preserve">，精度</w:t>
      </w:r>
      <w:r>
        <w:rPr>
          <w:rFonts w:hint="cs" w:ascii="宋体" w:hAnsi="宋体" w:eastAsia="宋体" w:cs="宋体"/>
          <w:sz w:val="24"/>
          <w:szCs w:val="24"/>
        </w:rPr>
        <w:t xml:space="preserve">±</w:t>
      </w:r>
      <w:r>
        <w:rPr>
          <w:rFonts w:ascii="宋体" w:hAnsi="宋体" w:eastAsia="宋体" w:cs="宋体"/>
          <w:sz w:val="24"/>
          <w:szCs w:val="24"/>
        </w:rPr>
        <w:t xml:space="preserve">3%</w:t>
      </w:r>
      <w:r>
        <w:rPr>
          <w:rFonts w:hint="eastAsia" w:ascii="宋体" w:hAnsi="宋体" w:eastAsia="宋体" w:cs="宋体"/>
          <w:sz w:val="24"/>
          <w:szCs w:val="24"/>
        </w:rPr>
        <w:t xml:space="preserve">或</w:t>
      </w:r>
      <w:r>
        <w:rPr>
          <w:rFonts w:ascii="宋体" w:hAnsi="宋体" w:eastAsia="宋体" w:cs="宋体"/>
          <w:sz w:val="24"/>
          <w:szCs w:val="24"/>
        </w:rPr>
        <w:t xml:space="preserve">0.05L</w:t>
      </w:r>
      <w:r>
        <w:rPr>
          <w:rFonts w:hint="eastAsia" w:ascii="宋体" w:hAnsi="宋体" w:eastAsia="宋体" w:cs="宋体"/>
          <w:sz w:val="24"/>
          <w:szCs w:val="24"/>
        </w:rPr>
        <w:t xml:space="preserve">；</w:t>
      </w:r>
      <w:r/>
    </w:p>
    <w:p>
      <w:pPr>
        <w:jc w:val="left"/>
        <w:spacing w:line="360" w:lineRule="auto"/>
        <w:tabs>
          <w:tab w:val="left" w:pos="1260" w:leader="none"/>
        </w:tabs>
        <w:rPr>
          <w:rFonts w:hint="eastAsia" w:ascii="宋体" w:hAnsi="宋体" w:eastAsia="宋体" w:cs="宋体"/>
          <w:sz w:val="24"/>
          <w:szCs w:val="24"/>
        </w:rPr>
      </w:pPr>
      <w:r>
        <w:rPr>
          <w:rFonts w:cs="宋体" w:asciiTheme="minorEastAsia" w:hAnsiTheme="minorEastAsia" w:eastAsiaTheme="minorEastAsia"/>
          <w:bCs/>
          <w:sz w:val="24"/>
          <w:szCs w:val="24"/>
        </w:rPr>
        <w:t xml:space="preserve">▲</w:t>
      </w:r>
      <w:r>
        <w:rPr>
          <w:rFonts w:ascii="宋体" w:hAnsi="宋体" w:eastAsia="宋体" w:cs="宋体"/>
          <w:sz w:val="24"/>
          <w:szCs w:val="24"/>
        </w:rPr>
        <w:t xml:space="preserve">3</w:t>
      </w:r>
      <w:r>
        <w:rPr>
          <w:rFonts w:hint="eastAsia" w:ascii="宋体" w:hAnsi="宋体" w:eastAsia="宋体" w:cs="宋体"/>
          <w:sz w:val="24"/>
          <w:szCs w:val="24"/>
        </w:rPr>
        <w:t xml:space="preserve">、流量检测：量程</w:t>
      </w:r>
      <w:r>
        <w:rPr>
          <w:rFonts w:ascii="宋体" w:hAnsi="宋体" w:eastAsia="宋体" w:cs="宋体"/>
          <w:sz w:val="24"/>
          <w:szCs w:val="24"/>
        </w:rPr>
        <w:t xml:space="preserve">0</w:t>
      </w:r>
      <w:r>
        <w:rPr>
          <w:rFonts w:hint="eastAsia" w:ascii="宋体" w:hAnsi="宋体" w:eastAsia="宋体" w:cs="宋体"/>
          <w:sz w:val="24"/>
          <w:szCs w:val="24"/>
        </w:rPr>
        <w:t xml:space="preserve">～</w:t>
      </w:r>
      <w:r>
        <w:rPr>
          <w:rFonts w:ascii="宋体" w:hAnsi="宋体" w:eastAsia="宋体" w:cs="宋体"/>
          <w:sz w:val="24"/>
          <w:szCs w:val="24"/>
        </w:rPr>
        <w:t xml:space="preserve">16L/s</w:t>
      </w:r>
      <w:r>
        <w:rPr>
          <w:rFonts w:hint="eastAsia" w:ascii="宋体" w:hAnsi="宋体" w:eastAsia="宋体" w:cs="宋体"/>
          <w:sz w:val="24"/>
          <w:szCs w:val="24"/>
        </w:rPr>
        <w:t xml:space="preserve">，精度</w:t>
      </w:r>
      <w:r>
        <w:rPr>
          <w:rFonts w:hint="cs" w:ascii="宋体" w:hAnsi="宋体" w:eastAsia="宋体" w:cs="宋体"/>
          <w:sz w:val="24"/>
          <w:szCs w:val="24"/>
        </w:rPr>
        <w:t xml:space="preserve">±</w:t>
      </w:r>
      <w:r>
        <w:rPr>
          <w:rFonts w:ascii="宋体" w:hAnsi="宋体" w:eastAsia="宋体" w:cs="宋体"/>
          <w:sz w:val="24"/>
          <w:szCs w:val="24"/>
        </w:rPr>
        <w:t xml:space="preserve">5%</w:t>
      </w:r>
      <w:r>
        <w:rPr>
          <w:rFonts w:hint="eastAsia" w:ascii="宋体" w:hAnsi="宋体" w:eastAsia="宋体" w:cs="宋体"/>
          <w:sz w:val="24"/>
          <w:szCs w:val="24"/>
        </w:rPr>
        <w:t xml:space="preserve">或</w:t>
      </w:r>
      <w:r>
        <w:rPr>
          <w:rFonts w:ascii="宋体" w:hAnsi="宋体" w:eastAsia="宋体" w:cs="宋体"/>
          <w:sz w:val="24"/>
          <w:szCs w:val="24"/>
        </w:rPr>
        <w:t xml:space="preserve">0.17L/s</w:t>
      </w:r>
      <w:r>
        <w:rPr>
          <w:rFonts w:hint="eastAsia" w:ascii="宋体" w:hAnsi="宋体" w:eastAsia="宋体" w:cs="宋体"/>
          <w:sz w:val="24"/>
          <w:szCs w:val="24"/>
        </w:rPr>
        <w:t xml:space="preserve">；</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、自带温湿度、气压传感器，全自动</w:t>
      </w:r>
      <w:r>
        <w:rPr>
          <w:rFonts w:ascii="宋体" w:hAnsi="宋体" w:eastAsia="宋体" w:cs="宋体"/>
          <w:sz w:val="24"/>
          <w:szCs w:val="24"/>
        </w:rPr>
        <w:t xml:space="preserve">BTPS</w:t>
      </w:r>
      <w:r>
        <w:rPr>
          <w:rFonts w:hint="eastAsia" w:ascii="宋体" w:hAnsi="宋体" w:eastAsia="宋体" w:cs="宋体"/>
          <w:sz w:val="24"/>
          <w:szCs w:val="24"/>
        </w:rPr>
        <w:t xml:space="preserve">校正；</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、机器≥</w:t>
      </w:r>
      <w:r>
        <w:rPr>
          <w:rFonts w:ascii="宋体" w:hAnsi="宋体" w:eastAsia="宋体" w:cs="宋体"/>
          <w:sz w:val="24"/>
          <w:szCs w:val="24"/>
        </w:rPr>
        <w:t xml:space="preserve">10</w:t>
      </w:r>
      <w:r>
        <w:rPr>
          <w:rFonts w:hint="eastAsia" w:ascii="宋体" w:hAnsi="宋体" w:eastAsia="宋体" w:cs="宋体"/>
          <w:sz w:val="24"/>
          <w:szCs w:val="24"/>
        </w:rPr>
        <w:t xml:space="preserve">英寸液晶触摸显示屏，操作简单；</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6</w:t>
      </w:r>
      <w:r>
        <w:rPr>
          <w:rFonts w:hint="eastAsia" w:ascii="宋体" w:hAnsi="宋体" w:eastAsia="宋体" w:cs="宋体"/>
          <w:sz w:val="24"/>
          <w:szCs w:val="24"/>
        </w:rPr>
        <w:t xml:space="preserve">、整机轻便，内置锂电池，交直流两用，支持下乡体检、床旁检测；</w:t>
      </w:r>
      <w:r/>
    </w:p>
    <w:p>
      <w:pPr>
        <w:jc w:val="left"/>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四、检测功能</w:t>
      </w:r>
      <w:r>
        <w:rPr>
          <w:rFonts w:ascii="宋体" w:hAnsi="宋体" w:eastAsia="宋体" w:cs="宋体"/>
          <w:b/>
          <w:bCs/>
          <w:sz w:val="24"/>
          <w:szCs w:val="24"/>
        </w:rPr>
        <w:t xml:space="preserve">（技术评分项）</w:t>
      </w:r>
      <w:r/>
    </w:p>
    <w:p>
      <w:pPr>
        <w:jc w:val="left"/>
        <w:spacing w:line="360" w:lineRule="auto"/>
        <w:tabs>
          <w:tab w:val="left" w:pos="1260" w:leader="none"/>
        </w:tabs>
        <w:rPr>
          <w:rFonts w:hint="eastAsia" w:ascii="宋体" w:hAnsi="宋体" w:eastAsia="宋体" w:cs="宋体"/>
          <w:sz w:val="24"/>
          <w:szCs w:val="24"/>
        </w:rPr>
      </w:pPr>
      <w:r>
        <w:rPr>
          <w:rFonts w:cs="宋体" w:asciiTheme="minorEastAsia" w:hAnsiTheme="minorEastAsia" w:eastAsiaTheme="minorEastAsia"/>
          <w:bCs/>
          <w:sz w:val="24"/>
          <w:szCs w:val="24"/>
        </w:rPr>
        <w:t xml:space="preserve">▲</w:t>
      </w:r>
      <w:r>
        <w:rPr>
          <w:rFonts w:ascii="宋体" w:hAnsi="宋体" w:eastAsia="宋体" w:cs="宋体"/>
          <w:sz w:val="24"/>
          <w:szCs w:val="24"/>
        </w:rPr>
        <w:t xml:space="preserve">1</w:t>
      </w:r>
      <w:r>
        <w:rPr>
          <w:rFonts w:hint="eastAsia" w:ascii="宋体" w:hAnsi="宋体" w:eastAsia="宋体" w:cs="宋体"/>
          <w:sz w:val="24"/>
          <w:szCs w:val="24"/>
        </w:rPr>
        <w:t xml:space="preserve">、全套通气指标：</w:t>
      </w:r>
      <w:r>
        <w:rPr>
          <w:rFonts w:ascii="宋体" w:hAnsi="宋体" w:eastAsia="宋体" w:cs="宋体"/>
          <w:sz w:val="24"/>
          <w:szCs w:val="24"/>
        </w:rPr>
        <w:t xml:space="preserve">FVC</w:t>
      </w:r>
      <w:r>
        <w:rPr>
          <w:rFonts w:hint="eastAsia" w:ascii="宋体" w:hAnsi="宋体" w:eastAsia="宋体" w:cs="宋体"/>
          <w:sz w:val="24"/>
          <w:szCs w:val="24"/>
        </w:rPr>
        <w:t xml:space="preserve">、</w:t>
      </w:r>
      <w:r>
        <w:rPr>
          <w:rFonts w:ascii="宋体" w:hAnsi="宋体" w:eastAsia="宋体" w:cs="宋体"/>
          <w:sz w:val="24"/>
          <w:szCs w:val="24"/>
        </w:rPr>
        <w:t xml:space="preserve">FEV1</w:t>
      </w:r>
      <w:r>
        <w:rPr>
          <w:rFonts w:hint="eastAsia" w:ascii="宋体" w:hAnsi="宋体" w:eastAsia="宋体" w:cs="宋体"/>
          <w:sz w:val="24"/>
          <w:szCs w:val="24"/>
        </w:rPr>
        <w:t xml:space="preserve">、</w:t>
      </w:r>
      <w:r>
        <w:rPr>
          <w:rFonts w:ascii="宋体" w:hAnsi="宋体" w:eastAsia="宋体" w:cs="宋体"/>
          <w:sz w:val="24"/>
          <w:szCs w:val="24"/>
        </w:rPr>
        <w:t xml:space="preserve">FEV1/FVC</w:t>
      </w:r>
      <w:r>
        <w:rPr>
          <w:rFonts w:hint="eastAsia" w:ascii="宋体" w:hAnsi="宋体" w:eastAsia="宋体" w:cs="宋体"/>
          <w:sz w:val="24"/>
          <w:szCs w:val="24"/>
        </w:rPr>
        <w:t xml:space="preserve">、</w:t>
      </w:r>
      <w:r>
        <w:rPr>
          <w:rFonts w:ascii="宋体" w:hAnsi="宋体" w:eastAsia="宋体" w:cs="宋体"/>
          <w:sz w:val="24"/>
          <w:szCs w:val="24"/>
        </w:rPr>
        <w:t xml:space="preserve">FEV3</w:t>
      </w:r>
      <w:r>
        <w:rPr>
          <w:rFonts w:hint="eastAsia" w:ascii="宋体" w:hAnsi="宋体" w:eastAsia="宋体" w:cs="宋体"/>
          <w:sz w:val="24"/>
          <w:szCs w:val="24"/>
        </w:rPr>
        <w:t xml:space="preserve">、</w:t>
      </w:r>
      <w:r>
        <w:rPr>
          <w:rFonts w:ascii="宋体" w:hAnsi="宋体" w:eastAsia="宋体" w:cs="宋体"/>
          <w:sz w:val="24"/>
          <w:szCs w:val="24"/>
        </w:rPr>
        <w:t xml:space="preserve">PEF</w:t>
      </w:r>
      <w:r>
        <w:rPr>
          <w:rFonts w:hint="eastAsia" w:ascii="宋体" w:hAnsi="宋体" w:eastAsia="宋体" w:cs="宋体"/>
          <w:sz w:val="24"/>
          <w:szCs w:val="24"/>
        </w:rPr>
        <w:t xml:space="preserve">、</w:t>
      </w:r>
      <w:r>
        <w:rPr>
          <w:rFonts w:ascii="宋体" w:hAnsi="宋体" w:eastAsia="宋体" w:cs="宋体"/>
          <w:sz w:val="24"/>
          <w:szCs w:val="24"/>
        </w:rPr>
        <w:t xml:space="preserve">FEF</w:t>
      </w:r>
      <w:r>
        <w:rPr>
          <w:rFonts w:hint="eastAsia" w:ascii="宋体" w:hAnsi="宋体" w:eastAsia="宋体" w:cs="宋体"/>
          <w:sz w:val="24"/>
          <w:szCs w:val="24"/>
        </w:rPr>
        <w:t xml:space="preserve">、</w:t>
      </w:r>
      <w:r>
        <w:rPr>
          <w:rFonts w:ascii="宋体" w:hAnsi="宋体" w:eastAsia="宋体" w:cs="宋体"/>
          <w:sz w:val="24"/>
          <w:szCs w:val="24"/>
        </w:rPr>
        <w:t xml:space="preserve">VC</w:t>
      </w:r>
      <w:r>
        <w:rPr>
          <w:rFonts w:hint="eastAsia" w:ascii="宋体" w:hAnsi="宋体" w:eastAsia="宋体" w:cs="宋体"/>
          <w:sz w:val="24"/>
          <w:szCs w:val="24"/>
        </w:rPr>
        <w:t xml:space="preserve">、</w:t>
      </w:r>
      <w:r>
        <w:rPr>
          <w:rFonts w:ascii="宋体" w:hAnsi="宋体" w:eastAsia="宋体" w:cs="宋体"/>
          <w:sz w:val="24"/>
          <w:szCs w:val="24"/>
        </w:rPr>
        <w:t xml:space="preserve">MVV</w:t>
      </w:r>
      <w:r>
        <w:rPr>
          <w:rFonts w:hint="eastAsia" w:ascii="宋体" w:hAnsi="宋体" w:eastAsia="宋体" w:cs="宋体"/>
          <w:sz w:val="24"/>
          <w:szCs w:val="24"/>
        </w:rPr>
        <w:t xml:space="preserve">、</w:t>
      </w:r>
      <w:r>
        <w:rPr>
          <w:rFonts w:ascii="宋体" w:hAnsi="宋体" w:eastAsia="宋体" w:cs="宋体"/>
          <w:sz w:val="24"/>
          <w:szCs w:val="24"/>
        </w:rPr>
        <w:t xml:space="preserve">MV</w:t>
      </w:r>
      <w:r>
        <w:rPr>
          <w:rFonts w:hint="eastAsia" w:ascii="宋体" w:hAnsi="宋体" w:eastAsia="宋体" w:cs="宋体"/>
          <w:sz w:val="24"/>
          <w:szCs w:val="24"/>
        </w:rPr>
        <w:t xml:space="preserve">等</w:t>
      </w:r>
      <w:r>
        <w:rPr>
          <w:rFonts w:ascii="宋体" w:hAnsi="宋体" w:eastAsia="宋体" w:cs="宋体"/>
          <w:sz w:val="24"/>
          <w:szCs w:val="24"/>
        </w:rPr>
        <w:t xml:space="preserve">100</w:t>
      </w:r>
      <w:r>
        <w:rPr>
          <w:rFonts w:hint="eastAsia" w:ascii="宋体" w:hAnsi="宋体" w:eastAsia="宋体" w:cs="宋体"/>
          <w:sz w:val="24"/>
          <w:szCs w:val="24"/>
        </w:rPr>
        <w:t xml:space="preserve">多项参数；</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、支持支气管舒张试验，激发试验，自动对比用药前后数值；</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、智能吹气质控，三次测试自动择优；</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、受检≥</w:t>
      </w:r>
      <w:r>
        <w:rPr>
          <w:rFonts w:ascii="宋体" w:hAnsi="宋体" w:eastAsia="宋体" w:cs="宋体"/>
          <w:sz w:val="24"/>
          <w:szCs w:val="24"/>
        </w:rPr>
        <w:t xml:space="preserve">6</w:t>
      </w:r>
      <w:r>
        <w:rPr>
          <w:rFonts w:hint="eastAsia" w:ascii="宋体" w:hAnsi="宋体" w:eastAsia="宋体" w:cs="宋体"/>
          <w:sz w:val="24"/>
          <w:szCs w:val="24"/>
        </w:rPr>
        <w:t xml:space="preserve">岁以上人群。</w:t>
      </w:r>
      <w:r/>
    </w:p>
    <w:p>
      <w:pPr>
        <w:jc w:val="left"/>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五、打印与信息化</w:t>
      </w:r>
      <w:r>
        <w:rPr>
          <w:rFonts w:ascii="宋体" w:hAnsi="宋体" w:eastAsia="宋体" w:cs="宋体"/>
          <w:b/>
          <w:bCs/>
          <w:sz w:val="24"/>
          <w:szCs w:val="24"/>
        </w:rPr>
        <w:t xml:space="preserve">（技术评分项）</w:t>
      </w:r>
      <w:r/>
    </w:p>
    <w:p>
      <w:pPr>
        <w:jc w:val="left"/>
        <w:spacing w:line="360" w:lineRule="auto"/>
        <w:tabs>
          <w:tab w:val="left" w:pos="1260" w:leader="none"/>
        </w:tabs>
        <w:rPr>
          <w:rFonts w:hint="eastAsia" w:ascii="宋体" w:hAnsi="宋体" w:eastAsia="宋体" w:cs="宋体"/>
          <w:sz w:val="24"/>
          <w:szCs w:val="24"/>
        </w:rPr>
      </w:pPr>
      <w:r>
        <w:rPr>
          <w:rFonts w:cs="宋体" w:asciiTheme="minorEastAsia" w:hAnsiTheme="minorEastAsia" w:eastAsiaTheme="minorEastAsia"/>
          <w:bCs/>
          <w:sz w:val="24"/>
          <w:szCs w:val="24"/>
        </w:rPr>
        <w:t xml:space="preserve">▲</w:t>
      </w:r>
      <w:r>
        <w:rPr>
          <w:rFonts w:ascii="宋体" w:hAnsi="宋体" w:eastAsia="宋体" w:cs="宋体"/>
          <w:sz w:val="24"/>
          <w:szCs w:val="24"/>
        </w:rPr>
        <w:t xml:space="preserve">1</w:t>
      </w:r>
      <w:r>
        <w:rPr>
          <w:rFonts w:hint="eastAsia" w:ascii="宋体" w:hAnsi="宋体" w:eastAsia="宋体" w:cs="宋体"/>
          <w:sz w:val="24"/>
          <w:szCs w:val="24"/>
        </w:rPr>
        <w:t xml:space="preserve">、内置热敏打印机，输出带流量容积曲线标准图文报告</w:t>
      </w:r>
      <w:r>
        <w:rPr>
          <w:rFonts w:hint="eastAsia" w:ascii="宋体" w:hAnsi="宋体" w:eastAsia="宋体" w:cs="宋体"/>
          <w:sz w:val="24"/>
          <w:szCs w:val="24"/>
        </w:rPr>
        <w:t xml:space="preserve">(需提供内置热敏打印机打印时的照片证明)</w:t>
      </w:r>
      <w:r>
        <w:rPr>
          <w:rFonts w:hint="eastAsia" w:ascii="宋体" w:hAnsi="宋体" w:eastAsia="宋体" w:cs="宋体"/>
          <w:sz w:val="24"/>
          <w:szCs w:val="24"/>
        </w:rPr>
        <w:t xml:space="preserve">；</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、支持</w:t>
      </w:r>
      <w:r>
        <w:rPr>
          <w:rFonts w:ascii="宋体" w:hAnsi="宋体" w:eastAsia="宋体" w:cs="宋体"/>
          <w:sz w:val="24"/>
          <w:szCs w:val="24"/>
        </w:rPr>
        <w:t xml:space="preserve">USB</w:t>
      </w:r>
      <w:r>
        <w:rPr>
          <w:rFonts w:hint="eastAsia" w:ascii="宋体" w:hAnsi="宋体" w:eastAsia="宋体" w:cs="宋体"/>
          <w:sz w:val="24"/>
          <w:szCs w:val="24"/>
        </w:rPr>
        <w:t xml:space="preserve">导出数据，可对接</w:t>
      </w:r>
      <w:r>
        <w:rPr>
          <w:rFonts w:ascii="宋体" w:hAnsi="宋体" w:eastAsia="宋体" w:cs="宋体"/>
          <w:sz w:val="24"/>
          <w:szCs w:val="24"/>
        </w:rPr>
        <w:t xml:space="preserve">HIS</w:t>
      </w:r>
      <w:r>
        <w:rPr>
          <w:rFonts w:hint="eastAsia" w:ascii="宋体" w:hAnsi="宋体" w:eastAsia="宋体" w:cs="宋体"/>
          <w:sz w:val="24"/>
          <w:szCs w:val="24"/>
        </w:rPr>
        <w:t xml:space="preserve">；</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、本地存储≥</w:t>
      </w:r>
      <w:r>
        <w:rPr>
          <w:rFonts w:ascii="宋体" w:hAnsi="宋体" w:eastAsia="宋体" w:cs="宋体"/>
          <w:sz w:val="24"/>
          <w:szCs w:val="24"/>
        </w:rPr>
        <w:t xml:space="preserve">9000</w:t>
      </w:r>
      <w:r>
        <w:rPr>
          <w:rFonts w:hint="eastAsia" w:ascii="宋体" w:hAnsi="宋体" w:eastAsia="宋体" w:cs="宋体"/>
          <w:sz w:val="24"/>
          <w:szCs w:val="24"/>
        </w:rPr>
        <w:t xml:space="preserve">份完整曲线报告，校准日志可导出备查。</w:t>
      </w:r>
      <w:r/>
    </w:p>
    <w:p>
      <w:pPr>
        <w:jc w:val="left"/>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六、质控、院感配套</w:t>
      </w:r>
      <w:r>
        <w:rPr>
          <w:rFonts w:ascii="宋体" w:hAnsi="宋体" w:eastAsia="宋体" w:cs="宋体"/>
          <w:b/>
          <w:bCs/>
          <w:sz w:val="24"/>
          <w:szCs w:val="24"/>
        </w:rPr>
        <w:t xml:space="preserve">（技术评分项）</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、设备使用年限：≥</w:t>
      </w:r>
      <w:r>
        <w:rPr>
          <w:rFonts w:ascii="宋体" w:hAnsi="宋体" w:eastAsia="宋体" w:cs="宋体"/>
          <w:sz w:val="24"/>
          <w:szCs w:val="24"/>
        </w:rPr>
        <w:t xml:space="preserve">9</w:t>
      </w:r>
      <w:r>
        <w:rPr>
          <w:rFonts w:hint="eastAsia" w:ascii="宋体" w:hAnsi="宋体" w:eastAsia="宋体" w:cs="宋体"/>
          <w:sz w:val="24"/>
          <w:szCs w:val="24"/>
        </w:rPr>
        <w:t xml:space="preserve">年</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、标配</w:t>
      </w:r>
      <w:r>
        <w:rPr>
          <w:rFonts w:ascii="宋体" w:hAnsi="宋体" w:eastAsia="宋体" w:cs="宋体"/>
          <w:sz w:val="24"/>
          <w:szCs w:val="24"/>
        </w:rPr>
        <w:t xml:space="preserve">3L</w:t>
      </w:r>
      <w:r>
        <w:rPr>
          <w:rFonts w:hint="eastAsia" w:ascii="宋体" w:hAnsi="宋体" w:eastAsia="宋体" w:cs="宋体"/>
          <w:sz w:val="24"/>
          <w:szCs w:val="24"/>
        </w:rPr>
        <w:t xml:space="preserve">标准定标桶，支持每日设备校准；</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、传感组件可拆卸消毒，配套一次性呼吸过滤器，过滤器非专机专用。</w:t>
      </w:r>
      <w:r/>
    </w:p>
    <w:p>
      <w:pPr>
        <w:jc w:val="left"/>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t xml:space="preserve">七、慢病手环参数要求</w:t>
      </w:r>
      <w:r>
        <w:rPr>
          <w:rFonts w:ascii="宋体" w:hAnsi="宋体" w:eastAsia="宋体" w:cs="宋体"/>
          <w:b/>
          <w:bCs/>
          <w:sz w:val="24"/>
          <w:szCs w:val="24"/>
        </w:rPr>
        <w:t xml:space="preserve">（技术评分项）</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、具有健康检测功能：心率、血氧、</w:t>
      </w:r>
      <w:r>
        <w:rPr>
          <w:rFonts w:ascii="宋体" w:hAnsi="宋体" w:eastAsia="宋体" w:cs="宋体"/>
          <w:sz w:val="24"/>
          <w:szCs w:val="24"/>
        </w:rPr>
        <w:t xml:space="preserve">HRV</w:t>
      </w:r>
      <w:r>
        <w:rPr>
          <w:rFonts w:hint="eastAsia" w:ascii="宋体" w:hAnsi="宋体" w:eastAsia="宋体" w:cs="宋体"/>
          <w:sz w:val="24"/>
          <w:szCs w:val="24"/>
        </w:rPr>
        <w:t xml:space="preserve">、压力、体温；</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、具有睡眠检测功能；具有运动记录功能：计步</w:t>
      </w:r>
      <w:r>
        <w:rPr>
          <w:rFonts w:ascii="宋体" w:hAnsi="宋体" w:eastAsia="宋体" w:cs="宋体"/>
          <w:sz w:val="24"/>
          <w:szCs w:val="24"/>
        </w:rPr>
        <w:t xml:space="preserve"> </w:t>
      </w:r>
      <w:r>
        <w:rPr>
          <w:rFonts w:hint="eastAsia" w:ascii="宋体" w:hAnsi="宋体" w:eastAsia="宋体" w:cs="宋体"/>
          <w:sz w:val="24"/>
          <w:szCs w:val="24"/>
        </w:rPr>
        <w:t xml:space="preserve">、卡路里、运动距离；</w:t>
      </w:r>
      <w:r/>
    </w:p>
    <w:p>
      <w:pPr>
        <w:jc w:val="left"/>
        <w:spacing w:line="360" w:lineRule="auto"/>
        <w:tabs>
          <w:tab w:val="left" w:pos="1260" w:leader="none"/>
        </w:tabs>
        <w:rPr>
          <w:rFonts w:hint="eastAsia"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w:t>
      </w:r>
      <w:r>
        <w:rPr>
          <w:rFonts w:ascii="宋体" w:hAnsi="宋体" w:eastAsia="宋体" w:cs="宋体"/>
          <w:sz w:val="24"/>
          <w:szCs w:val="24"/>
        </w:rPr>
        <w:t xml:space="preserve">10</w:t>
      </w:r>
      <w:r>
        <w:rPr>
          <w:rFonts w:hint="eastAsia" w:ascii="宋体" w:hAnsi="宋体" w:eastAsia="宋体" w:cs="宋体"/>
          <w:sz w:val="24"/>
          <w:szCs w:val="24"/>
        </w:rPr>
        <w:t xml:space="preserve">米内可连蓝牙；可充电锂电池，充电时间</w:t>
      </w:r>
      <w:r>
        <w:rPr>
          <w:rFonts w:ascii="宋体" w:hAnsi="宋体" w:eastAsia="宋体" w:cs="宋体"/>
          <w:sz w:val="24"/>
          <w:szCs w:val="24"/>
        </w:rPr>
        <w:t xml:space="preserve">&lt;2 </w:t>
      </w:r>
      <w:r>
        <w:rPr>
          <w:rFonts w:hint="eastAsia" w:ascii="宋体" w:hAnsi="宋体" w:eastAsia="宋体" w:cs="宋体"/>
          <w:sz w:val="24"/>
          <w:szCs w:val="24"/>
        </w:rPr>
        <w:t xml:space="preserve">小时。</w:t>
      </w:r>
      <w:r/>
    </w:p>
    <w:p>
      <w:pPr>
        <w:jc w:val="left"/>
        <w:spacing w:line="360" w:lineRule="auto"/>
        <w:tabs>
          <w:tab w:val="left" w:pos="0" w:leader="none"/>
        </w:tabs>
        <w:rPr>
          <w:rFonts w:hint="eastAsia" w:cs="宋体" w:asciiTheme="minorEastAsia" w:hAnsiTheme="minorEastAsia" w:eastAsiaTheme="minorEastAsia"/>
          <w:bCs/>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、体温传感器：</w:t>
      </w:r>
      <w:r>
        <w:rPr>
          <w:rFonts w:ascii="宋体" w:hAnsi="宋体" w:eastAsia="宋体" w:cs="宋体"/>
          <w:sz w:val="24"/>
          <w:szCs w:val="24"/>
        </w:rPr>
        <w:t xml:space="preserve">NTC </w:t>
      </w:r>
      <w:r>
        <w:rPr>
          <w:rFonts w:hint="eastAsia" w:ascii="宋体" w:hAnsi="宋体" w:eastAsia="宋体" w:cs="宋体"/>
          <w:sz w:val="24"/>
          <w:szCs w:val="24"/>
        </w:rPr>
        <w:t xml:space="preserve">温度传感器；</w:t>
      </w:r>
      <w:r>
        <w:rPr>
          <w:rFonts w:cs="宋体" w:asciiTheme="minorEastAsia" w:hAnsiTheme="minorEastAsia" w:eastAsiaTheme="minorEastAsia"/>
          <w:bCs/>
          <w:sz w:val="24"/>
          <w:szCs w:val="24"/>
        </w:rPr>
        <w:t xml:space="preserve"> </w:t>
      </w:r>
      <w:r/>
    </w:p>
    <w:p>
      <w:pPr>
        <w:pStyle w:val="822"/>
        <w:rPr>
          <w:rFonts w:hint="eastAsia" w:asciiTheme="minorEastAsia" w:hAnsiTheme="minorEastAsia" w:eastAsiaTheme="minorEastAsia"/>
          <w:b/>
          <w:szCs w:val="28"/>
        </w:rPr>
      </w:pPr>
      <w:r>
        <w:rPr>
          <w:rFonts w:hint="eastAsia" w:asciiTheme="minorEastAsia" w:hAnsiTheme="minorEastAsia" w:eastAsiaTheme="minorEastAsia"/>
          <w:b/>
          <w:szCs w:val="28"/>
        </w:rPr>
      </w:r>
      <w:r/>
    </w:p>
    <w:p>
      <w:pPr>
        <w:pStyle w:val="822"/>
        <w:jc w:val="center"/>
        <w:rPr>
          <w:rFonts w:hint="eastAsia" w:asciiTheme="minorEastAsia" w:hAnsiTheme="minorEastAsia" w:eastAsiaTheme="minorEastAsia"/>
          <w:b/>
          <w:szCs w:val="28"/>
        </w:rPr>
      </w:pPr>
      <w:r>
        <w:rPr>
          <w:rFonts w:hint="eastAsia" w:asciiTheme="minorEastAsia" w:hAnsiTheme="minorEastAsia" w:eastAsiaTheme="minorEastAsia"/>
          <w:b/>
          <w:szCs w:val="28"/>
        </w:rPr>
      </w:r>
      <w:r/>
    </w:p>
    <w:p>
      <w:pPr>
        <w:jc w:val="center"/>
        <w:spacing w:line="360" w:lineRule="auto"/>
        <w:tabs>
          <w:tab w:val="left" w:pos="1260" w:leader="none"/>
        </w:tabs>
        <w:rPr>
          <w:rFonts w:hint="eastAsia" w:asciiTheme="minorEastAsia" w:hAnsiTheme="minorEastAsia" w:eastAsiaTheme="minorEastAsia"/>
          <w:b/>
          <w:sz w:val="28"/>
          <w:szCs w:val="28"/>
        </w:rPr>
      </w:pPr>
      <w:r>
        <w:rPr>
          <w:rFonts w:hint="eastAsia" w:asciiTheme="minorEastAsia" w:hAnsiTheme="minorEastAsia" w:eastAsiaTheme="minorEastAsia"/>
          <w:b/>
          <w:szCs w:val="28"/>
        </w:rPr>
        <w:t xml:space="preserve">包二：</w:t>
      </w:r>
      <w:bookmarkStart w:id="42" w:name="OLE_LINK3"/>
      <w:r>
        <w:rPr>
          <w:rFonts w:asciiTheme="minorEastAsia" w:hAnsiTheme="minorEastAsia" w:eastAsiaTheme="minorEastAsia"/>
          <w:b/>
          <w:sz w:val="28"/>
          <w:szCs w:val="28"/>
        </w:rPr>
        <w:t xml:space="preserve">远程心电设备</w:t>
      </w:r>
      <w:bookmarkEnd w:id="42"/>
      <w:r/>
      <w:r/>
    </w:p>
    <w:p>
      <w:pPr>
        <w:jc w:val="left"/>
        <w:spacing w:line="360" w:lineRule="auto"/>
        <w:tabs>
          <w:tab w:val="left" w:pos="1260" w:leader="none"/>
        </w:tabs>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一、项目总体要求</w:t>
      </w:r>
      <w:r/>
    </w:p>
    <w:p>
      <w:pPr>
        <w:ind w:firstLine="480"/>
        <w:jc w:val="left"/>
        <w:spacing w:line="360" w:lineRule="auto"/>
        <w:tabs>
          <w:tab w:val="left" w:pos="1260" w:leader="none"/>
        </w:tabs>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本设备为县域区域心电诊断中心基层终端设备，应用于村卫生室，用于完成居民常规心电图筛查、心电数据实时采集、自动上传、中心远程诊断、报告回传、数据归档等工作。设备须符合国家心电设备相关行业标准及区域卫生信息化对接要求，数据标准、接口协议符合国家及省级远程医疗、心电信息化规范。</w:t>
      </w:r>
      <w:r/>
    </w:p>
    <w:p>
      <w:pPr>
        <w:ind w:firstLine="480"/>
        <w:jc w:val="left"/>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设备整体要求：便携式、低功耗、高抗干扰、操作简单、适配基层医务人员使用，支持常态化全民心电筛查、随访体检、门诊检查等场景。</w:t>
      </w:r>
      <w:r/>
    </w:p>
    <w:p>
      <w:pPr>
        <w:jc w:val="left"/>
        <w:spacing w:line="288" w:lineRule="auto"/>
        <w:rPr>
          <w:rFonts w:hint="eastAsia" w:cs="宋体" w:asciiTheme="minorEastAsia" w:hAnsiTheme="minorEastAsia" w:eastAsiaTheme="minorEastAsia"/>
          <w:b/>
          <w:sz w:val="24"/>
          <w:szCs w:val="24"/>
        </w:rPr>
        <w:outlineLvl w:val="1"/>
      </w:pPr>
      <w:r/>
      <w:bookmarkStart w:id="43" w:name="heading_1"/>
      <w:r>
        <w:rPr>
          <w:rFonts w:cs="宋体" w:asciiTheme="minorEastAsia" w:hAnsiTheme="minorEastAsia" w:eastAsiaTheme="minorEastAsia"/>
          <w:b/>
          <w:sz w:val="24"/>
          <w:szCs w:val="24"/>
        </w:rPr>
        <w:t xml:space="preserve">二、执行标准</w:t>
      </w:r>
      <w:bookmarkEnd w:id="43"/>
      <w:r>
        <w:rPr>
          <w:rFonts w:hint="eastAsia" w:cs="宋体" w:asciiTheme="minorEastAsia" w:hAnsiTheme="minorEastAsia" w:eastAsiaTheme="minorEastAsia"/>
          <w:b/>
          <w:sz w:val="24"/>
          <w:szCs w:val="24"/>
        </w:rPr>
        <w:t xml:space="preserve"> </w:t>
      </w:r>
      <w:r/>
    </w:p>
    <w:p>
      <w:pPr>
        <w:jc w:val="left"/>
        <w:spacing w:before="120" w:after="120" w:line="288"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设备设计、生产、检验需满足以下最新国家/行业标准：</w:t>
      </w:r>
      <w:r/>
    </w:p>
    <w:p>
      <w:pPr>
        <w:jc w:val="left"/>
        <w:spacing w:before="120" w:after="120" w:line="288"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w:t>
      </w:r>
      <w:r>
        <w:rPr>
          <w:rFonts w:cs="宋体" w:asciiTheme="minorEastAsia" w:hAnsiTheme="minorEastAsia" w:eastAsiaTheme="minorEastAsia"/>
          <w:bCs/>
          <w:sz w:val="24"/>
          <w:szCs w:val="24"/>
        </w:rPr>
        <w:t xml:space="preserve">WS/T 892—2026《</w:t>
      </w:r>
      <w:r>
        <w:rPr>
          <w:rFonts w:cs="宋体" w:asciiTheme="minorEastAsia" w:hAnsiTheme="minorEastAsia" w:eastAsiaTheme="minorEastAsia"/>
          <w:bCs/>
          <w:color w:val="ff0000"/>
          <w:sz w:val="24"/>
          <w:szCs w:val="24"/>
        </w:rPr>
        <w:t xml:space="preserve">紧密型县域医共体心电诊断中心设置标准</w:t>
      </w:r>
      <w:r>
        <w:rPr>
          <w:rFonts w:cs="宋体" w:asciiTheme="minorEastAsia" w:hAnsiTheme="minorEastAsia" w:eastAsiaTheme="minorEastAsia"/>
          <w:bCs/>
          <w:sz w:val="24"/>
          <w:szCs w:val="24"/>
        </w:rPr>
        <w:t xml:space="preserve">》</w:t>
      </w:r>
      <w:r/>
    </w:p>
    <w:p>
      <w:pPr>
        <w:pStyle w:val="822"/>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w:t>
      </w:r>
      <w:r>
        <w:rPr>
          <w:rFonts w:cs="宋体" w:asciiTheme="minorEastAsia" w:hAnsiTheme="minorEastAsia" w:eastAsiaTheme="minorEastAsia"/>
          <w:bCs/>
          <w:sz w:val="24"/>
          <w:szCs w:val="24"/>
        </w:rPr>
        <w:t xml:space="preserve">GB 9706.225—2021《医用电气设备 第2-25部分：心电图机的基本安全和基本性能专用要求》</w:t>
      </w:r>
      <w:r/>
    </w:p>
    <w:p>
      <w:pPr>
        <w:jc w:val="left"/>
        <w:spacing w:before="120" w:after="120" w:line="288"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w:t>
      </w:r>
      <w:r>
        <w:rPr>
          <w:rFonts w:cs="宋体" w:asciiTheme="minorEastAsia" w:hAnsiTheme="minorEastAsia" w:eastAsiaTheme="minorEastAsia"/>
          <w:bCs/>
          <w:sz w:val="24"/>
          <w:szCs w:val="24"/>
        </w:rPr>
        <w:t xml:space="preserve">符合国家卫健委区域远程心电诊断信息化数据标准</w:t>
      </w:r>
      <w:r/>
    </w:p>
    <w:p>
      <w:pPr>
        <w:jc w:val="left"/>
        <w:spacing w:before="120" w:after="120" w:line="288"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4.</w:t>
      </w:r>
      <w:r>
        <w:rPr>
          <w:rFonts w:cs="宋体" w:asciiTheme="minorEastAsia" w:hAnsiTheme="minorEastAsia" w:eastAsiaTheme="minorEastAsia"/>
          <w:bCs/>
          <w:sz w:val="24"/>
          <w:szCs w:val="24"/>
        </w:rPr>
        <w:t xml:space="preserve">具备医疗器械注册证、医疗器械生产许可证，可合法临床使用</w:t>
      </w:r>
      <w:r/>
    </w:p>
    <w:p>
      <w:pPr>
        <w:pStyle w:val="822"/>
        <w:spacing w:line="360" w:lineRule="auto"/>
        <w:rPr>
          <w:rFonts w:hint="eastAsia" w:cs="宋体" w:asciiTheme="minorEastAsia" w:hAnsiTheme="minorEastAsia" w:eastAsiaTheme="minorEastAsia"/>
          <w:b/>
          <w:sz w:val="24"/>
          <w:szCs w:val="24"/>
        </w:rPr>
      </w:pPr>
      <w:r>
        <w:rPr>
          <w:rFonts w:cs="宋体" w:asciiTheme="minorEastAsia" w:hAnsiTheme="minorEastAsia" w:eastAsiaTheme="minorEastAsia"/>
          <w:b/>
          <w:sz w:val="24"/>
          <w:szCs w:val="24"/>
        </w:rPr>
        <w:t xml:space="preserve">三、核心硬件技术参数（技术评分项）</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（一）采集导联配置</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支持标准12导联同步采集、同步输出（Ⅰ、Ⅱ、Ⅲ、</w:t>
      </w:r>
      <w:r>
        <w:rPr>
          <w:rFonts w:cs="宋体" w:asciiTheme="minorEastAsia" w:hAnsiTheme="minorEastAsia" w:eastAsiaTheme="minorEastAsia"/>
          <w:bCs/>
          <w:sz w:val="24"/>
          <w:szCs w:val="24"/>
        </w:rPr>
        <w:t xml:space="preserve">aVR</w:t>
      </w:r>
      <w:r>
        <w:rPr>
          <w:rFonts w:cs="宋体" w:asciiTheme="minorEastAsia" w:hAnsiTheme="minorEastAsia" w:eastAsiaTheme="minorEastAsia"/>
          <w:bCs/>
          <w:sz w:val="24"/>
          <w:szCs w:val="24"/>
        </w:rPr>
        <w:t xml:space="preserve">、</w:t>
      </w:r>
      <w:r>
        <w:rPr>
          <w:rFonts w:cs="宋体" w:asciiTheme="minorEastAsia" w:hAnsiTheme="minorEastAsia" w:eastAsiaTheme="minorEastAsia"/>
          <w:bCs/>
          <w:sz w:val="24"/>
          <w:szCs w:val="24"/>
        </w:rPr>
        <w:t xml:space="preserve">aVL</w:t>
      </w:r>
      <w:r>
        <w:rPr>
          <w:rFonts w:cs="宋体" w:asciiTheme="minorEastAsia" w:hAnsiTheme="minorEastAsia" w:eastAsiaTheme="minorEastAsia"/>
          <w:bCs/>
          <w:sz w:val="24"/>
          <w:szCs w:val="24"/>
        </w:rPr>
        <w:t xml:space="preserve">、</w:t>
      </w:r>
      <w:r>
        <w:rPr>
          <w:rFonts w:cs="宋体" w:asciiTheme="minorEastAsia" w:hAnsiTheme="minorEastAsia" w:eastAsiaTheme="minorEastAsia"/>
          <w:bCs/>
          <w:sz w:val="24"/>
          <w:szCs w:val="24"/>
        </w:rPr>
        <w:t xml:space="preserve">aVF</w:t>
      </w:r>
      <w:r>
        <w:rPr>
          <w:rFonts w:cs="宋体" w:asciiTheme="minorEastAsia" w:hAnsiTheme="minorEastAsia" w:eastAsiaTheme="minorEastAsia"/>
          <w:bCs/>
          <w:sz w:val="24"/>
          <w:szCs w:val="24"/>
        </w:rPr>
        <w:t xml:space="preserve">、V1～V6）。</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（二）信号采集性能参数</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1、支持10s/15s/30s/60s</w:t>
      </w:r>
      <w:r>
        <w:rPr>
          <w:rFonts w:hint="eastAsia" w:cs="宋体" w:asciiTheme="minorEastAsia" w:hAnsiTheme="minorEastAsia" w:eastAsiaTheme="minorEastAsia"/>
          <w:bCs/>
          <w:sz w:val="24"/>
          <w:szCs w:val="24"/>
        </w:rPr>
        <w:t xml:space="preserve">/300s</w:t>
      </w:r>
      <w:r>
        <w:rPr>
          <w:rFonts w:cs="宋体" w:asciiTheme="minorEastAsia" w:hAnsiTheme="minorEastAsia" w:eastAsiaTheme="minorEastAsia"/>
          <w:bCs/>
          <w:sz w:val="24"/>
          <w:szCs w:val="24"/>
        </w:rPr>
        <w:t xml:space="preserve">自定义时长心电图采集；</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2、A/D转换精度：≥24bit；</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3、单通道采样率：≥30kHz；</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4、频率响应：0.0</w:t>
      </w:r>
      <w:r>
        <w:rPr>
          <w:rFonts w:hint="eastAsia" w:cs="宋体" w:asciiTheme="minorEastAsia" w:hAnsiTheme="minorEastAsia" w:eastAsiaTheme="minorEastAsia"/>
          <w:bCs/>
          <w:sz w:val="24"/>
          <w:szCs w:val="24"/>
        </w:rPr>
        <w:t xml:space="preserve">1</w:t>
      </w:r>
      <w:r>
        <w:rPr>
          <w:rFonts w:cs="宋体" w:asciiTheme="minorEastAsia" w:hAnsiTheme="minorEastAsia" w:eastAsiaTheme="minorEastAsia"/>
          <w:bCs/>
          <w:sz w:val="24"/>
          <w:szCs w:val="24"/>
        </w:rPr>
        <w:t xml:space="preserve">Hz～350Hz，满足成人、老人、心律失常高精度采集需求；</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5、输入阻抗：≥1</w:t>
      </w:r>
      <w:r>
        <w:rPr>
          <w:rFonts w:hint="eastAsia" w:cs="宋体" w:asciiTheme="minorEastAsia" w:hAnsiTheme="minorEastAsia" w:eastAsiaTheme="minorEastAsia"/>
          <w:bCs/>
          <w:sz w:val="24"/>
          <w:szCs w:val="24"/>
        </w:rPr>
        <w:t xml:space="preserve">0</w:t>
      </w:r>
      <w:r>
        <w:rPr>
          <w:rFonts w:cs="宋体" w:asciiTheme="minorEastAsia" w:hAnsiTheme="minorEastAsia" w:eastAsiaTheme="minorEastAsia"/>
          <w:bCs/>
          <w:sz w:val="24"/>
          <w:szCs w:val="24"/>
        </w:rPr>
        <w:t xml:space="preserve">0MΩ（10Hz）；</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6、共模抑制比：≥1</w:t>
      </w:r>
      <w:r>
        <w:rPr>
          <w:rFonts w:hint="eastAsia" w:cs="宋体" w:asciiTheme="minorEastAsia" w:hAnsiTheme="minorEastAsia" w:eastAsiaTheme="minorEastAsia"/>
          <w:bCs/>
          <w:sz w:val="24"/>
          <w:szCs w:val="24"/>
        </w:rPr>
        <w:t xml:space="preserve">2</w:t>
      </w:r>
      <w:r>
        <w:rPr>
          <w:rFonts w:cs="宋体" w:asciiTheme="minorEastAsia" w:hAnsiTheme="minorEastAsia" w:eastAsiaTheme="minorEastAsia"/>
          <w:bCs/>
          <w:sz w:val="24"/>
          <w:szCs w:val="24"/>
        </w:rPr>
        <w:t xml:space="preserve">0dB（工频及环境抗干扰，适配基层复杂环境）；</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7、▲内部噪声：≤1</w:t>
      </w:r>
      <w:r>
        <w:rPr>
          <w:rFonts w:hint="eastAsia" w:cs="宋体" w:asciiTheme="minorEastAsia" w:hAnsiTheme="minorEastAsia" w:eastAsiaTheme="minorEastAsia"/>
          <w:bCs/>
          <w:sz w:val="24"/>
          <w:szCs w:val="24"/>
        </w:rPr>
        <w:t xml:space="preserve">0</w:t>
      </w:r>
      <w:r>
        <w:rPr>
          <w:rFonts w:cs="宋体" w:asciiTheme="minorEastAsia" w:hAnsiTheme="minorEastAsia" w:eastAsiaTheme="minorEastAsia"/>
          <w:bCs/>
          <w:sz w:val="24"/>
          <w:szCs w:val="24"/>
        </w:rPr>
        <w:t xml:space="preserve">μVp-p；</w:t>
      </w:r>
      <w:r>
        <w:rPr>
          <w:rFonts w:hint="eastAsia" w:cs="宋体" w:asciiTheme="minorEastAsia" w:hAnsiTheme="minorEastAsia" w:eastAsiaTheme="minorEastAsia"/>
          <w:bCs/>
          <w:sz w:val="24"/>
          <w:szCs w:val="24"/>
        </w:rPr>
        <w:t xml:space="preserve">需提供医疗器械注册证明材料。</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8、时间常数：</w:t>
      </w:r>
      <w:r>
        <w:rPr>
          <w:rFonts w:hint="eastAsia" w:cs="宋体" w:asciiTheme="minorEastAsia" w:hAnsiTheme="minorEastAsia" w:eastAsiaTheme="minorEastAsia"/>
          <w:bCs/>
          <w:sz w:val="24"/>
          <w:szCs w:val="24"/>
        </w:rPr>
        <w:t xml:space="preserve">＞5</w:t>
      </w:r>
      <w:r>
        <w:rPr>
          <w:rFonts w:cs="宋体" w:asciiTheme="minorEastAsia" w:hAnsiTheme="minorEastAsia" w:eastAsiaTheme="minorEastAsia"/>
          <w:bCs/>
          <w:sz w:val="24"/>
          <w:szCs w:val="24"/>
        </w:rPr>
        <w:t xml:space="preserve">s，保证长基线稳定无漂移；</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9、▲耐极化电压：≥±</w:t>
      </w:r>
      <w:r>
        <w:rPr>
          <w:rFonts w:hint="eastAsia" w:cs="宋体" w:asciiTheme="minorEastAsia" w:hAnsiTheme="minorEastAsia" w:eastAsiaTheme="minorEastAsia"/>
          <w:bCs/>
          <w:sz w:val="24"/>
          <w:szCs w:val="24"/>
        </w:rPr>
        <w:t xml:space="preserve">100</w:t>
      </w:r>
      <w:r>
        <w:rPr>
          <w:rFonts w:cs="宋体" w:asciiTheme="minorEastAsia" w:hAnsiTheme="minorEastAsia" w:eastAsiaTheme="minorEastAsia"/>
          <w:bCs/>
          <w:sz w:val="24"/>
          <w:szCs w:val="24"/>
        </w:rPr>
        <w:t xml:space="preserve">0mV；</w:t>
      </w:r>
      <w:r>
        <w:rPr>
          <w:rFonts w:hint="eastAsia" w:cs="宋体" w:asciiTheme="minorEastAsia" w:hAnsiTheme="minorEastAsia" w:eastAsiaTheme="minorEastAsia"/>
          <w:bCs/>
          <w:sz w:val="24"/>
          <w:szCs w:val="24"/>
        </w:rPr>
        <w:t xml:space="preserve">需提供医疗器械注册证明材料。</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10、定标电压：1mV±1%。</w:t>
      </w:r>
      <w:r/>
    </w:p>
    <w:p>
      <w:pPr>
        <w:pStyle w:val="822"/>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11、</w:t>
      </w:r>
      <w:r>
        <w:rPr>
          <w:rFonts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可靠性：支持时间基准选择（走纸速度）和增益控制功能，确保准确度误差≤±3%。</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（三）设备硬件配置</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1、显示屏：≥</w:t>
      </w:r>
      <w:r>
        <w:rPr>
          <w:rFonts w:hint="eastAsia" w:cs="宋体" w:asciiTheme="minorEastAsia" w:hAnsiTheme="minorEastAsia" w:eastAsiaTheme="minorEastAsia"/>
          <w:bCs/>
          <w:sz w:val="24"/>
          <w:szCs w:val="24"/>
        </w:rPr>
        <w:t xml:space="preserve">5</w:t>
      </w:r>
      <w:r>
        <w:rPr>
          <w:rFonts w:cs="宋体" w:asciiTheme="minorEastAsia" w:hAnsiTheme="minorEastAsia" w:eastAsiaTheme="minorEastAsia"/>
          <w:bCs/>
          <w:sz w:val="24"/>
          <w:szCs w:val="24"/>
        </w:rPr>
        <w:t xml:space="preserve">英寸彩色液晶触控屏，实时显示十二导联心电波形、心率、检查参数；</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2、操作方式：触控操作；</w:t>
      </w:r>
      <w:r/>
    </w:p>
    <w:p>
      <w:pPr>
        <w:pStyle w:val="822"/>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3、支持GPS定位、NFC功能；</w:t>
      </w:r>
      <w:r/>
    </w:p>
    <w:p>
      <w:pPr>
        <w:pStyle w:val="822"/>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4、支持语音录入功能；</w:t>
      </w:r>
      <w:r/>
    </w:p>
    <w:p>
      <w:pPr>
        <w:pStyle w:val="822"/>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5</w:t>
      </w:r>
      <w:r>
        <w:rPr>
          <w:rFonts w:cs="宋体" w:asciiTheme="minorEastAsia" w:hAnsiTheme="minorEastAsia" w:eastAsiaTheme="minorEastAsia"/>
          <w:bCs/>
          <w:sz w:val="24"/>
          <w:szCs w:val="24"/>
        </w:rPr>
        <w:t xml:space="preserve">、存储：设备本地</w:t>
      </w:r>
      <w:r>
        <w:rPr>
          <w:rFonts w:hint="eastAsia" w:cs="宋体" w:asciiTheme="minorEastAsia" w:hAnsiTheme="minorEastAsia" w:eastAsiaTheme="minorEastAsia"/>
          <w:bCs/>
          <w:sz w:val="24"/>
          <w:szCs w:val="24"/>
        </w:rPr>
        <w:t xml:space="preserve">支持16G</w:t>
      </w:r>
      <w:r>
        <w:rPr>
          <w:rFonts w:cs="宋体" w:asciiTheme="minorEastAsia" w:hAnsiTheme="minorEastAsia" w:eastAsiaTheme="minorEastAsia"/>
          <w:bCs/>
          <w:sz w:val="24"/>
          <w:szCs w:val="24"/>
        </w:rPr>
        <w:t xml:space="preserve">存储，可离线保存心电数据，联网后自动批量上传；</w:t>
      </w:r>
      <w:r/>
    </w:p>
    <w:p>
      <w:pPr>
        <w:pStyle w:val="822"/>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6</w:t>
      </w:r>
      <w:r>
        <w:rPr>
          <w:rFonts w:cs="宋体" w:asciiTheme="minorEastAsia" w:hAnsiTheme="minorEastAsia" w:eastAsiaTheme="minorEastAsia"/>
          <w:bCs/>
          <w:sz w:val="24"/>
          <w:szCs w:val="24"/>
        </w:rPr>
        <w:t xml:space="preserve">、整机重量：主机≤</w:t>
      </w:r>
      <w:r>
        <w:rPr>
          <w:rFonts w:hint="eastAsia" w:cs="宋体" w:asciiTheme="minorEastAsia" w:hAnsiTheme="minorEastAsia" w:eastAsiaTheme="minorEastAsia"/>
          <w:bCs/>
          <w:sz w:val="24"/>
          <w:szCs w:val="24"/>
        </w:rPr>
        <w:t xml:space="preserve">500</w:t>
      </w:r>
      <w:r>
        <w:rPr>
          <w:rFonts w:cs="宋体" w:asciiTheme="minorEastAsia" w:hAnsiTheme="minorEastAsia" w:eastAsiaTheme="minorEastAsia"/>
          <w:bCs/>
          <w:sz w:val="24"/>
          <w:szCs w:val="24"/>
        </w:rPr>
        <w:t xml:space="preserve">g，便携式设计，支持入户随访、下乡筛查；</w:t>
      </w:r>
      <w:r/>
    </w:p>
    <w:p>
      <w:pPr>
        <w:pStyle w:val="822"/>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7</w:t>
      </w:r>
      <w:r>
        <w:rPr>
          <w:rFonts w:cs="宋体" w:asciiTheme="minorEastAsia" w:hAnsiTheme="minorEastAsia" w:eastAsiaTheme="minorEastAsia"/>
          <w:bCs/>
          <w:sz w:val="24"/>
          <w:szCs w:val="24"/>
        </w:rPr>
        <w:t xml:space="preserve">、供电方式：交流AC 100V–240V，50/60Hz通用医用电源；内置可充电锂电池，连续工作≥5小时，待机≥10小时，支持断电续检；电池设计使用寿命≥3年（或≥500次完整充放电循环），投标人须承诺在产品整机寿命期内保证电池更换保障。</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（四）通讯与接口要求</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1、无线网络：内置4G全网通、WiFi（2.4G/5G双频）、蓝牙4.2及以上；</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2、数据传输：支持实时上传、断点续传、离线补传，数据传输加密。</w:t>
      </w:r>
      <w:r/>
    </w:p>
    <w:p>
      <w:pPr>
        <w:pStyle w:val="822"/>
        <w:spacing w:line="360" w:lineRule="auto"/>
        <w:rPr>
          <w:rFonts w:hint="eastAsia" w:cs="宋体" w:asciiTheme="minorEastAsia" w:hAnsiTheme="minorEastAsia" w:eastAsiaTheme="minorEastAsia"/>
          <w:b/>
          <w:sz w:val="24"/>
          <w:szCs w:val="24"/>
        </w:rPr>
      </w:pPr>
      <w:r>
        <w:rPr>
          <w:rFonts w:cs="宋体" w:asciiTheme="minorEastAsia" w:hAnsiTheme="minorEastAsia" w:eastAsiaTheme="minorEastAsia"/>
          <w:b/>
          <w:sz w:val="24"/>
          <w:szCs w:val="24"/>
        </w:rPr>
        <w:t xml:space="preserve">四、</w:t>
      </w:r>
      <w:r>
        <w:rPr>
          <w:rFonts w:hint="eastAsia" w:cs="宋体" w:asciiTheme="minorEastAsia" w:hAnsiTheme="minorEastAsia" w:eastAsiaTheme="minorEastAsia"/>
          <w:b/>
          <w:sz w:val="24"/>
          <w:szCs w:val="24"/>
        </w:rPr>
        <w:t xml:space="preserve">心电人工智能</w:t>
      </w:r>
      <w:r>
        <w:rPr>
          <w:rFonts w:cs="宋体" w:asciiTheme="minorEastAsia" w:hAnsiTheme="minorEastAsia" w:eastAsiaTheme="minorEastAsia"/>
          <w:b/>
          <w:sz w:val="24"/>
          <w:szCs w:val="24"/>
        </w:rPr>
        <w:t xml:space="preserve">软件功能要求（技术评分项）</w:t>
      </w:r>
      <w:r/>
    </w:p>
    <w:p>
      <w:pPr>
        <w:pStyle w:val="822"/>
        <w:ind w:firstLine="48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为落实《泰州市卫生健康委员会办公室关于组织做好重大慢病防控基地建设工作的通知》文件要求，推进重大慢病防控基地（基层诊室 / 管理中心 / 区域医院）标准化建设，深化慢病管理医防融合，构建心脑血管疾病早筛查、早识别、分级转诊、上下联动的慢病分级诊疗体系。</w:t>
      </w:r>
      <w:r/>
    </w:p>
    <w:p>
      <w:pPr>
        <w:pStyle w:val="822"/>
        <w:ind w:firstLine="48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依据国家、省人工智能赋能基层慢病管理、县域医共体心电资源共享相关政策导向，基层医疗机构心电专业人员不足，亟需依托人工智能心电辅助分析技术，提升高血压、冠心病、心律失常、脑卒中高危人群心电筛查能力，落实心血管慢病高危人群快速初筛、异常预警、数据联网上传，实现基层采集、AI 初判、上级远程复核的心电分级诊疗工作模式。</w:t>
      </w:r>
      <w:r/>
    </w:p>
    <w:p>
      <w:pPr>
        <w:pStyle w:val="822"/>
        <w:ind w:firstLine="48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本次采购 12 导联心电图机，配套心电分析软件须具备合规 AI 心电辅助诊断功能，满足重大慢病防控基地建设验收标准，支撑常态化心血管慢病随访筛查、胸痛快速初筛、心电数据区域平台互联互通。</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（一）</w:t>
      </w:r>
      <w:r>
        <w:rPr>
          <w:rFonts w:hint="eastAsia" w:cs="宋体" w:asciiTheme="minorEastAsia" w:hAnsiTheme="minorEastAsia" w:eastAsiaTheme="minorEastAsia"/>
          <w:bCs/>
          <w:sz w:val="24"/>
          <w:szCs w:val="24"/>
        </w:rPr>
        <w:t xml:space="preserve">辅助诊断</w:t>
      </w:r>
      <w:r>
        <w:rPr>
          <w:rFonts w:cs="宋体" w:asciiTheme="minorEastAsia" w:hAnsiTheme="minorEastAsia" w:eastAsiaTheme="minorEastAsia"/>
          <w:bCs/>
          <w:sz w:val="24"/>
          <w:szCs w:val="24"/>
        </w:rPr>
        <w:t xml:space="preserve">功能</w:t>
      </w:r>
      <w:r/>
    </w:p>
    <w:p>
      <w:pPr>
        <w:pStyle w:val="822"/>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w:t>
      </w:r>
      <w:r>
        <w:rPr>
          <w:rFonts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具备智能心电预分析算法，可自动捕捉、提示心电基础异常，落地基层心电智能初筛场景，需提供国家药品监督管理局核发的第三类医疗器械注册证复印件证明</w:t>
      </w:r>
      <w:r/>
    </w:p>
    <w:p>
      <w:pPr>
        <w:pStyle w:val="822"/>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w:t>
      </w:r>
      <w:r>
        <w:rPr>
          <w:rFonts w:cs="宋体" w:asciiTheme="minorEastAsia" w:hAnsiTheme="minorEastAsia" w:eastAsiaTheme="minorEastAsia"/>
          <w:bCs/>
          <w:sz w:val="24"/>
          <w:szCs w:val="24"/>
        </w:rPr>
        <w:t xml:space="preserve">实时波形降噪、基线自动校正、自动滤波；</w:t>
      </w:r>
      <w:r/>
    </w:p>
    <w:p>
      <w:pPr>
        <w:pStyle w:val="822"/>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w:t>
      </w:r>
      <w:r>
        <w:rPr>
          <w:rFonts w:cs="宋体" w:asciiTheme="minorEastAsia" w:hAnsiTheme="minorEastAsia" w:eastAsiaTheme="minorEastAsia"/>
          <w:bCs/>
          <w:sz w:val="24"/>
          <w:szCs w:val="24"/>
        </w:rPr>
        <w:t xml:space="preserve">、内置智能心电预分析算法，自动提示基础异常，辅助基层初筛；</w:t>
      </w:r>
      <w:r/>
    </w:p>
    <w:p>
      <w:pPr>
        <w:pStyle w:val="822"/>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4</w:t>
      </w:r>
      <w:r>
        <w:rPr>
          <w:rFonts w:cs="宋体" w:asciiTheme="minorEastAsia" w:hAnsiTheme="minorEastAsia" w:eastAsiaTheme="minorEastAsia"/>
          <w:bCs/>
          <w:sz w:val="24"/>
          <w:szCs w:val="24"/>
        </w:rPr>
        <w:t xml:space="preserve">、具备快速心电、标准采集两种方式；支持加做心电图、重做心电图；</w:t>
      </w:r>
      <w:r/>
    </w:p>
    <w:p>
      <w:pPr>
        <w:pStyle w:val="822"/>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5</w:t>
      </w:r>
      <w:r>
        <w:rPr>
          <w:rFonts w:cs="宋体" w:asciiTheme="minorEastAsia" w:hAnsiTheme="minorEastAsia" w:eastAsiaTheme="minorEastAsia"/>
          <w:bCs/>
          <w:sz w:val="24"/>
          <w:szCs w:val="24"/>
        </w:rPr>
        <w:t xml:space="preserve">、具有成人/儿童心电图差异化分析功能；</w:t>
      </w:r>
      <w:r/>
    </w:p>
    <w:p>
      <w:pPr>
        <w:pStyle w:val="822"/>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6、</w:t>
      </w:r>
      <w:r>
        <w:rPr>
          <w:rFonts w:cs="宋体" w:asciiTheme="minorEastAsia" w:hAnsiTheme="minorEastAsia" w:eastAsiaTheme="minorEastAsia"/>
          <w:bCs/>
          <w:sz w:val="24"/>
          <w:szCs w:val="24"/>
        </w:rPr>
        <w:t xml:space="preserve">具有接收诊断结论功能，可将诊断后的心电报告下载到本机；</w:t>
      </w:r>
      <w:r/>
    </w:p>
    <w:p>
      <w:pPr>
        <w:pStyle w:val="822"/>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7、▲具备深度学习心电分析模块，支持成人心律失常、心肌梗塞、ST-T异常、房室肥大等四大类异常心电图的自动识别。</w:t>
      </w:r>
      <w:r>
        <w:rPr>
          <w:rFonts w:cs="宋体" w:asciiTheme="minorEastAsia" w:hAnsiTheme="minorEastAsia" w:eastAsiaTheme="minorEastAsia"/>
          <w:bCs/>
          <w:sz w:val="24"/>
          <w:szCs w:val="24"/>
        </w:rPr>
        <w:t xml:space="preserve">需提供包含相应功能描述的医疗器械注册证证明；</w:t>
      </w:r>
      <w:r/>
    </w:p>
    <w:p>
      <w:pPr>
        <w:pStyle w:val="822"/>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8、支持包括窦性心律、房性心律、室上性心动过速、心房颤动、心房扑动、停搏、起搏心律、短PR间期、预激综合征、传导阻滞等心律失常异常心电图的自动识别功能。</w:t>
      </w:r>
      <w:r/>
    </w:p>
    <w:p>
      <w:pPr>
        <w:pStyle w:val="822"/>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9、支持急性心肌梗塞和陈旧性心肌梗塞等心肌梗塞异常心电图的自动识别。</w:t>
      </w:r>
      <w:r/>
    </w:p>
    <w:p>
      <w:pPr>
        <w:pStyle w:val="822"/>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10、▲支持ST压低、ST抬高、T波异常、ST_T改变、QTc间期等ST-T异常心</w:t>
      </w:r>
      <w:r>
        <w:rPr>
          <w:rFonts w:hint="eastAsia" w:cs="宋体" w:asciiTheme="minorEastAsia" w:hAnsiTheme="minorEastAsia" w:eastAsiaTheme="minorEastAsia"/>
          <w:bCs/>
          <w:sz w:val="24"/>
          <w:szCs w:val="24"/>
        </w:rPr>
        <w:t xml:space="preserve">电图的自动识别。准确定位ST-T改变，协助医生快速定位心肌缺血、急性梗死等心电事件。</w:t>
      </w:r>
      <w:r>
        <w:rPr>
          <w:rFonts w:cs="宋体" w:asciiTheme="minorEastAsia" w:hAnsiTheme="minorEastAsia" w:eastAsiaTheme="minorEastAsia"/>
          <w:bCs/>
          <w:sz w:val="24"/>
          <w:szCs w:val="24"/>
        </w:rPr>
        <w:t xml:space="preserve">需提供包含相应功能描述的医疗器械注册证证明；</w:t>
      </w:r>
      <w:r/>
    </w:p>
    <w:p>
      <w:pPr>
        <w:pStyle w:val="822"/>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11、AI可自动识别心电图的采集质量，如是否有左右手接反、伪差、导联脱落、起搏信号等情况；</w:t>
      </w:r>
      <w:r/>
    </w:p>
    <w:p>
      <w:pPr>
        <w:pStyle w:val="822"/>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12、具有自主研发心电算法，算法经过AHA数据库、MIT数据库、NST数据库、CU数据库验证，需提供相关证明材料；</w:t>
      </w:r>
      <w:r/>
    </w:p>
    <w:p>
      <w:pPr>
        <w:pStyle w:val="822"/>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13、辅助诊断：采用深度学习心电分析模块自动诊断心电图，并将诊断结论引用至诊断报告中。在提交诊断时，后台对医生的诊断词条进行审核，自动匹配AI诊断结论和医生诊断结论，若出现漏诊情况，系统将有弹窗提示，提醒诊断医师漏诊项。</w:t>
      </w:r>
      <w:r/>
    </w:p>
    <w:p>
      <w:pPr>
        <w:pStyle w:val="822"/>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14、起搏信号智能标识：通过AI帮助医生快速识别出微弱的起搏信号，避免漏诊误诊。</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（二）平台对接功能</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w:t>
      </w:r>
      <w:r>
        <w:rPr>
          <w:rFonts w:hint="eastAsia" w:cs="宋体" w:asciiTheme="minorEastAsia" w:hAnsiTheme="minorEastAsia" w:eastAsiaTheme="minorEastAsia"/>
          <w:bCs/>
          <w:sz w:val="24"/>
          <w:szCs w:val="24"/>
        </w:rPr>
        <w:t xml:space="preserve">无缝对接区域公共卫生服务系统、居民电子健康档案系统等，接口协议、数据标准严格遵循WS/T 483健康档案共享文档规范、WS/T 790区</w:t>
      </w:r>
      <w:r>
        <w:rPr>
          <w:rFonts w:hint="eastAsia" w:cs="宋体" w:asciiTheme="minorEastAsia" w:hAnsiTheme="minorEastAsia" w:eastAsiaTheme="minorEastAsia"/>
          <w:bCs/>
          <w:sz w:val="24"/>
          <w:szCs w:val="24"/>
        </w:rPr>
        <w:t xml:space="preserve">域卫生信息平台交互标准，具体接口规范：对接完成后具备居民健康档案调取、公卫业务数据互联互通功能，可自动调取公卫系统内居民基础信息、既往健康档案、慢病随访记录、体检筛查信息等待核验患者数据，支持一键关联建档人员信息、匹配居民唯一健康标识。本项目涉及的所有系统对接开发、接口调试、数据适配、合规改造及运维接口费用均由中标供应商全额承担，中标供应商需无条件配合采购人完成全域数据联调、合规校验及正式上线对接工作，并单独提供书面对接承诺函，保障数据交互安全、规范、可追溯，符合全民健康信息化及基层公卫数据标准化建设要求。</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2、检查数据、患者信息自动上传至中心服务器；</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3、支持中心专家远程诊断，诊断报告自动回传终端；</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4、支持检查记录、诊断结果、报告文件本地查询、回溯、导出；</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（三）人员与患者管理</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1、支持录入/读取患者姓名、性别、年龄、身份证号、联系方式；</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2、支持医务人员账号登录、操作日志留存，可追溯检查记录；</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（四）数据安全</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1、数据传输采用加密协议，防止数据篡改、泄露；</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2、设备具备权限管理、操作日志、数据备份功能；</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（五）心电</w:t>
      </w:r>
      <w:r>
        <w:rPr>
          <w:rFonts w:hint="eastAsia" w:cs="宋体" w:asciiTheme="minorEastAsia" w:hAnsiTheme="minorEastAsia" w:eastAsiaTheme="minorEastAsia"/>
          <w:bCs/>
          <w:sz w:val="24"/>
          <w:szCs w:val="24"/>
        </w:rPr>
        <w:t xml:space="preserve">质控中心</w:t>
      </w:r>
      <w:r>
        <w:rPr>
          <w:rFonts w:cs="宋体" w:asciiTheme="minorEastAsia" w:hAnsiTheme="minorEastAsia" w:eastAsiaTheme="minorEastAsia"/>
          <w:bCs/>
          <w:sz w:val="24"/>
          <w:szCs w:val="24"/>
        </w:rPr>
        <w:t xml:space="preserve">功能</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w:t>
      </w:r>
      <w:r>
        <w:rPr>
          <w:rFonts w:hint="eastAsia" w:cs="宋体" w:asciiTheme="minorEastAsia" w:hAnsiTheme="minorEastAsia" w:eastAsiaTheme="minorEastAsia"/>
          <w:bCs/>
          <w:sz w:val="24"/>
          <w:szCs w:val="24"/>
        </w:rPr>
        <w:t xml:space="preserve">基于平台建设，成立心电质控中心，组建质控团队，支持从采集质量、病人信息完整度、诊断报告质量、报告规范、诊断时效、疑难病例、危急值数据等不同维度建立心电质控指标，对心电检查诊断业务进行全面的质控分析。</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w:t>
      </w:r>
      <w:r>
        <w:rPr>
          <w:rFonts w:hint="eastAsia" w:cs="宋体" w:asciiTheme="minorEastAsia" w:hAnsiTheme="minorEastAsia" w:eastAsiaTheme="minorEastAsia"/>
          <w:bCs/>
          <w:sz w:val="24"/>
          <w:szCs w:val="24"/>
        </w:rPr>
        <w:t xml:space="preserve">支持新建质控任务，支持按照多维度筛选质控数据，指定质控报告数量，支持选择质控专家和反馈对象设置。</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3、▲</w:t>
      </w:r>
      <w:r>
        <w:rPr>
          <w:rFonts w:hint="eastAsia" w:cs="宋体" w:asciiTheme="minorEastAsia" w:hAnsiTheme="minorEastAsia" w:eastAsiaTheme="minorEastAsia"/>
          <w:bCs/>
          <w:sz w:val="24"/>
          <w:szCs w:val="24"/>
        </w:rPr>
        <w:t xml:space="preserve">支持通过心电人工智能进行质控分析，评估诊断医生和诊断组的诊断质量，进一步明确后续的培训方向和提高培训效果。</w:t>
      </w:r>
      <w:r>
        <w:rPr>
          <w:rFonts w:cs="宋体" w:asciiTheme="minorEastAsia" w:hAnsiTheme="minorEastAsia" w:eastAsiaTheme="minorEastAsia"/>
          <w:bCs/>
          <w:sz w:val="24"/>
          <w:szCs w:val="24"/>
        </w:rPr>
        <w:t xml:space="preserve">需</w:t>
      </w:r>
      <w:r>
        <w:rPr>
          <w:rFonts w:hint="eastAsia" w:cs="宋体" w:asciiTheme="minorEastAsia" w:hAnsiTheme="minorEastAsia" w:eastAsiaTheme="minorEastAsia"/>
          <w:bCs/>
          <w:sz w:val="24"/>
          <w:szCs w:val="24"/>
        </w:rPr>
        <w:t xml:space="preserve">提供心电人工智能质控中心系统相关软件著作权证明</w:t>
      </w:r>
      <w:r/>
    </w:p>
    <w:p>
      <w:pPr>
        <w:pStyle w:val="822"/>
        <w:spacing w:line="360" w:lineRule="auto"/>
        <w:rPr>
          <w:rFonts w:hint="eastAsia" w:cs="宋体" w:asciiTheme="minorEastAsia" w:hAnsiTheme="minorEastAsia" w:eastAsiaTheme="minorEastAsia"/>
          <w:b/>
          <w:sz w:val="24"/>
          <w:szCs w:val="24"/>
        </w:rPr>
      </w:pPr>
      <w:r>
        <w:rPr>
          <w:rFonts w:cs="宋体" w:asciiTheme="minorEastAsia" w:hAnsiTheme="minorEastAsia" w:eastAsiaTheme="minorEastAsia"/>
          <w:b/>
          <w:sz w:val="24"/>
          <w:szCs w:val="24"/>
        </w:rPr>
        <w:t xml:space="preserve">五、环境适应参数</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1、工作温度：5℃～40℃；</w:t>
      </w:r>
      <w:r>
        <w:rPr>
          <w:rFonts w:hint="eastAsia" w:cs="宋体" w:asciiTheme="minorEastAsia" w:hAnsiTheme="minorEastAsia" w:eastAsiaTheme="minorEastAsia"/>
          <w:bCs/>
          <w:sz w:val="24"/>
          <w:szCs w:val="24"/>
        </w:rPr>
        <w:t xml:space="preserve"> </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2、工作湿度：</w:t>
      </w:r>
      <w:r>
        <w:rPr>
          <w:rFonts w:hint="eastAsia" w:cs="宋体" w:asciiTheme="minorEastAsia" w:hAnsiTheme="minorEastAsia" w:eastAsiaTheme="minorEastAsia"/>
          <w:bCs/>
          <w:sz w:val="24"/>
          <w:szCs w:val="24"/>
        </w:rPr>
        <w:t xml:space="preserve">25</w:t>
      </w:r>
      <w:r>
        <w:rPr>
          <w:rFonts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90</w:t>
      </w:r>
      <w:r>
        <w:rPr>
          <w:rFonts w:cs="宋体" w:asciiTheme="minorEastAsia" w:hAnsiTheme="minorEastAsia" w:eastAsiaTheme="minorEastAsia"/>
          <w:bCs/>
          <w:sz w:val="24"/>
          <w:szCs w:val="24"/>
        </w:rPr>
        <w:t xml:space="preserve">%RH（无冷凝）；</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3、可在基层卫生室常规室内环境、移动筛查场景稳定运行，抗电磁、工频干扰。</w:t>
      </w:r>
      <w:r/>
    </w:p>
    <w:p>
      <w:pPr>
        <w:pStyle w:val="822"/>
        <w:spacing w:line="360" w:lineRule="auto"/>
        <w:rPr>
          <w:rFonts w:hint="eastAsia" w:cs="宋体" w:asciiTheme="minorEastAsia" w:hAnsiTheme="minorEastAsia" w:eastAsiaTheme="minorEastAsia"/>
          <w:b/>
          <w:sz w:val="24"/>
          <w:szCs w:val="24"/>
        </w:rPr>
      </w:pPr>
      <w:r>
        <w:rPr>
          <w:rFonts w:cs="宋体" w:asciiTheme="minorEastAsia" w:hAnsiTheme="minorEastAsia" w:eastAsiaTheme="minorEastAsia"/>
          <w:b/>
          <w:sz w:val="24"/>
          <w:szCs w:val="24"/>
        </w:rPr>
        <w:t xml:space="preserve">★六、供货资料要求（实质性要求，投标人必须在投标时提供，不参与技术评分。）</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投标/供货设备须提供完整有效资料：</w:t>
      </w:r>
      <w:r>
        <w:rPr>
          <w:rFonts w:hint="eastAsia" w:cs="宋体" w:asciiTheme="minorEastAsia" w:hAnsiTheme="minorEastAsia" w:eastAsiaTheme="minorEastAsia"/>
          <w:bCs/>
          <w:sz w:val="24"/>
          <w:szCs w:val="24"/>
        </w:rPr>
        <w:t xml:space="preserve"> </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1、医疗器械产品注册证及附件；</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2、医疗器械生产许可证；</w:t>
      </w:r>
      <w:r/>
    </w:p>
    <w:p>
      <w:pPr>
        <w:pStyle w:val="822"/>
        <w:spacing w:line="360" w:lineRule="auto"/>
        <w:rPr>
          <w:rFonts w:hint="eastAsia"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3、产品检测报告（符合GB 9706.1-2020、GB 9706.225-2021标准）；</w:t>
      </w:r>
      <w:r/>
    </w:p>
    <w:p>
      <w:pPr>
        <w:jc w:val="left"/>
        <w:spacing w:line="360" w:lineRule="auto"/>
        <w:tabs>
          <w:tab w:val="left" w:pos="1260" w:leader="none"/>
        </w:tabs>
        <w:rPr>
          <w:rFonts w:hint="eastAsia" w:asciiTheme="minorEastAsia" w:hAnsiTheme="minorEastAsia" w:eastAsiaTheme="minorEastAsia"/>
          <w:b/>
          <w:szCs w:val="28"/>
        </w:rPr>
      </w:pPr>
      <w:r>
        <w:rPr>
          <w:rFonts w:cs="宋体" w:asciiTheme="minorEastAsia" w:hAnsiTheme="minorEastAsia" w:eastAsiaTheme="minorEastAsia"/>
          <w:bCs/>
          <w:sz w:val="24"/>
          <w:szCs w:val="24"/>
        </w:rPr>
        <w:t xml:space="preserve">4、售后服务承诺函；</w:t>
      </w:r>
      <w:r/>
    </w:p>
    <w:p>
      <w:pPr>
        <w:jc w:val="left"/>
        <w:spacing w:line="360" w:lineRule="auto"/>
        <w:tabs>
          <w:tab w:val="left" w:pos="1260" w:leader="none"/>
        </w:tabs>
        <w:rPr>
          <w:rFonts w:hint="eastAsia" w:ascii="宋体" w:hAnsi="宋体" w:eastAsia="宋体" w:cs="宋体"/>
          <w:b/>
          <w:bCs/>
          <w:sz w:val="28"/>
          <w:szCs w:val="28"/>
        </w:rPr>
      </w:pPr>
      <w:r>
        <w:rPr>
          <w:rFonts w:hint="eastAsia" w:ascii="宋体" w:hAnsi="宋体" w:eastAsia="宋体" w:cs="宋体"/>
          <w:b/>
          <w:bCs/>
          <w:sz w:val="28"/>
          <w:szCs w:val="28"/>
        </w:rPr>
      </w:r>
      <w:r/>
    </w:p>
    <w:p>
      <w:pPr>
        <w:jc w:val="left"/>
        <w:spacing w:line="360" w:lineRule="auto"/>
        <w:tabs>
          <w:tab w:val="left" w:pos="1260" w:leader="none"/>
        </w:tabs>
        <w:rPr>
          <w:rFonts w:hint="eastAsia" w:ascii="宋体" w:hAnsi="宋体" w:eastAsia="宋体" w:cs="宋体"/>
          <w:b/>
          <w:bCs/>
          <w:sz w:val="28"/>
          <w:szCs w:val="28"/>
        </w:rPr>
      </w:pPr>
      <w:r>
        <w:rPr>
          <w:rFonts w:hint="eastAsia" w:ascii="宋体" w:hAnsi="宋体" w:eastAsia="宋体" w:cs="宋体"/>
          <w:b/>
          <w:bCs/>
          <w:sz w:val="28"/>
          <w:szCs w:val="28"/>
        </w:rPr>
        <w:br w:type="page" w:clear="all"/>
      </w:r>
      <w:r/>
    </w:p>
    <w:p>
      <w:pPr>
        <w:jc w:val="left"/>
        <w:spacing w:line="360" w:lineRule="auto"/>
        <w:tabs>
          <w:tab w:val="left" w:pos="1260" w:leader="none"/>
        </w:tabs>
        <w:rPr>
          <w:rFonts w:hint="eastAsia" w:ascii="宋体" w:hAnsi="宋体" w:eastAsia="宋体" w:cs="宋体"/>
          <w:b/>
          <w:bCs/>
          <w:sz w:val="28"/>
          <w:szCs w:val="28"/>
        </w:rPr>
      </w:pPr>
      <w:r>
        <w:rPr>
          <w:rFonts w:hint="eastAsia" w:ascii="宋体" w:hAnsi="宋体" w:eastAsia="宋体" w:cs="宋体"/>
          <w:b/>
          <w:bCs/>
          <w:sz w:val="28"/>
          <w:szCs w:val="28"/>
        </w:rPr>
        <w:t xml:space="preserve">三</w:t>
      </w:r>
      <w:r>
        <w:rPr>
          <w:rFonts w:ascii="宋体" w:hAnsi="宋体" w:eastAsia="宋体" w:cs="宋体"/>
          <w:b/>
          <w:bCs/>
          <w:sz w:val="28"/>
          <w:szCs w:val="28"/>
        </w:rPr>
        <w:t xml:space="preserve">、商务需求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8"/>
        <w:gridCol w:w="2029"/>
        <w:gridCol w:w="5483"/>
      </w:tblGrid>
      <w:tr>
        <w:trPr>
          <w:jc w:val="center"/>
          <w:trHeight w:val="750"/>
        </w:trPr>
        <w:tc>
          <w:tcPr>
            <w:tcW w:w="469"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序号</w:t>
            </w:r>
            <w:r/>
          </w:p>
        </w:tc>
        <w:tc>
          <w:tcPr>
            <w:tcW w:w="1224"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商务和服务项目</w:t>
            </w:r>
            <w:r/>
          </w:p>
        </w:tc>
        <w:tc>
          <w:tcPr>
            <w:tcW w:w="3307"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商务和服务要求</w:t>
            </w:r>
            <w:r/>
          </w:p>
        </w:tc>
      </w:tr>
      <w:tr>
        <w:trPr>
          <w:jc w:val="center"/>
          <w:trHeight w:val="759"/>
        </w:trPr>
        <w:tc>
          <w:tcPr>
            <w:tcW w:w="469"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w:t>
            </w:r>
            <w:r/>
          </w:p>
        </w:tc>
        <w:tc>
          <w:tcPr>
            <w:tcW w:w="1224"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★交货期</w:t>
            </w:r>
            <w:r/>
          </w:p>
        </w:tc>
        <w:tc>
          <w:tcPr>
            <w:tcW w:w="3307" w:type="pct"/>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合同签订后一个月内</w:t>
            </w:r>
            <w:r/>
          </w:p>
        </w:tc>
      </w:tr>
      <w:tr>
        <w:trPr>
          <w:jc w:val="center"/>
          <w:trHeight w:val="810"/>
        </w:trPr>
        <w:tc>
          <w:tcPr>
            <w:tcW w:w="469"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ascii="宋体" w:hAnsi="宋体" w:eastAsia="宋体" w:cs="宋体"/>
                <w:bCs/>
                <w:sz w:val="24"/>
                <w:szCs w:val="24"/>
              </w:rPr>
              <w:t xml:space="preserve">2</w:t>
            </w:r>
            <w:r/>
          </w:p>
        </w:tc>
        <w:tc>
          <w:tcPr>
            <w:tcW w:w="1224"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交货地点</w:t>
            </w:r>
            <w:r/>
          </w:p>
        </w:tc>
        <w:tc>
          <w:tcPr>
            <w:tcW w:w="3307"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泰兴市卫生健康委员会指定地点</w:t>
            </w:r>
            <w:r/>
          </w:p>
        </w:tc>
      </w:tr>
      <w:tr>
        <w:trPr>
          <w:jc w:val="center"/>
          <w:trHeight w:val="692"/>
        </w:trPr>
        <w:tc>
          <w:tcPr>
            <w:tcW w:w="469" w:type="pct"/>
            <w:vAlign w:val="center"/>
            <w:textDirection w:val="lrTb"/>
            <w:noWrap w:val="false"/>
          </w:tcPr>
          <w:p>
            <w:pPr>
              <w:jc w:val="center"/>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3</w:t>
            </w:r>
            <w:r/>
          </w:p>
        </w:tc>
        <w:tc>
          <w:tcPr>
            <w:shd w:val="clear" w:color="auto" w:fill="ffffff" w:themeFill="background1"/>
            <w:tcW w:w="1224"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rPr>
              <w:t xml:space="preserve">★付款方式</w:t>
            </w:r>
            <w:r/>
          </w:p>
        </w:tc>
        <w:tc>
          <w:tcPr>
            <w:shd w:val="clear" w:color="auto" w:fill="ffffff" w:themeFill="background1"/>
            <w:tcW w:w="3307" w:type="pct"/>
            <w:vAlign w:val="center"/>
            <w:textDirection w:val="lrTb"/>
            <w:noWrap w:val="false"/>
          </w:tcPr>
          <w:p>
            <w:pPr>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本次合同由泰兴市卫健委代各单位统一签署，资金按照各单位实际配备数计算，在设备安装调试验收到位后，</w:t>
            </w:r>
            <w:r>
              <w:rPr>
                <w:rFonts w:ascii="宋体" w:hAnsi="宋体" w:eastAsia="宋体" w:cs="宋体"/>
                <w:bCs/>
                <w:sz w:val="24"/>
                <w:szCs w:val="24"/>
              </w:rPr>
              <w:t xml:space="preserve">2027</w:t>
            </w:r>
            <w:r>
              <w:rPr>
                <w:rFonts w:hint="eastAsia" w:ascii="宋体" w:hAnsi="宋体" w:eastAsia="宋体" w:cs="宋体"/>
                <w:bCs/>
                <w:sz w:val="24"/>
                <w:szCs w:val="24"/>
              </w:rPr>
              <w:t xml:space="preserve">年由各实际使用单位按照实际金额的</w:t>
            </w:r>
            <w:r>
              <w:rPr>
                <w:rFonts w:ascii="宋体" w:hAnsi="宋体" w:eastAsia="宋体" w:cs="宋体"/>
                <w:bCs/>
                <w:sz w:val="24"/>
                <w:szCs w:val="24"/>
              </w:rPr>
              <w:t xml:space="preserve">50%</w:t>
            </w:r>
            <w:r>
              <w:rPr>
                <w:rFonts w:hint="eastAsia" w:ascii="宋体" w:hAnsi="宋体" w:eastAsia="宋体" w:cs="宋体"/>
                <w:bCs/>
                <w:sz w:val="24"/>
                <w:szCs w:val="24"/>
              </w:rPr>
              <w:t xml:space="preserve">支付给设备中标商，余款</w:t>
            </w:r>
            <w:r>
              <w:rPr>
                <w:rFonts w:ascii="宋体" w:hAnsi="宋体" w:eastAsia="宋体" w:cs="宋体"/>
                <w:bCs/>
                <w:sz w:val="24"/>
                <w:szCs w:val="24"/>
              </w:rPr>
              <w:t xml:space="preserve">50%</w:t>
            </w:r>
            <w:r>
              <w:rPr>
                <w:rFonts w:hint="eastAsia" w:ascii="宋体" w:hAnsi="宋体" w:eastAsia="宋体" w:cs="宋体"/>
                <w:bCs/>
                <w:sz w:val="24"/>
                <w:szCs w:val="24"/>
              </w:rPr>
              <w:t xml:space="preserve">在</w:t>
            </w:r>
            <w:r>
              <w:rPr>
                <w:rFonts w:ascii="宋体" w:hAnsi="宋体" w:eastAsia="宋体" w:cs="宋体"/>
                <w:bCs/>
                <w:sz w:val="24"/>
                <w:szCs w:val="24"/>
              </w:rPr>
              <w:t xml:space="preserve">2028</w:t>
            </w:r>
            <w:r>
              <w:rPr>
                <w:rFonts w:hint="eastAsia" w:ascii="宋体" w:hAnsi="宋体" w:eastAsia="宋体" w:cs="宋体"/>
                <w:bCs/>
                <w:sz w:val="24"/>
                <w:szCs w:val="24"/>
              </w:rPr>
              <w:t xml:space="preserve">年付清。</w:t>
            </w:r>
            <w:r/>
          </w:p>
        </w:tc>
      </w:tr>
      <w:tr>
        <w:trPr>
          <w:jc w:val="center"/>
          <w:trHeight w:val="692"/>
        </w:trPr>
        <w:tc>
          <w:tcPr>
            <w:tcW w:w="469" w:type="pct"/>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shd w:val="clear" w:color="auto" w:fill="ffffff" w:themeFill="background1"/>
            <w:tcW w:w="1224" w:type="pct"/>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zh-CN"/>
              </w:rPr>
              <w:t xml:space="preserve">设计方案</w:t>
            </w:r>
            <w:r/>
          </w:p>
        </w:tc>
        <w:tc>
          <w:tcPr>
            <w:shd w:val="clear" w:color="auto" w:fill="ffffff" w:themeFill="background1"/>
            <w:tcW w:w="3307" w:type="pct"/>
            <w:vAlign w:val="center"/>
            <w:textDirection w:val="lrTb"/>
            <w:noWrap w:val="false"/>
          </w:tcPr>
          <w:p>
            <w:pPr>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val="zh-CN"/>
              </w:rPr>
              <w:t xml:space="preserve">供应商根据本项目需求提供一套完整的设计方案，包括设备性能和 配置，实施操作性，与其他同类系统对接的扩展性，方案思路合理性、可操作及实用性。</w:t>
            </w:r>
            <w:r/>
          </w:p>
        </w:tc>
      </w:tr>
      <w:tr>
        <w:trPr>
          <w:jc w:val="center"/>
          <w:trHeight w:val="692"/>
        </w:trPr>
        <w:tc>
          <w:tcPr>
            <w:tcW w:w="469" w:type="pct"/>
            <w:vAlign w:val="center"/>
            <w:textDirection w:val="lrTb"/>
            <w:noWrap w:val="false"/>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shd w:val="clear" w:color="auto" w:fill="ffffff" w:themeFill="background1"/>
            <w:tcW w:w="1224"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运行维护保障</w:t>
            </w:r>
            <w:r/>
          </w:p>
        </w:tc>
        <w:tc>
          <w:tcPr>
            <w:shd w:val="clear" w:color="auto" w:fill="ffffff" w:themeFill="background1"/>
            <w:tcW w:w="3307" w:type="pct"/>
            <w:vAlign w:val="center"/>
            <w:textDirection w:val="lrTb"/>
            <w:noWrap w:val="false"/>
          </w:tcPr>
          <w:p>
            <w:pPr>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供应商根据本项目需求提供一套运行维护保障方案，包括但不限于对日常维护、应急处理等部分</w:t>
            </w:r>
            <w:r/>
          </w:p>
        </w:tc>
      </w:tr>
      <w:tr>
        <w:trPr>
          <w:jc w:val="center"/>
          <w:trHeight w:val="692"/>
        </w:trPr>
        <w:tc>
          <w:tcPr>
            <w:tcW w:w="469"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6</w:t>
            </w:r>
            <w:r/>
          </w:p>
        </w:tc>
        <w:tc>
          <w:tcPr>
            <w:shd w:val="clear" w:color="auto" w:fill="ffffff" w:themeFill="background1"/>
            <w:tcW w:w="1224"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售后服务及质保要求</w:t>
            </w:r>
            <w:r/>
          </w:p>
        </w:tc>
        <w:tc>
          <w:tcPr>
            <w:shd w:val="clear" w:color="auto" w:fill="ffffff" w:themeFill="background1"/>
            <w:tcW w:w="3307" w:type="pct"/>
            <w:vAlign w:val="center"/>
            <w:textDirection w:val="lrTb"/>
            <w:noWrap w:val="false"/>
          </w:tcPr>
          <w:p>
            <w:pPr>
              <w:pStyle w:val="822"/>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包一：</w:t>
            </w:r>
            <w:r>
              <w:rPr>
                <w:rFonts w:ascii="宋体" w:hAnsi="宋体" w:eastAsia="宋体" w:cs="宋体"/>
                <w:bCs/>
                <w:sz w:val="24"/>
                <w:szCs w:val="24"/>
                <w:lang w:val="zh-CN"/>
              </w:rPr>
              <w:t xml:space="preserve">肺功能仪和慢病手环</w:t>
            </w:r>
            <w:r>
              <w:rPr>
                <w:rFonts w:hint="eastAsia" w:ascii="宋体" w:hAnsi="宋体" w:eastAsia="宋体" w:cs="宋体"/>
                <w:bCs/>
                <w:sz w:val="24"/>
                <w:szCs w:val="24"/>
                <w:lang w:val="zh-CN"/>
              </w:rPr>
              <w:t xml:space="preserve"> </w:t>
            </w:r>
            <w:r/>
          </w:p>
          <w:p>
            <w:pPr>
              <w:pStyle w:val="869"/>
              <w:numPr>
                <w:ilvl w:val="0"/>
                <w:numId w:val="5"/>
              </w:numPr>
              <w:ind w:left="0" w:hanging="44"/>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所有设备</w:t>
            </w:r>
            <w:r>
              <w:rPr>
                <w:rFonts w:ascii="宋体" w:hAnsi="宋体" w:eastAsia="宋体" w:cs="宋体"/>
                <w:bCs/>
                <w:sz w:val="24"/>
                <w:szCs w:val="24"/>
                <w:lang w:val="zh-CN"/>
              </w:rPr>
              <w:t xml:space="preserve">原厂质保不少于1年，本地售后快速响应，终身校准维修支持。</w:t>
            </w:r>
            <w:r/>
          </w:p>
          <w:p>
            <w:pP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2、中标后免费上门安装、操作人员实操+质控培训；</w:t>
            </w:r>
            <w:r>
              <w:rPr>
                <w:rFonts w:ascii="宋体" w:hAnsi="宋体" w:eastAsia="宋体" w:cs="宋体"/>
                <w:bCs/>
                <w:sz w:val="24"/>
                <w:szCs w:val="24"/>
                <w:lang w:val="zh-CN"/>
              </w:rPr>
              <w:t xml:space="preserve"> </w:t>
            </w:r>
            <w:r/>
          </w:p>
          <w:p>
            <w:pP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包二：</w:t>
            </w:r>
            <w:r>
              <w:rPr>
                <w:rFonts w:ascii="宋体" w:hAnsi="宋体" w:eastAsia="宋体" w:cs="宋体"/>
                <w:bCs/>
                <w:sz w:val="24"/>
                <w:szCs w:val="24"/>
                <w:lang w:val="zh-CN"/>
              </w:rPr>
              <w:t xml:space="preserve">远程心电设备</w:t>
            </w:r>
            <w:r>
              <w:rPr>
                <w:rFonts w:hint="eastAsia" w:ascii="宋体" w:hAnsi="宋体" w:eastAsia="宋体" w:cs="宋体"/>
                <w:bCs/>
                <w:sz w:val="24"/>
                <w:szCs w:val="24"/>
                <w:lang w:val="zh-CN"/>
              </w:rPr>
              <w:t xml:space="preserve"> </w:t>
            </w:r>
            <w:r/>
          </w:p>
          <w:p>
            <w:pPr>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、所有设备原厂质保不少于</w:t>
            </w: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年。</w:t>
            </w:r>
            <w:r/>
          </w:p>
          <w:p>
            <w:pPr>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、终身免费软件升级、算法升级、平台适配升级</w:t>
            </w:r>
            <w:r/>
          </w:p>
          <w:p>
            <w:pPr>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w:t>
            </w:r>
            <w:r>
              <w:rPr>
                <w:rFonts w:ascii="宋体" w:hAnsi="宋体" w:eastAsia="宋体" w:cs="宋体"/>
                <w:bCs/>
                <w:sz w:val="24"/>
                <w:szCs w:val="24"/>
                <w:lang w:val="zh-CN"/>
              </w:rPr>
              <w:t xml:space="preserve">7×24</w:t>
            </w:r>
            <w:r>
              <w:rPr>
                <w:rFonts w:hint="eastAsia" w:ascii="宋体" w:hAnsi="宋体" w:eastAsia="宋体" w:cs="宋体"/>
                <w:bCs/>
                <w:sz w:val="24"/>
                <w:szCs w:val="24"/>
                <w:lang w:val="zh-CN"/>
              </w:rPr>
              <w:t xml:space="preserve">小时技术支持，县域内</w:t>
            </w: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小时响应、</w:t>
            </w:r>
            <w:r>
              <w:rPr>
                <w:rFonts w:ascii="宋体" w:hAnsi="宋体" w:eastAsia="宋体" w:cs="宋体"/>
                <w:bCs/>
                <w:sz w:val="24"/>
                <w:szCs w:val="24"/>
                <w:lang w:val="zh-CN"/>
              </w:rPr>
              <w:t xml:space="preserve">48</w:t>
            </w:r>
            <w:r>
              <w:rPr>
                <w:rFonts w:hint="eastAsia" w:ascii="宋体" w:hAnsi="宋体" w:eastAsia="宋体" w:cs="宋体"/>
                <w:bCs/>
                <w:sz w:val="24"/>
                <w:szCs w:val="24"/>
                <w:lang w:val="zh-CN"/>
              </w:rPr>
              <w:t xml:space="preserve">小时现场服务</w:t>
            </w:r>
            <w:r/>
          </w:p>
          <w:p>
            <w:pPr>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、免费提供基层医务人员操作培训、上机培训、日常维护培训</w:t>
            </w:r>
            <w:r/>
          </w:p>
          <w:p>
            <w:pPr>
              <w:pStyle w:val="822"/>
              <w:spacing w:line="360" w:lineRule="auto"/>
              <w:rPr>
                <w:rFonts w:hint="eastAsia" w:ascii="宋体" w:hAnsi="宋体" w:eastAsia="宋体" w:cs="宋体"/>
                <w:bCs/>
                <w:sz w:val="24"/>
                <w:szCs w:val="24"/>
                <w:lang w:val="zh-CN"/>
              </w:rPr>
            </w:pP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、质保期内非人为损坏免费维修、免费更换配件</w:t>
            </w:r>
            <w:r/>
          </w:p>
          <w:p>
            <w:pPr>
              <w:pStyle w:val="822"/>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r>
      <w:tr>
        <w:trPr>
          <w:jc w:val="center"/>
          <w:trHeight w:val="692"/>
        </w:trPr>
        <w:tc>
          <w:tcPr>
            <w:tcW w:w="469"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7</w:t>
            </w:r>
            <w:r/>
          </w:p>
        </w:tc>
        <w:tc>
          <w:tcPr>
            <w:shd w:val="clear" w:color="auto" w:fill="ffffff" w:themeFill="background1"/>
            <w:tcW w:w="1224"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交付及验收要求</w:t>
            </w:r>
            <w:r/>
          </w:p>
        </w:tc>
        <w:tc>
          <w:tcPr>
            <w:shd w:val="clear" w:color="auto" w:fill="ffffff" w:themeFill="background1"/>
            <w:tcW w:w="3307" w:type="pct"/>
            <w:vAlign w:val="center"/>
            <w:textDirection w:val="lrTb"/>
            <w:noWrap w:val="false"/>
          </w:tcPr>
          <w:p>
            <w:pP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包一：</w:t>
            </w:r>
            <w:r>
              <w:rPr>
                <w:rFonts w:ascii="宋体" w:hAnsi="宋体" w:eastAsia="宋体" w:cs="宋体"/>
                <w:bCs/>
                <w:sz w:val="24"/>
                <w:szCs w:val="24"/>
                <w:lang w:val="zh-CN"/>
              </w:rPr>
              <w:t xml:space="preserve">肺功能仪和慢病手环</w:t>
            </w:r>
            <w:r/>
          </w:p>
          <w:p>
            <w:pP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标配配件：定标桶、电源线、打印纸、消毒耗材、操作手册。</w:t>
            </w:r>
            <w:r>
              <w:rPr>
                <w:rFonts w:ascii="宋体" w:hAnsi="宋体" w:eastAsia="宋体" w:cs="宋体"/>
                <w:bCs/>
                <w:sz w:val="24"/>
                <w:szCs w:val="24"/>
                <w:lang w:val="zh-CN"/>
              </w:rPr>
              <w:t xml:space="preserve"> </w:t>
            </w:r>
            <w:r/>
          </w:p>
          <w:p>
            <w:pPr>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包二：</w:t>
            </w:r>
            <w:r>
              <w:rPr>
                <w:rFonts w:ascii="宋体" w:hAnsi="宋体" w:eastAsia="宋体" w:cs="宋体"/>
                <w:bCs/>
                <w:sz w:val="24"/>
                <w:szCs w:val="24"/>
                <w:lang w:val="zh-CN"/>
              </w:rPr>
              <w:t xml:space="preserve">远程心电设备</w:t>
            </w:r>
            <w:r>
              <w:rPr>
                <w:rFonts w:hint="eastAsia" w:ascii="宋体" w:hAnsi="宋体" w:eastAsia="宋体" w:cs="宋体"/>
                <w:bCs/>
                <w:sz w:val="24"/>
                <w:szCs w:val="24"/>
                <w:lang w:val="zh-CN"/>
              </w:rPr>
              <w:t xml:space="preserve"> </w:t>
            </w:r>
            <w:r/>
          </w:p>
          <w:p>
            <w:pPr>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、交付含：心电主机、专用</w:t>
            </w:r>
            <w:r>
              <w:rPr>
                <w:rFonts w:ascii="宋体" w:hAnsi="宋体" w:eastAsia="宋体" w:cs="宋体"/>
                <w:bCs/>
                <w:sz w:val="24"/>
                <w:szCs w:val="24"/>
                <w:lang w:val="zh-CN"/>
              </w:rPr>
              <w:t xml:space="preserve">12</w:t>
            </w:r>
            <w:r>
              <w:rPr>
                <w:rFonts w:hint="eastAsia" w:ascii="宋体" w:hAnsi="宋体" w:eastAsia="宋体" w:cs="宋体"/>
                <w:bCs/>
                <w:sz w:val="24"/>
                <w:szCs w:val="24"/>
                <w:lang w:val="zh-CN"/>
              </w:rPr>
              <w:t xml:space="preserve">导联线、电源适配器、锂电池、说明书、合格证、配套线材</w:t>
            </w:r>
            <w:r/>
          </w:p>
          <w:p>
            <w:pPr>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、到货后完成设备入网、平台注册、数据联调、账号开通，确保到货即可正常使用</w:t>
            </w:r>
            <w:r/>
          </w:p>
          <w:p>
            <w:pPr>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、验收依据本技术参数、国家行业标准、平台对接通畅性、功能完整性逐项验收。</w:t>
            </w:r>
            <w:r/>
          </w:p>
        </w:tc>
      </w:tr>
      <w:tr>
        <w:trPr>
          <w:jc w:val="center"/>
          <w:trHeight w:val="692"/>
        </w:trPr>
        <w:tc>
          <w:tcPr>
            <w:tcW w:w="469"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8</w:t>
            </w:r>
            <w:r/>
          </w:p>
        </w:tc>
        <w:tc>
          <w:tcPr>
            <w:shd w:val="clear" w:color="auto" w:fill="ffffff" w:themeFill="background1"/>
            <w:tcW w:w="1224"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其他要求</w:t>
            </w:r>
            <w:r/>
          </w:p>
        </w:tc>
        <w:tc>
          <w:tcPr>
            <w:shd w:val="clear" w:color="auto" w:fill="ffffff" w:themeFill="background1"/>
            <w:tcW w:w="3307" w:type="pct"/>
            <w:vAlign w:val="center"/>
            <w:textDirection w:val="lrTb"/>
            <w:noWrap w:val="false"/>
          </w:tcPr>
          <w:p>
            <w:pP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包</w:t>
            </w:r>
            <w:r>
              <w:rPr>
                <w:rFonts w:hint="eastAsia" w:ascii="宋体" w:hAnsi="宋体" w:eastAsia="宋体" w:cs="宋体"/>
                <w:bCs/>
                <w:sz w:val="24"/>
                <w:szCs w:val="24"/>
                <w:lang w:val="zh-CN"/>
              </w:rPr>
              <w:t xml:space="preserve">二</w:t>
            </w:r>
            <w:r>
              <w:rPr>
                <w:rFonts w:hint="eastAsia" w:ascii="宋体" w:hAnsi="宋体" w:eastAsia="宋体" w:cs="宋体"/>
                <w:bCs/>
                <w:sz w:val="24"/>
                <w:szCs w:val="24"/>
                <w:lang w:val="zh-CN"/>
              </w:rPr>
              <w:t xml:space="preserve">：</w:t>
            </w:r>
            <w:r>
              <w:rPr>
                <w:rFonts w:ascii="宋体" w:hAnsi="宋体" w:eastAsia="宋体" w:cs="宋体"/>
                <w:bCs/>
                <w:sz w:val="24"/>
                <w:szCs w:val="24"/>
                <w:lang w:val="zh-CN"/>
              </w:rPr>
              <w:t xml:space="preserve">远程心电设备</w:t>
            </w:r>
            <w:r>
              <w:rPr>
                <w:rFonts w:hint="eastAsia" w:ascii="宋体" w:hAnsi="宋体" w:eastAsia="宋体" w:cs="宋体"/>
                <w:bCs/>
                <w:sz w:val="24"/>
                <w:szCs w:val="24"/>
                <w:lang w:val="zh-CN"/>
              </w:rPr>
              <w:t xml:space="preserve"> </w:t>
            </w:r>
            <w:r/>
          </w:p>
          <w:p>
            <w:pP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1、设备为医用正规临床设备，禁止民用改装、翻新设备</w:t>
            </w:r>
            <w:r/>
          </w:p>
          <w:p>
            <w:pPr>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、所有数据格式、报告样式统一适配县域心电中心标准</w:t>
            </w:r>
            <w:r/>
          </w:p>
          <w:p>
            <w:pPr>
              <w:jc w:val="left"/>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、支持后续卫健系统督查、公卫考核、数据统计需求</w:t>
            </w:r>
            <w:r/>
          </w:p>
        </w:tc>
      </w:tr>
      <w:tr>
        <w:trPr>
          <w:jc w:val="center"/>
          <w:trHeight w:val="692"/>
        </w:trPr>
        <w:tc>
          <w:tcPr>
            <w:tcW w:w="469"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9</w:t>
            </w:r>
            <w:r/>
          </w:p>
        </w:tc>
        <w:tc>
          <w:tcPr>
            <w:shd w:val="clear" w:color="auto" w:fill="ffffff" w:themeFill="background1"/>
            <w:tcW w:w="1224"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技术支持响应时间</w:t>
            </w:r>
            <w:r/>
          </w:p>
        </w:tc>
        <w:tc>
          <w:tcPr>
            <w:shd w:val="clear" w:color="auto" w:fill="ffffff" w:themeFill="background1"/>
            <w:tcW w:w="3307" w:type="pct"/>
            <w:vAlign w:val="center"/>
            <w:textDirection w:val="lrTb"/>
            <w:noWrap w:val="false"/>
          </w:tcPr>
          <w:p>
            <w:pPr>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一般问题2小时内电话支持，难点、重点问题1天内现 场解决，质保期内相关费用由乙方承担，质保期满后乙方收取成本费。</w:t>
            </w:r>
            <w:r/>
          </w:p>
        </w:tc>
      </w:tr>
      <w:tr>
        <w:trPr>
          <w:jc w:val="center"/>
          <w:trHeight w:val="692"/>
        </w:trPr>
        <w:tc>
          <w:tcPr>
            <w:tcW w:w="469"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10</w:t>
            </w:r>
            <w:r/>
          </w:p>
        </w:tc>
        <w:tc>
          <w:tcPr>
            <w:shd w:val="clear" w:color="auto" w:fill="ffffff" w:themeFill="background1"/>
            <w:tcW w:w="1224"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报价组成</w:t>
            </w:r>
            <w:r/>
          </w:p>
        </w:tc>
        <w:tc>
          <w:tcPr>
            <w:shd w:val="clear" w:color="auto" w:fill="ffffff" w:themeFill="background1"/>
            <w:tcW w:w="3307" w:type="pct"/>
            <w:vAlign w:val="center"/>
            <w:textDirection w:val="lrTb"/>
            <w:noWrap w:val="false"/>
          </w:tcPr>
          <w:p>
            <w:pPr>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供应商所投报价包含货物在买方医院内的安装、搬运及设备就位的一切费用。</w:t>
            </w:r>
            <w:r/>
          </w:p>
        </w:tc>
      </w:tr>
      <w:tr>
        <w:trPr>
          <w:jc w:val="center"/>
          <w:trHeight w:val="692"/>
        </w:trPr>
        <w:tc>
          <w:tcPr>
            <w:tcW w:w="469"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11</w:t>
            </w:r>
            <w:r/>
          </w:p>
        </w:tc>
        <w:tc>
          <w:tcPr>
            <w:shd w:val="clear" w:color="auto" w:fill="ffffff" w:themeFill="background1"/>
            <w:tcW w:w="1224" w:type="pct"/>
            <w:vAlign w:val="center"/>
            <w:textDirection w:val="lrTb"/>
            <w:noWrap w:val="false"/>
          </w:tcPr>
          <w:p>
            <w:pPr>
              <w:jc w:val="center"/>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技术培训</w:t>
            </w:r>
            <w:r/>
          </w:p>
        </w:tc>
        <w:tc>
          <w:tcPr>
            <w:shd w:val="clear" w:color="auto" w:fill="ffffff" w:themeFill="background1"/>
            <w:tcW w:w="3307" w:type="pct"/>
            <w:vAlign w:val="center"/>
            <w:textDirection w:val="lrTb"/>
            <w:noWrap w:val="false"/>
          </w:tcPr>
          <w:p>
            <w:pPr>
              <w:jc w:val="left"/>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在设备使用年限内，供方免费提供医院设备操作人员及维修工程师 原厂举办的操作培训及维修培训，提供一套完整的培训方案，包括培训内容、培训方式等</w:t>
            </w:r>
            <w:r/>
          </w:p>
        </w:tc>
      </w:tr>
    </w:tbl>
    <w:p>
      <w:pP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四、采购标的的所属行业</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参照《关于印发中小企业划型标准规定的通知》（工信部联企业[2011]300</w:t>
      </w:r>
      <w:r>
        <w:rPr>
          <w:rFonts w:hint="eastAsia" w:cs="仿宋" w:asciiTheme="minorEastAsia" w:hAnsiTheme="minorEastAsia" w:eastAsiaTheme="minorEastAsia"/>
          <w:color w:val="000000" w:themeColor="text1"/>
          <w:sz w:val="24"/>
          <w:szCs w:val="24"/>
        </w:rPr>
        <w:t xml:space="preserve">号）文件，本项目采购标的所属行业为</w:t>
      </w:r>
      <w:r>
        <w:rPr>
          <w:rFonts w:hint="eastAsia" w:cs="仿宋" w:asciiTheme="minorEastAsia" w:hAnsiTheme="minorEastAsia" w:eastAsiaTheme="minorEastAsia"/>
          <w:color w:val="000000" w:themeColor="text1"/>
          <w:sz w:val="24"/>
          <w:szCs w:val="24"/>
          <w:u w:val="single"/>
        </w:rPr>
        <w:t xml:space="preserve"> 工业  </w:t>
      </w:r>
      <w:r>
        <w:rPr>
          <w:rFonts w:hint="eastAsia" w:cs="仿宋" w:asciiTheme="minorEastAsia" w:hAnsiTheme="minorEastAsia" w:eastAsiaTheme="minorEastAsia"/>
          <w:color w:val="000000" w:themeColor="text1"/>
          <w:sz w:val="24"/>
          <w:szCs w:val="24"/>
        </w:rPr>
        <w:t xml:space="preserve">。 </w:t>
      </w:r>
      <w:r/>
    </w:p>
    <w:p>
      <w:pPr>
        <w:pStyle w:val="1018"/>
        <w:numPr>
          <w:ilvl w:val="0"/>
          <w:numId w:val="6"/>
        </w:numPr>
        <w:jc w:val="center"/>
        <w:spacing w:before="0" w:after="0" w:line="360" w:lineRule="auto"/>
        <w:rPr>
          <w:rFonts w:hint="eastAsia" w:cs="仿宋" w:asciiTheme="minorEastAsia" w:hAnsiTheme="minorEastAsia" w:eastAsiaTheme="minorEastAsia"/>
          <w:color w:val="000000" w:themeColor="text1"/>
          <w:sz w:val="32"/>
          <w:szCs w:val="32"/>
        </w:rPr>
      </w:pPr>
      <w:r>
        <w:rPr>
          <w:rFonts w:cs="仿宋" w:asciiTheme="minorEastAsia" w:hAnsiTheme="minorEastAsia" w:eastAsiaTheme="minorEastAsia"/>
          <w:color w:val="000000" w:themeColor="text1"/>
          <w:sz w:val="32"/>
          <w:szCs w:val="32"/>
        </w:rPr>
        <w:br w:type="page" w:clear="all"/>
      </w:r>
      <w:r>
        <w:rPr>
          <w:rFonts w:hint="eastAsia" w:cs="仿宋" w:asciiTheme="minorEastAsia" w:hAnsiTheme="minorEastAsia" w:eastAsiaTheme="minorEastAsia"/>
          <w:color w:val="000000" w:themeColor="text1"/>
          <w:sz w:val="32"/>
          <w:szCs w:val="32"/>
        </w:rPr>
        <w:t xml:space="preserve">评标办法及标准</w:t>
      </w:r>
      <w:bookmarkEnd w:id="39"/>
      <w:r/>
      <w:bookmarkEnd w:id="40"/>
      <w:r/>
      <w:r/>
    </w:p>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一、资格性审查（通过/未通过）：</w:t>
      </w:r>
      <w:r/>
    </w:p>
    <w:tbl>
      <w:tblPr>
        <w:tblW w:w="0" w:type="auto"/>
        <w:jc w:val="center"/>
        <w:tblLayout w:type="fixed"/>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jc w:val="left"/>
        <w:spacing w:after="200" w:line="360" w:lineRule="auto"/>
        <w:widowControl/>
        <w:rPr>
          <w:rFonts w:hint="eastAsia" w:cs="宋体" w:asciiTheme="minorEastAsia" w:hAnsiTheme="minorEastAsia" w:eastAsiaTheme="minorEastAsia"/>
          <w:b/>
          <w:sz w:val="24"/>
          <w:szCs w:val="24"/>
        </w:rPr>
        <w:outlineLvl w:val="0"/>
      </w:pPr>
      <w:r>
        <w:rPr>
          <w:rFonts w:hint="eastAsia" w:cs="宋体" w:asciiTheme="minorEastAsia" w:hAnsiTheme="minorEastAsia" w:eastAsiaTheme="minorEastAsia"/>
          <w:b/>
          <w:sz w:val="24"/>
          <w:szCs w:val="24"/>
        </w:rPr>
        <w:t xml:space="preserve">二、符合性审查（通过/未通过）：</w:t>
      </w:r>
      <w:r/>
    </w:p>
    <w:tbl>
      <w:tblPr>
        <w:tblW w:w="9610" w:type="dxa"/>
        <w:jc w:val="center"/>
        <w:tblLayout w:type="fixed"/>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三、评标办法：</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本项目评标采用综合评分法，总分为100分。合格投标人的综合得分为各评分项目汇总</w:t>
      </w:r>
      <w:r>
        <w:rPr>
          <w:rFonts w:hint="eastAsia" w:cs="仿宋" w:asciiTheme="minorEastAsia" w:hAnsiTheme="minorEastAsia" w:eastAsiaTheme="minorEastAsia"/>
          <w:color w:val="000000" w:themeColor="text1"/>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b/>
          <w:bCs/>
          <w:color w:val="000000" w:themeColor="text1"/>
          <w:shd w:val="clear" w:color="auto" w:fill="ffffff"/>
        </w:rPr>
      </w:pPr>
      <w:r>
        <w:rPr>
          <w:rFonts w:hint="eastAsia" w:cs="仿宋" w:asciiTheme="minorEastAsia" w:hAnsiTheme="minorEastAsia" w:eastAsiaTheme="minorEastAsia"/>
          <w:b/>
          <w:bCs/>
          <w:color w:val="000000" w:themeColor="text1"/>
          <w:shd w:val="clear" w:color="auto" w:fill="ffffff"/>
        </w:rPr>
        <w:t xml:space="preserve">政府采购政策功能落实</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1、小微型企业价格扣除</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（1）本项目对小型和微型企业产品给予10%的扣除价格，用扣除后的价格参与评审。</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（2）供应商需按照采购文件的要求提供相应的《中小企业声明函》。</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（3）企业标准请参照《关于印发中小企业划型标准规定的通知》（工信部联企业[2011]300号）文件规定自行填写。</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2、残疾人福利单位价格扣除</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（1）本项目对残疾人福利性单位视同小型、微型企业，给予10%的价格扣除，用扣除后的价格参与评审。</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（2）残疾人福利单位需按照采购文件的要求提供《残疾人福利性单位声明函》。</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（3）残疾人福利单位标准请参照《关于促进残疾人就业政府采购政策的通知》（财库〔2017〕141号）。</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3、监狱和戒毒企业价格扣除</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（1）本项目对监狱和戒毒企业（简称监狱企业）视同小型、微型企业，给予10%的价格扣除，用扣除后的价格参与评审。</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（3）监狱企业标准请参照《关于政府采购支持监狱企业发展有关问题的通知》（财库[2014]68号）。</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4、残疾人福利单位、监狱企业属于小型、微型企业的，不重复享受政策。</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6、联合体各方均为小型、微型企业（残疾人福利单位、监狱企业）的，联合体享受10%价格扣除，用扣除后的价格参与评审。</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7、专门面向中小企业采购的项目，小微企业不再享受价格扣除优惠政策。</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8、采购本国产品的支持政策</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w:t>
      </w:r>
      <w:r>
        <w:rPr>
          <w:rFonts w:hint="eastAsia" w:ascii="宋体" w:hAnsi="宋体" w:eastAsia="宋体" w:cs="宋体"/>
          <w:bCs/>
          <w:color w:val="000000" w:themeColor="text1"/>
          <w:sz w:val="24"/>
          <w:szCs w:val="24"/>
        </w:rPr>
        <w:t xml:space="preserve">品、饮料和烟草原料，无形资产。</w:t>
      </w:r>
      <w:r/>
    </w:p>
    <w:p>
      <w:pPr>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8.3 本项目政府采购活动中既有本国产品又有非本国产品参与竞争的，依法对本国产品给予价格评审优惠，对本国产品的报价给予  </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rPr>
        <w:t xml:space="preserve">的价格扣除，用扣除后的价格参与评审。</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8.4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themeColor="text1"/>
          <w:sz w:val="24"/>
          <w:szCs w:val="24"/>
          <w:u w:val="single"/>
        </w:rPr>
        <w:t xml:space="preserve">80%</w:t>
      </w:r>
      <w:r>
        <w:rPr>
          <w:rFonts w:hint="eastAsia" w:ascii="宋体" w:hAnsi="宋体" w:eastAsia="宋体" w:cs="宋体"/>
          <w:color w:val="000000" w:themeColor="text1"/>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themeColor="text1"/>
          <w:sz w:val="24"/>
          <w:szCs w:val="24"/>
          <w:u w:val="single"/>
        </w:rPr>
        <w:t xml:space="preserve">20%</w:t>
      </w:r>
      <w:r>
        <w:rPr>
          <w:rFonts w:hint="eastAsia" w:ascii="宋体" w:hAnsi="宋体" w:eastAsia="宋体" w:cs="宋体"/>
          <w:color w:val="000000" w:themeColor="text1"/>
          <w:sz w:val="24"/>
          <w:szCs w:val="24"/>
        </w:rPr>
        <w:t xml:space="preserve">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8.5 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49"/>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eastAsia="宋体" w:cs="宋体"/>
          <w:color w:val="000000" w:themeColor="text1"/>
        </w:rPr>
        <w:t xml:space="preserve">8.7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360" w:lineRule="auto"/>
        <w:rPr>
          <w:rFonts w:hint="eastAsia" w:cs="仿宋" w:asciiTheme="minorEastAsia" w:hAnsiTheme="minorEastAsia" w:eastAsiaTheme="minorEastAsia"/>
          <w:b/>
          <w:color w:val="000000" w:themeColor="text1"/>
          <w:sz w:val="24"/>
          <w:szCs w:val="24"/>
        </w:rPr>
      </w:pPr>
      <w:r/>
      <w:bookmarkStart w:id="44" w:name="_Hlk147842034"/>
      <w:r>
        <w:rPr>
          <w:rFonts w:cs="仿宋" w:asciiTheme="minorEastAsia" w:hAnsiTheme="minorEastAsia" w:eastAsiaTheme="minorEastAsia"/>
          <w:b/>
          <w:color w:val="000000" w:themeColor="text1"/>
          <w:sz w:val="24"/>
          <w:szCs w:val="24"/>
        </w:rPr>
        <w:br w:type="page" w:clear="all"/>
      </w:r>
      <w:r/>
    </w:p>
    <w:p>
      <w:pPr>
        <w:pStyle w:val="852"/>
        <w:numPr>
          <w:ilvl w:val="0"/>
          <w:numId w:val="7"/>
        </w:numPr>
        <w:ind w:firstLine="0"/>
        <w:spacing w:line="360" w:lineRule="auto"/>
        <w:rPr>
          <w:rFonts w:hint="eastAsia" w:cs="仿宋" w:asciiTheme="minorEastAsia" w:hAnsiTheme="minorEastAsia" w:eastAsiaTheme="minorEastAsia"/>
          <w:b/>
          <w:color w:val="000000" w:themeColor="text1"/>
          <w:sz w:val="24"/>
          <w:szCs w:val="24"/>
        </w:rPr>
      </w:pPr>
      <w:r>
        <w:rPr>
          <w:rFonts w:hint="eastAsia" w:asciiTheme="minorEastAsia" w:hAnsiTheme="minorEastAsia" w:eastAsiaTheme="minorEastAsia"/>
          <w:b/>
          <w:sz w:val="24"/>
          <w:szCs w:val="24"/>
        </w:rPr>
        <w:t xml:space="preserve">评标内容及标准</w:t>
      </w:r>
      <w:r>
        <w:rPr>
          <w:rFonts w:hint="eastAsia" w:cs="仿宋" w:asciiTheme="minorEastAsia" w:hAnsiTheme="minorEastAsia" w:eastAsiaTheme="minorEastAsia"/>
          <w:b/>
          <w:color w:val="000000" w:themeColor="text1"/>
          <w:sz w:val="24"/>
          <w:szCs w:val="24"/>
        </w:rPr>
        <w:t xml:space="preserve">： </w:t>
      </w:r>
      <w:r/>
    </w:p>
    <w:p>
      <w:pPr>
        <w:pStyle w:val="852"/>
        <w:ind w:firstLine="0"/>
        <w:jc w:val="center"/>
        <w:spacing w:line="360" w:lineRule="auto"/>
        <w:rPr>
          <w:rFonts w:hint="eastAsia" w:cs="仿宋" w:asciiTheme="minorEastAsia" w:hAnsiTheme="minorEastAsia" w:eastAsiaTheme="minorEastAsia"/>
          <w:b/>
          <w:color w:val="000000" w:themeColor="text1"/>
          <w:sz w:val="24"/>
          <w:szCs w:val="24"/>
        </w:rPr>
      </w:pPr>
      <w:r>
        <w:rPr>
          <w:rFonts w:asciiTheme="minorEastAsia" w:hAnsiTheme="minorEastAsia" w:eastAsiaTheme="minorEastAsia"/>
          <w:b/>
          <w:sz w:val="24"/>
          <w:szCs w:val="24"/>
        </w:rPr>
        <w:t xml:space="preserve">包一：</w:t>
      </w:r>
      <w:r>
        <w:rPr>
          <w:rFonts w:hint="eastAsia" w:cs="仿宋" w:asciiTheme="minorEastAsia" w:hAnsiTheme="minorEastAsia" w:eastAsiaTheme="minorEastAsia"/>
          <w:b/>
          <w:color w:val="000000" w:themeColor="text1"/>
          <w:sz w:val="24"/>
          <w:szCs w:val="24"/>
        </w:rPr>
        <w:t xml:space="preserve"> </w:t>
      </w:r>
      <w:r>
        <w:rPr>
          <w:rFonts w:cs="仿宋" w:asciiTheme="minorEastAsia" w:hAnsiTheme="minorEastAsia" w:eastAsiaTheme="minorEastAsia"/>
          <w:b/>
          <w:color w:val="000000" w:themeColor="text1"/>
          <w:sz w:val="24"/>
          <w:szCs w:val="24"/>
        </w:rPr>
        <w:t xml:space="preserve">肺功能仪和慢病手环</w:t>
      </w:r>
      <w:r>
        <w:rPr>
          <w:rFonts w:hint="eastAsia" w:cs="仿宋" w:asciiTheme="minorEastAsia" w:hAnsiTheme="minorEastAsia" w:eastAsiaTheme="minorEastAsia"/>
          <w:b/>
          <w:color w:val="000000" w:themeColor="text1"/>
          <w:sz w:val="24"/>
          <w:szCs w:val="24"/>
        </w:rPr>
        <w:t xml:space="preserve"> </w:t>
      </w:r>
      <w:r/>
    </w:p>
    <w:tbl>
      <w:tblPr>
        <w:tblW w:w="51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6"/>
        <w:gridCol w:w="1534"/>
        <w:gridCol w:w="6096"/>
      </w:tblGrid>
      <w:tr>
        <w:trPr>
          <w:jc w:val="center"/>
          <w:trHeight w:val="451"/>
        </w:trPr>
        <w:tc>
          <w:tcPr>
            <w:tcW w:w="499"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评审因素</w:t>
            </w:r>
            <w:r/>
          </w:p>
        </w:tc>
        <w:tc>
          <w:tcPr>
            <w:tcW w:w="905"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评分项目</w:t>
            </w:r>
            <w:r/>
          </w:p>
        </w:tc>
        <w:tc>
          <w:tcPr>
            <w:tcW w:w="3596"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评分细则</w:t>
            </w:r>
            <w:r/>
          </w:p>
        </w:tc>
      </w:tr>
      <w:tr>
        <w:trPr>
          <w:jc w:val="center"/>
          <w:trHeight w:val="1212"/>
        </w:trPr>
        <w:tc>
          <w:tcPr>
            <w:tcW w:w="499"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报价部分</w:t>
            </w:r>
            <w:r/>
          </w:p>
        </w:tc>
        <w:tc>
          <w:tcPr>
            <w:tcW w:w="905"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报价</w:t>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（30分）</w:t>
            </w:r>
            <w:r/>
          </w:p>
        </w:tc>
        <w:tc>
          <w:tcPr>
            <w:tcW w:w="3596" w:type="pct"/>
            <w:vAlign w:val="center"/>
            <w:textDirection w:val="lrTb"/>
            <w:noWrap w:val="false"/>
          </w:tcPr>
          <w:p>
            <w:pPr>
              <w:spacing w:line="360" w:lineRule="auto"/>
              <w:rPr>
                <w:rFonts w:hint="eastAsia" w:ascii="宋体" w:hAnsi="宋体" w:eastAsia="宋体" w:cs="宋体"/>
                <w:bCs/>
                <w:sz w:val="24"/>
                <w:szCs w:val="24"/>
              </w:rPr>
            </w:pPr>
            <w:r>
              <w:rPr>
                <w:rFonts w:hint="eastAsia" w:ascii="宋体" w:hAnsi="宋体" w:eastAsia="宋体" w:cs="宋体"/>
                <w:bCs/>
                <w:color w:val="000000" w:themeColor="text1"/>
                <w:sz w:val="24"/>
                <w:szCs w:val="24"/>
              </w:rPr>
              <w:t xml:space="preserve">采用低价优先法计算，即满足招标文件要求且投标价格最低的投标报价为评标基准价，其价格分为满分。其他供应商的价格分统一按照下列公式</w:t>
            </w:r>
            <w:r>
              <w:rPr>
                <w:rFonts w:hint="eastAsia" w:ascii="宋体" w:hAnsi="宋体" w:eastAsia="宋体" w:cs="宋体"/>
                <w:bCs/>
                <w:color w:val="000000" w:themeColor="text1"/>
                <w:sz w:val="24"/>
                <w:szCs w:val="24"/>
              </w:rPr>
              <w:t xml:space="preserve">计算:</w:t>
            </w:r>
            <w:r>
              <w:rPr>
                <w:rFonts w:hint="eastAsia" w:ascii="宋体" w:hAnsi="宋体" w:eastAsia="宋体" w:cs="宋体"/>
                <w:bCs/>
                <w:color w:val="000000" w:themeColor="text1"/>
                <w:sz w:val="24"/>
                <w:szCs w:val="24"/>
              </w:rPr>
              <w:t xml:space="preserve">投标报价得分=</w:t>
            </w:r>
            <w:r>
              <w:rPr>
                <w:rFonts w:hint="eastAsia" w:ascii="宋体" w:hAnsi="宋体" w:eastAsia="宋体" w:cs="宋体"/>
                <w:bCs/>
                <w:color w:val="000000" w:themeColor="text1"/>
                <w:sz w:val="24"/>
                <w:szCs w:val="24"/>
              </w:rPr>
              <w:t xml:space="preserve">(评标基准价/投标报价)</w:t>
            </w:r>
            <w:r>
              <w:rPr>
                <w:rFonts w:hint="eastAsia" w:ascii="宋体" w:hAnsi="宋体" w:eastAsia="宋体" w:cs="宋体"/>
                <w:bCs/>
                <w:color w:val="000000" w:themeColor="text1"/>
                <w:sz w:val="24"/>
                <w:szCs w:val="24"/>
              </w:rPr>
              <w:t xml:space="preserve">×30（小数点保留两位）评标过程中，不得去掉报价中的最高报价和最低报价。</w:t>
            </w:r>
            <w:r/>
          </w:p>
        </w:tc>
      </w:tr>
      <w:tr>
        <w:trPr>
          <w:jc w:val="center"/>
          <w:trHeight w:val="3100"/>
        </w:trPr>
        <w:tc>
          <w:tcPr>
            <w:tcW w:w="499"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技术部分</w:t>
            </w:r>
            <w:r/>
          </w:p>
        </w:tc>
        <w:tc>
          <w:tcPr>
            <w:tcW w:w="905"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技术参数</w:t>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（35分）</w:t>
            </w:r>
            <w:r/>
          </w:p>
        </w:tc>
        <w:tc>
          <w:tcPr>
            <w:tcW w:w="3596"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根据投标人对技术参数的响应情况进行评分。【该项评分以投标人响应情况并核对条款要求进行评分。】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标注“★”号的参数为必须满足项，不满足则视为无效投标</w:t>
            </w:r>
            <w:r>
              <w:rPr>
                <w:rFonts w:hint="eastAsia" w:ascii="宋体" w:hAnsi="宋体" w:eastAsia="宋体" w:cs="宋体"/>
                <w:sz w:val="24"/>
                <w:szCs w:val="24"/>
              </w:rPr>
              <w:t xml:space="preserve">，标注“</w:t>
            </w:r>
            <w:r>
              <w:rPr>
                <w:rFonts w:cs="宋体" w:asciiTheme="minorEastAsia" w:hAnsiTheme="minorEastAsia" w:eastAsiaTheme="minorEastAsia"/>
                <w:bCs/>
                <w:sz w:val="24"/>
                <w:szCs w:val="24"/>
              </w:rPr>
              <w:t xml:space="preserve">▲</w:t>
            </w:r>
            <w:r>
              <w:rPr>
                <w:rFonts w:hint="eastAsia" w:ascii="宋体" w:hAnsi="宋体" w:eastAsia="宋体" w:cs="宋体"/>
                <w:sz w:val="24"/>
                <w:szCs w:val="24"/>
              </w:rPr>
              <w:t xml:space="preserve">”</w:t>
            </w:r>
            <w:r>
              <w:rPr>
                <w:rFonts w:hint="eastAsia" w:cs="宋体" w:asciiTheme="minorEastAsia" w:hAnsiTheme="minorEastAsia" w:eastAsiaTheme="minorEastAsia"/>
                <w:bCs/>
                <w:sz w:val="24"/>
                <w:szCs w:val="24"/>
              </w:rPr>
              <w:t xml:space="preserve">号的为重要参数</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完全响应招标文件要求的，得35分。</w:t>
            </w:r>
            <w:bookmarkStart w:id="45" w:name="OLE_LINK2"/>
            <w:r>
              <w:rPr>
                <w:rFonts w:hint="eastAsia" w:ascii="宋体" w:hAnsi="宋体" w:eastAsia="宋体" w:cs="宋体"/>
                <w:sz w:val="24"/>
                <w:szCs w:val="24"/>
              </w:rPr>
              <w:t xml:space="preserve">每负偏离一项</w:t>
            </w:r>
            <w:r>
              <w:rPr>
                <w:rFonts w:hint="eastAsia" w:ascii="宋体" w:hAnsi="宋体" w:eastAsia="宋体" w:cs="宋体"/>
                <w:sz w:val="24"/>
                <w:szCs w:val="24"/>
              </w:rPr>
              <w:t xml:space="preserve">标注“</w:t>
            </w:r>
            <w:r>
              <w:rPr>
                <w:rFonts w:cs="宋体" w:asciiTheme="minorEastAsia" w:hAnsiTheme="minorEastAsia" w:eastAsiaTheme="minorEastAsia"/>
                <w:bCs/>
                <w:sz w:val="24"/>
                <w:szCs w:val="24"/>
              </w:rPr>
              <w:t xml:space="preserve">▲</w:t>
            </w:r>
            <w:r>
              <w:rPr>
                <w:rFonts w:hint="eastAsia" w:ascii="宋体" w:hAnsi="宋体" w:eastAsia="宋体" w:cs="宋体"/>
                <w:sz w:val="24"/>
                <w:szCs w:val="24"/>
              </w:rPr>
              <w:t xml:space="preserve">”</w:t>
            </w:r>
            <w:r>
              <w:rPr>
                <w:rFonts w:hint="eastAsia" w:cs="宋体" w:asciiTheme="minorEastAsia" w:hAnsiTheme="minorEastAsia" w:eastAsiaTheme="minorEastAsia"/>
                <w:bCs/>
                <w:sz w:val="24"/>
                <w:szCs w:val="24"/>
              </w:rPr>
              <w:t xml:space="preserve">号的</w:t>
            </w:r>
            <w:r>
              <w:rPr>
                <w:rFonts w:hint="eastAsia" w:ascii="宋体" w:hAnsi="宋体" w:eastAsia="宋体" w:cs="宋体"/>
                <w:sz w:val="24"/>
                <w:szCs w:val="24"/>
              </w:rPr>
              <w:t xml:space="preserve">扣</w:t>
            </w:r>
            <w:r>
              <w:rPr>
                <w:rFonts w:hint="eastAsia" w:ascii="宋体" w:hAnsi="宋体" w:eastAsia="宋体" w:cs="宋体"/>
                <w:sz w:val="24"/>
                <w:szCs w:val="24"/>
              </w:rPr>
              <w:t xml:space="preserve">5</w:t>
            </w:r>
            <w:r>
              <w:rPr>
                <w:rFonts w:hint="eastAsia" w:ascii="宋体" w:hAnsi="宋体" w:eastAsia="宋体" w:cs="宋体"/>
                <w:sz w:val="24"/>
                <w:szCs w:val="24"/>
              </w:rPr>
              <w:t xml:space="preserve">分</w:t>
            </w:r>
            <w:bookmarkEnd w:id="45"/>
            <w:r>
              <w:rPr>
                <w:rFonts w:hint="eastAsia" w:ascii="宋体" w:hAnsi="宋体" w:eastAsia="宋体" w:cs="宋体"/>
                <w:sz w:val="24"/>
                <w:szCs w:val="24"/>
              </w:rPr>
              <w:t xml:space="preserve">，</w:t>
            </w:r>
            <w:r>
              <w:rPr>
                <w:rFonts w:hint="eastAsia" w:ascii="宋体" w:hAnsi="宋体" w:eastAsia="宋体" w:cs="宋体"/>
                <w:sz w:val="24"/>
                <w:szCs w:val="24"/>
              </w:rPr>
              <w:t xml:space="preserve">每负偏离一项非标注“</w:t>
            </w:r>
            <w:r>
              <w:rPr>
                <w:rFonts w:cs="宋体" w:asciiTheme="minorEastAsia" w:hAnsiTheme="minorEastAsia" w:eastAsiaTheme="minorEastAsia"/>
                <w:bCs/>
                <w:sz w:val="24"/>
                <w:szCs w:val="24"/>
              </w:rPr>
              <w:t xml:space="preserve">▲</w:t>
            </w:r>
            <w:r>
              <w:rPr>
                <w:rFonts w:hint="eastAsia" w:ascii="宋体" w:hAnsi="宋体" w:eastAsia="宋体" w:cs="宋体"/>
                <w:sz w:val="24"/>
                <w:szCs w:val="24"/>
              </w:rPr>
              <w:t xml:space="preserve">”</w:t>
            </w:r>
            <w:r>
              <w:rPr>
                <w:rFonts w:hint="eastAsia" w:cs="宋体" w:asciiTheme="minorEastAsia" w:hAnsiTheme="minorEastAsia" w:eastAsiaTheme="minorEastAsia"/>
                <w:bCs/>
                <w:sz w:val="24"/>
                <w:szCs w:val="24"/>
              </w:rPr>
              <w:t xml:space="preserve">号的</w:t>
            </w:r>
            <w:r>
              <w:rPr>
                <w:rFonts w:hint="eastAsia" w:ascii="宋体" w:hAnsi="宋体" w:eastAsia="宋体" w:cs="宋体"/>
                <w:sz w:val="24"/>
                <w:szCs w:val="24"/>
              </w:rPr>
              <w:t xml:space="preserve">扣2分，扣完为止</w:t>
            </w:r>
            <w:r>
              <w:rPr>
                <w:rFonts w:hint="eastAsia" w:ascii="宋体" w:hAnsi="宋体" w:eastAsia="宋体" w:cs="宋体"/>
                <w:sz w:val="24"/>
                <w:szCs w:val="24"/>
              </w:rPr>
              <w:t xml:space="preserve">。</w:t>
            </w:r>
            <w:r/>
          </w:p>
          <w:p>
            <w:pPr>
              <w:spacing w:line="360" w:lineRule="auto"/>
              <w:rPr>
                <w:rFonts w:hint="eastAsia" w:ascii="宋体" w:hAnsi="宋体" w:eastAsia="宋体" w:cs="宋体"/>
                <w:bCs/>
                <w:sz w:val="24"/>
                <w:szCs w:val="24"/>
              </w:rPr>
            </w:pPr>
            <w:r>
              <w:rPr>
                <w:rFonts w:hint="eastAsia" w:ascii="宋体" w:hAnsi="宋体" w:eastAsia="宋体" w:cs="宋体"/>
                <w:b/>
                <w:bCs/>
                <w:sz w:val="24"/>
                <w:szCs w:val="24"/>
              </w:rPr>
              <w:t xml:space="preserve">注：</w:t>
            </w:r>
            <w:r>
              <w:rPr>
                <w:rFonts w:hint="eastAsia" w:ascii="宋体" w:hAnsi="宋体" w:eastAsia="宋体" w:cs="宋体"/>
                <w:b/>
                <w:bCs/>
                <w:sz w:val="24"/>
                <w:szCs w:val="24"/>
                <w:lang w:bidi="ar"/>
              </w:rPr>
              <w:t xml:space="preserve">投标人须在响应偏离表中逐条列出偏离情况并按招标文件要求逐条提供相应的证明材料，未根据要求提供相关证明材料视为负偏离。</w:t>
            </w:r>
            <w:r/>
          </w:p>
        </w:tc>
      </w:tr>
      <w:tr>
        <w:trPr>
          <w:jc w:val="center"/>
          <w:trHeight w:val="633"/>
        </w:trPr>
        <w:tc>
          <w:tcPr>
            <w:tcW w:w="499" w:type="pct"/>
            <w:vAlign w:val="center"/>
            <w:vMerge w:val="restart"/>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商务部分</w:t>
            </w:r>
            <w:r/>
          </w:p>
        </w:tc>
        <w:tc>
          <w:tcPr>
            <w:tcW w:w="905"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设计方案</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8</w:t>
            </w:r>
            <w:r>
              <w:rPr>
                <w:rFonts w:hint="eastAsia" w:ascii="宋体" w:hAnsi="宋体" w:eastAsia="宋体" w:cs="宋体"/>
                <w:bCs/>
                <w:sz w:val="24"/>
                <w:szCs w:val="24"/>
              </w:rPr>
              <w:t xml:space="preserve">分）</w:t>
            </w:r>
            <w:r/>
          </w:p>
        </w:tc>
        <w:tc>
          <w:tcPr>
            <w:tcW w:w="3596"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根据投标人针对本项目设计方案，包括但不限于：所投设备性能和配置符合情况，实施操作性，与其他同类系统对接的扩展性，方案思路合理性、可操作性、实用性进行评分。</w:t>
            </w:r>
            <w:r/>
          </w:p>
          <w:p>
            <w:pPr>
              <w:spacing w:line="360" w:lineRule="auto"/>
              <w:rPr>
                <w:rFonts w:hint="eastAsia" w:ascii="宋体" w:hAnsi="宋体" w:eastAsia="宋体" w:cs="宋体"/>
                <w:sz w:val="24"/>
                <w:szCs w:val="24"/>
                <w:lang w:val="zh-CN" w:bidi="ar"/>
              </w:rPr>
            </w:pPr>
            <w:r>
              <w:rPr>
                <w:rFonts w:hint="eastAsia" w:ascii="宋体" w:hAnsi="宋体" w:eastAsia="宋体" w:cs="宋体"/>
                <w:bCs/>
                <w:sz w:val="24"/>
                <w:szCs w:val="24"/>
              </w:rPr>
              <w:t xml:space="preserve">方案详细、完善，处理办法合理、可行</w:t>
            </w:r>
            <w:r>
              <w:rPr>
                <w:rFonts w:hint="eastAsia" w:ascii="宋体" w:hAnsi="宋体" w:eastAsia="宋体" w:cs="宋体"/>
                <w:sz w:val="24"/>
                <w:szCs w:val="24"/>
                <w:lang w:val="zh-CN" w:bidi="ar"/>
              </w:rPr>
              <w:t xml:space="preserve">并优于需求的得</w:t>
            </w:r>
            <w:r>
              <w:rPr>
                <w:rFonts w:hint="eastAsia" w:ascii="宋体" w:hAnsi="宋体" w:eastAsia="宋体" w:cs="宋体"/>
                <w:sz w:val="24"/>
                <w:szCs w:val="24"/>
                <w:lang w:val="zh-CN" w:bidi="ar"/>
              </w:rPr>
              <w:t xml:space="preserve">8</w:t>
            </w:r>
            <w:r>
              <w:rPr>
                <w:rFonts w:hint="eastAsia" w:ascii="宋体" w:hAnsi="宋体" w:eastAsia="宋体" w:cs="宋体"/>
                <w:sz w:val="24"/>
                <w:szCs w:val="24"/>
                <w:lang w:val="zh-CN" w:bidi="ar"/>
              </w:rPr>
              <w:t xml:space="preserve">分。</w:t>
            </w:r>
            <w:r/>
          </w:p>
          <w:p>
            <w:pPr>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方案较详细，处理办法较合理、可行的，得</w:t>
            </w:r>
            <w:r>
              <w:rPr>
                <w:rFonts w:hint="eastAsia" w:ascii="宋体" w:hAnsi="宋体" w:eastAsia="宋体" w:cs="宋体"/>
                <w:bCs/>
                <w:sz w:val="24"/>
                <w:szCs w:val="24"/>
              </w:rPr>
              <w:t xml:space="preserve">5</w:t>
            </w:r>
            <w:r>
              <w:rPr>
                <w:rFonts w:hint="eastAsia" w:ascii="宋体" w:hAnsi="宋体" w:eastAsia="宋体" w:cs="宋体"/>
                <w:bCs/>
                <w:sz w:val="24"/>
                <w:szCs w:val="24"/>
              </w:rPr>
              <w:t xml:space="preserve">分</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方案一般，合理性和可行一般的，得2分</w:t>
            </w:r>
            <w:r>
              <w:rPr>
                <w:rFonts w:hint="eastAsia" w:ascii="宋体" w:hAnsi="宋体" w:eastAsia="宋体" w:cs="宋体"/>
                <w:sz w:val="24"/>
                <w:szCs w:val="24"/>
              </w:rPr>
              <w:t xml:space="preserve">。</w:t>
            </w:r>
            <w:r/>
          </w:p>
          <w:p>
            <w:pPr>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未提供不得分。</w:t>
            </w:r>
            <w:r/>
          </w:p>
        </w:tc>
      </w:tr>
      <w:tr>
        <w:trPr>
          <w:jc w:val="center"/>
          <w:trHeight w:val="2217"/>
        </w:trPr>
        <w:tc>
          <w:tcPr>
            <w:tcW w:w="499" w:type="pct"/>
            <w:vAlign w:val="center"/>
            <w:vMerge w:val="continue"/>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905"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运行维护保障服务方案</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8</w:t>
            </w:r>
            <w:r>
              <w:rPr>
                <w:rFonts w:hint="eastAsia" w:ascii="宋体" w:hAnsi="宋体" w:eastAsia="宋体" w:cs="宋体"/>
                <w:bCs/>
                <w:sz w:val="24"/>
                <w:szCs w:val="24"/>
              </w:rPr>
              <w:t xml:space="preserve">分）</w:t>
            </w:r>
            <w:r/>
          </w:p>
        </w:tc>
        <w:tc>
          <w:tcPr>
            <w:tcW w:w="3596"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根据</w:t>
            </w:r>
            <w:r>
              <w:rPr>
                <w:rFonts w:hint="eastAsia" w:ascii="宋体" w:hAnsi="宋体" w:eastAsia="宋体" w:cs="宋体"/>
                <w:sz w:val="24"/>
                <w:szCs w:val="24"/>
              </w:rPr>
              <w:t xml:space="preserve">投标人提供的运行维护保障服务方案是否符合项目要求，对日常维护、应急处理等部分制定是否有详细的方案</w:t>
            </w:r>
            <w:r>
              <w:rPr>
                <w:rFonts w:hint="eastAsia" w:ascii="宋体" w:hAnsi="宋体" w:eastAsia="宋体" w:cs="宋体"/>
                <w:bCs/>
                <w:sz w:val="24"/>
                <w:szCs w:val="24"/>
              </w:rPr>
              <w:t xml:space="preserve">进行评分。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方案详细、完善，处理办法合理、可行并优于需求的得</w:t>
            </w:r>
            <w:r>
              <w:rPr>
                <w:rFonts w:hint="eastAsia" w:ascii="宋体" w:hAnsi="宋体" w:eastAsia="宋体" w:cs="宋体"/>
                <w:sz w:val="24"/>
                <w:szCs w:val="24"/>
              </w:rPr>
              <w:t xml:space="preserve">8</w:t>
            </w:r>
            <w:r>
              <w:rPr>
                <w:rFonts w:hint="eastAsia" w:ascii="宋体" w:hAnsi="宋体" w:eastAsia="宋体" w:cs="宋体"/>
                <w:sz w:val="24"/>
                <w:szCs w:val="24"/>
              </w:rPr>
              <w:t xml:space="preserve">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方案较详细，处理办法尚可，得</w:t>
            </w:r>
            <w:r>
              <w:rPr>
                <w:rFonts w:hint="eastAsia" w:ascii="宋体" w:hAnsi="宋体" w:eastAsia="宋体" w:cs="宋体"/>
                <w:sz w:val="24"/>
                <w:szCs w:val="24"/>
              </w:rPr>
              <w:t xml:space="preserve">5</w:t>
            </w:r>
            <w:r>
              <w:rPr>
                <w:rFonts w:hint="eastAsia" w:ascii="宋体" w:hAnsi="宋体" w:eastAsia="宋体" w:cs="宋体"/>
                <w:sz w:val="24"/>
                <w:szCs w:val="24"/>
              </w:rPr>
              <w:t xml:space="preserve">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方案一般，合理性和可行一般的，得2分。</w:t>
            </w:r>
            <w:r/>
          </w:p>
          <w:p>
            <w:pPr>
              <w:pStyle w:val="822"/>
              <w:rPr>
                <w:rFonts w:eastAsia="宋体"/>
              </w:rPr>
            </w:pPr>
            <w:r>
              <w:rPr>
                <w:rFonts w:hint="eastAsia" w:ascii="宋体" w:hAnsi="宋体" w:eastAsia="宋体" w:cs="宋体"/>
                <w:sz w:val="24"/>
                <w:szCs w:val="24"/>
              </w:rPr>
              <w:t xml:space="preserve">未提供不得分。</w:t>
            </w:r>
            <w:r/>
          </w:p>
        </w:tc>
      </w:tr>
      <w:tr>
        <w:trPr>
          <w:jc w:val="center"/>
          <w:trHeight w:val="2217"/>
        </w:trPr>
        <w:tc>
          <w:tcPr>
            <w:tcW w:w="499" w:type="pct"/>
            <w:vAlign w:val="center"/>
            <w:vMerge w:val="continue"/>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905" w:type="pct"/>
            <w:vAlign w:val="center"/>
            <w:textDirection w:val="lrTb"/>
            <w:noWrap w:val="false"/>
          </w:tcPr>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服务保障能力（6分）</w:t>
            </w:r>
            <w:r/>
          </w:p>
        </w:tc>
        <w:tc>
          <w:tcPr>
            <w:tcW w:w="3596" w:type="pct"/>
            <w:textDirection w:val="lrTb"/>
            <w:noWrap w:val="false"/>
          </w:tcPr>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投标人需提供所投设备制造商的以下资质、认证证书复印件：</w:t>
            </w:r>
            <w:r/>
          </w:p>
          <w:p>
            <w:pPr>
              <w:pStyle w:val="822"/>
              <w:numPr>
                <w:ilvl w:val="0"/>
                <w:numId w:val="8"/>
              </w:numPr>
              <w:rPr>
                <w:rFonts w:hint="eastAsia" w:ascii="宋体" w:hAnsi="宋体" w:eastAsia="宋体"/>
                <w:sz w:val="24"/>
                <w:szCs w:val="24"/>
                <w:lang w:val="zh-CN"/>
              </w:rPr>
            </w:pPr>
            <w:r>
              <w:rPr>
                <w:rFonts w:hint="eastAsia" w:ascii="宋体" w:hAnsi="宋体" w:eastAsia="宋体"/>
                <w:sz w:val="24"/>
                <w:szCs w:val="24"/>
                <w:lang w:val="zh-CN"/>
              </w:rPr>
              <w:t xml:space="preserve">具有环境管理体系认证证书，得2分。</w:t>
            </w:r>
            <w:r/>
          </w:p>
          <w:p>
            <w:pPr>
              <w:pStyle w:val="869"/>
              <w:numPr>
                <w:ilvl w:val="0"/>
                <w:numId w:val="8"/>
              </w:numPr>
              <w:rPr>
                <w:rFonts w:hint="eastAsia" w:ascii="宋体" w:hAnsi="宋体" w:eastAsia="宋体"/>
                <w:sz w:val="24"/>
                <w:szCs w:val="24"/>
                <w:lang w:val="zh-CN"/>
              </w:rPr>
            </w:pPr>
            <w:r>
              <w:rPr>
                <w:rFonts w:hint="eastAsia" w:ascii="宋体" w:hAnsi="宋体" w:eastAsia="宋体"/>
                <w:sz w:val="24"/>
                <w:szCs w:val="24"/>
                <w:lang w:val="zh-CN"/>
              </w:rPr>
              <w:t xml:space="preserve">具有质量管理体系认证证书，得2分。</w:t>
            </w:r>
            <w:r/>
          </w:p>
          <w:p>
            <w:pPr>
              <w:pStyle w:val="869"/>
              <w:numPr>
                <w:ilvl w:val="0"/>
                <w:numId w:val="8"/>
              </w:numPr>
              <w:rPr>
                <w:rFonts w:hint="eastAsia" w:ascii="宋体" w:hAnsi="宋体" w:eastAsia="宋体"/>
                <w:sz w:val="24"/>
                <w:szCs w:val="24"/>
                <w:lang w:val="zh-CN"/>
              </w:rPr>
            </w:pPr>
            <w:r>
              <w:rPr>
                <w:rFonts w:hint="eastAsia" w:ascii="宋体" w:hAnsi="宋体" w:eastAsia="宋体"/>
                <w:sz w:val="24"/>
                <w:szCs w:val="24"/>
                <w:lang w:val="zh-CN"/>
              </w:rPr>
              <w:t xml:space="preserve">具有计算机软件著作</w:t>
            </w:r>
            <w:r>
              <w:rPr>
                <w:rFonts w:hint="eastAsia" w:ascii="宋体" w:hAnsi="宋体" w:eastAsia="宋体"/>
                <w:sz w:val="24"/>
                <w:szCs w:val="24"/>
                <w:lang w:val="zh-CN"/>
              </w:rPr>
              <w:t xml:space="preserve">权登记证书，得2分。</w:t>
            </w:r>
            <w:r/>
          </w:p>
          <w:p>
            <w:pPr>
              <w:rPr>
                <w:lang w:val="zh-CN"/>
              </w:rPr>
            </w:pPr>
            <w:r>
              <w:rPr>
                <w:rFonts w:hint="eastAsia" w:ascii="宋体" w:hAnsi="宋体" w:eastAsia="宋体"/>
                <w:sz w:val="24"/>
                <w:szCs w:val="24"/>
                <w:lang w:val="zh-CN"/>
              </w:rPr>
              <w:t xml:space="preserve">需提供有效的证书复印件并加盖公章，未提供把得分。</w:t>
            </w:r>
            <w:r/>
          </w:p>
        </w:tc>
      </w:tr>
      <w:tr>
        <w:trPr>
          <w:jc w:val="center"/>
          <w:trHeight w:val="2217"/>
        </w:trPr>
        <w:tc>
          <w:tcPr>
            <w:tcW w:w="499" w:type="pct"/>
            <w:vAlign w:val="center"/>
            <w:vMerge w:val="continue"/>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905"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sz w:val="24"/>
                <w:szCs w:val="24"/>
                <w:lang w:val="zh-CN"/>
              </w:rPr>
              <w:t xml:space="preserve">培训方案</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8</w:t>
            </w:r>
            <w:r>
              <w:rPr>
                <w:rFonts w:hint="eastAsia" w:ascii="宋体" w:hAnsi="宋体" w:eastAsia="宋体" w:cs="宋体"/>
                <w:bCs/>
                <w:sz w:val="24"/>
                <w:szCs w:val="24"/>
              </w:rPr>
              <w:t xml:space="preserve">分）</w:t>
            </w:r>
            <w:r/>
          </w:p>
        </w:tc>
        <w:tc>
          <w:tcPr>
            <w:tcW w:w="3596" w:type="pct"/>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为了保证项目顺利完成，投标人须</w:t>
            </w:r>
            <w:r>
              <w:rPr>
                <w:rFonts w:hint="eastAsia" w:ascii="宋体" w:hAnsi="宋体" w:eastAsia="宋体" w:cs="宋体"/>
                <w:sz w:val="24"/>
                <w:szCs w:val="24"/>
              </w:rPr>
              <w:t xml:space="preserve">提供</w:t>
            </w:r>
            <w:r>
              <w:rPr>
                <w:rFonts w:hint="eastAsia" w:ascii="宋体" w:hAnsi="宋体" w:eastAsia="宋体" w:cs="宋体"/>
                <w:sz w:val="24"/>
                <w:szCs w:val="24"/>
                <w:lang w:val="zh-CN"/>
              </w:rPr>
              <w:t xml:space="preserve">一套完整的培训</w:t>
            </w:r>
            <w:r>
              <w:rPr>
                <w:rFonts w:hint="eastAsia" w:ascii="宋体" w:hAnsi="宋体" w:eastAsia="宋体" w:cs="宋体"/>
                <w:sz w:val="24"/>
                <w:szCs w:val="24"/>
              </w:rPr>
              <w:t xml:space="preserve">服务方案</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包括但不限于</w:t>
            </w:r>
            <w:r>
              <w:rPr>
                <w:rFonts w:ascii="宋体" w:hAnsi="宋体" w:eastAsia="宋体" w:cs="宋体"/>
                <w:sz w:val="24"/>
                <w:szCs w:val="24"/>
                <w:lang w:bidi="ar"/>
              </w:rPr>
              <w:t xml:space="preserve">培训计划、培训方式</w:t>
            </w:r>
            <w:r>
              <w:rPr>
                <w:rFonts w:hint="eastAsia" w:ascii="宋体" w:hAnsi="宋体" w:eastAsia="宋体" w:cs="宋体"/>
                <w:sz w:val="24"/>
                <w:szCs w:val="24"/>
                <w:lang w:bidi="ar"/>
              </w:rPr>
              <w:t xml:space="preserve">等。</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方案详细、完善，处理办法合理、可行</w:t>
            </w:r>
            <w:r>
              <w:rPr>
                <w:rFonts w:hint="eastAsia" w:ascii="宋体" w:hAnsi="宋体" w:eastAsia="宋体" w:cs="宋体"/>
                <w:sz w:val="24"/>
                <w:szCs w:val="24"/>
                <w:lang w:val="zh-CN" w:bidi="ar"/>
              </w:rPr>
              <w:t xml:space="preserve">并优于需求</w:t>
            </w:r>
            <w:r>
              <w:rPr>
                <w:rFonts w:hint="eastAsia" w:ascii="宋体" w:hAnsi="宋体" w:eastAsia="宋体" w:cs="宋体"/>
                <w:sz w:val="24"/>
                <w:szCs w:val="24"/>
              </w:rPr>
              <w:t xml:space="preserve">的，得</w:t>
            </w:r>
            <w:r>
              <w:rPr>
                <w:rFonts w:hint="eastAsia" w:ascii="宋体" w:hAnsi="宋体" w:eastAsia="宋体" w:cs="宋体"/>
                <w:sz w:val="24"/>
                <w:szCs w:val="24"/>
              </w:rPr>
              <w:t xml:space="preserve">8</w:t>
            </w:r>
            <w:r>
              <w:rPr>
                <w:rFonts w:hint="eastAsia" w:ascii="宋体" w:hAnsi="宋体" w:eastAsia="宋体" w:cs="宋体"/>
                <w:sz w:val="24"/>
                <w:szCs w:val="24"/>
              </w:rPr>
              <w:t xml:space="preserve">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方案较详细，处理办法尚可，得</w:t>
            </w:r>
            <w:r>
              <w:rPr>
                <w:rFonts w:hint="eastAsia" w:ascii="宋体" w:hAnsi="宋体" w:eastAsia="宋体" w:cs="宋体"/>
                <w:sz w:val="24"/>
                <w:szCs w:val="24"/>
              </w:rPr>
              <w:t xml:space="preserve">5</w:t>
            </w:r>
            <w:r>
              <w:rPr>
                <w:rFonts w:hint="eastAsia" w:ascii="宋体" w:hAnsi="宋体" w:eastAsia="宋体" w:cs="宋体"/>
                <w:sz w:val="24"/>
                <w:szCs w:val="24"/>
              </w:rPr>
              <w:t xml:space="preserve">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方案一般，合理性和可行一般的，得2分。</w:t>
            </w:r>
            <w:r/>
          </w:p>
          <w:p>
            <w:pPr>
              <w:pStyle w:val="822"/>
              <w:rPr>
                <w:rFonts w:eastAsia="宋体"/>
              </w:rPr>
            </w:pPr>
            <w:r>
              <w:rPr>
                <w:rFonts w:hint="eastAsia" w:ascii="宋体" w:hAnsi="宋体" w:eastAsia="宋体" w:cs="宋体"/>
                <w:sz w:val="24"/>
                <w:szCs w:val="24"/>
              </w:rPr>
              <w:t xml:space="preserve">未提供不得分</w:t>
            </w:r>
            <w:r/>
          </w:p>
        </w:tc>
      </w:tr>
      <w:tr>
        <w:trPr>
          <w:jc w:val="center"/>
          <w:trHeight w:val="2226"/>
        </w:trPr>
        <w:tc>
          <w:tcPr>
            <w:tcW w:w="499" w:type="pct"/>
            <w:vAlign w:val="center"/>
            <w:vMerge w:val="continue"/>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905"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color w:val="000000"/>
                <w:spacing w:val="-2"/>
                <w:sz w:val="24"/>
                <w:szCs w:val="24"/>
              </w:rPr>
              <w:t xml:space="preserve">售后服务</w:t>
            </w:r>
            <w:r>
              <w:rPr>
                <w:rFonts w:hint="eastAsia" w:ascii="宋体" w:hAnsi="宋体" w:eastAsia="宋体" w:cs="宋体"/>
                <w:bCs/>
                <w:sz w:val="24"/>
                <w:szCs w:val="24"/>
              </w:rPr>
              <w:t xml:space="preserve">（5分）</w:t>
            </w:r>
            <w:r/>
          </w:p>
        </w:tc>
        <w:tc>
          <w:tcPr>
            <w:tcW w:w="3596" w:type="pct"/>
            <w:vAlign w:val="center"/>
            <w:textDirection w:val="lrTb"/>
            <w:noWrap w:val="false"/>
          </w:tcPr>
          <w:p>
            <w:pPr>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根据</w:t>
            </w:r>
            <w:r>
              <w:rPr>
                <w:rFonts w:hint="eastAsia" w:ascii="宋体" w:hAnsi="宋体" w:eastAsia="宋体" w:cs="宋体"/>
                <w:sz w:val="24"/>
                <w:szCs w:val="24"/>
                <w:lang w:val="zh-CN"/>
              </w:rPr>
              <w:t xml:space="preserve">投标人</w:t>
            </w:r>
            <w:r>
              <w:rPr>
                <w:rFonts w:hint="eastAsia" w:ascii="宋体" w:hAnsi="宋体" w:eastAsia="宋体" w:cs="宋体"/>
                <w:color w:val="000000"/>
                <w:spacing w:val="-2"/>
                <w:sz w:val="24"/>
                <w:szCs w:val="24"/>
              </w:rPr>
              <w:t xml:space="preserve">提供的售后服务方案（包括但不限于质量保证期限及范围、售后维护、服务响应时间等内容）的优劣打分：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方案详细、完善，处理办法合理、可行</w:t>
            </w:r>
            <w:r>
              <w:rPr>
                <w:rFonts w:hint="eastAsia" w:ascii="宋体" w:hAnsi="宋体" w:eastAsia="宋体" w:cs="宋体"/>
                <w:sz w:val="24"/>
                <w:szCs w:val="24"/>
                <w:lang w:val="zh-CN" w:bidi="ar"/>
              </w:rPr>
              <w:t xml:space="preserve">并优于需求</w:t>
            </w:r>
            <w:r>
              <w:rPr>
                <w:rFonts w:hint="eastAsia" w:ascii="宋体" w:hAnsi="宋体" w:eastAsia="宋体" w:cs="宋体"/>
                <w:sz w:val="24"/>
                <w:szCs w:val="24"/>
              </w:rPr>
              <w:t xml:space="preserve">的，得5分。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方案较详细，处理办法尚可，得3分。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方案一般，合理性和可行一般的，得</w:t>
            </w:r>
            <w:r>
              <w:rPr>
                <w:rFonts w:hint="eastAsia" w:ascii="宋体" w:hAnsi="宋体" w:eastAsia="宋体" w:cs="宋体"/>
                <w:sz w:val="24"/>
                <w:szCs w:val="24"/>
              </w:rPr>
              <w:t xml:space="preserve">1</w:t>
            </w:r>
            <w:r>
              <w:rPr>
                <w:rFonts w:hint="eastAsia" w:ascii="宋体" w:hAnsi="宋体" w:eastAsia="宋体" w:cs="宋体"/>
                <w:sz w:val="24"/>
                <w:szCs w:val="24"/>
              </w:rPr>
              <w:t xml:space="preserve">分。</w:t>
            </w:r>
            <w:r/>
          </w:p>
          <w:p>
            <w:pPr>
              <w:pStyle w:val="822"/>
              <w:rPr>
                <w:rFonts w:eastAsia="宋体"/>
              </w:rPr>
            </w:pPr>
            <w:r>
              <w:rPr>
                <w:rFonts w:hint="eastAsia" w:ascii="宋体" w:hAnsi="宋体" w:eastAsia="宋体" w:cs="宋体"/>
                <w:sz w:val="24"/>
                <w:szCs w:val="24"/>
              </w:rPr>
              <w:t xml:space="preserve">未提供不得分。</w:t>
            </w:r>
            <w:r/>
          </w:p>
        </w:tc>
      </w:tr>
    </w:tbl>
    <w:p>
      <w:pPr>
        <w:pStyle w:val="852"/>
        <w:ind w:firstLine="0"/>
        <w:jc w:val="cente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br w:type="page" w:clear="all"/>
      </w:r>
      <w:r/>
    </w:p>
    <w:p>
      <w:pPr>
        <w:pStyle w:val="852"/>
        <w:ind w:firstLine="0"/>
        <w:jc w:val="cente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包二：</w:t>
      </w:r>
      <w:r>
        <w:rPr>
          <w:rFonts w:hint="eastAsia" w:cs="仿宋" w:asciiTheme="minorEastAsia" w:hAnsiTheme="minorEastAsia" w:eastAsiaTheme="minorEastAsia"/>
          <w:b/>
          <w:color w:val="000000" w:themeColor="text1"/>
          <w:sz w:val="24"/>
          <w:szCs w:val="24"/>
        </w:rPr>
        <w:t xml:space="preserve"> </w:t>
      </w:r>
      <w:r>
        <w:rPr>
          <w:rFonts w:asciiTheme="minorEastAsia" w:hAnsiTheme="minorEastAsia" w:eastAsiaTheme="minorEastAsia"/>
          <w:b/>
          <w:sz w:val="24"/>
          <w:szCs w:val="24"/>
        </w:rPr>
        <w:t xml:space="preserve">远程心电设备</w:t>
      </w:r>
      <w:r/>
    </w:p>
    <w:tbl>
      <w:tblPr>
        <w:tblW w:w="51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3"/>
        <w:gridCol w:w="1677"/>
        <w:gridCol w:w="6096"/>
      </w:tblGrid>
      <w:tr>
        <w:trPr>
          <w:jc w:val="center"/>
          <w:trHeight w:val="451"/>
        </w:trPr>
        <w:tc>
          <w:tcPr>
            <w:tcW w:w="415"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评审因素</w:t>
            </w:r>
            <w:r/>
          </w:p>
        </w:tc>
        <w:tc>
          <w:tcPr>
            <w:tcW w:w="989"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评分项目</w:t>
            </w:r>
            <w:r/>
          </w:p>
        </w:tc>
        <w:tc>
          <w:tcPr>
            <w:tcW w:w="3596" w:type="pct"/>
            <w:vAlign w:val="center"/>
            <w:textDirection w:val="lrTb"/>
            <w:noWrap w:val="false"/>
          </w:tcPr>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评分细则</w:t>
            </w:r>
            <w:r/>
          </w:p>
        </w:tc>
      </w:tr>
      <w:tr>
        <w:trPr>
          <w:jc w:val="center"/>
          <w:trHeight w:val="1212"/>
        </w:trPr>
        <w:tc>
          <w:tcPr>
            <w:tcW w:w="415"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报价部分</w:t>
            </w:r>
            <w:r/>
          </w:p>
        </w:tc>
        <w:tc>
          <w:tcPr>
            <w:tcW w:w="989"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报价</w:t>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（30分）</w:t>
            </w:r>
            <w:r/>
          </w:p>
        </w:tc>
        <w:tc>
          <w:tcPr>
            <w:tcW w:w="3596" w:type="pct"/>
            <w:vAlign w:val="center"/>
            <w:textDirection w:val="lrTb"/>
            <w:noWrap w:val="false"/>
          </w:tcPr>
          <w:p>
            <w:pPr>
              <w:spacing w:line="360" w:lineRule="auto"/>
              <w:rPr>
                <w:rFonts w:hint="eastAsia" w:ascii="宋体" w:hAnsi="宋体" w:eastAsia="宋体" w:cs="宋体"/>
                <w:bCs/>
                <w:sz w:val="24"/>
                <w:szCs w:val="24"/>
              </w:rPr>
            </w:pPr>
            <w:r>
              <w:rPr>
                <w:rFonts w:hint="eastAsia" w:ascii="宋体" w:hAnsi="宋体" w:eastAsia="宋体" w:cs="宋体"/>
                <w:bCs/>
                <w:color w:val="000000" w:themeColor="text1"/>
                <w:sz w:val="24"/>
                <w:szCs w:val="24"/>
              </w:rPr>
              <w:t xml:space="preserve">采用低价优先法计算，即满足招标文件要求且投标价格最低的投标报价为评标基准价，其价格分为满分。其他供应商的价格分统一按照下列公式</w:t>
            </w:r>
            <w:r>
              <w:rPr>
                <w:rFonts w:hint="eastAsia" w:ascii="宋体" w:hAnsi="宋体" w:eastAsia="宋体" w:cs="宋体"/>
                <w:bCs/>
                <w:color w:val="000000" w:themeColor="text1"/>
                <w:sz w:val="24"/>
                <w:szCs w:val="24"/>
              </w:rPr>
              <w:t xml:space="preserve">计算:</w:t>
            </w:r>
            <w:r>
              <w:rPr>
                <w:rFonts w:hint="eastAsia" w:ascii="宋体" w:hAnsi="宋体" w:eastAsia="宋体" w:cs="宋体"/>
                <w:bCs/>
                <w:color w:val="000000" w:themeColor="text1"/>
                <w:sz w:val="24"/>
                <w:szCs w:val="24"/>
              </w:rPr>
              <w:t xml:space="preserve">投标报价得分=</w:t>
            </w:r>
            <w:r>
              <w:rPr>
                <w:rFonts w:hint="eastAsia" w:ascii="宋体" w:hAnsi="宋体" w:eastAsia="宋体" w:cs="宋体"/>
                <w:bCs/>
                <w:color w:val="000000" w:themeColor="text1"/>
                <w:sz w:val="24"/>
                <w:szCs w:val="24"/>
              </w:rPr>
              <w:t xml:space="preserve">(评标基准价/投标报价)</w:t>
            </w:r>
            <w:r>
              <w:rPr>
                <w:rFonts w:hint="eastAsia" w:ascii="宋体" w:hAnsi="宋体" w:eastAsia="宋体" w:cs="宋体"/>
                <w:bCs/>
                <w:color w:val="000000" w:themeColor="text1"/>
                <w:sz w:val="24"/>
                <w:szCs w:val="24"/>
              </w:rPr>
              <w:t xml:space="preserve">×30（小数点保留两位）评标过程中，不得去掉报价中的最高报价和最低报价。</w:t>
            </w:r>
            <w:r/>
          </w:p>
        </w:tc>
      </w:tr>
      <w:tr>
        <w:trPr>
          <w:jc w:val="center"/>
          <w:trHeight w:val="3100"/>
        </w:trPr>
        <w:tc>
          <w:tcPr>
            <w:tcW w:w="415"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技术部分</w:t>
            </w:r>
            <w:r/>
          </w:p>
        </w:tc>
        <w:tc>
          <w:tcPr>
            <w:tcW w:w="989"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技术参数</w:t>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（35分）</w:t>
            </w:r>
            <w:r/>
          </w:p>
        </w:tc>
        <w:tc>
          <w:tcPr>
            <w:tcW w:w="3596" w:type="pct"/>
            <w:vAlign w:val="center"/>
            <w:textDirection w:val="lrTb"/>
            <w:noWrap w:val="false"/>
          </w:tcPr>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根据投标人对技术参数的响应情况进行评分。【该项评分以投标人响应情况并核对条款要求进行评分。】</w:t>
            </w:r>
            <w:r/>
          </w:p>
          <w:p>
            <w:pPr>
              <w:spacing w:line="360" w:lineRule="auto"/>
              <w:rPr>
                <w:rFonts w:hint="eastAsia" w:ascii="宋体" w:hAnsi="宋体" w:eastAsia="宋体" w:cs="宋体"/>
                <w:bCs/>
                <w:sz w:val="24"/>
                <w:szCs w:val="24"/>
              </w:rPr>
            </w:pPr>
            <w:r>
              <w:rPr>
                <w:rFonts w:ascii="宋体" w:hAnsi="宋体" w:eastAsia="宋体" w:cs="宋体"/>
                <w:bCs/>
                <w:sz w:val="24"/>
                <w:szCs w:val="24"/>
              </w:rPr>
              <w:t xml:space="preserve">标注“★”号的参数为必须满足项，不满足则视为无效投标。</w:t>
            </w:r>
            <w:r>
              <w:rPr>
                <w:rFonts w:hint="eastAsia" w:ascii="宋体" w:hAnsi="宋体" w:eastAsia="宋体" w:cs="宋体"/>
                <w:bCs/>
                <w:sz w:val="24"/>
                <w:szCs w:val="24"/>
              </w:rPr>
              <w:t xml:space="preserve">标</w:t>
            </w:r>
            <w:r>
              <w:rPr>
                <w:rFonts w:ascii="宋体" w:hAnsi="宋体" w:eastAsia="宋体" w:cs="宋体"/>
                <w:bCs/>
                <w:sz w:val="24"/>
                <w:szCs w:val="24"/>
              </w:rPr>
              <w:t xml:space="preserve">注</w:t>
            </w:r>
            <w:r>
              <w:rPr>
                <w:rFonts w:hint="eastAsia" w:ascii="宋体" w:hAnsi="宋体" w:eastAsia="宋体" w:cs="宋体"/>
                <w:bCs/>
                <w:sz w:val="24"/>
                <w:szCs w:val="24"/>
              </w:rPr>
              <w:t xml:space="preserve">“▲”符号的为重要参数。</w:t>
            </w:r>
            <w:r/>
          </w:p>
          <w:p>
            <w:pPr>
              <w:spacing w:line="360" w:lineRule="auto"/>
              <w:rPr>
                <w:rFonts w:hint="eastAsia" w:ascii="宋体" w:hAnsi="宋体" w:eastAsia="宋体" w:cs="宋体"/>
                <w:b/>
                <w:sz w:val="24"/>
                <w:szCs w:val="24"/>
              </w:rPr>
            </w:pPr>
            <w:r>
              <w:rPr>
                <w:rFonts w:ascii="宋体" w:hAnsi="宋体" w:eastAsia="宋体" w:cs="宋体"/>
                <w:b/>
                <w:sz w:val="24"/>
                <w:szCs w:val="24"/>
              </w:rPr>
              <w:t xml:space="preserve">投标人须在响应偏离表中逐条列出偏离情况并按招标文件要求逐条提供相应的证明材料，未根据要求提供相关证明材料视为负偏离</w:t>
            </w:r>
            <w:r>
              <w:rPr>
                <w:rFonts w:hint="eastAsia" w:ascii="宋体" w:hAnsi="宋体" w:eastAsia="宋体" w:cs="宋体"/>
                <w:b/>
                <w:sz w:val="24"/>
                <w:szCs w:val="24"/>
              </w:rPr>
              <w:t xml:space="preserve">。</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非标</w:t>
            </w:r>
            <w:r>
              <w:rPr>
                <w:rFonts w:ascii="宋体" w:hAnsi="宋体" w:eastAsia="宋体" w:cs="宋体"/>
                <w:bCs/>
                <w:sz w:val="24"/>
                <w:szCs w:val="24"/>
              </w:rPr>
              <w:t xml:space="preserve">注“★</w:t>
            </w:r>
            <w:r>
              <w:rPr>
                <w:rFonts w:hint="eastAsia" w:ascii="宋体" w:hAnsi="宋体" w:eastAsia="宋体" w:cs="宋体"/>
                <w:bCs/>
                <w:sz w:val="24"/>
                <w:szCs w:val="24"/>
              </w:rPr>
              <w:t xml:space="preserve">、▲”符号的为一般参数。   </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完全响应招标文件要求的，得35分。每负偏离一项标示“▲”符号的，扣3分，每负偏离一项非标示“▲”符号的，扣0.5分，扣完为止。</w:t>
            </w:r>
            <w:r/>
          </w:p>
        </w:tc>
      </w:tr>
      <w:tr>
        <w:trPr>
          <w:jc w:val="center"/>
          <w:trHeight w:val="633"/>
        </w:trPr>
        <w:tc>
          <w:tcPr>
            <w:tcW w:w="415" w:type="pct"/>
            <w:vAlign w:val="center"/>
            <w:vMerge w:val="restart"/>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商务部分</w:t>
            </w:r>
            <w:r/>
          </w:p>
        </w:tc>
        <w:tc>
          <w:tcPr>
            <w:tcW w:w="989"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设计方案</w:t>
            </w:r>
            <w:bookmarkStart w:id="46" w:name="OLE_LINK8"/>
            <w:r>
              <w:rPr>
                <w:rFonts w:hint="eastAsia" w:ascii="宋体" w:hAnsi="宋体" w:eastAsia="宋体" w:cs="宋体"/>
                <w:bCs/>
                <w:sz w:val="24"/>
                <w:szCs w:val="24"/>
              </w:rPr>
              <w:t xml:space="preserve">（10分）</w:t>
            </w:r>
            <w:bookmarkEnd w:id="46"/>
            <w:r/>
            <w:r/>
          </w:p>
        </w:tc>
        <w:tc>
          <w:tcPr>
            <w:tcW w:w="3596"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根据投标人针对本项目设计方案，包括但不限于：所投设备性能和配置符合情况，实施操作性，与其他同类系统对接的扩展性，方案思路合理性、可操作性、实用性进行评分。</w:t>
            </w:r>
            <w:r/>
          </w:p>
          <w:p>
            <w:pPr>
              <w:spacing w:line="360" w:lineRule="auto"/>
              <w:rPr>
                <w:rFonts w:hint="eastAsia" w:ascii="宋体" w:hAnsi="宋体" w:eastAsia="宋体" w:cs="宋体"/>
                <w:sz w:val="24"/>
                <w:szCs w:val="24"/>
                <w:lang w:val="zh-CN" w:bidi="ar"/>
              </w:rPr>
            </w:pPr>
            <w:r>
              <w:rPr>
                <w:rFonts w:hint="eastAsia" w:ascii="宋体" w:hAnsi="宋体" w:eastAsia="宋体" w:cs="宋体"/>
                <w:bCs/>
                <w:sz w:val="24"/>
                <w:szCs w:val="24"/>
              </w:rPr>
              <w:t xml:space="preserve">方案详细、完善，处理办法合理、可行</w:t>
            </w:r>
            <w:r>
              <w:rPr>
                <w:rFonts w:hint="eastAsia" w:ascii="宋体" w:hAnsi="宋体" w:eastAsia="宋体" w:cs="宋体"/>
                <w:sz w:val="24"/>
                <w:szCs w:val="24"/>
                <w:lang w:val="zh-CN" w:bidi="ar"/>
              </w:rPr>
              <w:t xml:space="preserve">并优于需求的得</w:t>
            </w:r>
            <w:r>
              <w:rPr>
                <w:rFonts w:hint="eastAsia" w:ascii="宋体" w:hAnsi="宋体" w:eastAsia="宋体" w:cs="宋体"/>
                <w:sz w:val="24"/>
                <w:szCs w:val="24"/>
                <w:lang w:bidi="ar"/>
              </w:rPr>
              <w:t xml:space="preserve">10</w:t>
            </w:r>
            <w:r>
              <w:rPr>
                <w:rFonts w:hint="eastAsia" w:ascii="宋体" w:hAnsi="宋体" w:eastAsia="宋体" w:cs="宋体"/>
                <w:sz w:val="24"/>
                <w:szCs w:val="24"/>
                <w:lang w:val="zh-CN" w:bidi="ar"/>
              </w:rPr>
              <w:t xml:space="preserve">分。</w:t>
            </w:r>
            <w:r/>
          </w:p>
          <w:p>
            <w:pPr>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方案较详细，处理办法较合理、可行的，得6分</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方案一般，合理性和可行一般的，得2分</w:t>
            </w:r>
            <w:r>
              <w:rPr>
                <w:rFonts w:hint="eastAsia" w:ascii="宋体" w:hAnsi="宋体" w:eastAsia="宋体" w:cs="宋体"/>
                <w:sz w:val="24"/>
                <w:szCs w:val="24"/>
              </w:rPr>
              <w:t xml:space="preserve">。</w:t>
            </w:r>
            <w:r/>
          </w:p>
          <w:p>
            <w:pPr>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未提供不得分。</w:t>
            </w:r>
            <w:r/>
          </w:p>
        </w:tc>
      </w:tr>
      <w:tr>
        <w:trPr>
          <w:jc w:val="center"/>
          <w:trHeight w:val="2217"/>
        </w:trPr>
        <w:tc>
          <w:tcPr>
            <w:tcW w:w="415" w:type="pct"/>
            <w:vAlign w:val="center"/>
            <w:vMerge w:val="continue"/>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989"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运行维护保障服务方案</w:t>
            </w:r>
            <w:r>
              <w:rPr>
                <w:rFonts w:hint="eastAsia" w:ascii="宋体" w:hAnsi="宋体" w:eastAsia="宋体" w:cs="宋体"/>
                <w:bCs/>
                <w:sz w:val="24"/>
                <w:szCs w:val="24"/>
              </w:rPr>
              <w:t xml:space="preserve">（10分）</w:t>
            </w:r>
            <w:r/>
          </w:p>
        </w:tc>
        <w:tc>
          <w:tcPr>
            <w:tcW w:w="3596" w:type="pct"/>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根据</w:t>
            </w:r>
            <w:r>
              <w:rPr>
                <w:rFonts w:hint="eastAsia" w:ascii="宋体" w:hAnsi="宋体" w:eastAsia="宋体" w:cs="宋体"/>
                <w:sz w:val="24"/>
                <w:szCs w:val="24"/>
              </w:rPr>
              <w:t xml:space="preserve">投标人提供的运行维护保障服务方案是否符合项目要求，对日常维护、应急处理等部分制定是否有详细的方案</w:t>
            </w:r>
            <w:r>
              <w:rPr>
                <w:rFonts w:hint="eastAsia" w:ascii="宋体" w:hAnsi="宋体" w:eastAsia="宋体" w:cs="宋体"/>
                <w:bCs/>
                <w:sz w:val="24"/>
                <w:szCs w:val="24"/>
              </w:rPr>
              <w:t xml:space="preserve">进行评分。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方案详细、完善，处理办法合理、可行并优于需求的得10分。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方案较详细，处理办法尚可，得6分。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方案一般，合理性和可行一般的，得2分。</w:t>
            </w:r>
            <w:r/>
          </w:p>
          <w:p>
            <w:pPr>
              <w:pStyle w:val="822"/>
              <w:rPr>
                <w:rFonts w:eastAsia="宋体"/>
              </w:rPr>
            </w:pPr>
            <w:r>
              <w:rPr>
                <w:rFonts w:hint="eastAsia" w:ascii="宋体" w:hAnsi="宋体" w:eastAsia="宋体" w:cs="宋体"/>
                <w:sz w:val="24"/>
                <w:szCs w:val="24"/>
              </w:rPr>
              <w:t xml:space="preserve">未提供不得分。</w:t>
            </w:r>
            <w:r/>
          </w:p>
        </w:tc>
      </w:tr>
      <w:tr>
        <w:trPr>
          <w:jc w:val="center"/>
          <w:trHeight w:val="2217"/>
        </w:trPr>
        <w:tc>
          <w:tcPr>
            <w:tcW w:w="415" w:type="pct"/>
            <w:vAlign w:val="center"/>
            <w:vMerge w:val="continue"/>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989"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sz w:val="24"/>
                <w:szCs w:val="24"/>
                <w:lang w:val="zh-CN"/>
              </w:rPr>
              <w:t xml:space="preserve">培训方案</w:t>
            </w:r>
            <w:r>
              <w:rPr>
                <w:rFonts w:hint="eastAsia" w:ascii="宋体" w:hAnsi="宋体" w:eastAsia="宋体" w:cs="宋体"/>
                <w:bCs/>
                <w:sz w:val="24"/>
                <w:szCs w:val="24"/>
              </w:rPr>
              <w:t xml:space="preserve">（10分）</w:t>
            </w:r>
            <w:r/>
          </w:p>
        </w:tc>
        <w:tc>
          <w:tcPr>
            <w:tcW w:w="3596" w:type="pct"/>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为了保证项目顺利完成，投标人须</w:t>
            </w:r>
            <w:r>
              <w:rPr>
                <w:rFonts w:hint="eastAsia" w:ascii="宋体" w:hAnsi="宋体" w:eastAsia="宋体" w:cs="宋体"/>
                <w:sz w:val="24"/>
                <w:szCs w:val="24"/>
              </w:rPr>
              <w:t xml:space="preserve">提供</w:t>
            </w:r>
            <w:r>
              <w:rPr>
                <w:rFonts w:hint="eastAsia" w:ascii="宋体" w:hAnsi="宋体" w:eastAsia="宋体" w:cs="宋体"/>
                <w:sz w:val="24"/>
                <w:szCs w:val="24"/>
                <w:lang w:val="zh-CN"/>
              </w:rPr>
              <w:t xml:space="preserve">一套完整的培训</w:t>
            </w:r>
            <w:r>
              <w:rPr>
                <w:rFonts w:hint="eastAsia" w:ascii="宋体" w:hAnsi="宋体" w:eastAsia="宋体" w:cs="宋体"/>
                <w:sz w:val="24"/>
                <w:szCs w:val="24"/>
              </w:rPr>
              <w:t xml:space="preserve">服务方案</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包括但不限于</w:t>
            </w:r>
            <w:r>
              <w:rPr>
                <w:rFonts w:ascii="宋体" w:hAnsi="宋体" w:eastAsia="宋体" w:cs="宋体"/>
                <w:sz w:val="24"/>
                <w:szCs w:val="24"/>
                <w:lang w:bidi="ar"/>
              </w:rPr>
              <w:t xml:space="preserve">培训计划、培训方式</w:t>
            </w:r>
            <w:r>
              <w:rPr>
                <w:rFonts w:hint="eastAsia" w:ascii="宋体" w:hAnsi="宋体" w:eastAsia="宋体" w:cs="宋体"/>
                <w:sz w:val="24"/>
                <w:szCs w:val="24"/>
                <w:lang w:bidi="ar"/>
              </w:rPr>
              <w:t xml:space="preserve">等。</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方案详细、完善，处理办法合理、可行</w:t>
            </w:r>
            <w:r>
              <w:rPr>
                <w:rFonts w:hint="eastAsia" w:ascii="宋体" w:hAnsi="宋体" w:eastAsia="宋体" w:cs="宋体"/>
                <w:sz w:val="24"/>
                <w:szCs w:val="24"/>
                <w:lang w:val="zh-CN" w:bidi="ar"/>
              </w:rPr>
              <w:t xml:space="preserve">并优于需求</w:t>
            </w:r>
            <w:r>
              <w:rPr>
                <w:rFonts w:hint="eastAsia" w:ascii="宋体" w:hAnsi="宋体" w:eastAsia="宋体" w:cs="宋体"/>
                <w:sz w:val="24"/>
                <w:szCs w:val="24"/>
              </w:rPr>
              <w:t xml:space="preserve">的，得10分。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方案较详细，处理办法尚可，得6分。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方案一般，合理性和可行一般的，得2分。</w:t>
            </w:r>
            <w:r/>
          </w:p>
          <w:p>
            <w:pPr>
              <w:pStyle w:val="822"/>
              <w:rPr>
                <w:rFonts w:eastAsia="宋体"/>
              </w:rPr>
            </w:pPr>
            <w:r>
              <w:rPr>
                <w:rFonts w:hint="eastAsia" w:ascii="宋体" w:hAnsi="宋体" w:eastAsia="宋体" w:cs="宋体"/>
                <w:sz w:val="24"/>
                <w:szCs w:val="24"/>
              </w:rPr>
              <w:t xml:space="preserve">未提供不得分</w:t>
            </w:r>
            <w:r/>
          </w:p>
        </w:tc>
      </w:tr>
      <w:tr>
        <w:trPr>
          <w:jc w:val="center"/>
          <w:trHeight w:val="2226"/>
        </w:trPr>
        <w:tc>
          <w:tcPr>
            <w:tcW w:w="415" w:type="pct"/>
            <w:vAlign w:val="center"/>
            <w:vMerge w:val="continue"/>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989" w:type="pct"/>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color w:val="000000"/>
                <w:spacing w:val="-2"/>
                <w:sz w:val="24"/>
                <w:szCs w:val="24"/>
              </w:rPr>
              <w:t xml:space="preserve">售后服务</w:t>
            </w:r>
            <w:r>
              <w:rPr>
                <w:rFonts w:hint="eastAsia" w:ascii="宋体" w:hAnsi="宋体" w:eastAsia="宋体" w:cs="宋体"/>
                <w:bCs/>
                <w:sz w:val="24"/>
                <w:szCs w:val="24"/>
              </w:rPr>
              <w:t xml:space="preserve">（5分）</w:t>
            </w:r>
            <w:r/>
          </w:p>
        </w:tc>
        <w:tc>
          <w:tcPr>
            <w:tcW w:w="3596" w:type="pct"/>
            <w:vAlign w:val="center"/>
            <w:textDirection w:val="lrTb"/>
            <w:noWrap w:val="false"/>
          </w:tcPr>
          <w:p>
            <w:pPr>
              <w:spacing w:line="360" w:lineRule="auto"/>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根据</w:t>
            </w:r>
            <w:r>
              <w:rPr>
                <w:rFonts w:hint="eastAsia" w:ascii="宋体" w:hAnsi="宋体" w:eastAsia="宋体" w:cs="宋体"/>
                <w:sz w:val="24"/>
                <w:szCs w:val="24"/>
                <w:lang w:val="zh-CN"/>
              </w:rPr>
              <w:t xml:space="preserve">投标人</w:t>
            </w:r>
            <w:r>
              <w:rPr>
                <w:rFonts w:hint="eastAsia" w:ascii="宋体" w:hAnsi="宋体" w:eastAsia="宋体" w:cs="宋体"/>
                <w:color w:val="000000"/>
                <w:spacing w:val="-2"/>
                <w:sz w:val="24"/>
                <w:szCs w:val="24"/>
              </w:rPr>
              <w:t xml:space="preserve">提供的售后服务方案（包括但不限于质量保证期限及范围、售后维护、服务响应时间等内容）的优劣打分：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方案详细、完善，处理办法合理、可行</w:t>
            </w:r>
            <w:r>
              <w:rPr>
                <w:rFonts w:hint="eastAsia" w:ascii="宋体" w:hAnsi="宋体" w:eastAsia="宋体" w:cs="宋体"/>
                <w:sz w:val="24"/>
                <w:szCs w:val="24"/>
                <w:lang w:val="zh-CN" w:bidi="ar"/>
              </w:rPr>
              <w:t xml:space="preserve">并优于需求</w:t>
            </w:r>
            <w:r>
              <w:rPr>
                <w:rFonts w:hint="eastAsia" w:ascii="宋体" w:hAnsi="宋体" w:eastAsia="宋体" w:cs="宋体"/>
                <w:sz w:val="24"/>
                <w:szCs w:val="24"/>
              </w:rPr>
              <w:t xml:space="preserve">的，得5分。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方案较详细，处理办法尚可，得3分。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方案一般，合理性和可行一般的，得2分。</w:t>
            </w:r>
            <w:r/>
          </w:p>
          <w:p>
            <w:pPr>
              <w:pStyle w:val="822"/>
              <w:rPr>
                <w:rFonts w:eastAsia="宋体"/>
              </w:rPr>
            </w:pPr>
            <w:r>
              <w:rPr>
                <w:rFonts w:hint="eastAsia" w:ascii="宋体" w:hAnsi="宋体" w:eastAsia="宋体" w:cs="宋体"/>
                <w:sz w:val="24"/>
                <w:szCs w:val="24"/>
              </w:rPr>
              <w:t xml:space="preserve">未提供不得分。</w:t>
            </w:r>
            <w:r/>
          </w:p>
        </w:tc>
      </w:tr>
    </w:tbl>
    <w:p>
      <w:pPr>
        <w:pStyle w:val="852"/>
        <w:ind w:firstLine="0"/>
        <w:jc w:val="cente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五、推荐中标候选人:</w:t>
      </w:r>
      <w:r/>
    </w:p>
    <w:p>
      <w:pPr>
        <w:ind w:firstLine="488"/>
        <w:spacing w:line="360" w:lineRule="auto"/>
        <w:rPr>
          <w:rFonts w:hint="eastAsia" w:cs="仿宋" w:asciiTheme="minorEastAsia" w:hAnsiTheme="minorEastAsia" w:eastAsiaTheme="minorEastAsia"/>
          <w:bCs/>
          <w:color w:val="000000" w:themeColor="text1"/>
          <w:sz w:val="24"/>
          <w:szCs w:val="24"/>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bCs/>
          <w:color w:val="000000" w:themeColor="text1"/>
          <w:sz w:val="24"/>
          <w:szCs w:val="24"/>
        </w:rPr>
        <w:t xml:space="preserve">汇总上述各项分值（保留两位小数,小数点后第三位四舍五入），按总得分由高到低的顺序排列,综合得分最高的为中标候选人</w:t>
      </w:r>
      <w:bookmarkEnd w:id="44"/>
      <w:r/>
      <w:r/>
    </w:p>
    <w:p>
      <w:pPr>
        <w:jc w:val="center"/>
        <w:spacing w:line="360" w:lineRule="auto"/>
        <w:rPr>
          <w:rFonts w:hint="eastAsia"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t xml:space="preserve">第五章 合同条款</w:t>
      </w:r>
      <w:r>
        <w:rPr>
          <w:rFonts w:hint="eastAsia" w:cs="仿宋" w:asciiTheme="minorEastAsia" w:hAnsiTheme="minorEastAsia" w:eastAsiaTheme="minorEastAsia"/>
          <w:b/>
          <w:i/>
          <w:color w:val="000000" w:themeColor="text1"/>
          <w:sz w:val="32"/>
          <w:szCs w:val="32"/>
        </w:rPr>
        <w:t xml:space="preserve">（模板仅供参考）</w:t>
      </w:r>
      <w:r/>
    </w:p>
    <w:p>
      <w:pPr>
        <w:ind w:firstLine="482"/>
        <w:spacing w:line="360" w:lineRule="auto"/>
        <w:rPr>
          <w:rFonts w:hint="eastAsia" w:ascii="宋体" w:hAnsi="宋体" w:eastAsia="宋体"/>
          <w:bCs/>
          <w:position w:val="-10"/>
          <w:sz w:val="24"/>
          <w:szCs w:val="24"/>
        </w:rPr>
      </w:pPr>
      <w:r>
        <w:rPr>
          <w:rFonts w:hint="eastAsia" w:ascii="宋体" w:hAnsi="宋体" w:eastAsia="宋体"/>
          <w:b/>
          <w:bCs/>
          <w:position w:val="-10"/>
          <w:sz w:val="24"/>
          <w:szCs w:val="24"/>
        </w:rPr>
        <w:t xml:space="preserve">注：本合同仅为合同的参考文本，合同签订双方可根据项目的具体要求进行修订，但不得更改实质性要求。</w:t>
      </w:r>
      <w:r/>
    </w:p>
    <w:p>
      <w:pPr>
        <w:ind w:firstLine="800"/>
        <w:jc w:val="center"/>
        <w:spacing w:line="360" w:lineRule="auto"/>
        <w:rPr>
          <w:rFonts w:hint="eastAsia" w:ascii="宋体" w:hAnsi="宋体" w:eastAsia="宋体"/>
          <w:position w:val="-10"/>
          <w:sz w:val="40"/>
          <w:szCs w:val="40"/>
        </w:rPr>
      </w:pPr>
      <w:r>
        <w:rPr>
          <w:rFonts w:hint="eastAsia" w:ascii="宋体" w:hAnsi="宋体" w:eastAsia="宋体"/>
          <w:position w:val="-10"/>
          <w:sz w:val="40"/>
          <w:szCs w:val="40"/>
        </w:rPr>
        <w:t xml:space="preserve">江苏省政府采购合同</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项目名称：                                       项目编号：</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甲方：（买方）_________</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乙方：（卖方）_________</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甲、乙双方根据江苏海外集团国际工程咨询有限公司</w:t>
      </w:r>
      <w:r>
        <w:rPr>
          <w:rFonts w:ascii="宋体" w:hAnsi="宋体" w:eastAsia="宋体"/>
          <w:position w:val="-10"/>
          <w:sz w:val="24"/>
          <w:szCs w:val="24"/>
          <w:u w:val="single"/>
        </w:rPr>
        <w:t xml:space="preserve">         </w:t>
      </w:r>
      <w:r>
        <w:rPr>
          <w:rFonts w:ascii="宋体" w:hAnsi="宋体" w:eastAsia="宋体"/>
          <w:position w:val="-10"/>
          <w:sz w:val="24"/>
          <w:szCs w:val="24"/>
        </w:rPr>
        <w:t xml:space="preserve">项目的结果，签署本合同。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一、采购标的</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1.1 产品/服务内容：</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1.2 服务期限：</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60"/>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1.3 补充条款：</w:t>
      </w:r>
      <w:r>
        <w:rPr>
          <w:rFonts w:ascii="宋体" w:hAnsi="宋体" w:eastAsia="宋体"/>
          <w:position w:val="-10"/>
          <w:sz w:val="24"/>
          <w:szCs w:val="24"/>
          <w:u w:val="single"/>
        </w:rPr>
        <w:t xml:space="preserve">                                              </w:t>
      </w:r>
      <w:r>
        <w:rPr>
          <w:rFonts w:ascii="宋体" w:hAnsi="宋体" w:eastAsia="宋体"/>
          <w:position w:val="-10"/>
          <w:sz w:val="24"/>
          <w:szCs w:val="24"/>
        </w:rPr>
        <w:t xml:space="preserve">。</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二、合同金额</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三、技术资料</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3.1乙方应按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文件规定的时间向甲方提供有关技术资料。</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95" w:hanging="50"/>
        <w:spacing w:line="360" w:lineRule="auto"/>
        <w:rPr>
          <w:rFonts w:hint="eastAsia" w:ascii="宋体" w:hAnsi="宋体" w:eastAsia="宋体"/>
          <w:position w:val="-10"/>
          <w:sz w:val="24"/>
          <w:szCs w:val="24"/>
        </w:rPr>
      </w:pPr>
      <w:r>
        <w:rPr>
          <w:rFonts w:ascii="宋体" w:hAnsi="宋体" w:eastAsia="宋体"/>
          <w:position w:val="-10"/>
          <w:sz w:val="24"/>
          <w:szCs w:val="24"/>
        </w:rPr>
        <w:t xml:space="preserve">四、知识产权</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乙</w:t>
      </w:r>
      <w:r>
        <w:rPr>
          <w:rFonts w:hint="eastAsia" w:ascii="宋体" w:hAnsi="宋体" w:eastAsia="宋体"/>
          <w:position w:val="-10"/>
          <w:sz w:val="24"/>
          <w:szCs w:val="24"/>
        </w:rPr>
        <w:t xml:space="preserve">方应保证甲方在使用、接受本合同</w:t>
      </w:r>
      <w:r>
        <w:rPr>
          <w:rFonts w:ascii="宋体" w:hAnsi="宋体" w:eastAsia="宋体"/>
          <w:position w:val="-10"/>
          <w:sz w:val="24"/>
          <w:szCs w:val="24"/>
        </w:rPr>
        <w:t xml:space="preserve">中产品和服务</w:t>
      </w:r>
      <w:r>
        <w:rPr>
          <w:rFonts w:hint="eastAsia" w:ascii="宋体" w:hAnsi="宋体" w:eastAsia="宋体"/>
          <w:position w:val="-10"/>
          <w:sz w:val="24"/>
          <w:szCs w:val="24"/>
        </w:rPr>
        <w:t xml:space="preserve">或其任何一部分时不受第三方提出侵犯其专利权、版权、商标权和工业设计权等知识产权的起诉。一旦出现侵权，由乙方负全部责任。</w:t>
      </w:r>
      <w:r/>
    </w:p>
    <w:p>
      <w:pPr>
        <w:ind w:firstLine="353"/>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五、产权担保</w:t>
      </w:r>
      <w:r/>
    </w:p>
    <w:p>
      <w:pPr>
        <w:ind w:left="493" w:hanging="48"/>
        <w:spacing w:line="360" w:lineRule="auto"/>
        <w:rPr>
          <w:rFonts w:hint="eastAsia" w:ascii="宋体" w:hAnsi="宋体" w:eastAsia="宋体"/>
          <w:position w:val="-10"/>
          <w:sz w:val="24"/>
          <w:szCs w:val="24"/>
          <w:u w:val="single"/>
        </w:rPr>
      </w:pPr>
      <w:r>
        <w:rPr>
          <w:rFonts w:ascii="宋体" w:hAnsi="宋体" w:eastAsia="宋体"/>
          <w:position w:val="-10"/>
          <w:sz w:val="24"/>
          <w:szCs w:val="24"/>
        </w:rPr>
        <w:t xml:space="preserve">乙方保证所交付标的的所有权完全属于乙方且无任何抵押、查封等产权瑕疵。</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六、履约保证金</w:t>
      </w:r>
      <w:r/>
    </w:p>
    <w:p>
      <w:pPr>
        <w:ind w:left="408" w:hanging="408"/>
        <w:spacing w:line="360" w:lineRule="auto"/>
        <w:rPr>
          <w:rFonts w:hint="eastAsia" w:ascii="宋体" w:hAnsi="宋体" w:eastAsia="宋体"/>
          <w:position w:val="-10"/>
          <w:sz w:val="24"/>
          <w:szCs w:val="24"/>
        </w:rPr>
      </w:pPr>
      <w:r>
        <w:rPr>
          <w:rFonts w:hint="eastAsia" w:ascii="宋体" w:hAnsi="宋体" w:eastAsia="宋体"/>
          <w:position w:val="-10"/>
          <w:sz w:val="24"/>
          <w:szCs w:val="24"/>
        </w:rPr>
        <w:t xml:space="preserve">     本项目不收取履约保证金</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七、转包或分包</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7.1</w:t>
      </w:r>
      <w:r>
        <w:rPr>
          <w:rFonts w:hint="eastAsia" w:ascii="宋体" w:hAnsi="宋体" w:eastAsia="宋体"/>
          <w:position w:val="-10"/>
          <w:sz w:val="24"/>
          <w:szCs w:val="24"/>
        </w:rPr>
        <w:t xml:space="preserve">本合同范围内产品或服务，应由乙方直接供应，不得转让他人供应；</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7.2 </w:t>
      </w:r>
      <w:r>
        <w:rPr>
          <w:rFonts w:hint="eastAsia" w:ascii="宋体" w:hAnsi="宋体" w:eastAsia="宋体"/>
          <w:position w:val="-10"/>
          <w:sz w:val="24"/>
          <w:szCs w:val="24"/>
        </w:rPr>
        <w:t xml:space="preserve">除非得到甲方的书面同意，乙方不得部分分包给他人供应。</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7.3</w:t>
      </w:r>
      <w:r>
        <w:rPr>
          <w:rFonts w:hint="eastAsia" w:ascii="宋体" w:hAnsi="宋体" w:eastAsia="宋体"/>
          <w:position w:val="-10"/>
          <w:sz w:val="24"/>
          <w:szCs w:val="24"/>
        </w:rPr>
        <w:t xml:space="preserve">如有转让和未经甲方同意的分包行为，甲方有权给予终止合同。 </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八、质保期</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 质保期</w:t>
      </w:r>
      <w:r>
        <w:rPr>
          <w:rFonts w:ascii="宋体" w:hAnsi="宋体" w:eastAsia="宋体"/>
          <w:position w:val="-10"/>
          <w:sz w:val="24"/>
          <w:szCs w:val="24"/>
          <w:u w:val="single"/>
        </w:rPr>
        <w:t xml:space="preserve">      </w:t>
      </w:r>
      <w:r>
        <w:rPr>
          <w:rFonts w:ascii="宋体" w:hAnsi="宋体" w:eastAsia="宋体"/>
          <w:position w:val="-10"/>
          <w:sz w:val="24"/>
          <w:szCs w:val="24"/>
        </w:rPr>
        <w:t xml:space="preserve">年。（自项目验收合格之日起计）</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九、交付期、交付方式及交付地点</w:t>
      </w:r>
      <w:r/>
    </w:p>
    <w:p>
      <w:pPr>
        <w:ind w:firstLine="360"/>
        <w:spacing w:line="360" w:lineRule="auto"/>
        <w:rPr>
          <w:rFonts w:hint="eastAsia" w:ascii="宋体" w:hAnsi="宋体" w:eastAsia="宋体"/>
          <w:color w:val="000000"/>
          <w:position w:val="-10"/>
          <w:sz w:val="24"/>
          <w:szCs w:val="24"/>
        </w:rPr>
      </w:pPr>
      <w:r>
        <w:rPr>
          <w:rFonts w:ascii="宋体" w:hAnsi="宋体" w:eastAsia="宋体"/>
          <w:position w:val="-10"/>
          <w:sz w:val="24"/>
          <w:szCs w:val="24"/>
        </w:rPr>
        <w:t xml:space="preserve">9.1交付期：_________。   </w:t>
      </w:r>
      <w:r>
        <w:rPr>
          <w:rFonts w:ascii="宋体" w:hAnsi="宋体" w:eastAsia="宋体"/>
          <w:color w:val="000000"/>
          <w:position w:val="-10"/>
          <w:sz w:val="24"/>
          <w:szCs w:val="24"/>
        </w:rPr>
        <w:t xml:space="preserve">9.2交付方式：</w:t>
      </w:r>
      <w:r>
        <w:rPr>
          <w:rFonts w:ascii="宋体" w:hAnsi="宋体" w:eastAsia="宋体"/>
          <w:position w:val="-10"/>
          <w:sz w:val="24"/>
          <w:szCs w:val="24"/>
        </w:rPr>
        <w:t xml:space="preserve">_________。</w:t>
      </w:r>
      <w:r>
        <w:rPr>
          <w:rFonts w:ascii="宋体" w:hAnsi="宋体" w:eastAsia="宋体"/>
          <w:color w:val="000000"/>
          <w:position w:val="-10"/>
          <w:sz w:val="24"/>
          <w:szCs w:val="24"/>
        </w:rPr>
        <w:t xml:space="preserve">9.3交付地点：</w:t>
      </w:r>
      <w:r>
        <w:rPr>
          <w:rFonts w:ascii="宋体" w:hAnsi="宋体" w:eastAsia="宋体"/>
          <w:position w:val="-10"/>
          <w:sz w:val="24"/>
          <w:szCs w:val="24"/>
        </w:rPr>
        <w:t xml:space="preserve">_________。</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十、合同款支付</w:t>
      </w:r>
      <w:r/>
    </w:p>
    <w:p>
      <w:pPr>
        <w:ind w:firstLine="24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 10.1</w:t>
      </w:r>
      <w:r>
        <w:rPr>
          <w:rFonts w:ascii="宋体" w:hAnsi="宋体" w:eastAsia="宋体"/>
          <w:position w:val="-10"/>
          <w:sz w:val="24"/>
          <w:szCs w:val="24"/>
        </w:rPr>
        <w:t xml:space="preserve">付款方式：</w:t>
      </w:r>
      <w:r>
        <w:rPr>
          <w:rFonts w:ascii="宋体" w:hAnsi="宋体" w:eastAsia="宋体"/>
          <w:position w:val="-10"/>
          <w:sz w:val="24"/>
          <w:szCs w:val="24"/>
          <w:u w:val="single"/>
        </w:rPr>
        <w:t xml:space="preserve">        </w:t>
      </w:r>
      <w:r>
        <w:rPr>
          <w:rFonts w:ascii="宋体" w:hAnsi="宋体" w:eastAsia="宋体"/>
          <w:position w:val="-10"/>
          <w:sz w:val="24"/>
          <w:szCs w:val="24"/>
        </w:rPr>
        <w:t xml:space="preserve"> 。</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十一</w:t>
      </w:r>
      <w:r>
        <w:rPr>
          <w:rFonts w:hint="eastAsia" w:ascii="宋体" w:hAnsi="宋体" w:eastAsia="宋体"/>
          <w:position w:val="-10"/>
          <w:sz w:val="24"/>
          <w:szCs w:val="24"/>
        </w:rPr>
        <w:t xml:space="preserve">、</w:t>
      </w:r>
      <w:r>
        <w:rPr>
          <w:rFonts w:ascii="宋体" w:hAnsi="宋体" w:eastAsia="宋体"/>
          <w:position w:val="-10"/>
          <w:sz w:val="24"/>
          <w:szCs w:val="24"/>
        </w:rPr>
        <w:t xml:space="preserve">税费</w:t>
      </w:r>
      <w:r/>
    </w:p>
    <w:p>
      <w:pPr>
        <w:ind w:firstLine="360"/>
        <w:spacing w:line="360" w:lineRule="auto"/>
        <w:rPr>
          <w:rFonts w:hint="eastAsia" w:ascii="宋体" w:hAnsi="宋体" w:eastAsia="宋体"/>
          <w:position w:val="-10"/>
          <w:sz w:val="24"/>
          <w:szCs w:val="24"/>
        </w:rPr>
      </w:pPr>
      <w:r>
        <w:rPr>
          <w:rFonts w:hint="eastAsia" w:ascii="宋体" w:hAnsi="宋体" w:eastAsia="宋体"/>
          <w:position w:val="-10"/>
          <w:sz w:val="24"/>
          <w:szCs w:val="24"/>
        </w:rPr>
        <w:t xml:space="preserve">本合同执行中相关的一切税费均由乙方负担。</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十二、质量保证及售后服务</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12.1乙方应按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文件规定和响应文件承诺的性能、技术要求、质量标准向甲方提供产品或服务。</w:t>
      </w:r>
      <w:r/>
    </w:p>
    <w:p>
      <w:pPr>
        <w:ind w:left="445"/>
        <w:spacing w:line="360" w:lineRule="auto"/>
        <w:rPr>
          <w:rFonts w:hint="eastAsia" w:ascii="宋体" w:hAnsi="宋体" w:eastAsia="宋体"/>
          <w:position w:val="-10"/>
          <w:sz w:val="24"/>
          <w:szCs w:val="24"/>
        </w:rPr>
      </w:pPr>
      <w:r>
        <w:rPr>
          <w:rFonts w:ascii="宋体" w:hAnsi="宋体" w:eastAsia="宋体"/>
          <w:position w:val="-10"/>
          <w:sz w:val="24"/>
          <w:szCs w:val="24"/>
        </w:rPr>
        <w:t xml:space="preserve">12.2乙方提供的产品或服务在质保期内因其本身出现质量问题，根据实际情况，经双方协商，可按以下办法处理：</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（1）更换：由乙方承担所发生的全部费用。</w:t>
      </w:r>
      <w:r/>
    </w:p>
    <w:p>
      <w:pPr>
        <w:ind w:firstLine="240"/>
        <w:spacing w:line="360" w:lineRule="auto"/>
        <w:rPr>
          <w:rFonts w:hint="eastAsia" w:ascii="宋体" w:hAnsi="宋体" w:eastAsia="宋体"/>
          <w:position w:val="-10"/>
          <w:sz w:val="24"/>
          <w:szCs w:val="24"/>
        </w:rPr>
      </w:pPr>
      <w:r>
        <w:rPr>
          <w:rFonts w:ascii="宋体" w:hAnsi="宋体" w:eastAsia="宋体"/>
          <w:position w:val="-10"/>
          <w:sz w:val="24"/>
          <w:szCs w:val="24"/>
        </w:rPr>
        <w:t xml:space="preserve">（2）合同终止处理：合同终止，并退还甲方支付的合同款，同时应承担由此产生的所有费用，甲方不承担发生任何费用。</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12.3如在使用过程中发生质量问题，乙方在接到甲方通知后在</w:t>
      </w:r>
      <w:r>
        <w:rPr>
          <w:rFonts w:ascii="宋体" w:hAnsi="宋体" w:eastAsia="宋体"/>
          <w:position w:val="-10"/>
          <w:sz w:val="24"/>
          <w:szCs w:val="24"/>
          <w:u w:val="single"/>
        </w:rPr>
        <w:t xml:space="preserve">     </w:t>
      </w:r>
      <w:r>
        <w:rPr>
          <w:rFonts w:ascii="宋体" w:hAnsi="宋体" w:eastAsia="宋体"/>
          <w:position w:val="-10"/>
          <w:sz w:val="24"/>
          <w:szCs w:val="24"/>
        </w:rPr>
        <w:t xml:space="preserve">小时内到达甲方现场。</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12.4在质保期内，乙方应对产品或服务出现的质量及安全问题负责处理解决并承担一切费用。</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12.5合同标的对质量保证和售后服务另有要求的，按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w:t>
      </w:r>
      <w:r>
        <w:rPr>
          <w:rFonts w:ascii="宋体" w:hAnsi="宋体" w:eastAsia="宋体"/>
          <w:position w:val="-10"/>
          <w:sz w:val="24"/>
          <w:szCs w:val="24"/>
        </w:rPr>
        <w:t xml:space="preserve">求处理。</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十三、验收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13.1甲方对乙方提交的产品或服务依据</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文件上的项目需求要求、乙方响应文件及国家有关质量标准进行验收。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13.2乙方交货前应对产品或服务作出全面检查和对验收文件进行整理，并列出清单，作为甲方验收和使用的技术条件依据，检验的结果应随服务一起提交甲方。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13.3甲方对乙方提供的产品或服务在使用前，乙方需负责培训甲方的使用操作人员，并协助甲方一起试用，直到符合技术要求，甲方才做最终验收。</w:t>
      </w:r>
      <w:r/>
    </w:p>
    <w:p>
      <w:pPr>
        <w:ind w:left="565" w:hanging="12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13.4</w:t>
      </w:r>
      <w:r>
        <w:rPr>
          <w:rFonts w:ascii="宋体" w:hAnsi="宋体" w:eastAsia="宋体"/>
          <w:position w:val="-10"/>
          <w:sz w:val="24"/>
          <w:szCs w:val="24"/>
        </w:rPr>
        <w:t xml:space="preserve">对技术复杂的产品或服务，甲方可请国家认可的专业检测机构参与初步验收及最终验收，并由其出具质量检测报告。</w:t>
      </w:r>
      <w:r/>
    </w:p>
    <w:p>
      <w:pPr>
        <w:ind w:left="565" w:hanging="120"/>
        <w:spacing w:line="360" w:lineRule="auto"/>
        <w:rPr>
          <w:rFonts w:hint="eastAsia" w:ascii="宋体" w:hAnsi="宋体" w:eastAsia="宋体"/>
          <w:position w:val="-10"/>
          <w:sz w:val="24"/>
          <w:szCs w:val="24"/>
        </w:rPr>
      </w:pPr>
      <w:r>
        <w:rPr>
          <w:rFonts w:ascii="宋体" w:hAnsi="宋体" w:eastAsia="宋体"/>
          <w:color w:val="000000"/>
          <w:position w:val="-10"/>
          <w:sz w:val="24"/>
          <w:szCs w:val="24"/>
        </w:rPr>
        <w:t xml:space="preserve">13.5</w:t>
      </w:r>
      <w:r>
        <w:rPr>
          <w:rFonts w:ascii="宋体" w:hAnsi="宋体" w:eastAsia="宋体"/>
          <w:position w:val="-10"/>
          <w:sz w:val="24"/>
          <w:szCs w:val="24"/>
        </w:rPr>
        <w:t xml:space="preserve">验收时乙方必须在现场，验收完毕后作出验收结果报告；</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文件规定以外的验收费用由甲乙双方协商解决。</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13.6合同标的对验收另有要求的，按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文件中的相关要求执行。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十四、合同内容的交付</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14.1乙方应保证合同标的安全运达甲方指定地点。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14.2 使用说明书、质量检验证明书一并提交甲方。</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14.3 乙方在合同标的交付甲方48小时前通知甲方准备接收。</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14.4 合同标的在交付甲方前发生的风险均由乙方负责。</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14.5 合同标的在规定的交付期限内由乙方送达甲方指定的地点视为交付，乙方同时需通知甲方已送达；</w:t>
      </w:r>
      <w:r/>
    </w:p>
    <w:p>
      <w:pPr>
        <w:ind w:left="565" w:right="26"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14.6合同标的对交付另有要求的，按</w:t>
      </w:r>
      <w:r>
        <w:rPr>
          <w:rFonts w:hint="eastAsia" w:ascii="宋体" w:hAnsi="宋体" w:eastAsia="宋体"/>
          <w:position w:val="-10"/>
          <w:sz w:val="24"/>
          <w:szCs w:val="24"/>
        </w:rPr>
        <w:t xml:space="preserve">招标</w:t>
      </w:r>
      <w:r>
        <w:rPr>
          <w:rFonts w:ascii="宋体" w:hAnsi="宋体" w:eastAsia="宋体"/>
          <w:position w:val="-10"/>
          <w:sz w:val="24"/>
          <w:szCs w:val="24"/>
        </w:rPr>
        <w:t xml:space="preserve">文件中的相关要求执行。</w:t>
      </w:r>
      <w:r/>
    </w:p>
    <w:p>
      <w:pPr>
        <w:ind w:firstLine="353"/>
        <w:spacing w:line="360" w:lineRule="auto"/>
        <w:rPr>
          <w:rFonts w:hint="eastAsia" w:ascii="宋体" w:hAnsi="宋体" w:eastAsia="宋体"/>
          <w:position w:val="-10"/>
          <w:sz w:val="24"/>
          <w:szCs w:val="24"/>
        </w:rPr>
      </w:pPr>
      <w:r>
        <w:rPr>
          <w:rFonts w:ascii="宋体" w:hAnsi="宋体" w:eastAsia="宋体"/>
          <w:position w:val="-10"/>
          <w:sz w:val="24"/>
          <w:szCs w:val="24"/>
        </w:rPr>
        <w:t xml:space="preserve">十五、违约责任</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15.1 甲方无正当理由拒收的，甲方向乙方偿付拒收货款总值的百分之五违约金。</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15.2 甲方无故逾期验收和办理合同款支付手续的,甲方应按逾期付款总额每日万分之五向乙方支付违约金。</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w:t>
      </w:r>
      <w:r>
        <w:rPr>
          <w:rFonts w:ascii="宋体" w:hAnsi="宋体" w:eastAsia="宋体"/>
          <w:position w:val="-10"/>
          <w:sz w:val="24"/>
          <w:szCs w:val="24"/>
        </w:rPr>
        <w:t xml:space="preserve">致甲方解除合同的，乙方应向甲方支付合同总值5%的违约金，如造成甲方损失超过违约金的，超出部分由乙方继续承担赔偿责任。 </w:t>
      </w:r>
      <w:r/>
    </w:p>
    <w:p>
      <w:pPr>
        <w:ind w:left="493" w:hanging="48"/>
        <w:spacing w:line="360" w:lineRule="auto"/>
        <w:rPr>
          <w:rFonts w:hint="eastAsia" w:ascii="宋体" w:hAnsi="宋体" w:eastAsia="宋体"/>
          <w:position w:val="-10"/>
          <w:sz w:val="24"/>
          <w:szCs w:val="24"/>
        </w:rPr>
      </w:pPr>
      <w:r>
        <w:rPr>
          <w:rFonts w:ascii="宋体" w:hAnsi="宋体" w:eastAsia="宋体"/>
          <w:position w:val="-10"/>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346"/>
        <w:spacing w:line="360" w:lineRule="auto"/>
        <w:rPr>
          <w:rFonts w:hint="eastAsia" w:ascii="宋体" w:hAnsi="宋体" w:eastAsia="宋体"/>
          <w:position w:val="-10"/>
          <w:sz w:val="24"/>
          <w:szCs w:val="24"/>
        </w:rPr>
      </w:pPr>
      <w:r>
        <w:rPr>
          <w:rFonts w:ascii="宋体" w:hAnsi="宋体" w:eastAsia="宋体"/>
          <w:position w:val="-10"/>
          <w:sz w:val="24"/>
          <w:szCs w:val="24"/>
        </w:rPr>
        <w:t xml:space="preserve">十六、不可抗力事件处理</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16.1 在合同有效期内，任何一方因不可抗力事件导致不能履行合同，则合同履行期延长，其延长期与不可抗力影响期相同。</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16.2 不可抗力事件发生后，应立即通知对方，并寄送有关权威机构出具的证明。</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16.3 不可抗力事件延续120天以上，双方应通过友好协商，确定是否继续履行合同。</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十七、诉讼</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17.1 双方在执行合同中所发生的一切争议，应通过协商解决。如协商不成，可向合同签订地法院起诉，合同签订地在此约定为南京市。</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十八、合同生效及其它</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18.1 合同经双方法定代表人或授权委托代表人签字并加盖单位公章后生效。</w:t>
      </w:r>
      <w:r/>
    </w:p>
    <w:p>
      <w:pPr>
        <w:ind w:firstLine="360"/>
        <w:spacing w:line="360" w:lineRule="auto"/>
        <w:rPr>
          <w:rFonts w:hint="eastAsia" w:ascii="宋体" w:hAnsi="宋体" w:eastAsia="宋体"/>
          <w:position w:val="-10"/>
          <w:sz w:val="24"/>
          <w:szCs w:val="24"/>
        </w:rPr>
      </w:pPr>
      <w:r>
        <w:rPr>
          <w:rFonts w:ascii="宋体" w:hAnsi="宋体" w:eastAsia="宋体"/>
          <w:position w:val="-10"/>
          <w:sz w:val="24"/>
          <w:szCs w:val="24"/>
        </w:rPr>
        <w:t xml:space="preserve">18.2本合同未尽事宜，遵照《</w:t>
      </w:r>
      <w:r>
        <w:rPr>
          <w:rFonts w:hint="eastAsia" w:ascii="宋体" w:hAnsi="宋体" w:eastAsia="宋体"/>
          <w:position w:val="-10"/>
          <w:sz w:val="24"/>
          <w:szCs w:val="24"/>
        </w:rPr>
        <w:t xml:space="preserve">民法典</w:t>
      </w:r>
      <w:r>
        <w:rPr>
          <w:rFonts w:ascii="宋体" w:hAnsi="宋体" w:eastAsia="宋体"/>
          <w:position w:val="-10"/>
          <w:sz w:val="24"/>
          <w:szCs w:val="24"/>
        </w:rPr>
        <w:t xml:space="preserve">》有关条文执行。</w:t>
      </w:r>
      <w:r/>
    </w:p>
    <w:p>
      <w:pPr>
        <w:ind w:left="565" w:hanging="120"/>
        <w:spacing w:line="360" w:lineRule="auto"/>
        <w:rPr>
          <w:rFonts w:hint="eastAsia" w:ascii="宋体" w:hAnsi="宋体" w:eastAsia="宋体"/>
          <w:position w:val="-10"/>
          <w:sz w:val="24"/>
          <w:szCs w:val="24"/>
        </w:rPr>
      </w:pPr>
      <w:r>
        <w:rPr>
          <w:rFonts w:ascii="宋体" w:hAnsi="宋体" w:eastAsia="宋体"/>
          <w:position w:val="-10"/>
          <w:sz w:val="24"/>
          <w:szCs w:val="24"/>
        </w:rPr>
        <w:t xml:space="preserve">18.3 本合同正本一式三份，具有同等法律效力，甲方、乙方、及财政监管部门各执一份。</w:t>
      </w:r>
      <w:r/>
    </w:p>
    <w:p>
      <w:pPr>
        <w:ind w:left="480" w:hanging="480"/>
        <w:spacing w:line="360" w:lineRule="auto"/>
        <w:rPr>
          <w:rFonts w:hint="eastAsia" w:ascii="宋体" w:hAnsi="宋体" w:eastAsia="宋体"/>
          <w:position w:val="-10"/>
          <w:sz w:val="24"/>
          <w:szCs w:val="24"/>
        </w:rPr>
      </w:pPr>
      <w:r>
        <w:rPr>
          <w:rFonts w:ascii="宋体" w:hAnsi="宋体" w:eastAsia="宋体"/>
          <w:position w:val="-10"/>
          <w:sz w:val="24"/>
          <w:szCs w:val="24"/>
        </w:rPr>
        <w:t xml:space="preserve">  甲方：                                   乙方： </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地址：                                   地址： </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法定代表人或授权代表：                   法定代表人或授权代表：</w:t>
      </w:r>
      <w:r/>
    </w:p>
    <w:p>
      <w:pPr>
        <w:spacing w:line="360" w:lineRule="auto"/>
        <w:rPr>
          <w:rFonts w:hint="eastAsia" w:ascii="宋体" w:hAnsi="宋体" w:eastAsia="宋体"/>
          <w:position w:val="-10"/>
          <w:sz w:val="24"/>
          <w:szCs w:val="24"/>
        </w:rPr>
      </w:pPr>
      <w:r>
        <w:rPr>
          <w:rFonts w:ascii="宋体" w:hAnsi="宋体" w:eastAsia="宋体"/>
          <w:position w:val="-10"/>
          <w:sz w:val="24"/>
          <w:szCs w:val="24"/>
        </w:rPr>
        <w:t xml:space="preserve">  联系电话：                               联系电话：</w:t>
      </w:r>
      <w:r>
        <w:rPr>
          <w:rFonts w:hint="eastAsia" w:ascii="宋体" w:hAnsi="宋体" w:eastAsia="宋体"/>
          <w:position w:val="-10"/>
          <w:sz w:val="24"/>
          <w:szCs w:val="24"/>
        </w:rPr>
        <w:t xml:space="preserve"> </w:t>
      </w:r>
      <w:r/>
    </w:p>
    <w:p>
      <w:pPr>
        <w:spacing w:line="360" w:lineRule="auto"/>
        <w:rPr>
          <w:rFonts w:hint="eastAsia" w:ascii="宋体" w:hAnsi="宋体" w:eastAsia="宋体" w:cs="仿宋"/>
          <w:sz w:val="21"/>
          <w:szCs w:val="21"/>
        </w:rPr>
      </w:pPr>
      <w:r>
        <w:rPr>
          <w:rFonts w:hint="eastAsia" w:ascii="宋体" w:hAnsi="宋体" w:eastAsia="宋体"/>
          <w:position w:val="-10"/>
          <w:sz w:val="24"/>
          <w:szCs w:val="24"/>
        </w:rPr>
        <w:t xml:space="preserve">                                       </w:t>
      </w:r>
      <w:r>
        <w:rPr>
          <w:rFonts w:ascii="宋体" w:hAnsi="宋体" w:eastAsia="宋体"/>
          <w:position w:val="-10"/>
          <w:sz w:val="24"/>
          <w:szCs w:val="24"/>
        </w:rPr>
        <w:t xml:space="preserve"> 签订日期：      年  月  日</w:t>
      </w:r>
      <w:r/>
    </w:p>
    <w:p>
      <w:pPr>
        <w:pStyle w:val="852"/>
        <w:spacing w:line="360" w:lineRule="auto"/>
        <w:rPr>
          <w:rFonts w:hint="eastAsia" w:ascii="宋体" w:hAnsi="宋体" w:eastAsia="宋体" w:cs="仿宋"/>
          <w:b/>
          <w:color w:val="000000" w:themeColor="text1"/>
          <w:sz w:val="30"/>
          <w:szCs w:val="30"/>
        </w:rPr>
      </w:pPr>
      <w:r>
        <w:rPr>
          <w:rFonts w:hint="eastAsia" w:ascii="宋体" w:hAnsi="宋体" w:eastAsia="宋体" w:cs="仿宋"/>
          <w:b/>
          <w:color w:val="000000" w:themeColor="text1"/>
          <w:sz w:val="30"/>
          <w:szCs w:val="30"/>
        </w:rPr>
      </w:r>
      <w:r/>
    </w:p>
    <w:p>
      <w:pPr>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pStyle w:val="852"/>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spacing w:line="360" w:lineRule="auto"/>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jc w:val="center"/>
        <w:keepNext/>
        <w:spacing w:line="360" w:lineRule="auto"/>
        <w:rPr>
          <w:rFonts w:eastAsia="黑体"/>
          <w:bCs/>
          <w:sz w:val="44"/>
          <w:szCs w:val="28"/>
        </w:rPr>
        <w:outlineLvl w:val="0"/>
      </w:pPr>
      <w:r>
        <w:rPr>
          <w:rFonts w:hint="eastAsia" w:eastAsia="黑体"/>
          <w:bCs/>
          <w:sz w:val="44"/>
          <w:szCs w:val="28"/>
        </w:rPr>
        <w:t xml:space="preserve">第六章</w:t>
      </w:r>
      <w:r>
        <w:rPr>
          <w:rFonts w:hint="eastAsia" w:eastAsia="黑体"/>
          <w:bCs/>
          <w:sz w:val="44"/>
          <w:szCs w:val="28"/>
        </w:rPr>
        <w:t xml:space="preserve">  </w:t>
      </w:r>
      <w:r>
        <w:rPr>
          <w:rFonts w:hint="eastAsia" w:eastAsia="黑体"/>
          <w:bCs/>
          <w:sz w:val="44"/>
          <w:szCs w:val="28"/>
        </w:rPr>
        <w:t xml:space="preserve">投标文件格式</w:t>
      </w:r>
      <w:r>
        <w:rPr>
          <w:rFonts w:hint="eastAsia" w:eastAsia="黑体"/>
          <w:bCs/>
          <w:sz w:val="44"/>
          <w:szCs w:val="28"/>
        </w:rPr>
        <w:t xml:space="preserve"> </w:t>
      </w:r>
      <w:r/>
    </w:p>
    <w:p>
      <w:pPr>
        <w:jc w:val="center"/>
        <w:spacing w:line="360" w:lineRule="auto"/>
        <w:rPr>
          <w:rFonts w:eastAsia="宋体"/>
          <w:b/>
          <w:sz w:val="72"/>
          <w:szCs w:val="21"/>
        </w:rPr>
      </w:pPr>
      <w:r/>
      <w:bookmarkStart w:id="47" w:name="_Hlt26955039"/>
      <w:r/>
      <w:bookmarkStart w:id="48" w:name="_Hlt26671244"/>
      <w:r/>
      <w:bookmarkStart w:id="49" w:name="_Toc26554094"/>
      <w:r/>
      <w:bookmarkStart w:id="50" w:name="_Toc120614282"/>
      <w:r/>
      <w:bookmarkStart w:id="51" w:name="_Toc49090576"/>
      <w:r/>
      <w:bookmarkEnd w:id="47"/>
      <w:r/>
      <w:bookmarkEnd w:id="48"/>
      <w:r/>
      <w:r/>
    </w:p>
    <w:p>
      <w:pPr>
        <w:jc w:val="center"/>
        <w:spacing w:line="360" w:lineRule="auto"/>
        <w:rPr>
          <w:rFonts w:eastAsia="宋体"/>
          <w:b/>
          <w:sz w:val="72"/>
          <w:szCs w:val="21"/>
        </w:rPr>
      </w:pPr>
      <w:r>
        <w:rPr>
          <w:rFonts w:hint="eastAsia" w:eastAsia="宋体"/>
          <w:b/>
          <w:sz w:val="72"/>
          <w:szCs w:val="21"/>
        </w:rPr>
        <w:t xml:space="preserve">投</w:t>
      </w:r>
      <w:r>
        <w:rPr>
          <w:rFonts w:hint="eastAsia" w:eastAsia="宋体"/>
          <w:b/>
          <w:sz w:val="72"/>
          <w:szCs w:val="21"/>
        </w:rPr>
        <w:t xml:space="preserve">  </w:t>
      </w:r>
      <w:r>
        <w:rPr>
          <w:rFonts w:hint="eastAsia" w:eastAsia="宋体"/>
          <w:b/>
          <w:sz w:val="72"/>
          <w:szCs w:val="21"/>
        </w:rPr>
        <w:t xml:space="preserve">标</w:t>
      </w:r>
      <w:r>
        <w:rPr>
          <w:rFonts w:hint="eastAsia" w:eastAsia="宋体"/>
          <w:b/>
          <w:sz w:val="72"/>
          <w:szCs w:val="21"/>
        </w:rPr>
        <w:t xml:space="preserve">  </w:t>
      </w:r>
      <w:r>
        <w:rPr>
          <w:rFonts w:hint="eastAsia" w:eastAsia="宋体"/>
          <w:b/>
          <w:sz w:val="72"/>
          <w:szCs w:val="21"/>
        </w:rPr>
        <w:t xml:space="preserve">文</w:t>
      </w:r>
      <w:r>
        <w:rPr>
          <w:rFonts w:hint="eastAsia" w:eastAsia="宋体"/>
          <w:b/>
          <w:sz w:val="72"/>
          <w:szCs w:val="21"/>
        </w:rPr>
        <w:t xml:space="preserve">  </w:t>
      </w:r>
      <w:r>
        <w:rPr>
          <w:rFonts w:hint="eastAsia" w:eastAsia="宋体"/>
          <w:b/>
          <w:sz w:val="72"/>
          <w:szCs w:val="21"/>
        </w:rPr>
        <w:t xml:space="preserve">件</w:t>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72"/>
          <w:szCs w:val="21"/>
        </w:rPr>
      </w:pPr>
      <w:r>
        <w:rPr>
          <w:rFonts w:eastAsia="宋体"/>
          <w:b/>
          <w:sz w:val="72"/>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jc w:val="center"/>
        <w:spacing w:line="360" w:lineRule="auto"/>
        <w:rPr>
          <w:rFonts w:eastAsia="宋体"/>
          <w:b/>
          <w:sz w:val="36"/>
          <w:szCs w:val="21"/>
        </w:rPr>
      </w:pPr>
      <w:r>
        <w:rPr>
          <w:rFonts w:eastAsia="宋体"/>
          <w:b/>
          <w:sz w:val="36"/>
          <w:szCs w:val="21"/>
        </w:rPr>
      </w:r>
      <w:r/>
    </w:p>
    <w:p>
      <w:pPr>
        <w:ind w:firstLine="1084"/>
        <w:spacing w:line="360" w:lineRule="auto"/>
        <w:rPr>
          <w:rFonts w:eastAsia="宋体"/>
          <w:b/>
          <w:sz w:val="36"/>
          <w:szCs w:val="21"/>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名</w:t>
      </w:r>
      <w:r>
        <w:rPr>
          <w:rFonts w:hint="eastAsia" w:eastAsia="宋体"/>
          <w:b/>
          <w:sz w:val="36"/>
          <w:szCs w:val="21"/>
        </w:rPr>
        <w:t xml:space="preserve"> </w:t>
      </w:r>
      <w:r>
        <w:rPr>
          <w:rFonts w:hint="eastAsia" w:eastAsia="宋体"/>
          <w:b/>
          <w:sz w:val="36"/>
          <w:szCs w:val="21"/>
        </w:rPr>
        <w:t xml:space="preserve">称：</w:t>
      </w:r>
      <w:r>
        <w:rPr>
          <w:rFonts w:hint="eastAsia" w:eastAsia="宋体"/>
          <w:b/>
          <w:sz w:val="36"/>
          <w:szCs w:val="21"/>
          <w:u w:val="single"/>
        </w:rPr>
        <w:t xml:space="preserve">               </w:t>
      </w:r>
      <w:r/>
    </w:p>
    <w:p>
      <w:pPr>
        <w:ind w:firstLine="1084"/>
        <w:spacing w:line="360" w:lineRule="auto"/>
        <w:rPr>
          <w:rFonts w:eastAsia="宋体"/>
          <w:b/>
          <w:sz w:val="36"/>
          <w:szCs w:val="21"/>
          <w:u w:val="single"/>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编</w:t>
      </w:r>
      <w:r>
        <w:rPr>
          <w:rFonts w:hint="eastAsia" w:eastAsia="宋体"/>
          <w:b/>
          <w:sz w:val="36"/>
          <w:szCs w:val="21"/>
        </w:rPr>
        <w:t xml:space="preserve"> </w:t>
      </w:r>
      <w:r>
        <w:rPr>
          <w:rFonts w:hint="eastAsia" w:eastAsia="宋体"/>
          <w:b/>
          <w:sz w:val="36"/>
          <w:szCs w:val="21"/>
        </w:rPr>
        <w:t xml:space="preserve">号：</w:t>
      </w:r>
      <w:r>
        <w:rPr>
          <w:rFonts w:hint="eastAsia" w:eastAsia="宋体"/>
          <w:b/>
          <w:sz w:val="36"/>
          <w:szCs w:val="21"/>
          <w:u w:val="single"/>
        </w:rPr>
        <w:t xml:space="preserve">               </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投标人名称</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（加盖</w:t>
      </w:r>
      <w:r>
        <w:rPr>
          <w:rFonts w:hint="eastAsia" w:eastAsia="宋体"/>
          <w:b/>
          <w:sz w:val="36"/>
          <w:szCs w:val="21"/>
          <w:u w:val="single"/>
        </w:rPr>
        <w:t xml:space="preserve">CA</w:t>
      </w:r>
      <w:r>
        <w:rPr>
          <w:rFonts w:hint="eastAsia" w:eastAsia="宋体"/>
          <w:b/>
          <w:sz w:val="36"/>
          <w:szCs w:val="21"/>
          <w:u w:val="single"/>
        </w:rPr>
        <w:t xml:space="preserve">电子公章）</w:t>
      </w:r>
      <w:r/>
    </w:p>
    <w:p>
      <w:pPr>
        <w:spacing w:line="360" w:lineRule="auto"/>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日</w:t>
      </w:r>
      <w:r>
        <w:rPr>
          <w:rFonts w:hint="eastAsia" w:eastAsia="宋体"/>
          <w:b/>
          <w:sz w:val="36"/>
          <w:szCs w:val="21"/>
        </w:rPr>
        <w:t xml:space="preserve">      </w:t>
      </w:r>
      <w:r>
        <w:rPr>
          <w:rFonts w:hint="eastAsia" w:eastAsia="宋体"/>
          <w:b/>
          <w:sz w:val="36"/>
          <w:szCs w:val="21"/>
        </w:rPr>
        <w:t xml:space="preserve">期</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               </w:t>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sz w:val="36"/>
          <w:szCs w:val="21"/>
          <w:u w:val="single"/>
        </w:rPr>
      </w:pPr>
      <w:r>
        <w:rPr>
          <w:rFonts w:eastAsia="宋体"/>
          <w:b/>
          <w:sz w:val="36"/>
          <w:szCs w:val="21"/>
          <w:u w:val="single"/>
        </w:rPr>
      </w:r>
      <w:r/>
    </w:p>
    <w:p>
      <w:pPr>
        <w:spacing w:line="360" w:lineRule="auto"/>
        <w:rPr>
          <w:rFonts w:eastAsia="宋体"/>
          <w:b/>
          <w:sz w:val="36"/>
          <w:szCs w:val="21"/>
          <w:u w:val="single"/>
        </w:rPr>
      </w:pPr>
      <w:r>
        <w:rPr>
          <w:rFonts w:eastAsia="宋体"/>
          <w:b/>
          <w:sz w:val="36"/>
          <w:szCs w:val="21"/>
          <w:u w:val="single"/>
        </w:rPr>
      </w:r>
      <w:r/>
    </w:p>
    <w:p>
      <w:pPr>
        <w:jc w:val="center"/>
        <w:spacing w:line="360" w:lineRule="auto"/>
        <w:rPr>
          <w:rFonts w:eastAsia="宋体"/>
          <w:b/>
          <w:bCs/>
          <w:sz w:val="32"/>
          <w:szCs w:val="32"/>
        </w:rPr>
      </w:pPr>
      <w:r>
        <w:rPr>
          <w:rFonts w:hint="eastAsia" w:eastAsia="宋体"/>
          <w:b/>
          <w:bCs/>
          <w:sz w:val="32"/>
          <w:szCs w:val="32"/>
        </w:rPr>
        <w:t xml:space="preserve">投标文件目录</w:t>
      </w:r>
      <w:r/>
    </w:p>
    <w:p>
      <w:pPr>
        <w:jc w:val="center"/>
        <w:spacing w:line="360" w:lineRule="auto"/>
        <w:rPr>
          <w:rFonts w:eastAsia="宋体"/>
          <w:b/>
          <w:bCs/>
          <w:sz w:val="32"/>
          <w:szCs w:val="32"/>
        </w:rPr>
      </w:pPr>
      <w:r>
        <w:rPr>
          <w:rFonts w:eastAsia="宋体"/>
          <w:b/>
          <w:bCs/>
          <w:sz w:val="32"/>
          <w:szCs w:val="32"/>
        </w:rPr>
      </w:r>
      <w:r/>
    </w:p>
    <w:p>
      <w:pPr>
        <w:ind w:firstLine="560"/>
        <w:spacing w:line="360" w:lineRule="auto"/>
        <w:rPr>
          <w:rFonts w:eastAsia="宋体" w:cs="宋体"/>
          <w:sz w:val="28"/>
          <w:szCs w:val="28"/>
        </w:rPr>
      </w:pPr>
      <w:r>
        <w:rPr>
          <w:rFonts w:hint="eastAsia" w:eastAsia="宋体" w:cs="宋体"/>
          <w:sz w:val="28"/>
          <w:szCs w:val="28"/>
        </w:rPr>
        <w:t xml:space="preserve">一、投标声明及承诺函</w:t>
      </w:r>
      <w:r/>
    </w:p>
    <w:p>
      <w:pPr>
        <w:ind w:firstLine="560"/>
        <w:spacing w:line="360" w:lineRule="auto"/>
        <w:rPr>
          <w:rFonts w:eastAsia="宋体" w:cs="宋体"/>
          <w:sz w:val="28"/>
          <w:szCs w:val="28"/>
        </w:rPr>
      </w:pPr>
      <w:r>
        <w:rPr>
          <w:rFonts w:hint="eastAsia" w:eastAsia="宋体" w:cs="宋体"/>
          <w:sz w:val="28"/>
          <w:szCs w:val="28"/>
        </w:rPr>
        <w:t xml:space="preserve">二、投标人基本情况</w:t>
      </w:r>
      <w:r/>
    </w:p>
    <w:p>
      <w:pPr>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p>
    <w:p>
      <w:pPr>
        <w:ind w:firstLine="560"/>
        <w:spacing w:line="360" w:lineRule="auto"/>
        <w:rPr>
          <w:rFonts w:eastAsia="宋体" w:cs="宋体"/>
          <w:sz w:val="28"/>
          <w:szCs w:val="28"/>
        </w:rPr>
      </w:pPr>
      <w:r>
        <w:rPr>
          <w:rFonts w:hint="eastAsia" w:eastAsia="宋体" w:cs="宋体"/>
          <w:sz w:val="28"/>
          <w:szCs w:val="28"/>
        </w:rPr>
        <w:t xml:space="preserve">四、法人授权书</w:t>
      </w:r>
      <w:r/>
    </w:p>
    <w:p>
      <w:pPr>
        <w:ind w:firstLine="560"/>
        <w:spacing w:line="360" w:lineRule="auto"/>
        <w:rPr>
          <w:rFonts w:eastAsia="宋体" w:cs="宋体"/>
          <w:sz w:val="28"/>
          <w:szCs w:val="28"/>
        </w:rPr>
      </w:pPr>
      <w:r>
        <w:rPr>
          <w:rFonts w:hint="eastAsia" w:eastAsia="宋体" w:cs="宋体"/>
          <w:sz w:val="28"/>
          <w:szCs w:val="28"/>
        </w:rPr>
        <w:t xml:space="preserve">五、开标一览表</w:t>
      </w:r>
      <w:r/>
    </w:p>
    <w:p>
      <w:pPr>
        <w:ind w:firstLine="560"/>
        <w:spacing w:line="360" w:lineRule="auto"/>
        <w:rPr>
          <w:rFonts w:eastAsia="宋体" w:cs="宋体"/>
          <w:sz w:val="28"/>
          <w:szCs w:val="28"/>
        </w:rPr>
      </w:pPr>
      <w:r>
        <w:rPr>
          <w:rFonts w:hint="eastAsia" w:eastAsia="宋体" w:cs="宋体"/>
          <w:sz w:val="28"/>
          <w:szCs w:val="28"/>
        </w:rPr>
        <w:t xml:space="preserve">六、投标报价明细表</w:t>
      </w:r>
      <w:r/>
    </w:p>
    <w:p>
      <w:pPr>
        <w:ind w:firstLine="560"/>
        <w:spacing w:line="360" w:lineRule="auto"/>
        <w:rPr>
          <w:rFonts w:eastAsia="宋体" w:cs="宋体"/>
          <w:sz w:val="28"/>
          <w:szCs w:val="28"/>
        </w:rPr>
      </w:pPr>
      <w:r>
        <w:rPr>
          <w:rFonts w:hint="eastAsia" w:eastAsia="宋体" w:cs="宋体"/>
          <w:sz w:val="28"/>
          <w:szCs w:val="28"/>
        </w:rPr>
        <w:t xml:space="preserve">七、中小企业声明函</w:t>
      </w:r>
      <w:r/>
    </w:p>
    <w:p>
      <w:pPr>
        <w:ind w:firstLine="560"/>
        <w:spacing w:line="360" w:lineRule="auto"/>
        <w:rPr>
          <w:rFonts w:eastAsia="宋体" w:cs="宋体"/>
          <w:sz w:val="28"/>
          <w:szCs w:val="28"/>
        </w:rPr>
      </w:pPr>
      <w:r>
        <w:rPr>
          <w:rFonts w:hint="eastAsia" w:eastAsia="宋体" w:cs="宋体"/>
          <w:sz w:val="28"/>
          <w:szCs w:val="28"/>
        </w:rPr>
        <w:t xml:space="preserve">八、技术要求响应及偏离表</w:t>
      </w:r>
      <w:r/>
    </w:p>
    <w:p>
      <w:pPr>
        <w:ind w:firstLine="560"/>
        <w:spacing w:line="360" w:lineRule="auto"/>
        <w:rPr>
          <w:rFonts w:eastAsia="宋体" w:cs="宋体"/>
          <w:sz w:val="28"/>
          <w:szCs w:val="28"/>
        </w:rPr>
      </w:pPr>
      <w:r>
        <w:rPr>
          <w:rFonts w:hint="eastAsia" w:eastAsia="宋体" w:cs="宋体"/>
          <w:sz w:val="28"/>
          <w:szCs w:val="28"/>
        </w:rPr>
        <w:t xml:space="preserve">九、项目组成员</w:t>
      </w:r>
      <w:r/>
    </w:p>
    <w:p>
      <w:pPr>
        <w:ind w:firstLine="560"/>
        <w:spacing w:line="360" w:lineRule="auto"/>
        <w:rPr>
          <w:rFonts w:eastAsia="宋体" w:cs="宋体"/>
          <w:sz w:val="28"/>
          <w:szCs w:val="28"/>
        </w:rPr>
      </w:pPr>
      <w:r>
        <w:rPr>
          <w:rFonts w:hint="eastAsia" w:eastAsia="宋体" w:cs="宋体"/>
          <w:sz w:val="28"/>
          <w:szCs w:val="28"/>
        </w:rPr>
        <w:t xml:space="preserve">十、企业业绩</w:t>
      </w:r>
      <w:r/>
    </w:p>
    <w:p>
      <w:pPr>
        <w:ind w:firstLine="560"/>
        <w:spacing w:line="360" w:lineRule="auto"/>
        <w:rPr>
          <w:rFonts w:eastAsia="宋体" w:cs="宋体"/>
          <w:sz w:val="28"/>
          <w:szCs w:val="28"/>
        </w:rPr>
      </w:pPr>
      <w:r>
        <w:rPr>
          <w:rFonts w:hint="eastAsia" w:eastAsia="宋体" w:cs="宋体"/>
          <w:sz w:val="28"/>
          <w:szCs w:val="28"/>
        </w:rPr>
        <w:t xml:space="preserve">十一、投标所需其他材料</w:t>
      </w:r>
      <w:r/>
    </w:p>
    <w:p>
      <w:pPr>
        <w:pStyle w:val="822"/>
        <w:spacing w:line="360" w:lineRule="auto"/>
        <w:rPr>
          <w:rFonts w:hint="eastAsia" w:asciiTheme="minorEastAsia" w:hAnsiTheme="minorEastAsia" w:eastAsiaTheme="minorEastAsia"/>
          <w:szCs w:val="28"/>
        </w:rPr>
      </w:pPr>
      <w:r>
        <w:rPr>
          <w:rFonts w:hint="eastAsia"/>
        </w:rPr>
        <w:t xml:space="preserve">    </w:t>
      </w:r>
      <w:r>
        <w:rPr>
          <w:rFonts w:hint="eastAsia" w:asciiTheme="minorEastAsia" w:hAnsiTheme="minorEastAsia" w:eastAsiaTheme="minorEastAsia"/>
          <w:szCs w:val="28"/>
        </w:rPr>
        <w:t xml:space="preserve">十二、资格证明文件参考格式</w:t>
      </w:r>
      <w:r/>
    </w:p>
    <w:p>
      <w:pPr>
        <w:jc w:val="left"/>
        <w:spacing w:before="120" w:after="120" w:line="360" w:lineRule="auto"/>
        <w:tabs>
          <w:tab w:val="right" w:pos="8720" w:leader="dot"/>
        </w:tabs>
        <w:rPr>
          <w:rFonts w:eastAsia="宋体"/>
          <w:sz w:val="24"/>
          <w:szCs w:val="24"/>
        </w:rPr>
      </w:pPr>
      <w:r>
        <w:rPr>
          <w:rFonts w:eastAsia="宋体"/>
          <w:sz w:val="24"/>
          <w:szCs w:val="24"/>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ind w:firstLine="480"/>
        <w:spacing w:line="360" w:lineRule="auto"/>
        <w:rPr>
          <w:rFonts w:eastAsia="宋体"/>
          <w:sz w:val="24"/>
          <w:szCs w:val="21"/>
        </w:rPr>
      </w:pPr>
      <w:r>
        <w:rPr>
          <w:rFonts w:eastAsia="宋体"/>
          <w:sz w:val="24"/>
          <w:szCs w:val="21"/>
        </w:rPr>
      </w:r>
      <w:r/>
    </w:p>
    <w:p>
      <w:pPr>
        <w:jc w:val="left"/>
        <w:spacing w:line="360" w:lineRule="auto"/>
        <w:widowControl/>
        <w:rPr>
          <w:rFonts w:eastAsia="Times New Roman"/>
          <w:sz w:val="24"/>
          <w:szCs w:val="24"/>
        </w:rPr>
      </w:pPr>
      <w:r/>
      <w:bookmarkStart w:id="52" w:name="_Toc23838"/>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r>
      <w:r/>
    </w:p>
    <w:p>
      <w:pPr>
        <w:jc w:val="left"/>
        <w:spacing w:line="360" w:lineRule="auto"/>
        <w:widowControl/>
        <w:rPr>
          <w:rFonts w:eastAsia="Times New Roman"/>
          <w:sz w:val="24"/>
          <w:szCs w:val="24"/>
        </w:rPr>
      </w:pPr>
      <w:r>
        <w:rPr>
          <w:rFonts w:eastAsia="Times New Roman"/>
          <w:sz w:val="24"/>
          <w:szCs w:val="24"/>
        </w:rPr>
        <w:br w:type="page" w:clear="all"/>
      </w:r>
      <w:bookmarkEnd w:id="52"/>
      <w:r/>
      <w:r/>
    </w:p>
    <w:p>
      <w:pPr>
        <w:spacing w:line="360" w:lineRule="auto"/>
        <w:rPr>
          <w:rFonts w:hint="eastAsia" w:ascii="宋体" w:hAnsi="宋体" w:eastAsia="宋体"/>
          <w:b/>
          <w:sz w:val="32"/>
          <w:szCs w:val="32"/>
        </w:rPr>
      </w:pPr>
      <w:r>
        <w:rPr>
          <w:rFonts w:hint="eastAsia" w:ascii="宋体" w:hAnsi="宋体" w:eastAsia="宋体"/>
          <w:b/>
          <w:sz w:val="32"/>
          <w:szCs w:val="32"/>
        </w:rPr>
        <w:t xml:space="preserve">一、</w:t>
      </w:r>
      <w:bookmarkStart w:id="53" w:name="_Toc120614284"/>
      <w:r/>
      <w:bookmarkEnd w:id="49"/>
      <w:r/>
      <w:bookmarkEnd w:id="50"/>
      <w:r/>
      <w:bookmarkEnd w:id="51"/>
      <w:r>
        <w:rPr>
          <w:rFonts w:hint="eastAsia" w:ascii="宋体" w:hAnsi="宋体" w:eastAsia="宋体"/>
          <w:b/>
          <w:sz w:val="32"/>
          <w:szCs w:val="32"/>
        </w:rPr>
        <w:t xml:space="preserve">投标声明及承诺函</w:t>
      </w:r>
      <w:r/>
    </w:p>
    <w:p>
      <w:pPr>
        <w:jc w:val="left"/>
        <w:spacing w:line="360" w:lineRule="auto"/>
        <w:rPr>
          <w:rFonts w:hint="eastAsia" w:ascii="宋体" w:hAnsi="宋体" w:eastAsia="宋体"/>
          <w:sz w:val="24"/>
          <w:szCs w:val="24"/>
          <w:u w:val="single"/>
        </w:rPr>
      </w:pPr>
      <w:r>
        <w:rPr>
          <w:rFonts w:hint="eastAsia" w:ascii="宋体" w:hAnsi="宋体" w:eastAsia="宋体"/>
          <w:sz w:val="24"/>
          <w:szCs w:val="24"/>
          <w:u w:val="single"/>
        </w:rPr>
        <w:t xml:space="preserve">（采购单位名称）：</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p>
    <w:p>
      <w:pPr>
        <w:ind w:firstLine="480"/>
        <w:jc w:val="left"/>
        <w:spacing w:line="360" w:lineRule="auto"/>
        <w:rPr>
          <w:rFonts w:hint="eastAsia"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具备《中华人民共和国政府采购法》第二十二条第一款规定的6项条件；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r>
      <w:r/>
    </w:p>
    <w:p>
      <w:pPr>
        <w:jc w:val="left"/>
        <w:spacing w:line="360" w:lineRule="auto"/>
        <w:rPr>
          <w:rFonts w:hint="eastAsia" w:ascii="宋体" w:hAnsi="宋体" w:eastAsia="宋体"/>
          <w:sz w:val="24"/>
          <w:szCs w:val="24"/>
        </w:rPr>
      </w:pPr>
      <w:r>
        <w:rPr>
          <w:rFonts w:hint="eastAsia" w:ascii="宋体" w:hAnsi="宋体" w:eastAsia="宋体"/>
          <w:sz w:val="24"/>
          <w:szCs w:val="24"/>
        </w:rPr>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ind w:firstLine="480"/>
        <w:spacing w:line="360" w:lineRule="auto"/>
        <w:rPr>
          <w:rFonts w:hint="eastAsia" w:ascii="宋体" w:hAnsi="宋体" w:eastAsia="宋体"/>
          <w:sz w:val="21"/>
          <w:szCs w:val="22"/>
        </w:rPr>
      </w:pPr>
      <w:r>
        <w:rPr>
          <w:rFonts w:hint="eastAsia" w:ascii="宋体" w:hAnsi="宋体" w:eastAsia="宋体"/>
          <w:sz w:val="24"/>
          <w:szCs w:val="24"/>
        </w:rPr>
        <w:t xml:space="preserve">日期：    年    月   日</w:t>
      </w:r>
      <w:r/>
    </w:p>
    <w:p>
      <w:pPr>
        <w:jc w:val="left"/>
        <w:spacing w:line="360" w:lineRule="auto"/>
        <w:widowControl/>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p>
    <w:p>
      <w:pPr>
        <w:jc w:val="center"/>
        <w:spacing w:line="360" w:lineRule="auto"/>
        <w:rPr>
          <w:rFonts w:hint="eastAsia" w:ascii="宋体" w:hAnsi="宋体" w:eastAsia="宋体"/>
          <w:sz w:val="44"/>
          <w:szCs w:val="44"/>
        </w:rPr>
      </w:pPr>
      <w:r>
        <w:rPr>
          <w:rFonts w:hint="eastAsia" w:ascii="宋体" w:hAnsi="宋体" w:eastAsia="宋体"/>
          <w:sz w:val="44"/>
          <w:szCs w:val="44"/>
        </w:rPr>
        <w:t xml:space="preserve">投标人基本情况表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投标人名称</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法定代表人</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注册地区</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地址</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邮政编码</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成立时间</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单位性质</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注册号或社会信用代码</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注册资本（万元）</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投标人类别</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开户银行</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账号</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联系人</w:t>
            </w:r>
            <w:r/>
          </w:p>
        </w:tc>
        <w:tc>
          <w:tcPr>
            <w:tcW w:w="311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联系电话</w:t>
            </w:r>
            <w:r/>
          </w:p>
        </w:tc>
        <w:tc>
          <w:tcPr>
            <w:tcW w:w="2604"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trHeight w:val="2376"/>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经营范围</w:t>
            </w:r>
            <w:r/>
          </w:p>
        </w:tc>
        <w:tc>
          <w:tcPr>
            <w:gridSpan w:val="3"/>
            <w:tcW w:w="6998" w:type="dxa"/>
            <w:textDirection w:val="lrTb"/>
            <w:noWrap w:val="false"/>
          </w:tcPr>
          <w:p>
            <w:pPr>
              <w:ind w:firstLine="1432"/>
              <w:spacing w:line="360" w:lineRule="auto"/>
              <w:rPr>
                <w:rFonts w:hint="eastAsia" w:ascii="宋体" w:hAnsi="宋体" w:eastAsia="宋体"/>
                <w:sz w:val="24"/>
                <w:szCs w:val="24"/>
              </w:rPr>
            </w:pPr>
            <w:r>
              <w:rPr>
                <w:rFonts w:hint="eastAsia" w:ascii="宋体" w:hAnsi="宋体" w:eastAsia="宋体"/>
                <w:sz w:val="24"/>
                <w:szCs w:val="24"/>
              </w:rPr>
            </w:r>
            <w:r/>
          </w:p>
        </w:tc>
      </w:tr>
      <w:tr>
        <w:trPr>
          <w:trHeight w:val="1134"/>
        </w:trPr>
        <w:tc>
          <w:tcPr>
            <w:tcW w:w="1526"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备注</w:t>
            </w:r>
            <w:r/>
          </w:p>
        </w:tc>
        <w:tc>
          <w:tcPr>
            <w:gridSpan w:val="3"/>
            <w:tcW w:w="6998" w:type="dxa"/>
            <w:vAlign w:val="center"/>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t xml:space="preserve">无需提供营业执照等证明材料</w:t>
            </w:r>
            <w:r/>
          </w:p>
        </w:tc>
      </w:tr>
    </w:tbl>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ind w:firstLine="480"/>
        <w:spacing w:line="360" w:lineRule="auto"/>
        <w:rPr>
          <w:rFonts w:hint="eastAsia" w:ascii="宋体" w:hAnsi="宋体" w:eastAsia="宋体"/>
          <w:sz w:val="24"/>
          <w:szCs w:val="21"/>
        </w:rPr>
      </w:pPr>
      <w:r>
        <w:rPr>
          <w:rFonts w:hint="eastAsia" w:ascii="宋体" w:hAnsi="宋体" w:eastAsia="宋体"/>
          <w:sz w:val="24"/>
          <w:szCs w:val="21"/>
        </w:rPr>
      </w:r>
      <w:r/>
    </w:p>
    <w:p>
      <w:pP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spacing w:line="360" w:lineRule="auto"/>
        <w:rPr>
          <w:rFonts w:hint="eastAsia"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p>
    <w:p>
      <w:pPr>
        <w:spacing w:line="360" w:lineRule="auto"/>
        <w:rPr>
          <w:rFonts w:hint="eastAsia"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p>
    <w:p>
      <w:pPr>
        <w:spacing w:line="360" w:lineRule="auto"/>
        <w:rPr>
          <w:rFonts w:hint="eastAsia" w:ascii="宋体" w:hAnsi="宋体" w:eastAsia="宋体"/>
          <w:bCs/>
          <w:sz w:val="24"/>
          <w:szCs w:val="21"/>
        </w:rPr>
      </w:pPr>
      <w:r>
        <w:rPr>
          <w:rFonts w:hint="eastAsia" w:ascii="宋体" w:hAnsi="宋体" w:eastAsia="宋体"/>
          <w:bCs/>
          <w:sz w:val="24"/>
          <w:szCs w:val="21"/>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ind w:firstLine="640"/>
        <w:jc w:val="left"/>
        <w:spacing w:line="360" w:lineRule="auto"/>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ind w:firstLine="640"/>
        <w:jc w:val="left"/>
        <w:spacing w:line="360" w:lineRule="auto"/>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jc w:val="center"/>
        <w:spacing w:line="360" w:lineRule="auto"/>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pStyle w:val="822"/>
        <w:spacing w:line="360" w:lineRule="auto"/>
        <w:rPr>
          <w:rFonts w:hint="eastAsia" w:ascii="宋体" w:hAnsi="宋体" w:eastAsia="宋体"/>
        </w:rPr>
      </w:pPr>
      <w:r>
        <w:rPr>
          <w:rFonts w:hint="eastAsia" w:ascii="宋体" w:hAnsi="宋体" w:eastAsia="宋体"/>
        </w:rPr>
      </w:r>
      <w:r/>
    </w:p>
    <w:p>
      <w:pPr>
        <w:jc w:val="center"/>
        <w:spacing w:line="360" w:lineRule="auto"/>
        <w:rPr>
          <w:rFonts w:hint="eastAsia" w:ascii="宋体" w:hAnsi="宋体" w:eastAsia="宋体"/>
          <w:i/>
          <w:sz w:val="32"/>
          <w:szCs w:val="32"/>
          <w:u w:val="single"/>
        </w:rPr>
      </w:pPr>
      <w:r>
        <w:rPr>
          <w:rFonts w:hint="eastAsia" w:ascii="宋体" w:hAnsi="宋体" w:eastAsia="宋体"/>
          <w:i/>
          <w:sz w:val="32"/>
          <w:szCs w:val="32"/>
          <w:u w:val="single"/>
        </w:rPr>
      </w:r>
      <w:r/>
    </w:p>
    <w:p>
      <w:pPr>
        <w:spacing w:line="360" w:lineRule="auto"/>
        <w:rPr>
          <w:rFonts w:hint="eastAsia" w:ascii="宋体" w:hAnsi="宋体" w:eastAsia="宋体"/>
          <w:b/>
          <w:sz w:val="32"/>
          <w:szCs w:val="32"/>
        </w:rPr>
      </w:pPr>
      <w:r>
        <w:rPr>
          <w:rFonts w:hint="eastAsia" w:ascii="宋体" w:hAnsi="宋体" w:eastAsia="宋体"/>
          <w:b/>
          <w:sz w:val="32"/>
          <w:szCs w:val="32"/>
        </w:rPr>
        <w:t xml:space="preserve">四、法人授权书</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本授权书声明：____________（投标人名称）授权________________（被授权人的姓名）为我方就JSZC-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本授权书于______年____月____日起生效，特此声明。</w:t>
      </w:r>
      <w:r/>
    </w:p>
    <w:p>
      <w:pPr>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p>
    <w:p>
      <w:pPr>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p>
    <w:p>
      <w:pPr>
        <w:ind w:firstLine="120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p>
    <w:p>
      <w:pPr>
        <w:ind w:firstLine="480"/>
        <w:spacing w:line="360" w:lineRule="auto"/>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p>
    <w:p>
      <w:pPr>
        <w:ind w:firstLine="480"/>
        <w:spacing w:line="360" w:lineRule="auto"/>
        <w:tabs>
          <w:tab w:val="left" w:pos="360" w:leader="none"/>
        </w:tabs>
        <w:rPr>
          <w:rFonts w:hint="eastAsia" w:ascii="宋体" w:hAnsi="宋体" w:eastAsia="宋体"/>
          <w:sz w:val="24"/>
          <w:szCs w:val="24"/>
        </w:rPr>
      </w:pPr>
      <w:r>
        <w:rPr>
          <w:rFonts w:hint="eastAsia" w:ascii="宋体" w:hAnsi="宋体" w:eastAsia="宋体"/>
          <w:sz w:val="24"/>
          <w:szCs w:val="24"/>
        </w:rPr>
        <w:t xml:space="preserve">      日期：</w:t>
      </w:r>
      <w:bookmarkStart w:id="54" w:name="_Hlt26671380"/>
      <w:r/>
      <w:bookmarkStart w:id="55" w:name="_格式3__银行出具的资信证明"/>
      <w:r/>
      <w:bookmarkStart w:id="56" w:name="_Hlt26955070"/>
      <w:r/>
      <w:bookmarkEnd w:id="54"/>
      <w:r/>
      <w:bookmarkEnd w:id="55"/>
      <w:r/>
      <w:bookmarkEnd w:id="56"/>
      <w:r>
        <w:rPr>
          <w:rFonts w:hint="eastAsia" w:ascii="宋体" w:hAnsi="宋体" w:eastAsia="宋体"/>
          <w:sz w:val="24"/>
          <w:szCs w:val="24"/>
          <w:u w:val="single"/>
        </w:rPr>
        <w:t xml:space="preserve">                                         </w:t>
      </w:r>
      <w:r/>
    </w:p>
    <w:p>
      <w:pPr>
        <w:ind w:firstLine="420"/>
        <w:spacing w:line="360" w:lineRule="auto"/>
        <w:rPr>
          <w:rFonts w:hint="eastAsia" w:ascii="宋体" w:hAnsi="宋体" w:eastAsia="宋体"/>
          <w:i/>
          <w:sz w:val="24"/>
          <w:szCs w:val="24"/>
          <w:u w:val="single"/>
        </w:rPr>
      </w:pPr>
      <w:r>
        <w:rPr>
          <w:rFonts w:hint="eastAsia" w:ascii="宋体" w:hAnsi="宋体" w:eastAsia="宋体"/>
          <w:i/>
          <w:sz w:val="24"/>
          <w:szCs w:val="24"/>
          <w:u w:val="single"/>
        </w:rPr>
      </w:r>
      <w:r/>
    </w:p>
    <w:p>
      <w:pPr>
        <w:spacing w:line="360" w:lineRule="auto"/>
        <w:rPr>
          <w:rFonts w:hint="eastAsia" w:ascii="宋体" w:hAnsi="宋体" w:eastAsia="宋体"/>
          <w:sz w:val="20"/>
          <w:szCs w:val="21"/>
        </w:rPr>
      </w:pPr>
      <w:r>
        <w:rPr>
          <w:rFonts w:hint="eastAsia" w:ascii="宋体" w:hAnsi="宋体" w:eastAsia="宋体"/>
          <w:sz w:val="20"/>
          <w:szCs w:val="21"/>
        </w:rPr>
      </w:r>
      <w:r/>
    </w:p>
    <w:p>
      <w:pPr>
        <w:spacing w:line="360" w:lineRule="auto"/>
        <w:rPr>
          <w:rFonts w:hint="eastAsia" w:ascii="宋体" w:hAnsi="宋体" w:eastAsia="宋体"/>
          <w:bCs/>
          <w:sz w:val="24"/>
          <w:szCs w:val="21"/>
        </w:rPr>
      </w:pPr>
      <w:r>
        <w:rPr>
          <w:rFonts w:hint="eastAsia" w:ascii="宋体" w:hAnsi="宋体" w:eastAsia="宋体"/>
          <w:bCs/>
          <w:sz w:val="24"/>
          <w:szCs w:val="21"/>
        </w:rPr>
      </w:r>
      <w:r/>
    </w:p>
    <w:p>
      <w:pPr>
        <w:jc w:val="center"/>
        <w:spacing w:line="360" w:lineRule="auto"/>
        <w:rPr>
          <w:rFonts w:hint="eastAsia"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p>
    <w:p>
      <w:pPr>
        <w:jc w:val="center"/>
        <w:spacing w:line="360" w:lineRule="auto"/>
        <w:rPr>
          <w:rFonts w:hint="eastAsia" w:ascii="宋体" w:hAnsi="宋体" w:eastAsia="宋体"/>
          <w:b/>
          <w:sz w:val="32"/>
          <w:szCs w:val="32"/>
        </w:rPr>
      </w:pPr>
      <w:r>
        <w:rPr>
          <w:rFonts w:hint="eastAsia" w:ascii="宋体" w:hAnsi="宋体" w:eastAsia="宋体"/>
          <w:b/>
          <w:sz w:val="32"/>
          <w:szCs w:val="32"/>
        </w:rPr>
      </w:r>
      <w:r/>
    </w:p>
    <w:p>
      <w:pPr>
        <w:jc w:val="center"/>
        <w:spacing w:line="360" w:lineRule="auto"/>
        <w:rPr>
          <w:rFonts w:hint="eastAsia" w:ascii="宋体" w:hAnsi="宋体" w:eastAsia="宋体"/>
          <w:b/>
          <w:sz w:val="32"/>
          <w:szCs w:val="32"/>
        </w:rPr>
      </w:pPr>
      <w:r>
        <w:rPr>
          <w:rFonts w:hint="eastAsia" w:ascii="宋体" w:hAnsi="宋体" w:eastAsia="宋体"/>
          <w:b/>
          <w:sz w:val="32"/>
          <w:szCs w:val="32"/>
        </w:rPr>
        <w:t xml:space="preserve">直接在苏采云系统里填写</w:t>
      </w:r>
      <w:r/>
    </w:p>
    <w:p>
      <w:pPr>
        <w:pStyle w:val="822"/>
        <w:spacing w:line="360" w:lineRule="auto"/>
      </w:pPr>
      <w:r/>
      <w:r/>
    </w:p>
    <w:p>
      <w:pPr>
        <w:pStyle w:val="822"/>
        <w:spacing w:line="360" w:lineRule="auto"/>
      </w:pPr>
      <w:r/>
      <w:r/>
    </w:p>
    <w:p>
      <w:pPr>
        <w:jc w:val="center"/>
        <w:spacing w:line="360" w:lineRule="auto"/>
        <w:rPr>
          <w:rFonts w:hint="eastAsia" w:ascii="宋体" w:hAnsi="宋体" w:eastAsia="宋体"/>
          <w:sz w:val="24"/>
        </w:rPr>
      </w:pPr>
      <w:r>
        <w:rPr>
          <w:rFonts w:hint="eastAsia" w:ascii="宋体" w:hAnsi="宋体" w:eastAsia="宋体"/>
          <w:sz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宋体" w:hAnsi="宋体" w:eastAsia="宋体" w:cs="仿宋"/>
          <w:b/>
          <w:bCs/>
          <w:sz w:val="32"/>
          <w:szCs w:val="32"/>
        </w:rPr>
      </w:pPr>
      <w:r>
        <w:rPr>
          <w:rFonts w:hint="eastAsia" w:ascii="宋体" w:hAnsi="宋体" w:eastAsia="宋体" w:cs="仿宋"/>
          <w:b/>
          <w:bCs/>
          <w:sz w:val="32"/>
          <w:szCs w:val="32"/>
        </w:rPr>
      </w:r>
      <w:r/>
    </w:p>
    <w:p>
      <w:pPr>
        <w:spacing w:line="360" w:lineRule="auto"/>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r>
      <w:r/>
    </w:p>
    <w:p>
      <w:pPr>
        <w:pStyle w:val="822"/>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22"/>
        <w:spacing w:line="360" w:lineRule="auto"/>
      </w:pPr>
      <w:r/>
      <w:r/>
    </w:p>
    <w:p>
      <w:pPr>
        <w:spacing w:line="360" w:lineRule="auto"/>
      </w:pPr>
      <w:r/>
      <w:r/>
    </w:p>
    <w:p>
      <w:pPr>
        <w:jc w:val="center"/>
        <w:spacing w:line="360" w:lineRule="auto"/>
        <w:rPr>
          <w:rFonts w:hint="eastAsia" w:ascii="宋体" w:hAnsi="宋体" w:eastAsia="宋体"/>
          <w:b/>
          <w:color w:val="000000"/>
          <w:sz w:val="32"/>
          <w:szCs w:val="32"/>
        </w:rPr>
      </w:pPr>
      <w:r>
        <w:rPr>
          <w:rFonts w:hint="eastAsia" w:ascii="宋体" w:hAnsi="宋体" w:eastAsia="宋体"/>
          <w:b/>
          <w:color w:val="000000"/>
          <w:sz w:val="32"/>
          <w:szCs w:val="32"/>
        </w:rPr>
        <w:t xml:space="preserve">六、</w:t>
      </w:r>
      <w:r>
        <w:rPr>
          <w:rFonts w:hint="eastAsia" w:ascii="宋体" w:hAnsi="宋体" w:eastAsia="宋体"/>
          <w:b/>
          <w:color w:val="000000"/>
          <w:sz w:val="32"/>
          <w:szCs w:val="32"/>
        </w:rPr>
        <w:t xml:space="preserve">分项报价表（分包号：**）（货物类）</w:t>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序号</w:t>
            </w:r>
            <w:r/>
          </w:p>
        </w:tc>
        <w:tc>
          <w:tcPr>
            <w:tcW w:w="103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96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41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78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980"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5</w:t>
            </w:r>
            <w:r/>
          </w:p>
        </w:tc>
        <w:tc>
          <w:tcPr>
            <w:tcW w:w="727"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6</w:t>
            </w:r>
            <w:r/>
          </w:p>
        </w:tc>
        <w:tc>
          <w:tcPr>
            <w:tcW w:w="1372"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7</w:t>
            </w:r>
            <w:r/>
          </w:p>
        </w:tc>
        <w:tc>
          <w:tcPr>
            <w:tcW w:w="124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8</w:t>
            </w:r>
            <w:r/>
          </w:p>
        </w:tc>
      </w:tr>
      <w:tr>
        <w:trPr>
          <w:cantSplit/>
          <w:trHeight w:val="294"/>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103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产品</w:t>
            </w:r>
            <w:r/>
          </w:p>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名称</w:t>
            </w:r>
            <w:r/>
          </w:p>
        </w:tc>
        <w:tc>
          <w:tcPr>
            <w:tcW w:w="96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品牌</w:t>
            </w:r>
            <w:r/>
          </w:p>
        </w:tc>
        <w:tc>
          <w:tcPr>
            <w:tcW w:w="141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规格</w:t>
            </w:r>
            <w:r/>
          </w:p>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型号</w:t>
            </w:r>
            <w:r/>
          </w:p>
        </w:tc>
        <w:tc>
          <w:tcPr>
            <w:tcW w:w="784"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产地</w:t>
            </w:r>
            <w:r/>
          </w:p>
        </w:tc>
        <w:tc>
          <w:tcPr>
            <w:tcW w:w="980"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交付期</w:t>
            </w:r>
            <w:r/>
          </w:p>
        </w:tc>
        <w:tc>
          <w:tcPr>
            <w:tcW w:w="727"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数量</w:t>
            </w:r>
            <w:r/>
          </w:p>
        </w:tc>
        <w:tc>
          <w:tcPr>
            <w:tcW w:w="1372"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分项单价</w:t>
            </w:r>
            <w:r/>
          </w:p>
        </w:tc>
        <w:tc>
          <w:tcPr>
            <w:tcW w:w="124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724"/>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640"/>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580"/>
        </w:trPr>
        <w:tc>
          <w:tcPr>
            <w:tcW w:w="556" w:type="dxa"/>
            <w:vAlign w:val="center"/>
            <w:textDirection w:val="lrTb"/>
            <w:noWrap w:val="false"/>
          </w:tcPr>
          <w:p>
            <w:pPr>
              <w:jc w:val="center"/>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p>
        </w:tc>
        <w:tc>
          <w:tcPr>
            <w:tcW w:w="1036" w:type="dxa"/>
            <w:vAlign w:val="center"/>
            <w:textDirection w:val="lrTb"/>
            <w:noWrap w:val="false"/>
          </w:tcPr>
          <w:p>
            <w:pPr>
              <w:spacing w:line="360" w:lineRule="auto"/>
              <w:rPr>
                <w:rFonts w:hint="eastAsia" w:ascii="宋体" w:hAnsi="宋体" w:eastAsia="宋体"/>
                <w:color w:val="000000"/>
                <w:sz w:val="24"/>
                <w:szCs w:val="24"/>
              </w:rPr>
            </w:pPr>
            <w:r>
              <w:rPr>
                <w:rFonts w:ascii="宋体" w:hAnsi="宋体" w:eastAsia="宋体"/>
                <w:color w:val="000000"/>
                <w:sz w:val="24"/>
                <w:szCs w:val="24"/>
              </w:rPr>
              <w:t xml:space="preserve">……</w:t>
            </w:r>
            <w:r/>
          </w:p>
        </w:tc>
        <w:tc>
          <w:tcPr>
            <w:tcW w:w="96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1030"/>
        </w:trPr>
        <w:tc>
          <w:tcPr>
            <w:gridSpan w:val="8"/>
            <w:tcW w:w="7835" w:type="dxa"/>
            <w:vAlign w:val="center"/>
            <w:textDirection w:val="lrTb"/>
            <w:noWrap w:val="false"/>
          </w:tcPr>
          <w:p>
            <w:pPr>
              <w:jc w:val="center"/>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总报价（人民币：元）</w:t>
            </w:r>
            <w:r/>
          </w:p>
        </w:tc>
        <w:tc>
          <w:tcPr>
            <w:tcW w:w="1246" w:type="dxa"/>
            <w:textDirection w:val="lrTb"/>
            <w:noWrap w:val="false"/>
          </w:tcPr>
          <w:p>
            <w:pPr>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tc>
      </w:tr>
    </w:tbl>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jc w:val="left"/>
        <w:keepLines/>
        <w:spacing w:before="120" w:after="120" w:line="360" w:lineRule="auto"/>
        <w:rPr>
          <w:rFonts w:eastAsia="黑体"/>
          <w:b/>
          <w:sz w:val="32"/>
          <w:szCs w:val="32"/>
        </w:rPr>
        <w:outlineLvl w:val="1"/>
      </w:pPr>
      <w:r>
        <w:rPr>
          <w:rFonts w:eastAsia="黑体"/>
          <w:b/>
          <w:sz w:val="32"/>
          <w:szCs w:val="32"/>
        </w:rPr>
      </w:r>
      <w:r/>
    </w:p>
    <w:p>
      <w:pPr>
        <w:pStyle w:val="1044"/>
        <w:jc w:val="center"/>
        <w:spacing w:line="360" w:lineRule="auto"/>
        <w:rPr>
          <w:rFonts w:hint="eastAsia"/>
          <w:b/>
          <w:bCs/>
          <w:iCs/>
          <w:szCs w:val="32"/>
        </w:rPr>
        <w:outlineLvl w:val="1"/>
      </w:pPr>
      <w:r>
        <w:rPr>
          <w:rFonts w:hint="eastAsia" w:asciiTheme="minorEastAsia" w:hAnsiTheme="minorEastAsia" w:eastAsiaTheme="minorEastAsia"/>
          <w:b/>
          <w:bCs/>
          <w:iCs/>
          <w:szCs w:val="32"/>
        </w:rPr>
        <w:t xml:space="preserve">七、</w:t>
      </w:r>
      <w:r>
        <w:rPr>
          <w:rFonts w:hint="eastAsia"/>
          <w:b/>
          <w:bCs/>
          <w:iCs/>
          <w:szCs w:val="32"/>
        </w:rPr>
        <w:t xml:space="preserve">中小企业声明函</w:t>
      </w:r>
      <w:r/>
    </w:p>
    <w:p>
      <w:pPr>
        <w:pStyle w:val="1043"/>
        <w:jc w:val="center"/>
        <w:spacing w:line="360" w:lineRule="auto"/>
        <w:rPr>
          <w:rFonts w:hint="eastAsia" w:ascii="宋体" w:hAnsi="宋体"/>
          <w:b/>
          <w:sz w:val="36"/>
          <w:szCs w:val="36"/>
        </w:rPr>
      </w:pPr>
      <w:r>
        <w:rPr>
          <w:rFonts w:hint="eastAsia" w:ascii="宋体" w:hAnsi="宋体"/>
          <w:b/>
          <w:sz w:val="36"/>
          <w:szCs w:val="36"/>
        </w:rPr>
        <w:t xml:space="preserve">中小企业声明函（货物）</w:t>
      </w:r>
      <w:r/>
    </w:p>
    <w:p>
      <w:pPr>
        <w:pStyle w:val="1043"/>
        <w:jc w:val="left"/>
        <w:spacing w:line="360" w:lineRule="auto"/>
        <w:rPr>
          <w:rFonts w:hint="eastAsia" w:ascii="宋体" w:hAnsi="宋体"/>
          <w:b/>
          <w:sz w:val="32"/>
          <w:szCs w:val="32"/>
        </w:rPr>
      </w:pPr>
      <w:r>
        <w:rPr>
          <w:rFonts w:hint="eastAsia" w:ascii="宋体" w:hAnsi="宋体"/>
          <w:b/>
          <w:sz w:val="32"/>
          <w:szCs w:val="32"/>
        </w:rPr>
      </w:r>
      <w:r/>
    </w:p>
    <w:p>
      <w:pPr>
        <w:pStyle w:val="1043"/>
        <w:ind w:firstLine="480"/>
        <w:jc w:val="left"/>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p>
    <w:p>
      <w:pPr>
        <w:pStyle w:val="1043"/>
        <w:ind w:firstLine="480"/>
        <w:jc w:val="left"/>
        <w:spacing w:line="360" w:lineRule="auto"/>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43"/>
        <w:ind w:firstLine="480"/>
        <w:jc w:val="left"/>
        <w:spacing w:line="360" w:lineRule="auto"/>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43"/>
        <w:ind w:firstLine="480"/>
        <w:jc w:val="left"/>
        <w:spacing w:line="360" w:lineRule="auto"/>
        <w:rPr>
          <w:rFonts w:hint="eastAsia" w:ascii="宋体" w:hAnsi="宋体"/>
          <w:sz w:val="24"/>
          <w:szCs w:val="24"/>
        </w:rPr>
      </w:pPr>
      <w:r>
        <w:rPr>
          <w:rFonts w:ascii="宋体" w:hAnsi="宋体"/>
          <w:sz w:val="24"/>
          <w:szCs w:val="24"/>
        </w:rPr>
        <w:t xml:space="preserve">……</w:t>
      </w:r>
      <w:r/>
    </w:p>
    <w:p>
      <w:pPr>
        <w:pStyle w:val="1043"/>
        <w:ind w:firstLine="480"/>
        <w:jc w:val="left"/>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43"/>
        <w:ind w:firstLine="480"/>
        <w:jc w:val="left"/>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43"/>
        <w:ind w:firstLine="480"/>
        <w:jc w:val="center"/>
        <w:spacing w:line="360" w:lineRule="auto"/>
        <w:rPr>
          <w:rFonts w:hint="eastAsia" w:ascii="宋体" w:hAnsi="宋体"/>
          <w:sz w:val="24"/>
          <w:szCs w:val="24"/>
        </w:rPr>
      </w:pPr>
      <w:r>
        <w:rPr>
          <w:rFonts w:hint="eastAsia" w:ascii="宋体" w:hAnsi="宋体"/>
          <w:sz w:val="24"/>
          <w:szCs w:val="24"/>
        </w:rPr>
      </w:r>
      <w:r/>
    </w:p>
    <w:p>
      <w:pPr>
        <w:pStyle w:val="1043"/>
        <w:ind w:firstLine="480"/>
        <w:jc w:val="left"/>
        <w:spacing w:line="360" w:lineRule="auto"/>
        <w:rPr>
          <w:rFonts w:hint="eastAsia" w:ascii="宋体" w:hAnsi="宋体"/>
          <w:sz w:val="24"/>
          <w:szCs w:val="24"/>
        </w:rPr>
      </w:pPr>
      <w:r>
        <w:rPr>
          <w:rFonts w:hint="eastAsia" w:ascii="宋体" w:hAnsi="宋体"/>
          <w:sz w:val="24"/>
          <w:szCs w:val="24"/>
        </w:rPr>
        <w:t xml:space="preserve">企业名称（加盖CA电子公章）：</w:t>
      </w:r>
      <w:r/>
    </w:p>
    <w:p>
      <w:pPr>
        <w:pStyle w:val="1043"/>
        <w:ind w:firstLine="480"/>
        <w:jc w:val="left"/>
        <w:spacing w:line="360" w:lineRule="auto"/>
        <w:rPr>
          <w:rFonts w:hint="eastAsia" w:ascii="宋体" w:hAnsi="宋体"/>
          <w:sz w:val="24"/>
          <w:szCs w:val="24"/>
        </w:rPr>
      </w:pPr>
      <w:r>
        <w:rPr>
          <w:rFonts w:hint="eastAsia" w:ascii="宋体" w:hAnsi="宋体"/>
          <w:sz w:val="24"/>
          <w:szCs w:val="24"/>
        </w:rPr>
        <w:t xml:space="preserve">日期：</w:t>
      </w:r>
      <w:r/>
    </w:p>
    <w:p>
      <w:pPr>
        <w:pStyle w:val="1043"/>
        <w:ind w:firstLine="560"/>
        <w:spacing w:line="360" w:lineRule="auto"/>
        <w:rPr>
          <w:rFonts w:hint="eastAsia" w:ascii="宋体" w:hAnsi="宋体"/>
          <w:sz w:val="28"/>
          <w:szCs w:val="28"/>
        </w:rPr>
      </w:pPr>
      <w:r>
        <w:rPr>
          <w:rFonts w:hint="eastAsia" w:ascii="宋体" w:hAnsi="宋体"/>
          <w:sz w:val="28"/>
          <w:szCs w:val="28"/>
        </w:rPr>
      </w:r>
      <w:r/>
    </w:p>
    <w:p>
      <w:pPr>
        <w:pStyle w:val="1043"/>
        <w:ind w:firstLine="360"/>
        <w:spacing w:line="360" w:lineRule="auto"/>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43"/>
        <w:jc w:val="center"/>
        <w:spacing w:line="360" w:lineRule="auto"/>
        <w:rPr>
          <w:rFonts w:hint="eastAsia" w:ascii="宋体" w:hAnsi="宋体"/>
          <w:b/>
          <w:sz w:val="36"/>
          <w:szCs w:val="36"/>
        </w:rPr>
      </w:pPr>
      <w:r>
        <w:rPr>
          <w:rFonts w:hint="eastAsia" w:ascii="宋体" w:hAnsi="宋体"/>
          <w:b/>
          <w:sz w:val="36"/>
          <w:szCs w:val="36"/>
        </w:rPr>
      </w:r>
      <w:r/>
    </w:p>
    <w:p>
      <w:pPr>
        <w:pStyle w:val="1043"/>
        <w:spacing w:line="360" w:lineRule="auto"/>
        <w:rPr>
          <w:rFonts w:hint="eastAsia" w:ascii="宋体" w:hAnsi="宋体"/>
          <w:b/>
          <w:sz w:val="36"/>
          <w:szCs w:val="36"/>
        </w:rPr>
      </w:pPr>
      <w:r>
        <w:rPr>
          <w:rFonts w:hint="eastAsia" w:ascii="宋体" w:hAnsi="宋体"/>
          <w:b/>
          <w:sz w:val="36"/>
          <w:szCs w:val="36"/>
        </w:rPr>
      </w:r>
      <w:r/>
    </w:p>
    <w:p>
      <w:pPr>
        <w:pStyle w:val="1043"/>
        <w:jc w:val="center"/>
        <w:spacing w:line="360" w:lineRule="auto"/>
        <w:rPr>
          <w:rFonts w:hint="eastAsia" w:ascii="宋体" w:hAnsi="宋体"/>
          <w:b/>
          <w:sz w:val="36"/>
          <w:szCs w:val="36"/>
        </w:rPr>
      </w:pPr>
      <w:r>
        <w:rPr>
          <w:rFonts w:hint="eastAsia" w:ascii="宋体" w:hAnsi="宋体"/>
          <w:b/>
          <w:sz w:val="36"/>
          <w:szCs w:val="36"/>
        </w:rPr>
      </w:r>
      <w:r/>
    </w:p>
    <w:p>
      <w:pPr>
        <w:pStyle w:val="1043"/>
        <w:spacing w:line="360" w:lineRule="auto"/>
        <w:rPr>
          <w:rFonts w:hint="eastAsia" w:ascii="宋体" w:hAnsi="宋体"/>
          <w:b/>
          <w:sz w:val="36"/>
          <w:szCs w:val="36"/>
        </w:rPr>
      </w:pPr>
      <w:r>
        <w:rPr>
          <w:rFonts w:hint="eastAsia" w:ascii="宋体" w:hAnsi="宋体"/>
          <w:b/>
          <w:sz w:val="36"/>
          <w:szCs w:val="36"/>
        </w:rPr>
      </w:r>
      <w:r/>
    </w:p>
    <w:p>
      <w:pPr>
        <w:pStyle w:val="1043"/>
        <w:jc w:val="center"/>
        <w:spacing w:line="360" w:lineRule="auto"/>
        <w:rPr>
          <w:rFonts w:hint="eastAsia" w:ascii="宋体" w:hAnsi="宋体"/>
          <w:b/>
          <w:sz w:val="36"/>
          <w:szCs w:val="36"/>
        </w:rPr>
      </w:pPr>
      <w:r>
        <w:rPr>
          <w:rFonts w:hint="eastAsia" w:ascii="宋体" w:hAnsi="宋体"/>
          <w:b/>
          <w:sz w:val="36"/>
          <w:szCs w:val="36"/>
        </w:rPr>
        <w:t xml:space="preserve">中小企业声明函（工程、服务）</w:t>
      </w:r>
      <w:r/>
    </w:p>
    <w:p>
      <w:pPr>
        <w:pStyle w:val="1043"/>
        <w:jc w:val="left"/>
        <w:spacing w:line="360" w:lineRule="auto"/>
        <w:rPr>
          <w:rFonts w:hint="eastAsia" w:ascii="宋体" w:hAnsi="宋体"/>
          <w:b/>
          <w:sz w:val="32"/>
          <w:szCs w:val="32"/>
        </w:rPr>
      </w:pPr>
      <w:r>
        <w:rPr>
          <w:rFonts w:hint="eastAsia" w:ascii="宋体" w:hAnsi="宋体"/>
          <w:b/>
          <w:sz w:val="32"/>
          <w:szCs w:val="32"/>
        </w:rPr>
      </w:r>
      <w:r/>
    </w:p>
    <w:p>
      <w:pPr>
        <w:pStyle w:val="1043"/>
        <w:ind w:firstLine="480"/>
        <w:jc w:val="left"/>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043"/>
        <w:ind w:firstLine="480"/>
        <w:jc w:val="left"/>
        <w:spacing w:line="360" w:lineRule="auto"/>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43"/>
        <w:ind w:firstLine="480"/>
        <w:jc w:val="left"/>
        <w:spacing w:line="360" w:lineRule="auto"/>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43"/>
        <w:ind w:firstLine="480"/>
        <w:jc w:val="left"/>
        <w:spacing w:line="360" w:lineRule="auto"/>
        <w:rPr>
          <w:rFonts w:hint="eastAsia" w:ascii="宋体" w:hAnsi="宋体"/>
          <w:sz w:val="24"/>
          <w:szCs w:val="24"/>
        </w:rPr>
      </w:pPr>
      <w:r>
        <w:rPr>
          <w:rFonts w:ascii="宋体" w:hAnsi="宋体"/>
          <w:sz w:val="24"/>
          <w:szCs w:val="24"/>
        </w:rPr>
        <w:t xml:space="preserve">……</w:t>
      </w:r>
      <w:r/>
    </w:p>
    <w:p>
      <w:pPr>
        <w:pStyle w:val="1043"/>
        <w:ind w:firstLine="480"/>
        <w:jc w:val="left"/>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43"/>
        <w:ind w:firstLine="480"/>
        <w:jc w:val="left"/>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43"/>
        <w:ind w:firstLine="480"/>
        <w:jc w:val="center"/>
        <w:spacing w:line="360" w:lineRule="auto"/>
        <w:rPr>
          <w:rFonts w:hint="eastAsia" w:ascii="宋体" w:hAnsi="宋体"/>
          <w:sz w:val="24"/>
          <w:szCs w:val="24"/>
        </w:rPr>
      </w:pPr>
      <w:r>
        <w:rPr>
          <w:rFonts w:hint="eastAsia" w:ascii="宋体" w:hAnsi="宋体"/>
          <w:sz w:val="24"/>
          <w:szCs w:val="24"/>
        </w:rPr>
      </w:r>
      <w:r/>
    </w:p>
    <w:p>
      <w:pPr>
        <w:pStyle w:val="1043"/>
        <w:ind w:firstLine="480"/>
        <w:jc w:val="left"/>
        <w:spacing w:line="360" w:lineRule="auto"/>
        <w:rPr>
          <w:rFonts w:hint="eastAsia" w:ascii="宋体" w:hAnsi="宋体"/>
          <w:sz w:val="24"/>
          <w:szCs w:val="24"/>
        </w:rPr>
      </w:pPr>
      <w:r>
        <w:rPr>
          <w:rFonts w:hint="eastAsia" w:ascii="宋体" w:hAnsi="宋体"/>
          <w:sz w:val="24"/>
          <w:szCs w:val="24"/>
        </w:rPr>
        <w:t xml:space="preserve">企业名称（加盖CA电子公章）：</w:t>
      </w:r>
      <w:r/>
    </w:p>
    <w:p>
      <w:pPr>
        <w:pStyle w:val="1043"/>
        <w:ind w:firstLine="480"/>
        <w:jc w:val="left"/>
        <w:spacing w:line="360" w:lineRule="auto"/>
        <w:rPr>
          <w:rFonts w:hint="eastAsia" w:ascii="宋体" w:hAnsi="宋体"/>
          <w:sz w:val="24"/>
          <w:szCs w:val="24"/>
        </w:rPr>
      </w:pPr>
      <w:r>
        <w:rPr>
          <w:rFonts w:hint="eastAsia" w:ascii="宋体" w:hAnsi="宋体"/>
          <w:sz w:val="24"/>
          <w:szCs w:val="24"/>
        </w:rPr>
        <w:t xml:space="preserve">日期：</w:t>
      </w:r>
      <w:r/>
    </w:p>
    <w:p>
      <w:pPr>
        <w:pStyle w:val="1043"/>
        <w:ind w:firstLine="480"/>
        <w:spacing w:line="360" w:lineRule="auto"/>
        <w:rPr>
          <w:rFonts w:hint="eastAsia" w:ascii="宋体" w:hAnsi="宋体"/>
          <w:sz w:val="24"/>
          <w:szCs w:val="24"/>
        </w:rPr>
      </w:pPr>
      <w:r>
        <w:rPr>
          <w:rFonts w:hint="eastAsia" w:ascii="宋体" w:hAnsi="宋体"/>
          <w:sz w:val="24"/>
          <w:szCs w:val="24"/>
        </w:rPr>
      </w:r>
      <w:r/>
    </w:p>
    <w:p>
      <w:pPr>
        <w:pStyle w:val="1043"/>
        <w:ind w:firstLine="360"/>
        <w:spacing w:line="360" w:lineRule="auto"/>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43"/>
        <w:jc w:val="center"/>
        <w:spacing w:before="151" w:after="151" w:line="360" w:lineRule="auto"/>
        <w:rPr>
          <w:rFonts w:hint="eastAsia" w:ascii="宋体" w:hAnsi="宋体"/>
          <w:b/>
          <w:bCs/>
          <w:sz w:val="32"/>
          <w:szCs w:val="32"/>
        </w:rPr>
      </w:pPr>
      <w:r>
        <w:rPr>
          <w:rFonts w:hint="eastAsia" w:ascii="宋体" w:hAnsi="宋体"/>
          <w:b/>
          <w:bCs/>
          <w:sz w:val="32"/>
          <w:szCs w:val="32"/>
        </w:rPr>
      </w:r>
      <w:r/>
    </w:p>
    <w:p>
      <w:pPr>
        <w:pStyle w:val="1043"/>
        <w:spacing w:before="151" w:after="151" w:line="360" w:lineRule="auto"/>
        <w:rPr>
          <w:rFonts w:hint="eastAsia" w:ascii="宋体" w:hAnsi="宋体"/>
          <w:b/>
          <w:bCs/>
          <w:sz w:val="32"/>
          <w:szCs w:val="32"/>
        </w:rPr>
      </w:pPr>
      <w:r>
        <w:rPr>
          <w:rFonts w:hint="eastAsia" w:ascii="宋体" w:hAnsi="宋体"/>
          <w:b/>
          <w:bCs/>
          <w:sz w:val="32"/>
          <w:szCs w:val="32"/>
        </w:rPr>
      </w:r>
      <w:r/>
    </w:p>
    <w:p>
      <w:pPr>
        <w:pStyle w:val="1043"/>
        <w:spacing w:line="360" w:lineRule="auto"/>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1043"/>
        <w:spacing w:line="360" w:lineRule="auto"/>
        <w:rPr>
          <w:rFonts w:hint="eastAsia" w:ascii="宋体" w:hAnsi="宋体"/>
          <w:b/>
          <w:sz w:val="36"/>
          <w:szCs w:val="36"/>
        </w:rPr>
      </w:pPr>
      <w:r>
        <w:rPr>
          <w:rFonts w:hint="eastAsia" w:ascii="宋体" w:hAnsi="宋体"/>
          <w:b/>
          <w:sz w:val="36"/>
          <w:szCs w:val="36"/>
        </w:rPr>
      </w:r>
      <w:r/>
    </w:p>
    <w:p>
      <w:pPr>
        <w:pStyle w:val="1045"/>
        <w:jc w:val="center"/>
        <w:spacing w:before="151" w:after="151" w:line="360" w:lineRule="auto"/>
        <w:rPr>
          <w:rFonts w:hint="eastAsia" w:ascii="宋体" w:hAnsi="宋体"/>
          <w:b/>
          <w:bCs/>
          <w:sz w:val="32"/>
          <w:szCs w:val="32"/>
        </w:rPr>
      </w:pPr>
      <w:r>
        <w:rPr>
          <w:rFonts w:hint="eastAsia" w:ascii="宋体" w:hAnsi="宋体"/>
          <w:b/>
          <w:bCs/>
          <w:sz w:val="32"/>
          <w:szCs w:val="32"/>
        </w:rPr>
        <w:t xml:space="preserve">残疾人福利性单位声明函</w:t>
      </w:r>
      <w:r/>
    </w:p>
    <w:p>
      <w:pPr>
        <w:pStyle w:val="1046"/>
        <w:spacing w:line="360" w:lineRule="auto"/>
        <w:rPr>
          <w:rFonts w:hint="eastAsia" w:ascii="宋体" w:hAnsi="宋体"/>
          <w:b/>
          <w:spacing w:val="6"/>
          <w:sz w:val="30"/>
          <w:szCs w:val="30"/>
        </w:rPr>
      </w:pPr>
      <w:r>
        <w:rPr>
          <w:rFonts w:hint="eastAsia" w:ascii="宋体" w:hAnsi="宋体"/>
          <w:b/>
          <w:spacing w:val="6"/>
          <w:sz w:val="30"/>
          <w:szCs w:val="30"/>
        </w:rPr>
      </w:r>
      <w:r/>
    </w:p>
    <w:p>
      <w:pPr>
        <w:pStyle w:val="1045"/>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w:t>
      </w:r>
      <w:r>
        <w:rPr>
          <w:rFonts w:ascii="宋体" w:hAnsi="宋体"/>
          <w:sz w:val="24"/>
        </w:rPr>
        <w:t xml:space="preserve">2017</w:t>
      </w:r>
      <w:r>
        <w:rPr>
          <w:rFonts w:hint="eastAsia" w:ascii="宋体" w:hAnsi="宋体"/>
          <w:sz w:val="24"/>
        </w:rPr>
        <w:t xml:space="preserve">〕</w:t>
      </w:r>
      <w:r>
        <w:rPr>
          <w:rFonts w:ascii="宋体" w:hAnsi="宋体"/>
          <w:sz w:val="24"/>
        </w:rPr>
        <w:t xml:space="preserve">141</w:t>
      </w:r>
      <w:r>
        <w:rPr>
          <w:rFonts w:hint="eastAsia" w:ascii="宋体" w:hAnsi="宋体"/>
          <w:sz w:val="24"/>
        </w:rPr>
        <w:t xml:space="preserve">号）的规定，本单位为符合条件的残疾人福利性单位，且本单位参加</w:t>
      </w:r>
      <w:r>
        <w:rPr>
          <w:rFonts w:hint="eastAsia"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项目采购活动提供本单位制造的货物（由本单位承担工程/提供服务），或者提供其他残疾人福利性单位制造的货物（不包括使用非残疾人福利性单位注册商标的货物）。</w:t>
      </w:r>
      <w:r/>
    </w:p>
    <w:p>
      <w:pPr>
        <w:pStyle w:val="1045"/>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1047"/>
        <w:ind w:firstLine="3810"/>
        <w:spacing w:line="360" w:lineRule="auto"/>
        <w:rPr>
          <w:rFonts w:hint="eastAsia" w:ascii="宋体" w:hAnsi="宋体"/>
          <w:spacing w:val="6"/>
          <w:sz w:val="24"/>
          <w:szCs w:val="24"/>
        </w:rPr>
      </w:pPr>
      <w:r>
        <w:rPr>
          <w:rFonts w:hint="eastAsia" w:ascii="宋体" w:hAnsi="宋体"/>
          <w:spacing w:val="6"/>
          <w:sz w:val="24"/>
          <w:szCs w:val="24"/>
        </w:rPr>
      </w:r>
      <w:r/>
    </w:p>
    <w:p>
      <w:pPr>
        <w:pStyle w:val="1047"/>
        <w:ind w:firstLine="3629"/>
        <w:jc w:val="left"/>
        <w:spacing w:line="360" w:lineRule="auto"/>
        <w:rPr>
          <w:rFonts w:hint="eastAsia" w:ascii="宋体" w:hAnsi="宋体"/>
          <w:sz w:val="24"/>
        </w:rPr>
      </w:pPr>
      <w:r>
        <w:rPr>
          <w:rFonts w:hint="eastAsia" w:ascii="宋体" w:hAnsi="宋体"/>
          <w:sz w:val="24"/>
        </w:rPr>
      </w:r>
      <w:r/>
    </w:p>
    <w:p>
      <w:pPr>
        <w:pStyle w:val="1047"/>
        <w:ind w:firstLine="480"/>
        <w:jc w:val="left"/>
        <w:spacing w:line="360" w:lineRule="auto"/>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（加盖CA电子公章）</w:t>
      </w:r>
      <w:r/>
    </w:p>
    <w:p>
      <w:pPr>
        <w:pStyle w:val="1043"/>
        <w:ind w:firstLine="480"/>
        <w:jc w:val="left"/>
        <w:spacing w:line="360" w:lineRule="auto"/>
        <w:rPr>
          <w:rFonts w:hint="eastAsia" w:ascii="宋体" w:hAnsi="宋体"/>
          <w:sz w:val="24"/>
          <w:szCs w:val="20"/>
        </w:rPr>
      </w:pPr>
      <w:r>
        <w:rPr>
          <w:rFonts w:hint="eastAsia" w:ascii="宋体" w:hAnsi="宋体"/>
          <w:sz w:val="24"/>
          <w:szCs w:val="20"/>
        </w:rPr>
        <w:t xml:space="preserve">日期：  年  月  日</w:t>
      </w:r>
      <w:r/>
    </w:p>
    <w:p>
      <w:pPr>
        <w:pStyle w:val="1046"/>
        <w:ind w:right="1560" w:firstLine="480"/>
        <w:jc w:val="center"/>
        <w:spacing w:line="360" w:lineRule="auto"/>
        <w:tabs>
          <w:tab w:val="left" w:pos="4860" w:leader="none"/>
        </w:tabs>
        <w:rPr>
          <w:rFonts w:hint="eastAsia" w:ascii="宋体" w:hAnsi="宋体" w:cs="Arial"/>
          <w:sz w:val="24"/>
          <w:szCs w:val="24"/>
        </w:rPr>
      </w:pPr>
      <w:r>
        <w:rPr>
          <w:rFonts w:hint="eastAsia" w:ascii="宋体" w:hAnsi="宋体" w:cs="Arial"/>
          <w:sz w:val="24"/>
          <w:szCs w:val="24"/>
        </w:rPr>
      </w:r>
      <w:r/>
    </w:p>
    <w:p>
      <w:pPr>
        <w:pStyle w:val="1048"/>
        <w:ind w:left="357" w:firstLine="0"/>
        <w:spacing w:line="360" w:lineRule="auto"/>
        <w:rPr>
          <w:rFonts w:hint="eastAsia" w:ascii="宋体" w:hAnsi="宋体" w:cs="Arial"/>
          <w:sz w:val="24"/>
          <w:szCs w:val="24"/>
        </w:rPr>
      </w:pPr>
      <w:r>
        <w:rPr>
          <w:rFonts w:hint="eastAsia" w:ascii="宋体" w:hAnsi="宋体" w:cs="Arial"/>
          <w:sz w:val="24"/>
          <w:szCs w:val="24"/>
        </w:rPr>
      </w:r>
      <w:r/>
    </w:p>
    <w:p>
      <w:pPr>
        <w:pStyle w:val="1045"/>
        <w:ind w:firstLine="445"/>
        <w:spacing w:before="151" w:after="151" w:line="360" w:lineRule="auto"/>
        <w:rPr>
          <w:rFonts w:hint="eastAsia" w:ascii="宋体" w:hAnsi="宋体"/>
          <w:sz w:val="24"/>
        </w:rPr>
      </w:pPr>
      <w:r>
        <w:rPr>
          <w:rFonts w:hint="eastAsia" w:ascii="宋体" w:hAnsi="宋体"/>
          <w:sz w:val="24"/>
        </w:rPr>
        <w:t xml:space="preserve">注：非残疾人福利性单位不需提供此函。</w:t>
      </w:r>
      <w:r/>
    </w:p>
    <w:p>
      <w:pPr>
        <w:pStyle w:val="1045"/>
        <w:ind w:firstLine="445"/>
        <w:spacing w:before="151" w:after="151" w:line="360" w:lineRule="auto"/>
        <w:rPr>
          <w:rFonts w:hint="eastAsia" w:ascii="宋体" w:hAnsi="宋体"/>
          <w:sz w:val="24"/>
        </w:rPr>
      </w:pPr>
      <w:r>
        <w:rPr>
          <w:rFonts w:hint="eastAsia" w:ascii="宋体" w:hAnsi="宋体"/>
          <w:sz w:val="24"/>
        </w:rPr>
      </w:r>
      <w:r/>
    </w:p>
    <w:p>
      <w:pPr>
        <w:pStyle w:val="1045"/>
        <w:ind w:firstLine="445"/>
        <w:spacing w:before="151" w:after="151" w:line="360" w:lineRule="auto"/>
        <w:rPr>
          <w:rFonts w:hint="eastAsia" w:ascii="宋体" w:hAnsi="宋体"/>
          <w:sz w:val="24"/>
        </w:rPr>
      </w:pPr>
      <w:r>
        <w:rPr>
          <w:rFonts w:hint="eastAsia" w:ascii="宋体" w:hAnsi="宋体"/>
          <w:sz w:val="24"/>
        </w:rPr>
      </w:r>
      <w:r/>
    </w:p>
    <w:p>
      <w:pPr>
        <w:pStyle w:val="1045"/>
        <w:ind w:firstLine="445"/>
        <w:spacing w:before="151" w:after="151" w:line="360" w:lineRule="auto"/>
        <w:rPr>
          <w:rFonts w:hint="eastAsia" w:ascii="宋体" w:hAnsi="宋体"/>
          <w:sz w:val="24"/>
        </w:rPr>
      </w:pPr>
      <w:r>
        <w:rPr>
          <w:rFonts w:hint="eastAsia" w:ascii="宋体" w:hAnsi="宋体"/>
          <w:sz w:val="24"/>
        </w:rPr>
      </w:r>
      <w:r/>
    </w:p>
    <w:p>
      <w:pPr>
        <w:pStyle w:val="1045"/>
        <w:ind w:firstLine="445"/>
        <w:spacing w:before="151" w:after="151" w:line="360" w:lineRule="auto"/>
        <w:rPr>
          <w:rFonts w:hint="eastAsia" w:ascii="宋体" w:hAnsi="宋体"/>
          <w:sz w:val="24"/>
        </w:rPr>
      </w:pPr>
      <w:r>
        <w:rPr>
          <w:rFonts w:hint="eastAsia" w:ascii="宋体" w:hAnsi="宋体"/>
          <w:sz w:val="24"/>
        </w:rPr>
      </w:r>
      <w:r/>
    </w:p>
    <w:p>
      <w:pPr>
        <w:pStyle w:val="1045"/>
        <w:ind w:firstLine="445"/>
        <w:spacing w:before="151" w:after="151" w:line="360" w:lineRule="auto"/>
        <w:rPr>
          <w:rFonts w:hint="eastAsia" w:ascii="宋体" w:hAnsi="宋体"/>
          <w:sz w:val="24"/>
        </w:rPr>
      </w:pPr>
      <w:r>
        <w:rPr>
          <w:rFonts w:hint="eastAsia" w:ascii="宋体" w:hAnsi="宋体"/>
          <w:sz w:val="24"/>
        </w:rPr>
      </w:r>
      <w:r/>
    </w:p>
    <w:p>
      <w:pPr>
        <w:pStyle w:val="1045"/>
        <w:ind w:firstLine="445"/>
        <w:spacing w:before="151" w:after="151" w:line="360" w:lineRule="auto"/>
        <w:rPr>
          <w:rFonts w:hint="eastAsia" w:ascii="宋体" w:hAnsi="宋体"/>
          <w:sz w:val="24"/>
        </w:rPr>
      </w:pPr>
      <w:r>
        <w:rPr>
          <w:rFonts w:hint="eastAsia" w:ascii="宋体" w:hAnsi="宋体"/>
          <w:sz w:val="24"/>
        </w:rPr>
      </w:r>
      <w:r/>
    </w:p>
    <w:p>
      <w:pPr>
        <w:pStyle w:val="1045"/>
        <w:ind w:firstLine="445"/>
        <w:spacing w:before="151" w:after="151" w:line="360" w:lineRule="auto"/>
        <w:rPr>
          <w:rFonts w:hint="eastAsia" w:ascii="宋体" w:hAnsi="宋体"/>
          <w:sz w:val="24"/>
        </w:rPr>
      </w:pPr>
      <w:r>
        <w:rPr>
          <w:rFonts w:hint="eastAsia" w:ascii="宋体" w:hAnsi="宋体"/>
          <w:sz w:val="24"/>
        </w:rPr>
      </w:r>
      <w:r/>
    </w:p>
    <w:p>
      <w:pPr>
        <w:pStyle w:val="1045"/>
        <w:ind w:firstLine="445"/>
        <w:spacing w:before="151" w:after="151" w:line="360" w:lineRule="auto"/>
        <w:rPr>
          <w:rFonts w:hint="eastAsia" w:ascii="宋体" w:hAnsi="宋体"/>
          <w:sz w:val="24"/>
        </w:rPr>
      </w:pPr>
      <w:r>
        <w:rPr>
          <w:rFonts w:hint="eastAsia" w:ascii="宋体" w:hAnsi="宋体"/>
          <w:sz w:val="24"/>
        </w:rPr>
      </w:r>
      <w:r/>
    </w:p>
    <w:p>
      <w:pPr>
        <w:jc w:val="center"/>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849"/>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49"/>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5"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73600;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6" name="直接箭头连接符 3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72576;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71552;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8" name="直接箭头连接符 2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052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9" name="直接箭头连接符 2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950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10" name="直接箭头连接符 2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4384;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11" name="直接箭头连接符 2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3360;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2336;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855"/>
          <w:rFonts w:hint="eastAsia" w:ascii="方正魏碑_GBK" w:hAnsi="方正魏碑_GBK" w:eastAsia="方正魏碑_GBK" w:cs="方正魏碑_GBK"/>
          <w:i w:val="0"/>
          <w:color w:val="ff0000"/>
          <w:u w:val="single"/>
          <w:shd w:val="clear" w:color="auto" w:fill="ffffff"/>
        </w:rPr>
        <w:t xml:space="preserve">（产品名称1）</w:t>
      </w:r>
      <w:r>
        <w:rPr>
          <w:rStyle w:val="855"/>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55"/>
          <w:rFonts w:hint="eastAsia" w:ascii="方正魏碑_GBK" w:hAnsi="方正魏碑_GBK" w:eastAsia="方正魏碑_GBK" w:cs="方正魏碑_GBK"/>
          <w:i w:val="0"/>
          <w:color w:val="ff0000"/>
          <w:u w:val="single"/>
          <w:shd w:val="clear" w:color="auto" w:fill="ffffff"/>
        </w:rPr>
        <w:t xml:space="preserve">（厂名）</w:t>
      </w:r>
      <w:r>
        <w:rPr>
          <w:rStyle w:val="855"/>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55"/>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55"/>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55"/>
          <w:rFonts w:hint="eastAsia" w:ascii="方正魏碑_GBK" w:hAnsi="方正魏碑_GBK" w:eastAsia="方正魏碑_GBK" w:cs="方正魏碑_GBK"/>
          <w:i w:val="0"/>
          <w:color w:val="ff0000"/>
          <w:u w:val="single"/>
          <w:shd w:val="clear" w:color="auto" w:fill="ffffff"/>
        </w:rPr>
        <w:t xml:space="preserve">（规定</w:t>
      </w:r>
      <w:r>
        <w:rPr>
          <w:rStyle w:val="855"/>
          <w:rFonts w:ascii="方正魏碑_GBK" w:hAnsi="方正魏碑_GBK" w:eastAsia="方正魏碑_GBK" w:cs="方正魏碑_GBK"/>
          <w:i w:val="0"/>
          <w:color w:val="ff0000"/>
          <w:u w:val="single"/>
          <w:shd w:val="clear" w:color="auto" w:fill="ffffff"/>
        </w:rPr>
        <w:t xml:space="preserve">比例</w:t>
      </w:r>
      <w:r>
        <w:rPr>
          <w:rStyle w:val="855"/>
          <w:rFonts w:hint="eastAsia" w:ascii="方正魏碑_GBK" w:hAnsi="方正魏碑_GBK" w:eastAsia="方正魏碑_GBK" w:cs="方正魏碑_GBK"/>
          <w:i w:val="0"/>
          <w:color w:val="ff0000"/>
          <w:u w:val="single"/>
          <w:shd w:val="clear" w:color="auto" w:fill="ffffff"/>
        </w:rPr>
        <w:t xml:space="preserve">）</w:t>
      </w:r>
      <w:r>
        <w:rPr>
          <w:rStyle w:val="855"/>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5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55"/>
          <w:rFonts w:hint="eastAsia" w:ascii="方正魏碑_GBK" w:hAnsi="方正魏碑_GBK" w:eastAsia="方正魏碑_GBK" w:cs="方正魏碑_GBK"/>
          <w:i w:val="0"/>
          <w:color w:val="ff0000"/>
          <w:u w:val="single"/>
          <w:shd w:val="clear" w:color="auto" w:fill="ffffff"/>
        </w:rPr>
        <w:t xml:space="preserve">（关键</w:t>
      </w:r>
      <w:r>
        <w:rPr>
          <w:rStyle w:val="855"/>
          <w:rFonts w:ascii="方正魏碑_GBK" w:hAnsi="方正魏碑_GBK" w:eastAsia="方正魏碑_GBK" w:cs="方正魏碑_GBK"/>
          <w:i w:val="0"/>
          <w:color w:val="ff0000"/>
          <w:u w:val="single"/>
          <w:shd w:val="clear" w:color="auto" w:fill="ffffff"/>
        </w:rPr>
        <w:t xml:space="preserve">组件</w:t>
      </w:r>
      <w:r>
        <w:rPr>
          <w:rStyle w:val="855"/>
          <w:rFonts w:hint="eastAsia" w:ascii="方正魏碑_GBK" w:hAnsi="方正魏碑_GBK" w:eastAsia="方正魏碑_GBK" w:cs="方正魏碑_GBK"/>
          <w:i w:val="0"/>
          <w:color w:val="ff0000"/>
          <w:u w:val="single"/>
          <w:shd w:val="clear" w:color="auto" w:fill="ffffff"/>
        </w:rPr>
        <w:t xml:space="preserve">）</w:t>
      </w:r>
      <w:r>
        <w:rPr>
          <w:rStyle w:val="855"/>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5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55"/>
          <w:rFonts w:hint="eastAsia" w:ascii="方正魏碑_GBK" w:hAnsi="方正魏碑_GBK" w:eastAsia="方正魏碑_GBK" w:cs="方正魏碑_GBK"/>
          <w:i w:val="0"/>
          <w:color w:val="ff0000"/>
          <w:u w:val="single"/>
          <w:shd w:val="clear" w:color="auto" w:fill="ffffff"/>
        </w:rPr>
        <w:t xml:space="preserve">（关键工序）</w:t>
      </w:r>
      <w:r>
        <w:rPr>
          <w:rStyle w:val="855"/>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84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667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769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5648;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7462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7"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6" o:spid="_x0000_s16" o:spt="32" type="#_x0000_t32" style="position:absolute;z-index:25166745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8"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7" o:spid="_x0000_s17" o:spt="32" type="#_x0000_t32" style="position:absolute;z-index:251668480;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9" name="直接箭头连接符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8" o:spid="_x0000_s18" o:spt="32" type="#_x0000_t32" style="position:absolute;z-index:251666432;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20" name="直接箭头连接符 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9" o:spid="_x0000_s19" o:spt="32" type="#_x0000_t32" style="position:absolute;z-index:25166540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85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55"/>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55"/>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5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55"/>
          <w:rFonts w:hint="eastAsia" w:ascii="方正魏碑_GBK" w:hAnsi="方正魏碑_GBK" w:eastAsia="方正魏碑_GBK" w:cs="方正魏碑_GBK"/>
          <w:i w:val="0"/>
          <w:color w:val="ff0000"/>
          <w:u w:val="single"/>
          <w:shd w:val="clear" w:color="auto" w:fill="ffffff"/>
        </w:rPr>
        <w:t xml:space="preserve">（规定</w:t>
      </w:r>
      <w:r>
        <w:rPr>
          <w:rStyle w:val="855"/>
          <w:rFonts w:ascii="方正魏碑_GBK" w:hAnsi="方正魏碑_GBK" w:eastAsia="方正魏碑_GBK" w:cs="方正魏碑_GBK"/>
          <w:i w:val="0"/>
          <w:color w:val="ff0000"/>
          <w:u w:val="single"/>
          <w:shd w:val="clear" w:color="auto" w:fill="ffffff"/>
        </w:rPr>
        <w:t xml:space="preserve">比例</w:t>
      </w:r>
      <w:r>
        <w:rPr>
          <w:rStyle w:val="855"/>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5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55"/>
          <w:rFonts w:hint="eastAsia" w:ascii="方正魏碑_GBK" w:hAnsi="方正魏碑_GBK" w:eastAsia="方正魏碑_GBK" w:cs="方正魏碑_GBK"/>
          <w:i w:val="0"/>
          <w:color w:val="ff0000"/>
          <w:u w:val="single"/>
          <w:shd w:val="clear" w:color="auto" w:fill="ffffff"/>
        </w:rPr>
        <w:t xml:space="preserve">（关键</w:t>
      </w:r>
      <w:r>
        <w:rPr>
          <w:rStyle w:val="855"/>
          <w:rFonts w:ascii="方正魏碑_GBK" w:hAnsi="方正魏碑_GBK" w:eastAsia="方正魏碑_GBK" w:cs="方正魏碑_GBK"/>
          <w:i w:val="0"/>
          <w:color w:val="ff0000"/>
          <w:u w:val="single"/>
          <w:shd w:val="clear" w:color="auto" w:fill="ffffff"/>
        </w:rPr>
        <w:t xml:space="preserve">组件</w:t>
      </w:r>
      <w:r>
        <w:rPr>
          <w:rStyle w:val="855"/>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5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55"/>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84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849"/>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849"/>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49"/>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849"/>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849"/>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84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84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84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849"/>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849"/>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849"/>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pPr>
        <w:pStyle w:val="1045"/>
        <w:ind w:firstLine="445"/>
        <w:spacing w:before="151" w:after="151" w:line="360" w:lineRule="auto"/>
        <w:rPr>
          <w:rFonts w:hint="eastAsia" w:ascii="宋体" w:hAnsi="宋体"/>
          <w:sz w:val="24"/>
        </w:rPr>
      </w:pPr>
      <w:r>
        <w:rPr>
          <w:rFonts w:hint="eastAsia" w:ascii="宋体" w:hAnsi="宋体"/>
          <w:sz w:val="24"/>
        </w:rPr>
      </w:r>
      <w:r/>
    </w:p>
    <w:p>
      <w:pPr>
        <w:jc w:val="left"/>
        <w:keepLines/>
        <w:spacing w:before="120" w:after="120" w:line="360" w:lineRule="auto"/>
        <w:rPr>
          <w:rFonts w:eastAsia="黑体"/>
          <w:b/>
          <w:sz w:val="32"/>
          <w:szCs w:val="32"/>
        </w:rPr>
        <w:outlineLvl w:val="1"/>
      </w:pPr>
      <w:r>
        <w:rPr>
          <w:rFonts w:eastAsia="黑体"/>
          <w:b/>
          <w:sz w:val="32"/>
          <w:szCs w:val="32"/>
        </w:rPr>
        <w:br w:type="page" w:clear="all"/>
      </w:r>
      <w:r>
        <w:rPr>
          <w:rFonts w:hint="eastAsia" w:eastAsia="黑体"/>
          <w:b/>
          <w:sz w:val="32"/>
          <w:szCs w:val="32"/>
        </w:rPr>
        <w:t xml:space="preserve">八、技术及商务要求响应及偏离表（分包号：</w:t>
      </w:r>
      <w:r>
        <w:rPr>
          <w:rFonts w:hint="eastAsia" w:eastAsia="黑体"/>
          <w:b/>
          <w:sz w:val="32"/>
          <w:szCs w:val="32"/>
        </w:rPr>
        <w:t xml:space="preserve">**</w:t>
      </w:r>
      <w:r>
        <w:rPr>
          <w:rFonts w:hint="eastAsia" w:eastAsia="黑体"/>
          <w:b/>
          <w:sz w:val="32"/>
          <w:szCs w:val="32"/>
        </w:rPr>
        <w:t xml:space="preserve">）</w:t>
      </w:r>
      <w:r/>
    </w:p>
    <w:p>
      <w:pPr>
        <w:jc w:val="center"/>
        <w:spacing w:line="360" w:lineRule="auto"/>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技术要求响应及偏离表</w:t>
      </w:r>
      <w:r/>
    </w:p>
    <w:tbl>
      <w:tblPr>
        <w:tblW w:w="0" w:type="auto"/>
        <w:tblCellSpacing w:w="0" w:type="dxa"/>
        <w:tblLook w:val="04A0" w:firstRow="1" w:lastRow="0" w:firstColumn="1" w:lastColumn="0" w:noHBand="0" w:noVBand="1"/>
      </w:tblPr>
      <w:tblGrid>
        <w:gridCol w:w="538"/>
        <w:gridCol w:w="2925"/>
        <w:gridCol w:w="2515"/>
        <w:gridCol w:w="1226"/>
        <w:gridCol w:w="1076"/>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spacing w:line="360" w:lineRule="auto"/>
        <w:rPr>
          <w:rFonts w:eastAsia="黑体"/>
          <w:b/>
          <w:sz w:val="36"/>
          <w:szCs w:val="21"/>
        </w:rPr>
      </w:pPr>
      <w:r>
        <w:rPr>
          <w:rFonts w:eastAsia="黑体"/>
          <w:b/>
          <w:sz w:val="36"/>
          <w:szCs w:val="21"/>
        </w:rPr>
      </w:r>
      <w:r/>
    </w:p>
    <w:p>
      <w:pPr>
        <w:pStyle w:val="822"/>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22"/>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22"/>
        <w:rPr>
          <w:rFonts w:eastAsia="黑体"/>
          <w:b/>
          <w:sz w:val="36"/>
          <w:szCs w:val="21"/>
        </w:rPr>
      </w:pPr>
      <w:r>
        <w:rPr>
          <w:rFonts w:eastAsia="黑体"/>
          <w:b/>
          <w:sz w:val="36"/>
          <w:szCs w:val="21"/>
        </w:rPr>
      </w:r>
      <w:r/>
    </w:p>
    <w:p>
      <w:pPr>
        <w:rPr>
          <w:rFonts w:eastAsia="黑体"/>
          <w:b/>
          <w:sz w:val="36"/>
          <w:szCs w:val="21"/>
        </w:rPr>
      </w:pPr>
      <w:r>
        <w:rPr>
          <w:rFonts w:eastAsia="黑体"/>
          <w:b/>
          <w:sz w:val="36"/>
          <w:szCs w:val="21"/>
        </w:rPr>
      </w:r>
      <w:r/>
    </w:p>
    <w:p>
      <w:pPr>
        <w:pStyle w:val="822"/>
        <w:rPr>
          <w:rFonts w:eastAsia="黑体"/>
          <w:b/>
          <w:sz w:val="36"/>
          <w:szCs w:val="21"/>
        </w:rPr>
      </w:pPr>
      <w:r>
        <w:rPr>
          <w:rFonts w:eastAsia="黑体"/>
          <w:b/>
          <w:sz w:val="36"/>
          <w:szCs w:val="21"/>
        </w:rPr>
      </w:r>
      <w:r/>
    </w:p>
    <w:p>
      <w:r/>
      <w:r/>
    </w:p>
    <w:p>
      <w:pPr>
        <w:pStyle w:val="822"/>
        <w:spacing w:line="360" w:lineRule="auto"/>
      </w:pPr>
      <w:r/>
      <w:r/>
    </w:p>
    <w:p>
      <w:pPr>
        <w:spacing w:line="360" w:lineRule="auto"/>
      </w:pPr>
      <w:r/>
      <w:r/>
    </w:p>
    <w:p>
      <w:pPr>
        <w:pStyle w:val="822"/>
        <w:spacing w:line="360" w:lineRule="auto"/>
      </w:pPr>
      <w:r/>
      <w:r/>
    </w:p>
    <w:p>
      <w:pPr>
        <w:pStyle w:val="822"/>
        <w:spacing w:line="360" w:lineRule="auto"/>
      </w:pPr>
      <w:r/>
      <w:r/>
    </w:p>
    <w:p>
      <w:pPr>
        <w:jc w:val="center"/>
        <w:spacing w:line="360" w:lineRule="auto"/>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商务要求响应及偏离表</w:t>
      </w:r>
      <w:r/>
    </w:p>
    <w:tbl>
      <w:tblPr>
        <w:tblW w:w="0" w:type="auto"/>
        <w:tblCellSpacing w:w="0" w:type="dxa"/>
        <w:tblLook w:val="04A0" w:firstRow="1" w:lastRow="0" w:firstColumn="1" w:lastColumn="0" w:noHBand="0" w:noVBand="1"/>
      </w:tblPr>
      <w:tblGrid>
        <w:gridCol w:w="539"/>
        <w:gridCol w:w="2927"/>
        <w:gridCol w:w="2516"/>
        <w:gridCol w:w="1224"/>
        <w:gridCol w:w="1074"/>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360" w:lineRule="auto"/>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jc w:val="left"/>
        <w:spacing w:line="360" w:lineRule="auto"/>
        <w:widowControl/>
        <w:rPr>
          <w:rFonts w:eastAsia="黑体" w:cs="黑体"/>
          <w:b/>
          <w:sz w:val="32"/>
          <w:szCs w:val="24"/>
        </w:rPr>
        <w:outlineLvl w:val="1"/>
      </w:pPr>
      <w:r>
        <w:rPr>
          <w:rFonts w:eastAsia="黑体" w:cs="黑体"/>
          <w:b/>
          <w:sz w:val="32"/>
          <w:szCs w:val="24"/>
        </w:rPr>
      </w:r>
      <w:r/>
    </w:p>
    <w:p>
      <w:pPr>
        <w:pStyle w:val="822"/>
        <w:spacing w:line="360" w:lineRule="auto"/>
      </w:pPr>
      <w:r/>
      <w:r/>
    </w:p>
    <w:p>
      <w:pPr>
        <w:spacing w:line="360" w:lineRule="auto"/>
      </w:pPr>
      <w:r/>
      <w:r/>
    </w:p>
    <w:p>
      <w:pPr>
        <w:pStyle w:val="822"/>
        <w:spacing w:line="360" w:lineRule="auto"/>
      </w:pPr>
      <w:r/>
      <w:r/>
    </w:p>
    <w:p>
      <w:pPr>
        <w:spacing w:line="360" w:lineRule="auto"/>
      </w:pPr>
      <w:r/>
      <w:r/>
    </w:p>
    <w:p>
      <w:pPr>
        <w:pStyle w:val="822"/>
        <w:spacing w:line="360" w:lineRule="auto"/>
      </w:pPr>
      <w:r/>
      <w:r/>
    </w:p>
    <w:p>
      <w:pPr>
        <w:spacing w:line="360" w:lineRule="auto"/>
      </w:pPr>
      <w:r/>
      <w:r/>
    </w:p>
    <w:p>
      <w:pPr>
        <w:pStyle w:val="822"/>
        <w:spacing w:line="360" w:lineRule="auto"/>
      </w:pPr>
      <w:r/>
      <w:r/>
    </w:p>
    <w:p>
      <w:pPr>
        <w:spacing w:line="360" w:lineRule="auto"/>
      </w:pPr>
      <w:r/>
      <w:r/>
    </w:p>
    <w:p>
      <w:pPr>
        <w:pStyle w:val="822"/>
        <w:spacing w:line="360" w:lineRule="auto"/>
      </w:pPr>
      <w:r/>
      <w:r/>
    </w:p>
    <w:p>
      <w:pPr>
        <w:jc w:val="left"/>
        <w:spacing w:line="360" w:lineRule="auto"/>
        <w:widowControl/>
        <w:rPr>
          <w:rFonts w:eastAsia="黑体" w:cs="黑体"/>
          <w:b/>
          <w:sz w:val="32"/>
          <w:szCs w:val="24"/>
        </w:rPr>
        <w:outlineLvl w:val="1"/>
      </w:pPr>
      <w:r>
        <w:rPr>
          <w:rFonts w:hint="eastAsia" w:eastAsia="黑体" w:cs="黑体"/>
          <w:b/>
          <w:sz w:val="32"/>
          <w:szCs w:val="24"/>
        </w:rPr>
        <w:t xml:space="preserve">九、</w:t>
      </w:r>
      <w:r>
        <w:rPr>
          <w:rFonts w:eastAsia="黑体" w:cs="黑体"/>
          <w:b/>
          <w:sz w:val="32"/>
          <w:szCs w:val="24"/>
        </w:rPr>
        <w:t xml:space="preserve">项目组人员</w:t>
      </w:r>
      <w:r>
        <w:rPr>
          <w:rFonts w:hint="eastAsia" w:eastAsia="黑体" w:cs="黑体"/>
          <w:b/>
          <w:sz w:val="32"/>
          <w:szCs w:val="24"/>
        </w:rPr>
        <w:t xml:space="preserve">（如有）</w:t>
      </w:r>
      <w:r/>
    </w:p>
    <w:p>
      <w:pPr>
        <w:jc w:val="center"/>
        <w:spacing w:before="100" w:beforeAutospacing="1" w:after="100" w:afterAutospacing="1" w:line="360" w:lineRule="auto"/>
        <w:widowControl/>
        <w:rPr>
          <w:rFonts w:eastAsia="宋体" w:cs="宋体"/>
          <w:b/>
          <w:bCs/>
          <w:sz w:val="32"/>
          <w:szCs w:val="32"/>
        </w:rPr>
      </w:pPr>
      <w:r>
        <w:rPr>
          <w:rFonts w:hint="eastAsia" w:eastAsia="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360" w:lineRule="auto"/>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360" w:lineRule="auto"/>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360" w:lineRule="auto"/>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宋体" w:cs="宋体"/>
                <w:sz w:val="20"/>
              </w:rPr>
            </w:pPr>
            <w:r>
              <w:rPr>
                <w:rFonts w:hint="eastAsia" w:eastAsia="仿宋_GB2312" w:cs="仿宋_GB2312"/>
                <w:sz w:val="28"/>
                <w:szCs w:val="28"/>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360" w:lineRule="auto"/>
              <w:widowControl/>
              <w:rPr>
                <w:rFonts w:eastAsia="仿宋_GB2312" w:cs="仿宋_GB2312"/>
                <w:sz w:val="28"/>
                <w:szCs w:val="28"/>
              </w:rPr>
            </w:pPr>
            <w:r>
              <w:rPr>
                <w:rFonts w:eastAsia="仿宋_GB2312" w:cs="仿宋_GB2312"/>
                <w:sz w:val="28"/>
                <w:szCs w:val="28"/>
              </w:rPr>
            </w:r>
            <w:r/>
          </w:p>
        </w:tc>
      </w:tr>
    </w:tbl>
    <w:p>
      <w:pPr>
        <w:ind w:firstLine="398"/>
        <w:jc w:val="left"/>
        <w:spacing w:before="100" w:beforeAutospacing="1" w:after="100" w:afterAutospacing="1" w:line="360" w:lineRule="auto"/>
        <w:widowControl/>
        <w:rPr>
          <w:rFonts w:eastAsia="仿宋_GB2312" w:cs="仿宋_GB2312"/>
          <w:sz w:val="24"/>
          <w:szCs w:val="24"/>
        </w:rPr>
      </w:pPr>
      <w:r>
        <w:rPr>
          <w:rFonts w:eastAsia="仿宋_GB2312" w:cs="仿宋_GB2312"/>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360" w:lineRule="auto"/>
        <w:widowControl/>
        <w:rPr>
          <w:rFonts w:eastAsia="仿宋_GB2312" w:cs="仿宋_GB2312"/>
          <w:sz w:val="24"/>
          <w:szCs w:val="24"/>
        </w:rPr>
      </w:pPr>
      <w:r>
        <w:rPr>
          <w:rFonts w:eastAsia="仿宋_GB2312" w:cs="仿宋_GB2312"/>
          <w:sz w:val="24"/>
          <w:szCs w:val="24"/>
        </w:rPr>
      </w:r>
      <w:r/>
    </w:p>
    <w:p>
      <w:pPr>
        <w:spacing w:line="360" w:lineRule="auto"/>
        <w:rPr>
          <w:rFonts w:eastAsia="宋体"/>
          <w:sz w:val="21"/>
          <w:szCs w:val="24"/>
        </w:rPr>
      </w:pPr>
      <w:r>
        <w:rPr>
          <w:rFonts w:eastAsia="宋体"/>
          <w:sz w:val="21"/>
          <w:szCs w:val="24"/>
        </w:rPr>
        <w:br w:type="page" w:clear="all"/>
      </w:r>
      <w:bookmarkStart w:id="57" w:name="_Toc11176"/>
      <w:r>
        <w:rPr>
          <w:rFonts w:hint="eastAsia" w:eastAsia="黑体" w:cs="黑体"/>
          <w:b/>
          <w:sz w:val="32"/>
          <w:szCs w:val="24"/>
        </w:rPr>
        <w:t xml:space="preserve">十、</w:t>
      </w:r>
      <w:bookmarkEnd w:id="57"/>
      <w:r>
        <w:rPr>
          <w:rFonts w:hint="eastAsia" w:eastAsia="黑体" w:cs="黑体"/>
          <w:b/>
          <w:sz w:val="32"/>
          <w:szCs w:val="24"/>
        </w:rPr>
        <w:t xml:space="preserve">企业业绩（如有）</w:t>
      </w:r>
      <w:r/>
    </w:p>
    <w:p>
      <w:pPr>
        <w:jc w:val="center"/>
        <w:spacing w:line="360" w:lineRule="auto"/>
        <w:rPr>
          <w:rFonts w:eastAsia="宋体"/>
          <w:b/>
          <w:sz w:val="32"/>
          <w:szCs w:val="32"/>
        </w:rPr>
      </w:pPr>
      <w:r>
        <w:rPr>
          <w:rFonts w:hint="eastAsia" w:eastAsia="宋体"/>
          <w:b/>
          <w:sz w:val="32"/>
          <w:szCs w:val="32"/>
        </w:rPr>
        <w:t xml:space="preserve">投标人承担类似项目业绩一览表</w:t>
      </w:r>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360" w:lineRule="auto"/>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jc w:val="center"/>
              <w:spacing w:line="360" w:lineRule="auto"/>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r>
        <w:trPr>
          <w:jc w:val="center"/>
          <w:trHeight w:val="1525"/>
        </w:trPr>
        <w:tc>
          <w:tcPr>
            <w:tcW w:w="1229" w:type="dxa"/>
            <w:textDirection w:val="lrTb"/>
            <w:noWrap w:val="false"/>
          </w:tcPr>
          <w:p>
            <w:pPr>
              <w:jc w:val="center"/>
              <w:spacing w:line="360" w:lineRule="auto"/>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360" w:lineRule="auto"/>
              <w:rPr>
                <w:rFonts w:eastAsia="仿宋_GB2312"/>
                <w:sz w:val="28"/>
                <w:szCs w:val="24"/>
              </w:rPr>
            </w:pPr>
            <w:r>
              <w:rPr>
                <w:rFonts w:eastAsia="仿宋_GB2312"/>
                <w:sz w:val="28"/>
                <w:szCs w:val="24"/>
              </w:rPr>
            </w:r>
            <w:r/>
          </w:p>
        </w:tc>
      </w:tr>
    </w:tbl>
    <w:p>
      <w:pPr>
        <w:spacing w:line="360" w:lineRule="auto"/>
        <w:rPr>
          <w:rFonts w:eastAsia="宋体"/>
          <w:sz w:val="21"/>
          <w:szCs w:val="22"/>
        </w:rPr>
      </w:pPr>
      <w:r>
        <w:rPr>
          <w:rFonts w:hint="eastAsia" w:eastAsia="仿宋_GB2312"/>
          <w:b/>
          <w:sz w:val="24"/>
          <w:szCs w:val="22"/>
        </w:rPr>
        <w:t xml:space="preserve">注：请填写此表，并按要求上传业绩资料电子件。</w:t>
      </w:r>
      <w:r/>
    </w:p>
    <w:p>
      <w:pPr>
        <w:jc w:val="left"/>
        <w:spacing w:line="360" w:lineRule="auto"/>
        <w:widowControl/>
        <w:rPr>
          <w:rFonts w:eastAsia="黑体" w:cs="黑体"/>
          <w:b/>
          <w:sz w:val="32"/>
          <w:szCs w:val="24"/>
        </w:rPr>
        <w:outlineLvl w:val="1"/>
      </w:pPr>
      <w:r>
        <w:rPr>
          <w:rFonts w:eastAsia="黑体" w:cs="黑体"/>
          <w:b/>
          <w:sz w:val="32"/>
          <w:szCs w:val="24"/>
        </w:rPr>
        <w:br w:type="page" w:clear="all"/>
      </w:r>
      <w:bookmarkStart w:id="58" w:name="_Toc28140"/>
      <w:r>
        <w:rPr>
          <w:rFonts w:hint="eastAsia" w:eastAsia="黑体" w:cs="黑体"/>
          <w:b/>
          <w:sz w:val="32"/>
          <w:szCs w:val="24"/>
        </w:rPr>
        <w:t xml:space="preserve">十一</w:t>
      </w:r>
      <w:r>
        <w:rPr>
          <w:rFonts w:eastAsia="黑体" w:cs="黑体"/>
          <w:b/>
          <w:sz w:val="32"/>
          <w:szCs w:val="24"/>
        </w:rPr>
        <w:t xml:space="preserve">、投标所需其他材料</w:t>
      </w:r>
      <w:bookmarkEnd w:id="58"/>
      <w:r/>
      <w:r/>
    </w:p>
    <w:p>
      <w:pPr>
        <w:ind w:firstLine="560"/>
        <w:spacing w:line="360" w:lineRule="auto"/>
        <w:rPr>
          <w:rFonts w:eastAsia="仿宋_GB2312"/>
          <w:sz w:val="28"/>
          <w:szCs w:val="28"/>
        </w:rPr>
      </w:pPr>
      <w:r>
        <w:rPr>
          <w:rFonts w:hint="eastAsia" w:eastAsia="仿宋_GB2312"/>
          <w:sz w:val="28"/>
          <w:szCs w:val="28"/>
        </w:rPr>
        <w:t xml:space="preserve">请在此文档中增加投标所需其他相关内容（包括资格要求、评分办法、采购需求中涉及的证件证明及其它投标人认为有必要提供的资料），如没有请将此空文档上传。</w:t>
      </w:r>
      <w:r/>
    </w:p>
    <w:p>
      <w:pPr>
        <w:spacing w:line="360" w:lineRule="auto"/>
        <w:rPr>
          <w:rFonts w:eastAsia="宋体"/>
          <w:sz w:val="20"/>
          <w:szCs w:val="21"/>
        </w:rPr>
      </w:pPr>
      <w:r>
        <w:rPr>
          <w:rFonts w:hint="eastAsia" w:eastAsia="宋体"/>
          <w:sz w:val="20"/>
          <w:szCs w:val="21"/>
        </w:rPr>
        <w:t xml:space="preserve"> </w:t>
      </w:r>
      <w:r/>
    </w:p>
    <w:p>
      <w:pPr>
        <w:spacing w:line="360" w:lineRule="auto"/>
        <w:rPr>
          <w:rFonts w:eastAsia="宋体"/>
          <w:sz w:val="21"/>
          <w:szCs w:val="21"/>
        </w:rPr>
      </w:pPr>
      <w:r>
        <w:rPr>
          <w:rFonts w:eastAsia="宋体"/>
          <w:sz w:val="21"/>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r/>
    </w:p>
    <w:p>
      <w:pPr>
        <w:spacing w:line="360" w:lineRule="auto"/>
        <w:rPr>
          <w:rFonts w:eastAsia="黑体"/>
          <w:sz w:val="32"/>
          <w:szCs w:val="21"/>
        </w:rPr>
      </w:pPr>
      <w:r>
        <w:rPr>
          <w:rFonts w:eastAsia="黑体"/>
          <w:sz w:val="32"/>
          <w:szCs w:val="21"/>
        </w:rPr>
      </w:r>
      <w:bookmarkEnd w:id="53"/>
      <w:r/>
      <w:r/>
    </w:p>
    <w:p>
      <w:pPr>
        <w:spacing w:line="360" w:lineRule="auto"/>
        <w:rPr>
          <w:rFonts w:eastAsia="宋体"/>
          <w:sz w:val="24"/>
          <w:szCs w:val="21"/>
        </w:rPr>
      </w:pPr>
      <w:r>
        <w:rPr>
          <w:rFonts w:eastAsia="宋体"/>
          <w:sz w:val="24"/>
          <w:szCs w:val="21"/>
        </w:rPr>
      </w:r>
      <w:r/>
    </w:p>
    <w:p>
      <w:pPr>
        <w:spacing w:line="360" w:lineRule="auto"/>
        <w:rPr>
          <w:rFonts w:eastAsia="宋体"/>
          <w:sz w:val="30"/>
          <w:szCs w:val="21"/>
        </w:rPr>
      </w:pPr>
      <w:r>
        <w:rPr>
          <w:rFonts w:eastAsia="宋体"/>
          <w:sz w:val="30"/>
          <w:szCs w:val="21"/>
        </w:rPr>
      </w:r>
      <w:r/>
    </w:p>
    <w:p>
      <w:pPr>
        <w:spacing w:line="360" w:lineRule="auto"/>
        <w:rPr>
          <w:rFonts w:eastAsia="宋体"/>
          <w:sz w:val="24"/>
          <w:szCs w:val="21"/>
        </w:rPr>
      </w:pPr>
      <w:r/>
      <w:bookmarkStart w:id="59" w:name="_Hlt26955066"/>
      <w:r/>
      <w:bookmarkStart w:id="60" w:name="_Hlt26671374"/>
      <w:r/>
      <w:bookmarkStart w:id="61" w:name="_Hlt26609389"/>
      <w:r/>
      <w:bookmarkStart w:id="62" w:name="_Toc462564146"/>
      <w:r/>
      <w:bookmarkEnd w:id="59"/>
      <w:r/>
      <w:bookmarkEnd w:id="60"/>
      <w:r/>
      <w:bookmarkEnd w:id="61"/>
      <w:r/>
      <w:r/>
    </w:p>
    <w:p>
      <w:pPr>
        <w:spacing w:line="360" w:lineRule="auto"/>
        <w:rPr>
          <w:rFonts w:eastAsia="宋体"/>
          <w:sz w:val="24"/>
          <w:szCs w:val="21"/>
        </w:rPr>
      </w:pPr>
      <w:r>
        <w:rPr>
          <w:rFonts w:eastAsia="宋体"/>
          <w:sz w:val="24"/>
          <w:szCs w:val="21"/>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ind w:firstLine="480"/>
        <w:jc w:val="left"/>
        <w:spacing w:line="360" w:lineRule="auto"/>
        <w:rPr>
          <w:rFonts w:eastAsia="仿宋_GB2312" w:cs="仿宋_GB2312"/>
          <w:sz w:val="24"/>
          <w:szCs w:val="32"/>
          <w:lang w:val="zh-TW"/>
        </w:rPr>
      </w:pPr>
      <w:r>
        <w:rPr>
          <w:rFonts w:eastAsia="仿宋_GB2312" w:cs="仿宋_GB2312"/>
          <w:sz w:val="24"/>
          <w:szCs w:val="32"/>
          <w:lang w:val="zh-TW"/>
        </w:rPr>
      </w:r>
      <w:r/>
    </w:p>
    <w:p>
      <w:pPr>
        <w:spacing w:line="360" w:lineRule="auto"/>
        <w:rPr>
          <w:rFonts w:eastAsia="黑体"/>
          <w:b/>
          <w:sz w:val="32"/>
          <w:szCs w:val="32"/>
        </w:rPr>
      </w:pPr>
      <w:r/>
      <w:bookmarkStart w:id="63" w:name="_格式2__法定代表人授权书"/>
      <w:r/>
      <w:bookmarkEnd w:id="62"/>
      <w:r/>
      <w:bookmarkEnd w:id="63"/>
      <w:r/>
      <w:r/>
    </w:p>
    <w:p>
      <w:pPr>
        <w:spacing w:line="360" w:lineRule="auto"/>
        <w:rPr>
          <w:rFonts w:eastAsia="黑体"/>
          <w:b/>
          <w:sz w:val="32"/>
          <w:szCs w:val="32"/>
        </w:rPr>
      </w:pPr>
      <w:r>
        <w:rPr>
          <w:rFonts w:eastAsia="黑体"/>
          <w:b/>
          <w:sz w:val="32"/>
          <w:szCs w:val="32"/>
        </w:rPr>
      </w:r>
      <w:r/>
    </w:p>
    <w:p>
      <w:pPr>
        <w:jc w:val="center"/>
        <w:spacing w:line="360" w:lineRule="auto"/>
        <w:rPr>
          <w:rFonts w:eastAsia="宋体" w:cs="仿宋"/>
          <w:b/>
          <w:bCs/>
          <w:sz w:val="32"/>
          <w:szCs w:val="32"/>
        </w:rPr>
      </w:pPr>
      <w:r>
        <w:rPr>
          <w:rFonts w:eastAsia="宋体" w:cs="仿宋"/>
          <w:b/>
          <w:bCs/>
          <w:sz w:val="32"/>
          <w:szCs w:val="32"/>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ajorEastAsia" w:hAnsiTheme="majorEastAsia" w:eastAsiaTheme="majorEastAsia"/>
          <w:sz w:val="32"/>
          <w:szCs w:val="32"/>
        </w:rPr>
      </w:pPr>
      <w:r>
        <w:rPr>
          <w:rFonts w:hint="eastAsia" w:asciiTheme="majorEastAsia" w:hAnsiTheme="majorEastAsia" w:eastAsiaTheme="majorEastAsia"/>
          <w:sz w:val="32"/>
          <w:szCs w:val="32"/>
        </w:rPr>
        <w:t xml:space="preserve">十二、资格证明文件（参考格式）</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（说明：投标人须按“招标公告”的要求，并按下列格式提供相应的资格证明文件）　　　</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rPr>
          <w:rFonts w:asciiTheme="minorEastAsia" w:hAnsiTheme="minorEastAsia" w:eastAsiaTheme="minorEastAsia"/>
          <w:sz w:val="24"/>
          <w:szCs w:val="24"/>
        </w:rPr>
        <w:t xml:space="preserve">依法缴纳税收和社会保障资金的相关材料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格式四：具备履行合同所必需的设备和专业技术能力的书面声明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asciiTheme="minorEastAsia" w:hAnsiTheme="minorEastAsia" w:eastAsiaTheme="minorEastAsia"/>
          <w:sz w:val="24"/>
          <w:szCs w:val="24"/>
        </w:rPr>
        <w:t xml:space="preserve">参加政府采购活动前3年内在经营活动中没有重大违法记录的书面声明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格式六：投标人</w:t>
      </w:r>
      <w:r>
        <w:rPr>
          <w:rFonts w:asciiTheme="minorEastAsia" w:hAnsiTheme="minorEastAsia" w:eastAsiaTheme="minorEastAsia"/>
          <w:sz w:val="24"/>
          <w:szCs w:val="24"/>
        </w:rPr>
        <w:t xml:space="preserve">及</w:t>
      </w:r>
      <w:r>
        <w:rPr>
          <w:rFonts w:hint="eastAsia" w:asciiTheme="minorEastAsia" w:hAnsiTheme="minorEastAsia" w:eastAsiaTheme="minorEastAsia"/>
          <w:sz w:val="24"/>
          <w:szCs w:val="24"/>
        </w:rPr>
        <w:t xml:space="preserve">投标产品（货物/</w:t>
      </w:r>
      <w:r>
        <w:rPr>
          <w:rFonts w:asciiTheme="minorEastAsia" w:hAnsiTheme="minorEastAsia" w:eastAsiaTheme="minorEastAsia"/>
          <w:sz w:val="24"/>
          <w:szCs w:val="24"/>
        </w:rPr>
        <w:t xml:space="preserve">服务</w:t>
      </w:r>
      <w:r>
        <w:rPr>
          <w:rFonts w:hint="eastAsia" w:asciiTheme="minorEastAsia" w:hAnsiTheme="minorEastAsia" w:eastAsiaTheme="minorEastAsia"/>
          <w:sz w:val="24"/>
          <w:szCs w:val="24"/>
        </w:rPr>
        <w:t xml:space="preserve">）资质证书（复印件）</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格式七*****（本项目要求的其他资格条件）</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法人或者其他组织的营业执照等证明文件，自然人的身份证明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5"/>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3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7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3"/>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4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1"/>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6"/>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（速动资产/流动负债）</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9"/>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（总负债/总资产）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（收入总额/平均应收账款）</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（销售成本/平均存货）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3346"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（净利润/平均净资产）</w:t>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依法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缴纳税收” 和</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社会保障资金”的相关材料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提供投标人参加本次政府采购活动前6个月内至少一个月缴纳税收及缴纳社会保障资金的证明材料。投标人依法享受缓缴、免缴税收、社会保障资金的提供证明材料；</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具备履行合同所必需的设备和专业技术能力的书面声明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主要设备有：。</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主要专业技术能力有：。</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 __年月日</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参加政府采购活动前 3 年内在经营活动中没有重大违法记录的书面声明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声  明</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日期：___年月日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br w:type="page" w:clear="all"/>
      </w:r>
      <w:r/>
    </w:p>
    <w:p>
      <w:pPr>
        <w:spacing w:line="360" w:lineRule="auto"/>
      </w:pPr>
      <w:r>
        <w:rPr>
          <w:rFonts w:hint="eastAsia"/>
        </w:rPr>
        <w:t xml:space="preserve">格式六</w:t>
      </w:r>
      <w:r/>
    </w:p>
    <w:p>
      <w:pPr>
        <w:spacing w:line="360" w:lineRule="auto"/>
      </w:pPr>
      <w:r>
        <w:rPr>
          <w:rFonts w:hint="eastAsia"/>
        </w:rPr>
        <w:t xml:space="preserve">资质证书（复印件）</w:t>
      </w:r>
      <w:r/>
    </w:p>
    <w:p>
      <w:pPr>
        <w:spacing w:line="360" w:lineRule="auto"/>
      </w:pPr>
      <w:r/>
      <w:r/>
    </w:p>
    <w:p>
      <w:pPr>
        <w:spacing w:line="360" w:lineRule="auto"/>
      </w:pPr>
      <w:r/>
      <w:r/>
    </w:p>
    <w:p>
      <w:pPr>
        <w:pStyle w:val="1015"/>
        <w:ind w:firstLine="240"/>
        <w:spacing w:line="360" w:lineRule="auto"/>
        <w:rPr>
          <w:rFonts w:hint="eastAsia" w:cs="仿宋" w:asciiTheme="minorEastAsia" w:hAnsiTheme="minorEastAsia" w:eastAsiaTheme="minorEastAsia"/>
        </w:rPr>
      </w:pPr>
      <w:r>
        <w:rPr>
          <w:rFonts w:hint="eastAsia" w:cs="仿宋" w:asciiTheme="minorEastAsia" w:hAnsiTheme="minorEastAsia" w:eastAsiaTheme="minorEastAsia"/>
        </w:rPr>
      </w:r>
      <w:r/>
    </w:p>
    <w:p>
      <w:pPr>
        <w:spacing w:line="360" w:lineRule="auto"/>
      </w:pPr>
      <w:r/>
      <w:r/>
    </w:p>
    <w:p>
      <w:pPr>
        <w:spacing w:line="360" w:lineRule="auto"/>
      </w:pPr>
      <w:r/>
      <w:r/>
    </w:p>
    <w:p>
      <w:pPr>
        <w:pStyle w:val="1015"/>
        <w:ind w:firstLine="240"/>
        <w:spacing w:line="360" w:lineRule="auto"/>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sectPr>
      <w:footerReference w:type="default" r:id="rId12"/>
      <w:footerReference w:type="first" r:id="rId13"/>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Mincho">
    <w:panose1 w:val="02020603050405090304"/>
  </w:font>
  <w:font w:name="Symbol">
    <w:panose1 w:val="05050102010706020507"/>
  </w:font>
  <w:font w:name="Wingdings">
    <w:panose1 w:val="05000000000000000000"/>
  </w:font>
  <w:font w:name="黑体">
    <w:panose1 w:val="02010609060101010101"/>
  </w:font>
  <w:font w:name="仿宋_GB2312">
    <w:panose1 w:val="02010609060101010101"/>
  </w:font>
  <w:font w:name="仿宋">
    <w:panose1 w:val="02010609060101010101"/>
  </w:font>
  <w:font w:name="Cambria">
    <w:panose1 w:val="02040503050406030204"/>
  </w:font>
  <w:font w:name="Courier New">
    <w:panose1 w:val="02070309020205020404"/>
  </w:font>
  <w:font w:name="Calibri">
    <w:panose1 w:val="020F05020202040302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2608854"/>
      <w:rPr/>
    </w:sdtPr>
    <w:sdtContent>
      <w:p>
        <w:pPr>
          <w:pStyle w:val="835"/>
          <w:jc w:val="center"/>
        </w:pPr>
        <w:r>
          <w:fldChar w:fldCharType="begin"/>
        </w:r>
        <w:r>
          <w:instrText xml:space="preserve">PAGE   \* MERGEFORMAT</w:instrText>
        </w:r>
        <w:r>
          <w:fldChar w:fldCharType="separate"/>
        </w:r>
        <w:r>
          <w:rPr>
            <w:lang w:val="zh-CN"/>
          </w:rPr>
          <w:t xml:space="preserve">6</w:t>
        </w:r>
        <w:r>
          <w:rPr>
            <w:lang w:val="zh-CN"/>
          </w:rPr>
          <w:t xml:space="preserve">2</w:t>
        </w:r>
        <w:r>
          <w:rPr>
            <w:lang w:val="zh-CN"/>
          </w:rPr>
          <w:fldChar w:fldCharType="end"/>
        </w:r>
        <w:r/>
      </w:p>
    </w:sdtContent>
  </w:sdt>
  <w:p>
    <w:pPr>
      <w:pStyle w:val="10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a:effectLst/>
                    </wps:spPr>
                    <wps:txbx>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5735" cy="189865"/>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65735" cy="189865"/>
                      </a:xfrm>
                      <a:prstGeom prst="rect">
                        <a:avLst/>
                      </a:prstGeom>
                      <a:noFill/>
                      <a:ln w="6350">
                        <a:noFill/>
                      </a:ln>
                    </wps:spPr>
                    <wps:txbx>
                      <w:txbxContent>
                        <w:p>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3.0pt;height:14.9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35" w:hanging="43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35" w:hanging="43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6">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7"/>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2"/>
  </w:num>
  <w:num w:numId="5">
    <w:abstractNumId w:val="8"/>
  </w:num>
  <w:num w:numId="6">
    <w:abstractNumId w:val="1"/>
  </w:num>
  <w:num w:numId="7">
    <w:abstractNumId w:val="3"/>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3">
    <w:name w:val="Heading 1 Char"/>
    <w:basedOn w:val="819"/>
    <w:link w:val="810"/>
    <w:uiPriority w:val="9"/>
    <w:rPr>
      <w:rFonts w:ascii="Arial" w:hAnsi="Arial" w:eastAsia="Arial" w:cs="Arial"/>
      <w:sz w:val="40"/>
      <w:szCs w:val="40"/>
    </w:rPr>
  </w:style>
  <w:style w:type="character" w:styleId="774">
    <w:name w:val="Heading 2 Char"/>
    <w:basedOn w:val="819"/>
    <w:link w:val="811"/>
    <w:uiPriority w:val="9"/>
    <w:rPr>
      <w:rFonts w:ascii="Arial" w:hAnsi="Arial" w:eastAsia="Arial" w:cs="Arial"/>
      <w:sz w:val="34"/>
    </w:rPr>
  </w:style>
  <w:style w:type="character" w:styleId="775">
    <w:name w:val="Heading 3 Char"/>
    <w:basedOn w:val="819"/>
    <w:link w:val="812"/>
    <w:uiPriority w:val="9"/>
    <w:rPr>
      <w:rFonts w:ascii="Arial" w:hAnsi="Arial" w:eastAsia="Arial" w:cs="Arial"/>
      <w:sz w:val="30"/>
      <w:szCs w:val="30"/>
    </w:rPr>
  </w:style>
  <w:style w:type="character" w:styleId="776">
    <w:name w:val="Heading 4 Char"/>
    <w:basedOn w:val="819"/>
    <w:link w:val="813"/>
    <w:uiPriority w:val="9"/>
    <w:rPr>
      <w:rFonts w:ascii="Arial" w:hAnsi="Arial" w:eastAsia="Arial" w:cs="Arial"/>
      <w:b/>
      <w:bCs/>
      <w:sz w:val="26"/>
      <w:szCs w:val="26"/>
    </w:rPr>
  </w:style>
  <w:style w:type="character" w:styleId="777">
    <w:name w:val="Heading 5 Char"/>
    <w:basedOn w:val="819"/>
    <w:link w:val="814"/>
    <w:uiPriority w:val="9"/>
    <w:rPr>
      <w:rFonts w:ascii="Arial" w:hAnsi="Arial" w:eastAsia="Arial" w:cs="Arial"/>
      <w:b/>
      <w:bCs/>
      <w:sz w:val="24"/>
      <w:szCs w:val="24"/>
    </w:rPr>
  </w:style>
  <w:style w:type="character" w:styleId="778">
    <w:name w:val="Heading 6 Char"/>
    <w:basedOn w:val="819"/>
    <w:link w:val="815"/>
    <w:uiPriority w:val="9"/>
    <w:rPr>
      <w:rFonts w:ascii="Arial" w:hAnsi="Arial" w:eastAsia="Arial" w:cs="Arial"/>
      <w:b/>
      <w:bCs/>
      <w:sz w:val="22"/>
      <w:szCs w:val="22"/>
    </w:rPr>
  </w:style>
  <w:style w:type="character" w:styleId="779">
    <w:name w:val="Heading 7 Char"/>
    <w:basedOn w:val="819"/>
    <w:link w:val="816"/>
    <w:uiPriority w:val="9"/>
    <w:rPr>
      <w:rFonts w:ascii="Arial" w:hAnsi="Arial" w:eastAsia="Arial" w:cs="Arial"/>
      <w:b/>
      <w:bCs/>
      <w:i/>
      <w:iCs/>
      <w:sz w:val="22"/>
      <w:szCs w:val="22"/>
    </w:rPr>
  </w:style>
  <w:style w:type="character" w:styleId="780">
    <w:name w:val="Heading 8 Char"/>
    <w:basedOn w:val="819"/>
    <w:link w:val="817"/>
    <w:uiPriority w:val="9"/>
    <w:rPr>
      <w:rFonts w:ascii="Arial" w:hAnsi="Arial" w:eastAsia="Arial" w:cs="Arial"/>
      <w:i/>
      <w:iCs/>
      <w:sz w:val="22"/>
      <w:szCs w:val="22"/>
    </w:rPr>
  </w:style>
  <w:style w:type="character" w:styleId="781">
    <w:name w:val="Heading 9 Char"/>
    <w:basedOn w:val="819"/>
    <w:link w:val="818"/>
    <w:uiPriority w:val="9"/>
    <w:rPr>
      <w:rFonts w:ascii="Arial" w:hAnsi="Arial" w:eastAsia="Arial" w:cs="Arial"/>
      <w:i/>
      <w:iCs/>
      <w:sz w:val="21"/>
      <w:szCs w:val="21"/>
    </w:rPr>
  </w:style>
  <w:style w:type="character" w:styleId="782">
    <w:name w:val="Title Char"/>
    <w:basedOn w:val="819"/>
    <w:link w:val="850"/>
    <w:uiPriority w:val="10"/>
    <w:rPr>
      <w:sz w:val="48"/>
      <w:szCs w:val="48"/>
    </w:rPr>
  </w:style>
  <w:style w:type="character" w:styleId="783">
    <w:name w:val="Subtitle Char"/>
    <w:basedOn w:val="819"/>
    <w:link w:val="842"/>
    <w:uiPriority w:val="11"/>
    <w:rPr>
      <w:sz w:val="24"/>
      <w:szCs w:val="24"/>
    </w:rPr>
  </w:style>
  <w:style w:type="character" w:styleId="784">
    <w:name w:val="Quote Char"/>
    <w:link w:val="873"/>
    <w:uiPriority w:val="29"/>
    <w:rPr>
      <w:i/>
    </w:rPr>
  </w:style>
  <w:style w:type="character" w:styleId="785">
    <w:name w:val="Intense Quote Char"/>
    <w:link w:val="875"/>
    <w:uiPriority w:val="30"/>
    <w:rPr>
      <w:i/>
    </w:rPr>
  </w:style>
  <w:style w:type="character" w:styleId="786">
    <w:name w:val="Caption Char"/>
    <w:basedOn w:val="825"/>
    <w:link w:val="835"/>
    <w:uiPriority w:val="99"/>
  </w:style>
  <w:style w:type="table" w:styleId="787">
    <w:name w:val="Plain Table 1"/>
    <w:basedOn w:val="8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basedOn w:val="8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basedOn w:val="8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basedOn w:val="8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2"/>
    <w:basedOn w:val="8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3"/>
    <w:basedOn w:val="8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8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5 Dark"/>
    <w:basedOn w:val="8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6 Colorful"/>
    <w:basedOn w:val="8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7 Colorful"/>
    <w:basedOn w:val="8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List Table 1 Light"/>
    <w:basedOn w:val="8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2"/>
    <w:basedOn w:val="8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3"/>
    <w:basedOn w:val="8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w:basedOn w:val="8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5 Dark"/>
    <w:basedOn w:val="8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7 Colorful"/>
    <w:basedOn w:val="8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6">
    <w:name w:val="Footnote Text Char"/>
    <w:link w:val="843"/>
    <w:uiPriority w:val="99"/>
    <w:rPr>
      <w:sz w:val="18"/>
    </w:rPr>
  </w:style>
  <w:style w:type="character" w:styleId="807">
    <w:name w:val="Endnote Text Char"/>
    <w:link w:val="833"/>
    <w:uiPriority w:val="99"/>
    <w:rPr>
      <w:sz w:val="20"/>
    </w:rPr>
  </w:style>
  <w:style w:type="paragraph" w:styleId="808">
    <w:name w:val="TOC Heading"/>
    <w:uiPriority w:val="39"/>
    <w:unhideWhenUsed/>
  </w:style>
  <w:style w:type="paragraph" w:styleId="809" w:default="1">
    <w:name w:val="Normal"/>
    <w:next w:val="822"/>
    <w:qFormat/>
    <w:pPr>
      <w:jc w:val="both"/>
      <w:widowControl w:val="off"/>
    </w:pPr>
    <w:rPr>
      <w:rFonts w:eastAsia="楷体_GB2312"/>
      <w:sz w:val="26"/>
    </w:rPr>
  </w:style>
  <w:style w:type="paragraph" w:styleId="810">
    <w:name w:val="Heading 1"/>
    <w:basedOn w:val="809"/>
    <w:next w:val="809"/>
    <w:link w:val="860"/>
    <w:qFormat/>
    <w:pPr>
      <w:jc w:val="center"/>
      <w:keepLines/>
      <w:keepNext/>
      <w:spacing w:line="360" w:lineRule="auto"/>
      <w:outlineLvl w:val="0"/>
    </w:pPr>
    <w:rPr>
      <w:rFonts w:eastAsia="宋体"/>
      <w:b/>
      <w:sz w:val="32"/>
    </w:rPr>
  </w:style>
  <w:style w:type="paragraph" w:styleId="811">
    <w:name w:val="Heading 2"/>
    <w:basedOn w:val="809"/>
    <w:next w:val="809"/>
    <w:link w:val="861"/>
    <w:uiPriority w:val="9"/>
    <w:unhideWhenUsed/>
    <w:qFormat/>
    <w:pPr>
      <w:keepLines/>
      <w:keepNext/>
      <w:spacing w:before="360" w:after="200"/>
      <w:outlineLvl w:val="1"/>
    </w:pPr>
    <w:rPr>
      <w:rFonts w:ascii="Arial" w:hAnsi="Arial" w:eastAsia="Arial" w:cs="Arial"/>
      <w:sz w:val="34"/>
    </w:rPr>
  </w:style>
  <w:style w:type="paragraph" w:styleId="812">
    <w:name w:val="Heading 3"/>
    <w:basedOn w:val="809"/>
    <w:next w:val="809"/>
    <w:link w:val="862"/>
    <w:uiPriority w:val="9"/>
    <w:unhideWhenUsed/>
    <w:qFormat/>
    <w:pPr>
      <w:keepLines/>
      <w:keepNext/>
      <w:spacing w:before="320" w:after="200"/>
      <w:outlineLvl w:val="2"/>
    </w:pPr>
    <w:rPr>
      <w:rFonts w:ascii="Arial" w:hAnsi="Arial" w:eastAsia="Arial" w:cs="Arial"/>
      <w:sz w:val="30"/>
      <w:szCs w:val="30"/>
    </w:rPr>
  </w:style>
  <w:style w:type="paragraph" w:styleId="813">
    <w:name w:val="Heading 4"/>
    <w:basedOn w:val="809"/>
    <w:next w:val="809"/>
    <w:link w:val="863"/>
    <w:uiPriority w:val="9"/>
    <w:unhideWhenUsed/>
    <w:qFormat/>
    <w:pPr>
      <w:keepLines/>
      <w:keepNext/>
      <w:spacing w:before="320" w:after="200"/>
      <w:outlineLvl w:val="3"/>
    </w:pPr>
    <w:rPr>
      <w:rFonts w:ascii="Arial" w:hAnsi="Arial" w:eastAsia="Arial" w:cs="Arial"/>
      <w:b/>
      <w:bCs/>
      <w:szCs w:val="26"/>
    </w:rPr>
  </w:style>
  <w:style w:type="paragraph" w:styleId="814">
    <w:name w:val="Heading 5"/>
    <w:basedOn w:val="809"/>
    <w:next w:val="809"/>
    <w:link w:val="864"/>
    <w:uiPriority w:val="9"/>
    <w:unhideWhenUsed/>
    <w:qFormat/>
    <w:pPr>
      <w:keepLines/>
      <w:keepNext/>
      <w:spacing w:before="320" w:after="200"/>
      <w:outlineLvl w:val="4"/>
    </w:pPr>
    <w:rPr>
      <w:rFonts w:ascii="Arial" w:hAnsi="Arial" w:eastAsia="Arial" w:cs="Arial"/>
      <w:b/>
      <w:bCs/>
      <w:sz w:val="24"/>
      <w:szCs w:val="24"/>
    </w:rPr>
  </w:style>
  <w:style w:type="paragraph" w:styleId="815">
    <w:name w:val="Heading 6"/>
    <w:basedOn w:val="809"/>
    <w:next w:val="809"/>
    <w:link w:val="865"/>
    <w:uiPriority w:val="9"/>
    <w:unhideWhenUsed/>
    <w:qFormat/>
    <w:pPr>
      <w:keepLines/>
      <w:keepNext/>
      <w:spacing w:before="320" w:after="200"/>
      <w:outlineLvl w:val="5"/>
    </w:pPr>
    <w:rPr>
      <w:rFonts w:ascii="Arial" w:hAnsi="Arial" w:eastAsia="Arial" w:cs="Arial"/>
      <w:b/>
      <w:bCs/>
      <w:sz w:val="22"/>
      <w:szCs w:val="22"/>
    </w:rPr>
  </w:style>
  <w:style w:type="paragraph" w:styleId="816">
    <w:name w:val="Heading 7"/>
    <w:basedOn w:val="809"/>
    <w:next w:val="809"/>
    <w:link w:val="866"/>
    <w:uiPriority w:val="9"/>
    <w:unhideWhenUsed/>
    <w:qFormat/>
    <w:pPr>
      <w:keepLines/>
      <w:keepNext/>
      <w:spacing w:before="320" w:after="200"/>
      <w:outlineLvl w:val="6"/>
    </w:pPr>
    <w:rPr>
      <w:rFonts w:ascii="Arial" w:hAnsi="Arial" w:eastAsia="Arial" w:cs="Arial"/>
      <w:b/>
      <w:bCs/>
      <w:i/>
      <w:iCs/>
      <w:sz w:val="22"/>
      <w:szCs w:val="22"/>
    </w:rPr>
  </w:style>
  <w:style w:type="paragraph" w:styleId="817">
    <w:name w:val="Heading 8"/>
    <w:basedOn w:val="809"/>
    <w:next w:val="809"/>
    <w:link w:val="867"/>
    <w:uiPriority w:val="9"/>
    <w:unhideWhenUsed/>
    <w:qFormat/>
    <w:pPr>
      <w:keepLines/>
      <w:keepNext/>
      <w:spacing w:before="320" w:after="200"/>
      <w:outlineLvl w:val="7"/>
    </w:pPr>
    <w:rPr>
      <w:rFonts w:ascii="Arial" w:hAnsi="Arial" w:eastAsia="Arial" w:cs="Arial"/>
      <w:i/>
      <w:iCs/>
      <w:sz w:val="22"/>
      <w:szCs w:val="22"/>
    </w:rPr>
  </w:style>
  <w:style w:type="paragraph" w:styleId="818">
    <w:name w:val="Heading 9"/>
    <w:basedOn w:val="809"/>
    <w:next w:val="809"/>
    <w:link w:val="868"/>
    <w:uiPriority w:val="9"/>
    <w:unhideWhenUsed/>
    <w:qFormat/>
    <w:pPr>
      <w:keepLines/>
      <w:keepNext/>
      <w:spacing w:before="320" w:after="200"/>
      <w:outlineLvl w:val="8"/>
    </w:pPr>
    <w:rPr>
      <w:rFonts w:ascii="Arial" w:hAnsi="Arial" w:eastAsia="Arial" w:cs="Arial"/>
      <w:i/>
      <w:iCs/>
      <w:sz w:val="21"/>
      <w:szCs w:val="21"/>
    </w:rPr>
  </w:style>
  <w:style w:type="character" w:styleId="819" w:default="1">
    <w:name w:val="Default Paragraph Font"/>
    <w:uiPriority w:val="1"/>
    <w:semiHidden/>
    <w:unhideWhenUsed/>
  </w:style>
  <w:style w:type="table" w:styleId="820" w:default="1">
    <w:name w:val="Normal Table"/>
    <w:uiPriority w:val="99"/>
    <w:semiHidden/>
    <w:unhideWhenUsed/>
    <w:tblPr>
      <w:tblInd w:w="0" w:type="dxa"/>
      <w:tblCellMar>
        <w:left w:w="108" w:type="dxa"/>
        <w:top w:w="0" w:type="dxa"/>
        <w:right w:w="108" w:type="dxa"/>
        <w:bottom w:w="0" w:type="dxa"/>
      </w:tblCellMar>
    </w:tblPr>
  </w:style>
  <w:style w:type="numbering" w:styleId="821" w:default="1">
    <w:name w:val="No List"/>
    <w:uiPriority w:val="99"/>
    <w:semiHidden/>
    <w:unhideWhenUsed/>
  </w:style>
  <w:style w:type="paragraph" w:styleId="822">
    <w:name w:val="Body Text"/>
    <w:basedOn w:val="809"/>
    <w:next w:val="809"/>
    <w:qFormat/>
    <w:rPr>
      <w:rFonts w:ascii="楷体_GB2312" w:hAnsi="Arial"/>
      <w:sz w:val="28"/>
    </w:rPr>
  </w:style>
  <w:style w:type="paragraph" w:styleId="823">
    <w:name w:val="toc 7"/>
    <w:basedOn w:val="809"/>
    <w:next w:val="809"/>
    <w:uiPriority w:val="39"/>
    <w:unhideWhenUsed/>
    <w:qFormat/>
    <w:pPr>
      <w:ind w:left="1701"/>
      <w:spacing w:after="57"/>
    </w:pPr>
  </w:style>
  <w:style w:type="paragraph" w:styleId="824">
    <w:name w:val="Normal Indent"/>
    <w:basedOn w:val="809"/>
    <w:next w:val="809"/>
    <w:qFormat/>
    <w:pPr>
      <w:ind w:firstLine="200"/>
    </w:pPr>
  </w:style>
  <w:style w:type="paragraph" w:styleId="825">
    <w:name w:val="Caption"/>
    <w:basedOn w:val="809"/>
    <w:next w:val="809"/>
    <w:uiPriority w:val="35"/>
    <w:semiHidden/>
    <w:unhideWhenUsed/>
    <w:qFormat/>
    <w:pPr>
      <w:spacing w:line="276" w:lineRule="auto"/>
    </w:pPr>
    <w:rPr>
      <w:b/>
      <w:bCs/>
      <w:color w:val="4f81bd"/>
      <w:sz w:val="18"/>
      <w:szCs w:val="18"/>
    </w:rPr>
  </w:style>
  <w:style w:type="paragraph" w:styleId="826">
    <w:name w:val="annotation text"/>
    <w:basedOn w:val="809"/>
    <w:link w:val="1042"/>
    <w:uiPriority w:val="99"/>
    <w:semiHidden/>
    <w:unhideWhenUsed/>
    <w:qFormat/>
    <w:pPr>
      <w:jc w:val="left"/>
    </w:pPr>
  </w:style>
  <w:style w:type="paragraph" w:styleId="827">
    <w:name w:val="Body Text Indent"/>
    <w:basedOn w:val="809"/>
    <w:qFormat/>
    <w:pPr>
      <w:ind w:firstLine="645"/>
    </w:pPr>
    <w:rPr>
      <w:rFonts w:ascii="楷体_GB2312" w:hAnsi="Calibri"/>
      <w:sz w:val="32"/>
      <w:szCs w:val="22"/>
    </w:rPr>
  </w:style>
  <w:style w:type="paragraph" w:styleId="828">
    <w:name w:val="Block Text"/>
    <w:basedOn w:val="809"/>
    <w:qFormat/>
    <w:pPr>
      <w:ind w:left="525" w:right="-1" w:firstLine="525"/>
      <w:spacing w:line="312" w:lineRule="atLeast"/>
    </w:pPr>
    <w:rPr>
      <w:sz w:val="28"/>
      <w:szCs w:val="28"/>
    </w:rPr>
  </w:style>
  <w:style w:type="paragraph" w:styleId="829">
    <w:name w:val="toc 5"/>
    <w:basedOn w:val="809"/>
    <w:next w:val="809"/>
    <w:uiPriority w:val="39"/>
    <w:unhideWhenUsed/>
    <w:qFormat/>
    <w:pPr>
      <w:ind w:left="1134"/>
      <w:spacing w:after="57"/>
    </w:pPr>
  </w:style>
  <w:style w:type="paragraph" w:styleId="830">
    <w:name w:val="toc 3"/>
    <w:basedOn w:val="809"/>
    <w:next w:val="809"/>
    <w:uiPriority w:val="39"/>
    <w:unhideWhenUsed/>
    <w:qFormat/>
    <w:pPr>
      <w:ind w:left="567"/>
      <w:spacing w:after="57"/>
    </w:pPr>
  </w:style>
  <w:style w:type="paragraph" w:styleId="831">
    <w:name w:val="Plain Text"/>
    <w:basedOn w:val="809"/>
    <w:next w:val="824"/>
    <w:qFormat/>
    <w:rPr>
      <w:rFonts w:ascii="宋体"/>
    </w:rPr>
  </w:style>
  <w:style w:type="paragraph" w:styleId="832">
    <w:name w:val="toc 8"/>
    <w:basedOn w:val="809"/>
    <w:next w:val="809"/>
    <w:uiPriority w:val="39"/>
    <w:unhideWhenUsed/>
    <w:qFormat/>
    <w:pPr>
      <w:ind w:left="1984"/>
      <w:spacing w:after="57"/>
    </w:pPr>
  </w:style>
  <w:style w:type="paragraph" w:styleId="833">
    <w:name w:val="endnote text"/>
    <w:basedOn w:val="809"/>
    <w:link w:val="1006"/>
    <w:uiPriority w:val="99"/>
    <w:semiHidden/>
    <w:unhideWhenUsed/>
    <w:qFormat/>
    <w:rPr>
      <w:sz w:val="20"/>
    </w:rPr>
  </w:style>
  <w:style w:type="paragraph" w:styleId="834">
    <w:name w:val="Balloon Text"/>
    <w:basedOn w:val="809"/>
    <w:link w:val="1038"/>
    <w:uiPriority w:val="99"/>
    <w:semiHidden/>
    <w:unhideWhenUsed/>
    <w:qFormat/>
    <w:rPr>
      <w:sz w:val="18"/>
      <w:szCs w:val="18"/>
    </w:rPr>
  </w:style>
  <w:style w:type="paragraph" w:styleId="835">
    <w:name w:val="Footer"/>
    <w:basedOn w:val="809"/>
    <w:link w:val="879"/>
    <w:uiPriority w:val="99"/>
    <w:unhideWhenUsed/>
    <w:qFormat/>
    <w:pPr>
      <w:tabs>
        <w:tab w:val="center" w:pos="7143" w:leader="none"/>
        <w:tab w:val="right" w:pos="14287" w:leader="none"/>
      </w:tabs>
    </w:pPr>
  </w:style>
  <w:style w:type="paragraph" w:styleId="836">
    <w:name w:val="envelope return"/>
    <w:basedOn w:val="837"/>
    <w:uiPriority w:val="99"/>
    <w:unhideWhenUsed/>
    <w:qFormat/>
    <w:rPr>
      <w:rFonts w:ascii="Arial" w:hAnsi="Arial"/>
    </w:rPr>
  </w:style>
  <w:style w:type="paragraph" w:styleId="837" w:customStyle="1">
    <w:name w:val="Normal_19"/>
    <w:next w:val="838"/>
    <w:qFormat/>
    <w:pPr>
      <w:jc w:val="both"/>
      <w:widowControl w:val="off"/>
    </w:pPr>
    <w:rPr>
      <w:sz w:val="21"/>
      <w:szCs w:val="24"/>
    </w:rPr>
  </w:style>
  <w:style w:type="paragraph" w:styleId="838" w:customStyle="1">
    <w:name w:val="正文文本缩进1"/>
    <w:basedOn w:val="809"/>
    <w:next w:val="836"/>
    <w:unhideWhenUsed/>
    <w:qFormat/>
    <w:pPr>
      <w:ind w:firstLine="570"/>
    </w:pPr>
    <w:rPr>
      <w:rFonts w:ascii="宋体" w:eastAsia="宋体"/>
      <w:sz w:val="28"/>
    </w:rPr>
  </w:style>
  <w:style w:type="paragraph" w:styleId="839">
    <w:name w:val="Header"/>
    <w:basedOn w:val="809"/>
    <w:link w:val="1008"/>
    <w:qFormat/>
    <w:pPr>
      <w:jc w:val="center"/>
      <w:tabs>
        <w:tab w:val="center" w:pos="4153" w:leader="none"/>
        <w:tab w:val="right" w:pos="8306" w:leader="none"/>
      </w:tabs>
    </w:pPr>
    <w:rPr>
      <w:sz w:val="18"/>
      <w:szCs w:val="18"/>
    </w:rPr>
  </w:style>
  <w:style w:type="paragraph" w:styleId="840">
    <w:name w:val="toc 1"/>
    <w:basedOn w:val="809"/>
    <w:next w:val="809"/>
    <w:uiPriority w:val="39"/>
    <w:unhideWhenUsed/>
    <w:qFormat/>
    <w:pPr>
      <w:spacing w:after="57"/>
    </w:pPr>
  </w:style>
  <w:style w:type="paragraph" w:styleId="841">
    <w:name w:val="toc 4"/>
    <w:basedOn w:val="809"/>
    <w:next w:val="809"/>
    <w:uiPriority w:val="39"/>
    <w:unhideWhenUsed/>
    <w:qFormat/>
    <w:pPr>
      <w:ind w:left="850"/>
      <w:spacing w:after="57"/>
    </w:pPr>
  </w:style>
  <w:style w:type="paragraph" w:styleId="842">
    <w:name w:val="Subtitle"/>
    <w:basedOn w:val="809"/>
    <w:next w:val="809"/>
    <w:link w:val="872"/>
    <w:uiPriority w:val="11"/>
    <w:qFormat/>
    <w:pPr>
      <w:spacing w:before="200" w:after="200"/>
    </w:pPr>
    <w:rPr>
      <w:sz w:val="24"/>
      <w:szCs w:val="24"/>
    </w:rPr>
  </w:style>
  <w:style w:type="paragraph" w:styleId="843">
    <w:name w:val="footnote text"/>
    <w:basedOn w:val="809"/>
    <w:link w:val="1005"/>
    <w:uiPriority w:val="99"/>
    <w:semiHidden/>
    <w:unhideWhenUsed/>
    <w:qFormat/>
    <w:pPr>
      <w:spacing w:after="40"/>
    </w:pPr>
    <w:rPr>
      <w:sz w:val="18"/>
    </w:rPr>
  </w:style>
  <w:style w:type="paragraph" w:styleId="844">
    <w:name w:val="toc 6"/>
    <w:basedOn w:val="809"/>
    <w:next w:val="809"/>
    <w:uiPriority w:val="39"/>
    <w:unhideWhenUsed/>
    <w:qFormat/>
    <w:pPr>
      <w:ind w:left="1417"/>
      <w:spacing w:after="57"/>
    </w:pPr>
  </w:style>
  <w:style w:type="paragraph" w:styleId="845">
    <w:name w:val="table of figures"/>
    <w:basedOn w:val="809"/>
    <w:next w:val="809"/>
    <w:uiPriority w:val="99"/>
    <w:unhideWhenUsed/>
    <w:qFormat/>
  </w:style>
  <w:style w:type="paragraph" w:styleId="846">
    <w:name w:val="toc 2"/>
    <w:basedOn w:val="809"/>
    <w:next w:val="809"/>
    <w:uiPriority w:val="39"/>
    <w:unhideWhenUsed/>
    <w:qFormat/>
    <w:pPr>
      <w:ind w:left="283"/>
      <w:spacing w:after="57"/>
    </w:pPr>
  </w:style>
  <w:style w:type="paragraph" w:styleId="847">
    <w:name w:val="toc 9"/>
    <w:basedOn w:val="809"/>
    <w:next w:val="809"/>
    <w:uiPriority w:val="39"/>
    <w:unhideWhenUsed/>
    <w:qFormat/>
    <w:pPr>
      <w:ind w:left="2268"/>
      <w:spacing w:after="57"/>
    </w:pPr>
  </w:style>
  <w:style w:type="paragraph" w:styleId="848">
    <w:name w:val="HTML Preformatted"/>
    <w:basedOn w:val="809"/>
    <w:link w:val="1050"/>
    <w:uiPriority w:val="99"/>
    <w:semiHidden/>
    <w:unhideWhenUsed/>
    <w:qFormat/>
    <w:rPr>
      <w:rFonts w:ascii="Courier New" w:hAnsi="Courier New" w:cs="Courier New"/>
      <w:sz w:val="20"/>
    </w:rPr>
  </w:style>
  <w:style w:type="paragraph" w:styleId="849">
    <w:name w:val="Normal (Web)"/>
    <w:basedOn w:val="809"/>
    <w:uiPriority w:val="99"/>
    <w:qFormat/>
    <w:pPr>
      <w:jc w:val="left"/>
      <w:spacing w:before="100" w:beforeAutospacing="1" w:after="100" w:afterAutospacing="1"/>
      <w:widowControl/>
    </w:pPr>
    <w:rPr>
      <w:rFonts w:ascii="宋体" w:hAnsi="宋体"/>
      <w:color w:val="000000"/>
      <w:sz w:val="24"/>
      <w:szCs w:val="24"/>
    </w:rPr>
  </w:style>
  <w:style w:type="paragraph" w:styleId="850">
    <w:name w:val="Title"/>
    <w:basedOn w:val="809"/>
    <w:next w:val="809"/>
    <w:link w:val="871"/>
    <w:uiPriority w:val="10"/>
    <w:qFormat/>
    <w:pPr>
      <w:contextualSpacing/>
      <w:spacing w:before="300" w:after="200"/>
    </w:pPr>
    <w:rPr>
      <w:sz w:val="48"/>
      <w:szCs w:val="48"/>
    </w:rPr>
  </w:style>
  <w:style w:type="paragraph" w:styleId="851">
    <w:name w:val="Body Text First Indent"/>
    <w:basedOn w:val="822"/>
    <w:next w:val="852"/>
    <w:qFormat/>
    <w:pPr>
      <w:ind w:firstLine="420"/>
    </w:pPr>
  </w:style>
  <w:style w:type="paragraph" w:styleId="852">
    <w:name w:val="Body Text First Indent 2"/>
    <w:basedOn w:val="827"/>
    <w:uiPriority w:val="99"/>
    <w:unhideWhenUsed/>
    <w:qFormat/>
    <w:pPr>
      <w:ind w:firstLine="200"/>
    </w:pPr>
  </w:style>
  <w:style w:type="table" w:styleId="853">
    <w:name w:val="Table Grid"/>
    <w:basedOn w:val="82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4">
    <w:name w:val="endnote reference"/>
    <w:uiPriority w:val="99"/>
    <w:semiHidden/>
    <w:unhideWhenUsed/>
    <w:qFormat/>
    <w:rPr>
      <w:vertAlign w:val="superscript"/>
    </w:rPr>
  </w:style>
  <w:style w:type="character" w:styleId="855">
    <w:name w:val="Emphasis"/>
    <w:qFormat/>
    <w:rPr>
      <w:rFonts w:ascii="Times New Roman" w:hAnsi="Times New Roman" w:eastAsia="宋体" w:cs="Times New Roman"/>
      <w:i/>
    </w:rPr>
  </w:style>
  <w:style w:type="character" w:styleId="856">
    <w:name w:val="Hyperlink"/>
    <w:uiPriority w:val="99"/>
    <w:unhideWhenUsed/>
    <w:qFormat/>
    <w:rPr>
      <w:color w:val="0563c1"/>
      <w:u w:val="single"/>
    </w:rPr>
  </w:style>
  <w:style w:type="character" w:styleId="857">
    <w:name w:val="annotation reference"/>
    <w:basedOn w:val="819"/>
    <w:uiPriority w:val="99"/>
    <w:semiHidden/>
    <w:unhideWhenUsed/>
    <w:qFormat/>
    <w:rPr>
      <w:sz w:val="21"/>
      <w:szCs w:val="21"/>
    </w:rPr>
  </w:style>
  <w:style w:type="character" w:styleId="858">
    <w:name w:val="footnote reference"/>
    <w:uiPriority w:val="99"/>
    <w:unhideWhenUsed/>
    <w:qFormat/>
    <w:rPr>
      <w:vertAlign w:val="superscript"/>
    </w:rPr>
  </w:style>
  <w:style w:type="paragraph" w:styleId="859" w:customStyle="1">
    <w:name w:val="标题 31"/>
    <w:basedOn w:val="809"/>
    <w:next w:val="809"/>
    <w:qFormat/>
    <w:pPr>
      <w:keepLines/>
      <w:keepNext/>
      <w:spacing w:before="260" w:after="260" w:line="416" w:lineRule="auto"/>
      <w:outlineLvl w:val="2"/>
    </w:pPr>
    <w:rPr>
      <w:b/>
      <w:bCs/>
      <w:sz w:val="32"/>
      <w:szCs w:val="32"/>
    </w:rPr>
  </w:style>
  <w:style w:type="character" w:styleId="860" w:customStyle="1">
    <w:name w:val="标题 1 字符"/>
    <w:link w:val="810"/>
    <w:qFormat/>
    <w:rPr>
      <w:rFonts w:ascii="Arial" w:hAnsi="Arial" w:eastAsia="Arial" w:cs="Arial"/>
      <w:sz w:val="40"/>
      <w:szCs w:val="40"/>
    </w:rPr>
  </w:style>
  <w:style w:type="character" w:styleId="861" w:customStyle="1">
    <w:name w:val="标题 2 字符"/>
    <w:link w:val="811"/>
    <w:uiPriority w:val="9"/>
    <w:qFormat/>
    <w:rPr>
      <w:rFonts w:ascii="Arial" w:hAnsi="Arial" w:eastAsia="Arial" w:cs="Arial"/>
      <w:sz w:val="34"/>
    </w:rPr>
  </w:style>
  <w:style w:type="character" w:styleId="862" w:customStyle="1">
    <w:name w:val="标题 3 字符"/>
    <w:link w:val="812"/>
    <w:uiPriority w:val="9"/>
    <w:qFormat/>
    <w:rPr>
      <w:rFonts w:ascii="Arial" w:hAnsi="Arial" w:eastAsia="Arial" w:cs="Arial"/>
      <w:sz w:val="30"/>
      <w:szCs w:val="30"/>
    </w:rPr>
  </w:style>
  <w:style w:type="character" w:styleId="863" w:customStyle="1">
    <w:name w:val="标题 4 字符"/>
    <w:link w:val="813"/>
    <w:uiPriority w:val="9"/>
    <w:qFormat/>
    <w:rPr>
      <w:rFonts w:ascii="Arial" w:hAnsi="Arial" w:eastAsia="Arial" w:cs="Arial"/>
      <w:b/>
      <w:bCs/>
      <w:sz w:val="26"/>
      <w:szCs w:val="26"/>
    </w:rPr>
  </w:style>
  <w:style w:type="character" w:styleId="864" w:customStyle="1">
    <w:name w:val="标题 5 字符"/>
    <w:link w:val="814"/>
    <w:uiPriority w:val="9"/>
    <w:qFormat/>
    <w:rPr>
      <w:rFonts w:ascii="Arial" w:hAnsi="Arial" w:eastAsia="Arial" w:cs="Arial"/>
      <w:b/>
      <w:bCs/>
      <w:sz w:val="24"/>
      <w:szCs w:val="24"/>
    </w:rPr>
  </w:style>
  <w:style w:type="character" w:styleId="865" w:customStyle="1">
    <w:name w:val="标题 6 字符"/>
    <w:link w:val="815"/>
    <w:uiPriority w:val="9"/>
    <w:qFormat/>
    <w:rPr>
      <w:rFonts w:ascii="Arial" w:hAnsi="Arial" w:eastAsia="Arial" w:cs="Arial"/>
      <w:b/>
      <w:bCs/>
      <w:sz w:val="22"/>
      <w:szCs w:val="22"/>
    </w:rPr>
  </w:style>
  <w:style w:type="character" w:styleId="866" w:customStyle="1">
    <w:name w:val="标题 7 字符"/>
    <w:link w:val="816"/>
    <w:uiPriority w:val="9"/>
    <w:qFormat/>
    <w:rPr>
      <w:rFonts w:ascii="Arial" w:hAnsi="Arial" w:eastAsia="Arial" w:cs="Arial"/>
      <w:b/>
      <w:bCs/>
      <w:i/>
      <w:iCs/>
      <w:sz w:val="22"/>
      <w:szCs w:val="22"/>
    </w:rPr>
  </w:style>
  <w:style w:type="character" w:styleId="867" w:customStyle="1">
    <w:name w:val="标题 8 字符"/>
    <w:link w:val="817"/>
    <w:uiPriority w:val="9"/>
    <w:qFormat/>
    <w:rPr>
      <w:rFonts w:ascii="Arial" w:hAnsi="Arial" w:eastAsia="Arial" w:cs="Arial"/>
      <w:i/>
      <w:iCs/>
      <w:sz w:val="22"/>
      <w:szCs w:val="22"/>
    </w:rPr>
  </w:style>
  <w:style w:type="character" w:styleId="868" w:customStyle="1">
    <w:name w:val="标题 9 字符"/>
    <w:link w:val="818"/>
    <w:uiPriority w:val="9"/>
    <w:qFormat/>
    <w:rPr>
      <w:rFonts w:ascii="Arial" w:hAnsi="Arial" w:eastAsia="Arial" w:cs="Arial"/>
      <w:i/>
      <w:iCs/>
      <w:sz w:val="21"/>
      <w:szCs w:val="21"/>
    </w:rPr>
  </w:style>
  <w:style w:type="paragraph" w:styleId="869">
    <w:name w:val="List Paragraph"/>
    <w:basedOn w:val="809"/>
    <w:qFormat/>
    <w:pPr>
      <w:ind w:firstLine="420"/>
    </w:pPr>
  </w:style>
  <w:style w:type="paragraph" w:styleId="870">
    <w:name w:val="No Spacing"/>
    <w:uiPriority w:val="1"/>
    <w:qFormat/>
  </w:style>
  <w:style w:type="character" w:styleId="871" w:customStyle="1">
    <w:name w:val="标题 字符"/>
    <w:link w:val="850"/>
    <w:uiPriority w:val="10"/>
    <w:qFormat/>
    <w:rPr>
      <w:sz w:val="48"/>
      <w:szCs w:val="48"/>
    </w:rPr>
  </w:style>
  <w:style w:type="character" w:styleId="872" w:customStyle="1">
    <w:name w:val="副标题 字符"/>
    <w:link w:val="842"/>
    <w:uiPriority w:val="11"/>
    <w:qFormat/>
    <w:rPr>
      <w:sz w:val="24"/>
      <w:szCs w:val="24"/>
    </w:rPr>
  </w:style>
  <w:style w:type="paragraph" w:styleId="873">
    <w:name w:val="Quote"/>
    <w:basedOn w:val="809"/>
    <w:next w:val="809"/>
    <w:link w:val="874"/>
    <w:uiPriority w:val="29"/>
    <w:qFormat/>
    <w:pPr>
      <w:ind w:left="720" w:right="720"/>
    </w:pPr>
    <w:rPr>
      <w:i/>
    </w:rPr>
  </w:style>
  <w:style w:type="character" w:styleId="874" w:customStyle="1">
    <w:name w:val="引用 字符"/>
    <w:link w:val="873"/>
    <w:uiPriority w:val="29"/>
    <w:qFormat/>
    <w:rPr>
      <w:i/>
    </w:rPr>
  </w:style>
  <w:style w:type="paragraph" w:styleId="875">
    <w:name w:val="Intense Quote"/>
    <w:basedOn w:val="809"/>
    <w:next w:val="809"/>
    <w:link w:val="8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customStyle="1">
    <w:name w:val="明显引用 字符"/>
    <w:link w:val="875"/>
    <w:uiPriority w:val="30"/>
    <w:qFormat/>
    <w:rPr>
      <w:i/>
    </w:rPr>
  </w:style>
  <w:style w:type="character" w:styleId="877" w:customStyle="1">
    <w:name w:val="Header Char"/>
    <w:uiPriority w:val="99"/>
    <w:qFormat/>
  </w:style>
  <w:style w:type="character" w:styleId="878" w:customStyle="1">
    <w:name w:val="Footer Char"/>
    <w:uiPriority w:val="99"/>
    <w:qFormat/>
  </w:style>
  <w:style w:type="character" w:styleId="879" w:customStyle="1">
    <w:name w:val="页脚 字符"/>
    <w:link w:val="835"/>
    <w:uiPriority w:val="99"/>
    <w:qFormat/>
  </w:style>
  <w:style w:type="table" w:styleId="88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83" w:customStyle="1">
    <w:name w:val="无格式表格 31"/>
    <w:uiPriority w:val="99"/>
    <w:qFormat/>
    <w:tblPr>
      <w:tblCellMar>
        <w:left w:w="0" w:type="dxa"/>
        <w:top w:w="0" w:type="dxa"/>
        <w:right w:w="0" w:type="dxa"/>
        <w:bottom w:w="0" w:type="dxa"/>
      </w:tblCellMar>
    </w:tblPr>
  </w:style>
  <w:style w:type="table" w:styleId="884" w:customStyle="1">
    <w:name w:val="无格式表格 41"/>
    <w:uiPriority w:val="99"/>
    <w:qFormat/>
    <w:tblPr>
      <w:tblCellMar>
        <w:left w:w="0" w:type="dxa"/>
        <w:top w:w="0" w:type="dxa"/>
        <w:right w:w="0" w:type="dxa"/>
        <w:bottom w:w="0" w:type="dxa"/>
      </w:tblCellMar>
    </w:tblPr>
  </w:style>
  <w:style w:type="table" w:styleId="885" w:customStyle="1">
    <w:name w:val="无格式表格 51"/>
    <w:uiPriority w:val="99"/>
    <w:qFormat/>
    <w:tblPr>
      <w:tblCellMar>
        <w:left w:w="0" w:type="dxa"/>
        <w:top w:w="0" w:type="dxa"/>
        <w:right w:w="0" w:type="dxa"/>
        <w:bottom w:w="0" w:type="dxa"/>
      </w:tblCellMar>
    </w:tblPr>
  </w:style>
  <w:style w:type="table" w:styleId="88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8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0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0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1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5" w:customStyle="1">
    <w:name w:val="清单表 1 浅色1"/>
    <w:uiPriority w:val="99"/>
    <w:qFormat/>
    <w:tblPr>
      <w:tblCellMar>
        <w:left w:w="0" w:type="dxa"/>
        <w:top w:w="0" w:type="dxa"/>
        <w:right w:w="0" w:type="dxa"/>
        <w:bottom w:w="0" w:type="dxa"/>
      </w:tblCellMar>
    </w:tblPr>
  </w:style>
  <w:style w:type="table" w:styleId="936" w:customStyle="1">
    <w:name w:val="List Table 1 Light - Accent 1"/>
    <w:uiPriority w:val="99"/>
    <w:qFormat/>
    <w:tblPr>
      <w:tblCellMar>
        <w:left w:w="0" w:type="dxa"/>
        <w:top w:w="0" w:type="dxa"/>
        <w:right w:w="0" w:type="dxa"/>
        <w:bottom w:w="0" w:type="dxa"/>
      </w:tblCellMar>
    </w:tblPr>
  </w:style>
  <w:style w:type="table" w:styleId="937" w:customStyle="1">
    <w:name w:val="List Table 1 Light - Accent 2"/>
    <w:uiPriority w:val="99"/>
    <w:qFormat/>
    <w:tblPr>
      <w:tblCellMar>
        <w:left w:w="0" w:type="dxa"/>
        <w:top w:w="0" w:type="dxa"/>
        <w:right w:w="0" w:type="dxa"/>
        <w:bottom w:w="0" w:type="dxa"/>
      </w:tblCellMar>
    </w:tblPr>
  </w:style>
  <w:style w:type="table" w:styleId="938" w:customStyle="1">
    <w:name w:val="List Table 1 Light - Accent 3"/>
    <w:uiPriority w:val="99"/>
    <w:qFormat/>
    <w:tblPr>
      <w:tblCellMar>
        <w:left w:w="0" w:type="dxa"/>
        <w:top w:w="0" w:type="dxa"/>
        <w:right w:w="0" w:type="dxa"/>
        <w:bottom w:w="0" w:type="dxa"/>
      </w:tblCellMar>
    </w:tblPr>
  </w:style>
  <w:style w:type="table" w:styleId="939" w:customStyle="1">
    <w:name w:val="List Table 1 Light - Accent 4"/>
    <w:uiPriority w:val="99"/>
    <w:qFormat/>
    <w:tblPr>
      <w:tblCellMar>
        <w:left w:w="0" w:type="dxa"/>
        <w:top w:w="0" w:type="dxa"/>
        <w:right w:w="0" w:type="dxa"/>
        <w:bottom w:w="0" w:type="dxa"/>
      </w:tblCellMar>
    </w:tblPr>
  </w:style>
  <w:style w:type="table" w:styleId="940" w:customStyle="1">
    <w:name w:val="List Table 1 Light - Accent 5"/>
    <w:uiPriority w:val="99"/>
    <w:qFormat/>
    <w:tblPr>
      <w:tblCellMar>
        <w:left w:w="0" w:type="dxa"/>
        <w:top w:w="0" w:type="dxa"/>
        <w:right w:w="0" w:type="dxa"/>
        <w:bottom w:w="0" w:type="dxa"/>
      </w:tblCellMar>
    </w:tblPr>
  </w:style>
  <w:style w:type="table" w:styleId="941" w:customStyle="1">
    <w:name w:val="List Table 1 Light - Accent 6"/>
    <w:uiPriority w:val="99"/>
    <w:qFormat/>
    <w:tblPr>
      <w:tblCellMar>
        <w:left w:w="0" w:type="dxa"/>
        <w:top w:w="0" w:type="dxa"/>
        <w:right w:w="0" w:type="dxa"/>
        <w:bottom w:w="0" w:type="dxa"/>
      </w:tblCellMar>
    </w:tblPr>
  </w:style>
  <w:style w:type="table" w:styleId="94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4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4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4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4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4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4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5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5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5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5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5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5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5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5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5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5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6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6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6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6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6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6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6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6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7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7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7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7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7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7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7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7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7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7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8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8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8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8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84" w:customStyle="1">
    <w:name w:val="Lined - Accent"/>
    <w:uiPriority w:val="99"/>
    <w:qFormat/>
    <w:rPr>
      <w:color w:val="404040"/>
    </w:rPr>
    <w:tblPr>
      <w:tblCellMar>
        <w:left w:w="0" w:type="dxa"/>
        <w:top w:w="0" w:type="dxa"/>
        <w:right w:w="0" w:type="dxa"/>
        <w:bottom w:w="0" w:type="dxa"/>
      </w:tblCellMar>
    </w:tblPr>
  </w:style>
  <w:style w:type="table" w:styleId="985" w:customStyle="1">
    <w:name w:val="Lined - Accent 1"/>
    <w:uiPriority w:val="99"/>
    <w:qFormat/>
    <w:rPr>
      <w:color w:val="404040"/>
    </w:rPr>
    <w:tblPr>
      <w:tblCellMar>
        <w:left w:w="0" w:type="dxa"/>
        <w:top w:w="0" w:type="dxa"/>
        <w:right w:w="0" w:type="dxa"/>
        <w:bottom w:w="0" w:type="dxa"/>
      </w:tblCellMar>
    </w:tblPr>
  </w:style>
  <w:style w:type="table" w:styleId="986" w:customStyle="1">
    <w:name w:val="Lined - Accent 2"/>
    <w:uiPriority w:val="99"/>
    <w:qFormat/>
    <w:rPr>
      <w:color w:val="404040"/>
    </w:rPr>
    <w:tblPr>
      <w:tblCellMar>
        <w:left w:w="0" w:type="dxa"/>
        <w:top w:w="0" w:type="dxa"/>
        <w:right w:w="0" w:type="dxa"/>
        <w:bottom w:w="0" w:type="dxa"/>
      </w:tblCellMar>
    </w:tblPr>
  </w:style>
  <w:style w:type="table" w:styleId="987" w:customStyle="1">
    <w:name w:val="Lined - Accent 3"/>
    <w:uiPriority w:val="99"/>
    <w:qFormat/>
    <w:rPr>
      <w:color w:val="404040"/>
    </w:rPr>
    <w:tblPr>
      <w:tblCellMar>
        <w:left w:w="0" w:type="dxa"/>
        <w:top w:w="0" w:type="dxa"/>
        <w:right w:w="0" w:type="dxa"/>
        <w:bottom w:w="0" w:type="dxa"/>
      </w:tblCellMar>
    </w:tblPr>
  </w:style>
  <w:style w:type="table" w:styleId="988" w:customStyle="1">
    <w:name w:val="Lined - Accent 4"/>
    <w:uiPriority w:val="99"/>
    <w:qFormat/>
    <w:rPr>
      <w:color w:val="404040"/>
    </w:rPr>
    <w:tblPr>
      <w:tblCellMar>
        <w:left w:w="0" w:type="dxa"/>
        <w:top w:w="0" w:type="dxa"/>
        <w:right w:w="0" w:type="dxa"/>
        <w:bottom w:w="0" w:type="dxa"/>
      </w:tblCellMar>
    </w:tblPr>
  </w:style>
  <w:style w:type="table" w:styleId="989" w:customStyle="1">
    <w:name w:val="Lined - Accent 5"/>
    <w:uiPriority w:val="99"/>
    <w:qFormat/>
    <w:rPr>
      <w:color w:val="404040"/>
    </w:rPr>
    <w:tblPr>
      <w:tblCellMar>
        <w:left w:w="0" w:type="dxa"/>
        <w:top w:w="0" w:type="dxa"/>
        <w:right w:w="0" w:type="dxa"/>
        <w:bottom w:w="0" w:type="dxa"/>
      </w:tblCellMar>
    </w:tblPr>
  </w:style>
  <w:style w:type="table" w:styleId="990" w:customStyle="1">
    <w:name w:val="Lined - Accent 6"/>
    <w:uiPriority w:val="99"/>
    <w:qFormat/>
    <w:rPr>
      <w:color w:val="404040"/>
    </w:rPr>
    <w:tblPr>
      <w:tblCellMar>
        <w:left w:w="0" w:type="dxa"/>
        <w:top w:w="0" w:type="dxa"/>
        <w:right w:w="0" w:type="dxa"/>
        <w:bottom w:w="0" w:type="dxa"/>
      </w:tblCellMar>
    </w:tblPr>
  </w:style>
  <w:style w:type="table" w:styleId="99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9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9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9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9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9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9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9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9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05" w:customStyle="1">
    <w:name w:val="脚注文本 字符"/>
    <w:link w:val="843"/>
    <w:uiPriority w:val="99"/>
    <w:qFormat/>
    <w:rPr>
      <w:sz w:val="18"/>
    </w:rPr>
  </w:style>
  <w:style w:type="character" w:styleId="1006" w:customStyle="1">
    <w:name w:val="尾注文本 字符"/>
    <w:link w:val="833"/>
    <w:uiPriority w:val="99"/>
    <w:qFormat/>
    <w:rPr>
      <w:sz w:val="20"/>
    </w:rPr>
  </w:style>
  <w:style w:type="paragraph" w:styleId="1007" w:customStyle="1">
    <w:name w:val="TOC 标题1"/>
    <w:uiPriority w:val="39"/>
    <w:unhideWhenUsed/>
    <w:qFormat/>
  </w:style>
  <w:style w:type="character" w:styleId="1008" w:customStyle="1">
    <w:name w:val="页眉 字符"/>
    <w:link w:val="839"/>
    <w:qFormat/>
    <w:rPr>
      <w:rFonts w:ascii="Times New Roman" w:hAnsi="Times New Roman" w:eastAsia="楷体_GB2312"/>
      <w:sz w:val="18"/>
      <w:szCs w:val="18"/>
    </w:rPr>
  </w:style>
  <w:style w:type="paragraph" w:styleId="1009" w:customStyle="1">
    <w:name w:val="索引 41"/>
    <w:basedOn w:val="809"/>
    <w:next w:val="809"/>
    <w:qFormat/>
    <w:pPr>
      <w:ind w:left="600"/>
    </w:pPr>
    <w:rPr>
      <w:szCs w:val="21"/>
    </w:rPr>
  </w:style>
  <w:style w:type="paragraph" w:styleId="1010" w:customStyle="1">
    <w:name w:val="正文首行缩进 21"/>
    <w:basedOn w:val="838"/>
    <w:uiPriority w:val="99"/>
    <w:unhideWhenUsed/>
    <w:qFormat/>
    <w:pPr>
      <w:ind w:firstLine="420"/>
    </w:pPr>
  </w:style>
  <w:style w:type="paragraph" w:styleId="1011" w:customStyle="1">
    <w:name w:val="目录 11"/>
    <w:basedOn w:val="809"/>
    <w:next w:val="809"/>
    <w:unhideWhenUsed/>
    <w:qFormat/>
    <w:pPr>
      <w:jc w:val="left"/>
    </w:pPr>
    <w:rPr>
      <w:sz w:val="24"/>
    </w:rPr>
  </w:style>
  <w:style w:type="paragraph" w:styleId="1012" w:customStyle="1">
    <w:name w:val="标题 21"/>
    <w:basedOn w:val="809"/>
    <w:next w:val="809"/>
    <w:qFormat/>
    <w:pPr>
      <w:keepLines/>
      <w:keepNext/>
      <w:spacing w:before="260" w:after="260" w:line="416" w:lineRule="auto"/>
      <w:outlineLvl w:val="1"/>
    </w:pPr>
    <w:rPr>
      <w:rFonts w:ascii="Cambria" w:hAnsi="Cambria" w:eastAsia="宋体"/>
      <w:b/>
      <w:bCs/>
      <w:sz w:val="32"/>
      <w:szCs w:val="32"/>
    </w:rPr>
  </w:style>
  <w:style w:type="paragraph" w:styleId="1013" w:customStyle="1">
    <w:name w:val="Default"/>
    <w:qFormat/>
    <w:pPr>
      <w:widowControl w:val="off"/>
    </w:pPr>
    <w:rPr>
      <w:rFonts w:ascii="仿宋" w:eastAsia="仿宋" w:cs="仿宋"/>
      <w:color w:val="000000"/>
      <w:sz w:val="24"/>
      <w:szCs w:val="24"/>
    </w:rPr>
  </w:style>
  <w:style w:type="paragraph" w:styleId="1014" w:customStyle="1">
    <w:name w:val="纯文本1111"/>
    <w:basedOn w:val="809"/>
    <w:next w:val="1015"/>
    <w:unhideWhenUsed/>
    <w:qFormat/>
    <w:rPr>
      <w:rFonts w:ascii="宋体" w:hAnsi="Courier New"/>
    </w:rPr>
  </w:style>
  <w:style w:type="paragraph" w:styleId="1015" w:customStyle="1">
    <w:name w:val="正文缩进1"/>
    <w:basedOn w:val="809"/>
    <w:unhideWhenUsed/>
    <w:qFormat/>
    <w:pPr>
      <w:ind w:firstLine="420"/>
      <w:jc w:val="left"/>
    </w:pPr>
    <w:rPr>
      <w:sz w:val="24"/>
    </w:rPr>
  </w:style>
  <w:style w:type="paragraph" w:styleId="1016" w:customStyle="1">
    <w:name w:val="首行缩进"/>
    <w:basedOn w:val="809"/>
    <w:qFormat/>
    <w:pPr>
      <w:ind w:firstLine="480"/>
      <w:spacing w:line="360" w:lineRule="auto"/>
    </w:pPr>
    <w:rPr>
      <w:rFonts w:hAnsi="宋体" w:eastAsia="宋体" w:cs="宋体"/>
      <w:sz w:val="24"/>
      <w:szCs w:val="24"/>
    </w:rPr>
  </w:style>
  <w:style w:type="paragraph" w:styleId="1017" w:customStyle="1">
    <w:name w:val="Char"/>
    <w:basedOn w:val="809"/>
    <w:qFormat/>
  </w:style>
  <w:style w:type="paragraph" w:styleId="1018" w:customStyle="1">
    <w:name w:val="标题 11"/>
    <w:basedOn w:val="809"/>
    <w:next w:val="809"/>
    <w:qFormat/>
    <w:pPr>
      <w:keepLines/>
      <w:keepNext/>
      <w:spacing w:before="340" w:after="330" w:line="578" w:lineRule="auto"/>
      <w:outlineLvl w:val="0"/>
    </w:pPr>
    <w:rPr>
      <w:b/>
      <w:sz w:val="44"/>
    </w:rPr>
  </w:style>
  <w:style w:type="paragraph" w:styleId="1019" w:customStyle="1">
    <w:name w:val="纯文本1"/>
    <w:basedOn w:val="809"/>
    <w:qFormat/>
    <w:rPr>
      <w:rFonts w:ascii="宋体" w:hAnsi="Courier New"/>
    </w:rPr>
  </w:style>
  <w:style w:type="paragraph" w:styleId="1020" w:customStyle="1">
    <w:name w:val="正文2"/>
    <w:basedOn w:val="809"/>
    <w:qFormat/>
    <w:pPr>
      <w:ind w:firstLine="510"/>
      <w:spacing w:before="156" w:line="360" w:lineRule="auto"/>
    </w:pPr>
    <w:rPr>
      <w:sz w:val="24"/>
    </w:rPr>
  </w:style>
  <w:style w:type="character" w:styleId="1021" w:customStyle="1">
    <w:name w:val="要点1"/>
    <w:qFormat/>
    <w:rPr>
      <w:b/>
      <w:bCs/>
    </w:rPr>
  </w:style>
  <w:style w:type="paragraph" w:styleId="1022" w:customStyle="1">
    <w:name w:val="普通(网站)1"/>
    <w:basedOn w:val="809"/>
    <w:unhideWhenUsed/>
    <w:qFormat/>
    <w:pPr>
      <w:jc w:val="left"/>
      <w:spacing w:before="100" w:beforeAutospacing="1" w:after="100" w:afterAutospacing="1"/>
      <w:widowControl/>
    </w:pPr>
    <w:rPr>
      <w:rFonts w:ascii="宋体" w:hAnsi="宋体" w:cs="宋体"/>
      <w:sz w:val="24"/>
    </w:rPr>
  </w:style>
  <w:style w:type="paragraph" w:styleId="1023" w:customStyle="1">
    <w:name w:val="正文文本缩进 21"/>
    <w:basedOn w:val="809"/>
    <w:unhideWhenUsed/>
    <w:qFormat/>
    <w:pPr>
      <w:ind w:left="420"/>
      <w:spacing w:after="120" w:line="480" w:lineRule="auto"/>
    </w:pPr>
  </w:style>
  <w:style w:type="paragraph" w:styleId="1024" w:customStyle="1">
    <w:name w:val="纯文本11"/>
    <w:basedOn w:val="809"/>
    <w:uiPriority w:val="99"/>
    <w:qFormat/>
    <w:rPr>
      <w:rFonts w:ascii="宋体" w:hAnsi="Courier New"/>
    </w:rPr>
  </w:style>
  <w:style w:type="paragraph" w:styleId="1025" w:customStyle="1">
    <w:name w:val="索引 11"/>
    <w:basedOn w:val="809"/>
    <w:next w:val="809"/>
    <w:unhideWhenUsed/>
    <w:qFormat/>
    <w:pPr>
      <w:jc w:val="center"/>
      <w:spacing w:line="220" w:lineRule="exact"/>
    </w:pPr>
    <w:rPr>
      <w:rFonts w:ascii="仿宋_GB2312" w:eastAsia="仿宋_GB2312"/>
      <w:szCs w:val="21"/>
    </w:rPr>
  </w:style>
  <w:style w:type="paragraph" w:styleId="1026" w:customStyle="1">
    <w:name w:val="正文文本1"/>
    <w:basedOn w:val="809"/>
    <w:unhideWhenUsed/>
    <w:qFormat/>
    <w:rPr>
      <w:rFonts w:ascii="楷体_GB2312"/>
      <w:b/>
      <w:bCs/>
      <w:sz w:val="28"/>
    </w:rPr>
  </w:style>
  <w:style w:type="paragraph" w:styleId="1027" w:customStyle="1">
    <w:name w:val="页眉1"/>
    <w:basedOn w:val="809"/>
    <w:unhideWhenUsed/>
    <w:qFormat/>
    <w:pPr>
      <w:jc w:val="center"/>
      <w:tabs>
        <w:tab w:val="center" w:pos="4153" w:leader="none"/>
        <w:tab w:val="right" w:pos="8306" w:leader="none"/>
      </w:tabs>
      <w:pBdr>
        <w:bottom w:val="single" w:color="000000" w:sz="6" w:space="1"/>
      </w:pBdr>
    </w:pPr>
    <w:rPr>
      <w:sz w:val="18"/>
    </w:rPr>
  </w:style>
  <w:style w:type="paragraph" w:styleId="1028" w:customStyle="1">
    <w:name w:val="页脚1"/>
    <w:basedOn w:val="809"/>
    <w:unhideWhenUsed/>
    <w:qFormat/>
    <w:pPr>
      <w:jc w:val="left"/>
      <w:tabs>
        <w:tab w:val="center" w:pos="4153" w:leader="none"/>
        <w:tab w:val="right" w:pos="8306" w:leader="none"/>
      </w:tabs>
    </w:pPr>
    <w:rPr>
      <w:sz w:val="18"/>
    </w:rPr>
  </w:style>
  <w:style w:type="character" w:styleId="1029" w:customStyle="1">
    <w:name w:val="font81"/>
    <w:qFormat/>
    <w:rPr>
      <w:rFonts w:ascii="Times New Roman" w:hAnsi="Times New Roman" w:cs="Times New Roman"/>
      <w:color w:val="000000"/>
      <w:sz w:val="22"/>
      <w:szCs w:val="22"/>
      <w:u w:val="none"/>
    </w:rPr>
  </w:style>
  <w:style w:type="character" w:styleId="1030" w:customStyle="1">
    <w:name w:val="font11"/>
    <w:qFormat/>
    <w:rPr>
      <w:rFonts w:hint="eastAsia" w:ascii="仿宋" w:hAnsi="仿宋" w:eastAsia="仿宋" w:cs="仿宋"/>
      <w:color w:val="000000"/>
      <w:sz w:val="22"/>
      <w:szCs w:val="22"/>
      <w:u w:val="none"/>
    </w:rPr>
  </w:style>
  <w:style w:type="character" w:styleId="1031" w:customStyle="1">
    <w:name w:val="font101"/>
    <w:qFormat/>
    <w:rPr>
      <w:rFonts w:ascii="Arial" w:hAnsi="Arial" w:cs="Arial"/>
      <w:color w:val="000000"/>
      <w:sz w:val="22"/>
      <w:szCs w:val="22"/>
      <w:u w:val="none"/>
    </w:rPr>
  </w:style>
  <w:style w:type="paragraph" w:styleId="1032" w:customStyle="1">
    <w:name w:val="List Paragraph_f0420307-4c65-4cf4-ac34-e8950b7bacb1"/>
    <w:basedOn w:val="809"/>
    <w:qFormat/>
    <w:pPr>
      <w:ind w:firstLine="420"/>
    </w:pPr>
    <w:rPr>
      <w:rFonts w:eastAsia="宋体"/>
      <w:sz w:val="21"/>
      <w:szCs w:val="21"/>
    </w:rPr>
  </w:style>
  <w:style w:type="character" w:styleId="1033" w:customStyle="1">
    <w:name w:val="font51"/>
    <w:basedOn w:val="819"/>
    <w:qFormat/>
    <w:rPr>
      <w:rFonts w:hint="default" w:ascii="Times New Roman" w:hAnsi="Times New Roman" w:cs="Times New Roman"/>
      <w:color w:val="000000"/>
      <w:sz w:val="21"/>
      <w:szCs w:val="21"/>
      <w:u w:val="none"/>
    </w:rPr>
  </w:style>
  <w:style w:type="character" w:styleId="1034" w:customStyle="1">
    <w:name w:val="font31"/>
    <w:basedOn w:val="819"/>
    <w:qFormat/>
    <w:rPr>
      <w:rFonts w:hint="eastAsia" w:ascii="宋体" w:hAnsi="宋体" w:eastAsia="宋体" w:cs="宋体"/>
      <w:color w:val="000000"/>
      <w:sz w:val="21"/>
      <w:szCs w:val="21"/>
      <w:u w:val="none"/>
    </w:rPr>
  </w:style>
  <w:style w:type="character" w:styleId="1035" w:customStyle="1">
    <w:name w:val="font21"/>
    <w:basedOn w:val="819"/>
    <w:qFormat/>
    <w:rPr>
      <w:rFonts w:hint="default" w:ascii="Times New Roman" w:hAnsi="Times New Roman" w:cs="Times New Roman"/>
      <w:color w:val="000000"/>
      <w:sz w:val="21"/>
      <w:szCs w:val="21"/>
      <w:u w:val="none"/>
    </w:rPr>
  </w:style>
  <w:style w:type="character" w:styleId="1036" w:customStyle="1">
    <w:name w:val="font61"/>
    <w:basedOn w:val="819"/>
    <w:qFormat/>
    <w:rPr>
      <w:rFonts w:hint="eastAsia" w:ascii="宋体" w:hAnsi="宋体" w:eastAsia="宋体" w:cs="宋体"/>
      <w:color w:val="000000"/>
      <w:sz w:val="21"/>
      <w:szCs w:val="21"/>
      <w:u w:val="none"/>
    </w:rPr>
  </w:style>
  <w:style w:type="character" w:styleId="1037" w:customStyle="1">
    <w:name w:val="font41"/>
    <w:basedOn w:val="819"/>
    <w:qFormat/>
    <w:rPr>
      <w:rFonts w:hint="default" w:ascii="Times New Roman" w:hAnsi="Times New Roman" w:cs="Times New Roman"/>
      <w:color w:val="000000"/>
      <w:sz w:val="20"/>
      <w:szCs w:val="20"/>
      <w:u w:val="none"/>
    </w:rPr>
  </w:style>
  <w:style w:type="character" w:styleId="1038" w:customStyle="1">
    <w:name w:val="批注框文本 字符"/>
    <w:basedOn w:val="819"/>
    <w:link w:val="834"/>
    <w:uiPriority w:val="99"/>
    <w:semiHidden/>
    <w:qFormat/>
    <w:rPr>
      <w:rFonts w:eastAsia="楷体_GB2312"/>
      <w:sz w:val="18"/>
      <w:szCs w:val="18"/>
    </w:rPr>
  </w:style>
  <w:style w:type="table" w:styleId="1039" w:customStyle="1">
    <w:name w:val="Table Normal"/>
    <w:semiHidden/>
    <w:unhideWhenUsed/>
    <w:qFormat/>
    <w:tblPr>
      <w:tblCellMar>
        <w:left w:w="0" w:type="dxa"/>
        <w:top w:w="0" w:type="dxa"/>
        <w:right w:w="0" w:type="dxa"/>
        <w:bottom w:w="0" w:type="dxa"/>
      </w:tblCellMar>
    </w:tblPr>
  </w:style>
  <w:style w:type="paragraph" w:styleId="1040" w:customStyle="1">
    <w:name w:val="样式 首行缩进:  2 字符"/>
    <w:basedOn w:val="809"/>
    <w:link w:val="1041"/>
    <w:qFormat/>
    <w:pPr>
      <w:ind w:firstLine="480"/>
      <w:spacing w:line="360" w:lineRule="auto"/>
    </w:pPr>
    <w:rPr>
      <w:rFonts w:eastAsia="宋体"/>
      <w:sz w:val="24"/>
    </w:rPr>
  </w:style>
  <w:style w:type="character" w:styleId="1041" w:customStyle="1">
    <w:name w:val="样式 首行缩进:  2 字符 Char Char"/>
    <w:link w:val="1040"/>
    <w:qFormat/>
    <w:rPr>
      <w:sz w:val="24"/>
    </w:rPr>
  </w:style>
  <w:style w:type="character" w:styleId="1042" w:customStyle="1">
    <w:name w:val="批注文字 字符"/>
    <w:basedOn w:val="819"/>
    <w:link w:val="826"/>
    <w:uiPriority w:val="99"/>
    <w:semiHidden/>
    <w:qFormat/>
    <w:rPr>
      <w:rFonts w:eastAsia="楷体_GB2312"/>
      <w:sz w:val="26"/>
    </w:rPr>
  </w:style>
  <w:style w:type="paragraph" w:styleId="1043" w:customStyle="1">
    <w:name w:val="Normal_17_1"/>
    <w:qFormat/>
    <w:pPr>
      <w:jc w:val="both"/>
      <w:widowControl w:val="off"/>
    </w:pPr>
    <w:rPr>
      <w:rFonts w:ascii="Calibri" w:hAnsi="Calibri"/>
      <w:sz w:val="21"/>
      <w:szCs w:val="22"/>
    </w:rPr>
  </w:style>
  <w:style w:type="paragraph" w:styleId="1044" w:customStyle="1">
    <w:name w:val="Normal_16_1"/>
    <w:qFormat/>
    <w:rPr>
      <w:rFonts w:ascii="宋体" w:hAnsi="宋体"/>
      <w:sz w:val="32"/>
      <w:szCs w:val="24"/>
    </w:rPr>
  </w:style>
  <w:style w:type="paragraph" w:styleId="1045" w:customStyle="1">
    <w:name w:val="正文_9_0_1"/>
    <w:qFormat/>
    <w:pPr>
      <w:jc w:val="both"/>
      <w:widowControl w:val="off"/>
    </w:pPr>
    <w:rPr>
      <w:rFonts w:ascii="Calibri" w:hAnsi="Calibri"/>
      <w:sz w:val="21"/>
      <w:szCs w:val="22"/>
    </w:rPr>
  </w:style>
  <w:style w:type="paragraph" w:styleId="1046" w:customStyle="1">
    <w:name w:val="正文_8_1_1"/>
    <w:qFormat/>
    <w:pPr>
      <w:jc w:val="both"/>
      <w:widowControl w:val="off"/>
    </w:pPr>
    <w:rPr>
      <w:rFonts w:ascii="Calibri" w:hAnsi="Calibri"/>
      <w:sz w:val="21"/>
      <w:szCs w:val="22"/>
    </w:rPr>
  </w:style>
  <w:style w:type="paragraph" w:styleId="1047" w:customStyle="1">
    <w:name w:val="正文_1_0_0_0_0_0"/>
    <w:qFormat/>
    <w:pPr>
      <w:jc w:val="both"/>
      <w:widowControl w:val="off"/>
    </w:pPr>
    <w:rPr>
      <w:sz w:val="21"/>
    </w:rPr>
  </w:style>
  <w:style w:type="paragraph" w:styleId="1048" w:customStyle="1">
    <w:name w:val="列出段落_2"/>
    <w:basedOn w:val="1046"/>
    <w:uiPriority w:val="34"/>
    <w:qFormat/>
    <w:pPr>
      <w:ind w:firstLine="420"/>
    </w:pPr>
  </w:style>
  <w:style w:type="paragraph" w:styleId="1049" w:customStyle="1">
    <w:name w:val="Other|1"/>
    <w:basedOn w:val="809"/>
    <w:qFormat/>
    <w:rPr>
      <w:rFonts w:ascii="宋体" w:hAnsi="宋体" w:eastAsia="宋体" w:cs="宋体"/>
      <w:sz w:val="21"/>
      <w:lang w:val="zh-TW" w:eastAsia="zh-TW" w:bidi="zh-TW"/>
    </w:rPr>
  </w:style>
  <w:style w:type="character" w:styleId="1050" w:customStyle="1">
    <w:name w:val="HTML 预设格式 字符"/>
    <w:basedOn w:val="819"/>
    <w:link w:val="848"/>
    <w:uiPriority w:val="99"/>
    <w:semiHidden/>
    <w:qFormat/>
    <w:rPr>
      <w:rFonts w:ascii="Courier New" w:hAnsi="Courier New" w:eastAsia="楷体_GB2312" w:cs="Courier Ne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jszfcg.jsczt.cn/&#65289;&#33719;&#21462;&#25307;&#26631;&#25991;&#20214;&#65292;&#24182;&#20110;2023&#24180;11&#26376;" TargetMode="External"/><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5"/>
    <customShpInfo spid="_x0000_s2050"/>
    <customShpInfo spid="_x0000_s2066"/>
    <customShpInfo spid="_x0000_s2065"/>
    <customShpInfo spid="_x0000_s2064"/>
    <customShpInfo spid="_x0000_s2063"/>
    <customShpInfo spid="_x0000_s2062"/>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98091C4-264E-4FBD-8B60-4A75D76FA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CC</dc:creator>
  <cp:lastModifiedBy>马君端</cp:lastModifiedBy>
  <cp:revision>13</cp:revision>
  <dcterms:created xsi:type="dcterms:W3CDTF">2026-08-11T05:29:00Z</dcterms:created>
  <dcterms:modified xsi:type="dcterms:W3CDTF">2026-08-17T07:22:11Z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7033B05C256F43C29A7C94C5A5B8F603_13</vt:lpwstr>
  </property>
  <property fmtid="{D5CDD505-2E9C-101B-9397-08002B2CF9AE}" pid="4" name="KSOTemplateDocerSaveRecord">
    <vt:lpwstr>eyJoZGlkIjoiMTQwZWQ3N2E0MjdiZDkzZDhkYmZlMTUwNDhjYzhlOTIiLCJ1c2VySWQiOiI3NDk3MDYyNTQifQ==</vt:lpwstr>
  </property>
</Properties>
</file>