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79"/>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679"/>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679"/>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项目名称：江苏省质检院业务系统受理和评审AI辅助建设项目</w:t>
      </w:r>
      <w:r>
        <w:rPr>
          <w:rFonts w:hint="eastAsia" w:ascii="方正黑体_GBK" w:hAnsi="方正黑体_GBK" w:eastAsia="方正黑体_GBK" w:cs="方正黑体_GBK"/>
          <w:sz w:val="28"/>
          <w:szCs w:val="28"/>
        </w:rPr>
      </w:r>
      <w:r/>
    </w:p>
    <w:p>
      <w:pPr>
        <w:pStyle w:val="679"/>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JSZC-320000-SCZX-C2026-0413</w:t>
      </w:r>
      <w:r>
        <w:rPr>
          <w:rFonts w:eastAsia="方正黑体_GBK"/>
          <w:sz w:val="28"/>
          <w:szCs w:val="28"/>
        </w:rPr>
        <w:t xml:space="preserve"> </w:t>
      </w:r>
      <w:r>
        <w:rPr>
          <w:rFonts w:ascii="Arial" w:hAnsi="Arial"/>
          <w:b/>
          <w:bCs/>
          <w:sz w:val="28"/>
          <w:szCs w:val="28"/>
        </w:rPr>
        <w:t xml:space="preserve">            </w:t>
      </w:r>
      <w:r>
        <w:rPr>
          <w:rFonts w:ascii="Arial" w:hAnsi="Arial"/>
          <w:b/>
          <w:bCs/>
          <w:sz w:val="28"/>
          <w:szCs w:val="28"/>
        </w:rPr>
      </w:r>
      <w:r/>
    </w:p>
    <w:p>
      <w:pPr>
        <w:pStyle w:val="679"/>
        <w:ind w:left="2800" w:hanging="2800"/>
        <w:jc w:val="center"/>
        <w:spacing w:line="660" w:lineRule="exact"/>
        <w:rPr>
          <w:rFonts w:hint="eastAsia"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r>
      <w:r/>
    </w:p>
    <w:p>
      <w:pPr>
        <w:pStyle w:val="679"/>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center"/>
        <w:spacing w:before="120" w:after="120" w:line="660" w:lineRule="exact"/>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679"/>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2026年8月</w:t>
      </w:r>
      <w:r>
        <w:rPr>
          <w:rFonts w:hint="eastAsia" w:ascii="方正黑体_GBK" w:hAnsi="方正黑体_GBK" w:eastAsia="方正黑体_GBK" w:cs="方正黑体_GBK"/>
          <w:sz w:val="28"/>
          <w:szCs w:val="28"/>
        </w:rPr>
      </w:r>
      <w:r/>
    </w:p>
    <w:p>
      <w:pPr>
        <w:pStyle w:val="67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79"/>
        <w:jc w:val="center"/>
        <w:spacing w:before="120" w:after="120" w:line="360" w:lineRule="auto"/>
        <w:rPr>
          <w:rFonts w:hint="eastAsia" w:ascii="Arial" w:hAnsi="Arial"/>
          <w:sz w:val="24"/>
          <w:szCs w:val="24"/>
        </w:rPr>
      </w:pPr>
      <w:r>
        <w:rPr>
          <w:rFonts w:hint="eastAsia" w:ascii="Arial" w:hAnsi="Arial"/>
          <w:sz w:val="24"/>
          <w:szCs w:val="24"/>
        </w:rPr>
      </w:r>
      <w:r/>
    </w:p>
    <w:p>
      <w:pPr>
        <w:pStyle w:val="679"/>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22</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33</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40</w:t>
      </w:r>
      <w:r>
        <w:rPr>
          <w:rFonts w:ascii="方正黑体_GBK" w:hAnsi="方正黑体_GBK" w:eastAsia="方正黑体_GBK" w:cs="方正黑体_GBK"/>
          <w:bCs/>
          <w:sz w:val="28"/>
          <w:szCs w:val="28"/>
          <w:lang w:val="en-US" w:eastAsia="zh-CN"/>
        </w:rPr>
      </w:r>
      <w:r/>
    </w:p>
    <w:p>
      <w:pPr>
        <w:pStyle w:val="679"/>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受江苏省产品质量监督检验研究院的委托，江苏省政府采购中心就江苏省质检院业务系统受理和评审AI辅助建设项目(JSZC-320000-SCZX-C2026-0413)项目进行竞争性磋商采购，欢迎符合条件的供应商参加磋商。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江苏省质检院业务系统受理和评审AI辅助建设项目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rPr>
        <w:t xml:space="preserve">年9</w:t>
      </w:r>
      <w:r>
        <w:rPr>
          <w:rFonts w:hint="eastAsia" w:ascii="方正仿宋_GBK" w:hAnsi="方正仿宋_GBK" w:eastAsia="方正仿宋_GBK" w:cs="方正仿宋_GBK"/>
          <w:bCs/>
          <w:sz w:val="28"/>
          <w:szCs w:val="28"/>
        </w:rPr>
        <w:t xml:space="preserve">月</w:t>
      </w:r>
      <w:r>
        <w:rPr>
          <w:rFonts w:hint="eastAsia" w:eastAsia="方正黑体_GBK"/>
          <w:sz w:val="28"/>
          <w:szCs w:val="28"/>
        </w:rPr>
        <w:t xml:space="preserve">7</w:t>
      </w:r>
      <w:r>
        <w:rPr>
          <w:rFonts w:hint="eastAsia" w:ascii="方正仿宋_GBK" w:hAnsi="方正仿宋_GBK" w:eastAsia="方正仿宋_GBK" w:cs="方正仿宋_GBK"/>
          <w:bCs/>
          <w:sz w:val="28"/>
          <w:szCs w:val="28"/>
        </w:rPr>
        <w:t xml:space="preserve">日</w:t>
      </w:r>
      <w:r>
        <w:rPr>
          <w:rFonts w:hint="eastAsia" w:eastAsia="方正黑体_GBK"/>
          <w:sz w:val="28"/>
          <w:szCs w:val="28"/>
        </w:rPr>
        <w:t xml:space="preserve">14</w:t>
      </w:r>
      <w:r>
        <w:rPr>
          <w:rFonts w:hint="eastAsia" w:ascii="方正仿宋_GBK" w:hAnsi="方正仿宋_GBK" w:eastAsia="方正仿宋_GBK" w:cs="方正仿宋_GBK"/>
          <w:bCs/>
          <w:sz w:val="28"/>
          <w:szCs w:val="28"/>
        </w:rPr>
        <w:t xml:space="preserve">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JSZC-320000-SCZX-C2026-0413</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黑体_GBK"/>
          <w:sz w:val="28"/>
          <w:szCs w:val="28"/>
        </w:rPr>
        <w:t xml:space="preserve">江苏省质检院业务系统受理和评审AI辅助建设项目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9"/>
              <w:ind w:firstLine="1120"/>
              <w:spacing w:line="400" w:lineRule="exact"/>
              <w:rPr>
                <w:rFonts w:ascii="方正仿宋_GBK" w:hAnsi="方正仿宋_GBK" w:eastAsia="方正仿宋_GBK" w:cs="方正仿宋_GBK"/>
                <w:sz w:val="28"/>
                <w:szCs w:val="28"/>
              </w:rPr>
            </w:pPr>
            <w:r>
              <w:rPr>
                <w:rFonts w:hint="eastAsia" w:eastAsia="方正黑体_GBK"/>
                <w:sz w:val="28"/>
                <w:szCs w:val="28"/>
              </w:rPr>
              <w:t xml:space="preserve">50</w:t>
            </w:r>
            <w:r>
              <w:rPr>
                <w:rFonts w:ascii="方正仿宋_GBK" w:hAnsi="方正仿宋_GBK" w:eastAsia="方正仿宋_GBK" w:cs="方正仿宋_GBK"/>
                <w:sz w:val="28"/>
                <w:szCs w:val="28"/>
              </w:rPr>
            </w:r>
            <w:r/>
          </w:p>
        </w:tc>
      </w:tr>
    </w:tbl>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t xml:space="preserve">0</w:t>
            </w:r>
            <w:r>
              <w:rPr>
                <w:rFonts w:hint="eastAsia" w:ascii="方正仿宋_GBK" w:hAnsi="方正仿宋_GBK" w:eastAsia="方正仿宋_GBK" w:cs="方正仿宋_GBK"/>
                <w:sz w:val="28"/>
                <w:szCs w:val="28"/>
              </w:rPr>
            </w:r>
            <w:r/>
          </w:p>
        </w:tc>
      </w:tr>
    </w:tbl>
    <w:p>
      <w:pPr>
        <w:pStyle w:val="679"/>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江苏省产品质量监督检验研究院拟对现有的实验室检验业务系统进行人工智能应用升级改造，重点是依据省市场监督管理局“人工智能+市场监管”布局，在业务受理、合同评审等相关环节引入人工智能体，提供受理评审辅助功能。本次改造的人工智能体要与现有业务系统实现无缝对接，且满足国产化部署要求。</w:t>
      </w:r>
      <w:r>
        <w:rPr>
          <w:rFonts w:hint="eastAsia" w:ascii="方正仿宋_GBK" w:hAnsi="方正仿宋_GBK" w:eastAsia="方正仿宋_GBK" w:cs="方正仿宋_GBK"/>
          <w:sz w:val="28"/>
          <w:szCs w:val="28"/>
        </w:rPr>
        <w:t xml:space="preserve">（详细内容见本磋商文件第四章）</w:t>
      </w:r>
      <w:r>
        <w:rPr>
          <w:rFonts w:ascii="宋体" w:hAnsi="宋体"/>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r>
        <w:rPr>
          <w:rFonts w:hint="eastAsia" w:ascii="方正仿宋_GBK" w:eastAsia="方正仿宋_GBK"/>
          <w:sz w:val="28"/>
          <w:szCs w:val="28"/>
        </w:rPr>
        <w:t xml:space="preserve">合同签订后90天。</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35393622"/>
      <w:r/>
      <w:bookmarkStart w:id="13" w:name="_Toc38985264"/>
      <w:r/>
      <w:bookmarkStart w:id="14" w:name="_Toc35393791"/>
      <w:r/>
      <w:bookmarkStart w:id="15" w:name="_Toc28359080"/>
      <w:r/>
      <w:bookmarkStart w:id="16" w:name="_Toc28359003"/>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679"/>
        <w:ind w:firstLine="560"/>
        <w:spacing w:line="400" w:lineRule="exact"/>
        <w:rPr>
          <w:rFonts w:hint="eastAsia" w:ascii="方正楷体_GBK" w:hAnsi="方正楷体_GBK" w:eastAsia="方正楷体_GBK" w:cs="方正楷体_GBK"/>
          <w:sz w:val="28"/>
          <w:szCs w:val="28"/>
        </w:rPr>
      </w:pPr>
      <w:r/>
      <w:bookmarkStart w:id="17" w:name="_Toc28359004"/>
      <w:r/>
      <w:bookmarkStart w:id="18" w:name="_Toc35393623"/>
      <w:r/>
      <w:bookmarkStart w:id="19" w:name="_Toc38985265"/>
      <w:r/>
      <w:bookmarkStart w:id="20" w:name="_Toc35393792"/>
      <w:r/>
      <w:bookmarkStart w:id="21"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9"/>
              <w:jc w:val="center"/>
              <w:spacing w:line="400" w:lineRule="exact"/>
              <w:rPr>
                <w:rFonts w:ascii="方正仿宋_GBK" w:hAnsi="方正仿宋_GBK" w:eastAsia="方正仿宋_GBK" w:cs="方正仿宋_GBK"/>
                <w:sz w:val="28"/>
                <w:szCs w:val="28"/>
              </w:rPr>
            </w:pPr>
            <w:r>
              <w:rPr>
                <w:rFonts w:hint="eastAsia" w:eastAsia="方正黑体_GBK"/>
                <w:sz w:val="28"/>
                <w:szCs w:val="28"/>
              </w:rPr>
              <w:t xml:space="preserve">无</w:t>
            </w:r>
            <w:r>
              <w:rPr>
                <w:rFonts w:ascii="方正仿宋_GBK" w:hAnsi="方正仿宋_GBK" w:eastAsia="方正仿宋_GBK" w:cs="方正仿宋_GBK"/>
                <w:sz w:val="28"/>
                <w:szCs w:val="28"/>
              </w:rPr>
            </w:r>
            <w:r/>
          </w:p>
        </w:tc>
      </w:tr>
    </w:tbl>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679"/>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eastAsia="方正黑体_GBK"/>
          <w:sz w:val="28"/>
          <w:szCs w:val="28"/>
        </w:rPr>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年9</w:t>
      </w:r>
      <w:r>
        <w:rPr>
          <w:rFonts w:hint="eastAsia" w:ascii="方正仿宋_GBK" w:hAnsi="方正仿宋_GBK" w:eastAsia="方正仿宋_GBK" w:cs="方正仿宋_GBK"/>
          <w:bCs/>
          <w:sz w:val="28"/>
          <w:szCs w:val="28"/>
        </w:rPr>
        <w:t xml:space="preserve">月</w:t>
      </w:r>
      <w:r>
        <w:rPr>
          <w:rFonts w:hint="eastAsia" w:eastAsia="方正黑体_GBK"/>
          <w:sz w:val="28"/>
          <w:szCs w:val="28"/>
        </w:rPr>
        <w:t xml:space="preserve">7</w:t>
      </w:r>
      <w:r>
        <w:rPr>
          <w:rFonts w:hint="eastAsia" w:ascii="方正仿宋_GBK" w:hAnsi="方正仿宋_GBK" w:eastAsia="方正仿宋_GBK" w:cs="方正仿宋_GBK"/>
          <w:bCs/>
          <w:sz w:val="28"/>
          <w:szCs w:val="28"/>
        </w:rPr>
        <w:t xml:space="preserve">日</w:t>
      </w:r>
      <w:r>
        <w:rPr>
          <w:rFonts w:hint="eastAsia" w:eastAsia="方正黑体_GBK"/>
          <w:sz w:val="28"/>
          <w:szCs w:val="28"/>
        </w:rPr>
        <w:t xml:space="preserve">14</w:t>
      </w:r>
      <w:r>
        <w:rPr>
          <w:rFonts w:hint="eastAsia" w:ascii="方正仿宋_GBK" w:hAnsi="方正仿宋_GBK" w:eastAsia="方正仿宋_GBK" w:cs="方正仿宋_GBK"/>
          <w:bCs/>
          <w:sz w:val="28"/>
          <w:szCs w:val="28"/>
        </w:rPr>
        <w:t xml:space="preserve">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w:t>
      </w:r>
      <w:r/>
      <w:r>
        <w:rPr>
          <w:rFonts w:hint="eastAsia" w:eastAsia="方正黑体_GBK"/>
          <w:sz w:val="28"/>
          <w:szCs w:val="28"/>
        </w:rPr>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5393625"/>
      <w:r/>
      <w:bookmarkStart w:id="28" w:name="_Toc35393794"/>
      <w:r/>
      <w:bookmarkStart w:id="29" w:name="_Toc28359007"/>
      <w:r/>
      <w:bookmarkStart w:id="30" w:name="_Toc28359084"/>
      <w:r/>
      <w:bookmarkStart w:id="31" w:name="_Toc38985267"/>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85"/>
      <w:r/>
      <w:bookmarkStart w:id="36" w:name="_Toc35393796"/>
      <w:r/>
      <w:bookmarkStart w:id="37" w:name="_Toc35393627"/>
      <w:r/>
      <w:bookmarkStart w:id="38" w:name="_Toc28359008"/>
      <w:r/>
      <w:bookmarkStart w:id="39" w:name="_Toc38985269"/>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679"/>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江苏省产品质量监督检验研究院</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南京市秦淮区光华东街5号</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王祥      </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025-84470336</w:t>
      </w:r>
      <w:r>
        <w:rPr>
          <w:rFonts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bookmarkStart w:id="42" w:name="_Toc28359086"/>
      <w:r/>
      <w:bookmarkStart w:id="43" w:name="_Toc28359009"/>
      <w:r>
        <w:rPr>
          <w:rFonts w:hint="eastAsia" w:ascii="方正仿宋_GBK" w:hAnsi="方正仿宋_GBK" w:eastAsia="方正仿宋_GBK" w:cs="方正仿宋_GBK"/>
          <w:sz w:val="28"/>
          <w:szCs w:val="28"/>
          <w:u w:val="single"/>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u w:val="single"/>
        </w:rPr>
      </w:pPr>
      <w:r/>
      <w:bookmarkEnd w:id="40"/>
      <w:r/>
      <w:bookmarkEnd w:id="41"/>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rPr>
          <w:rFonts w:hint="eastAsia" w:ascii="方正仿宋_GBK" w:hAnsi="方正仿宋_GBK" w:eastAsia="方正仿宋_GBK" w:cs="方正仿宋_GBK"/>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rPr>
          <w:rFonts w:hint="eastAsia" w:ascii="方正仿宋_GBK" w:hAnsi="方正仿宋_GBK" w:eastAsia="方正仿宋_GBK" w:cs="方正仿宋_GBK"/>
          <w:sz w:val="28"/>
          <w:szCs w:val="28"/>
          <w:shd w:val="clear" w:color="ffffff" w:fill="d9d9d9"/>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513029203"/>
      <w:r/>
      <w:bookmarkStart w:id="46" w:name="_Toc20823275"/>
      <w:r/>
      <w:bookmarkStart w:id="47" w:name="_Toc120614214"/>
      <w:r/>
      <w:bookmarkStart w:id="48" w:name="_Toc16938519"/>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513029209"/>
      <w:r/>
      <w:bookmarkStart w:id="50" w:name="_Toc120614215"/>
      <w:r/>
      <w:bookmarkStart w:id="51" w:name="_Toc16938525"/>
      <w:r/>
      <w:bookmarkStart w:id="52"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16938521"/>
      <w:r/>
      <w:bookmarkStart w:id="60" w:name="_Toc20823277"/>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20823278"/>
      <w:r/>
      <w:bookmarkStart w:id="62" w:name="_Toc513029206"/>
      <w:r/>
      <w:bookmarkStart w:id="63" w:name="_Toc16938522"/>
      <w:r/>
      <w:bookmarkStart w:id="64" w:name="_Toc513029207"/>
      <w:r/>
      <w:bookmarkStart w:id="65" w:name="_Toc16938523"/>
      <w:r/>
      <w:bookmarkStart w:id="66" w:name="_Toc462564067"/>
      <w:r/>
      <w:bookmarkStart w:id="67" w:name="_Toc20823279"/>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120614216"/>
      <w:r/>
      <w:bookmarkStart w:id="69" w:name="_Toc16938529"/>
      <w:r/>
      <w:bookmarkStart w:id="70" w:name="_Toc513029213"/>
      <w:r/>
      <w:bookmarkStart w:id="71" w:name="_Toc462564072"/>
      <w:r/>
      <w:bookmarkStart w:id="72" w:name="_Toc20823285"/>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513029212"/>
      <w:r/>
      <w:bookmarkStart w:id="78" w:name="_Toc16938528"/>
      <w:r/>
      <w:bookmarkStart w:id="79" w:name="_Toc20823284"/>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20823286"/>
      <w:r/>
      <w:bookmarkStart w:id="83" w:name="_Toc513029214"/>
      <w:r/>
      <w:bookmarkStart w:id="84" w:name="_Toc16938530"/>
      <w:r/>
      <w:bookmarkStart w:id="85" w:name="_Toc462564073"/>
      <w:r/>
      <w:bookmarkStart w:id="86" w:name="_Toc120614217"/>
      <w:r/>
      <w:bookmarkStart w:id="87" w:name="_Toc20823296"/>
      <w:r/>
      <w:bookmarkStart w:id="88" w:name="_Toc16938540"/>
      <w:r/>
      <w:bookmarkStart w:id="89" w:name="_Toc513029224"/>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462564074"/>
      <w:r/>
      <w:bookmarkStart w:id="91" w:name="_Toc20823287"/>
      <w:r/>
      <w:bookmarkStart w:id="92" w:name="_Toc513029215"/>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513029219"/>
      <w:r/>
      <w:bookmarkStart w:id="95" w:name="_Toc49090509"/>
      <w:r/>
      <w:bookmarkStart w:id="96" w:name="_Toc513029216"/>
      <w:r/>
      <w:bookmarkStart w:id="97" w:name="_Toc49090507"/>
      <w:r/>
      <w:bookmarkStart w:id="98" w:name="_Toc14577354"/>
      <w:r/>
      <w:bookmarkStart w:id="99" w:name="_Toc14577355"/>
      <w:r/>
      <w:bookmarkStart w:id="100" w:name="_Toc49090508"/>
      <w:r/>
      <w:bookmarkStart w:id="101" w:name="_Hlt26954838"/>
      <w:r/>
      <w:bookmarkEnd w:id="101"/>
      <w:r/>
      <w:bookmarkStart w:id="102" w:name="_Hlt26670360"/>
      <w:r/>
      <w:bookmarkEnd w:id="102"/>
      <w:r/>
      <w:bookmarkStart w:id="103" w:name="_Hlt26668975"/>
      <w:r/>
      <w:bookmarkEnd w:id="103"/>
      <w:r/>
      <w:bookmarkStart w:id="104" w:name="_Toc14577357"/>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954848"/>
      <w:r/>
      <w:bookmarkEnd w:id="106"/>
      <w:r/>
      <w:bookmarkStart w:id="107" w:name="_Hlt26670482"/>
      <w:r/>
      <w:bookmarkEnd w:id="107"/>
      <w:r/>
      <w:bookmarkStart w:id="108" w:name="_Hlt26954731"/>
      <w:r/>
      <w:bookmarkEnd w:id="108"/>
      <w:r/>
      <w:bookmarkStart w:id="109" w:name="_Hlt2667048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120614218"/>
      <w:r/>
      <w:bookmarkStart w:id="115" w:name="_Toc16938545"/>
      <w:r/>
      <w:bookmarkStart w:id="116" w:name="_Toc20823301"/>
      <w:r/>
      <w:bookmarkStart w:id="117" w:name="_Toc513029229"/>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513029225"/>
      <w:r/>
      <w:bookmarkStart w:id="121" w:name="_Toc462564084"/>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513029226"/>
      <w:r/>
      <w:bookmarkStart w:id="123" w:name="_Toc20823298"/>
      <w:r/>
      <w:bookmarkStart w:id="124" w:name="_Toc16938542"/>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16938548"/>
      <w:r/>
      <w:bookmarkStart w:id="135" w:name="_Toc20823304"/>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513029231"/>
      <w:r/>
      <w:bookmarkStart w:id="139"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7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 如为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bookmarkStart w:id="143" w:name="_Toc20823306"/>
      <w:r/>
      <w:bookmarkStart w:id="144" w:name="_Toc513029234"/>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7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120614219"/>
      <w:r/>
      <w:bookmarkStart w:id="147" w:name="_Toc513029235"/>
      <w:r/>
      <w:bookmarkStart w:id="148" w:name="_Toc20823307"/>
      <w:r/>
      <w:bookmarkStart w:id="149" w:name="_Toc16938551"/>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79"/>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16938552"/>
      <w:r/>
      <w:bookmarkStart w:id="156" w:name="_Toc20823308"/>
      <w:r/>
      <w:bookmarkStart w:id="157"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513029242"/>
      <w:r/>
      <w:bookmarkStart w:id="159" w:name="_Toc479757207"/>
      <w:r/>
      <w:bookmarkStart w:id="160" w:name="_Toc16938558"/>
      <w:r/>
      <w:bookmarkStart w:id="161" w:name="_Toc20823314"/>
      <w:r/>
      <w:bookmarkStart w:id="162" w:name="_Toc120614221"/>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16938553"/>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79"/>
        <w:spacing w:line="400" w:lineRule="exact"/>
        <w:rPr>
          <w:rFonts w:ascii="宋体" w:hAnsi="宋体"/>
          <w:bCs/>
          <w:color w:val="000000"/>
          <w:sz w:val="28"/>
          <w:szCs w:val="28"/>
          <w:highlight w:val="yellow"/>
        </w:rPr>
      </w:pPr>
      <w:r/>
      <w:bookmarkStart w:id="166" w:name="_Toc20823315"/>
      <w:r/>
      <w:bookmarkStart w:id="167" w:name="_Toc16938559"/>
      <w:r/>
      <w:bookmarkStart w:id="168" w:name="_Toc513029243"/>
      <w:r>
        <w:rPr>
          <w:rFonts w:ascii="宋体" w:hAnsi="宋体"/>
          <w:bCs/>
          <w:color w:val="000000"/>
          <w:sz w:val="28"/>
          <w:szCs w:val="28"/>
          <w:highlight w:val="yellow"/>
        </w:rPr>
      </w:r>
      <w:r/>
    </w:p>
    <w:p>
      <w:pPr>
        <w:pStyle w:val="711"/>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67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合同签订后20个工作日内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合同金额的30%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合同金额的70%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79"/>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r>
        <w:rPr>
          <w:sz w:val="24"/>
          <w:szCs w:val="24"/>
        </w:rPr>
      </w:r>
      <w:r/>
      <w:r>
        <w:rPr>
          <w:rFonts w:hint="eastAsia" w:ascii="方正仿宋_GBK" w:hAnsi="方正仿宋_GBK" w:eastAsia="方正仿宋_GBK" w:cs="方正仿宋_GBK"/>
          <w:bCs/>
          <w:sz w:val="28"/>
          <w:szCs w:val="28"/>
        </w:rPr>
      </w:r>
    </w:p>
    <w:p>
      <w:pPr>
        <w:pStyle w:val="679"/>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681"/>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16938590"/>
      <w:r/>
      <w:bookmarkStart w:id="172" w:name="_Toc120614244"/>
      <w:r/>
      <w:bookmarkStart w:id="173" w:name="_Toc20823346"/>
      <w:r/>
      <w:bookmarkStart w:id="174" w:name="_Toc479757211"/>
      <w:r/>
      <w:bookmarkStart w:id="175" w:name="_Toc462564139"/>
      <w:r>
        <w:rPr>
          <w:rFonts w:ascii="黑体" w:hAnsi="Courier New" w:eastAsia="黑体" w:cs="Courier New"/>
          <w:bCs w:val="0"/>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679"/>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rPr>
                <w:rFonts w:ascii="方正仿宋_GBK" w:hAnsi="方正仿宋_GBK" w:eastAsia="方正仿宋_GBK" w:cs="方正仿宋_GBK"/>
                <w:sz w:val="28"/>
                <w:szCs w:val="28"/>
              </w:rPr>
            </w:r>
            <w:r/>
          </w:p>
        </w:tc>
        <w:tc>
          <w:tcPr>
            <w:tcW w:w="100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679"/>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江苏省质检院业务系统受理和评审AI辅助建设</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本项目不包含货物采购。</w:t>
      </w:r>
      <w:r>
        <w:rPr>
          <w:rFonts w:hint="eastAsia" w:ascii="方正黑体_GBK" w:hAnsi="方正黑体_GBK" w:eastAsia="方正黑体_GBK" w:cs="方正黑体_GBK"/>
          <w:bCs/>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679"/>
        <w:spacing w:line="360" w:lineRule="auto"/>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（一）总体要求</w:t>
      </w:r>
      <w:r>
        <w:rPr>
          <w:rFonts w:ascii="方正仿宋_GBK" w:hAnsi="方正仿宋_GBK" w:eastAsia="方正仿宋_GBK" w:cs="方正仿宋_GBK"/>
          <w:bCs/>
          <w:color w:val="000000"/>
          <w:sz w:val="28"/>
          <w:szCs w:val="28"/>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随着我院业务规模持续扩大，检测业务类型日益丰富，业务受理环节的处理效率与准确性的要求不断提高。本项目对现有LIMS系统中的业务受理和合同评审环节进行智能化改造。项目基于“以 LIMS 为基础、以场景为牵引、以大模型和智能体为抓手、以嵌入式应用为路径”的原则，依托现有系统相关功能和数据，构建智能化受理及评审能力体系。</w:t>
      </w:r>
      <w:r>
        <w:rPr>
          <w:rFonts w:ascii="方正仿宋_GBK" w:hAnsi="方正仿宋_GBK" w:eastAsia="方正仿宋_GBK" w:cs="方正仿宋_GBK"/>
          <w:bCs/>
          <w:color w:val="000000"/>
          <w:sz w:val="28"/>
          <w:szCs w:val="28"/>
        </w:rPr>
      </w:r>
      <w:r/>
    </w:p>
    <w:p>
      <w:pPr>
        <w:pStyle w:val="679"/>
        <w:ind w:firstLine="560"/>
        <w:spacing w:line="360" w:lineRule="auto"/>
        <w:tabs>
          <w:tab w:val="left" w:pos="63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1）范围要求：需对本院LIMS系统的“业务受理、合同评审”模块进行人工智能升级改造。</w:t>
      </w:r>
      <w:r>
        <w:rPr>
          <w:rFonts w:ascii="方正仿宋_GBK" w:hAnsi="方正仿宋_GBK" w:eastAsia="方正仿宋_GBK" w:cs="方正仿宋_GBK"/>
          <w:sz w:val="28"/>
          <w:szCs w:val="28"/>
        </w:rPr>
      </w:r>
      <w:r/>
    </w:p>
    <w:p>
      <w:pPr>
        <w:pStyle w:val="679"/>
        <w:ind w:firstLine="420"/>
        <w:spacing w:line="360" w:lineRule="auto"/>
        <w:rPr>
          <w:rFonts w:ascii="方正仿宋_GBK" w:hAnsi="方正仿宋_GBK" w:eastAsia="方正仿宋_GBK" w:cs="方正仿宋_GBK"/>
          <w:b/>
          <w:i/>
          <w:sz w:val="28"/>
          <w:szCs w:val="28"/>
          <w:u w:val="single"/>
        </w:rPr>
      </w:pPr>
      <w:r>
        <w:rPr>
          <w:rFonts w:hint="eastAsia" w:ascii="方正仿宋_GBK" w:hAnsi="方正仿宋_GBK" w:eastAsia="方正仿宋_GBK" w:cs="方正仿宋_GBK"/>
          <w:b/>
          <w:bCs/>
          <w:i/>
          <w:iCs/>
          <w:sz w:val="28"/>
          <w:szCs w:val="28"/>
          <w:u w:val="single"/>
        </w:rPr>
        <w:t xml:space="preserve">2）供应商必须确保本次升级建设的智能辅助功能，能够与现有LIMS系统的相应模块无缝衔接，在LIMS中一键启用智能化功能，实现便捷高效的受理及合同评审。</w:t>
      </w:r>
      <w:r>
        <w:rPr>
          <w:rFonts w:hint="eastAsia" w:ascii="方正仿宋_GBK" w:hAnsi="方正仿宋_GBK" w:eastAsia="方正仿宋_GBK" w:cs="方正仿宋_GBK"/>
          <w:b/>
          <w:i/>
          <w:sz w:val="28"/>
          <w:szCs w:val="28"/>
          <w:u w:val="single"/>
        </w:rPr>
        <w:t xml:space="preserve">（提供加盖公章的承诺）。</w:t>
      </w:r>
      <w:r>
        <w:rPr>
          <w:rFonts w:ascii="方正仿宋_GBK" w:hAnsi="方正仿宋_GBK" w:eastAsia="方正仿宋_GBK" w:cs="方正仿宋_GBK"/>
          <w:b/>
          <w:i/>
          <w:sz w:val="28"/>
          <w:szCs w:val="28"/>
          <w:u w:val="single"/>
        </w:rPr>
      </w:r>
      <w:r/>
    </w:p>
    <w:p>
      <w:pPr>
        <w:pStyle w:val="679"/>
        <w:ind w:firstLine="42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如涉及与现有L</w:t>
      </w:r>
      <w:r>
        <w:rPr>
          <w:rFonts w:ascii="方正仿宋_GBK" w:hAnsi="方正仿宋_GBK" w:eastAsia="方正仿宋_GBK" w:cs="方正仿宋_GBK"/>
          <w:bCs/>
          <w:color w:val="000000"/>
          <w:sz w:val="28"/>
          <w:szCs w:val="28"/>
        </w:rPr>
        <w:t xml:space="preserve">IMS</w:t>
      </w:r>
      <w:r>
        <w:rPr>
          <w:rFonts w:hint="eastAsia" w:ascii="方正仿宋_GBK" w:hAnsi="方正仿宋_GBK" w:eastAsia="方正仿宋_GBK" w:cs="方正仿宋_GBK"/>
          <w:bCs/>
          <w:color w:val="000000"/>
          <w:sz w:val="28"/>
          <w:szCs w:val="28"/>
        </w:rPr>
        <w:t xml:space="preserve">系统对接，可免费提供LIMS业务受理单接口、LIMS标准及检项方法库接口、LIMS业务受理模板接口。接口标准需采用业界通用的RESTful API或等效的HTTPS协议进行交互，统一JSON格式和字段命名规则。</w:t>
      </w:r>
      <w:r>
        <w:rPr>
          <w:rFonts w:ascii="方正仿宋_GBK" w:hAnsi="方正仿宋_GBK" w:eastAsia="方正仿宋_GBK" w:cs="方正仿宋_GBK"/>
          <w:bCs/>
          <w:color w:val="000000"/>
          <w:sz w:val="28"/>
          <w:szCs w:val="28"/>
        </w:rPr>
      </w:r>
      <w:r/>
    </w:p>
    <w:p>
      <w:pPr>
        <w:pStyle w:val="679"/>
        <w:ind w:firstLine="420"/>
        <w:spacing w:line="360" w:lineRule="auto"/>
        <w:rPr>
          <w:rFonts w:ascii="方正仿宋_GBK" w:hAnsi="方正仿宋_GBK" w:eastAsia="方正仿宋_GBK" w:cs="方正仿宋_GBK"/>
          <w:b/>
          <w:bCs/>
          <w:i/>
          <w:color w:val="000000"/>
          <w:sz w:val="28"/>
          <w:szCs w:val="28"/>
          <w:u w:val="single"/>
        </w:rPr>
      </w:pPr>
      <w:r>
        <w:rPr>
          <w:rFonts w:hint="eastAsia" w:ascii="方正仿宋_GBK" w:hAnsi="方正仿宋_GBK" w:eastAsia="方正仿宋_GBK" w:cs="方正仿宋_GBK"/>
          <w:b/>
          <w:bCs/>
          <w:i/>
          <w:color w:val="000000"/>
          <w:sz w:val="28"/>
          <w:szCs w:val="28"/>
          <w:u w:val="single"/>
        </w:rPr>
        <w:t xml:space="preserve">3） 本次升级系统需满足在国产化环境部署运行，根据采购人已有的软件资产情况，需满足在麒麟操作系统（银河麒麟高级服务器操作系统V10）、东方通中间件(Tongweb7.0嵌入式版)和达梦数据库(达梦数据库管理系统V8.4基础版)等国产软件环境上运行。</w:t>
      </w:r>
      <w:r>
        <w:rPr>
          <w:rFonts w:ascii="方正仿宋_GBK" w:hAnsi="方正仿宋_GBK" w:eastAsia="方正仿宋_GBK" w:cs="方正仿宋_GBK"/>
          <w:b/>
          <w:bCs/>
          <w:i/>
          <w:color w:val="000000"/>
          <w:sz w:val="28"/>
          <w:szCs w:val="28"/>
          <w:u w:val="single"/>
        </w:rPr>
      </w:r>
      <w:r/>
    </w:p>
    <w:p>
      <w:pPr>
        <w:pStyle w:val="679"/>
        <w:spacing w:line="360" w:lineRule="auto"/>
        <w:rPr>
          <w:rFonts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说明：</w:t>
      </w:r>
      <w:r>
        <w:rPr>
          <w:rFonts w:hint="eastAsia" w:ascii="方正仿宋_GBK" w:hAnsi="方正仿宋_GBK" w:eastAsia="方正仿宋_GBK" w:cs="方正仿宋_GBK"/>
          <w:bCs/>
          <w:i/>
          <w:color w:val="000000"/>
          <w:sz w:val="28"/>
          <w:szCs w:val="28"/>
          <w:u w:val="single"/>
        </w:rPr>
        <w:t xml:space="preserve">斜体且有下划线部分</w:t>
      </w:r>
      <w:r>
        <w:rPr>
          <w:rFonts w:hint="eastAsia" w:ascii="方正仿宋_GBK" w:hAnsi="方正仿宋_GBK" w:eastAsia="方正仿宋_GBK" w:cs="方正仿宋_GBK"/>
          <w:bCs/>
          <w:iCs/>
          <w:color w:val="000000"/>
          <w:sz w:val="28"/>
          <w:szCs w:val="28"/>
        </w:rPr>
        <w:t xml:space="preserve">为实质性要求采购方如果在实施过程发现系统无法满足这些功能将有权不予验收，因此引起的所有后果由供应商自行承担。</w:t>
      </w:r>
      <w:r>
        <w:rPr>
          <w:rFonts w:ascii="方正仿宋_GBK" w:hAnsi="方正仿宋_GBK" w:eastAsia="方正仿宋_GBK" w:cs="方正仿宋_GBK"/>
          <w:bCs/>
          <w:i/>
          <w:color w:val="000000"/>
          <w:sz w:val="28"/>
          <w:szCs w:val="28"/>
          <w:u w:val="single"/>
        </w:rPr>
      </w:r>
      <w:r/>
    </w:p>
    <w:p>
      <w:pPr>
        <w:pStyle w:val="679"/>
        <w:spacing w:line="360" w:lineRule="auto"/>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（二）技术功能参数</w:t>
      </w:r>
      <w:r>
        <w:rPr>
          <w:rFonts w:ascii="方正仿宋_GBK" w:hAnsi="方正仿宋_GBK" w:eastAsia="方正仿宋_GBK" w:cs="方正仿宋_GBK"/>
          <w:bCs/>
          <w:color w:val="000000"/>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46"/>
        <w:gridCol w:w="1651"/>
        <w:gridCol w:w="6222"/>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spacing w:line="360" w:lineRule="auto"/>
              <w:widowControl/>
              <w:rPr>
                <w:rFonts w:ascii="方正仿宋_GB2312" w:hAnsi="方正仿宋_GB2312" w:eastAsia="方正仿宋_GB2312" w:cs="方正仿宋_GB2312"/>
                <w:b/>
                <w:bCs/>
                <w:szCs w:val="21"/>
              </w:rPr>
            </w:pPr>
            <w:r>
              <w:rPr>
                <w:rFonts w:hint="eastAsia" w:ascii="宋体" w:hAnsi="宋体" w:cs="宋体"/>
                <w:b/>
                <w:bCs/>
                <w:szCs w:val="21"/>
                <w:lang w:bidi="ar"/>
              </w:rPr>
              <w:t xml:space="preserve">序号</w:t>
            </w:r>
            <w:r>
              <w:rPr>
                <w:rFonts w:ascii="方正仿宋_GB2312" w:hAnsi="方正仿宋_GB2312" w:eastAsia="方正仿宋_GB2312" w:cs="方正仿宋_GB2312"/>
                <w:b/>
                <w:bCs/>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widowControl/>
              <w:rPr>
                <w:rFonts w:ascii="方正仿宋_GB2312" w:hAnsi="方正仿宋_GB2312" w:eastAsia="方正仿宋_GB2312" w:cs="方正仿宋_GB2312"/>
                <w:b/>
                <w:bCs/>
                <w:szCs w:val="21"/>
              </w:rPr>
            </w:pPr>
            <w:r>
              <w:rPr>
                <w:rFonts w:hint="eastAsia" w:ascii="宋体" w:hAnsi="宋体" w:cs="宋体"/>
                <w:b/>
                <w:bCs/>
                <w:szCs w:val="21"/>
                <w:lang w:bidi="ar"/>
              </w:rPr>
              <w:t xml:space="preserve">功能模块</w:t>
            </w:r>
            <w:r>
              <w:rPr>
                <w:rFonts w:ascii="方正仿宋_GB2312" w:hAnsi="方正仿宋_GB2312" w:eastAsia="方正仿宋_GB2312" w:cs="方正仿宋_GB2312"/>
                <w:b/>
                <w:bCs/>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jc w:val="center"/>
              <w:spacing w:line="360" w:lineRule="auto"/>
              <w:widowControl/>
              <w:rPr>
                <w:rFonts w:ascii="方正仿宋_GB2312" w:hAnsi="方正仿宋_GB2312" w:eastAsia="方正仿宋_GB2312" w:cs="方正仿宋_GB2312"/>
                <w:b/>
                <w:bCs/>
                <w:szCs w:val="21"/>
              </w:rPr>
            </w:pPr>
            <w:r>
              <w:rPr>
                <w:rFonts w:hint="eastAsia" w:ascii="宋体" w:hAnsi="宋体" w:cs="宋体"/>
                <w:b/>
                <w:bCs/>
                <w:szCs w:val="21"/>
                <w:lang w:bidi="ar"/>
              </w:rPr>
              <w:t xml:space="preserve">技术功能</w:t>
            </w:r>
            <w:r>
              <w:rPr>
                <w:rFonts w:hint="eastAsia" w:ascii="___WRD_EMBED_SUB_44" w:hAnsi="___WRD_EMBED_SUB_44" w:eastAsia="___WRD_EMBED_SUB_44" w:cs="___WRD_EMBED_SUB_44"/>
                <w:b/>
                <w:bCs/>
                <w:szCs w:val="21"/>
                <w:lang w:bidi="ar"/>
              </w:rPr>
              <w:t xml:space="preserve">要求</w:t>
            </w:r>
            <w:r>
              <w:rPr>
                <w:rFonts w:ascii="方正仿宋_GB2312" w:hAnsi="方正仿宋_GB2312" w:eastAsia="方正仿宋_GB2312" w:cs="方正仿宋_GB2312"/>
                <w:b/>
                <w:bCs/>
                <w:szCs w:val="21"/>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技术实现</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系统应基于微服务架构设计，支持高可用与可扩展；支持容器化部署；支持主流大模型（</w:t>
            </w:r>
            <w:r>
              <w:rPr>
                <w:rFonts w:hint="eastAsia" w:ascii="方正仿宋_GBK" w:hAnsi="方正仿宋_GB2312" w:eastAsia="方正仿宋_GBK" w:cs="方正仿宋_GB2312"/>
                <w:sz w:val="24"/>
                <w:szCs w:val="24"/>
              </w:rPr>
              <w:t xml:space="preserve">DeepSeek</w:t>
            </w:r>
            <w:r>
              <w:rPr>
                <w:rFonts w:hint="eastAsia" w:ascii="方正仿宋_GBK" w:hAnsi="宋体" w:eastAsia="方正仿宋_GBK" w:cs="宋体"/>
                <w:sz w:val="24"/>
                <w:szCs w:val="24"/>
              </w:rPr>
              <w:t xml:space="preserve">、通义千问等）的接入与切换。</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2</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性能</w:t>
            </w:r>
            <w:r>
              <w:rPr>
                <w:rFonts w:hint="eastAsia" w:ascii="方正仿宋_GBK" w:hAnsi="___WRD_EMBED_SUB_44" w:eastAsia="方正仿宋_GBK" w:cs="___WRD_EMBED_SUB_44"/>
                <w:sz w:val="24"/>
                <w:szCs w:val="24"/>
              </w:rPr>
              <w:t xml:space="preserve">要求</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▲系统响应时间≤</w:t>
            </w:r>
            <w:r>
              <w:rPr>
                <w:rFonts w:hint="eastAsia" w:ascii="方正仿宋_GBK" w:hAnsi="方正仿宋_GB2312" w:eastAsia="方正仿宋_GBK" w:cs="方正仿宋_GB2312"/>
                <w:sz w:val="24"/>
                <w:szCs w:val="24"/>
              </w:rPr>
              <w:t xml:space="preserve">5</w:t>
            </w:r>
            <w:r>
              <w:rPr>
                <w:rFonts w:hint="eastAsia" w:ascii="方正仿宋_GBK" w:hAnsi="宋体" w:eastAsia="方正仿宋_GBK" w:cs="宋体"/>
                <w:sz w:val="24"/>
                <w:szCs w:val="24"/>
              </w:rPr>
              <w:t xml:space="preserve">秒，并发用户数不低于</w:t>
            </w:r>
            <w:r>
              <w:rPr>
                <w:rFonts w:hint="eastAsia" w:ascii="方正仿宋_GBK" w:hAnsi="方正仿宋_GB2312" w:eastAsia="方正仿宋_GBK" w:cs="方正仿宋_GB2312"/>
                <w:sz w:val="24"/>
                <w:szCs w:val="24"/>
              </w:rPr>
              <w:t xml:space="preserve">200</w:t>
            </w:r>
            <w:r>
              <w:rPr>
                <w:rFonts w:hint="eastAsia" w:ascii="方正仿宋_GBK" w:hAnsi="宋体" w:eastAsia="方正仿宋_GBK" w:cs="宋体"/>
                <w:sz w:val="24"/>
                <w:szCs w:val="24"/>
              </w:rPr>
              <w:t xml:space="preserve">；高峰期</w:t>
            </w:r>
            <w:r>
              <w:rPr>
                <w:rFonts w:hint="eastAsia" w:ascii="方正仿宋_GBK" w:hAnsi="方正仿宋_GB2312" w:eastAsia="方正仿宋_GBK" w:cs="方正仿宋_GB2312"/>
                <w:sz w:val="24"/>
                <w:szCs w:val="24"/>
              </w:rPr>
              <w:t xml:space="preserve">CPU</w:t>
            </w:r>
            <w:r>
              <w:rPr>
                <w:rFonts w:hint="eastAsia" w:ascii="方正仿宋_GBK" w:hAnsi="宋体" w:eastAsia="方正仿宋_GBK" w:cs="宋体"/>
                <w:sz w:val="24"/>
                <w:szCs w:val="24"/>
              </w:rPr>
              <w:t xml:space="preserve">占用率不高于</w:t>
            </w:r>
            <w:r>
              <w:rPr>
                <w:rFonts w:hint="eastAsia" w:ascii="方正仿宋_GBK" w:hAnsi="方正仿宋_GB2312" w:eastAsia="方正仿宋_GBK" w:cs="方正仿宋_GB2312"/>
                <w:sz w:val="24"/>
                <w:szCs w:val="24"/>
              </w:rPr>
              <w:t xml:space="preserve">90%</w:t>
            </w:r>
            <w:r>
              <w:rPr>
                <w:rFonts w:hint="eastAsia" w:ascii="方正仿宋_GBK" w:hAnsi="宋体" w:eastAsia="方正仿宋_GBK" w:cs="宋体"/>
                <w:sz w:val="24"/>
                <w:szCs w:val="24"/>
              </w:rPr>
              <w:t xml:space="preserve">；支持与</w:t>
            </w:r>
            <w:r>
              <w:rPr>
                <w:rFonts w:hint="eastAsia" w:ascii="方正仿宋_GBK" w:hAnsi="方正仿宋_GB2312" w:eastAsia="方正仿宋_GBK" w:cs="方正仿宋_GB2312"/>
                <w:sz w:val="24"/>
                <w:szCs w:val="24"/>
              </w:rPr>
              <w:t xml:space="preserve">LIMS</w:t>
            </w:r>
            <w:r>
              <w:rPr>
                <w:rFonts w:hint="eastAsia" w:ascii="方正仿宋_GBK" w:hAnsi="宋体" w:eastAsia="方正仿宋_GBK" w:cs="宋体"/>
                <w:sz w:val="24"/>
                <w:szCs w:val="24"/>
              </w:rPr>
              <w:t xml:space="preserve">系统的标准接口对接与统一身份认证。</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3</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知识库</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▲需基于大模型构建知识库，包括但不限于与现有</w:t>
            </w:r>
            <w:r>
              <w:rPr>
                <w:rFonts w:hint="eastAsia" w:ascii="方正仿宋_GBK" w:hAnsi="方正仿宋_GB2312" w:eastAsia="方正仿宋_GBK" w:cs="方正仿宋_GB2312"/>
                <w:sz w:val="24"/>
                <w:szCs w:val="24"/>
              </w:rPr>
              <w:t xml:space="preserve">LIMS</w:t>
            </w:r>
            <w:r>
              <w:rPr>
                <w:rFonts w:hint="eastAsia" w:ascii="方正仿宋_GBK" w:hAnsi="宋体" w:eastAsia="方正仿宋_GBK" w:cs="宋体"/>
                <w:sz w:val="24"/>
                <w:szCs w:val="24"/>
              </w:rPr>
              <w:t xml:space="preserve">系统在业务受理和合同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审环节所需的相关标准依据、方法</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标准、委托模板、历史订单、客户资源、检测报告等对接，并以</w:t>
            </w:r>
            <w:r>
              <w:rPr>
                <w:rFonts w:hint="eastAsia" w:ascii="方正仿宋_GBK" w:hAnsi="方正仿宋_GB2312" w:eastAsia="方正仿宋_GBK" w:cs="方正仿宋_GB2312"/>
                <w:sz w:val="24"/>
                <w:szCs w:val="24"/>
              </w:rPr>
              <w:t xml:space="preserve">LIMS</w:t>
            </w:r>
            <w:r>
              <w:rPr>
                <w:rFonts w:hint="eastAsia" w:ascii="方正仿宋_GBK" w:hAnsi="宋体" w:eastAsia="方正仿宋_GBK" w:cs="宋体"/>
                <w:sz w:val="24"/>
                <w:szCs w:val="24"/>
              </w:rPr>
              <w:t xml:space="preserve">中沉淀的历史数据作为核心训练数据源。</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4</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智能问答</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▲需建立人工智能问答知识库功能，可满足业务受理或合同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审环节便捷的问答调用，为用户提供及时、便捷的在线问答交互支持。</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5</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知识检索与问答</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应具备检索增强生成（</w:t>
            </w:r>
            <w:r>
              <w:rPr>
                <w:rFonts w:hint="eastAsia" w:ascii="方正仿宋_GBK" w:hAnsi="方正仿宋_GB2312" w:eastAsia="方正仿宋_GBK" w:cs="方正仿宋_GB2312"/>
                <w:sz w:val="24"/>
                <w:szCs w:val="24"/>
              </w:rPr>
              <w:t xml:space="preserve">RAG</w:t>
            </w:r>
            <w:r>
              <w:rPr>
                <w:rFonts w:hint="eastAsia" w:ascii="方正仿宋_GBK" w:hAnsi="宋体" w:eastAsia="方正仿宋_GBK" w:cs="宋体"/>
                <w:sz w:val="24"/>
                <w:szCs w:val="24"/>
              </w:rPr>
              <w:t xml:space="preserve">）能力，支持多类型知识库（检测项目、标准、样品</w:t>
            </w:r>
            <w:r>
              <w:rPr>
                <w:rFonts w:hint="eastAsia" w:ascii="方正仿宋_GBK" w:hAnsi="___WRD_EMBED_SUB_44" w:eastAsia="方正仿宋_GBK" w:cs="___WRD_EMBED_SUB_44"/>
                <w:sz w:val="24"/>
                <w:szCs w:val="24"/>
              </w:rPr>
              <w:t xml:space="preserve">要求</w:t>
            </w:r>
            <w:r>
              <w:rPr>
                <w:rFonts w:hint="eastAsia" w:ascii="方正仿宋_GBK" w:hAnsi="宋体" w:eastAsia="方正仿宋_GBK" w:cs="宋体"/>
                <w:sz w:val="24"/>
                <w:szCs w:val="24"/>
              </w:rPr>
              <w:t xml:space="preserve">、</w:t>
            </w:r>
            <w:r>
              <w:rPr>
                <w:rFonts w:hint="eastAsia" w:ascii="方正仿宋_GBK" w:hAnsi="方正仿宋_GB2312" w:eastAsia="方正仿宋_GBK" w:cs="方正仿宋_GB2312"/>
                <w:sz w:val="24"/>
                <w:szCs w:val="24"/>
              </w:rPr>
              <w:t xml:space="preserve">FAQ</w:t>
            </w:r>
            <w:r>
              <w:rPr>
                <w:rFonts w:hint="eastAsia" w:ascii="方正仿宋_GBK" w:hAnsi="宋体" w:eastAsia="方正仿宋_GBK" w:cs="宋体"/>
                <w:sz w:val="24"/>
                <w:szCs w:val="24"/>
              </w:rPr>
              <w:t xml:space="preserve">等）的构建与混合检索（向量检索</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全文检索），答案需标注来源并可追溯，支持多轮对话与上下文记忆。</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6</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多模态感知与理解</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▲应支持</w:t>
            </w:r>
            <w:r>
              <w:rPr>
                <w:rFonts w:hint="eastAsia" w:ascii="方正仿宋_GBK" w:hAnsi="方正仿宋_GB2312" w:eastAsia="方正仿宋_GBK" w:cs="方正仿宋_GB2312"/>
                <w:sz w:val="24"/>
                <w:szCs w:val="24"/>
              </w:rPr>
              <w:t xml:space="preserve">Word</w:t>
            </w:r>
            <w:r>
              <w:rPr>
                <w:rFonts w:hint="eastAsia" w:ascii="方正仿宋_GBK" w:hAnsi="宋体" w:eastAsia="方正仿宋_GBK" w:cs="宋体"/>
                <w:sz w:val="24"/>
                <w:szCs w:val="24"/>
              </w:rPr>
              <w:t xml:space="preserve">、</w:t>
            </w:r>
            <w:r>
              <w:rPr>
                <w:rFonts w:hint="eastAsia" w:ascii="方正仿宋_GBK" w:hAnsi="方正仿宋_GB2312" w:eastAsia="方正仿宋_GBK" w:cs="方正仿宋_GB2312"/>
                <w:sz w:val="24"/>
                <w:szCs w:val="24"/>
              </w:rPr>
              <w:t xml:space="preserve">PDF</w:t>
            </w:r>
            <w:r>
              <w:rPr>
                <w:rFonts w:hint="eastAsia" w:ascii="方正仿宋_GBK" w:hAnsi="宋体" w:eastAsia="方正仿宋_GBK" w:cs="宋体"/>
                <w:sz w:val="24"/>
                <w:szCs w:val="24"/>
              </w:rPr>
              <w:t xml:space="preserve">、</w:t>
            </w:r>
            <w:r>
              <w:rPr>
                <w:rFonts w:hint="eastAsia" w:ascii="方正仿宋_GBK" w:hAnsi="方正仿宋_GB2312" w:eastAsia="方正仿宋_GBK" w:cs="方正仿宋_GB2312"/>
                <w:sz w:val="24"/>
                <w:szCs w:val="24"/>
              </w:rPr>
              <w:t xml:space="preserve">Excel</w:t>
            </w:r>
            <w:r>
              <w:rPr>
                <w:rFonts w:hint="eastAsia" w:ascii="方正仿宋_GBK" w:hAnsi="宋体" w:eastAsia="方正仿宋_GBK" w:cs="宋体"/>
                <w:sz w:val="24"/>
                <w:szCs w:val="24"/>
              </w:rPr>
              <w:t xml:space="preserve">、图片、扫描件等多种格式文档的自动解析与结构化信息提取，具备</w:t>
            </w:r>
            <w:r>
              <w:rPr>
                <w:rFonts w:hint="eastAsia" w:ascii="方正仿宋_GBK" w:hAnsi="方正仿宋_GB2312" w:eastAsia="方正仿宋_GBK" w:cs="方正仿宋_GB2312"/>
                <w:sz w:val="24"/>
                <w:szCs w:val="24"/>
              </w:rPr>
              <w:t xml:space="preserve">OCR</w:t>
            </w:r>
            <w:r>
              <w:rPr>
                <w:rFonts w:hint="eastAsia" w:ascii="方正仿宋_GBK" w:hAnsi="宋体" w:eastAsia="方正仿宋_GBK" w:cs="宋体"/>
                <w:sz w:val="24"/>
                <w:szCs w:val="24"/>
              </w:rPr>
              <w:t xml:space="preserve">文字识别、表格结构识别和语义理解能力，能够从自然语言描述中精准识别业务意图与关键实体。</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7</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智能填单</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▲系统应支持“自然语言填单、</w:t>
            </w:r>
            <w:r>
              <w:rPr>
                <w:rFonts w:hint="eastAsia" w:ascii="方正仿宋_GBK" w:hAnsi="方正仿宋_GB2312" w:eastAsia="方正仿宋_GBK" w:cs="方正仿宋_GB2312"/>
                <w:sz w:val="24"/>
                <w:szCs w:val="24"/>
              </w:rPr>
              <w:t xml:space="preserve">OCR</w:t>
            </w:r>
            <w:r>
              <w:rPr>
                <w:rFonts w:hint="eastAsia" w:ascii="方正仿宋_GBK" w:hAnsi="宋体" w:eastAsia="方正仿宋_GBK" w:cs="宋体"/>
                <w:sz w:val="24"/>
                <w:szCs w:val="24"/>
              </w:rPr>
              <w:t xml:space="preserve">填单、语音录入”多种业务受理填单方式，可通过人工智能模块，实现用户语言</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语音的智能识别、</w:t>
            </w:r>
            <w:r>
              <w:rPr>
                <w:rFonts w:hint="eastAsia" w:ascii="方正仿宋_GBK" w:hAnsi="方正仿宋_GB2312" w:eastAsia="方正仿宋_GBK" w:cs="方正仿宋_GB2312"/>
                <w:sz w:val="24"/>
                <w:szCs w:val="24"/>
              </w:rPr>
              <w:t xml:space="preserve">OCR</w:t>
            </w:r>
            <w:r>
              <w:rPr>
                <w:rFonts w:hint="eastAsia" w:ascii="方正仿宋_GBK" w:hAnsi="宋体" w:eastAsia="方正仿宋_GBK" w:cs="宋体"/>
                <w:sz w:val="24"/>
                <w:szCs w:val="24"/>
              </w:rPr>
              <w:t xml:space="preserve">智能识别，以及识别信息的结构化解析，并完成不同类型委托单对应字段的数据引用填录。</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8</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方法关联</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tabs>
                <w:tab w:val="left" w:pos="630" w:leader="none"/>
              </w:tabs>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▲应构建相应智能体，根据填录的委托样品及</w:t>
            </w:r>
            <w:r>
              <w:rPr>
                <w:rFonts w:hint="eastAsia" w:ascii="方正仿宋_GBK" w:hAnsi="___WRD_EMBED_SUB_44" w:eastAsia="方正仿宋_GBK" w:cs="___WRD_EMBED_SUB_44"/>
                <w:sz w:val="24"/>
                <w:szCs w:val="24"/>
              </w:rPr>
              <w:t xml:space="preserve">要求</w:t>
            </w:r>
            <w:r>
              <w:rPr>
                <w:rFonts w:hint="eastAsia" w:ascii="方正仿宋_GBK" w:hAnsi="宋体" w:eastAsia="方正仿宋_GBK" w:cs="宋体"/>
                <w:sz w:val="24"/>
                <w:szCs w:val="24"/>
              </w:rPr>
              <w:t xml:space="preserve">，自动关联匹配系统内置的标准及检项能力库。</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9</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规则引擎</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应内置规则引擎，支持完整性、规范性、匹配性、能力范围等多维度校验规则的配置；具备规则冲突检测与优先级管理能力。</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10</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智能检查</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系统应支持对委托单进行智能检查，包括不限于委托单格式的规范性、标准检项方法的匹配性、不同类型委托单所</w:t>
            </w:r>
            <w:r>
              <w:rPr>
                <w:rFonts w:hint="eastAsia" w:ascii="方正仿宋_GBK" w:hAnsi="___WRD_EMBED_SUB_44" w:eastAsia="方正仿宋_GBK" w:cs="___WRD_EMBED_SUB_44"/>
                <w:sz w:val="24"/>
                <w:szCs w:val="24"/>
              </w:rPr>
              <w:t xml:space="preserve">要求</w:t>
            </w:r>
            <w:r>
              <w:rPr>
                <w:rFonts w:hint="eastAsia" w:ascii="方正仿宋_GBK" w:hAnsi="宋体" w:eastAsia="方正仿宋_GBK" w:cs="宋体"/>
                <w:sz w:val="24"/>
                <w:szCs w:val="24"/>
              </w:rPr>
              <w:t xml:space="preserve">的内容完整性等情况进行智能检查，并生成对应的检查结果。</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11</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委托确认</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所有</w:t>
            </w:r>
            <w:r>
              <w:rPr>
                <w:rFonts w:hint="eastAsia" w:ascii="方正仿宋_GBK" w:hAnsi="方正仿宋_GB2312" w:eastAsia="方正仿宋_GBK" w:cs="方正仿宋_GB2312"/>
                <w:sz w:val="24"/>
                <w:szCs w:val="24"/>
              </w:rPr>
              <w:t xml:space="preserve">AI</w:t>
            </w:r>
            <w:r>
              <w:rPr>
                <w:rFonts w:hint="eastAsia" w:ascii="方正仿宋_GBK" w:hAnsi="宋体" w:eastAsia="方正仿宋_GBK" w:cs="宋体"/>
                <w:sz w:val="24"/>
                <w:szCs w:val="24"/>
              </w:rPr>
              <w:t xml:space="preserve">生成</w:t>
            </w:r>
            <w:r>
              <w:rPr>
                <w:rFonts w:hint="eastAsia" w:ascii="方正仿宋_GBK" w:hAnsi="方正仿宋_GB2312" w:eastAsia="方正仿宋_GBK" w:cs="方正仿宋_GB2312"/>
                <w:sz w:val="24"/>
                <w:szCs w:val="24"/>
              </w:rPr>
              <w:t xml:space="preserve">/</w:t>
            </w:r>
            <w:r>
              <w:rPr>
                <w:rFonts w:hint="eastAsia" w:ascii="方正仿宋_GBK" w:hAnsi="宋体" w:eastAsia="方正仿宋_GBK" w:cs="宋体"/>
                <w:sz w:val="24"/>
                <w:szCs w:val="24"/>
              </w:rPr>
              <w:t xml:space="preserve">校验结果均以“辅助建议”方式呈现，需经人工确认方可生效；系统应支持业务受理人员查看委托单的智能检查结果，并对相关问题进行修正调整与确认，支持一键批量确认。</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12</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确认预览</w:t>
            </w:r>
            <w:r>
              <w:rPr>
                <w:rFonts w:ascii="方正仿宋_GBK" w:hAnsi="方正仿宋_GB2312" w:eastAsia="方正仿宋_GBK" w:cs="方正仿宋_GB2312"/>
                <w:sz w:val="24"/>
                <w:szCs w:val="24"/>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系统应支持所有确认委托台账及委托单的预览查看。</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13</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智能</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系统应支持在“合同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审”环节，一键调用智能</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审辅助功能，系统智能辅助功能应支持对待</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审委托单进行全面辅助审查，包括不限于信息完整性、智能校验、样品检项方法匹配性等，并生成</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审结果信息。</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14</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评</w:t>
            </w:r>
            <w:r>
              <w:rPr>
                <w:rFonts w:hint="eastAsia" w:ascii="方正仿宋_GBK" w:hAnsi="宋体" w:eastAsia="方正仿宋_GBK" w:cs="宋体"/>
                <w:sz w:val="24"/>
                <w:szCs w:val="24"/>
              </w:rPr>
              <w:t xml:space="preserve">审结果</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▲系统应支持查询和查看历史智能</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审结果，并支持批量导出结果明细信息，应支持自定义导出数据列的模板化设计。</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15</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后台维护</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供应商提供应针对建设的“业务受理和</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审”人工智能辅助模块，提供系统维护管理功能，包括不限于问答引擎、检查规则、</w:t>
            </w:r>
            <w:r>
              <w:rPr>
                <w:rFonts w:hint="eastAsia" w:ascii="方正仿宋_GBK" w:hAnsi="___WRD_EMBED_SUB_44" w:eastAsia="方正仿宋_GBK" w:cs="___WRD_EMBED_SUB_44"/>
                <w:sz w:val="24"/>
                <w:szCs w:val="24"/>
              </w:rPr>
              <w:t xml:space="preserve">评</w:t>
            </w:r>
            <w:r>
              <w:rPr>
                <w:rFonts w:hint="eastAsia" w:ascii="方正仿宋_GBK" w:hAnsi="宋体" w:eastAsia="方正仿宋_GBK" w:cs="宋体"/>
                <w:sz w:val="24"/>
                <w:szCs w:val="24"/>
              </w:rPr>
              <w:t xml:space="preserve">审规则等相关后台配置功能。</w:t>
            </w:r>
            <w:r>
              <w:rPr>
                <w:rFonts w:ascii="方正仿宋_GBK" w:hAnsi="方正仿宋_GB2312" w:eastAsia="方正仿宋_GBK" w:cs="方正仿宋_GB2312"/>
                <w:sz w:val="24"/>
                <w:szCs w:val="24"/>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方正仿宋_GB2312" w:eastAsia="方正仿宋_GBK" w:cs="方正仿宋_GB2312"/>
                <w:sz w:val="24"/>
                <w:szCs w:val="24"/>
              </w:rPr>
              <w:t xml:space="preserve">16</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研发能力</w:t>
            </w:r>
            <w:r>
              <w:rPr>
                <w:rFonts w:ascii="方正仿宋_GBK" w:hAnsi="方正仿宋_GB2312" w:eastAsia="方正仿宋_GBK" w:cs="方正仿宋_GB2312"/>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tabs>
                <w:tab w:val="left" w:pos="630" w:leader="none"/>
              </w:tabs>
              <w:rPr>
                <w:rFonts w:ascii="方正仿宋_GBK" w:hAnsi="方正仿宋_GB2312" w:eastAsia="方正仿宋_GBK" w:cs="方正仿宋_GB2312"/>
                <w:sz w:val="24"/>
                <w:szCs w:val="24"/>
              </w:rPr>
            </w:pPr>
            <w:r>
              <w:rPr>
                <w:rFonts w:hint="eastAsia" w:ascii="方正仿宋_GBK" w:hAnsi="宋体" w:eastAsia="方正仿宋_GBK" w:cs="宋体"/>
                <w:sz w:val="24"/>
                <w:szCs w:val="24"/>
              </w:rPr>
              <w:t xml:space="preserve">供应商应具备实验室LIMS信息化和相关</w:t>
            </w:r>
            <w:r>
              <w:rPr>
                <w:rFonts w:hint="eastAsia" w:ascii="方正仿宋_GBK" w:hAnsi="方正仿宋_GB2312" w:eastAsia="方正仿宋_GBK" w:cs="方正仿宋_GB2312"/>
                <w:sz w:val="24"/>
                <w:szCs w:val="24"/>
              </w:rPr>
              <w:t xml:space="preserve">AI</w:t>
            </w:r>
            <w:r>
              <w:rPr>
                <w:rFonts w:hint="eastAsia" w:ascii="方正仿宋_GBK" w:hAnsi="宋体" w:eastAsia="方正仿宋_GBK" w:cs="宋体"/>
                <w:sz w:val="24"/>
                <w:szCs w:val="24"/>
              </w:rPr>
              <w:t xml:space="preserve">类产品基础，不接受完全临时定制开发。（提供类似产品的软件功能截图）</w:t>
            </w:r>
            <w:r>
              <w:rPr>
                <w:rFonts w:ascii="方正仿宋_GBK" w:hAnsi="方正仿宋_GB2312" w:eastAsia="方正仿宋_GBK" w:cs="方正仿宋_GB2312"/>
                <w:sz w:val="24"/>
                <w:szCs w:val="24"/>
              </w:rPr>
            </w:r>
            <w:r/>
          </w:p>
        </w:tc>
      </w:tr>
    </w:tbl>
    <w:p>
      <w:pPr>
        <w:pStyle w:val="679"/>
        <w:spacing w:line="360" w:lineRule="auto"/>
        <w:rPr>
          <w:rFonts w:ascii="方正仿宋_GBK" w:hAnsi="方正仿宋_GBK" w:eastAsia="方正仿宋_GBK" w:cs="方正仿宋_GBK"/>
          <w:bCs/>
          <w:color w:val="000000"/>
          <w:sz w:val="28"/>
          <w:szCs w:val="28"/>
        </w:rPr>
        <w:outlineLvl w:val="1"/>
      </w:pPr>
      <w:r>
        <w:rPr>
          <w:rFonts w:ascii="方正仿宋_GBK" w:hAnsi="方正仿宋_GBK" w:eastAsia="方正仿宋_GBK" w:cs="方正仿宋_GBK"/>
          <w:bCs/>
          <w:color w:val="000000"/>
          <w:sz w:val="28"/>
          <w:szCs w:val="28"/>
        </w:rPr>
      </w:r>
      <w:r/>
    </w:p>
    <w:p>
      <w:pPr>
        <w:pStyle w:val="794"/>
        <w:numPr>
          <w:ilvl w:val="0"/>
          <w:numId w:val="4"/>
        </w:numPr>
        <w:ind w:left="0"/>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演示功能要求</w:t>
      </w:r>
      <w:r>
        <w:rPr>
          <w:rFonts w:ascii="方正仿宋_GBK" w:hAnsi="方正仿宋_GBK" w:eastAsia="方正仿宋_GBK" w:cs="方正仿宋_GBK"/>
          <w:bCs/>
          <w:color w:val="000000"/>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46"/>
        <w:gridCol w:w="1651"/>
        <w:gridCol w:w="6222"/>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序号</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功能点</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rPr>
              <w:t xml:space="preserve">演示要求</w:t>
            </w:r>
            <w:r>
              <w:rPr>
                <w:rFonts w:ascii="等线" w:hAnsi="等线" w:eastAsia="等线" w:cs="等线"/>
                <w:b/>
                <w:bCs/>
                <w:color w:val="000000"/>
                <w:szCs w:val="21"/>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1</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智能建单</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在 LIMS 业务受理模块一键启动 AI 智能受理功能，系统可根据上传或关联的委托协议自动识别委托方、样品名称/编号/批号、数量及状态、检测项目和方法等关键信息，并形成待确认的业务受理单信息。</w:t>
            </w:r>
            <w:r>
              <w:rPr>
                <w:rFonts w:ascii="方正仿宋_GBK" w:hAnsi="等线" w:eastAsia="方正仿宋_GBK" w:cs="等线"/>
                <w:bCs/>
                <w:color w:val="000000"/>
                <w:sz w:val="24"/>
                <w:szCs w:val="24"/>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2</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识别内容处理</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演示对客户委托项目与LIMS的机构能力、一单一库及 CMA/CNAS 能力范围的智能核查，并展示检测方法收录、CMA 能力匹配、CNAS 能力匹配情况，可对需分包项目进行标识。</w:t>
            </w:r>
            <w:r>
              <w:rPr>
                <w:rFonts w:ascii="方正仿宋_GBK" w:hAnsi="等线" w:eastAsia="方正仿宋_GBK" w:cs="等线"/>
                <w:bCs/>
                <w:color w:val="000000"/>
                <w:sz w:val="24"/>
                <w:szCs w:val="24"/>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3</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识别内容回填</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选择已智能识别的委托信息，经过确认操作后，可生成新的业务受理单并回填至 LIMS 业务受理模块。</w:t>
            </w:r>
            <w:r>
              <w:rPr>
                <w:rFonts w:ascii="方正仿宋_GBK" w:hAnsi="等线" w:eastAsia="方正仿宋_GBK" w:cs="等线"/>
                <w:bCs/>
                <w:color w:val="000000"/>
                <w:sz w:val="24"/>
                <w:szCs w:val="24"/>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79"/>
              <w:jc w:val="center"/>
              <w:spacing w:line="360" w:lineRule="auto"/>
              <w:rPr>
                <w:rFonts w:ascii="方正仿宋_GBK" w:hAnsi="等线" w:eastAsia="方正仿宋_GBK" w:cs="等线"/>
                <w:color w:val="000000"/>
                <w:sz w:val="24"/>
                <w:szCs w:val="24"/>
              </w:rPr>
            </w:pPr>
            <w:r>
              <w:rPr>
                <w:rFonts w:hint="eastAsia" w:ascii="方正仿宋_GBK" w:hAnsi="等线" w:eastAsia="方正仿宋_GBK" w:cs="等线"/>
                <w:color w:val="000000"/>
                <w:sz w:val="24"/>
                <w:szCs w:val="24"/>
              </w:rPr>
              <w:t xml:space="preserve">4</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679"/>
              <w:spacing w:line="360" w:lineRule="auto"/>
              <w:rPr>
                <w:rFonts w:ascii="方正仿宋_GBK" w:hAnsi="等线" w:eastAsia="方正仿宋_GBK" w:cs="等线"/>
                <w:color w:val="000000"/>
                <w:sz w:val="24"/>
                <w:szCs w:val="24"/>
              </w:rPr>
            </w:pPr>
            <w:r>
              <w:rPr>
                <w:rFonts w:hint="eastAsia" w:ascii="方正仿宋_GBK" w:hAnsi="方正仿宋_GBK" w:eastAsia="方正仿宋_GBK" w:cs="方正仿宋_GBK"/>
                <w:color w:val="000000"/>
                <w:sz w:val="24"/>
                <w:szCs w:val="24"/>
              </w:rPr>
              <w:t xml:space="preserve">合同评审预审</w:t>
            </w:r>
            <w:r>
              <w:rPr>
                <w:rFonts w:ascii="方正仿宋_GBK" w:hAnsi="等线" w:eastAsia="方正仿宋_GBK" w:cs="等线"/>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679"/>
              <w:spacing w:line="360" w:lineRule="auto"/>
              <w:rPr>
                <w:rFonts w:ascii="方正仿宋_GBK" w:hAnsi="等线" w:eastAsia="方正仿宋_GBK" w:cs="等线"/>
                <w:bCs/>
                <w:color w:val="000000"/>
                <w:sz w:val="24"/>
                <w:szCs w:val="24"/>
                <w:lang w:bidi="ar"/>
              </w:rPr>
            </w:pPr>
            <w:r>
              <w:rPr>
                <w:rFonts w:hint="eastAsia" w:ascii="方正仿宋_GBK" w:hAnsi="方正仿宋_GBK" w:eastAsia="方正仿宋_GBK" w:cs="方正仿宋_GBK"/>
                <w:color w:val="000000"/>
                <w:sz w:val="24"/>
                <w:szCs w:val="24"/>
              </w:rPr>
              <w:t xml:space="preserve">在LIMS中一键启动和调用AI合同评审功能，可针对委托项目、检测方法、资质能力范围、CMA 标识使用、CNAS 能力、分包事项及客户特殊要求等内容进行智能化预审，输出存在的问题，并可标注评审依据来源。</w:t>
            </w:r>
            <w:r>
              <w:rPr>
                <w:rFonts w:ascii="方正仿宋_GBK" w:hAnsi="等线" w:eastAsia="方正仿宋_GBK" w:cs="等线"/>
                <w:bCs/>
                <w:color w:val="000000"/>
                <w:sz w:val="24"/>
                <w:szCs w:val="24"/>
                <w:lang w:bidi="ar"/>
              </w:rPr>
            </w:r>
            <w:r/>
          </w:p>
        </w:tc>
      </w:tr>
    </w:tbl>
    <w:p>
      <w:pPr>
        <w:pStyle w:val="679"/>
      </w:pPr>
      <w:r/>
      <w:r/>
    </w:p>
    <w:p>
      <w:pPr>
        <w:pStyle w:val="794"/>
        <w:ind w:left="0"/>
        <w:rPr>
          <w:rFonts w:ascii="方正黑体_GBK" w:hAnsi="方正黑体_GBK" w:eastAsia="方正黑体_GBK" w:cs="方正黑体_GBK"/>
          <w:bCs/>
          <w:color w:val="000000"/>
          <w:sz w:val="28"/>
          <w:szCs w:val="28"/>
        </w:rPr>
        <w:outlineLvl w:val="1"/>
      </w:pPr>
      <w:r>
        <w:rPr>
          <w:rFonts w:hint="eastAsia" w:ascii="方正仿宋_GBK" w:hAnsi="方正仿宋_GBK" w:eastAsia="方正仿宋_GBK" w:cs="方正仿宋_GBK"/>
          <w:bCs/>
          <w:color w:val="000000"/>
          <w:sz w:val="28"/>
          <w:szCs w:val="28"/>
        </w:rPr>
        <w:t xml:space="preserve">（四）项目实施和服务要求</w:t>
      </w:r>
      <w:r>
        <w:rPr>
          <w:rFonts w:ascii="方正黑体_GBK" w:hAnsi="方正黑体_GBK" w:eastAsia="方正黑体_GBK" w:cs="方正黑体_GBK"/>
          <w:bCs/>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1）制定系统安全保障方案</w:t>
      </w:r>
      <w:r>
        <w:rPr>
          <w:rFonts w:ascii="方正仿宋_GBK" w:hAnsi="方正仿宋_GBK" w:eastAsia="方正仿宋_GBK" w:cs="方正仿宋_GBK"/>
          <w:color w:val="000000"/>
          <w:sz w:val="28"/>
          <w:szCs w:val="28"/>
        </w:rPr>
      </w:r>
      <w:r/>
    </w:p>
    <w:p>
      <w:pPr>
        <w:pStyle w:val="679"/>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了解采购人实际情况，项目需求，制定对应的安全保障方案。安全保障方案应包括网络安全、数据安全、传输安全等方面。（安全目标包括但不限于：日志留存时间不得低于6个月、密码有效期不大于90天、系统恢复时间不大于5分钟）。方案应做到完整全面、科学可行，并有针对性，确保系统能够与本项目整体要求相匹配。</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2）制订项目实施方案</w:t>
      </w:r>
      <w:r>
        <w:rPr>
          <w:rFonts w:ascii="方正仿宋_GBK" w:hAnsi="方正仿宋_GBK" w:eastAsia="方正仿宋_GBK" w:cs="方正仿宋_GBK"/>
          <w:color w:val="000000"/>
          <w:sz w:val="28"/>
          <w:szCs w:val="28"/>
        </w:rPr>
      </w:r>
      <w:r/>
    </w:p>
    <w:p>
      <w:pPr>
        <w:pStyle w:val="679"/>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制订项目实施方案，包括全部系统的安装部署、联合调试方案、供货及安装各节点时间进度、人员配置安排等。实施方案应做到完整全面、科学可行，并有针对性。人员配置</w:t>
      </w:r>
      <w:r>
        <w:rPr>
          <w:rFonts w:hint="eastAsia" w:ascii="方正仿宋_GBK" w:hAnsi="方正仿宋_GBK" w:eastAsia="方正仿宋_GBK" w:cs="方正仿宋_GBK"/>
          <w:color w:val="000000"/>
          <w:sz w:val="28"/>
          <w:szCs w:val="28"/>
          <w:lang w:val="en-US" w:eastAsia="zh-CN"/>
        </w:rPr>
        <w:t xml:space="preserve">安排</w:t>
      </w:r>
      <w:r>
        <w:rPr>
          <w:rFonts w:hint="eastAsia" w:ascii="方正仿宋_GBK" w:hAnsi="方正仿宋_GBK" w:eastAsia="方正仿宋_GBK" w:cs="方正仿宋_GBK"/>
          <w:color w:val="000000"/>
          <w:sz w:val="28"/>
          <w:szCs w:val="28"/>
        </w:rPr>
        <w:t xml:space="preserve">方面，</w:t>
      </w:r>
      <w:r>
        <w:rPr>
          <w:rFonts w:hint="eastAsia" w:ascii="方正仿宋_GBK" w:hAnsi="方正仿宋_GBK" w:eastAsia="方正仿宋_GBK" w:cs="方正仿宋_GBK"/>
          <w:bCs/>
          <w:sz w:val="28"/>
          <w:szCs w:val="28"/>
        </w:rPr>
        <w:t xml:space="preserve">项目团队不得少于8人，其中投入甲方现场的驻场实施人员不得少于2人，</w:t>
      </w:r>
      <w:r>
        <w:rPr>
          <w:rFonts w:hint="eastAsia" w:ascii="方正仿宋_GBK" w:hAnsi="方正仿宋_GBK" w:eastAsia="方正仿宋_GBK" w:cs="方正仿宋_GBK"/>
          <w:color w:val="000000"/>
          <w:sz w:val="28"/>
          <w:szCs w:val="28"/>
        </w:rPr>
        <w:t xml:space="preserve">应服从采购人管理要求，确保在规定的交付时限内完成。</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3）制定风险管控方案</w:t>
      </w:r>
      <w:r>
        <w:rPr>
          <w:rFonts w:ascii="方正仿宋_GBK" w:hAnsi="方正仿宋_GBK" w:eastAsia="方正仿宋_GBK" w:cs="方正仿宋_GBK"/>
          <w:color w:val="000000"/>
          <w:sz w:val="28"/>
          <w:szCs w:val="28"/>
        </w:rPr>
      </w:r>
      <w:r/>
    </w:p>
    <w:p>
      <w:pPr>
        <w:pStyle w:val="679"/>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采购人的客观情况，分析研判该项目可能面临的风险并制定相应管控方案。包括但不限于系统对接整合要求、需求蔓延等方面内容，系统对接整合范围至少应包含现用的业务系统。供应商应做好前期风险识别工作，风险识别上报时效性在识别风险后8小时内连通建议应对方案一并报甲方项目负责人，共同确认应对方案，根据方案计划应对风险并持续监测，确保项目可以在约定时间内完成所有相关工作。</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4）制订项目培训方案</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制订相应的培训教材并提供培训课程，包括培训目的、培训对象、培训内容等。供应商应安排具备相应资质和经验的技术人员，且承诺维修工程师培训时间不少于1个工作日，不少于1人次，对采购单位的使用部门人员进行全流程使用培训，确保相关人员能熟练掌握系统的日常使用及维护。</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5）制订项目售后服务方案</w:t>
      </w:r>
      <w:r>
        <w:rPr>
          <w:rFonts w:ascii="方正仿宋_GBK" w:hAnsi="方正仿宋_GBK" w:eastAsia="方正仿宋_GBK" w:cs="方正仿宋_GBK"/>
          <w:color w:val="000000"/>
          <w:sz w:val="28"/>
          <w:szCs w:val="28"/>
        </w:rPr>
      </w:r>
      <w:r/>
    </w:p>
    <w:p>
      <w:pPr>
        <w:pStyle w:val="679"/>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需响应磋商文件质保和维保的服务要求，针对本项目自身及所投产品品牌原厂的响应标准、服务体系、故障解决方案等售后服务承诺方案；服务方案应内容详实、科学合理、具备针对性、切实可行。产品交付后</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自甲方验收合格之日起计算</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，供应商应提供3年免费维保，期间产品故障应免费维护，版本免费升级。</w:t>
      </w:r>
      <w:r>
        <w:rPr>
          <w:rFonts w:ascii="方正仿宋_GBK" w:hAnsi="方正仿宋_GBK" w:eastAsia="方正仿宋_GBK" w:cs="方正仿宋_GBK"/>
          <w:color w:val="000000"/>
          <w:sz w:val="28"/>
          <w:szCs w:val="28"/>
        </w:rPr>
      </w:r>
      <w:r/>
    </w:p>
    <w:p>
      <w:pPr>
        <w:pStyle w:val="795"/>
        <w:ind w:firstLine="560"/>
        <w:spacing w:before="120" w:after="120" w:line="400" w:lineRule="exact"/>
        <w:rPr>
          <w:rFonts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rPr>
        <w:t xml:space="preserve">（</w:t>
      </w:r>
      <w:r>
        <w:rPr>
          <w:rFonts w:hint="eastAsia" w:ascii="方正仿宋_GBK" w:hAnsi="方正仿宋_GBK" w:eastAsia="方正仿宋_GBK" w:cs="方正仿宋_GBK"/>
          <w:color w:val="000000"/>
          <w:sz w:val="28"/>
          <w:szCs w:val="28"/>
        </w:rPr>
        <w:t xml:space="preserve">五）履约能力要求</w:t>
      </w:r>
      <w:r>
        <w:rPr>
          <w:rFonts w:ascii="方正黑体_GBK" w:hAnsi="方正黑体_GBK" w:eastAsia="方正黑体_GBK" w:cs="方正黑体_GBK"/>
          <w:bCs/>
          <w:color w:val="000000"/>
          <w:sz w:val="28"/>
          <w:szCs w:val="28"/>
        </w:rPr>
      </w:r>
      <w:r/>
    </w:p>
    <w:p>
      <w:pPr>
        <w:pStyle w:val="67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1.人员要求</w:t>
      </w:r>
      <w:r>
        <w:rPr>
          <w:rFonts w:ascii="方正仿宋_GBK" w:hAnsi="方正仿宋_GBK" w:eastAsia="方正仿宋_GBK" w:cs="方正仿宋_GBK"/>
          <w:bCs/>
          <w:color w:val="000000"/>
          <w:sz w:val="28"/>
          <w:szCs w:val="28"/>
        </w:rPr>
      </w:r>
      <w:r/>
    </w:p>
    <w:p>
      <w:pPr>
        <w:pStyle w:val="679"/>
        <w:ind w:firstLine="560"/>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1）供应商针对项目组建的项目团队不得少于8人，未经甲方书面允许的情况下，不得更换人员。</w:t>
      </w:r>
      <w:r>
        <w:rPr>
          <w:rFonts w:ascii="方正仿宋_GBK" w:hAnsi="方正仿宋_GBK" w:eastAsia="方正仿宋_GBK" w:cs="方正仿宋_GBK"/>
          <w:bCs/>
          <w:sz w:val="28"/>
          <w:szCs w:val="28"/>
        </w:rPr>
      </w:r>
      <w:r/>
    </w:p>
    <w:p>
      <w:pPr>
        <w:pStyle w:val="679"/>
        <w:ind w:firstLine="560"/>
        <w:spacing w:line="360" w:lineRule="auto"/>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2）其中供应商针对项目投入甲方现场的驻场实施人员不得少于2人，且须在项目团队中标明具体人员。</w:t>
      </w:r>
      <w:r>
        <w:rPr>
          <w:rFonts w:ascii="方正仿宋_GBK" w:hAnsi="方正仿宋_GBK" w:eastAsia="方正仿宋_GBK" w:cs="方正仿宋_GBK"/>
          <w:bCs/>
          <w:sz w:val="28"/>
          <w:szCs w:val="28"/>
        </w:rPr>
      </w:r>
      <w:r/>
    </w:p>
    <w:p>
      <w:pPr>
        <w:pStyle w:val="679"/>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sz w:val="28"/>
          <w:szCs w:val="28"/>
        </w:rPr>
        <w:t xml:space="preserve">供应商为本项目配备的项目组成员，项目经理应具有“系统规划与管理师”证书，其他团队成员应具有“软件设计师”、“软件评测师”、“数据库系统工程师”、“系统集成项目管理工程师”、“网络工程师”、“系统分析师”、“系统架构设计师”证书。</w:t>
      </w:r>
      <w:r>
        <w:rPr>
          <w:rFonts w:ascii="方正仿宋_GBK" w:hAnsi="方正仿宋_GBK" w:eastAsia="方正仿宋_GBK" w:cs="方正仿宋_GBK"/>
          <w:bCs/>
          <w:sz w:val="28"/>
          <w:szCs w:val="28"/>
        </w:rPr>
      </w:r>
      <w:r/>
    </w:p>
    <w:p>
      <w:pPr>
        <w:pStyle w:val="679"/>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2.软件著作权或专利要求</w:t>
      </w:r>
      <w:r>
        <w:rPr>
          <w:rFonts w:ascii="方正仿宋_GBK" w:hAnsi="方正仿宋_GBK" w:eastAsia="方正仿宋_GBK" w:cs="方正仿宋_GBK"/>
          <w:bCs/>
          <w:sz w:val="28"/>
          <w:szCs w:val="28"/>
        </w:rPr>
      </w:r>
      <w:r/>
    </w:p>
    <w:p>
      <w:pPr>
        <w:pStyle w:val="679"/>
        <w:ind w:firstLine="480"/>
        <w:spacing w:before="62"/>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供应商具有“实验室信息管理”、“智能实验室AI筛选系统” 、“AI算法自动化集成平台” 、“任务编排系统”、“实验室智能Agent平台”、“NLP机器人问答系统”等方面的软件著作权。</w:t>
      </w:r>
      <w:r>
        <w:rPr>
          <w:rFonts w:ascii="方正仿宋_GBK" w:hAnsi="方正仿宋_GBK" w:eastAsia="方正仿宋_GBK" w:cs="方正仿宋_GBK"/>
          <w:sz w:val="28"/>
          <w:szCs w:val="28"/>
        </w:rPr>
      </w:r>
      <w:r/>
    </w:p>
    <w:p>
      <w:pPr>
        <w:pStyle w:val="679"/>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3.业绩要求</w:t>
      </w:r>
      <w:r>
        <w:rPr>
          <w:rFonts w:ascii="方正仿宋_GBK" w:hAnsi="方正仿宋_GBK" w:eastAsia="方正仿宋_GBK" w:cs="方正仿宋_GBK"/>
          <w:bCs/>
          <w:sz w:val="28"/>
          <w:szCs w:val="28"/>
        </w:rPr>
      </w:r>
      <w:r/>
    </w:p>
    <w:p>
      <w:pPr>
        <w:pStyle w:val="704"/>
        <w:ind w:left="0" w:firstLine="42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供应商自2023年1月1日以来承担过实验室信息管理系统项目业绩。</w:t>
      </w:r>
      <w:r>
        <w:rPr>
          <w:rFonts w:hint="eastAsia" w:ascii="方正仿宋_GBK" w:hAnsi="方正仿宋_GBK" w:eastAsia="方正仿宋_GBK" w:cs="方正仿宋_GBK"/>
          <w:i/>
          <w:sz w:val="28"/>
          <w:szCs w:val="28"/>
          <w:u w:val="single"/>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1.交付时间及地点</w:t>
      </w:r>
      <w:r>
        <w:rPr>
          <w:rFonts w:ascii="方正仿宋_GBK" w:hAnsi="方正仿宋_GBK" w:eastAsia="方正仿宋_GBK" w:cs="方正仿宋_GBK"/>
          <w:bCs/>
          <w:color w:val="000000"/>
          <w:sz w:val="28"/>
          <w:szCs w:val="28"/>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交付时间：</w:t>
      </w:r>
      <w:r>
        <w:rPr>
          <w:rFonts w:hint="eastAsia" w:ascii="方正仿宋_GBK" w:hAnsi="方正仿宋_GBK" w:eastAsia="方正仿宋_GBK" w:cs="方正仿宋_GBK"/>
          <w:b/>
          <w:bCs/>
          <w:i/>
          <w:color w:val="000000"/>
          <w:sz w:val="28"/>
          <w:szCs w:val="28"/>
          <w:u w:val="single"/>
        </w:rPr>
        <w:t xml:space="preserve">合同签订后90天内。</w:t>
      </w:r>
      <w:r>
        <w:rPr>
          <w:rFonts w:ascii="方正仿宋_GBK" w:hAnsi="方正仿宋_GBK" w:eastAsia="方正仿宋_GBK" w:cs="方正仿宋_GBK"/>
          <w:bCs/>
          <w:color w:val="000000"/>
          <w:sz w:val="28"/>
          <w:szCs w:val="28"/>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交付地点：南京市秦淮区光华东街5号。</w:t>
      </w:r>
      <w:r>
        <w:rPr>
          <w:rFonts w:ascii="方正仿宋_GBK" w:hAnsi="方正仿宋_GBK" w:eastAsia="方正仿宋_GBK" w:cs="方正仿宋_GBK"/>
          <w:bCs/>
          <w:color w:val="000000"/>
          <w:sz w:val="28"/>
          <w:szCs w:val="28"/>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2.付款方式：</w:t>
      </w:r>
      <w:r>
        <w:rPr>
          <w:rFonts w:ascii="方正仿宋_GBK" w:hAnsi="方正仿宋_GBK" w:eastAsia="方正仿宋_GBK" w:cs="方正仿宋_GBK"/>
          <w:bCs/>
          <w:color w:val="000000"/>
          <w:sz w:val="28"/>
          <w:szCs w:val="28"/>
        </w:rPr>
      </w:r>
      <w:r/>
    </w:p>
    <w:p>
      <w:pPr>
        <w:pStyle w:val="704"/>
        <w:ind w:left="0" w:firstLine="420"/>
        <w:spacing w:line="360" w:lineRule="auto"/>
        <w:rPr>
          <w:color w:val="000000"/>
        </w:rPr>
      </w:pPr>
      <w:r>
        <w:rPr>
          <w:rFonts w:hint="eastAsia" w:ascii="方正仿宋_GBK" w:hAnsi="方正仿宋_GBK" w:eastAsia="方正仿宋_GBK" w:cs="方正仿宋_GBK"/>
          <w:bCs/>
          <w:color w:val="000000"/>
          <w:sz w:val="28"/>
          <w:szCs w:val="28"/>
        </w:rPr>
        <w:t xml:space="preserve">合同签订后20个工作日内，凭发票支付合同总价的30%；项目经采购人验收合格，签署验收报告后10个工作日内，凭发票支付合同余款。</w:t>
      </w:r>
      <w:r>
        <w:rPr>
          <w:color w:val="000000"/>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3.履约保证金或履约保函要求</w:t>
      </w:r>
      <w:r>
        <w:rPr>
          <w:rFonts w:ascii="方正仿宋_GBK" w:hAnsi="方正仿宋_GBK" w:eastAsia="方正仿宋_GBK" w:cs="方正仿宋_GBK"/>
          <w:bCs/>
          <w:color w:val="000000"/>
          <w:sz w:val="28"/>
          <w:szCs w:val="28"/>
        </w:rPr>
      </w:r>
      <w:r/>
    </w:p>
    <w:p>
      <w:pPr>
        <w:pStyle w:val="679"/>
        <w:ind w:firstLine="480"/>
        <w:spacing w:before="62"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合同签订后20日内，供应商应当以支票、汇票、本票或者金融机构、担保机构出具的保函等非现金形式，支付合同额的5%到甲方账户作为履约保证金，或提供相应金额的履约保函。甲方在项目验收合格后30日内退回供应商。</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4.知识产权要求</w:t>
      </w:r>
      <w:r>
        <w:rPr>
          <w:rFonts w:ascii="方正仿宋_GBK" w:hAnsi="方正仿宋_GBK" w:eastAsia="方正仿宋_GBK" w:cs="方正仿宋_GBK"/>
          <w:bCs/>
          <w:color w:val="000000"/>
          <w:sz w:val="28"/>
          <w:szCs w:val="28"/>
        </w:rPr>
      </w:r>
      <w:r/>
    </w:p>
    <w:p>
      <w:pPr>
        <w:pStyle w:val="679"/>
        <w:ind w:firstLine="480"/>
        <w:spacing w:before="62" w:line="360" w:lineRule="auto"/>
        <w:rPr>
          <w:rFonts w:ascii="方正仿宋_GBK" w:hAnsi="方正仿宋_GBK" w:eastAsia="方正仿宋_GBK" w:cs="方正仿宋_GBK"/>
          <w:bCs/>
          <w:color w:val="000000"/>
          <w:sz w:val="28"/>
          <w:szCs w:val="28"/>
          <w:highlight w:val="yellow"/>
        </w:rPr>
      </w:pPr>
      <w:r>
        <w:rPr>
          <w:rFonts w:hint="eastAsia" w:ascii="方正仿宋_GBK" w:hAnsi="方正仿宋_GBK" w:eastAsia="方正仿宋_GBK" w:cs="方正仿宋_GBK"/>
          <w:bCs/>
          <w:color w:val="000000"/>
          <w:sz w:val="28"/>
          <w:szCs w:val="28"/>
        </w:rPr>
        <w:t xml:space="preserve">本项目实施过程中产生的所有工作成果（包括但不限于二开定制源代码、设计文档等）的知识产权均归采购人所有。供应商应保证，需方在使用该软件或软件的任何一部分时，免受第三方提出的侵犯其专利权、商标权、著作权或其他知识产权的起诉。</w:t>
      </w:r>
      <w:r>
        <w:rPr>
          <w:rFonts w:ascii="方正仿宋_GBK" w:hAnsi="方正仿宋_GBK" w:eastAsia="方正仿宋_GBK" w:cs="方正仿宋_GBK"/>
          <w:bCs/>
          <w:color w:val="000000"/>
          <w:sz w:val="28"/>
          <w:szCs w:val="28"/>
          <w:highlight w:val="yellow"/>
        </w:rPr>
      </w:r>
      <w:r/>
    </w:p>
    <w:p>
      <w:pPr>
        <w:pStyle w:val="679"/>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5.验收要求</w:t>
      </w:r>
      <w:r>
        <w:rPr>
          <w:rFonts w:ascii="方正仿宋_GBK" w:hAnsi="方正仿宋_GBK" w:eastAsia="方正仿宋_GBK" w:cs="方正仿宋_GBK"/>
          <w:bCs/>
          <w:color w:val="000000"/>
          <w:sz w:val="28"/>
          <w:szCs w:val="28"/>
        </w:rPr>
      </w:r>
      <w:r/>
    </w:p>
    <w:p>
      <w:pPr>
        <w:pStyle w:val="679"/>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1）甲方负责组织履约验收工作。</w:t>
      </w:r>
      <w:r>
        <w:rPr>
          <w:rFonts w:ascii="方正仿宋_GBK" w:hAnsi="方正仿宋_GBK" w:eastAsia="方正仿宋_GBK" w:cs="方正仿宋_GBK"/>
          <w:bCs/>
          <w:color w:val="000000"/>
          <w:sz w:val="28"/>
          <w:szCs w:val="28"/>
        </w:rPr>
      </w:r>
      <w:r/>
    </w:p>
    <w:p>
      <w:pPr>
        <w:pStyle w:val="679"/>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bCs/>
          <w:color w:val="000000"/>
          <w:sz w:val="28"/>
          <w:szCs w:val="28"/>
        </w:rPr>
      </w:r>
      <w:r/>
    </w:p>
    <w:p>
      <w:pPr>
        <w:pStyle w:val="679"/>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3）对于实际使用人和甲方分离的项目，甲方邀请实际使用人参与验收。</w:t>
      </w:r>
      <w:r>
        <w:rPr>
          <w:rFonts w:ascii="方正仿宋_GBK" w:hAnsi="方正仿宋_GBK" w:eastAsia="方正仿宋_GBK" w:cs="方正仿宋_GBK"/>
          <w:bCs/>
          <w:color w:val="000000"/>
          <w:sz w:val="28"/>
          <w:szCs w:val="28"/>
        </w:rPr>
      </w:r>
      <w:r/>
    </w:p>
    <w:p>
      <w:pPr>
        <w:pStyle w:val="679"/>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4）如有必要，甲方将邀请参加本项目的其他供应商或第三方专业机构及专家参与验收，相关意见将作为验收书的参考资料。</w:t>
      </w:r>
      <w:r>
        <w:rPr>
          <w:rFonts w:ascii="方正仿宋_GBK" w:hAnsi="方正仿宋_GBK" w:eastAsia="方正仿宋_GBK" w:cs="方正仿宋_GBK"/>
          <w:bCs/>
          <w:color w:val="000000"/>
          <w:sz w:val="28"/>
          <w:szCs w:val="28"/>
        </w:rPr>
      </w:r>
      <w:r/>
    </w:p>
    <w:p>
      <w:pPr>
        <w:pStyle w:val="679"/>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甲方成立验收小组，按照采购合同的约定对乙方的履约情况进行验收。验收时,甲方将按照项目技术要求、商务服务和其他要求的履约情况进行逐条确认。项目已完成部署具备使用条件，且满足全部技术功能参数为验收合格的必要条件。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bCs/>
          <w:color w:val="000000"/>
          <w:sz w:val="28"/>
          <w:szCs w:val="28"/>
        </w:rPr>
      </w:r>
      <w:r/>
    </w:p>
    <w:p>
      <w:pPr>
        <w:pStyle w:val="679"/>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ascii="方正仿宋_GBK" w:hAnsi="方正仿宋_GBK" w:eastAsia="方正仿宋_GBK" w:cs="方正仿宋_GBK"/>
          <w:bCs/>
          <w:color w:val="000000"/>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2.演示要求</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上传视频演示</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（1）供应商需按照磋商文件规定的演示内容制作演示视频文件，视频文件的格式为</w:t>
      </w:r>
      <w:r>
        <w:rPr>
          <w:rFonts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①智能建单演示</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在 LIMS 业务受理模块一键启动 AI 智能受理功能，系统可根据上传或关联的委托协议自动识别委托方、样品名称/编号/批号、数量及状态、检测项目和方法等关键信息，并形成待确认的业务受理单信息。</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②识别内容处理演示</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演示对客户委托项目与LIMS的机构能力、一单一库及 CMA/CNAS 能力范围的智能核查，并展示检测方法收录、CMA 能力匹配、CNAS 能力匹配情况，可对需分包项目进行标识。</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③识别内容回填演示</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选择已智能识别的委托信息，经过确认操作后，可生成新的业务受理单并回填至 LIMS 业务受理模块。</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④合同评审预审演示</w:t>
      </w:r>
      <w:r>
        <w:rPr>
          <w:rFonts w:ascii="方正仿宋_GBK" w:hAnsi="方正仿宋_GBK" w:eastAsia="方正仿宋_GBK" w:cs="方正仿宋_GBK"/>
          <w:color w:val="000000"/>
          <w:sz w:val="28"/>
          <w:szCs w:val="28"/>
        </w:rPr>
      </w:r>
      <w:r/>
    </w:p>
    <w:p>
      <w:pPr>
        <w:pStyle w:val="679"/>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在LIMS中一键启动和调用AI合同评审功能，可针对委托项目、检测方法、资质能力范围、CMA 标识使用、CNAS 能力、分包事项及客户特殊要求等内容进行智能化预审，输出存在的问题，并可标注评审依据来源。</w:t>
      </w:r>
      <w:r>
        <w:rPr>
          <w:rFonts w:ascii="方正仿宋_GBK" w:hAnsi="方正仿宋_GBK" w:eastAsia="方正仿宋_GBK" w:cs="方正仿宋_GBK"/>
          <w:sz w:val="28"/>
          <w:szCs w:val="28"/>
        </w:rPr>
      </w:r>
      <w:r/>
    </w:p>
    <w:p>
      <w:pPr>
        <w:pStyle w:val="679"/>
        <w:spacing w:line="0" w:lineRule="atLeast"/>
        <w:rPr>
          <w:rFonts w:hint="eastAsia" w:ascii="宋体" w:hAnsi="宋体"/>
          <w:color w:val="ff0000"/>
          <w:sz w:val="24"/>
          <w:szCs w:val="24"/>
        </w:rPr>
      </w:pPr>
      <w:r>
        <w:rPr>
          <w:rFonts w:hint="eastAsia" w:ascii="宋体" w:hAnsi="宋体"/>
          <w:color w:val="ff0000"/>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spacing w:before="120" w:after="120" w:line="0" w:lineRule="atLeast"/>
        <w:rPr>
          <w:rFonts w:ascii="宋体" w:hAnsi="Courier New" w:cs="Courier New"/>
          <w:sz w:val="24"/>
          <w:szCs w:val="24"/>
        </w:rPr>
      </w:pPr>
      <w:r>
        <w:rPr>
          <w:rFonts w:ascii="宋体" w:hAnsi="Courier New" w:cs="Courier New"/>
          <w:sz w:val="24"/>
          <w:szCs w:val="24"/>
        </w:rPr>
      </w:r>
      <w:r/>
    </w:p>
    <w:p>
      <w:pPr>
        <w:pStyle w:val="679"/>
        <w:jc w:val="center"/>
        <w:keepNext/>
        <w:spacing w:line="400" w:lineRule="exact"/>
        <w:rPr>
          <w:rFonts w:hint="eastAsia" w:ascii="黑体" w:eastAsia="黑体"/>
          <w:bCs/>
          <w:sz w:val="28"/>
          <w:szCs w:val="28"/>
        </w:rPr>
        <w:outlineLvl w:val="0"/>
      </w:pPr>
      <w:r/>
      <w:bookmarkStart w:id="178" w:name="_Toc120614281"/>
      <w:r>
        <w:rPr>
          <w:rFonts w:hint="eastAsia" w:ascii="黑体" w:eastAsia="黑体"/>
          <w:bCs/>
          <w:sz w:val="28"/>
          <w:szCs w:val="28"/>
        </w:rPr>
        <w:t xml:space="preserve">第五章  评审方法与评审标准</w:t>
      </w:r>
      <w:r>
        <w:rPr>
          <w:rFonts w:hint="eastAsia" w:ascii="黑体" w:eastAsia="黑体"/>
          <w:bCs/>
          <w:sz w:val="28"/>
          <w:szCs w:val="28"/>
        </w:rPr>
      </w:r>
      <w:r/>
    </w:p>
    <w:p>
      <w:pPr>
        <w:pStyle w:val="679"/>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79"/>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79"/>
        <w:ind w:firstLine="800"/>
        <w:jc w:val="left"/>
        <w:spacing w:line="460" w:lineRule="exact"/>
        <w:rPr>
          <w:rFonts w:hint="eastAsia" w:ascii="方正仿宋_GBK" w:hAnsi="方正仿宋_GBK" w:eastAsia="方正仿宋_GBK" w:cs="方正仿宋_GBK"/>
          <w:sz w:val="40"/>
          <w:szCs w:val="40"/>
        </w:rPr>
      </w:pPr>
      <w:r>
        <w:rPr>
          <w:rFonts w:hint="eastAsia" w:ascii="方正仿宋_GBK" w:hAnsi="方正仿宋_GBK" w:eastAsia="方正仿宋_GBK" w:cs="方正仿宋_GBK"/>
          <w:sz w:val="40"/>
          <w:szCs w:val="40"/>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sz w:val="40"/>
          <w:szCs w:val="40"/>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679"/>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79"/>
        <w:gridCol w:w="5827"/>
        <w:gridCol w:w="718"/>
      </w:tblGrid>
      <w:tr>
        <w:trPr>
          <w:trHeight w:val="514"/>
        </w:trPr>
        <w:tc>
          <w:tcPr>
            <w:tcMar>
              <w:left w:w="108" w:type="dxa"/>
              <w:top w:w="0" w:type="dxa"/>
              <w:right w:w="108" w:type="dxa"/>
              <w:bottom w:w="0" w:type="dxa"/>
            </w:tcMar>
            <w:tcW w:w="746" w:type="dxa"/>
            <w:vAlign w:val="center"/>
            <w:textDirection w:val="lrTb"/>
            <w:noWrap w:val="false"/>
          </w:tcPr>
          <w:p>
            <w:pPr>
              <w:pStyle w:val="679"/>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评分因素</w:t>
            </w:r>
            <w:r>
              <w:rPr>
                <w:rFonts w:ascii="宋体" w:hAnsi="宋体" w:cs="宋体"/>
                <w:b/>
                <w:bCs/>
                <w:color w:val="000000"/>
                <w:sz w:val="24"/>
              </w:rPr>
            </w:r>
            <w:r/>
          </w:p>
        </w:tc>
        <w:tc>
          <w:tcPr>
            <w:tcMar>
              <w:left w:w="108" w:type="dxa"/>
              <w:top w:w="0" w:type="dxa"/>
              <w:right w:w="108" w:type="dxa"/>
              <w:bottom w:w="0" w:type="dxa"/>
            </w:tcMar>
            <w:tcW w:w="5827" w:type="dxa"/>
            <w:vAlign w:val="center"/>
            <w:textDirection w:val="lrTb"/>
            <w:noWrap w:val="false"/>
          </w:tcPr>
          <w:p>
            <w:pPr>
              <w:pStyle w:val="679"/>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评分标准</w:t>
            </w:r>
            <w:r>
              <w:rPr>
                <w:rFonts w:ascii="宋体" w:hAnsi="宋体" w:cs="宋体"/>
                <w:b/>
                <w:bCs/>
                <w:color w:val="000000"/>
                <w:sz w:val="24"/>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c>
          <w:tcPr>
            <w:tcMar>
              <w:left w:w="108" w:type="dxa"/>
              <w:top w:w="0" w:type="dxa"/>
              <w:right w:w="108" w:type="dxa"/>
              <w:bottom w:w="0" w:type="dxa"/>
            </w:tcMar>
            <w:tcW w:w="746"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价格</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ascii="宋体" w:hAnsi="宋体" w:cs="宋体"/>
                <w:color w:val="000000"/>
                <w:sz w:val="24"/>
              </w:rPr>
            </w:pPr>
            <w:r>
              <w:rPr>
                <w:rFonts w:hint="eastAsia" w:ascii="宋体" w:hAnsi="宋体" w:cs="宋体"/>
                <w:color w:val="000000"/>
                <w:sz w:val="24"/>
              </w:rPr>
              <w:t xml:space="preserve">满足磋商文件要求且最后报价最低的响应报价为评审基准价，其价格为满分。其他响应人的价格分统一按下列公式计算：响应报价得分=（评审基准价/最后报价）×20。分值保留小数点后2位。</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20分</w:t>
            </w:r>
            <w:r>
              <w:rPr>
                <w:rFonts w:ascii="宋体" w:hAnsi="宋体" w:cs="宋体"/>
                <w:color w:val="000000"/>
                <w:sz w:val="24"/>
              </w:rPr>
            </w:r>
            <w:r/>
          </w:p>
        </w:tc>
      </w:tr>
      <w:tr>
        <w:trPr/>
        <w:tc>
          <w:tcPr>
            <w:tcMar>
              <w:left w:w="108" w:type="dxa"/>
              <w:top w:w="0" w:type="dxa"/>
              <w:right w:w="108" w:type="dxa"/>
              <w:bottom w:w="0" w:type="dxa"/>
            </w:tcMar>
            <w:tcW w:w="746"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技术要求响应情况</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ascii="宋体" w:hAnsi="宋体" w:cs="宋体"/>
                <w:color w:val="000000"/>
                <w:sz w:val="24"/>
              </w:rPr>
            </w:pPr>
            <w:r>
              <w:rPr>
                <w:rFonts w:hint="eastAsia" w:ascii="宋体" w:hAnsi="宋体" w:cs="宋体"/>
                <w:color w:val="000000"/>
                <w:sz w:val="24"/>
              </w:rPr>
              <w:t xml:space="preserve">针对响应文件内容中应对磋商文件“三、技术要求/（二）技术功能参数”表格响应情况打分：全部满足招标要求的得满23分； </w:t>
            </w:r>
            <w:r>
              <w:rPr>
                <w:rFonts w:ascii="宋体" w:hAnsi="宋体" w:cs="宋体"/>
                <w:color w:val="000000"/>
                <w:sz w:val="24"/>
              </w:rPr>
            </w:r>
            <w:r/>
          </w:p>
          <w:p>
            <w:pPr>
              <w:pStyle w:val="679"/>
              <w:spacing w:line="360" w:lineRule="auto"/>
              <w:widowControl/>
              <w:rPr>
                <w:rFonts w:ascii="宋体" w:hAnsi="宋体" w:cs="宋体"/>
                <w:color w:val="000000"/>
                <w:sz w:val="24"/>
              </w:rPr>
            </w:pPr>
            <w:r>
              <w:rPr>
                <w:rFonts w:hint="eastAsia" w:ascii="宋体" w:hAnsi="宋体" w:cs="宋体"/>
                <w:color w:val="000000"/>
                <w:sz w:val="24"/>
              </w:rPr>
              <w:t xml:space="preserve">磋商文件中标注“▲”的内容为重要参数共7项，共14分，每有一项负偏离扣2分；</w:t>
            </w:r>
            <w:r>
              <w:rPr>
                <w:rFonts w:ascii="宋体" w:hAnsi="宋体" w:cs="宋体"/>
                <w:color w:val="000000"/>
                <w:sz w:val="24"/>
              </w:rPr>
            </w:r>
            <w:r/>
          </w:p>
          <w:p>
            <w:pPr>
              <w:pStyle w:val="679"/>
              <w:spacing w:line="360" w:lineRule="auto"/>
              <w:widowControl/>
              <w:rPr>
                <w:color w:val="000000"/>
              </w:rPr>
            </w:pPr>
            <w:r>
              <w:rPr>
                <w:rFonts w:hint="eastAsia" w:ascii="宋体" w:hAnsi="宋体" w:cs="宋体"/>
                <w:color w:val="000000"/>
                <w:sz w:val="24"/>
              </w:rPr>
              <w:t xml:space="preserve">其他非重要参数共9项，共9分，每项负偏离的扣1分，扣完为止。</w:t>
            </w:r>
            <w:r>
              <w:rPr>
                <w:color w:val="000000"/>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23分</w:t>
            </w:r>
            <w:r>
              <w:rPr>
                <w:rFonts w:ascii="宋体" w:hAnsi="宋体" w:cs="宋体"/>
                <w:color w:val="000000"/>
                <w:sz w:val="24"/>
              </w:rPr>
            </w:r>
            <w:r/>
          </w:p>
        </w:tc>
      </w:tr>
      <w:tr>
        <w:trPr>
          <w:trHeight w:val="699"/>
        </w:trPr>
        <w:tc>
          <w:tcPr>
            <w:tcMar>
              <w:left w:w="108" w:type="dxa"/>
              <w:top w:w="0" w:type="dxa"/>
              <w:right w:w="108" w:type="dxa"/>
              <w:bottom w:w="0" w:type="dxa"/>
            </w:tcMar>
            <w:tcW w:w="746" w:type="dxa"/>
            <w:vAlign w:val="center"/>
            <w:vMerge w:val="restart"/>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Mar>
              <w:left w:w="108" w:type="dxa"/>
              <w:top w:w="0" w:type="dxa"/>
              <w:right w:w="108" w:type="dxa"/>
              <w:bottom w:w="0" w:type="dxa"/>
            </w:tcMar>
            <w:tcW w:w="1279" w:type="dxa"/>
            <w:vAlign w:val="center"/>
            <w:vMerge w:val="restart"/>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项目实施和服务方案</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3.1系统安全保障方案（5分）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（1）响应文件未符合“系统安全保障方案”中全部条款要求的，视为不符合磋商文件要求，本项得0分。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（2）响应文件符合“系统安全保障方案”中全部条款要求的，视为符合磋商文件要求，本项得3分。</w:t>
            </w:r>
            <w:r>
              <w:rPr>
                <w:rFonts w:hint="eastAsia" w:ascii="宋体" w:hAnsi="宋体" w:cs="宋体"/>
                <w:color w:val="000000"/>
                <w:sz w:val="24"/>
              </w:rPr>
            </w:r>
            <w:r/>
          </w:p>
          <w:p>
            <w:pPr>
              <w:pStyle w:val="679"/>
              <w:spacing w:line="360" w:lineRule="auto"/>
              <w:widowControl/>
              <w:rPr>
                <w:rFonts w:ascii="宋体" w:hAnsi="宋体" w:cs="宋体"/>
                <w:color w:val="000000"/>
                <w:sz w:val="24"/>
              </w:rPr>
            </w:pPr>
            <w:r>
              <w:rPr>
                <w:rFonts w:hint="eastAsia" w:ascii="宋体" w:hAnsi="宋体" w:cs="宋体"/>
                <w:color w:val="000000"/>
                <w:sz w:val="24"/>
              </w:rPr>
              <w:t xml:space="preserve">（3）响应文件对“系统安全保障方案”中“安全目标”一项要求的响应内容优于磋商文件要求的（前提是响应文件对“系统安全保障方案”中除“安全目标”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3.2项目实施方案（5分）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（1）响应文件未符合“项目实施方案”中全部条款要求的，视为不符合磋商文件要求，本项得0分。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（2）响应文件符合“项目实施方案”中全部条款要求的，视为符合磋商文件要求，本项得3分。</w:t>
            </w:r>
            <w:r>
              <w:rPr>
                <w:rFonts w:hint="eastAsia" w:ascii="宋体" w:hAnsi="宋体" w:cs="宋体"/>
                <w:color w:val="000000"/>
                <w:sz w:val="24"/>
              </w:rPr>
            </w:r>
            <w:r/>
          </w:p>
          <w:p>
            <w:pPr>
              <w:pStyle w:val="679"/>
              <w:spacing w:line="360" w:lineRule="auto"/>
              <w:widowControl/>
              <w:rPr>
                <w:rFonts w:ascii="宋体" w:hAnsi="宋体" w:cs="宋体"/>
                <w:color w:val="000000"/>
                <w:sz w:val="24"/>
              </w:rPr>
            </w:pPr>
            <w:r>
              <w:rPr>
                <w:rFonts w:hint="eastAsia" w:ascii="宋体" w:hAnsi="宋体" w:cs="宋体"/>
                <w:color w:val="000000"/>
                <w:sz w:val="24"/>
              </w:rPr>
              <w:t xml:space="preserve">（3）响应文件对“项目实施方案”中“人员配置安排”项要求的响应内容优于磋商文件要求的（前提是响应文件对“人员配置安排”外其他要求响应内容符合磋商文件要求），本项得5分。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203"/>
        </w:trPr>
        <w:tc>
          <w:tcPr>
            <w:tcMar>
              <w:left w:w="108" w:type="dxa"/>
              <w:top w:w="0" w:type="dxa"/>
              <w:right w:w="108" w:type="dxa"/>
              <w:bottom w:w="0" w:type="dxa"/>
            </w:tcMar>
            <w:tcW w:w="746"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3</w:t>
            </w:r>
            <w:r>
              <w:rPr>
                <w:rFonts w:hint="eastAsia" w:ascii="宋体" w:hAnsi="宋体" w:cs="宋体"/>
                <w:color w:val="000000"/>
                <w:sz w:val="24"/>
              </w:rPr>
              <w:t xml:space="preserve">风险管控方案（5分）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（1）响应文件未符合“风险管控方案”中全部条款要求的，视为不符合磋商文件要求，本项得0分。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（2）响应文件符合“风险管控方案”中全部条款要求的，视为符合磋商文件要求，本项得3分。</w:t>
            </w:r>
            <w:r>
              <w:rPr>
                <w:rFonts w:hint="eastAsia" w:ascii="宋体" w:hAnsi="宋体" w:cs="宋体"/>
                <w:color w:val="000000"/>
                <w:sz w:val="24"/>
              </w:rPr>
            </w:r>
            <w:r/>
          </w:p>
          <w:p>
            <w:pPr>
              <w:pStyle w:val="679"/>
              <w:spacing w:line="360" w:lineRule="auto"/>
              <w:widowControl/>
              <w:rPr>
                <w:rFonts w:ascii="宋体" w:hAnsi="宋体" w:cs="宋体"/>
                <w:color w:val="000000"/>
                <w:sz w:val="24"/>
              </w:rPr>
            </w:pPr>
            <w:r>
              <w:rPr>
                <w:rFonts w:hint="eastAsia" w:ascii="宋体" w:hAnsi="宋体" w:cs="宋体"/>
                <w:color w:val="000000"/>
                <w:sz w:val="24"/>
              </w:rPr>
              <w:t xml:space="preserve">（3）响应文件对“风险管控方案”中“风险识别上报时效性”要求的响应内容优于磋商文件要求的（前提是响应文件对“风险管控方案”中除“风险识别上报时效性”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416"/>
        </w:trPr>
        <w:tc>
          <w:tcPr>
            <w:tcMar>
              <w:left w:w="108" w:type="dxa"/>
              <w:top w:w="0" w:type="dxa"/>
              <w:right w:w="108" w:type="dxa"/>
              <w:bottom w:w="0" w:type="dxa"/>
            </w:tcMar>
            <w:tcW w:w="746"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3.4技术培训方案（5分）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（1）响应文件未符合“技术培训方案”中全部条款要求的，视为不符合磋商文件要求，本项得0分。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（2）响应文件符合“技术培训方案”中全部条款要求的，视为符合磋商文件要求，本项得3分。</w:t>
            </w:r>
            <w:r>
              <w:rPr>
                <w:rFonts w:hint="eastAsia" w:ascii="宋体" w:hAnsi="宋体" w:cs="宋体"/>
                <w:color w:val="000000"/>
                <w:sz w:val="24"/>
              </w:rPr>
            </w:r>
            <w:r/>
          </w:p>
          <w:p>
            <w:pPr>
              <w:pStyle w:val="679"/>
              <w:spacing w:line="360" w:lineRule="auto"/>
              <w:widowControl/>
              <w:rPr>
                <w:rFonts w:ascii="宋体" w:hAnsi="宋体" w:cs="宋体"/>
                <w:color w:val="000000"/>
                <w:sz w:val="24"/>
              </w:rPr>
            </w:pPr>
            <w:r>
              <w:rPr>
                <w:rFonts w:hint="eastAsia" w:ascii="宋体" w:hAnsi="宋体" w:cs="宋体"/>
                <w:color w:val="000000"/>
                <w:sz w:val="24"/>
              </w:rPr>
              <w:t xml:space="preserve">（3）响应文件对“技术培训方案”中“维修工程师的培训人次和时间”两项要求的响应内容优于磋商文件要求的（前提是响应文件对“维修工程师的培训人次和时间”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4132"/>
        </w:trPr>
        <w:tc>
          <w:tcPr>
            <w:tcMar>
              <w:left w:w="108" w:type="dxa"/>
              <w:top w:w="0" w:type="dxa"/>
              <w:right w:w="108" w:type="dxa"/>
              <w:bottom w:w="0" w:type="dxa"/>
            </w:tcMar>
            <w:tcW w:w="746"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3.5售后服务方案（5分）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（1）响应文件未符合“售后服务方案”中全部条款要求的，视为不符合磋商文件要求，本项得0分。</w:t>
            </w:r>
            <w:r>
              <w:rPr>
                <w:rFonts w:hint="eastAsia" w:ascii="宋体" w:hAnsi="宋体" w:cs="宋体"/>
                <w:color w:val="000000"/>
                <w:sz w:val="24"/>
              </w:rPr>
            </w:r>
            <w:r/>
          </w:p>
          <w:p>
            <w:pPr>
              <w:pStyle w:val="679"/>
              <w:spacing w:line="360" w:lineRule="auto"/>
              <w:widowControl/>
              <w:rPr>
                <w:rFonts w:hint="eastAsia" w:ascii="宋体" w:hAnsi="宋体" w:cs="宋体"/>
                <w:color w:val="000000"/>
                <w:sz w:val="24"/>
              </w:rPr>
            </w:pPr>
            <w:r>
              <w:rPr>
                <w:rFonts w:hint="eastAsia" w:ascii="宋体" w:hAnsi="宋体" w:cs="宋体"/>
                <w:color w:val="000000"/>
                <w:sz w:val="24"/>
              </w:rPr>
              <w:t xml:space="preserve">（2）响应文件符合“售后服务方案”中全部条款要求的，视为符合磋商文件要求，本项得3分。</w:t>
            </w:r>
            <w:r>
              <w:rPr>
                <w:rFonts w:hint="eastAsia" w:ascii="宋体" w:hAnsi="宋体" w:cs="宋体"/>
                <w:color w:val="000000"/>
                <w:sz w:val="24"/>
              </w:rPr>
            </w:r>
            <w:r/>
          </w:p>
          <w:p>
            <w:pPr>
              <w:pStyle w:val="679"/>
              <w:spacing w:line="360" w:lineRule="auto"/>
              <w:widowControl/>
              <w:rPr>
                <w:rFonts w:ascii="宋体" w:hAnsi="宋体" w:cs="宋体"/>
                <w:color w:val="000000"/>
                <w:sz w:val="24"/>
              </w:rPr>
            </w:pPr>
            <w:r>
              <w:rPr>
                <w:rFonts w:hint="eastAsia" w:ascii="宋体" w:hAnsi="宋体" w:cs="宋体"/>
                <w:color w:val="000000"/>
                <w:sz w:val="24"/>
              </w:rPr>
              <w:t xml:space="preserve">（3）响应文件对“售后服务方案”中“免费维保期”项要求的响应内容优于磋商文件要求的（前提是响应文件对“售后服务方案”中除“免费维保期”外其他要求响应内容符合磋商文件要求），本项得5分。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229"/>
        </w:trPr>
        <w:tc>
          <w:tcPr>
            <w:tcMar>
              <w:left w:w="108" w:type="dxa"/>
              <w:top w:w="0" w:type="dxa"/>
              <w:right w:w="108" w:type="dxa"/>
              <w:bottom w:w="0" w:type="dxa"/>
            </w:tcMar>
            <w:tcW w:w="746" w:type="dxa"/>
            <w:vAlign w:val="center"/>
            <w:vMerge w:val="restart"/>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软件著作权</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tabs>
                <w:tab w:val="left" w:pos="426" w:leader="none"/>
              </w:tabs>
              <w:rPr>
                <w:rFonts w:ascii="宋体" w:hAnsi="宋体" w:cs="宋体"/>
                <w:sz w:val="24"/>
              </w:rPr>
            </w:pPr>
            <w:r>
              <w:rPr>
                <w:rFonts w:hint="eastAsia" w:ascii="宋体" w:hAnsi="宋体" w:cs="宋体"/>
                <w:sz w:val="24"/>
              </w:rPr>
              <w:t xml:space="preserve">4.1</w:t>
            </w:r>
            <w:r>
              <w:rPr>
                <w:rFonts w:ascii="宋体" w:hAnsi="宋体" w:cs="宋体"/>
                <w:sz w:val="24"/>
              </w:rPr>
              <w:t xml:space="preserve">供应商具有由国家版权局颁发的相关软件著作权登记证书，证书名称包含“实验室信息管理”</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智能实验室AI筛选系统</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AI算法自动化集成平台</w:t>
            </w:r>
            <w:r>
              <w:rPr>
                <w:rFonts w:ascii="宋体" w:hAnsi="宋体" w:cs="宋体"/>
                <w:sz w:val="24"/>
              </w:rPr>
              <w:t xml:space="preserve">”</w:t>
            </w:r>
            <w:r>
              <w:rPr>
                <w:rFonts w:hint="eastAsia" w:ascii="宋体" w:hAnsi="宋体" w:cs="宋体"/>
                <w:sz w:val="24"/>
              </w:rPr>
              <w:t xml:space="preserve"> 、</w:t>
            </w:r>
            <w:r>
              <w:rPr>
                <w:rFonts w:ascii="宋体" w:hAnsi="宋体" w:cs="宋体"/>
                <w:sz w:val="24"/>
              </w:rPr>
              <w:t xml:space="preserve">“</w:t>
            </w:r>
            <w:r>
              <w:rPr>
                <w:rFonts w:hint="eastAsia" w:ascii="宋体" w:hAnsi="宋体" w:cs="宋体"/>
                <w:sz w:val="24"/>
              </w:rPr>
              <w:t xml:space="preserve">任务编排系统</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ascii="宋体" w:hAnsi="宋体" w:cs="宋体"/>
                <w:sz w:val="24"/>
                <w:szCs w:val="24"/>
              </w:rPr>
              <w:t xml:space="preserve">实验室智能Agent平台</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ascii="宋体" w:hAnsi="宋体" w:cs="宋体"/>
                <w:sz w:val="24"/>
                <w:szCs w:val="24"/>
              </w:rPr>
              <w:t xml:space="preserve">NLP机器人问答系统</w:t>
            </w:r>
            <w:r>
              <w:rPr>
                <w:rFonts w:ascii="宋体" w:hAnsi="宋体" w:cs="宋体"/>
                <w:sz w:val="24"/>
              </w:rPr>
              <w:t xml:space="preserve">”，每提供一</w:t>
            </w:r>
            <w:r>
              <w:rPr>
                <w:rFonts w:hint="eastAsia" w:ascii="宋体" w:hAnsi="宋体" w:cs="宋体"/>
                <w:sz w:val="24"/>
              </w:rPr>
              <w:t xml:space="preserve">类</w:t>
            </w:r>
            <w:r>
              <w:rPr>
                <w:rFonts w:ascii="宋体" w:hAnsi="宋体" w:cs="宋体"/>
                <w:sz w:val="24"/>
              </w:rPr>
              <w:t xml:space="preserve">得</w:t>
            </w:r>
            <w:r>
              <w:rPr>
                <w:rFonts w:hint="eastAsia" w:ascii="宋体" w:hAnsi="宋体" w:cs="宋体"/>
                <w:sz w:val="24"/>
              </w:rPr>
              <w:t xml:space="preserve">0.5</w:t>
            </w:r>
            <w:r>
              <w:rPr>
                <w:rFonts w:ascii="宋体" w:hAnsi="宋体" w:cs="宋体"/>
                <w:sz w:val="24"/>
              </w:rPr>
              <w:t xml:space="preserve">分，同一</w:t>
            </w:r>
            <w:r>
              <w:rPr>
                <w:rFonts w:hint="eastAsia" w:ascii="宋体" w:hAnsi="宋体" w:cs="宋体"/>
                <w:sz w:val="24"/>
              </w:rPr>
              <w:t xml:space="preserve">类</w:t>
            </w:r>
            <w:r>
              <w:rPr>
                <w:rFonts w:ascii="宋体" w:hAnsi="宋体" w:cs="宋体"/>
                <w:sz w:val="24"/>
              </w:rPr>
              <w:t xml:space="preserve">软件著作权证不重复得分，满分</w:t>
            </w:r>
            <w:r>
              <w:rPr>
                <w:rFonts w:hint="eastAsia" w:ascii="宋体" w:hAnsi="宋体" w:cs="宋体"/>
                <w:sz w:val="24"/>
              </w:rPr>
              <w:t xml:space="preserve">3</w:t>
            </w:r>
            <w:r>
              <w:rPr>
                <w:rFonts w:ascii="宋体" w:hAnsi="宋体" w:cs="宋体"/>
                <w:sz w:val="24"/>
              </w:rPr>
              <w:t xml:space="preserve">分。（需提供有效证书复印件并加盖公章）</w:t>
            </w:r>
            <w:r>
              <w:rPr>
                <w:rFonts w:ascii="宋体" w:hAnsi="宋体" w:cs="宋体"/>
                <w:sz w:val="24"/>
              </w:rPr>
            </w:r>
            <w:r/>
          </w:p>
          <w:p>
            <w:pPr>
              <w:pStyle w:val="679"/>
              <w:spacing w:line="360" w:lineRule="auto"/>
              <w:tabs>
                <w:tab w:val="left" w:pos="426" w:leader="none"/>
              </w:tabs>
              <w:rPr>
                <w:rFonts w:ascii="宋体" w:hAnsi="宋体" w:cs="宋体"/>
                <w:color w:val="000000"/>
                <w:sz w:val="24"/>
                <w:highlight w:val="yellow"/>
              </w:rPr>
            </w:pPr>
            <w:r>
              <w:rPr>
                <w:rFonts w:hint="eastAsia" w:ascii="宋体" w:hAnsi="宋体" w:cs="宋体"/>
                <w:sz w:val="24"/>
              </w:rPr>
              <w:t xml:space="preserve">说明：</w:t>
            </w:r>
            <w:r>
              <w:rPr>
                <w:rFonts w:ascii="宋体" w:hAnsi="宋体" w:cs="宋体"/>
                <w:sz w:val="24"/>
              </w:rPr>
              <w:t xml:space="preserve">如</w:t>
            </w:r>
            <w:r>
              <w:rPr>
                <w:rFonts w:hint="eastAsia" w:ascii="宋体" w:hAnsi="宋体" w:cs="宋体"/>
                <w:sz w:val="24"/>
              </w:rPr>
              <w:t xml:space="preserve">响应</w:t>
            </w:r>
            <w:r>
              <w:rPr>
                <w:rFonts w:ascii="宋体" w:hAnsi="宋体" w:cs="宋体"/>
                <w:sz w:val="24"/>
              </w:rPr>
              <w:t xml:space="preserve">文件中提供的著作权名称表述与</w:t>
            </w:r>
            <w:r>
              <w:rPr>
                <w:rFonts w:hint="eastAsia" w:ascii="宋体" w:hAnsi="宋体" w:cs="宋体"/>
                <w:sz w:val="24"/>
              </w:rPr>
              <w:t xml:space="preserve">磋商</w:t>
            </w:r>
            <w:r>
              <w:rPr>
                <w:rFonts w:ascii="宋体" w:hAnsi="宋体" w:cs="宋体"/>
                <w:sz w:val="24"/>
              </w:rPr>
              <w:t xml:space="preserve">文件描述的关键字样不一致，而该</w:t>
            </w:r>
            <w:r>
              <w:rPr>
                <w:rFonts w:hint="eastAsia" w:ascii="宋体" w:hAnsi="宋体" w:cs="宋体"/>
                <w:sz w:val="24"/>
              </w:rPr>
              <w:t xml:space="preserve">响应</w:t>
            </w:r>
            <w:r>
              <w:rPr>
                <w:rFonts w:ascii="宋体" w:hAnsi="宋体" w:cs="宋体"/>
                <w:sz w:val="24"/>
              </w:rPr>
              <w:t xml:space="preserve">文件中能证明</w:t>
            </w:r>
            <w:r>
              <w:rPr>
                <w:rFonts w:hint="eastAsia" w:ascii="宋体" w:hAnsi="宋体" w:cs="宋体"/>
                <w:sz w:val="24"/>
              </w:rPr>
              <w:t xml:space="preserve">供应商</w:t>
            </w:r>
            <w:r>
              <w:rPr>
                <w:rFonts w:ascii="宋体" w:hAnsi="宋体" w:cs="宋体"/>
                <w:sz w:val="24"/>
              </w:rPr>
              <w:t xml:space="preserve">拥有的著作权具有相同或相似功能和效果</w:t>
            </w:r>
            <w:r>
              <w:rPr>
                <w:rFonts w:hint="eastAsia" w:ascii="宋体" w:hAnsi="宋体" w:cs="宋体"/>
                <w:sz w:val="24"/>
              </w:rPr>
              <w:t xml:space="preserve">且磋商小组一致认可的</w:t>
            </w:r>
            <w:r>
              <w:rPr>
                <w:rFonts w:ascii="宋体" w:hAnsi="宋体" w:cs="宋体"/>
                <w:sz w:val="24"/>
              </w:rPr>
              <w:t xml:space="preserve">，视同符合要求。</w:t>
            </w:r>
            <w:r>
              <w:rPr>
                <w:rFonts w:ascii="宋体" w:hAnsi="宋体" w:cs="宋体"/>
                <w:color w:val="000000"/>
                <w:sz w:val="24"/>
                <w:highlight w:val="yellow"/>
              </w:rPr>
            </w:r>
            <w:r/>
          </w:p>
        </w:tc>
        <w:tc>
          <w:tcPr>
            <w:tcMar>
              <w:left w:w="108" w:type="dxa"/>
              <w:top w:w="0" w:type="dxa"/>
              <w:right w:w="108" w:type="dxa"/>
              <w:bottom w:w="0" w:type="dxa"/>
            </w:tcMar>
            <w:tcW w:w="718" w:type="dxa"/>
            <w:vAlign w:val="center"/>
            <w:textDirection w:val="lrTb"/>
            <w:noWrap w:val="false"/>
          </w:tcPr>
          <w:p>
            <w:pPr>
              <w:pStyle w:val="679"/>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3分</w:t>
            </w:r>
            <w:r>
              <w:rPr>
                <w:rFonts w:ascii="宋体" w:hAnsi="宋体" w:cs="宋体"/>
                <w:color w:val="000000"/>
                <w:sz w:val="24"/>
              </w:rPr>
            </w:r>
            <w:r/>
          </w:p>
        </w:tc>
      </w:tr>
      <w:tr>
        <w:trPr>
          <w:trHeight w:val="983"/>
        </w:trPr>
        <w:tc>
          <w:tcPr>
            <w:tcMar>
              <w:left w:w="108" w:type="dxa"/>
              <w:top w:w="0" w:type="dxa"/>
              <w:right w:w="108" w:type="dxa"/>
              <w:bottom w:w="0" w:type="dxa"/>
            </w:tcMar>
            <w:tcW w:w="746" w:type="dxa"/>
            <w:vAlign w:val="center"/>
            <w:vMerge w:val="continue"/>
            <w:textDirection w:val="lrTb"/>
            <w:noWrap w:val="false"/>
          </w:tcPr>
          <w:p>
            <w:pPr>
              <w:pStyle w:val="679"/>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sz w:val="24"/>
              </w:rPr>
              <w:t xml:space="preserve">投标人2023年1月1日（含）至今(以合同签订时间为准）承担过实验室信息管理系统项目业绩的，证明材料包括：合同首页、标的页、金额页、盖章页，缺一不可。提供一个业绩得3分，最高得9分。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9分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系统演示</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5.1系统演示要求（10分）</w:t>
            </w:r>
            <w:r>
              <w:rPr>
                <w:rFonts w:ascii="宋体" w:hAnsi="宋体" w:cs="宋体"/>
                <w:color w:val="000000"/>
                <w:sz w:val="24"/>
              </w:rPr>
            </w:r>
            <w:r/>
          </w:p>
          <w:p>
            <w:pPr>
              <w:pStyle w:val="679"/>
              <w:spacing w:line="360" w:lineRule="auto"/>
              <w:widowControl/>
              <w:tabs>
                <w:tab w:val="left" w:pos="426" w:leader="none"/>
              </w:tabs>
              <w:rPr>
                <w:rFonts w:ascii="宋体" w:hAnsi="宋体" w:cs="宋体"/>
                <w:sz w:val="24"/>
              </w:rPr>
            </w:pPr>
            <w:r>
              <w:rPr>
                <w:rFonts w:hint="eastAsia" w:ascii="宋体" w:hAnsi="宋体" w:cs="宋体"/>
                <w:sz w:val="24"/>
              </w:rPr>
              <w:t xml:space="preserve">1）供应商应根据磋商文件演示要求提供相应的演示视频（演示视频控制在15分钟内），视频文件的格式为X.mp4或X.avi，</w:t>
            </w:r>
            <w:r>
              <w:rPr>
                <w:rFonts w:hint="eastAsia" w:ascii="宋体" w:hAnsi="宋体" w:cs="宋体"/>
                <w:color w:val="000000"/>
                <w:sz w:val="24"/>
              </w:rPr>
              <w:t xml:space="preserve">供应商须将视频文件分段压缩为X.zip文件上传</w:t>
            </w:r>
            <w:r>
              <w:rPr>
                <w:rFonts w:hint="eastAsia" w:ascii="宋体" w:hAnsi="宋体" w:cs="宋体"/>
                <w:sz w:val="24"/>
              </w:rPr>
              <w:t xml:space="preserve">（单个文件不得大于50M，所有文件总共不得大于300M）。</w:t>
            </w:r>
            <w:r>
              <w:rPr>
                <w:rFonts w:ascii="宋体" w:hAnsi="宋体" w:cs="宋体"/>
                <w:sz w:val="24"/>
              </w:rPr>
            </w:r>
            <w:r/>
          </w:p>
          <w:p>
            <w:pPr>
              <w:pStyle w:val="679"/>
              <w:spacing w:line="360" w:lineRule="auto"/>
              <w:widowControl/>
              <w:tabs>
                <w:tab w:val="left" w:pos="426" w:leader="none"/>
              </w:tabs>
              <w:rPr>
                <w:rFonts w:ascii="宋体" w:hAnsi="宋体" w:cs="宋体"/>
                <w:sz w:val="24"/>
              </w:rPr>
            </w:pPr>
            <w:r>
              <w:rPr>
                <w:rFonts w:hint="eastAsia" w:ascii="宋体" w:hAnsi="宋体" w:cs="宋体"/>
                <w:sz w:val="24"/>
              </w:rPr>
              <w:t xml:space="preserve">2）演示评分：</w:t>
            </w:r>
            <w:r>
              <w:rPr>
                <w:rFonts w:ascii="宋体" w:hAnsi="宋体" w:cs="宋体"/>
                <w:sz w:val="24"/>
              </w:rPr>
            </w:r>
            <w:r/>
          </w:p>
          <w:p>
            <w:pPr>
              <w:pStyle w:val="679"/>
              <w:ind w:firstLine="240"/>
              <w:spacing w:line="360" w:lineRule="auto"/>
              <w:widowControl/>
              <w:tabs>
                <w:tab w:val="left" w:pos="426" w:leader="none"/>
              </w:tabs>
              <w:rPr>
                <w:rFonts w:ascii="宋体" w:hAnsi="宋体" w:cs="宋体"/>
                <w:sz w:val="24"/>
              </w:rPr>
            </w:pPr>
            <w:r>
              <w:rPr>
                <w:rFonts w:hint="eastAsia" w:ascii="宋体" w:hAnsi="宋体" w:cs="宋体"/>
                <w:sz w:val="24"/>
              </w:rPr>
              <w:t xml:space="preserve">A.以真实系统或原型系统演示，演示内容完整、符合要求的，每个演示功能项得2.5分，最高得10分；</w:t>
            </w:r>
            <w:r>
              <w:rPr>
                <w:rFonts w:ascii="宋体" w:hAnsi="宋体" w:cs="宋体"/>
                <w:sz w:val="24"/>
              </w:rPr>
            </w:r>
            <w:r/>
          </w:p>
          <w:p>
            <w:pPr>
              <w:pStyle w:val="679"/>
              <w:ind w:firstLine="240"/>
              <w:spacing w:line="360" w:lineRule="auto"/>
              <w:widowControl/>
              <w:tabs>
                <w:tab w:val="left" w:pos="426" w:leader="none"/>
              </w:tabs>
              <w:rPr>
                <w:rFonts w:ascii="宋体" w:hAnsi="宋体" w:cs="宋体"/>
                <w:sz w:val="24"/>
              </w:rPr>
            </w:pPr>
            <w:r>
              <w:rPr>
                <w:rFonts w:hint="eastAsia" w:ascii="宋体" w:hAnsi="宋体" w:cs="宋体"/>
                <w:sz w:val="24"/>
              </w:rPr>
              <w:t xml:space="preserve">B.以其他方式（如PPT、静态HTML等）呈现，演示内容完整、符合要求的，每个演示功能项得1分，最高得4分。</w:t>
            </w:r>
            <w:r>
              <w:rPr>
                <w:rFonts w:ascii="宋体" w:hAnsi="宋体" w:cs="宋体"/>
                <w:sz w:val="24"/>
              </w:rPr>
            </w:r>
            <w:r/>
          </w:p>
          <w:p>
            <w:pPr>
              <w:pStyle w:val="679"/>
              <w:ind w:firstLine="240"/>
              <w:spacing w:line="360" w:lineRule="auto"/>
              <w:widowControl/>
              <w:tabs>
                <w:tab w:val="left" w:pos="426" w:leader="none"/>
              </w:tabs>
              <w:rPr>
                <w:rFonts w:ascii="宋体" w:hAnsi="宋体" w:cs="宋体"/>
                <w:sz w:val="24"/>
              </w:rPr>
            </w:pPr>
            <w:r>
              <w:rPr>
                <w:rFonts w:hint="eastAsia" w:ascii="宋体" w:hAnsi="宋体" w:cs="宋体"/>
                <w:sz w:val="24"/>
              </w:rPr>
              <w:t xml:space="preserve">C.对于每个功能点演示内容少项、演示内容不符合要求或者没有演示的该项演示内容得0分。</w:t>
            </w:r>
            <w:r>
              <w:rPr>
                <w:rFonts w:ascii="宋体" w:hAnsi="宋体" w:cs="宋体"/>
                <w:sz w:val="24"/>
              </w:rPr>
            </w:r>
            <w:r/>
          </w:p>
          <w:p>
            <w:pPr>
              <w:pStyle w:val="679"/>
              <w:spacing w:line="360" w:lineRule="auto"/>
              <w:widowControl/>
              <w:tabs>
                <w:tab w:val="left" w:pos="426" w:leader="none"/>
              </w:tabs>
              <w:rPr>
                <w:rFonts w:ascii="宋体" w:hAnsi="宋体" w:cs="宋体"/>
                <w:sz w:val="24"/>
              </w:rPr>
            </w:pPr>
            <w:r>
              <w:rPr>
                <w:rFonts w:hint="eastAsia" w:ascii="宋体" w:hAnsi="宋体" w:cs="宋体"/>
                <w:sz w:val="24"/>
              </w:rPr>
              <w:t xml:space="preserve">3）演示内容共4项：</w:t>
            </w:r>
            <w:r>
              <w:rPr>
                <w:rFonts w:ascii="宋体" w:hAnsi="宋体" w:cs="宋体"/>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①智能建单演示（2.5分）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在 LIMS 业务受理模块一键启动 AI 智能受理功能，系统可根据上传或关联的委托协议自动识别委托方、样品名称/编号/批号、数量及状态、检测项目和方法等关键信息，并形成待确认的业务受理单信息。</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②识别内容处理演示（2.5分）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演示对客户委托项目与LIMS的机构能力、一单一库及 CMA/CNAS 能力范围的智能核查，并展示检测方法收录、CMA 能力匹配、CNAS 能力匹配情况，可对需分包项目进行标识。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③识别内容回填演示（2.5分）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选择已智能识别的委托信息，经过确认操作后，可生成新的业务受理单并回填至 LIMS 业务受理模块。</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④合同评审预审演示（2.5分）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在LIMS中一键启动和调用AI合同评审功能，可针对委托项目、检测方法、资质能力范围、CMA 标识使用、CNAS 能力、分包事项及客户特殊要求等内容进行智能化预审，输出存在的问题，并可标注评审依据来源。</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项目团队</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6.1项目经理具备人社部门颁发的“系统规划与管理师”证书的，得3分；未提供或证书不符合要求的不得分。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6.2团队其他成员中（项目经理除外），具备人社部门颁发的“软件设计师”、“软件评测师”、“数据库系统工程师”、“系统集成项目管理工程师”、“网络工程师”、“系统分析师”、“系统架构设计师”证书，每提供一项项得1分，本项最高得7分。</w:t>
            </w:r>
            <w:r>
              <w:rPr>
                <w:rFonts w:ascii="宋体" w:hAnsi="宋体" w:cs="宋体"/>
                <w:color w:val="000000"/>
                <w:sz w:val="24"/>
              </w:rPr>
            </w:r>
            <w:r/>
          </w:p>
          <w:p>
            <w:pPr>
              <w:pStyle w:val="679"/>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6.1、6.2项注：同一人持有上述多类证书的，仅按1人次计算加分（不重复计数）。同一证书多人持有，提供多个的仅按1人次计算加分（不重复计数）。须同时提供：① 项目团队人员名单；② 上述证书的清晰扫描件或复印件；③ 提供近3个月内任意1个月供应商为该人员缴纳社保的证明扫描件或复印件。以上材料任意一项缺失的，对应人员及证书不予计分。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10分</w:t>
            </w:r>
            <w:r>
              <w:rPr>
                <w:rFonts w:ascii="宋体" w:hAnsi="宋体" w:cs="宋体"/>
                <w:color w:val="000000"/>
                <w:sz w:val="24"/>
              </w:rPr>
            </w:r>
            <w:r/>
          </w:p>
        </w:tc>
      </w:tr>
      <w:tr>
        <w:trPr>
          <w:trHeight w:val="482"/>
        </w:trPr>
        <w:tc>
          <w:tcPr>
            <w:gridSpan w:val="3"/>
            <w:tcMar>
              <w:left w:w="108" w:type="dxa"/>
              <w:top w:w="0" w:type="dxa"/>
              <w:right w:w="108" w:type="dxa"/>
              <w:bottom w:w="0" w:type="dxa"/>
            </w:tcMar>
            <w:tcW w:w="7852" w:type="dxa"/>
            <w:vAlign w:val="center"/>
            <w:textDirection w:val="lrTb"/>
            <w:noWrap w:val="false"/>
          </w:tcPr>
          <w:p>
            <w:pPr>
              <w:pStyle w:val="707"/>
              <w:ind w:firstLine="319"/>
              <w:jc w:val="center"/>
              <w:spacing w:line="360" w:lineRule="auto"/>
              <w:rPr>
                <w:rStyle w:val="796"/>
                <w:rFonts w:ascii="宋体" w:hAnsi="宋体" w:cs="宋体"/>
                <w:color w:val="000000"/>
              </w:rPr>
            </w:pPr>
            <w:r>
              <w:rPr>
                <w:rFonts w:hint="eastAsia" w:ascii="宋体" w:hAnsi="宋体" w:cs="宋体"/>
                <w:bCs/>
                <w:color w:val="000000"/>
                <w:sz w:val="24"/>
              </w:rPr>
              <w:t xml:space="preserve">合计</w:t>
            </w:r>
            <w:r>
              <w:rPr>
                <w:rStyle w:val="796"/>
                <w:rFonts w:ascii="宋体" w:hAnsi="宋体" w:cs="宋体"/>
                <w:color w:val="000000"/>
              </w:rPr>
            </w:r>
            <w:r/>
          </w:p>
        </w:tc>
        <w:tc>
          <w:tcPr>
            <w:tcMar>
              <w:left w:w="108" w:type="dxa"/>
              <w:top w:w="0" w:type="dxa"/>
              <w:right w:w="108" w:type="dxa"/>
              <w:bottom w:w="0" w:type="dxa"/>
            </w:tcMar>
            <w:tcW w:w="718" w:type="dxa"/>
            <w:vAlign w:val="center"/>
            <w:textDirection w:val="lrTb"/>
            <w:noWrap w:val="false"/>
          </w:tcPr>
          <w:p>
            <w:pPr>
              <w:pStyle w:val="679"/>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100</w:t>
            </w:r>
            <w:r>
              <w:rPr>
                <w:rFonts w:ascii="宋体" w:hAnsi="宋体" w:cs="宋体"/>
                <w:color w:val="000000"/>
                <w:sz w:val="24"/>
              </w:rPr>
            </w:r>
            <w:r/>
          </w:p>
        </w:tc>
      </w:tr>
    </w:tbl>
    <w:p>
      <w:pPr>
        <w:pStyle w:val="679"/>
        <w:spacing w:line="400" w:lineRule="exact"/>
        <w:rPr>
          <w:rFonts w:hint="eastAsia"/>
          <w:szCs w:val="21"/>
        </w:rPr>
      </w:pPr>
      <w:r>
        <w:rPr>
          <w:rFonts w:hint="eastAsia"/>
          <w:szCs w:val="21"/>
        </w:rPr>
      </w:r>
      <w:r/>
    </w:p>
    <w:p>
      <w:pPr>
        <w:pStyle w:val="679"/>
        <w:spacing w:line="400" w:lineRule="exact"/>
        <w:rPr>
          <w:rFonts w:hint="eastAsia"/>
          <w:szCs w:val="21"/>
        </w:rPr>
      </w:pPr>
      <w:r>
        <w:rPr>
          <w:rFonts w:hint="eastAsia"/>
          <w:szCs w:val="21"/>
        </w:rPr>
      </w:r>
      <w:r/>
    </w:p>
    <w:p>
      <w:pPr>
        <w:pStyle w:val="679"/>
        <w:spacing w:line="400" w:lineRule="exact"/>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79"/>
        <w:rPr>
          <w:szCs w:val="21"/>
        </w:rPr>
      </w:pPr>
      <w:r>
        <w:rPr>
          <w:szCs w:val="21"/>
        </w:rPr>
      </w:r>
      <w:r/>
    </w:p>
    <w:p>
      <w:pPr>
        <w:pStyle w:val="681"/>
        <w:spacing w:line="400" w:lineRule="exact"/>
        <w:rPr>
          <w:rFonts w:hint="eastAsia" w:ascii="黑体" w:hAnsi="黑体" w:eastAsia="黑体"/>
          <w:b w:val="0"/>
          <w:bCs w:val="0"/>
          <w:sz w:val="28"/>
          <w:szCs w:val="28"/>
        </w:rPr>
      </w:pPr>
      <w:r/>
      <w:bookmarkEnd w:id="176"/>
      <w:r/>
      <w:bookmarkEnd w:id="177"/>
      <w:r/>
      <w:bookmarkEnd w:id="178"/>
      <w:r/>
      <w:bookmarkStart w:id="179" w:name="_Toc49090576"/>
      <w:r/>
      <w:bookmarkStart w:id="180" w:name="_Toc26554094"/>
      <w:r/>
      <w:bookmarkStart w:id="181" w:name="_Toc120614282"/>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679"/>
        <w:jc w:val="center"/>
        <w:rPr>
          <w:rFonts w:hint="eastAsia" w:ascii="宋体" w:hAnsi="宋体"/>
          <w:b/>
          <w:sz w:val="72"/>
          <w:szCs w:val="21"/>
        </w:rPr>
      </w:pPr>
      <w:r/>
      <w:bookmarkStart w:id="182" w:name="_Hlt26955039"/>
      <w:r/>
      <w:bookmarkEnd w:id="182"/>
      <w:r/>
      <w:bookmarkStart w:id="183" w:name="_Hlt26671244"/>
      <w:r/>
      <w:bookmarkEnd w:id="183"/>
      <w:r>
        <w:rPr>
          <w:rFonts w:hint="eastAsia" w:ascii="宋体" w:hAnsi="宋体"/>
          <w:b/>
          <w:sz w:val="72"/>
          <w:szCs w:val="21"/>
        </w:rPr>
      </w:r>
      <w:r/>
    </w:p>
    <w:p>
      <w:pPr>
        <w:pStyle w:val="679"/>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679"/>
        <w:jc w:val="center"/>
        <w:rPr>
          <w:rFonts w:hint="eastAsia" w:ascii="宋体" w:hAnsi="宋体"/>
          <w:b/>
          <w:sz w:val="72"/>
          <w:szCs w:val="21"/>
        </w:rPr>
      </w:pPr>
      <w:r>
        <w:rPr>
          <w:rFonts w:hint="eastAsia" w:ascii="宋体" w:hAnsi="宋体"/>
          <w:b/>
          <w:sz w:val="72"/>
          <w:szCs w:val="21"/>
        </w:rPr>
      </w:r>
      <w:r/>
    </w:p>
    <w:p>
      <w:pPr>
        <w:pStyle w:val="679"/>
        <w:jc w:val="center"/>
        <w:rPr>
          <w:rFonts w:hint="eastAsia" w:ascii="宋体" w:hAnsi="宋体"/>
          <w:b/>
          <w:sz w:val="72"/>
          <w:szCs w:val="21"/>
        </w:rPr>
      </w:pPr>
      <w:r>
        <w:rPr>
          <w:rFonts w:hint="eastAsia" w:ascii="宋体" w:hAnsi="宋体"/>
          <w:b/>
          <w:sz w:val="72"/>
          <w:szCs w:val="21"/>
        </w:rPr>
      </w:r>
      <w:r/>
    </w:p>
    <w:p>
      <w:pPr>
        <w:pStyle w:val="679"/>
        <w:jc w:val="center"/>
        <w:rPr>
          <w:rFonts w:hint="eastAsia" w:ascii="宋体" w:hAnsi="宋体"/>
          <w:b/>
          <w:sz w:val="36"/>
          <w:szCs w:val="21"/>
        </w:rPr>
      </w:pPr>
      <w:r>
        <w:rPr>
          <w:rFonts w:hint="eastAsia" w:ascii="宋体" w:hAnsi="宋体"/>
          <w:b/>
          <w:sz w:val="36"/>
          <w:szCs w:val="21"/>
        </w:rPr>
      </w:r>
      <w:r/>
    </w:p>
    <w:p>
      <w:pPr>
        <w:pStyle w:val="679"/>
        <w:jc w:val="center"/>
        <w:rPr>
          <w:rFonts w:hint="eastAsia" w:ascii="宋体" w:hAnsi="宋体"/>
          <w:b/>
          <w:sz w:val="36"/>
          <w:szCs w:val="21"/>
        </w:rPr>
      </w:pPr>
      <w:r>
        <w:rPr>
          <w:rFonts w:hint="eastAsia" w:ascii="宋体" w:hAnsi="宋体"/>
          <w:b/>
          <w:sz w:val="36"/>
          <w:szCs w:val="21"/>
        </w:rPr>
      </w:r>
      <w:r/>
    </w:p>
    <w:p>
      <w:pPr>
        <w:pStyle w:val="679"/>
        <w:jc w:val="center"/>
        <w:rPr>
          <w:rFonts w:hint="eastAsia" w:ascii="宋体" w:hAnsi="宋体"/>
          <w:b/>
          <w:sz w:val="36"/>
          <w:szCs w:val="21"/>
        </w:rPr>
      </w:pPr>
      <w:r>
        <w:rPr>
          <w:rFonts w:hint="eastAsia" w:ascii="宋体" w:hAnsi="宋体"/>
          <w:b/>
          <w:sz w:val="36"/>
          <w:szCs w:val="21"/>
        </w:rPr>
      </w:r>
      <w:r/>
    </w:p>
    <w:p>
      <w:pPr>
        <w:pStyle w:val="67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67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67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9"/>
        <w:jc w:val="center"/>
        <w:spacing w:line="440" w:lineRule="exact"/>
        <w:rPr>
          <w:rFonts w:hint="eastAsia" w:ascii="宋体" w:hAnsi="宋体"/>
          <w:b/>
          <w:bCs/>
          <w:sz w:val="32"/>
          <w:szCs w:val="32"/>
        </w:rPr>
      </w:pPr>
      <w:r>
        <w:rPr>
          <w:rFonts w:hint="eastAsia" w:ascii="宋体" w:hAnsi="宋体"/>
          <w:b/>
          <w:bCs/>
          <w:sz w:val="32"/>
          <w:szCs w:val="32"/>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679"/>
        <w:jc w:val="center"/>
        <w:spacing w:line="400" w:lineRule="exact"/>
        <w:rPr>
          <w:rFonts w:hint="eastAsia" w:ascii="宋体" w:hAnsi="宋体"/>
          <w:b/>
          <w:bCs/>
          <w:sz w:val="28"/>
          <w:szCs w:val="28"/>
        </w:rPr>
      </w:pPr>
      <w:r>
        <w:rPr>
          <w:rFonts w:hint="eastAsia" w:ascii="宋体" w:hAnsi="宋体"/>
          <w:b/>
          <w:bCs/>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sz w:val="28"/>
          <w:szCs w:val="28"/>
        </w:rPr>
        <w:t xml:space="preserve">附件13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679"/>
        <w:rPr>
          <w:rFonts w:ascii="宋体" w:hAnsi="宋体"/>
          <w:b/>
          <w:sz w:val="24"/>
          <w:szCs w:val="21"/>
        </w:rPr>
      </w:pPr>
      <w:r>
        <w:rPr>
          <w:rFonts w:ascii="宋体" w:hAnsi="宋体"/>
          <w:b/>
          <w:sz w:val="24"/>
          <w:szCs w:val="21"/>
        </w:rPr>
      </w:r>
      <w:r/>
    </w:p>
    <w:p>
      <w:pPr>
        <w:pStyle w:val="67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742"/>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9"/>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679"/>
        <w:ind w:firstLine="562"/>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2.分项服务不需填写品牌、规格型号、制造商、产地。</w:t>
      </w:r>
      <w:r>
        <w:rPr>
          <w:rFonts w:ascii="方正仿宋_GBK" w:hAnsi="方正仿宋_GBK" w:eastAsia="方正仿宋_GBK" w:cs="方正仿宋_GBK"/>
          <w:b/>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79"/>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9"/>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9"/>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79"/>
        <w:ind w:left="480"/>
        <w:spacing w:line="400" w:lineRule="exact"/>
        <w:rPr>
          <w:rFonts w:ascii="宋体" w:hAnsi="宋体"/>
          <w:b/>
          <w:color w:val="000000"/>
          <w:sz w:val="28"/>
          <w:szCs w:val="28"/>
        </w:rPr>
      </w:pPr>
      <w:r>
        <w:rPr>
          <w:rFonts w:ascii="宋体" w:hAnsi="宋体"/>
          <w:b/>
          <w:color w:val="000000"/>
          <w:sz w:val="28"/>
          <w:szCs w:val="28"/>
        </w:rPr>
      </w:r>
      <w:r/>
    </w:p>
    <w:p>
      <w:pPr>
        <w:pStyle w:val="679"/>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79"/>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679"/>
        <w:spacing w:line="400" w:lineRule="exact"/>
        <w:rPr>
          <w:rFonts w:hint="eastAsia" w:ascii="方正黑体_GBK" w:hAnsi="方正黑体_GBK" w:eastAsia="方正黑体_GBK" w:cs="方正黑体_GBK"/>
          <w:bCs/>
          <w:sz w:val="28"/>
          <w:szCs w:val="28"/>
        </w:rPr>
      </w:pPr>
      <w:r/>
      <w:bookmarkEnd w:id="179"/>
      <w:r/>
      <w:bookmarkEnd w:id="180"/>
      <w:r/>
      <w:bookmarkEnd w:id="181"/>
      <w:r/>
      <w:bookmarkStart w:id="184" w:name="_Toc120614284"/>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5" w:name="_格式3__银行出具的资信证明"/>
      <w:r/>
      <w:bookmarkEnd w:id="185"/>
      <w:r/>
      <w:bookmarkStart w:id="186" w:name="_Hlt26955070"/>
      <w:r/>
      <w:bookmarkEnd w:id="186"/>
      <w:r/>
      <w:bookmarkStart w:id="187" w:name="_Hlt26671380"/>
      <w:r/>
      <w:bookmarkEnd w:id="1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79"/>
        <w:ind w:firstLine="420"/>
        <w:spacing w:line="400" w:lineRule="exact"/>
        <w:rPr>
          <w:color w:val="000000"/>
          <w:sz w:val="28"/>
          <w:szCs w:val="28"/>
          <w:highlight w:val="yellow"/>
        </w:rPr>
      </w:pPr>
      <w:r>
        <w:rPr>
          <w:color w:val="000000"/>
          <w:sz w:val="28"/>
          <w:szCs w:val="28"/>
          <w:highlight w:val="yellow"/>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79"/>
        <w:ind w:left="420" w:firstLine="560"/>
        <w:jc w:val="left"/>
        <w:spacing w:line="400" w:lineRule="exact"/>
        <w:rPr>
          <w:rFonts w:hint="eastAsia" w:ascii="宋体" w:hAnsi="宋体"/>
          <w:sz w:val="28"/>
          <w:szCs w:val="28"/>
        </w:rPr>
      </w:pPr>
      <w:r>
        <w:rPr>
          <w:rFonts w:hint="eastAsia" w:ascii="宋体" w:hAnsi="宋体"/>
          <w:sz w:val="28"/>
          <w:szCs w:val="28"/>
        </w:rPr>
      </w:r>
      <w:r/>
    </w:p>
    <w:p>
      <w:pPr>
        <w:pStyle w:val="679"/>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67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79"/>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79"/>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宋体" w:hAnsi="宋体"/>
          <w:sz w:val="28"/>
          <w:szCs w:val="28"/>
        </w:rPr>
        <w:t xml:space="preserve"> </w:t>
      </w: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7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679"/>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79"/>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679"/>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9"/>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79"/>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9"/>
        <w:ind w:firstLine="645"/>
        <w:spacing w:line="400" w:lineRule="exact"/>
        <w:rPr>
          <w:rFonts w:ascii="宋体" w:hAnsi="宋体"/>
          <w:sz w:val="28"/>
          <w:szCs w:val="28"/>
        </w:rPr>
      </w:pPr>
      <w:r>
        <w:rPr>
          <w:rFonts w:ascii="宋体" w:hAnsi="宋体"/>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79"/>
        <w:spacing w:line="400" w:lineRule="exact"/>
        <w:rPr>
          <w:rFonts w:ascii="宋体" w:hAnsi="宋体"/>
          <w:sz w:val="28"/>
          <w:szCs w:val="28"/>
        </w:rPr>
      </w:pP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jc w:val="center"/>
        <w:spacing w:line="400" w:lineRule="exact"/>
        <w:rPr>
          <w:rFonts w:hint="eastAsia" w:ascii="方正仿宋_GBK" w:hAnsi="方正仿宋_GBK" w:eastAsia="方正仿宋_GBK" w:cs="方正仿宋_GBK"/>
          <w:sz w:val="28"/>
          <w:szCs w:val="28"/>
        </w:rPr>
      </w:pPr>
      <w:r/>
      <w:bookmarkEnd w:id="174"/>
      <w:r/>
      <w:bookmarkEnd w:id="175"/>
      <w:r/>
      <w:bookmarkEnd w:id="184"/>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742"/>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54"/>
          <w:rFonts w:hint="eastAsia" w:ascii="方正仿宋_GBK" w:hAnsi="方正仿宋_GBK" w:eastAsia="方正仿宋_GBK" w:cs="方正仿宋_GBK"/>
          <w:i w:val="0"/>
          <w:sz w:val="28"/>
          <w:szCs w:val="28"/>
          <w:u w:val="single"/>
          <w:shd w:val="clear" w:color="auto" w:fill="ffffff"/>
        </w:rPr>
        <w:t xml:space="preserve">（产品名称1）</w:t>
      </w:r>
      <w:r>
        <w:rPr>
          <w:rStyle w:val="75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54"/>
          <w:rFonts w:hint="eastAsia" w:ascii="方正仿宋_GBK" w:hAnsi="方正仿宋_GBK" w:eastAsia="方正仿宋_GBK" w:cs="方正仿宋_GBK"/>
          <w:i w:val="0"/>
          <w:sz w:val="28"/>
          <w:szCs w:val="28"/>
          <w:u w:val="single"/>
          <w:shd w:val="clear" w:color="auto" w:fill="ffffff"/>
        </w:rPr>
        <w:t xml:space="preserve">（厂名）</w:t>
      </w:r>
      <w:r>
        <w:rPr>
          <w:rStyle w:val="75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5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5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5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5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4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4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4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742"/>
        <w:ind w:firstLine="562"/>
        <w:spacing w:before="30" w:beforeAutospacing="0" w:after="30" w:afterAutospacing="0" w:line="400" w:lineRule="exact"/>
        <w:rPr>
          <w:rFonts w:hint="eastAsia" w:ascii="方正仿宋_GBK" w:hAnsi="方正仿宋_GBK" w:eastAsia="方正仿宋_GBK" w:cs="方正仿宋_GBK"/>
          <w:b/>
          <w:sz w:val="28"/>
          <w:szCs w:val="28"/>
          <w:shd w:val="clear" w:color="auto" w:fill="ffffff"/>
        </w:rPr>
      </w:pPr>
      <w:r>
        <w:rPr>
          <w:rFonts w:hint="eastAsia" w:ascii="方正仿宋_GBK" w:hAnsi="方正仿宋_GBK" w:eastAsia="方正仿宋_GBK" w:cs="方正仿宋_GBK"/>
          <w:b/>
          <w:sz w:val="28"/>
          <w:szCs w:val="28"/>
        </w:rPr>
        <w:t xml:space="preserve">附件13  </w:t>
      </w:r>
      <w:r>
        <w:rPr>
          <w:rFonts w:hint="eastAsia" w:ascii="方正仿宋_GBK" w:hAnsi="方正仿宋_GBK" w:eastAsia="方正仿宋_GBK" w:cs="方正仿宋_GBK"/>
          <w:b/>
          <w:sz w:val="28"/>
          <w:szCs w:val="28"/>
          <w:shd w:val="clear" w:color="auto" w:fill="ffffff"/>
        </w:rPr>
        <w:t xml:space="preserve">提供服务的人员均为订立劳动合同的从业人员的书面声明（采购包号：XX）</w:t>
      </w:r>
      <w:r>
        <w:rPr>
          <w:rFonts w:hint="eastAsia" w:ascii="方正仿宋_GBK" w:hAnsi="方正仿宋_GBK" w:eastAsia="方正仿宋_GBK" w:cs="方正仿宋_GBK"/>
          <w:b/>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参加江苏省政府采购中心组织的项目编号为JSZC-320000-SCZX-C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注：如是专门面向中小微型企业采购的采购项目采购包，投标人（供应商）未提供该书面声明的，投标（响应）无效。</w:t>
      </w: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742"/>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shd w:val="clear" w:color="auto" w:fill="ffffff"/>
        </w:rPr>
      </w:r>
      <w:r/>
    </w:p>
    <w:p>
      <w:pPr>
        <w:pStyle w:val="74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679"/>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679"/>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___WRD_EMBED_SUB_44">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7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9"/>
      <w:isLgl w:val="false"/>
      <w:suff w:val="tab"/>
      <w:lvlText w:val="附录%1."/>
      <w:lvlJc w:val="left"/>
      <w:pPr>
        <w:pStyle w:val="6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6"/>
      <w:isLgl w:val="false"/>
      <w:suff w:val="tab"/>
      <w:lvlText w:val="%1."/>
      <w:lvlJc w:val="left"/>
      <w:pPr>
        <w:pStyle w:val="679"/>
        <w:ind w:left="709" w:hanging="709"/>
        <w:tabs>
          <w:tab w:val="num" w:pos="709" w:leader="none"/>
        </w:tabs>
      </w:pPr>
      <w:rPr>
        <w:rFonts w:hint="eastAsia"/>
      </w:rPr>
    </w:lvl>
    <w:lvl w:ilvl="1">
      <w:start w:val="1"/>
      <w:numFmt w:val="decimal"/>
      <w:isLgl w:val="false"/>
      <w:suff w:val="tab"/>
      <w:lvlText w:val="%1.%2"/>
      <w:lvlJc w:val="left"/>
      <w:pPr>
        <w:pStyle w:val="679"/>
        <w:ind w:left="709" w:hanging="709"/>
        <w:tabs>
          <w:tab w:val="num" w:pos="709" w:leader="none"/>
        </w:tabs>
      </w:pPr>
      <w:rPr>
        <w:rFonts w:hint="eastAsia"/>
      </w:rPr>
    </w:lvl>
    <w:lvl w:ilvl="2">
      <w:start w:val="1"/>
      <w:numFmt w:val="decimal"/>
      <w:isLgl w:val="false"/>
      <w:suff w:val="tab"/>
      <w:lvlText w:val="%1.%2.%3."/>
      <w:lvlJc w:val="left"/>
      <w:pPr>
        <w:pStyle w:val="679"/>
        <w:ind w:left="425" w:hanging="425"/>
        <w:tabs>
          <w:tab w:val="num" w:pos="425" w:leader="none"/>
        </w:tabs>
      </w:pPr>
      <w:rPr>
        <w:rFonts w:hint="eastAsia"/>
      </w:rPr>
    </w:lvl>
    <w:lvl w:ilvl="3">
      <w:start w:val="1"/>
      <w:numFmt w:val="decimal"/>
      <w:isLgl w:val="false"/>
      <w:suff w:val="tab"/>
      <w:lvlText w:val="%1.%2.%3.%4."/>
      <w:lvlJc w:val="left"/>
      <w:pPr>
        <w:pStyle w:val="679"/>
        <w:ind w:left="851" w:hanging="851"/>
        <w:tabs>
          <w:tab w:val="num" w:pos="851" w:leader="none"/>
        </w:tabs>
      </w:pPr>
      <w:rPr>
        <w:rFonts w:hint="eastAsia"/>
      </w:rPr>
    </w:lvl>
    <w:lvl w:ilvl="4">
      <w:start w:val="1"/>
      <w:numFmt w:val="decimal"/>
      <w:isLgl w:val="false"/>
      <w:suff w:val="tab"/>
      <w:lvlText w:val="%1.%2.%3.%4.%5."/>
      <w:lvlJc w:val="left"/>
      <w:pPr>
        <w:pStyle w:val="679"/>
        <w:ind w:left="992" w:hanging="992"/>
        <w:tabs>
          <w:tab w:val="num" w:pos="992" w:leader="none"/>
        </w:tabs>
      </w:pPr>
      <w:rPr>
        <w:rFonts w:hint="eastAsia"/>
      </w:rPr>
    </w:lvl>
    <w:lvl w:ilvl="5">
      <w:start w:val="1"/>
      <w:numFmt w:val="decimal"/>
      <w:isLgl w:val="false"/>
      <w:suff w:val="tab"/>
      <w:lvlText w:val="%1.%2.%3.%4.%5.%6."/>
      <w:lvlJc w:val="left"/>
      <w:pPr>
        <w:pStyle w:val="679"/>
        <w:ind w:left="1134" w:hanging="1134"/>
        <w:tabs>
          <w:tab w:val="num" w:pos="1134" w:leader="none"/>
        </w:tabs>
      </w:pPr>
      <w:rPr>
        <w:rFonts w:hint="eastAsia"/>
      </w:rPr>
    </w:lvl>
    <w:lvl w:ilvl="6">
      <w:start w:val="1"/>
      <w:numFmt w:val="decimal"/>
      <w:isLgl w:val="false"/>
      <w:suff w:val="tab"/>
      <w:lvlText w:val="%1.%2.%3.%4.%5.%6.%7."/>
      <w:lvlJc w:val="left"/>
      <w:pPr>
        <w:pStyle w:val="679"/>
        <w:ind w:left="1276" w:hanging="1276"/>
        <w:tabs>
          <w:tab w:val="num" w:pos="1276" w:leader="none"/>
        </w:tabs>
      </w:pPr>
      <w:rPr>
        <w:rFonts w:hint="eastAsia"/>
      </w:rPr>
    </w:lvl>
    <w:lvl w:ilvl="7">
      <w:start w:val="1"/>
      <w:numFmt w:val="decimal"/>
      <w:isLgl w:val="false"/>
      <w:suff w:val="tab"/>
      <w:lvlText w:val="%1.%2.%3.%4.%5.%6.%7.%8."/>
      <w:lvlJc w:val="left"/>
      <w:pPr>
        <w:pStyle w:val="679"/>
        <w:ind w:left="1418" w:hanging="1418"/>
        <w:tabs>
          <w:tab w:val="num" w:pos="1418" w:leader="none"/>
        </w:tabs>
      </w:pPr>
      <w:rPr>
        <w:rFonts w:hint="eastAsia"/>
      </w:rPr>
    </w:lvl>
    <w:lvl w:ilvl="8">
      <w:start w:val="1"/>
      <w:numFmt w:val="decimal"/>
      <w:isLgl w:val="false"/>
      <w:suff w:val="tab"/>
      <w:lvlText w:val="%1.%2.%3.%4.%5.%6.%7.%8.%9."/>
      <w:lvlJc w:val="left"/>
      <w:pPr>
        <w:pStyle w:val="67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79"/>
        <w:ind w:left="0" w:firstLine="0"/>
      </w:pPr>
      <w:rPr>
        <w:rFonts w:hint="eastAsia"/>
      </w:rPr>
    </w:lvl>
    <w:lvl w:ilvl="1">
      <w:start w:val="1"/>
      <w:numFmt w:val="decimal"/>
      <w:isLgl w:val="false"/>
      <w:suff w:val="nothing"/>
      <w:lvlText w:val="%2、"/>
      <w:lvlJc w:val="left"/>
      <w:pPr>
        <w:pStyle w:val="679"/>
        <w:ind w:left="0" w:firstLine="0"/>
      </w:pPr>
      <w:rPr>
        <w:rFonts w:hint="eastAsia"/>
      </w:rPr>
    </w:lvl>
    <w:lvl w:ilvl="2">
      <w:start w:val="1"/>
      <w:numFmt w:val="decimal"/>
      <w:isLgl w:val="false"/>
      <w:suff w:val="nothing"/>
      <w:lvlText w:val="%2.%3 "/>
      <w:lvlJc w:val="left"/>
      <w:pPr>
        <w:pStyle w:val="679"/>
        <w:ind w:left="0" w:firstLine="0"/>
      </w:pPr>
      <w:rPr>
        <w:rFonts w:hint="eastAsia"/>
      </w:rPr>
    </w:lvl>
    <w:lvl w:ilvl="3">
      <w:start w:val="1"/>
      <w:numFmt w:val="decimal"/>
      <w:isLgl w:val="false"/>
      <w:suff w:val="nothing"/>
      <w:lvlText w:val="%2.%3.%4 "/>
      <w:lvlJc w:val="left"/>
      <w:pPr>
        <w:pStyle w:val="679"/>
        <w:ind w:left="0" w:firstLine="0"/>
      </w:pPr>
      <w:rPr>
        <w:rFonts w:hint="eastAsia"/>
      </w:rPr>
    </w:lvl>
    <w:lvl w:ilvl="4">
      <w:start w:val="1"/>
      <w:numFmt w:val="decimal"/>
      <w:isLgl w:val="false"/>
      <w:suff w:val="nothing"/>
      <w:lvlText w:val="%2.%3.%4.%5 "/>
      <w:lvlJc w:val="left"/>
      <w:pPr>
        <w:pStyle w:val="679"/>
        <w:ind w:left="0" w:firstLine="0"/>
      </w:pPr>
      <w:rPr>
        <w:rFonts w:hint="eastAsia"/>
      </w:rPr>
    </w:lvl>
    <w:lvl w:ilvl="5">
      <w:start w:val="1"/>
      <w:numFmt w:val="decimal"/>
      <w:pStyle w:val="685"/>
      <w:isLgl w:val="false"/>
      <w:suff w:val="nothing"/>
      <w:lvlText w:val=""/>
      <w:lvlJc w:val="left"/>
      <w:pPr>
        <w:pStyle w:val="679"/>
        <w:ind w:left="0" w:firstLine="0"/>
      </w:pPr>
      <w:rPr>
        <w:rFonts w:hint="eastAsia"/>
      </w:rPr>
    </w:lvl>
    <w:lvl w:ilvl="6">
      <w:start w:val="1"/>
      <w:numFmt w:val="decimal"/>
      <w:pStyle w:val="686"/>
      <w:isLgl w:val="false"/>
      <w:suff w:val="nothing"/>
      <w:lvlText w:val=""/>
      <w:lvlJc w:val="left"/>
      <w:pPr>
        <w:pStyle w:val="679"/>
        <w:ind w:left="0" w:firstLine="0"/>
      </w:pPr>
      <w:rPr>
        <w:rFonts w:hint="eastAsia"/>
      </w:rPr>
    </w:lvl>
    <w:lvl w:ilvl="7">
      <w:start w:val="1"/>
      <w:numFmt w:val="decimal"/>
      <w:pStyle w:val="687"/>
      <w:isLgl w:val="false"/>
      <w:suff w:val="nothing"/>
      <w:lvlText w:val=""/>
      <w:lvlJc w:val="left"/>
      <w:pPr>
        <w:pStyle w:val="679"/>
        <w:ind w:left="0" w:firstLine="0"/>
      </w:pPr>
      <w:rPr>
        <w:rFonts w:hint="eastAsia"/>
      </w:rPr>
    </w:lvl>
    <w:lvl w:ilvl="8">
      <w:start w:val="1"/>
      <w:numFmt w:val="decimal"/>
      <w:pStyle w:val="688"/>
      <w:isLgl w:val="false"/>
      <w:suff w:val="nothing"/>
      <w:lvlText w:val=""/>
      <w:lvlJc w:val="left"/>
      <w:pPr>
        <w:pStyle w:val="679"/>
        <w:ind w:left="0" w:firstLine="0"/>
      </w:pPr>
      <w:rPr>
        <w:rFonts w:hint="eastAsia"/>
      </w:rPr>
    </w:lvl>
  </w:abstractNum>
  <w:abstractNum w:abstractNumId="3">
    <w:multiLevelType w:val="hybridMultilevel"/>
    <w:lvl w:ilvl="0">
      <w:start w:val="3"/>
      <w:numFmt w:val="chineseCounting"/>
      <w:isLgl w:val="false"/>
      <w:suff w:val="nothing"/>
      <w:lvlText w:val="（%1）"/>
      <w:lvlJc w:val="left"/>
      <w:pPr>
        <w:pStyle w:val="679"/>
      </w:pPr>
      <w:rPr>
        <w:rFonts w:hint="eastAsia"/>
      </w:r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qFormat/>
    <w:pPr>
      <w:jc w:val="both"/>
      <w:widowControl w:val="off"/>
    </w:pPr>
    <w:rPr>
      <w:sz w:val="21"/>
      <w:szCs w:val="22"/>
      <w:lang w:val="en-US" w:eastAsia="zh-CN" w:bidi="ar-SA"/>
    </w:rPr>
  </w:style>
  <w:style w:type="paragraph" w:styleId="680">
    <w:name w:val="标题 1"/>
    <w:basedOn w:val="679"/>
    <w:next w:val="679"/>
    <w:link w:val="691"/>
    <w:qFormat/>
    <w:pPr>
      <w:jc w:val="center"/>
      <w:keepNext/>
      <w:outlineLvl w:val="0"/>
    </w:pPr>
    <w:rPr>
      <w:rFonts w:ascii="楷体_GB2312" w:hAnsi="Times New Roman" w:eastAsia="楷体_GB2312" w:cs="Times New Roman"/>
      <w:sz w:val="28"/>
      <w:szCs w:val="28"/>
    </w:rPr>
  </w:style>
  <w:style w:type="paragraph" w:styleId="681">
    <w:name w:val="标题 2"/>
    <w:basedOn w:val="679"/>
    <w:next w:val="693"/>
    <w:link w:val="692"/>
    <w:qFormat/>
    <w:pPr>
      <w:jc w:val="center"/>
      <w:keepLines/>
      <w:keepNext/>
      <w:spacing w:before="260" w:after="260" w:line="416" w:lineRule="auto"/>
      <w:outlineLvl w:val="1"/>
    </w:pPr>
    <w:rPr>
      <w:rFonts w:ascii="Arial" w:hAnsi="Arial" w:eastAsia="幼圆" w:cs="Arial"/>
      <w:b/>
      <w:bCs/>
      <w:sz w:val="44"/>
      <w:szCs w:val="44"/>
    </w:rPr>
  </w:style>
  <w:style w:type="paragraph" w:styleId="682">
    <w:name w:val="标题 3"/>
    <w:basedOn w:val="679"/>
    <w:next w:val="693"/>
    <w:link w:val="695"/>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3">
    <w:name w:val="标题 4"/>
    <w:basedOn w:val="679"/>
    <w:next w:val="693"/>
    <w:link w:val="696"/>
    <w:qFormat/>
    <w:pPr>
      <w:keepLines/>
      <w:keepNext/>
      <w:spacing w:before="280" w:after="290" w:line="376" w:lineRule="auto"/>
      <w:outlineLvl w:val="3"/>
    </w:pPr>
    <w:rPr>
      <w:rFonts w:ascii="Arial" w:hAnsi="Arial" w:eastAsia="黑体" w:cs="Arial"/>
      <w:b/>
      <w:bCs/>
      <w:sz w:val="28"/>
      <w:szCs w:val="28"/>
    </w:rPr>
  </w:style>
  <w:style w:type="paragraph" w:styleId="684">
    <w:name w:val="标题 5"/>
    <w:basedOn w:val="679"/>
    <w:next w:val="693"/>
    <w:link w:val="697"/>
    <w:qFormat/>
    <w:pPr>
      <w:keepNext/>
      <w:outlineLvl w:val="4"/>
    </w:pPr>
    <w:rPr>
      <w:rFonts w:ascii="宋体" w:hAnsi="Times New Roman" w:eastAsia="宋体" w:cs="Times New Roman"/>
      <w:color w:val="000000"/>
      <w:sz w:val="28"/>
      <w:szCs w:val="28"/>
    </w:rPr>
  </w:style>
  <w:style w:type="paragraph" w:styleId="685">
    <w:name w:val="标题 6"/>
    <w:basedOn w:val="679"/>
    <w:next w:val="679"/>
    <w:link w:val="69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6">
    <w:name w:val="标题 7"/>
    <w:basedOn w:val="679"/>
    <w:next w:val="679"/>
    <w:link w:val="6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7">
    <w:name w:val="标题 8"/>
    <w:basedOn w:val="679"/>
    <w:next w:val="679"/>
    <w:link w:val="70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8">
    <w:name w:val="标题 9"/>
    <w:basedOn w:val="679"/>
    <w:next w:val="679"/>
    <w:link w:val="701"/>
    <w:qFormat/>
    <w:pPr>
      <w:numPr>
        <w:ilvl w:val="8"/>
        <w:numId w:val="1"/>
      </w:numPr>
      <w:keepLines/>
      <w:keepNext/>
      <w:spacing w:before="240" w:after="64" w:line="320" w:lineRule="auto"/>
      <w:outlineLvl w:val="8"/>
    </w:pPr>
    <w:rPr>
      <w:rFonts w:ascii="Arial" w:hAnsi="Arial" w:eastAsia="黑体" w:cs="Times New Roman"/>
      <w:szCs w:val="21"/>
    </w:rPr>
  </w:style>
  <w:style w:type="character" w:styleId="689">
    <w:name w:val="默认段落字体"/>
    <w:next w:val="689"/>
    <w:link w:val="679"/>
    <w:uiPriority w:val="1"/>
    <w:unhideWhenUsed/>
  </w:style>
  <w:style w:type="table" w:styleId="690">
    <w:name w:val="普通表格"/>
    <w:next w:val="690"/>
    <w:link w:val="679"/>
    <w:uiPriority w:val="99"/>
    <w:unhideWhenUsed/>
    <w:tblPr/>
  </w:style>
  <w:style w:type="character" w:styleId="691">
    <w:name w:val="标题 1 字符"/>
    <w:next w:val="691"/>
    <w:link w:val="680"/>
    <w:rPr>
      <w:rFonts w:ascii="楷体_GB2312" w:hAnsi="Times New Roman" w:eastAsia="楷体_GB2312" w:cs="Times New Roman"/>
      <w:sz w:val="28"/>
      <w:szCs w:val="28"/>
    </w:rPr>
  </w:style>
  <w:style w:type="character" w:styleId="692">
    <w:name w:val="标题 2 字符"/>
    <w:next w:val="692"/>
    <w:link w:val="681"/>
    <w:rPr>
      <w:rFonts w:ascii="Arial" w:hAnsi="Arial" w:eastAsia="幼圆" w:cs="Arial"/>
      <w:b/>
      <w:bCs/>
      <w:sz w:val="44"/>
      <w:szCs w:val="44"/>
    </w:rPr>
  </w:style>
  <w:style w:type="paragraph" w:styleId="693">
    <w:name w:val="正文缩进"/>
    <w:basedOn w:val="679"/>
    <w:next w:val="693"/>
    <w:link w:val="694"/>
    <w:pPr>
      <w:ind w:firstLine="420"/>
    </w:pPr>
    <w:rPr>
      <w:szCs w:val="21"/>
    </w:rPr>
  </w:style>
  <w:style w:type="character" w:styleId="694">
    <w:name w:val="正文缩进 字符"/>
    <w:next w:val="694"/>
    <w:link w:val="693"/>
    <w:rPr>
      <w:szCs w:val="21"/>
    </w:rPr>
  </w:style>
  <w:style w:type="character" w:styleId="695">
    <w:name w:val="标题 3 字符"/>
    <w:next w:val="695"/>
    <w:link w:val="682"/>
    <w:rPr>
      <w:rFonts w:ascii="Times New Roman" w:hAnsi="Times New Roman" w:eastAsia="宋体" w:cs="Times New Roman"/>
      <w:b/>
      <w:bCs/>
      <w:sz w:val="32"/>
      <w:szCs w:val="32"/>
    </w:rPr>
  </w:style>
  <w:style w:type="character" w:styleId="696">
    <w:name w:val="标题 4 字符"/>
    <w:next w:val="696"/>
    <w:link w:val="683"/>
    <w:rPr>
      <w:rFonts w:ascii="Arial" w:hAnsi="Arial" w:eastAsia="黑体" w:cs="Arial"/>
      <w:b/>
      <w:bCs/>
      <w:sz w:val="28"/>
      <w:szCs w:val="28"/>
    </w:rPr>
  </w:style>
  <w:style w:type="character" w:styleId="697">
    <w:name w:val="标题 5 字符"/>
    <w:next w:val="697"/>
    <w:link w:val="684"/>
    <w:rPr>
      <w:rFonts w:ascii="宋体" w:hAnsi="Times New Roman" w:eastAsia="宋体" w:cs="Times New Roman"/>
      <w:color w:val="000000"/>
      <w:sz w:val="28"/>
      <w:szCs w:val="28"/>
    </w:rPr>
  </w:style>
  <w:style w:type="character" w:styleId="698">
    <w:name w:val="标题 6 字符"/>
    <w:next w:val="698"/>
    <w:link w:val="685"/>
    <w:rPr>
      <w:rFonts w:ascii="Arial" w:hAnsi="Arial" w:eastAsia="黑体" w:cs="Times New Roman"/>
      <w:b/>
      <w:bCs/>
      <w:sz w:val="24"/>
      <w:szCs w:val="24"/>
    </w:rPr>
  </w:style>
  <w:style w:type="character" w:styleId="699">
    <w:name w:val="标题 7 字符"/>
    <w:next w:val="699"/>
    <w:link w:val="686"/>
    <w:rPr>
      <w:rFonts w:ascii="Times New Roman" w:hAnsi="Times New Roman" w:eastAsia="宋体" w:cs="Times New Roman"/>
      <w:b/>
      <w:bCs/>
      <w:sz w:val="24"/>
      <w:szCs w:val="24"/>
    </w:rPr>
  </w:style>
  <w:style w:type="character" w:styleId="700">
    <w:name w:val="标题 8 字符"/>
    <w:next w:val="700"/>
    <w:link w:val="687"/>
    <w:rPr>
      <w:rFonts w:ascii="Arial" w:hAnsi="Arial" w:eastAsia="黑体" w:cs="Times New Roman"/>
      <w:sz w:val="24"/>
      <w:szCs w:val="24"/>
    </w:rPr>
  </w:style>
  <w:style w:type="character" w:styleId="701">
    <w:name w:val="标题 9 字符"/>
    <w:next w:val="701"/>
    <w:link w:val="688"/>
    <w:rPr>
      <w:rFonts w:ascii="Arial" w:hAnsi="Arial" w:eastAsia="黑体" w:cs="Times New Roman"/>
      <w:szCs w:val="21"/>
    </w:rPr>
  </w:style>
  <w:style w:type="paragraph" w:styleId="702">
    <w:name w:val="列表 3"/>
    <w:basedOn w:val="679"/>
    <w:next w:val="702"/>
    <w:link w:val="679"/>
    <w:pPr>
      <w:ind w:left="100" w:hanging="200"/>
    </w:pPr>
    <w:rPr>
      <w:rFonts w:ascii="Times New Roman" w:hAnsi="Times New Roman" w:eastAsia="宋体" w:cs="Times New Roman"/>
      <w:szCs w:val="21"/>
    </w:rPr>
  </w:style>
  <w:style w:type="paragraph" w:styleId="703">
    <w:name w:val="目录 7"/>
    <w:basedOn w:val="679"/>
    <w:next w:val="679"/>
    <w:link w:val="679"/>
    <w:semiHidden/>
    <w:pPr>
      <w:ind w:left="1260"/>
      <w:jc w:val="left"/>
    </w:pPr>
    <w:rPr>
      <w:rFonts w:ascii="Times New Roman" w:hAnsi="Times New Roman" w:eastAsia="宋体" w:cs="Times New Roman"/>
      <w:szCs w:val="21"/>
    </w:rPr>
  </w:style>
  <w:style w:type="paragraph" w:styleId="704">
    <w:name w:val="索引 8"/>
    <w:basedOn w:val="679"/>
    <w:next w:val="679"/>
    <w:link w:val="679"/>
    <w:uiPriority w:val="99"/>
    <w:unhideWhenUsed/>
    <w:qFormat/>
    <w:pPr>
      <w:ind w:left="1400"/>
    </w:pPr>
  </w:style>
  <w:style w:type="paragraph" w:styleId="705">
    <w:name w:val="文档结构图"/>
    <w:basedOn w:val="679"/>
    <w:next w:val="705"/>
    <w:link w:val="706"/>
    <w:semiHidden/>
    <w:pPr>
      <w:shd w:val="clear" w:color="auto" w:fill="000080"/>
    </w:pPr>
    <w:rPr>
      <w:rFonts w:ascii="Times New Roman" w:hAnsi="Times New Roman" w:eastAsia="宋体" w:cs="Times New Roman"/>
      <w:szCs w:val="21"/>
    </w:rPr>
  </w:style>
  <w:style w:type="character" w:styleId="706">
    <w:name w:val="文档结构图 字符"/>
    <w:next w:val="706"/>
    <w:link w:val="705"/>
    <w:semiHidden/>
    <w:rPr>
      <w:rFonts w:ascii="Times New Roman" w:hAnsi="Times New Roman" w:eastAsia="宋体" w:cs="Times New Roman"/>
      <w:szCs w:val="21"/>
      <w:shd w:val="clear" w:color="auto" w:fill="000080"/>
    </w:rPr>
  </w:style>
  <w:style w:type="paragraph" w:styleId="707">
    <w:name w:val="批注文字"/>
    <w:basedOn w:val="679"/>
    <w:next w:val="707"/>
    <w:link w:val="708"/>
    <w:unhideWhenUsed/>
    <w:pPr>
      <w:jc w:val="left"/>
    </w:pPr>
  </w:style>
  <w:style w:type="character" w:styleId="708">
    <w:name w:val="批注文字 字符"/>
    <w:next w:val="708"/>
    <w:link w:val="707"/>
    <w:uiPriority w:val="99"/>
    <w:semiHidden/>
  </w:style>
  <w:style w:type="paragraph" w:styleId="709">
    <w:name w:val="正文文本 3"/>
    <w:basedOn w:val="679"/>
    <w:next w:val="709"/>
    <w:link w:val="710"/>
    <w:rPr>
      <w:rFonts w:ascii="仿宋_GB2312" w:hAnsi="Arial" w:eastAsia="仿宋_GB2312" w:cs="Times New Roman"/>
      <w:sz w:val="32"/>
      <w:szCs w:val="32"/>
    </w:rPr>
  </w:style>
  <w:style w:type="character" w:styleId="710">
    <w:name w:val="正文文本 3 字符"/>
    <w:next w:val="710"/>
    <w:link w:val="709"/>
    <w:rPr>
      <w:rFonts w:ascii="仿宋_GB2312" w:hAnsi="Arial" w:eastAsia="仿宋_GB2312" w:cs="Times New Roman"/>
      <w:sz w:val="32"/>
      <w:szCs w:val="32"/>
    </w:rPr>
  </w:style>
  <w:style w:type="paragraph" w:styleId="711">
    <w:name w:val="正文文本"/>
    <w:basedOn w:val="679"/>
    <w:next w:val="711"/>
    <w:link w:val="712"/>
    <w:rPr>
      <w:rFonts w:ascii="楷体_GB2312" w:hAnsi="Arial" w:eastAsia="楷体_GB2312" w:cs="Times New Roman"/>
      <w:sz w:val="28"/>
      <w:szCs w:val="28"/>
    </w:rPr>
  </w:style>
  <w:style w:type="character" w:styleId="712">
    <w:name w:val="正文文本 字符"/>
    <w:next w:val="712"/>
    <w:link w:val="711"/>
    <w:rPr>
      <w:rFonts w:ascii="楷体_GB2312" w:hAnsi="Arial" w:eastAsia="楷体_GB2312" w:cs="Times New Roman"/>
      <w:sz w:val="28"/>
      <w:szCs w:val="28"/>
    </w:rPr>
  </w:style>
  <w:style w:type="paragraph" w:styleId="713">
    <w:name w:val="正文文本缩进"/>
    <w:basedOn w:val="679"/>
    <w:next w:val="713"/>
    <w:link w:val="714"/>
    <w:unhideWhenUsed/>
    <w:pPr>
      <w:ind w:left="420"/>
      <w:spacing w:after="120"/>
    </w:pPr>
  </w:style>
  <w:style w:type="character" w:styleId="714">
    <w:name w:val="正文文本缩进 字符"/>
    <w:next w:val="714"/>
    <w:link w:val="713"/>
    <w:uiPriority w:val="99"/>
    <w:semiHidden/>
  </w:style>
  <w:style w:type="paragraph" w:styleId="715">
    <w:name w:val="列表 2"/>
    <w:basedOn w:val="679"/>
    <w:next w:val="715"/>
    <w:link w:val="679"/>
    <w:pPr>
      <w:ind w:left="100" w:hanging="200"/>
    </w:pPr>
    <w:rPr>
      <w:rFonts w:ascii="Times New Roman" w:hAnsi="Times New Roman" w:eastAsia="宋体" w:cs="Times New Roman"/>
      <w:szCs w:val="21"/>
    </w:rPr>
  </w:style>
  <w:style w:type="paragraph" w:styleId="716">
    <w:name w:val="目录 5"/>
    <w:basedOn w:val="679"/>
    <w:next w:val="679"/>
    <w:link w:val="679"/>
    <w:semiHidden/>
    <w:pPr>
      <w:ind w:left="840"/>
      <w:jc w:val="left"/>
    </w:pPr>
    <w:rPr>
      <w:rFonts w:ascii="Times New Roman" w:hAnsi="Times New Roman" w:eastAsia="宋体" w:cs="Times New Roman"/>
      <w:szCs w:val="21"/>
    </w:rPr>
  </w:style>
  <w:style w:type="paragraph" w:styleId="717">
    <w:name w:val="目录 3"/>
    <w:basedOn w:val="679"/>
    <w:next w:val="679"/>
    <w:link w:val="679"/>
    <w:semiHidden/>
    <w:pPr>
      <w:ind w:left="420"/>
      <w:jc w:val="left"/>
    </w:pPr>
    <w:rPr>
      <w:rFonts w:ascii="Times New Roman" w:hAnsi="Times New Roman" w:eastAsia="宋体" w:cs="Times New Roman"/>
      <w:i/>
      <w:iCs/>
      <w:szCs w:val="24"/>
    </w:rPr>
  </w:style>
  <w:style w:type="paragraph" w:styleId="718">
    <w:name w:val="纯文本"/>
    <w:basedOn w:val="679"/>
    <w:next w:val="718"/>
    <w:link w:val="719"/>
    <w:qFormat/>
    <w:rPr>
      <w:rFonts w:ascii="宋体" w:hAnsi="Courier New" w:eastAsia="宋体" w:cs="Courier New"/>
      <w:szCs w:val="21"/>
    </w:rPr>
  </w:style>
  <w:style w:type="character" w:styleId="719">
    <w:name w:val="纯文本 字符"/>
    <w:next w:val="719"/>
    <w:link w:val="718"/>
    <w:rPr>
      <w:rFonts w:ascii="宋体" w:hAnsi="Courier New" w:eastAsia="宋体" w:cs="Courier New"/>
      <w:szCs w:val="21"/>
    </w:rPr>
  </w:style>
  <w:style w:type="paragraph" w:styleId="720">
    <w:name w:val="目录 8"/>
    <w:basedOn w:val="679"/>
    <w:next w:val="679"/>
    <w:link w:val="679"/>
    <w:semiHidden/>
    <w:pPr>
      <w:ind w:left="1470"/>
      <w:jc w:val="left"/>
    </w:pPr>
    <w:rPr>
      <w:rFonts w:ascii="Times New Roman" w:hAnsi="Times New Roman" w:eastAsia="宋体" w:cs="Times New Roman"/>
      <w:szCs w:val="21"/>
    </w:rPr>
  </w:style>
  <w:style w:type="paragraph" w:styleId="721">
    <w:name w:val="日期"/>
    <w:basedOn w:val="679"/>
    <w:next w:val="679"/>
    <w:link w:val="722"/>
    <w:rPr>
      <w:rFonts w:ascii="Times New Roman" w:hAnsi="Times New Roman" w:eastAsia="宋体" w:cs="Times New Roman"/>
      <w:sz w:val="24"/>
      <w:szCs w:val="24"/>
    </w:rPr>
  </w:style>
  <w:style w:type="character" w:styleId="722">
    <w:name w:val="日期 字符"/>
    <w:next w:val="722"/>
    <w:link w:val="721"/>
    <w:rPr>
      <w:rFonts w:ascii="Times New Roman" w:hAnsi="Times New Roman" w:eastAsia="宋体" w:cs="Times New Roman"/>
      <w:sz w:val="24"/>
      <w:szCs w:val="24"/>
    </w:rPr>
  </w:style>
  <w:style w:type="paragraph" w:styleId="723">
    <w:name w:val="正文文本缩进 2"/>
    <w:basedOn w:val="679"/>
    <w:next w:val="723"/>
    <w:link w:val="724"/>
    <w:pPr>
      <w:ind w:left="630" w:firstLine="645"/>
    </w:pPr>
    <w:rPr>
      <w:rFonts w:ascii="Arial" w:hAnsi="Arial" w:eastAsia="仿宋_GB2312" w:cs="Arial"/>
      <w:sz w:val="32"/>
      <w:szCs w:val="32"/>
    </w:rPr>
  </w:style>
  <w:style w:type="character" w:styleId="724">
    <w:name w:val="正文文本缩进 2 字符"/>
    <w:next w:val="724"/>
    <w:link w:val="723"/>
    <w:rPr>
      <w:rFonts w:ascii="Arial" w:hAnsi="Arial" w:eastAsia="仿宋_GB2312" w:cs="Arial"/>
      <w:sz w:val="32"/>
      <w:szCs w:val="32"/>
    </w:rPr>
  </w:style>
  <w:style w:type="paragraph" w:styleId="725">
    <w:name w:val="批注框文本"/>
    <w:basedOn w:val="679"/>
    <w:next w:val="725"/>
    <w:link w:val="726"/>
    <w:semiHidden/>
    <w:rPr>
      <w:rFonts w:ascii="Times New Roman" w:hAnsi="Times New Roman" w:eastAsia="宋体" w:cs="Times New Roman"/>
      <w:sz w:val="18"/>
      <w:szCs w:val="18"/>
    </w:rPr>
  </w:style>
  <w:style w:type="character" w:styleId="726">
    <w:name w:val="批注框文本 字符"/>
    <w:next w:val="726"/>
    <w:link w:val="725"/>
    <w:semiHidden/>
    <w:rPr>
      <w:rFonts w:ascii="Times New Roman" w:hAnsi="Times New Roman" w:eastAsia="宋体" w:cs="Times New Roman"/>
      <w:sz w:val="18"/>
      <w:szCs w:val="18"/>
    </w:rPr>
  </w:style>
  <w:style w:type="paragraph" w:styleId="727">
    <w:name w:val="页脚"/>
    <w:basedOn w:val="679"/>
    <w:next w:val="727"/>
    <w:link w:val="72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28">
    <w:name w:val="页脚 字符"/>
    <w:next w:val="728"/>
    <w:link w:val="727"/>
    <w:uiPriority w:val="99"/>
    <w:rPr>
      <w:rFonts w:ascii="Times New Roman" w:hAnsi="Times New Roman" w:eastAsia="宋体" w:cs="Times New Roman"/>
      <w:sz w:val="18"/>
      <w:szCs w:val="18"/>
    </w:rPr>
  </w:style>
  <w:style w:type="paragraph" w:styleId="729">
    <w:name w:val="页眉"/>
    <w:basedOn w:val="679"/>
    <w:next w:val="729"/>
    <w:link w:val="7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0">
    <w:name w:val="页眉 字符"/>
    <w:next w:val="730"/>
    <w:link w:val="729"/>
    <w:rPr>
      <w:rFonts w:ascii="Times New Roman" w:hAnsi="Times New Roman" w:eastAsia="宋体" w:cs="Times New Roman"/>
      <w:sz w:val="18"/>
      <w:szCs w:val="18"/>
    </w:rPr>
  </w:style>
  <w:style w:type="paragraph" w:styleId="731">
    <w:name w:val="目录 1"/>
    <w:basedOn w:val="679"/>
    <w:next w:val="679"/>
    <w:link w:val="6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2">
    <w:name w:val="目录 4"/>
    <w:basedOn w:val="679"/>
    <w:next w:val="679"/>
    <w:link w:val="679"/>
    <w:semiHidden/>
    <w:pPr>
      <w:ind w:left="630"/>
      <w:jc w:val="left"/>
    </w:pPr>
    <w:rPr>
      <w:rFonts w:ascii="Times New Roman" w:hAnsi="Times New Roman" w:eastAsia="宋体" w:cs="Times New Roman"/>
      <w:szCs w:val="21"/>
    </w:rPr>
  </w:style>
  <w:style w:type="paragraph" w:styleId="733">
    <w:name w:val="列表"/>
    <w:basedOn w:val="679"/>
    <w:next w:val="733"/>
    <w:link w:val="679"/>
    <w:pPr>
      <w:ind w:left="200" w:hanging="200"/>
    </w:pPr>
    <w:rPr>
      <w:rFonts w:ascii="Times New Roman" w:hAnsi="Times New Roman" w:eastAsia="宋体" w:cs="Times New Roman"/>
      <w:szCs w:val="21"/>
    </w:rPr>
  </w:style>
  <w:style w:type="paragraph" w:styleId="734">
    <w:name w:val="目录 6"/>
    <w:basedOn w:val="679"/>
    <w:next w:val="679"/>
    <w:link w:val="679"/>
    <w:semiHidden/>
    <w:pPr>
      <w:ind w:left="1050"/>
      <w:jc w:val="left"/>
    </w:pPr>
    <w:rPr>
      <w:rFonts w:ascii="Times New Roman" w:hAnsi="Times New Roman" w:eastAsia="宋体" w:cs="Times New Roman"/>
      <w:szCs w:val="21"/>
    </w:rPr>
  </w:style>
  <w:style w:type="paragraph" w:styleId="735">
    <w:name w:val="正文文本缩进 3"/>
    <w:basedOn w:val="679"/>
    <w:next w:val="735"/>
    <w:link w:val="736"/>
    <w:pPr>
      <w:ind w:left="645" w:firstLine="645"/>
    </w:pPr>
    <w:rPr>
      <w:rFonts w:ascii="Arial" w:hAnsi="Arial" w:eastAsia="仿宋_GB2312" w:cs="Arial"/>
      <w:color w:val="ffff00"/>
      <w:sz w:val="32"/>
      <w:szCs w:val="32"/>
    </w:rPr>
  </w:style>
  <w:style w:type="character" w:styleId="736">
    <w:name w:val="正文文本缩进 3 字符"/>
    <w:next w:val="736"/>
    <w:link w:val="735"/>
    <w:rPr>
      <w:rFonts w:ascii="Arial" w:hAnsi="Arial" w:eastAsia="仿宋_GB2312" w:cs="Arial"/>
      <w:color w:val="ffff00"/>
      <w:sz w:val="32"/>
      <w:szCs w:val="32"/>
    </w:rPr>
  </w:style>
  <w:style w:type="paragraph" w:styleId="737">
    <w:name w:val="图表目录"/>
    <w:basedOn w:val="679"/>
    <w:next w:val="679"/>
    <w:link w:val="679"/>
    <w:semiHidden/>
    <w:pPr>
      <w:ind w:left="840" w:hanging="420"/>
    </w:pPr>
    <w:rPr>
      <w:rFonts w:ascii="Times New Roman" w:hAnsi="Times New Roman" w:eastAsia="宋体" w:cs="Times New Roman"/>
      <w:szCs w:val="21"/>
    </w:rPr>
  </w:style>
  <w:style w:type="paragraph" w:styleId="738">
    <w:name w:val="目录 2"/>
    <w:basedOn w:val="679"/>
    <w:next w:val="679"/>
    <w:link w:val="679"/>
    <w:semiHidden/>
    <w:pPr>
      <w:ind w:left="210"/>
      <w:jc w:val="left"/>
    </w:pPr>
    <w:rPr>
      <w:rFonts w:ascii="Times New Roman" w:hAnsi="Times New Roman" w:eastAsia="宋体" w:cs="Times New Roman"/>
      <w:smallCaps/>
      <w:szCs w:val="24"/>
    </w:rPr>
  </w:style>
  <w:style w:type="paragraph" w:styleId="739">
    <w:name w:val="目录 9"/>
    <w:basedOn w:val="679"/>
    <w:next w:val="679"/>
    <w:link w:val="679"/>
    <w:semiHidden/>
    <w:pPr>
      <w:ind w:left="1680"/>
      <w:jc w:val="left"/>
    </w:pPr>
    <w:rPr>
      <w:rFonts w:ascii="Times New Roman" w:hAnsi="Times New Roman" w:eastAsia="宋体" w:cs="Times New Roman"/>
      <w:szCs w:val="21"/>
    </w:rPr>
  </w:style>
  <w:style w:type="paragraph" w:styleId="740">
    <w:name w:val="正文文本 2"/>
    <w:basedOn w:val="679"/>
    <w:next w:val="740"/>
    <w:link w:val="741"/>
    <w:pPr>
      <w:jc w:val="center"/>
      <w:widowControl/>
    </w:pPr>
    <w:rPr>
      <w:rFonts w:ascii="楷体_GB2312" w:hAnsi="Times New Roman" w:eastAsia="楷体_GB2312" w:cs="Times New Roman"/>
      <w:sz w:val="28"/>
      <w:szCs w:val="28"/>
    </w:rPr>
  </w:style>
  <w:style w:type="character" w:styleId="741">
    <w:name w:val="正文文本 2 字符"/>
    <w:next w:val="741"/>
    <w:link w:val="740"/>
    <w:rPr>
      <w:rFonts w:ascii="楷体_GB2312" w:hAnsi="Times New Roman" w:eastAsia="楷体_GB2312" w:cs="Times New Roman"/>
      <w:sz w:val="28"/>
      <w:szCs w:val="28"/>
    </w:rPr>
  </w:style>
  <w:style w:type="paragraph" w:styleId="742">
    <w:name w:val="普通(网站)"/>
    <w:basedOn w:val="679"/>
    <w:next w:val="742"/>
    <w:link w:val="679"/>
    <w:uiPriority w:val="99"/>
    <w:pPr>
      <w:jc w:val="left"/>
      <w:spacing w:before="100" w:beforeAutospacing="1" w:after="100" w:afterAutospacing="1"/>
      <w:widowControl/>
    </w:pPr>
    <w:rPr>
      <w:rFonts w:ascii="宋体" w:hAnsi="宋体" w:eastAsia="宋体" w:cs="宋体"/>
      <w:sz w:val="24"/>
      <w:szCs w:val="24"/>
    </w:rPr>
  </w:style>
  <w:style w:type="paragraph" w:styleId="743">
    <w:name w:val="索引 1"/>
    <w:basedOn w:val="679"/>
    <w:next w:val="679"/>
    <w:link w:val="679"/>
    <w:semiHidden/>
    <w:pPr>
      <w:spacing w:line="240" w:lineRule="atLeast"/>
    </w:pPr>
    <w:rPr>
      <w:rFonts w:ascii="Times New Roman" w:hAnsi="Times New Roman" w:eastAsia="宋体" w:cs="Times New Roman"/>
      <w:b/>
      <w:bCs/>
      <w:szCs w:val="21"/>
    </w:rPr>
  </w:style>
  <w:style w:type="paragraph" w:styleId="744">
    <w:name w:val="批注主题"/>
    <w:basedOn w:val="707"/>
    <w:next w:val="707"/>
    <w:link w:val="745"/>
    <w:semiHidden/>
    <w:rPr>
      <w:rFonts w:ascii="Times New Roman" w:hAnsi="Times New Roman" w:eastAsia="宋体" w:cs="Times New Roman"/>
      <w:b/>
      <w:bCs/>
      <w:szCs w:val="21"/>
    </w:rPr>
  </w:style>
  <w:style w:type="character" w:styleId="745">
    <w:name w:val="批注主题 字符"/>
    <w:next w:val="745"/>
    <w:link w:val="744"/>
    <w:semiHidden/>
    <w:rPr>
      <w:rFonts w:ascii="Times New Roman" w:hAnsi="Times New Roman" w:eastAsia="宋体" w:cs="Times New Roman"/>
      <w:b/>
      <w:bCs/>
      <w:szCs w:val="21"/>
    </w:rPr>
  </w:style>
  <w:style w:type="paragraph" w:styleId="746">
    <w:name w:val="正文首行缩进"/>
    <w:basedOn w:val="679"/>
    <w:next w:val="746"/>
    <w:link w:val="747"/>
    <w:pPr>
      <w:ind w:firstLine="200"/>
      <w:spacing w:line="360" w:lineRule="auto"/>
    </w:pPr>
    <w:rPr>
      <w:rFonts w:ascii="仿宋_GB2312" w:hAnsi="Times New Roman" w:eastAsia="仿宋_GB2312" w:cs="Times New Roman"/>
      <w:sz w:val="30"/>
      <w:szCs w:val="30"/>
    </w:rPr>
  </w:style>
  <w:style w:type="character" w:styleId="747">
    <w:name w:val="正文首行缩进 字符"/>
    <w:next w:val="747"/>
    <w:link w:val="746"/>
    <w:rPr>
      <w:rFonts w:ascii="仿宋_GB2312" w:hAnsi="Times New Roman" w:eastAsia="仿宋_GB2312" w:cs="Times New Roman"/>
      <w:sz w:val="30"/>
      <w:szCs w:val="30"/>
    </w:rPr>
  </w:style>
  <w:style w:type="paragraph" w:styleId="748">
    <w:name w:val="正文首行缩进 2"/>
    <w:basedOn w:val="713"/>
    <w:next w:val="748"/>
    <w:link w:val="749"/>
    <w:pPr>
      <w:ind w:left="0" w:firstLine="420"/>
      <w:spacing w:after="0" w:line="360" w:lineRule="auto"/>
    </w:pPr>
    <w:rPr>
      <w:rFonts w:ascii="宋体" w:hAnsi="宋体" w:eastAsia="宋体" w:cs="Times New Roman"/>
      <w:szCs w:val="20"/>
    </w:rPr>
  </w:style>
  <w:style w:type="character" w:styleId="749">
    <w:name w:val="正文首行缩进 2 字符"/>
    <w:next w:val="749"/>
    <w:link w:val="748"/>
    <w:rPr>
      <w:rFonts w:ascii="宋体" w:hAnsi="宋体" w:eastAsia="宋体" w:cs="Times New Roman"/>
      <w:szCs w:val="20"/>
    </w:rPr>
  </w:style>
  <w:style w:type="table" w:styleId="750">
    <w:name w:val="网格型"/>
    <w:basedOn w:val="690"/>
    <w:next w:val="750"/>
    <w:link w:val="679"/>
    <w:pPr>
      <w:jc w:val="both"/>
      <w:widowControl w:val="off"/>
    </w:pPr>
    <w:rPr>
      <w:rFonts w:ascii="Times New Roman" w:hAnsi="Times New Roman" w:eastAsia="宋体" w:cs="Times New Roman"/>
      <w:sz w:val="20"/>
      <w:szCs w:val="20"/>
    </w:rPr>
    <w:tblPr/>
  </w:style>
  <w:style w:type="character" w:styleId="751">
    <w:name w:val="要点"/>
    <w:next w:val="751"/>
    <w:link w:val="679"/>
    <w:qFormat/>
    <w:rPr>
      <w:b/>
      <w:bCs/>
    </w:rPr>
  </w:style>
  <w:style w:type="character" w:styleId="752">
    <w:name w:val="页码"/>
    <w:next w:val="752"/>
    <w:link w:val="679"/>
  </w:style>
  <w:style w:type="character" w:styleId="753">
    <w:name w:val="已访问的超链接"/>
    <w:next w:val="753"/>
    <w:link w:val="679"/>
    <w:rPr>
      <w:color w:val="800080"/>
      <w:u w:val="single"/>
    </w:rPr>
  </w:style>
  <w:style w:type="character" w:styleId="754">
    <w:name w:val="强调"/>
    <w:next w:val="754"/>
    <w:link w:val="679"/>
    <w:qFormat/>
    <w:rPr>
      <w:i/>
    </w:rPr>
  </w:style>
  <w:style w:type="character" w:styleId="755">
    <w:name w:val="超链接"/>
    <w:next w:val="755"/>
    <w:link w:val="679"/>
    <w:rPr>
      <w:color w:val="0000ff"/>
      <w:u w:val="single"/>
    </w:rPr>
  </w:style>
  <w:style w:type="character" w:styleId="756">
    <w:name w:val="批注引用"/>
    <w:next w:val="756"/>
    <w:link w:val="679"/>
    <w:semiHidden/>
    <w:rPr>
      <w:sz w:val="21"/>
      <w:szCs w:val="21"/>
    </w:rPr>
  </w:style>
  <w:style w:type="character" w:styleId="757">
    <w:name w:val="font5 Char"/>
    <w:next w:val="757"/>
    <w:link w:val="679"/>
    <w:rPr>
      <w:rFonts w:ascii="宋体" w:hAnsi="宋体" w:eastAsia="宋体"/>
      <w:sz w:val="28"/>
      <w:szCs w:val="28"/>
      <w:lang w:val="en-US" w:eastAsia="zh-CN" w:bidi="ar-SA"/>
    </w:rPr>
  </w:style>
  <w:style w:type="character" w:styleId="758">
    <w:name w:val="二级目录 Char"/>
    <w:next w:val="758"/>
    <w:link w:val="759"/>
    <w:rPr>
      <w:b/>
      <w:sz w:val="30"/>
      <w:szCs w:val="28"/>
    </w:rPr>
  </w:style>
  <w:style w:type="paragraph" w:styleId="759">
    <w:name w:val="二级目录"/>
    <w:next w:val="679"/>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9"/>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9"/>
    <w:next w:val="711"/>
    <w:link w:val="679"/>
    <w:pPr>
      <w:spacing w:after="120"/>
    </w:pPr>
    <w:rPr>
      <w:rFonts w:ascii="宋体" w:hAnsi="Arial" w:eastAsia="宋体" w:cs="Times New Roman"/>
      <w:bCs/>
      <w:iCs/>
      <w:szCs w:val="24"/>
    </w:rPr>
  </w:style>
  <w:style w:type="paragraph" w:styleId="763">
    <w:name w:val="xl27"/>
    <w:basedOn w:val="679"/>
    <w:next w:val="763"/>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4">
    <w:name w:val="xl26"/>
    <w:basedOn w:val="679"/>
    <w:next w:val="764"/>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Char"/>
    <w:basedOn w:val="679"/>
    <w:next w:val="765"/>
    <w:link w:val="679"/>
    <w:pPr>
      <w:ind w:firstLine="200"/>
      <w:tabs>
        <w:tab w:val="left" w:pos="360" w:leader="none"/>
      </w:tabs>
    </w:pPr>
    <w:rPr>
      <w:rFonts w:ascii="Times New Roman" w:hAnsi="Times New Roman" w:eastAsia="宋体" w:cs="Times New Roman"/>
      <w:sz w:val="28"/>
      <w:szCs w:val="30"/>
    </w:rPr>
  </w:style>
  <w:style w:type="paragraph" w:styleId="766">
    <w:name w:val=" Char"/>
    <w:basedOn w:val="705"/>
    <w:next w:val="766"/>
    <w:link w:val="679"/>
    <w:rPr>
      <w:rFonts w:ascii="Tahoma" w:hAnsi="Tahoma"/>
      <w:sz w:val="24"/>
      <w:szCs w:val="24"/>
    </w:rPr>
  </w:style>
  <w:style w:type="paragraph" w:styleId="767">
    <w:name w:val="普通正文"/>
    <w:basedOn w:val="679"/>
    <w:next w:val="767"/>
    <w:link w:val="679"/>
    <w:pPr>
      <w:ind w:firstLine="480"/>
      <w:jc w:val="left"/>
      <w:spacing w:before="120" w:after="120" w:line="360" w:lineRule="auto"/>
    </w:pPr>
    <w:rPr>
      <w:rFonts w:ascii="Arial" w:hAnsi="Arial" w:eastAsia="宋体" w:cs="Times New Roman"/>
      <w:sz w:val="24"/>
      <w:szCs w:val="24"/>
    </w:rPr>
  </w:style>
  <w:style w:type="paragraph" w:styleId="768">
    <w:name w:val="table_lines"/>
    <w:basedOn w:val="679"/>
    <w:next w:val="768"/>
    <w:link w:val="679"/>
    <w:pPr>
      <w:jc w:val="left"/>
      <w:widowControl/>
    </w:pPr>
    <w:rPr>
      <w:rFonts w:ascii="Times New Roman" w:hAnsi="Times New Roman" w:eastAsia="宋体" w:cs="Times New Roman"/>
      <w:sz w:val="20"/>
      <w:szCs w:val="20"/>
      <w:lang w:val="de-DE" w:eastAsia="de-DE"/>
    </w:rPr>
  </w:style>
  <w:style w:type="paragraph" w:styleId="769">
    <w:name w:val="附录1"/>
    <w:next w:val="769"/>
    <w:link w:val="679"/>
    <w:pPr>
      <w:numPr>
        <w:ilvl w:val="0"/>
        <w:numId w:val="2"/>
      </w:numPr>
      <w:spacing w:before="240" w:line="600" w:lineRule="atLeast"/>
      <w:tabs>
        <w:tab w:val="left" w:pos="907" w:leader="none"/>
      </w:tabs>
    </w:pPr>
    <w:rPr>
      <w:b/>
      <w:i/>
      <w:sz w:val="28"/>
      <w:lang w:val="en-US" w:eastAsia="zh-CN" w:bidi="ar-SA"/>
    </w:rPr>
  </w:style>
  <w:style w:type="paragraph" w:styleId="770">
    <w:name w:val="font7"/>
    <w:basedOn w:val="679"/>
    <w:next w:val="770"/>
    <w:link w:val="679"/>
    <w:pPr>
      <w:jc w:val="left"/>
      <w:spacing w:before="100" w:beforeAutospacing="1" w:after="100" w:afterAutospacing="1"/>
      <w:widowControl/>
    </w:pPr>
    <w:rPr>
      <w:rFonts w:hint="eastAsia" w:ascii="宋体" w:hAnsi="宋体" w:eastAsia="宋体" w:cs="Times New Roman"/>
      <w:sz w:val="18"/>
      <w:szCs w:val="18"/>
    </w:rPr>
  </w:style>
  <w:style w:type="paragraph" w:styleId="771">
    <w:name w:val=" Char Char Char Char"/>
    <w:basedOn w:val="705"/>
    <w:next w:val="771"/>
    <w:link w:val="679"/>
    <w:pPr>
      <w:spacing w:line="360" w:lineRule="auto"/>
    </w:pPr>
    <w:rPr>
      <w:rFonts w:ascii="Tahoma" w:hAnsi="Tahoma"/>
      <w:sz w:val="24"/>
      <w:szCs w:val="24"/>
    </w:rPr>
  </w:style>
  <w:style w:type="paragraph" w:styleId="772">
    <w:name w:val="列出段落"/>
    <w:basedOn w:val="679"/>
    <w:next w:val="772"/>
    <w:link w:val="679"/>
    <w:qFormat/>
    <w:pPr>
      <w:contextualSpacing/>
      <w:ind w:left="720"/>
      <w:jc w:val="left"/>
      <w:widowControl/>
    </w:pPr>
    <w:rPr>
      <w:rFonts w:ascii="Calibri" w:hAnsi="Calibri" w:eastAsia="宋体" w:cs="Times New Roman"/>
      <w:sz w:val="24"/>
      <w:szCs w:val="24"/>
      <w:lang w:eastAsia="en-US" w:bidi="en-US"/>
    </w:rPr>
  </w:style>
  <w:style w:type="paragraph" w:styleId="773">
    <w:name w:val="4"/>
    <w:basedOn w:val="679"/>
    <w:next w:val="735"/>
    <w:link w:val="679"/>
    <w:pPr>
      <w:ind w:firstLine="420"/>
      <w:spacing w:line="360" w:lineRule="auto"/>
    </w:pPr>
    <w:rPr>
      <w:rFonts w:ascii="Times New Roman" w:hAnsi="Times New Roman" w:eastAsia="宋体" w:cs="Times New Roman"/>
      <w:color w:val="ff0000"/>
      <w:sz w:val="24"/>
      <w:szCs w:val="24"/>
    </w:rPr>
  </w:style>
  <w:style w:type="paragraph" w:styleId="774">
    <w:name w:val="普通 (Web)"/>
    <w:basedOn w:val="679"/>
    <w:next w:val="774"/>
    <w:link w:val="679"/>
    <w:pPr>
      <w:jc w:val="left"/>
      <w:spacing w:before="100" w:beforeAutospacing="1" w:after="100" w:afterAutospacing="1"/>
      <w:widowControl/>
    </w:pPr>
    <w:rPr>
      <w:rFonts w:ascii="宋体" w:hAnsi="宋体" w:eastAsia="宋体" w:cs="Times New Roman"/>
      <w:sz w:val="24"/>
      <w:szCs w:val="24"/>
    </w:rPr>
  </w:style>
  <w:style w:type="paragraph" w:styleId="775">
    <w:name w:val=" Char Char Char Char Char Char Char Char Char Char"/>
    <w:basedOn w:val="679"/>
    <w:next w:val="775"/>
    <w:link w:val="679"/>
    <w:pPr>
      <w:spacing w:line="360" w:lineRule="auto"/>
    </w:pPr>
    <w:rPr>
      <w:rFonts w:ascii="Times New Roman" w:hAnsi="Times New Roman" w:eastAsia="宋体" w:cs="Times New Roman"/>
      <w:sz w:val="24"/>
      <w:szCs w:val="20"/>
    </w:rPr>
  </w:style>
  <w:style w:type="paragraph" w:styleId="776">
    <w:name w:val="样式1"/>
    <w:basedOn w:val="679"/>
    <w:next w:val="776"/>
    <w:link w:val="679"/>
    <w:pPr>
      <w:numPr>
        <w:ilvl w:val="0"/>
        <w:numId w:val="3"/>
      </w:numPr>
      <w:tabs>
        <w:tab w:val="left" w:pos="709" w:leader="none"/>
      </w:tabs>
    </w:pPr>
    <w:rPr>
      <w:rFonts w:ascii="宋体" w:hAnsi="宋体" w:eastAsia="宋体" w:cs="Times New Roman"/>
      <w:szCs w:val="21"/>
    </w:rPr>
  </w:style>
  <w:style w:type="paragraph" w:styleId="777">
    <w:name w:val="font6"/>
    <w:basedOn w:val="679"/>
    <w:next w:val="777"/>
    <w:link w:val="679"/>
    <w:pPr>
      <w:jc w:val="left"/>
      <w:spacing w:before="100" w:beforeAutospacing="1" w:after="100" w:afterAutospacing="1"/>
      <w:widowControl/>
    </w:pPr>
    <w:rPr>
      <w:rFonts w:hint="eastAsia" w:ascii="宋体" w:hAnsi="宋体" w:eastAsia="宋体" w:cs="Times New Roman"/>
      <w:sz w:val="28"/>
      <w:szCs w:val="28"/>
      <w:u w:val="single"/>
    </w:rPr>
  </w:style>
  <w:style w:type="paragraph" w:styleId="778">
    <w:name w:val="xl25"/>
    <w:basedOn w:val="679"/>
    <w:next w:val="778"/>
    <w:link w:val="6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9"/>
    <w:next w:val="679"/>
    <w:link w:val="6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0">
    <w:name w:val="标题3"/>
    <w:basedOn w:val="679"/>
    <w:next w:val="679"/>
    <w:link w:val="679"/>
    <w:pPr>
      <w:ind w:firstLine="624"/>
      <w:spacing w:line="590" w:lineRule="atLeast"/>
    </w:pPr>
    <w:rPr>
      <w:rFonts w:ascii="方正黑体_GBK" w:hAnsi="Times New Roman" w:eastAsia="方正黑体_GBK" w:cs="Times New Roman"/>
      <w:sz w:val="32"/>
      <w:szCs w:val="32"/>
    </w:rPr>
  </w:style>
  <w:style w:type="paragraph" w:styleId="781">
    <w:name w:val="xl24"/>
    <w:basedOn w:val="679"/>
    <w:next w:val="781"/>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2">
    <w:name w:val="xl29"/>
    <w:basedOn w:val="679"/>
    <w:next w:val="782"/>
    <w:link w:val="6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3">
    <w:name w:val="Char Char Char Char Char Char Char Char"/>
    <w:basedOn w:val="679"/>
    <w:next w:val="783"/>
    <w:link w:val="679"/>
    <w:pPr>
      <w:jc w:val="left"/>
      <w:spacing w:after="160" w:line="240" w:lineRule="exact"/>
      <w:widowControl/>
    </w:pPr>
    <w:rPr>
      <w:rFonts w:ascii="Verdana" w:hAnsi="Verdana" w:eastAsia="宋体" w:cs="Times New Roman"/>
      <w:sz w:val="20"/>
      <w:szCs w:val="20"/>
      <w:lang w:eastAsia="en-US"/>
    </w:rPr>
  </w:style>
  <w:style w:type="paragraph" w:styleId="784">
    <w:name w:val="xl28"/>
    <w:basedOn w:val="679"/>
    <w:next w:val="784"/>
    <w:link w:val="6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5">
    <w:name w:val=" Char Char Char Char Char Char Char Char"/>
    <w:basedOn w:val="679"/>
    <w:next w:val="785"/>
    <w:link w:val="679"/>
    <w:pPr>
      <w:jc w:val="left"/>
      <w:spacing w:after="160" w:line="240" w:lineRule="exact"/>
      <w:widowControl/>
    </w:pPr>
    <w:rPr>
      <w:rFonts w:ascii="Verdana" w:hAnsi="Verdana" w:eastAsia="宋体" w:cs="Times New Roman"/>
      <w:sz w:val="20"/>
      <w:szCs w:val="20"/>
      <w:lang w:eastAsia="en-US"/>
    </w:rPr>
  </w:style>
  <w:style w:type="paragraph" w:styleId="786">
    <w:name w:val="xl30"/>
    <w:basedOn w:val="679"/>
    <w:next w:val="786"/>
    <w:link w:val="679"/>
    <w:pPr>
      <w:jc w:val="center"/>
      <w:spacing w:before="100" w:beforeAutospacing="1" w:after="100" w:afterAutospacing="1"/>
      <w:widowControl/>
    </w:pPr>
    <w:rPr>
      <w:rFonts w:ascii="宋体" w:hAnsi="宋体" w:eastAsia="宋体" w:cs="Times New Roman"/>
      <w:b/>
      <w:bCs/>
      <w:sz w:val="36"/>
      <w:szCs w:val="36"/>
    </w:rPr>
  </w:style>
  <w:style w:type="paragraph" w:styleId="787">
    <w:name w:val="Char Char Char Char"/>
    <w:basedOn w:val="705"/>
    <w:next w:val="787"/>
    <w:link w:val="679"/>
    <w:pPr>
      <w:spacing w:line="360" w:lineRule="auto"/>
    </w:pPr>
    <w:rPr>
      <w:rFonts w:ascii="Tahoma" w:hAnsi="Tahoma"/>
      <w:sz w:val="24"/>
      <w:szCs w:val="24"/>
    </w:rPr>
  </w:style>
  <w:style w:type="paragraph" w:styleId="788">
    <w:name w:val="table_1stline"/>
    <w:basedOn w:val="679"/>
    <w:next w:val="788"/>
    <w:link w:val="679"/>
    <w:pPr>
      <w:jc w:val="left"/>
      <w:spacing w:before="120"/>
      <w:widowControl/>
    </w:pPr>
    <w:rPr>
      <w:rFonts w:ascii="Times New Roman" w:hAnsi="Times New Roman" w:eastAsia="宋体" w:cs="Times New Roman"/>
      <w:bCs/>
      <w:sz w:val="20"/>
      <w:szCs w:val="20"/>
      <w:lang w:val="de-DE" w:eastAsia="de-DE"/>
    </w:rPr>
  </w:style>
  <w:style w:type="paragraph" w:styleId="789">
    <w:name w:val="font5"/>
    <w:basedOn w:val="679"/>
    <w:next w:val="789"/>
    <w:link w:val="679"/>
    <w:pPr>
      <w:jc w:val="left"/>
      <w:spacing w:before="100" w:beforeAutospacing="1" w:after="100" w:afterAutospacing="1"/>
      <w:widowControl/>
    </w:pPr>
    <w:rPr>
      <w:rFonts w:hint="eastAsia" w:ascii="宋体" w:hAnsi="宋体" w:eastAsia="宋体" w:cs="Times New Roman"/>
      <w:sz w:val="28"/>
      <w:szCs w:val="28"/>
    </w:rPr>
  </w:style>
  <w:style w:type="paragraph" w:styleId="790">
    <w:name w:val="标题1"/>
    <w:basedOn w:val="679"/>
    <w:next w:val="679"/>
    <w:link w:val="6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1">
    <w:name w:val="修订"/>
    <w:next w:val="791"/>
    <w:link w:val="679"/>
    <w:uiPriority w:val="99"/>
    <w:semiHidden/>
    <w:rPr>
      <w:sz w:val="21"/>
      <w:szCs w:val="21"/>
      <w:lang w:val="en-US" w:eastAsia="zh-CN" w:bidi="ar-SA"/>
    </w:rPr>
  </w:style>
  <w:style w:type="paragraph" w:styleId="792">
    <w:name w:val="无间隔"/>
    <w:next w:val="792"/>
    <w:link w:val="679"/>
    <w:uiPriority w:val="99"/>
    <w:qFormat/>
    <w:pPr>
      <w:jc w:val="both"/>
      <w:widowControl w:val="off"/>
    </w:pPr>
    <w:rPr>
      <w:sz w:val="21"/>
      <w:szCs w:val="21"/>
      <w:lang w:val="en-US" w:eastAsia="zh-CN" w:bidi="ar-SA"/>
    </w:rPr>
  </w:style>
  <w:style w:type="paragraph" w:styleId="793">
    <w:name w:val="AONormal"/>
    <w:next w:val="793"/>
    <w:link w:val="679"/>
    <w:qFormat/>
    <w:pPr>
      <w:ind w:firstLine="440"/>
      <w:spacing w:line="400" w:lineRule="exact"/>
    </w:pPr>
    <w:rPr>
      <w:rFonts w:ascii="华文楷体" w:hAnsi="华文楷体" w:eastAsia="华文楷体" w:cs="华文楷体"/>
      <w:sz w:val="22"/>
      <w:szCs w:val="21"/>
      <w:lang w:val="en-US" w:eastAsia="zh-CN" w:bidi="ar-SA"/>
    </w:rPr>
  </w:style>
  <w:style w:type="paragraph" w:styleId="794">
    <w:name w:val="索引 811"/>
    <w:basedOn w:val="679"/>
    <w:next w:val="679"/>
    <w:link w:val="679"/>
    <w:uiPriority w:val="99"/>
    <w:unhideWhenUsed/>
    <w:qFormat/>
    <w:pPr>
      <w:ind w:left="1400"/>
    </w:pPr>
  </w:style>
  <w:style w:type="paragraph" w:styleId="795">
    <w:name w:val="纯文本1"/>
    <w:basedOn w:val="679"/>
    <w:next w:val="795"/>
    <w:link w:val="679"/>
    <w:qFormat/>
    <w:rPr>
      <w:rFonts w:ascii="宋体" w:hAnsi="Courier New" w:cs="Courier New"/>
      <w:szCs w:val="21"/>
    </w:rPr>
  </w:style>
  <w:style w:type="character" w:styleId="796">
    <w:name w:val="NormalCharacter1"/>
    <w:next w:val="796"/>
    <w:link w:val="679"/>
    <w:qFormat/>
    <w:rPr>
      <w:rFonts w:ascii="Times New Roman" w:hAnsi="Times New Roman" w:eastAsia="宋体" w:cs="Times New Roman"/>
      <w:sz w:val="21"/>
      <w:szCs w:val="22"/>
      <w:lang w:val="en-US" w:eastAsia="zh-CN" w:bidi="ar-SA"/>
    </w:rPr>
  </w:style>
  <w:style w:type="character" w:styleId="8347" w:default="1">
    <w:name w:val="Default Paragraph Font"/>
    <w:uiPriority w:val="1"/>
    <w:semiHidden/>
    <w:unhideWhenUsed/>
  </w:style>
  <w:style w:type="numbering" w:styleId="8348" w:default="1">
    <w:name w:val="No List"/>
    <w:uiPriority w:val="99"/>
    <w:semiHidden/>
    <w:unhideWhenUsed/>
  </w:style>
  <w:style w:type="table" w:styleId="83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2</cp:revision>
  <dcterms:created xsi:type="dcterms:W3CDTF">2023-03-27T07:28:00Z</dcterms:created>
  <dcterms:modified xsi:type="dcterms:W3CDTF">2026-08-26T08:14:20Z</dcterms:modified>
</cp:coreProperties>
</file>