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6.xml" ContentType="application/vnd.openxmlformats-officedocument.wordprocessingml.footer+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84"/>
        <w:spacing w:line="360" w:lineRule="auto"/>
        <w:rPr>
          <w:b/>
          <w:bCs/>
          <w:sz w:val="72"/>
          <w:szCs w:val="72"/>
        </w:rPr>
      </w:pPr>
      <w:r>
        <w:rPr>
          <w:b/>
          <w:bCs/>
          <w:sz w:val="72"/>
          <w:szCs w:val="72"/>
        </w:rPr>
      </w:r>
      <w:r/>
    </w:p>
    <w:p>
      <w:pPr>
        <w:pStyle w:val="1484"/>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484"/>
        <w:jc w:val="center"/>
        <w:spacing w:line="360" w:lineRule="auto"/>
        <w:rPr>
          <w:rFonts w:hint="eastAsia" w:eastAsia="华文中宋"/>
          <w:b/>
          <w:sz w:val="52"/>
          <w:szCs w:val="52"/>
        </w:rPr>
      </w:pPr>
      <w:r>
        <w:rPr>
          <w:rFonts w:hint="eastAsia" w:eastAsia="华文中宋"/>
          <w:b/>
          <w:sz w:val="52"/>
          <w:szCs w:val="52"/>
        </w:rPr>
        <w:t xml:space="preserve">江苏省疾病预防控制中心</w:t>
      </w:r>
      <w:r>
        <w:rPr>
          <w:rFonts w:hint="eastAsia" w:eastAsia="华文中宋"/>
          <w:b/>
          <w:sz w:val="52"/>
          <w:szCs w:val="52"/>
        </w:rPr>
      </w:r>
      <w:r/>
    </w:p>
    <w:p>
      <w:pPr>
        <w:pStyle w:val="1484"/>
        <w:jc w:val="center"/>
        <w:spacing w:line="360" w:lineRule="auto"/>
        <w:rPr>
          <w:rFonts w:hint="eastAsia" w:eastAsia="华文中宋"/>
          <w:b/>
          <w:sz w:val="52"/>
          <w:szCs w:val="52"/>
        </w:rPr>
      </w:pPr>
      <w:r>
        <w:rPr>
          <w:rFonts w:hint="eastAsia" w:eastAsia="华文中宋"/>
          <w:b/>
          <w:sz w:val="52"/>
          <w:szCs w:val="52"/>
        </w:rPr>
        <w:t xml:space="preserve">（江苏省预防医学科学院）</w:t>
      </w:r>
      <w:r>
        <w:rPr>
          <w:rFonts w:hint="eastAsia" w:eastAsia="华文中宋"/>
          <w:b/>
          <w:sz w:val="52"/>
          <w:szCs w:val="52"/>
        </w:rPr>
      </w:r>
      <w:r/>
    </w:p>
    <w:p>
      <w:pPr>
        <w:pStyle w:val="1484"/>
        <w:jc w:val="center"/>
        <w:spacing w:line="360" w:lineRule="auto"/>
        <w:rPr>
          <w:rFonts w:hint="eastAsia" w:eastAsia="华文中宋"/>
          <w:b/>
          <w:sz w:val="52"/>
          <w:szCs w:val="52"/>
        </w:rPr>
      </w:pPr>
      <w:r>
        <w:rPr>
          <w:rFonts w:hint="eastAsia" w:eastAsia="华文中宋"/>
          <w:b/>
          <w:sz w:val="52"/>
          <w:szCs w:val="52"/>
        </w:rPr>
      </w:r>
      <w:r/>
    </w:p>
    <w:p>
      <w:pPr>
        <w:pStyle w:val="1484"/>
        <w:jc w:val="center"/>
        <w:spacing w:line="360" w:lineRule="auto"/>
        <w:rPr>
          <w:rFonts w:hint="eastAsia"/>
          <w:b/>
          <w:sz w:val="32"/>
          <w:szCs w:val="32"/>
        </w:rPr>
      </w:pPr>
      <w:r>
        <w:rPr>
          <w:rFonts w:hint="eastAsia"/>
          <w:b/>
          <w:sz w:val="32"/>
          <w:szCs w:val="32"/>
        </w:rPr>
        <w:t xml:space="preserve">新型冠状病毒2</w:t>
      </w:r>
      <w:r>
        <w:rPr>
          <w:b/>
          <w:sz w:val="32"/>
          <w:szCs w:val="32"/>
        </w:rPr>
        <w:t xml:space="preserve">019-nCov</w:t>
      </w:r>
      <w:r>
        <w:rPr>
          <w:rFonts w:hint="eastAsia"/>
          <w:b/>
          <w:sz w:val="32"/>
          <w:szCs w:val="32"/>
        </w:rPr>
        <w:t xml:space="preserve">/甲型流感病毒/乙型流感病毒核酸荧光定量PCR试剂盒</w:t>
      </w:r>
      <w:r>
        <w:rPr>
          <w:rFonts w:hint="eastAsia"/>
          <w:b/>
          <w:sz w:val="32"/>
          <w:szCs w:val="32"/>
        </w:rPr>
      </w:r>
      <w:r/>
    </w:p>
    <w:p>
      <w:pPr>
        <w:pStyle w:val="1484"/>
        <w:jc w:val="center"/>
        <w:spacing w:line="360" w:lineRule="auto"/>
        <w:rPr>
          <w:b/>
          <w:sz w:val="72"/>
          <w:szCs w:val="72"/>
        </w:rPr>
      </w:pPr>
      <w:r>
        <w:rPr>
          <w:b/>
          <w:sz w:val="72"/>
          <w:szCs w:val="72"/>
        </w:rPr>
      </w:r>
      <w:r/>
    </w:p>
    <w:p>
      <w:pPr>
        <w:pStyle w:val="1484"/>
        <w:jc w:val="center"/>
        <w:spacing w:line="360" w:lineRule="auto"/>
        <w:rPr>
          <w:b/>
          <w:sz w:val="72"/>
          <w:szCs w:val="72"/>
        </w:rPr>
      </w:pPr>
      <w:r>
        <w:rPr>
          <w:b/>
          <w:sz w:val="72"/>
          <w:szCs w:val="72"/>
        </w:rPr>
        <w:t xml:space="preserve">招标文件</w:t>
      </w:r>
      <w:r>
        <w:rPr>
          <w:b/>
          <w:sz w:val="72"/>
          <w:szCs w:val="72"/>
        </w:rPr>
      </w:r>
      <w:r/>
    </w:p>
    <w:p>
      <w:pPr>
        <w:pStyle w:val="1484"/>
        <w:jc w:val="center"/>
        <w:spacing w:line="360" w:lineRule="auto"/>
        <w:rPr>
          <w:bCs/>
          <w:sz w:val="36"/>
        </w:rPr>
      </w:pPr>
      <w:r>
        <w:rPr>
          <w:bCs/>
          <w:sz w:val="36"/>
        </w:rPr>
      </w:r>
      <w:r/>
    </w:p>
    <w:p>
      <w:pPr>
        <w:pStyle w:val="1484"/>
        <w:jc w:val="center"/>
        <w:spacing w:line="440" w:lineRule="exact"/>
        <w:rPr>
          <w:bCs/>
          <w:sz w:val="36"/>
        </w:rPr>
      </w:pPr>
      <w:r>
        <w:rPr>
          <w:bCs/>
          <w:sz w:val="36"/>
        </w:rPr>
      </w:r>
      <w:r/>
    </w:p>
    <w:p>
      <w:pPr>
        <w:pStyle w:val="1484"/>
        <w:jc w:val="center"/>
        <w:spacing w:line="440" w:lineRule="exact"/>
        <w:rPr>
          <w:bCs/>
          <w:sz w:val="52"/>
        </w:rPr>
      </w:pPr>
      <w:r>
        <w:rPr>
          <w:bCs/>
          <w:sz w:val="52"/>
        </w:rPr>
      </w:r>
      <w:r/>
    </w:p>
    <w:p>
      <w:pPr>
        <w:pStyle w:val="1553"/>
        <w:ind w:firstLine="0"/>
      </w:pPr>
      <w:r/>
      <w:r/>
    </w:p>
    <w:p>
      <w:pPr>
        <w:pStyle w:val="1553"/>
        <w:ind w:firstLine="0"/>
      </w:pPr>
      <w:r/>
      <w:r/>
    </w:p>
    <w:p>
      <w:pPr>
        <w:pStyle w:val="1484"/>
        <w:jc w:val="left"/>
        <w:rPr>
          <w:b/>
          <w:sz w:val="32"/>
          <w:szCs w:val="32"/>
        </w:rPr>
      </w:pPr>
      <w:r>
        <w:rPr>
          <w:b/>
          <w:sz w:val="32"/>
          <w:szCs w:val="32"/>
        </w:rPr>
        <w:t xml:space="preserve">项目编号：</w:t>
      </w:r>
      <w:r>
        <w:rPr>
          <w:rFonts w:hint="eastAsia"/>
          <w:b/>
          <w:sz w:val="32"/>
          <w:szCs w:val="32"/>
          <w:lang w:eastAsia="zh-CN"/>
        </w:rPr>
        <w:t xml:space="preserve">JSZC-320000-SMDY-G2026-0076</w:t>
      </w:r>
      <w:r>
        <w:rPr>
          <w:b/>
          <w:sz w:val="32"/>
          <w:szCs w:val="32"/>
        </w:rPr>
        <w:t xml:space="preserve">（</w:t>
      </w:r>
      <w:r>
        <w:rPr>
          <w:rFonts w:hint="eastAsia"/>
          <w:b/>
          <w:sz w:val="32"/>
          <w:szCs w:val="32"/>
        </w:rPr>
        <w:t xml:space="preserve">2640SUMEC/ZWGG2102</w:t>
      </w:r>
      <w:r>
        <w:rPr>
          <w:b/>
          <w:sz w:val="32"/>
          <w:szCs w:val="32"/>
        </w:rPr>
        <w:t xml:space="preserve">）</w:t>
      </w:r>
      <w:r>
        <w:rPr>
          <w:b/>
          <w:sz w:val="32"/>
          <w:szCs w:val="32"/>
        </w:rPr>
      </w:r>
      <w:r/>
    </w:p>
    <w:p>
      <w:pPr>
        <w:pStyle w:val="1484"/>
        <w:ind w:firstLine="1285"/>
        <w:spacing w:line="360" w:lineRule="auto"/>
        <w:rPr>
          <w:rFonts w:hint="eastAsia"/>
          <w:b/>
          <w:sz w:val="32"/>
          <w:szCs w:val="32"/>
        </w:rPr>
      </w:pPr>
      <w:r>
        <w:rPr>
          <w:b/>
          <w:sz w:val="32"/>
          <w:szCs w:val="32"/>
        </w:rPr>
        <w:t xml:space="preserve">采购人：</w:t>
      </w:r>
      <w:r>
        <w:rPr>
          <w:rFonts w:hint="eastAsia"/>
          <w:b/>
          <w:sz w:val="32"/>
          <w:szCs w:val="32"/>
        </w:rPr>
        <w:t xml:space="preserve">江苏省疾病预防控制中心（江苏省预防医学科学院）</w:t>
      </w:r>
      <w:r>
        <w:rPr>
          <w:rFonts w:hint="eastAsia"/>
          <w:b/>
          <w:sz w:val="32"/>
          <w:szCs w:val="32"/>
        </w:rPr>
      </w:r>
      <w:r/>
    </w:p>
    <w:p>
      <w:pPr>
        <w:pStyle w:val="1484"/>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553"/>
        <w:ind w:firstLine="0"/>
      </w:pPr>
      <w:r/>
      <w:r/>
    </w:p>
    <w:p>
      <w:pPr>
        <w:pStyle w:val="1484"/>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8</w:t>
      </w:r>
      <w:r>
        <w:rPr>
          <w:b/>
          <w:sz w:val="36"/>
          <w:szCs w:val="36"/>
        </w:rPr>
        <w:t xml:space="preserve">月</w:t>
      </w:r>
      <w:r>
        <w:rPr>
          <w:b/>
          <w:sz w:val="36"/>
          <w:szCs w:val="36"/>
        </w:rPr>
      </w:r>
      <w:r/>
    </w:p>
    <w:p>
      <w:pPr>
        <w:pStyle w:val="1484"/>
        <w:jc w:val="center"/>
        <w:spacing w:line="440" w:lineRule="exact"/>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bCs/>
          <w:sz w:val="32"/>
        </w:rPr>
      </w:r>
      <w:r/>
    </w:p>
    <w:p>
      <w:pPr>
        <w:pStyle w:val="1484"/>
        <w:jc w:val="center"/>
        <w:spacing w:line="440" w:lineRule="exact"/>
        <w:rPr>
          <w:b/>
          <w:sz w:val="32"/>
        </w:rPr>
      </w:pPr>
      <w:r>
        <w:rPr>
          <w:b/>
          <w:sz w:val="32"/>
        </w:rPr>
        <w:t xml:space="preserve">目   录</w:t>
      </w:r>
      <w:r>
        <w:rPr>
          <w:b/>
          <w:sz w:val="32"/>
        </w:rPr>
      </w:r>
      <w:r/>
    </w:p>
    <w:p>
      <w:pPr>
        <w:pStyle w:val="1539"/>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_Toc8749 </w:instrText>
      </w:r>
      <w:r>
        <w:rPr>
          <w:bCs/>
        </w:rPr>
        <w:fldChar w:fldCharType="separate"/>
      </w:r>
      <w:r>
        <w:rPr>
          <w:szCs w:val="28"/>
        </w:rPr>
        <w:t xml:space="preserve">第一章 投标邀请（招标公告）</w:t>
      </w:r>
      <w:r>
        <w:tab/>
      </w:r>
      <w:r>
        <w:fldChar w:fldCharType="begin"/>
      </w:r>
      <w:r>
        <w:instrText xml:space="preserve"> PAGEREF _Toc8749 \h </w:instrText>
      </w:r>
      <w:r>
        <w:fldChar w:fldCharType="separate"/>
      </w:r>
      <w:r>
        <w:t xml:space="preserve">1</w:t>
      </w:r>
      <w:r>
        <w:fldChar w:fldCharType="end"/>
      </w:r>
      <w:r>
        <w:rPr>
          <w:bCs/>
        </w:rPr>
        <w:fldChar w:fldCharType="end"/>
      </w:r>
      <w:r/>
    </w:p>
    <w:p>
      <w:pPr>
        <w:pStyle w:val="1539"/>
        <w:tabs>
          <w:tab w:val="right" w:pos="9638" w:leader="dot"/>
        </w:tabs>
      </w:pPr>
      <w:r>
        <w:rPr>
          <w:bCs/>
        </w:rPr>
        <w:fldChar w:fldCharType="begin"/>
      </w:r>
      <w:r>
        <w:rPr>
          <w:bCs/>
        </w:rPr>
        <w:instrText xml:space="preserve"> HYPERLINK \l _Toc8717 </w:instrText>
      </w:r>
      <w:r>
        <w:rPr>
          <w:bCs/>
        </w:rPr>
        <w:fldChar w:fldCharType="separate"/>
      </w:r>
      <w:r>
        <w:rPr>
          <w:szCs w:val="28"/>
        </w:rPr>
        <w:t xml:space="preserve">第二章 投标人须知</w:t>
      </w:r>
      <w:r>
        <w:tab/>
      </w:r>
      <w:r>
        <w:fldChar w:fldCharType="begin"/>
      </w:r>
      <w:r>
        <w:instrText xml:space="preserve"> PAGEREF _Toc8717 \h </w:instrText>
      </w:r>
      <w:r>
        <w:fldChar w:fldCharType="separate"/>
      </w:r>
      <w:r>
        <w:t xml:space="preserve">4</w:t>
      </w:r>
      <w:r>
        <w:fldChar w:fldCharType="end"/>
      </w:r>
      <w:r>
        <w:rPr>
          <w:bCs/>
        </w:rPr>
        <w:fldChar w:fldCharType="end"/>
      </w:r>
      <w:r/>
    </w:p>
    <w:p>
      <w:pPr>
        <w:pStyle w:val="1546"/>
        <w:tabs>
          <w:tab w:val="right" w:pos="9638" w:leader="dot"/>
        </w:tabs>
      </w:pPr>
      <w:r>
        <w:rPr>
          <w:bCs/>
        </w:rPr>
        <w:fldChar w:fldCharType="begin"/>
      </w:r>
      <w:r>
        <w:rPr>
          <w:bCs/>
        </w:rPr>
        <w:instrText xml:space="preserve"> HYPERLINK \l _Toc7634 </w:instrText>
      </w:r>
      <w:r>
        <w:rPr>
          <w:bCs/>
        </w:rPr>
        <w:fldChar w:fldCharType="separate"/>
      </w:r>
      <w:r>
        <w:rPr>
          <w:rFonts w:hint="eastAsia" w:ascii="宋体" w:hAnsi="宋体" w:cs="宋体"/>
          <w:bCs/>
          <w:szCs w:val="21"/>
        </w:rPr>
        <w:t xml:space="preserve"> 一、总 则</w:t>
      </w:r>
      <w:r>
        <w:tab/>
      </w:r>
      <w:r>
        <w:fldChar w:fldCharType="begin"/>
      </w:r>
      <w:r>
        <w:instrText xml:space="preserve"> PAGEREF _Toc7634 \h </w:instrText>
      </w:r>
      <w:r>
        <w:fldChar w:fldCharType="separate"/>
      </w:r>
      <w:r>
        <w:t xml:space="preserve">7</w:t>
      </w:r>
      <w:r>
        <w:fldChar w:fldCharType="end"/>
      </w:r>
      <w:r>
        <w:rPr>
          <w:bCs/>
        </w:rPr>
        <w:fldChar w:fldCharType="end"/>
      </w:r>
      <w:r/>
    </w:p>
    <w:p>
      <w:pPr>
        <w:pStyle w:val="1525"/>
        <w:tabs>
          <w:tab w:val="right" w:pos="9638" w:leader="dot"/>
        </w:tabs>
      </w:pPr>
      <w:r>
        <w:rPr>
          <w:bCs/>
        </w:rPr>
        <w:fldChar w:fldCharType="begin"/>
      </w:r>
      <w:r>
        <w:rPr>
          <w:bCs/>
        </w:rPr>
        <w:instrText xml:space="preserve"> HYPERLINK \l _Toc26564 </w:instrText>
      </w:r>
      <w:r>
        <w:rPr>
          <w:bCs/>
        </w:rPr>
        <w:fldChar w:fldCharType="separate"/>
      </w:r>
      <w:r>
        <w:rPr>
          <w:rFonts w:hint="eastAsia" w:ascii="宋体" w:hAnsi="宋体" w:cs="宋体"/>
          <w:bCs/>
          <w:szCs w:val="21"/>
          <w:lang w:val="zh-CN"/>
        </w:rPr>
        <w:t xml:space="preserve">1.</w:t>
      </w:r>
      <w:r>
        <w:rPr>
          <w:rFonts w:hint="eastAsia" w:ascii="宋体" w:hAnsi="宋体" w:cs="宋体"/>
          <w:szCs w:val="21"/>
          <w:lang w:val="zh-CN"/>
        </w:rPr>
        <w:t xml:space="preserve">适用法律</w:t>
      </w:r>
      <w:r>
        <w:tab/>
      </w:r>
      <w:r>
        <w:fldChar w:fldCharType="begin"/>
      </w:r>
      <w:r>
        <w:instrText xml:space="preserve"> PAGEREF _Toc26564 \h </w:instrText>
      </w:r>
      <w:r>
        <w:fldChar w:fldCharType="separate"/>
      </w:r>
      <w:r>
        <w:t xml:space="preserve">7</w:t>
      </w:r>
      <w:r>
        <w:fldChar w:fldCharType="end"/>
      </w:r>
      <w:r>
        <w:rPr>
          <w:bCs/>
        </w:rPr>
        <w:fldChar w:fldCharType="end"/>
      </w:r>
      <w:r/>
    </w:p>
    <w:p>
      <w:pPr>
        <w:pStyle w:val="1525"/>
        <w:tabs>
          <w:tab w:val="right" w:pos="9638" w:leader="dot"/>
        </w:tabs>
      </w:pPr>
      <w:r>
        <w:rPr>
          <w:bCs/>
        </w:rPr>
        <w:fldChar w:fldCharType="begin"/>
      </w:r>
      <w:r>
        <w:rPr>
          <w:bCs/>
        </w:rPr>
        <w:instrText xml:space="preserve"> HYPERLINK \l _Toc990 </w:instrText>
      </w:r>
      <w:r>
        <w:rPr>
          <w:bCs/>
        </w:rPr>
        <w:fldChar w:fldCharType="separate"/>
      </w:r>
      <w:r>
        <w:rPr>
          <w:rFonts w:hint="eastAsia" w:ascii="宋体" w:hAnsi="宋体" w:cs="宋体"/>
          <w:bCs/>
          <w:szCs w:val="21"/>
          <w:lang w:val="zh-CN"/>
        </w:rPr>
        <w:t xml:space="preserve">2.</w:t>
      </w:r>
      <w:r>
        <w:rPr>
          <w:rFonts w:hint="eastAsia" w:ascii="宋体" w:hAnsi="宋体" w:cs="宋体"/>
          <w:szCs w:val="21"/>
          <w:lang w:val="zh-CN"/>
        </w:rPr>
        <w:t xml:space="preserve">定义</w:t>
      </w:r>
      <w:r>
        <w:tab/>
      </w:r>
      <w:r>
        <w:fldChar w:fldCharType="begin"/>
      </w:r>
      <w:r>
        <w:instrText xml:space="preserve"> PAGEREF _Toc990 \h </w:instrText>
      </w:r>
      <w:r>
        <w:fldChar w:fldCharType="separate"/>
      </w:r>
      <w:r>
        <w:t xml:space="preserve">7</w:t>
      </w:r>
      <w:r>
        <w:fldChar w:fldCharType="end"/>
      </w:r>
      <w:r>
        <w:rPr>
          <w:bCs/>
        </w:rPr>
        <w:fldChar w:fldCharType="end"/>
      </w:r>
      <w:r/>
    </w:p>
    <w:p>
      <w:pPr>
        <w:pStyle w:val="1525"/>
        <w:tabs>
          <w:tab w:val="right" w:pos="9638" w:leader="dot"/>
        </w:tabs>
      </w:pPr>
      <w:r>
        <w:rPr>
          <w:bCs/>
        </w:rPr>
        <w:fldChar w:fldCharType="begin"/>
      </w:r>
      <w:r>
        <w:rPr>
          <w:bCs/>
        </w:rPr>
        <w:instrText xml:space="preserve"> HYPERLINK \l _Toc27829 </w:instrText>
      </w:r>
      <w:r>
        <w:rPr>
          <w:bCs/>
        </w:rPr>
        <w:fldChar w:fldCharType="separate"/>
      </w:r>
      <w:r>
        <w:rPr>
          <w:rFonts w:hint="eastAsia" w:ascii="宋体" w:hAnsi="宋体" w:cs="宋体"/>
          <w:szCs w:val="21"/>
        </w:rPr>
        <w:t xml:space="preserve">3.政策功能</w:t>
      </w:r>
      <w:r>
        <w:tab/>
      </w:r>
      <w:r>
        <w:fldChar w:fldCharType="begin"/>
      </w:r>
      <w:r>
        <w:instrText xml:space="preserve"> PAGEREF _Toc27829 \h </w:instrText>
      </w:r>
      <w:r>
        <w:fldChar w:fldCharType="separate"/>
      </w:r>
      <w:r>
        <w:t xml:space="preserve">8</w:t>
      </w:r>
      <w:r>
        <w:fldChar w:fldCharType="end"/>
      </w:r>
      <w:r>
        <w:rPr>
          <w:bCs/>
        </w:rPr>
        <w:fldChar w:fldCharType="end"/>
      </w:r>
      <w:r/>
    </w:p>
    <w:p>
      <w:pPr>
        <w:pStyle w:val="1525"/>
        <w:tabs>
          <w:tab w:val="right" w:pos="9638" w:leader="dot"/>
        </w:tabs>
      </w:pPr>
      <w:r>
        <w:rPr>
          <w:bCs/>
        </w:rPr>
        <w:fldChar w:fldCharType="begin"/>
      </w:r>
      <w:r>
        <w:rPr>
          <w:bCs/>
        </w:rPr>
        <w:instrText xml:space="preserve"> HYPERLINK \l _Toc14828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_Toc14828 \h </w:instrText>
      </w:r>
      <w:r>
        <w:fldChar w:fldCharType="separate"/>
      </w:r>
      <w:r>
        <w:t xml:space="preserve">9</w:t>
      </w:r>
      <w:r>
        <w:fldChar w:fldCharType="end"/>
      </w:r>
      <w:r>
        <w:rPr>
          <w:bCs/>
        </w:rPr>
        <w:fldChar w:fldCharType="end"/>
      </w:r>
      <w:r/>
    </w:p>
    <w:p>
      <w:pPr>
        <w:pStyle w:val="1525"/>
        <w:tabs>
          <w:tab w:val="right" w:pos="9638" w:leader="dot"/>
        </w:tabs>
      </w:pPr>
      <w:r>
        <w:rPr>
          <w:bCs/>
        </w:rPr>
        <w:fldChar w:fldCharType="begin"/>
      </w:r>
      <w:r>
        <w:rPr>
          <w:bCs/>
        </w:rPr>
        <w:instrText xml:space="preserve"> HYPERLINK \l _Toc15743 </w:instrText>
      </w:r>
      <w:r>
        <w:rPr>
          <w:bCs/>
        </w:rPr>
        <w:fldChar w:fldCharType="separate"/>
      </w:r>
      <w:r>
        <w:rPr>
          <w:rFonts w:hint="eastAsia" w:ascii="宋体" w:hAnsi="宋体" w:cs="宋体"/>
          <w:bCs/>
          <w:szCs w:val="21"/>
          <w:lang w:val="zh-CN"/>
        </w:rPr>
        <w:t xml:space="preserve">4.</w:t>
      </w:r>
      <w:r>
        <w:rPr>
          <w:rFonts w:hint="eastAsia" w:ascii="宋体" w:hAnsi="宋体" w:cs="宋体"/>
          <w:szCs w:val="21"/>
          <w:lang w:val="zh-CN"/>
        </w:rPr>
        <w:t xml:space="preserve">投标费用</w:t>
      </w:r>
      <w:r>
        <w:tab/>
      </w:r>
      <w:r>
        <w:fldChar w:fldCharType="begin"/>
      </w:r>
      <w:r>
        <w:instrText xml:space="preserve"> PAGEREF _Toc15743 \h </w:instrText>
      </w:r>
      <w:r>
        <w:fldChar w:fldCharType="separate"/>
      </w:r>
      <w:r>
        <w:t xml:space="preserve">10</w:t>
      </w:r>
      <w:r>
        <w:fldChar w:fldCharType="end"/>
      </w:r>
      <w:r>
        <w:rPr>
          <w:bCs/>
        </w:rPr>
        <w:fldChar w:fldCharType="end"/>
      </w:r>
      <w:r/>
    </w:p>
    <w:p>
      <w:pPr>
        <w:pStyle w:val="1525"/>
        <w:tabs>
          <w:tab w:val="right" w:pos="9638" w:leader="dot"/>
        </w:tabs>
      </w:pPr>
      <w:r>
        <w:rPr>
          <w:bCs/>
        </w:rPr>
        <w:fldChar w:fldCharType="begin"/>
      </w:r>
      <w:r>
        <w:rPr>
          <w:bCs/>
        </w:rPr>
        <w:instrText xml:space="preserve"> HYPERLINK \l _Toc10708 </w:instrText>
      </w:r>
      <w:r>
        <w:rPr>
          <w:bCs/>
        </w:rPr>
        <w:fldChar w:fldCharType="separate"/>
      </w:r>
      <w:r>
        <w:rPr>
          <w:rFonts w:hint="eastAsia" w:ascii="宋体" w:hAnsi="宋体" w:cs="宋体"/>
          <w:bCs/>
          <w:szCs w:val="21"/>
          <w:lang w:val="zh-CN"/>
        </w:rPr>
        <w:t xml:space="preserve">5.</w:t>
      </w:r>
      <w:r>
        <w:rPr>
          <w:rFonts w:hint="eastAsia" w:ascii="宋体" w:hAnsi="宋体" w:cs="宋体"/>
          <w:szCs w:val="21"/>
          <w:lang w:val="zh-CN"/>
        </w:rPr>
        <w:t xml:space="preserve">招标文件的约束力</w:t>
      </w:r>
      <w:r>
        <w:tab/>
      </w:r>
      <w:r>
        <w:fldChar w:fldCharType="begin"/>
      </w:r>
      <w:r>
        <w:instrText xml:space="preserve"> PAGEREF _Toc10708 \h </w:instrText>
      </w:r>
      <w:r>
        <w:fldChar w:fldCharType="separate"/>
      </w:r>
      <w:r>
        <w:t xml:space="preserve">10</w:t>
      </w:r>
      <w:r>
        <w:fldChar w:fldCharType="end"/>
      </w:r>
      <w:r>
        <w:rPr>
          <w:bCs/>
        </w:rPr>
        <w:fldChar w:fldCharType="end"/>
      </w:r>
      <w:r/>
    </w:p>
    <w:p>
      <w:pPr>
        <w:pStyle w:val="1546"/>
        <w:tabs>
          <w:tab w:val="right" w:pos="9638" w:leader="dot"/>
        </w:tabs>
      </w:pPr>
      <w:r>
        <w:rPr>
          <w:bCs/>
        </w:rPr>
        <w:fldChar w:fldCharType="begin"/>
      </w:r>
      <w:r>
        <w:rPr>
          <w:bCs/>
        </w:rPr>
        <w:instrText xml:space="preserve"> HYPERLINK \l _Toc5534 </w:instrText>
      </w:r>
      <w:r>
        <w:rPr>
          <w:bCs/>
        </w:rPr>
        <w:fldChar w:fldCharType="separate"/>
      </w:r>
      <w:r>
        <w:rPr>
          <w:rFonts w:hint="eastAsia" w:ascii="宋体" w:hAnsi="宋体" w:cs="宋体"/>
          <w:bCs/>
          <w:szCs w:val="21"/>
        </w:rPr>
        <w:t xml:space="preserve">二、招标文件</w:t>
      </w:r>
      <w:r>
        <w:tab/>
      </w:r>
      <w:r>
        <w:fldChar w:fldCharType="begin"/>
      </w:r>
      <w:r>
        <w:instrText xml:space="preserve"> PAGEREF _Toc5534 \h </w:instrText>
      </w:r>
      <w:r>
        <w:fldChar w:fldCharType="separate"/>
      </w:r>
      <w:r>
        <w:t xml:space="preserve">10</w:t>
      </w:r>
      <w:r>
        <w:fldChar w:fldCharType="end"/>
      </w:r>
      <w:r>
        <w:rPr>
          <w:bCs/>
        </w:rPr>
        <w:fldChar w:fldCharType="end"/>
      </w:r>
      <w:r/>
    </w:p>
    <w:p>
      <w:pPr>
        <w:pStyle w:val="1525"/>
        <w:tabs>
          <w:tab w:val="right" w:pos="9638" w:leader="dot"/>
        </w:tabs>
      </w:pPr>
      <w:r>
        <w:rPr>
          <w:bCs/>
        </w:rPr>
        <w:fldChar w:fldCharType="begin"/>
      </w:r>
      <w:r>
        <w:rPr>
          <w:bCs/>
        </w:rPr>
        <w:instrText xml:space="preserve"> HYPERLINK \l _Toc15890 </w:instrText>
      </w:r>
      <w:r>
        <w:rPr>
          <w:bCs/>
        </w:rPr>
        <w:fldChar w:fldCharType="separate"/>
      </w:r>
      <w:r>
        <w:rPr>
          <w:rFonts w:hint="eastAsia" w:ascii="宋体" w:hAnsi="宋体" w:cs="宋体"/>
          <w:bCs/>
          <w:szCs w:val="21"/>
          <w:lang w:val="zh-CN"/>
        </w:rPr>
        <w:t xml:space="preserve">6.</w:t>
      </w:r>
      <w:r>
        <w:rPr>
          <w:rFonts w:hint="eastAsia" w:ascii="宋体" w:hAnsi="宋体" w:cs="宋体"/>
          <w:szCs w:val="21"/>
          <w:lang w:val="zh-CN"/>
        </w:rPr>
        <w:t xml:space="preserve">招标文件构成</w:t>
      </w:r>
      <w:r>
        <w:tab/>
      </w:r>
      <w:r>
        <w:fldChar w:fldCharType="begin"/>
      </w:r>
      <w:r>
        <w:instrText xml:space="preserve"> PAGEREF _Toc15890 \h </w:instrText>
      </w:r>
      <w:r>
        <w:fldChar w:fldCharType="separate"/>
      </w:r>
      <w:r>
        <w:t xml:space="preserve">10</w:t>
      </w:r>
      <w:r>
        <w:fldChar w:fldCharType="end"/>
      </w:r>
      <w:r>
        <w:rPr>
          <w:bCs/>
        </w:rPr>
        <w:fldChar w:fldCharType="end"/>
      </w:r>
      <w:r/>
    </w:p>
    <w:p>
      <w:pPr>
        <w:pStyle w:val="1525"/>
        <w:tabs>
          <w:tab w:val="right" w:pos="9638" w:leader="dot"/>
        </w:tabs>
      </w:pPr>
      <w:r>
        <w:rPr>
          <w:bCs/>
        </w:rPr>
        <w:fldChar w:fldCharType="begin"/>
      </w:r>
      <w:r>
        <w:rPr>
          <w:bCs/>
        </w:rPr>
        <w:instrText xml:space="preserve"> HYPERLINK \l _Toc18094 </w:instrText>
      </w:r>
      <w:r>
        <w:rPr>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_Toc18094 \h </w:instrText>
      </w:r>
      <w:r>
        <w:fldChar w:fldCharType="separate"/>
      </w:r>
      <w:r>
        <w:t xml:space="preserve">10</w:t>
      </w:r>
      <w:r>
        <w:fldChar w:fldCharType="end"/>
      </w:r>
      <w:r>
        <w:rPr>
          <w:bCs/>
        </w:rPr>
        <w:fldChar w:fldCharType="end"/>
      </w:r>
      <w:r/>
    </w:p>
    <w:p>
      <w:pPr>
        <w:pStyle w:val="1546"/>
        <w:tabs>
          <w:tab w:val="right" w:pos="9638" w:leader="dot"/>
        </w:tabs>
      </w:pPr>
      <w:r>
        <w:rPr>
          <w:bCs/>
        </w:rPr>
        <w:fldChar w:fldCharType="begin"/>
      </w:r>
      <w:r>
        <w:rPr>
          <w:bCs/>
        </w:rPr>
        <w:instrText xml:space="preserve"> HYPERLINK \l _Toc5792 </w:instrText>
      </w:r>
      <w:r>
        <w:rPr>
          <w:bCs/>
        </w:rPr>
        <w:fldChar w:fldCharType="separate"/>
      </w:r>
      <w:r>
        <w:rPr>
          <w:rFonts w:hint="eastAsia" w:ascii="宋体" w:hAnsi="宋体" w:cs="宋体"/>
          <w:bCs/>
          <w:szCs w:val="21"/>
        </w:rPr>
        <w:t xml:space="preserve">三、投标文件的编制</w:t>
      </w:r>
      <w:r>
        <w:tab/>
      </w:r>
      <w:r>
        <w:fldChar w:fldCharType="begin"/>
      </w:r>
      <w:r>
        <w:instrText xml:space="preserve"> PAGEREF _Toc5792 \h </w:instrText>
      </w:r>
      <w:r>
        <w:fldChar w:fldCharType="separate"/>
      </w:r>
      <w:r>
        <w:t xml:space="preserve">11</w:t>
      </w:r>
      <w:r>
        <w:fldChar w:fldCharType="end"/>
      </w:r>
      <w:r>
        <w:rPr>
          <w:bCs/>
        </w:rPr>
        <w:fldChar w:fldCharType="end"/>
      </w:r>
      <w:r/>
    </w:p>
    <w:p>
      <w:pPr>
        <w:pStyle w:val="1525"/>
        <w:tabs>
          <w:tab w:val="right" w:pos="9638" w:leader="dot"/>
        </w:tabs>
      </w:pPr>
      <w:r>
        <w:rPr>
          <w:bCs/>
        </w:rPr>
        <w:fldChar w:fldCharType="begin"/>
      </w:r>
      <w:r>
        <w:rPr>
          <w:bCs/>
        </w:rPr>
        <w:instrText xml:space="preserve"> HYPERLINK \l _Toc23140 </w:instrText>
      </w:r>
      <w:r>
        <w:rPr>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_Toc23140 \h </w:instrText>
      </w:r>
      <w:r>
        <w:fldChar w:fldCharType="separate"/>
      </w:r>
      <w:r>
        <w:t xml:space="preserve">11</w:t>
      </w:r>
      <w:r>
        <w:fldChar w:fldCharType="end"/>
      </w:r>
      <w:r>
        <w:rPr>
          <w:bCs/>
        </w:rPr>
        <w:fldChar w:fldCharType="end"/>
      </w:r>
      <w:r/>
    </w:p>
    <w:p>
      <w:pPr>
        <w:pStyle w:val="1525"/>
        <w:tabs>
          <w:tab w:val="right" w:pos="9638" w:leader="dot"/>
        </w:tabs>
      </w:pPr>
      <w:r>
        <w:rPr>
          <w:bCs/>
        </w:rPr>
        <w:fldChar w:fldCharType="begin"/>
      </w:r>
      <w:r>
        <w:rPr>
          <w:bCs/>
        </w:rPr>
        <w:instrText xml:space="preserve"> HYPERLINK \l _Toc24957 </w:instrText>
      </w:r>
      <w:r>
        <w:rPr>
          <w:bCs/>
        </w:rPr>
        <w:fldChar w:fldCharType="separate"/>
      </w:r>
      <w:r>
        <w:rPr>
          <w:rFonts w:hint="eastAsia" w:ascii="宋体" w:hAnsi="宋体" w:cs="宋体"/>
          <w:bCs/>
          <w:szCs w:val="21"/>
        </w:rPr>
        <w:t xml:space="preserve">9.</w:t>
      </w:r>
      <w:r>
        <w:rPr>
          <w:rFonts w:hint="eastAsia" w:ascii="宋体" w:hAnsi="宋体" w:cs="宋体"/>
          <w:szCs w:val="21"/>
          <w:lang w:val="zh-CN"/>
        </w:rPr>
        <w:t xml:space="preserve">联合体（</w:t>
      </w:r>
      <w:r>
        <w:rPr>
          <w:rFonts w:hint="eastAsia" w:ascii="宋体" w:hAnsi="宋体" w:cs="宋体"/>
          <w:bCs/>
          <w:szCs w:val="21"/>
        </w:rPr>
        <w:t xml:space="preserve">本项目不接受联合体投标</w:t>
      </w:r>
      <w:r>
        <w:rPr>
          <w:rFonts w:hint="eastAsia" w:ascii="宋体" w:hAnsi="宋体" w:cs="宋体"/>
          <w:szCs w:val="21"/>
          <w:lang w:val="zh-CN"/>
        </w:rPr>
        <w:t xml:space="preserve">）</w:t>
      </w:r>
      <w:r>
        <w:tab/>
      </w:r>
      <w:r>
        <w:fldChar w:fldCharType="begin"/>
      </w:r>
      <w:r>
        <w:instrText xml:space="preserve"> PAGEREF _Toc24957 \h </w:instrText>
      </w:r>
      <w:r>
        <w:fldChar w:fldCharType="separate"/>
      </w:r>
      <w:r>
        <w:t xml:space="preserve">11</w:t>
      </w:r>
      <w:r>
        <w:fldChar w:fldCharType="end"/>
      </w:r>
      <w:r>
        <w:rPr>
          <w:bCs/>
        </w:rPr>
        <w:fldChar w:fldCharType="end"/>
      </w:r>
      <w:r/>
    </w:p>
    <w:p>
      <w:pPr>
        <w:pStyle w:val="1525"/>
        <w:tabs>
          <w:tab w:val="right" w:pos="9638" w:leader="dot"/>
        </w:tabs>
      </w:pPr>
      <w:r>
        <w:rPr>
          <w:bCs/>
        </w:rPr>
        <w:fldChar w:fldCharType="begin"/>
      </w:r>
      <w:r>
        <w:rPr>
          <w:bCs/>
        </w:rPr>
        <w:instrText xml:space="preserve"> HYPERLINK \l _Toc19830 </w:instrText>
      </w:r>
      <w:r>
        <w:rPr>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_Toc19830 \h </w:instrText>
      </w:r>
      <w:r>
        <w:fldChar w:fldCharType="separate"/>
      </w:r>
      <w:r>
        <w:t xml:space="preserve">12</w:t>
      </w:r>
      <w:r>
        <w:fldChar w:fldCharType="end"/>
      </w:r>
      <w:r>
        <w:rPr>
          <w:bCs/>
        </w:rPr>
        <w:fldChar w:fldCharType="end"/>
      </w:r>
      <w:r/>
    </w:p>
    <w:p>
      <w:pPr>
        <w:pStyle w:val="1525"/>
        <w:tabs>
          <w:tab w:val="right" w:pos="9638" w:leader="dot"/>
        </w:tabs>
      </w:pPr>
      <w:r>
        <w:rPr>
          <w:bCs/>
        </w:rPr>
        <w:fldChar w:fldCharType="begin"/>
      </w:r>
      <w:r>
        <w:rPr>
          <w:bCs/>
        </w:rPr>
        <w:instrText xml:space="preserve"> HYPERLINK \l _Toc23659 </w:instrText>
      </w:r>
      <w:r>
        <w:rPr>
          <w:bCs/>
        </w:rPr>
        <w:fldChar w:fldCharType="separate"/>
      </w:r>
      <w:r>
        <w:rPr>
          <w:rFonts w:hint="eastAsia" w:ascii="宋体" w:hAnsi="宋体" w:eastAsia="宋体" w:cs="宋体"/>
          <w:bCs/>
          <w:szCs w:val="21"/>
        </w:rPr>
        <w:t xml:space="preserve">11.投标保证金（如有）</w:t>
      </w:r>
      <w:r>
        <w:tab/>
      </w:r>
      <w:r>
        <w:fldChar w:fldCharType="begin"/>
      </w:r>
      <w:r>
        <w:instrText xml:space="preserve"> PAGEREF _Toc23659 \h </w:instrText>
      </w:r>
      <w:r>
        <w:fldChar w:fldCharType="separate"/>
      </w:r>
      <w:r>
        <w:t xml:space="preserve">13</w:t>
      </w:r>
      <w:r>
        <w:fldChar w:fldCharType="end"/>
      </w:r>
      <w:r>
        <w:rPr>
          <w:bCs/>
        </w:rPr>
        <w:fldChar w:fldCharType="end"/>
      </w:r>
      <w:r/>
    </w:p>
    <w:p>
      <w:pPr>
        <w:pStyle w:val="1525"/>
        <w:tabs>
          <w:tab w:val="right" w:pos="9638" w:leader="dot"/>
        </w:tabs>
      </w:pPr>
      <w:r>
        <w:rPr>
          <w:bCs/>
        </w:rPr>
        <w:fldChar w:fldCharType="begin"/>
      </w:r>
      <w:r>
        <w:rPr>
          <w:bCs/>
        </w:rPr>
        <w:instrText xml:space="preserve"> HYPERLINK \l _Toc29408 </w:instrText>
      </w:r>
      <w:r>
        <w:rPr>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_Toc29408 \h </w:instrText>
      </w:r>
      <w:r>
        <w:fldChar w:fldCharType="separate"/>
      </w:r>
      <w:r>
        <w:t xml:space="preserve">13</w:t>
      </w:r>
      <w:r>
        <w:fldChar w:fldCharType="end"/>
      </w:r>
      <w:r>
        <w:rPr>
          <w:bCs/>
        </w:rPr>
        <w:fldChar w:fldCharType="end"/>
      </w:r>
      <w:r/>
    </w:p>
    <w:p>
      <w:pPr>
        <w:pStyle w:val="1525"/>
        <w:tabs>
          <w:tab w:val="right" w:pos="9638" w:leader="dot"/>
        </w:tabs>
      </w:pPr>
      <w:r>
        <w:rPr>
          <w:bCs/>
        </w:rPr>
        <w:fldChar w:fldCharType="begin"/>
      </w:r>
      <w:r>
        <w:rPr>
          <w:bCs/>
        </w:rPr>
        <w:instrText xml:space="preserve"> HYPERLINK \l _Toc29105 </w:instrText>
      </w:r>
      <w:r>
        <w:rPr>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_Toc29105 \h </w:instrText>
      </w:r>
      <w:r>
        <w:fldChar w:fldCharType="separate"/>
      </w:r>
      <w:r>
        <w:t xml:space="preserve">13</w:t>
      </w:r>
      <w:r>
        <w:fldChar w:fldCharType="end"/>
      </w:r>
      <w:r>
        <w:rPr>
          <w:bCs/>
        </w:rPr>
        <w:fldChar w:fldCharType="end"/>
      </w:r>
      <w:r/>
    </w:p>
    <w:p>
      <w:pPr>
        <w:pStyle w:val="1546"/>
        <w:tabs>
          <w:tab w:val="right" w:pos="9638" w:leader="dot"/>
        </w:tabs>
      </w:pPr>
      <w:r>
        <w:rPr>
          <w:bCs/>
        </w:rPr>
        <w:fldChar w:fldCharType="begin"/>
      </w:r>
      <w:r>
        <w:rPr>
          <w:bCs/>
        </w:rPr>
        <w:instrText xml:space="preserve"> HYPERLINK \l _Toc18975 </w:instrText>
      </w:r>
      <w:r>
        <w:rPr>
          <w:bCs/>
        </w:rPr>
        <w:fldChar w:fldCharType="separate"/>
      </w:r>
      <w:r>
        <w:rPr>
          <w:rFonts w:hint="eastAsia" w:ascii="宋体" w:hAnsi="宋体" w:cs="宋体"/>
          <w:bCs/>
          <w:szCs w:val="21"/>
        </w:rPr>
        <w:t xml:space="preserve">四、投标文件的递交</w:t>
      </w:r>
      <w:r>
        <w:tab/>
      </w:r>
      <w:r>
        <w:fldChar w:fldCharType="begin"/>
      </w:r>
      <w:r>
        <w:instrText xml:space="preserve"> PAGEREF _Toc18975 \h </w:instrText>
      </w:r>
      <w:r>
        <w:fldChar w:fldCharType="separate"/>
      </w:r>
      <w:r>
        <w:t xml:space="preserve">14</w:t>
      </w:r>
      <w:r>
        <w:fldChar w:fldCharType="end"/>
      </w:r>
      <w:r>
        <w:rPr>
          <w:bCs/>
        </w:rPr>
        <w:fldChar w:fldCharType="end"/>
      </w:r>
      <w:r/>
    </w:p>
    <w:p>
      <w:pPr>
        <w:pStyle w:val="1525"/>
        <w:tabs>
          <w:tab w:val="right" w:pos="9638" w:leader="dot"/>
        </w:tabs>
      </w:pPr>
      <w:r>
        <w:rPr>
          <w:bCs/>
        </w:rPr>
        <w:fldChar w:fldCharType="begin"/>
      </w:r>
      <w:r>
        <w:rPr>
          <w:bCs/>
        </w:rPr>
        <w:instrText xml:space="preserve"> HYPERLINK \l _Toc12261 </w:instrText>
      </w:r>
      <w:r>
        <w:rPr>
          <w:bCs/>
        </w:rPr>
        <w:fldChar w:fldCharType="separate"/>
      </w:r>
      <w:r>
        <w:rPr>
          <w:rFonts w:hint="eastAsia" w:ascii="宋体" w:hAnsi="宋体" w:cs="宋体"/>
          <w:bCs/>
          <w:szCs w:val="21"/>
        </w:rPr>
        <w:t xml:space="preserve">14.投标文件的递交</w:t>
      </w:r>
      <w:r>
        <w:tab/>
      </w:r>
      <w:r>
        <w:fldChar w:fldCharType="begin"/>
      </w:r>
      <w:r>
        <w:instrText xml:space="preserve"> PAGEREF _Toc12261 \h </w:instrText>
      </w:r>
      <w:r>
        <w:fldChar w:fldCharType="separate"/>
      </w:r>
      <w:r>
        <w:t xml:space="preserve">14</w:t>
      </w:r>
      <w:r>
        <w:fldChar w:fldCharType="end"/>
      </w:r>
      <w:r>
        <w:rPr>
          <w:bCs/>
        </w:rPr>
        <w:fldChar w:fldCharType="end"/>
      </w:r>
      <w:r/>
    </w:p>
    <w:p>
      <w:pPr>
        <w:pStyle w:val="1525"/>
        <w:tabs>
          <w:tab w:val="right" w:pos="9638" w:leader="dot"/>
        </w:tabs>
      </w:pPr>
      <w:r>
        <w:rPr>
          <w:bCs/>
        </w:rPr>
        <w:fldChar w:fldCharType="begin"/>
      </w:r>
      <w:r>
        <w:rPr>
          <w:bCs/>
        </w:rPr>
        <w:instrText xml:space="preserve"> HYPERLINK \l _Toc10319 </w:instrText>
      </w:r>
      <w:r>
        <w:rPr>
          <w:bCs/>
        </w:rPr>
        <w:fldChar w:fldCharType="separate"/>
      </w:r>
      <w:r>
        <w:rPr>
          <w:rFonts w:hint="eastAsia" w:ascii="宋体" w:hAnsi="宋体" w:cs="宋体"/>
          <w:bCs/>
          <w:szCs w:val="21"/>
        </w:rPr>
        <w:t xml:space="preserve">15.投标截止时间</w:t>
      </w:r>
      <w:r>
        <w:tab/>
      </w:r>
      <w:r>
        <w:fldChar w:fldCharType="begin"/>
      </w:r>
      <w:r>
        <w:instrText xml:space="preserve"> PAGEREF _Toc10319 \h </w:instrText>
      </w:r>
      <w:r>
        <w:fldChar w:fldCharType="separate"/>
      </w:r>
      <w:r>
        <w:t xml:space="preserve">14</w:t>
      </w:r>
      <w:r>
        <w:fldChar w:fldCharType="end"/>
      </w:r>
      <w:r>
        <w:rPr>
          <w:bCs/>
        </w:rPr>
        <w:fldChar w:fldCharType="end"/>
      </w:r>
      <w:r/>
    </w:p>
    <w:p>
      <w:pPr>
        <w:pStyle w:val="1525"/>
        <w:tabs>
          <w:tab w:val="right" w:pos="9638" w:leader="dot"/>
        </w:tabs>
      </w:pPr>
      <w:r>
        <w:rPr>
          <w:bCs/>
        </w:rPr>
        <w:fldChar w:fldCharType="begin"/>
      </w:r>
      <w:r>
        <w:rPr>
          <w:bCs/>
        </w:rPr>
        <w:instrText xml:space="preserve"> HYPERLINK \l _Toc7434 </w:instrText>
      </w:r>
      <w:r>
        <w:rPr>
          <w:bCs/>
        </w:rPr>
        <w:fldChar w:fldCharType="separate"/>
      </w:r>
      <w:r>
        <w:rPr>
          <w:rFonts w:hint="eastAsia" w:ascii="宋体" w:hAnsi="宋体" w:cs="宋体"/>
          <w:bCs/>
          <w:szCs w:val="21"/>
        </w:rPr>
        <w:t xml:space="preserve">16.投标文件的拒收</w:t>
      </w:r>
      <w:r>
        <w:tab/>
      </w:r>
      <w:r>
        <w:fldChar w:fldCharType="begin"/>
      </w:r>
      <w:r>
        <w:instrText xml:space="preserve"> PAGEREF _Toc7434 \h </w:instrText>
      </w:r>
      <w:r>
        <w:fldChar w:fldCharType="separate"/>
      </w:r>
      <w:r>
        <w:t xml:space="preserve">14</w:t>
      </w:r>
      <w:r>
        <w:fldChar w:fldCharType="end"/>
      </w:r>
      <w:r>
        <w:rPr>
          <w:bCs/>
        </w:rPr>
        <w:fldChar w:fldCharType="end"/>
      </w:r>
      <w:r/>
    </w:p>
    <w:p>
      <w:pPr>
        <w:pStyle w:val="1525"/>
        <w:tabs>
          <w:tab w:val="right" w:pos="9638" w:leader="dot"/>
        </w:tabs>
      </w:pPr>
      <w:r>
        <w:rPr>
          <w:bCs/>
        </w:rPr>
        <w:fldChar w:fldCharType="begin"/>
      </w:r>
      <w:r>
        <w:rPr>
          <w:bCs/>
        </w:rPr>
        <w:instrText xml:space="preserve"> HYPERLINK \l _Toc21344 </w:instrText>
      </w:r>
      <w:r>
        <w:rPr>
          <w:bCs/>
        </w:rPr>
        <w:fldChar w:fldCharType="separate"/>
      </w:r>
      <w:r>
        <w:rPr>
          <w:rFonts w:hint="eastAsia" w:ascii="宋体" w:hAnsi="宋体" w:cs="宋体"/>
          <w:bCs/>
          <w:szCs w:val="21"/>
        </w:rPr>
        <w:t xml:space="preserve">17.投标文件的修改或撤回</w:t>
      </w:r>
      <w:r>
        <w:tab/>
      </w:r>
      <w:r>
        <w:fldChar w:fldCharType="begin"/>
      </w:r>
      <w:r>
        <w:instrText xml:space="preserve"> PAGEREF _Toc21344 \h </w:instrText>
      </w:r>
      <w:r>
        <w:fldChar w:fldCharType="separate"/>
      </w:r>
      <w:r>
        <w:t xml:space="preserve">14</w:t>
      </w:r>
      <w:r>
        <w:fldChar w:fldCharType="end"/>
      </w:r>
      <w:r>
        <w:rPr>
          <w:bCs/>
        </w:rPr>
        <w:fldChar w:fldCharType="end"/>
      </w:r>
      <w:r/>
    </w:p>
    <w:p>
      <w:pPr>
        <w:pStyle w:val="1546"/>
        <w:tabs>
          <w:tab w:val="right" w:pos="9638" w:leader="dot"/>
        </w:tabs>
      </w:pPr>
      <w:r>
        <w:rPr>
          <w:bCs/>
        </w:rPr>
        <w:fldChar w:fldCharType="begin"/>
      </w:r>
      <w:r>
        <w:rPr>
          <w:bCs/>
        </w:rPr>
        <w:instrText xml:space="preserve"> HYPERLINK \l _Toc10111 </w:instrText>
      </w:r>
      <w:r>
        <w:rPr>
          <w:bCs/>
        </w:rPr>
        <w:fldChar w:fldCharType="separate"/>
      </w:r>
      <w:r>
        <w:rPr>
          <w:rFonts w:hint="eastAsia" w:ascii="宋体" w:hAnsi="宋体" w:cs="宋体"/>
          <w:bCs/>
          <w:szCs w:val="21"/>
        </w:rPr>
        <w:t xml:space="preserve">五、开标与评标</w:t>
      </w:r>
      <w:r>
        <w:tab/>
      </w:r>
      <w:r>
        <w:fldChar w:fldCharType="begin"/>
      </w:r>
      <w:r>
        <w:instrText xml:space="preserve"> PAGEREF _Toc10111 \h </w:instrText>
      </w:r>
      <w:r>
        <w:fldChar w:fldCharType="separate"/>
      </w:r>
      <w:r>
        <w:t xml:space="preserve">15</w:t>
      </w:r>
      <w:r>
        <w:fldChar w:fldCharType="end"/>
      </w:r>
      <w:r>
        <w:rPr>
          <w:bCs/>
        </w:rPr>
        <w:fldChar w:fldCharType="end"/>
      </w:r>
      <w:r/>
    </w:p>
    <w:p>
      <w:pPr>
        <w:pStyle w:val="1525"/>
        <w:tabs>
          <w:tab w:val="right" w:pos="9638" w:leader="dot"/>
        </w:tabs>
      </w:pPr>
      <w:r>
        <w:rPr>
          <w:bCs/>
        </w:rPr>
        <w:fldChar w:fldCharType="begin"/>
      </w:r>
      <w:r>
        <w:rPr>
          <w:bCs/>
        </w:rPr>
        <w:instrText xml:space="preserve"> HYPERLINK \l _Toc26545 </w:instrText>
      </w:r>
      <w:r>
        <w:rPr>
          <w:bCs/>
        </w:rPr>
        <w:fldChar w:fldCharType="separate"/>
      </w:r>
      <w:r>
        <w:rPr>
          <w:rFonts w:hint="eastAsia" w:ascii="宋体" w:hAnsi="宋体" w:eastAsia="宋体" w:cs="宋体"/>
          <w:bCs/>
          <w:szCs w:val="21"/>
        </w:rPr>
        <w:t xml:space="preserve">18.开标</w:t>
      </w:r>
      <w:r>
        <w:tab/>
      </w:r>
      <w:r>
        <w:fldChar w:fldCharType="begin"/>
      </w:r>
      <w:r>
        <w:instrText xml:space="preserve"> PAGEREF _Toc26545 \h </w:instrText>
      </w:r>
      <w:r>
        <w:fldChar w:fldCharType="separate"/>
      </w:r>
      <w:r>
        <w:t xml:space="preserve">15</w:t>
      </w:r>
      <w:r>
        <w:fldChar w:fldCharType="end"/>
      </w:r>
      <w:r>
        <w:rPr>
          <w:bCs/>
        </w:rPr>
        <w:fldChar w:fldCharType="end"/>
      </w:r>
      <w:r/>
    </w:p>
    <w:p>
      <w:pPr>
        <w:pStyle w:val="1525"/>
        <w:tabs>
          <w:tab w:val="right" w:pos="9638" w:leader="dot"/>
        </w:tabs>
      </w:pPr>
      <w:r>
        <w:rPr>
          <w:bCs/>
        </w:rPr>
        <w:fldChar w:fldCharType="begin"/>
      </w:r>
      <w:r>
        <w:rPr>
          <w:bCs/>
        </w:rPr>
        <w:instrText xml:space="preserve"> HYPERLINK \l _Toc19352 </w:instrText>
      </w:r>
      <w:r>
        <w:rPr>
          <w:bCs/>
        </w:rPr>
        <w:fldChar w:fldCharType="separate"/>
      </w:r>
      <w:r>
        <w:rPr>
          <w:rFonts w:hint="eastAsia" w:ascii="宋体" w:hAnsi="宋体" w:eastAsia="宋体" w:cs="宋体"/>
          <w:bCs/>
          <w:szCs w:val="21"/>
        </w:rPr>
        <w:t xml:space="preserve">19.评标组织</w:t>
      </w:r>
      <w:r>
        <w:tab/>
      </w:r>
      <w:r>
        <w:fldChar w:fldCharType="begin"/>
      </w:r>
      <w:r>
        <w:instrText xml:space="preserve"> PAGEREF _Toc19352 \h </w:instrText>
      </w:r>
      <w:r>
        <w:fldChar w:fldCharType="separate"/>
      </w:r>
      <w:r>
        <w:t xml:space="preserve">15</w:t>
      </w:r>
      <w:r>
        <w:fldChar w:fldCharType="end"/>
      </w:r>
      <w:r>
        <w:rPr>
          <w:bCs/>
        </w:rPr>
        <w:fldChar w:fldCharType="end"/>
      </w:r>
      <w:r/>
    </w:p>
    <w:p>
      <w:pPr>
        <w:pStyle w:val="1525"/>
        <w:tabs>
          <w:tab w:val="right" w:pos="9638" w:leader="dot"/>
        </w:tabs>
      </w:pPr>
      <w:r>
        <w:rPr>
          <w:bCs/>
        </w:rPr>
        <w:fldChar w:fldCharType="begin"/>
      </w:r>
      <w:r>
        <w:rPr>
          <w:bCs/>
        </w:rPr>
        <w:instrText xml:space="preserve"> HYPERLINK \l _Toc25564 </w:instrText>
      </w:r>
      <w:r>
        <w:rPr>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_Toc25564 \h </w:instrText>
      </w:r>
      <w:r>
        <w:fldChar w:fldCharType="separate"/>
      </w:r>
      <w:r>
        <w:t xml:space="preserve">15</w:t>
      </w:r>
      <w:r>
        <w:fldChar w:fldCharType="end"/>
      </w:r>
      <w:r>
        <w:rPr>
          <w:bCs/>
        </w:rPr>
        <w:fldChar w:fldCharType="end"/>
      </w:r>
      <w:r/>
    </w:p>
    <w:p>
      <w:pPr>
        <w:pStyle w:val="1525"/>
        <w:tabs>
          <w:tab w:val="right" w:pos="9638" w:leader="dot"/>
        </w:tabs>
      </w:pPr>
      <w:r>
        <w:rPr>
          <w:bCs/>
        </w:rPr>
        <w:fldChar w:fldCharType="begin"/>
      </w:r>
      <w:r>
        <w:rPr>
          <w:bCs/>
        </w:rPr>
        <w:instrText xml:space="preserve"> HYPERLINK \l _Toc31450 </w:instrText>
      </w:r>
      <w:r>
        <w:rPr>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_Toc31450 \h </w:instrText>
      </w:r>
      <w:r>
        <w:fldChar w:fldCharType="separate"/>
      </w:r>
      <w:r>
        <w:t xml:space="preserve">17</w:t>
      </w:r>
      <w:r>
        <w:fldChar w:fldCharType="end"/>
      </w:r>
      <w:r>
        <w:rPr>
          <w:bCs/>
        </w:rPr>
        <w:fldChar w:fldCharType="end"/>
      </w:r>
      <w:r/>
    </w:p>
    <w:p>
      <w:pPr>
        <w:pStyle w:val="1525"/>
        <w:tabs>
          <w:tab w:val="right" w:pos="9638" w:leader="dot"/>
        </w:tabs>
      </w:pPr>
      <w:r>
        <w:rPr>
          <w:bCs/>
        </w:rPr>
        <w:fldChar w:fldCharType="begin"/>
      </w:r>
      <w:r>
        <w:rPr>
          <w:bCs/>
        </w:rPr>
        <w:instrText xml:space="preserve"> HYPERLINK \l _Toc21360 </w:instrText>
      </w:r>
      <w:r>
        <w:rPr>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_Toc21360 \h </w:instrText>
      </w:r>
      <w:r>
        <w:fldChar w:fldCharType="separate"/>
      </w:r>
      <w:r>
        <w:t xml:space="preserve">18</w:t>
      </w:r>
      <w:r>
        <w:fldChar w:fldCharType="end"/>
      </w:r>
      <w:r>
        <w:rPr>
          <w:bCs/>
        </w:rPr>
        <w:fldChar w:fldCharType="end"/>
      </w:r>
      <w:r/>
    </w:p>
    <w:p>
      <w:pPr>
        <w:pStyle w:val="1525"/>
        <w:tabs>
          <w:tab w:val="right" w:pos="9638" w:leader="dot"/>
        </w:tabs>
      </w:pPr>
      <w:r>
        <w:rPr>
          <w:bCs/>
        </w:rPr>
        <w:fldChar w:fldCharType="begin"/>
      </w:r>
      <w:r>
        <w:rPr>
          <w:bCs/>
        </w:rPr>
        <w:instrText xml:space="preserve"> HYPERLINK \l _Toc31277 </w:instrText>
      </w:r>
      <w:r>
        <w:rPr>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_Toc31277 \h </w:instrText>
      </w:r>
      <w:r>
        <w:fldChar w:fldCharType="separate"/>
      </w:r>
      <w:r>
        <w:t xml:space="preserve">18</w:t>
      </w:r>
      <w:r>
        <w:fldChar w:fldCharType="end"/>
      </w:r>
      <w:r>
        <w:rPr>
          <w:bCs/>
        </w:rPr>
        <w:fldChar w:fldCharType="end"/>
      </w:r>
      <w:r/>
    </w:p>
    <w:p>
      <w:pPr>
        <w:pStyle w:val="1525"/>
        <w:tabs>
          <w:tab w:val="right" w:pos="9638" w:leader="dot"/>
        </w:tabs>
      </w:pPr>
      <w:r>
        <w:rPr>
          <w:bCs/>
        </w:rPr>
        <w:fldChar w:fldCharType="begin"/>
      </w:r>
      <w:r>
        <w:rPr>
          <w:bCs/>
        </w:rPr>
        <w:instrText xml:space="preserve"> HYPERLINK \l _Toc6380 </w:instrText>
      </w:r>
      <w:r>
        <w:rPr>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_Toc6380 \h </w:instrText>
      </w:r>
      <w:r>
        <w:fldChar w:fldCharType="separate"/>
      </w:r>
      <w:r>
        <w:t xml:space="preserve">19</w:t>
      </w:r>
      <w:r>
        <w:fldChar w:fldCharType="end"/>
      </w:r>
      <w:r>
        <w:rPr>
          <w:bCs/>
        </w:rPr>
        <w:fldChar w:fldCharType="end"/>
      </w:r>
      <w:r/>
    </w:p>
    <w:p>
      <w:pPr>
        <w:pStyle w:val="1525"/>
        <w:tabs>
          <w:tab w:val="right" w:pos="9638" w:leader="dot"/>
        </w:tabs>
      </w:pPr>
      <w:r>
        <w:rPr>
          <w:bCs/>
        </w:rPr>
        <w:fldChar w:fldCharType="begin"/>
      </w:r>
      <w:r>
        <w:rPr>
          <w:bCs/>
        </w:rPr>
        <w:instrText xml:space="preserve"> HYPERLINK \l _Toc22143 </w:instrText>
      </w:r>
      <w:r>
        <w:rPr>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_Toc22143 \h </w:instrText>
      </w:r>
      <w:r>
        <w:fldChar w:fldCharType="separate"/>
      </w:r>
      <w:r>
        <w:t xml:space="preserve">19</w:t>
      </w:r>
      <w:r>
        <w:fldChar w:fldCharType="end"/>
      </w:r>
      <w:r>
        <w:rPr>
          <w:bCs/>
        </w:rPr>
        <w:fldChar w:fldCharType="end"/>
      </w:r>
      <w:r/>
    </w:p>
    <w:p>
      <w:pPr>
        <w:pStyle w:val="1546"/>
        <w:tabs>
          <w:tab w:val="right" w:pos="9638" w:leader="dot"/>
        </w:tabs>
      </w:pPr>
      <w:r>
        <w:rPr>
          <w:bCs/>
        </w:rPr>
        <w:fldChar w:fldCharType="begin"/>
      </w:r>
      <w:r>
        <w:rPr>
          <w:bCs/>
        </w:rPr>
        <w:instrText xml:space="preserve"> HYPERLINK \l _Toc6210 </w:instrText>
      </w:r>
      <w:r>
        <w:rPr>
          <w:bCs/>
        </w:rPr>
        <w:fldChar w:fldCharType="separate"/>
      </w:r>
      <w:r>
        <w:rPr>
          <w:rFonts w:hint="eastAsia" w:ascii="宋体" w:hAnsi="宋体" w:cs="宋体"/>
          <w:bCs/>
          <w:szCs w:val="21"/>
        </w:rPr>
        <w:t xml:space="preserve">六、授标</w:t>
      </w:r>
      <w:r>
        <w:tab/>
      </w:r>
      <w:r>
        <w:fldChar w:fldCharType="begin"/>
      </w:r>
      <w:r>
        <w:instrText xml:space="preserve"> PAGEREF _Toc6210 \h </w:instrText>
      </w:r>
      <w:r>
        <w:fldChar w:fldCharType="separate"/>
      </w:r>
      <w:r>
        <w:t xml:space="preserve">20</w:t>
      </w:r>
      <w:r>
        <w:fldChar w:fldCharType="end"/>
      </w:r>
      <w:r>
        <w:rPr>
          <w:bCs/>
        </w:rPr>
        <w:fldChar w:fldCharType="end"/>
      </w:r>
      <w:r/>
    </w:p>
    <w:p>
      <w:pPr>
        <w:pStyle w:val="1525"/>
        <w:tabs>
          <w:tab w:val="right" w:pos="9638" w:leader="dot"/>
        </w:tabs>
      </w:pPr>
      <w:r>
        <w:rPr>
          <w:bCs/>
        </w:rPr>
        <w:fldChar w:fldCharType="begin"/>
      </w:r>
      <w:r>
        <w:rPr>
          <w:bCs/>
        </w:rPr>
        <w:instrText xml:space="preserve"> HYPERLINK \l _Toc19379 </w:instrText>
      </w:r>
      <w:r>
        <w:rPr>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_Toc19379 \h </w:instrText>
      </w:r>
      <w:r>
        <w:fldChar w:fldCharType="separate"/>
      </w:r>
      <w:r>
        <w:t xml:space="preserve">20</w:t>
      </w:r>
      <w:r>
        <w:fldChar w:fldCharType="end"/>
      </w:r>
      <w:r>
        <w:rPr>
          <w:bCs/>
        </w:rPr>
        <w:fldChar w:fldCharType="end"/>
      </w:r>
      <w:r/>
    </w:p>
    <w:p>
      <w:pPr>
        <w:pStyle w:val="1525"/>
        <w:tabs>
          <w:tab w:val="right" w:pos="9638" w:leader="dot"/>
        </w:tabs>
      </w:pPr>
      <w:r>
        <w:rPr>
          <w:bCs/>
        </w:rPr>
        <w:fldChar w:fldCharType="begin"/>
      </w:r>
      <w:r>
        <w:rPr>
          <w:bCs/>
        </w:rPr>
        <w:instrText xml:space="preserve"> HYPERLINK \l _Toc20127 </w:instrText>
      </w:r>
      <w:r>
        <w:rPr>
          <w:bCs/>
        </w:rPr>
        <w:fldChar w:fldCharType="separate"/>
      </w:r>
      <w:r>
        <w:rPr>
          <w:rFonts w:hint="eastAsia" w:ascii="宋体" w:hAnsi="宋体" w:eastAsia="宋体" w:cs="宋体"/>
          <w:bCs/>
          <w:szCs w:val="21"/>
        </w:rPr>
        <w:t xml:space="preserve">27.中标的通知</w:t>
      </w:r>
      <w:r>
        <w:tab/>
      </w:r>
      <w:r>
        <w:fldChar w:fldCharType="begin"/>
      </w:r>
      <w:r>
        <w:instrText xml:space="preserve"> PAGEREF _Toc20127 \h </w:instrText>
      </w:r>
      <w:r>
        <w:fldChar w:fldCharType="separate"/>
      </w:r>
      <w:r>
        <w:t xml:space="preserve">20</w:t>
      </w:r>
      <w:r>
        <w:fldChar w:fldCharType="end"/>
      </w:r>
      <w:r>
        <w:rPr>
          <w:bCs/>
        </w:rPr>
        <w:fldChar w:fldCharType="end"/>
      </w:r>
      <w:r/>
    </w:p>
    <w:p>
      <w:pPr>
        <w:pStyle w:val="1525"/>
        <w:tabs>
          <w:tab w:val="right" w:pos="9638" w:leader="dot"/>
        </w:tabs>
      </w:pPr>
      <w:r>
        <w:rPr>
          <w:bCs/>
        </w:rPr>
        <w:fldChar w:fldCharType="begin"/>
      </w:r>
      <w:r>
        <w:rPr>
          <w:bCs/>
        </w:rPr>
        <w:instrText xml:space="preserve"> HYPERLINK \l _Toc6096 </w:instrText>
      </w:r>
      <w:r>
        <w:rPr>
          <w:bCs/>
        </w:rPr>
        <w:fldChar w:fldCharType="separate"/>
      </w:r>
      <w:r>
        <w:rPr>
          <w:rFonts w:hint="eastAsia" w:ascii="宋体" w:hAnsi="宋体" w:eastAsia="宋体" w:cs="宋体"/>
          <w:bCs/>
          <w:szCs w:val="21"/>
        </w:rPr>
        <w:t xml:space="preserve">28.签订合同</w:t>
      </w:r>
      <w:r>
        <w:tab/>
      </w:r>
      <w:r>
        <w:fldChar w:fldCharType="begin"/>
      </w:r>
      <w:r>
        <w:instrText xml:space="preserve"> PAGEREF _Toc6096 \h </w:instrText>
      </w:r>
      <w:r>
        <w:fldChar w:fldCharType="separate"/>
      </w:r>
      <w:r>
        <w:t xml:space="preserve">20</w:t>
      </w:r>
      <w:r>
        <w:fldChar w:fldCharType="end"/>
      </w:r>
      <w:r>
        <w:rPr>
          <w:bCs/>
        </w:rPr>
        <w:fldChar w:fldCharType="end"/>
      </w:r>
      <w:r/>
    </w:p>
    <w:p>
      <w:pPr>
        <w:pStyle w:val="1525"/>
        <w:tabs>
          <w:tab w:val="right" w:pos="9638" w:leader="dot"/>
        </w:tabs>
      </w:pPr>
      <w:r>
        <w:rPr>
          <w:bCs/>
        </w:rPr>
        <w:fldChar w:fldCharType="begin"/>
      </w:r>
      <w:r>
        <w:rPr>
          <w:bCs/>
        </w:rPr>
        <w:instrText xml:space="preserve"> HYPERLINK \l _Toc2384 </w:instrText>
      </w:r>
      <w:r>
        <w:rPr>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_Toc2384 \h </w:instrText>
      </w:r>
      <w:r>
        <w:fldChar w:fldCharType="separate"/>
      </w:r>
      <w:r>
        <w:t xml:space="preserve">21</w:t>
      </w:r>
      <w:r>
        <w:fldChar w:fldCharType="end"/>
      </w:r>
      <w:r>
        <w:rPr>
          <w:bCs/>
        </w:rPr>
        <w:fldChar w:fldCharType="end"/>
      </w:r>
      <w:r/>
    </w:p>
    <w:p>
      <w:pPr>
        <w:pStyle w:val="1546"/>
        <w:tabs>
          <w:tab w:val="right" w:pos="9638" w:leader="dot"/>
        </w:tabs>
      </w:pPr>
      <w:r>
        <w:rPr>
          <w:bCs/>
        </w:rPr>
        <w:fldChar w:fldCharType="begin"/>
      </w:r>
      <w:r>
        <w:rPr>
          <w:bCs/>
        </w:rPr>
        <w:instrText xml:space="preserve"> HYPERLINK \l _Toc17603 </w:instrText>
      </w:r>
      <w:r>
        <w:rPr>
          <w:bCs/>
        </w:rPr>
        <w:fldChar w:fldCharType="separate"/>
      </w:r>
      <w:r>
        <w:rPr>
          <w:rFonts w:hint="eastAsia" w:ascii="宋体" w:hAnsi="宋体" w:cs="宋体"/>
          <w:bCs/>
          <w:szCs w:val="21"/>
        </w:rPr>
        <w:t xml:space="preserve">七、质疑</w:t>
      </w:r>
      <w:r>
        <w:tab/>
      </w:r>
      <w:r>
        <w:fldChar w:fldCharType="begin"/>
      </w:r>
      <w:r>
        <w:instrText xml:space="preserve"> PAGEREF _Toc17603 \h </w:instrText>
      </w:r>
      <w:r>
        <w:fldChar w:fldCharType="separate"/>
      </w:r>
      <w:r>
        <w:t xml:space="preserve">21</w:t>
      </w:r>
      <w:r>
        <w:fldChar w:fldCharType="end"/>
      </w:r>
      <w:r>
        <w:rPr>
          <w:bCs/>
        </w:rPr>
        <w:fldChar w:fldCharType="end"/>
      </w:r>
      <w:r/>
    </w:p>
    <w:p>
      <w:pPr>
        <w:pStyle w:val="1525"/>
        <w:tabs>
          <w:tab w:val="right" w:pos="9638" w:leader="dot"/>
        </w:tabs>
      </w:pPr>
      <w:r>
        <w:rPr>
          <w:bCs/>
        </w:rPr>
        <w:fldChar w:fldCharType="begin"/>
      </w:r>
      <w:r>
        <w:rPr>
          <w:bCs/>
        </w:rPr>
        <w:instrText xml:space="preserve"> HYPERLINK \l _Toc15615 </w:instrText>
      </w:r>
      <w:r>
        <w:rPr>
          <w:bCs/>
        </w:rPr>
        <w:fldChar w:fldCharType="separate"/>
      </w:r>
      <w:r>
        <w:rPr>
          <w:rFonts w:hint="eastAsia" w:ascii="宋体" w:hAnsi="宋体" w:eastAsia="宋体" w:cs="宋体"/>
          <w:bCs/>
          <w:szCs w:val="21"/>
        </w:rPr>
        <w:t xml:space="preserve">30、质疑</w:t>
      </w:r>
      <w:r>
        <w:tab/>
      </w:r>
      <w:r>
        <w:fldChar w:fldCharType="begin"/>
      </w:r>
      <w:r>
        <w:instrText xml:space="preserve"> PAGEREF _Toc15615 \h </w:instrText>
      </w:r>
      <w:r>
        <w:fldChar w:fldCharType="separate"/>
      </w:r>
      <w:r>
        <w:t xml:space="preserve">21</w:t>
      </w:r>
      <w:r>
        <w:fldChar w:fldCharType="end"/>
      </w:r>
      <w:r>
        <w:rPr>
          <w:bCs/>
        </w:rPr>
        <w:fldChar w:fldCharType="end"/>
      </w:r>
      <w:r/>
    </w:p>
    <w:p>
      <w:pPr>
        <w:pStyle w:val="1539"/>
        <w:tabs>
          <w:tab w:val="right" w:pos="9638" w:leader="dot"/>
        </w:tabs>
      </w:pPr>
      <w:r>
        <w:rPr>
          <w:bCs/>
        </w:rPr>
        <w:fldChar w:fldCharType="begin"/>
      </w:r>
      <w:r>
        <w:rPr>
          <w:bCs/>
        </w:rPr>
        <w:instrText xml:space="preserve"> HYPERLINK \l _Toc1343 </w:instrText>
      </w:r>
      <w:r>
        <w:rPr>
          <w:bCs/>
        </w:rPr>
        <w:fldChar w:fldCharType="separate"/>
      </w:r>
      <w:r>
        <w:rPr>
          <w:szCs w:val="28"/>
        </w:rPr>
        <w:t xml:space="preserve">第三章 评标标准</w:t>
      </w:r>
      <w:r>
        <w:tab/>
      </w:r>
      <w:r>
        <w:fldChar w:fldCharType="begin"/>
      </w:r>
      <w:r>
        <w:instrText xml:space="preserve"> PAGEREF _Toc1343 \h </w:instrText>
      </w:r>
      <w:r>
        <w:fldChar w:fldCharType="separate"/>
      </w:r>
      <w:r>
        <w:t xml:space="preserve">23</w:t>
      </w:r>
      <w:r>
        <w:fldChar w:fldCharType="end"/>
      </w:r>
      <w:r>
        <w:rPr>
          <w:bCs/>
        </w:rPr>
        <w:fldChar w:fldCharType="end"/>
      </w:r>
      <w:r/>
    </w:p>
    <w:p>
      <w:pPr>
        <w:pStyle w:val="1539"/>
        <w:tabs>
          <w:tab w:val="right" w:pos="9638" w:leader="dot"/>
        </w:tabs>
      </w:pPr>
      <w:r>
        <w:rPr>
          <w:bCs/>
        </w:rPr>
        <w:fldChar w:fldCharType="begin"/>
      </w:r>
      <w:r>
        <w:rPr>
          <w:bCs/>
        </w:rPr>
        <w:instrText xml:space="preserve"> HYPERLINK \l _Toc18328 </w:instrText>
      </w:r>
      <w:r>
        <w:rPr>
          <w:bCs/>
        </w:rPr>
        <w:fldChar w:fldCharType="separate"/>
      </w:r>
      <w:r>
        <w:rPr>
          <w:szCs w:val="28"/>
        </w:rPr>
        <w:t xml:space="preserve">第四章 招标技术规格及要求</w:t>
      </w:r>
      <w:r>
        <w:tab/>
      </w:r>
      <w:r>
        <w:fldChar w:fldCharType="begin"/>
      </w:r>
      <w:r>
        <w:instrText xml:space="preserve"> PAGEREF _Toc18328 \h </w:instrText>
      </w:r>
      <w:r>
        <w:fldChar w:fldCharType="separate"/>
      </w:r>
      <w:r>
        <w:t xml:space="preserve">28</w:t>
      </w:r>
      <w:r>
        <w:fldChar w:fldCharType="end"/>
      </w:r>
      <w:r>
        <w:rPr>
          <w:bCs/>
        </w:rPr>
        <w:fldChar w:fldCharType="end"/>
      </w:r>
      <w:r/>
    </w:p>
    <w:p>
      <w:pPr>
        <w:pStyle w:val="1539"/>
        <w:tabs>
          <w:tab w:val="right" w:pos="9638" w:leader="dot"/>
        </w:tabs>
      </w:pPr>
      <w:r>
        <w:rPr>
          <w:bCs/>
        </w:rPr>
        <w:fldChar w:fldCharType="begin"/>
      </w:r>
      <w:r>
        <w:rPr>
          <w:bCs/>
        </w:rPr>
        <w:instrText xml:space="preserve"> HYPERLINK \l _Toc25972 </w:instrText>
      </w:r>
      <w:r>
        <w:rPr>
          <w:bCs/>
        </w:rPr>
        <w:fldChar w:fldCharType="separate"/>
      </w:r>
      <w:r>
        <w:rPr>
          <w:szCs w:val="28"/>
        </w:rPr>
        <w:t xml:space="preserve">第五章 拟签订的合同文本</w:t>
      </w:r>
      <w:r>
        <w:tab/>
      </w:r>
      <w:r>
        <w:fldChar w:fldCharType="begin"/>
      </w:r>
      <w:r>
        <w:instrText xml:space="preserve"> PAGEREF _Toc25972 \h </w:instrText>
      </w:r>
      <w:r>
        <w:fldChar w:fldCharType="separate"/>
      </w:r>
      <w:r>
        <w:t xml:space="preserve">31</w:t>
      </w:r>
      <w:r>
        <w:fldChar w:fldCharType="end"/>
      </w:r>
      <w:r>
        <w:rPr>
          <w:bCs/>
        </w:rPr>
        <w:fldChar w:fldCharType="end"/>
      </w:r>
      <w:r/>
    </w:p>
    <w:p>
      <w:pPr>
        <w:pStyle w:val="1539"/>
        <w:tabs>
          <w:tab w:val="right" w:pos="9638" w:leader="dot"/>
        </w:tabs>
      </w:pPr>
      <w:r>
        <w:rPr>
          <w:bCs/>
        </w:rPr>
        <w:fldChar w:fldCharType="begin"/>
      </w:r>
      <w:r>
        <w:rPr>
          <w:bCs/>
        </w:rPr>
        <w:instrText xml:space="preserve"> HYPERLINK \l _Toc31382 </w:instrText>
      </w:r>
      <w:r>
        <w:rPr>
          <w:bCs/>
        </w:rPr>
        <w:fldChar w:fldCharType="separate"/>
      </w:r>
      <w:r>
        <w:rPr>
          <w:szCs w:val="28"/>
        </w:rPr>
        <w:t xml:space="preserve">第六章 投标文件格式及附件</w:t>
      </w:r>
      <w:r>
        <w:tab/>
      </w:r>
      <w:r>
        <w:fldChar w:fldCharType="begin"/>
      </w:r>
      <w:r>
        <w:instrText xml:space="preserve"> PAGEREF _Toc31382 \h </w:instrText>
      </w:r>
      <w:r>
        <w:fldChar w:fldCharType="separate"/>
      </w:r>
      <w:r>
        <w:t xml:space="preserve">39</w:t>
      </w:r>
      <w:r>
        <w:fldChar w:fldCharType="end"/>
      </w:r>
      <w:r>
        <w:rPr>
          <w:bCs/>
        </w:rPr>
        <w:fldChar w:fldCharType="end"/>
      </w:r>
      <w:r/>
    </w:p>
    <w:p>
      <w:pPr>
        <w:pStyle w:val="1546"/>
        <w:tabs>
          <w:tab w:val="right" w:pos="9638" w:leader="dot"/>
        </w:tabs>
      </w:pPr>
      <w:r>
        <w:rPr>
          <w:bCs/>
        </w:rPr>
        <w:fldChar w:fldCharType="begin"/>
      </w:r>
      <w:r>
        <w:rPr>
          <w:bCs/>
        </w:rPr>
        <w:instrText xml:space="preserve"> HYPERLINK \l _Toc22205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_Toc22205 \h </w:instrText>
      </w:r>
      <w:r>
        <w:fldChar w:fldCharType="separate"/>
      </w:r>
      <w:r>
        <w:t xml:space="preserve">41</w:t>
      </w:r>
      <w:r>
        <w:fldChar w:fldCharType="end"/>
      </w:r>
      <w:r>
        <w:rPr>
          <w:bCs/>
        </w:rPr>
        <w:fldChar w:fldCharType="end"/>
      </w:r>
      <w:r/>
    </w:p>
    <w:p>
      <w:pPr>
        <w:pStyle w:val="1546"/>
        <w:tabs>
          <w:tab w:val="right" w:pos="9638" w:leader="dot"/>
        </w:tabs>
      </w:pPr>
      <w:r>
        <w:rPr>
          <w:bCs/>
        </w:rPr>
        <w:fldChar w:fldCharType="begin"/>
      </w:r>
      <w:r>
        <w:rPr>
          <w:bCs/>
        </w:rPr>
        <w:instrText xml:space="preserve"> HYPERLINK \l _Toc30864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_Toc30864 \h </w:instrText>
      </w:r>
      <w:r>
        <w:fldChar w:fldCharType="separate"/>
      </w:r>
      <w:r>
        <w:t xml:space="preserve">42</w:t>
      </w:r>
      <w:r>
        <w:fldChar w:fldCharType="end"/>
      </w:r>
      <w:r>
        <w:rPr>
          <w:bCs/>
        </w:rPr>
        <w:fldChar w:fldCharType="end"/>
      </w:r>
      <w:r/>
    </w:p>
    <w:p>
      <w:pPr>
        <w:pStyle w:val="1546"/>
        <w:tabs>
          <w:tab w:val="right" w:pos="9638" w:leader="dot"/>
        </w:tabs>
      </w:pPr>
      <w:r>
        <w:rPr>
          <w:bCs/>
        </w:rPr>
        <w:fldChar w:fldCharType="begin"/>
      </w:r>
      <w:r>
        <w:rPr>
          <w:bCs/>
        </w:rPr>
        <w:instrText xml:space="preserve"> HYPERLINK \l _Toc5489 </w:instrText>
      </w:r>
      <w:r>
        <w:rPr>
          <w:bCs/>
        </w:rPr>
        <w:fldChar w:fldCharType="separate"/>
      </w:r>
      <w:r>
        <w:rPr>
          <w:rFonts w:hint="eastAsia" w:ascii="宋体" w:hAnsi="宋体" w:cs="宋体"/>
          <w:bCs/>
          <w:szCs w:val="21"/>
        </w:rPr>
        <w:t xml:space="preserve">附件一 投标函格式</w:t>
      </w:r>
      <w:r>
        <w:tab/>
      </w:r>
      <w:r>
        <w:fldChar w:fldCharType="begin"/>
      </w:r>
      <w:r>
        <w:instrText xml:space="preserve"> PAGEREF _Toc5489 \h </w:instrText>
      </w:r>
      <w:r>
        <w:fldChar w:fldCharType="separate"/>
      </w:r>
      <w:r>
        <w:t xml:space="preserve">43</w:t>
      </w:r>
      <w:r>
        <w:fldChar w:fldCharType="end"/>
      </w:r>
      <w:r>
        <w:rPr>
          <w:bCs/>
        </w:rPr>
        <w:fldChar w:fldCharType="end"/>
      </w:r>
      <w:r/>
    </w:p>
    <w:p>
      <w:pPr>
        <w:pStyle w:val="1546"/>
        <w:tabs>
          <w:tab w:val="right" w:pos="9638" w:leader="dot"/>
        </w:tabs>
      </w:pPr>
      <w:r>
        <w:rPr>
          <w:bCs/>
        </w:rPr>
        <w:fldChar w:fldCharType="begin"/>
      </w:r>
      <w:r>
        <w:rPr>
          <w:bCs/>
        </w:rPr>
        <w:instrText xml:space="preserve"> HYPERLINK \l _Toc2097 </w:instrText>
      </w:r>
      <w:r>
        <w:rPr>
          <w:bCs/>
        </w:rPr>
        <w:fldChar w:fldCharType="separate"/>
      </w:r>
      <w:r>
        <w:rPr>
          <w:bCs/>
          <w:szCs w:val="22"/>
        </w:rPr>
        <w:t xml:space="preserve">附件二 开标一览表</w:t>
      </w:r>
      <w:r>
        <w:tab/>
      </w:r>
      <w:r>
        <w:fldChar w:fldCharType="begin"/>
      </w:r>
      <w:r>
        <w:instrText xml:space="preserve"> PAGEREF _Toc2097 \h </w:instrText>
      </w:r>
      <w:r>
        <w:fldChar w:fldCharType="separate"/>
      </w:r>
      <w:r>
        <w:t xml:space="preserve">44</w:t>
      </w:r>
      <w:r>
        <w:fldChar w:fldCharType="end"/>
      </w:r>
      <w:r>
        <w:rPr>
          <w:bCs/>
        </w:rPr>
        <w:fldChar w:fldCharType="end"/>
      </w:r>
      <w:r/>
    </w:p>
    <w:p>
      <w:pPr>
        <w:pStyle w:val="1546"/>
        <w:tabs>
          <w:tab w:val="right" w:pos="9638" w:leader="dot"/>
        </w:tabs>
      </w:pPr>
      <w:r>
        <w:rPr>
          <w:bCs/>
        </w:rPr>
        <w:fldChar w:fldCharType="begin"/>
      </w:r>
      <w:r>
        <w:rPr>
          <w:bCs/>
        </w:rPr>
        <w:instrText xml:space="preserve"> HYPERLINK \l _Toc8821 </w:instrText>
      </w:r>
      <w:r>
        <w:rPr>
          <w:bCs/>
        </w:rPr>
        <w:fldChar w:fldCharType="separate"/>
      </w:r>
      <w:r>
        <w:rPr>
          <w:bCs/>
          <w:szCs w:val="22"/>
        </w:rPr>
        <w:t xml:space="preserve">附件三 分项报价表</w:t>
      </w:r>
      <w:r>
        <w:tab/>
      </w:r>
      <w:r>
        <w:fldChar w:fldCharType="begin"/>
      </w:r>
      <w:r>
        <w:instrText xml:space="preserve"> PAGEREF _Toc8821 \h </w:instrText>
      </w:r>
      <w:r>
        <w:fldChar w:fldCharType="separate"/>
      </w:r>
      <w:r>
        <w:t xml:space="preserve">45</w:t>
      </w:r>
      <w:r>
        <w:fldChar w:fldCharType="end"/>
      </w:r>
      <w:r>
        <w:rPr>
          <w:bCs/>
        </w:rPr>
        <w:fldChar w:fldCharType="end"/>
      </w:r>
      <w:r/>
    </w:p>
    <w:p>
      <w:pPr>
        <w:pStyle w:val="1539"/>
        <w:tabs>
          <w:tab w:val="right" w:pos="9638" w:leader="dot"/>
        </w:tabs>
      </w:pPr>
      <w:r>
        <w:rPr>
          <w:bCs/>
        </w:rPr>
        <w:fldChar w:fldCharType="begin"/>
      </w:r>
      <w:r>
        <w:rPr>
          <w:bCs/>
        </w:rPr>
        <w:instrText xml:space="preserve"> HYPERLINK \l _Toc20492 </w:instrText>
      </w:r>
      <w:r>
        <w:rPr>
          <w:bCs/>
        </w:rPr>
        <w:fldChar w:fldCharType="separate"/>
      </w:r>
      <w:r>
        <w:rPr>
          <w:szCs w:val="22"/>
        </w:rPr>
        <w:t xml:space="preserve">分项报价表</w:t>
      </w:r>
      <w:r>
        <w:tab/>
      </w:r>
      <w:r>
        <w:fldChar w:fldCharType="begin"/>
      </w:r>
      <w:r>
        <w:instrText xml:space="preserve"> PAGEREF _Toc20492 \h </w:instrText>
      </w:r>
      <w:r>
        <w:fldChar w:fldCharType="separate"/>
      </w:r>
      <w:r>
        <w:t xml:space="preserve">45</w:t>
      </w:r>
      <w:r>
        <w:fldChar w:fldCharType="end"/>
      </w:r>
      <w:r>
        <w:rPr>
          <w:bCs/>
        </w:rPr>
        <w:fldChar w:fldCharType="end"/>
      </w:r>
      <w:r/>
    </w:p>
    <w:p>
      <w:pPr>
        <w:pStyle w:val="1546"/>
        <w:tabs>
          <w:tab w:val="right" w:pos="9638" w:leader="dot"/>
        </w:tabs>
      </w:pPr>
      <w:r>
        <w:rPr>
          <w:bCs/>
        </w:rPr>
        <w:fldChar w:fldCharType="begin"/>
      </w:r>
      <w:r>
        <w:rPr>
          <w:bCs/>
        </w:rPr>
        <w:instrText xml:space="preserve"> HYPERLINK \l _Toc5711 </w:instrText>
      </w:r>
      <w:r>
        <w:rPr>
          <w:bCs/>
        </w:rPr>
        <w:fldChar w:fldCharType="separate"/>
      </w:r>
      <w:r>
        <w:rPr>
          <w:bCs/>
          <w:szCs w:val="22"/>
        </w:rPr>
        <w:t xml:space="preserve">附件四 商务条款偏离表</w:t>
      </w:r>
      <w:r>
        <w:tab/>
      </w:r>
      <w:r>
        <w:fldChar w:fldCharType="begin"/>
      </w:r>
      <w:r>
        <w:instrText xml:space="preserve"> PAGEREF _Toc5711 \h </w:instrText>
      </w:r>
      <w:r>
        <w:fldChar w:fldCharType="separate"/>
      </w:r>
      <w:r>
        <w:t xml:space="preserve">46</w:t>
      </w:r>
      <w:r>
        <w:fldChar w:fldCharType="end"/>
      </w:r>
      <w:r>
        <w:rPr>
          <w:bCs/>
        </w:rPr>
        <w:fldChar w:fldCharType="end"/>
      </w:r>
      <w:r/>
    </w:p>
    <w:p>
      <w:pPr>
        <w:pStyle w:val="1546"/>
        <w:tabs>
          <w:tab w:val="right" w:pos="9638" w:leader="dot"/>
        </w:tabs>
      </w:pPr>
      <w:r>
        <w:rPr>
          <w:bCs/>
        </w:rPr>
        <w:fldChar w:fldCharType="begin"/>
      </w:r>
      <w:r>
        <w:rPr>
          <w:bCs/>
        </w:rPr>
        <w:instrText xml:space="preserve"> HYPERLINK \l _Toc18916 </w:instrText>
      </w:r>
      <w:r>
        <w:rPr>
          <w:bCs/>
        </w:rPr>
        <w:fldChar w:fldCharType="separate"/>
      </w:r>
      <w:r>
        <w:rPr>
          <w:bCs/>
          <w:szCs w:val="22"/>
        </w:rPr>
        <w:t xml:space="preserve">附件五 技术条款偏离表</w:t>
      </w:r>
      <w:r>
        <w:tab/>
      </w:r>
      <w:r>
        <w:fldChar w:fldCharType="begin"/>
      </w:r>
      <w:r>
        <w:instrText xml:space="preserve"> PAGEREF _Toc18916 \h </w:instrText>
      </w:r>
      <w:r>
        <w:fldChar w:fldCharType="separate"/>
      </w:r>
      <w:r>
        <w:t xml:space="preserve">47</w:t>
      </w:r>
      <w:r>
        <w:fldChar w:fldCharType="end"/>
      </w:r>
      <w:r>
        <w:rPr>
          <w:bCs/>
        </w:rPr>
        <w:fldChar w:fldCharType="end"/>
      </w:r>
      <w:r/>
    </w:p>
    <w:p>
      <w:pPr>
        <w:pStyle w:val="1546"/>
        <w:tabs>
          <w:tab w:val="right" w:pos="9638" w:leader="dot"/>
        </w:tabs>
      </w:pPr>
      <w:r>
        <w:rPr>
          <w:bCs/>
        </w:rPr>
        <w:fldChar w:fldCharType="begin"/>
      </w:r>
      <w:r>
        <w:rPr>
          <w:bCs/>
        </w:rPr>
        <w:instrText xml:space="preserve"> HYPERLINK \l _Toc443 </w:instrText>
      </w:r>
      <w:r>
        <w:rPr>
          <w:bCs/>
        </w:rPr>
        <w:fldChar w:fldCharType="separate"/>
      </w:r>
      <w:r>
        <w:rPr>
          <w:bCs/>
          <w:szCs w:val="22"/>
        </w:rPr>
        <w:t xml:space="preserve">附件六 政府采购政策</w:t>
      </w:r>
      <w:r>
        <w:tab/>
      </w:r>
      <w:r>
        <w:fldChar w:fldCharType="begin"/>
      </w:r>
      <w:r>
        <w:instrText xml:space="preserve"> PAGEREF _Toc443 \h </w:instrText>
      </w:r>
      <w:r>
        <w:fldChar w:fldCharType="separate"/>
      </w:r>
      <w:r>
        <w:t xml:space="preserve">48</w:t>
      </w:r>
      <w:r>
        <w:fldChar w:fldCharType="end"/>
      </w:r>
      <w:r>
        <w:rPr>
          <w:bCs/>
        </w:rPr>
        <w:fldChar w:fldCharType="end"/>
      </w:r>
      <w:r/>
    </w:p>
    <w:p>
      <w:pPr>
        <w:pStyle w:val="1525"/>
        <w:tabs>
          <w:tab w:val="right" w:pos="9638" w:leader="dot"/>
        </w:tabs>
      </w:pPr>
      <w:r>
        <w:rPr>
          <w:bCs/>
        </w:rPr>
        <w:fldChar w:fldCharType="begin"/>
      </w:r>
      <w:r>
        <w:rPr>
          <w:bCs/>
        </w:rPr>
        <w:instrText xml:space="preserve"> HYPERLINK \l _Toc29025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_Toc29025 \h </w:instrText>
      </w:r>
      <w:r>
        <w:fldChar w:fldCharType="separate"/>
      </w:r>
      <w:r>
        <w:t xml:space="preserve">48</w:t>
      </w:r>
      <w:r>
        <w:fldChar w:fldCharType="end"/>
      </w:r>
      <w:r>
        <w:rPr>
          <w:bCs/>
        </w:rPr>
        <w:fldChar w:fldCharType="end"/>
      </w:r>
      <w:r/>
    </w:p>
    <w:p>
      <w:pPr>
        <w:pStyle w:val="1525"/>
        <w:tabs>
          <w:tab w:val="right" w:pos="9638" w:leader="dot"/>
        </w:tabs>
      </w:pPr>
      <w:r>
        <w:rPr>
          <w:bCs/>
        </w:rPr>
        <w:fldChar w:fldCharType="begin"/>
      </w:r>
      <w:r>
        <w:rPr>
          <w:bCs/>
        </w:rPr>
        <w:instrText xml:space="preserve"> HYPERLINK \l _Toc28701 </w:instrText>
      </w:r>
      <w:r>
        <w:rPr>
          <w:bCs/>
        </w:rPr>
        <w:fldChar w:fldCharType="separate"/>
      </w:r>
      <w:r>
        <w:rPr>
          <w:bCs/>
          <w:szCs w:val="21"/>
        </w:rPr>
        <w:t xml:space="preserve">（二）残疾人福利性单位声明函</w:t>
      </w:r>
      <w:r>
        <w:tab/>
      </w:r>
      <w:r>
        <w:fldChar w:fldCharType="begin"/>
      </w:r>
      <w:r>
        <w:instrText xml:space="preserve"> PAGEREF _Toc28701 \h </w:instrText>
      </w:r>
      <w:r>
        <w:fldChar w:fldCharType="separate"/>
      </w:r>
      <w:r>
        <w:t xml:space="preserve">50</w:t>
      </w:r>
      <w:r>
        <w:fldChar w:fldCharType="end"/>
      </w:r>
      <w:r>
        <w:rPr>
          <w:bCs/>
        </w:rPr>
        <w:fldChar w:fldCharType="end"/>
      </w:r>
      <w:r/>
    </w:p>
    <w:p>
      <w:pPr>
        <w:pStyle w:val="1525"/>
        <w:tabs>
          <w:tab w:val="right" w:pos="9638" w:leader="dot"/>
        </w:tabs>
      </w:pPr>
      <w:r>
        <w:rPr>
          <w:bCs/>
        </w:rPr>
        <w:fldChar w:fldCharType="begin"/>
      </w:r>
      <w:r>
        <w:rPr>
          <w:bCs/>
        </w:rPr>
        <w:instrText xml:space="preserve"> HYPERLINK \l _Toc4430 </w:instrText>
      </w:r>
      <w:r>
        <w:rPr>
          <w:bCs/>
        </w:rPr>
        <w:fldChar w:fldCharType="separate"/>
      </w:r>
      <w:r>
        <w:rPr>
          <w:rFonts w:hint="eastAsia"/>
          <w:bCs/>
          <w:szCs w:val="21"/>
        </w:rPr>
        <w:t xml:space="preserve">（三）采购本国产品的支持政策</w:t>
      </w:r>
      <w:r>
        <w:tab/>
      </w:r>
      <w:r>
        <w:fldChar w:fldCharType="begin"/>
      </w:r>
      <w:r>
        <w:instrText xml:space="preserve"> PAGEREF _Toc4430 \h </w:instrText>
      </w:r>
      <w:r>
        <w:fldChar w:fldCharType="separate"/>
      </w:r>
      <w:r>
        <w:t xml:space="preserve">51</w:t>
      </w:r>
      <w:r>
        <w:fldChar w:fldCharType="end"/>
      </w:r>
      <w:r>
        <w:rPr>
          <w:bCs/>
        </w:rPr>
        <w:fldChar w:fldCharType="end"/>
      </w:r>
      <w:r/>
    </w:p>
    <w:p>
      <w:pPr>
        <w:pStyle w:val="1525"/>
        <w:tabs>
          <w:tab w:val="right" w:pos="9638" w:leader="dot"/>
        </w:tabs>
      </w:pPr>
      <w:r>
        <w:rPr>
          <w:bCs/>
        </w:rPr>
        <w:fldChar w:fldCharType="begin"/>
      </w:r>
      <w:r>
        <w:rPr>
          <w:bCs/>
        </w:rPr>
        <w:instrText xml:space="preserve"> HYPERLINK \l _Toc575 </w:instrText>
      </w:r>
      <w:r>
        <w:rPr>
          <w:bCs/>
        </w:rPr>
        <w:fldChar w:fldCharType="separate"/>
      </w:r>
      <w:r>
        <w:rPr>
          <w:rFonts w:hint="eastAsia" w:ascii="宋体" w:hAnsi="宋体" w:cs="宋体"/>
        </w:rPr>
        <w:t xml:space="preserve">关于符合本国产品标准的声明函</w:t>
      </w:r>
      <w:r>
        <w:tab/>
      </w:r>
      <w:r>
        <w:fldChar w:fldCharType="begin"/>
      </w:r>
      <w:r>
        <w:instrText xml:space="preserve"> PAGEREF _Toc575 \h </w:instrText>
      </w:r>
      <w:r>
        <w:fldChar w:fldCharType="separate"/>
      </w:r>
      <w:r>
        <w:t xml:space="preserve">51</w:t>
      </w:r>
      <w:r>
        <w:fldChar w:fldCharType="end"/>
      </w:r>
      <w:r>
        <w:rPr>
          <w:bCs/>
        </w:rPr>
        <w:fldChar w:fldCharType="end"/>
      </w:r>
      <w:r/>
    </w:p>
    <w:p>
      <w:pPr>
        <w:pStyle w:val="1546"/>
        <w:tabs>
          <w:tab w:val="right" w:pos="9638" w:leader="dot"/>
        </w:tabs>
      </w:pPr>
      <w:r>
        <w:rPr>
          <w:bCs/>
        </w:rPr>
        <w:fldChar w:fldCharType="begin"/>
      </w:r>
      <w:r>
        <w:rPr>
          <w:bCs/>
        </w:rPr>
        <w:instrText xml:space="preserve"> HYPERLINK \l _Toc27595 </w:instrText>
      </w:r>
      <w:r>
        <w:rPr>
          <w:bCs/>
        </w:rPr>
        <w:fldChar w:fldCharType="separate"/>
      </w:r>
      <w:r>
        <w:rPr>
          <w:rFonts w:hint="eastAsia"/>
          <w:bCs/>
          <w:szCs w:val="22"/>
        </w:rPr>
        <w:t xml:space="preserve">附：</w:t>
      </w:r>
      <w:r>
        <w:rPr>
          <w:bCs/>
          <w:szCs w:val="22"/>
          <w:lang w:val="zh-TW"/>
        </w:rPr>
        <w:t xml:space="preserve">成本比例声明函（如适用）</w:t>
      </w:r>
      <w:r>
        <w:tab/>
      </w:r>
      <w:r>
        <w:fldChar w:fldCharType="begin"/>
      </w:r>
      <w:r>
        <w:instrText xml:space="preserve"> PAGEREF _Toc27595 \h </w:instrText>
      </w:r>
      <w:r>
        <w:fldChar w:fldCharType="separate"/>
      </w:r>
      <w:r>
        <w:t xml:space="preserve">52</w:t>
      </w:r>
      <w:r>
        <w:fldChar w:fldCharType="end"/>
      </w:r>
      <w:r>
        <w:rPr>
          <w:bCs/>
        </w:rPr>
        <w:fldChar w:fldCharType="end"/>
      </w:r>
      <w:r/>
    </w:p>
    <w:p>
      <w:pPr>
        <w:pStyle w:val="1546"/>
        <w:tabs>
          <w:tab w:val="right" w:pos="9638" w:leader="dot"/>
        </w:tabs>
      </w:pPr>
      <w:r>
        <w:rPr>
          <w:bCs/>
        </w:rPr>
        <w:fldChar w:fldCharType="begin"/>
      </w:r>
      <w:r>
        <w:rPr>
          <w:bCs/>
        </w:rPr>
        <w:instrText xml:space="preserve"> HYPERLINK \l _Toc3132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tab/>
      </w:r>
      <w:r>
        <w:fldChar w:fldCharType="begin"/>
      </w:r>
      <w:r>
        <w:instrText xml:space="preserve"> PAGEREF _Toc3132 \h </w:instrText>
      </w:r>
      <w:r>
        <w:fldChar w:fldCharType="separate"/>
      </w:r>
      <w:r>
        <w:t xml:space="preserve">53</w:t>
      </w:r>
      <w:r>
        <w:fldChar w:fldCharType="end"/>
      </w:r>
      <w:r>
        <w:rPr>
          <w:bCs/>
        </w:rPr>
        <w:fldChar w:fldCharType="end"/>
      </w:r>
      <w:r/>
    </w:p>
    <w:p>
      <w:pPr>
        <w:pStyle w:val="1546"/>
        <w:tabs>
          <w:tab w:val="right" w:pos="9638" w:leader="dot"/>
        </w:tabs>
      </w:pPr>
      <w:r>
        <w:rPr>
          <w:bCs/>
        </w:rPr>
        <w:fldChar w:fldCharType="begin"/>
      </w:r>
      <w:r>
        <w:rPr>
          <w:bCs/>
        </w:rPr>
        <w:instrText xml:space="preserve"> HYPERLINK \l _Toc7454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_Toc7454 \h </w:instrText>
      </w:r>
      <w:r>
        <w:fldChar w:fldCharType="separate"/>
      </w:r>
      <w:r>
        <w:t xml:space="preserve">56</w:t>
      </w:r>
      <w:r>
        <w:fldChar w:fldCharType="end"/>
      </w:r>
      <w:r>
        <w:rPr>
          <w:bCs/>
        </w:rPr>
        <w:fldChar w:fldCharType="end"/>
      </w:r>
      <w:r/>
    </w:p>
    <w:p>
      <w:pPr>
        <w:pStyle w:val="1525"/>
        <w:tabs>
          <w:tab w:val="right" w:pos="9638" w:leader="dot"/>
        </w:tabs>
      </w:pPr>
      <w:r>
        <w:rPr>
          <w:bCs/>
        </w:rPr>
        <w:fldChar w:fldCharType="begin"/>
      </w:r>
      <w:r>
        <w:rPr>
          <w:bCs/>
        </w:rPr>
        <w:instrText xml:space="preserve"> HYPERLINK \l _Toc14215 </w:instrText>
      </w:r>
      <w:r>
        <w:rPr>
          <w:bCs/>
        </w:rPr>
        <w:fldChar w:fldCharType="separate"/>
      </w:r>
      <w:r>
        <w:rPr>
          <w:bCs/>
          <w:szCs w:val="21"/>
          <w:lang w:val="zh-CN"/>
        </w:rPr>
        <w:t xml:space="preserve">1、法人或其他组织的营业执照等证明文件（复印件加盖公章）</w:t>
      </w:r>
      <w:r>
        <w:tab/>
      </w:r>
      <w:r>
        <w:fldChar w:fldCharType="begin"/>
      </w:r>
      <w:r>
        <w:instrText xml:space="preserve"> PAGEREF _Toc14215 \h </w:instrText>
      </w:r>
      <w:r>
        <w:fldChar w:fldCharType="separate"/>
      </w:r>
      <w:r>
        <w:t xml:space="preserve">56</w:t>
      </w:r>
      <w:r>
        <w:fldChar w:fldCharType="end"/>
      </w:r>
      <w:r>
        <w:rPr>
          <w:bCs/>
        </w:rPr>
        <w:fldChar w:fldCharType="end"/>
      </w:r>
      <w:r/>
    </w:p>
    <w:p>
      <w:pPr>
        <w:pStyle w:val="1525"/>
        <w:tabs>
          <w:tab w:val="right" w:pos="9638" w:leader="dot"/>
        </w:tabs>
      </w:pPr>
      <w:r>
        <w:rPr>
          <w:bCs/>
        </w:rPr>
        <w:fldChar w:fldCharType="begin"/>
      </w:r>
      <w:r>
        <w:rPr>
          <w:bCs/>
        </w:rPr>
        <w:instrText xml:space="preserve"> HYPERLINK \l _Toc22028 </w:instrText>
      </w:r>
      <w:r>
        <w:rPr>
          <w:bCs/>
        </w:rPr>
        <w:fldChar w:fldCharType="separate"/>
      </w:r>
      <w:r>
        <w:rPr>
          <w:bCs/>
          <w:szCs w:val="21"/>
          <w:lang w:val="zh-CN"/>
        </w:rPr>
        <w:t xml:space="preserve">2、法人代表授权书</w:t>
      </w:r>
      <w:r>
        <w:tab/>
      </w:r>
      <w:r>
        <w:fldChar w:fldCharType="begin"/>
      </w:r>
      <w:r>
        <w:instrText xml:space="preserve"> PAGEREF _Toc22028 \h </w:instrText>
      </w:r>
      <w:r>
        <w:fldChar w:fldCharType="separate"/>
      </w:r>
      <w:r>
        <w:t xml:space="preserve">57</w:t>
      </w:r>
      <w:r>
        <w:fldChar w:fldCharType="end"/>
      </w:r>
      <w:r>
        <w:rPr>
          <w:bCs/>
        </w:rPr>
        <w:fldChar w:fldCharType="end"/>
      </w:r>
      <w:r/>
    </w:p>
    <w:p>
      <w:pPr>
        <w:pStyle w:val="1525"/>
        <w:tabs>
          <w:tab w:val="right" w:pos="9638" w:leader="dot"/>
        </w:tabs>
      </w:pPr>
      <w:r>
        <w:rPr>
          <w:bCs/>
        </w:rPr>
        <w:fldChar w:fldCharType="begin"/>
      </w:r>
      <w:r>
        <w:rPr>
          <w:bCs/>
        </w:rPr>
        <w:instrText xml:space="preserve"> HYPERLINK \l _Toc29297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_Toc29297 \h </w:instrText>
      </w:r>
      <w:r>
        <w:fldChar w:fldCharType="separate"/>
      </w:r>
      <w:r>
        <w:t xml:space="preserve">58</w:t>
      </w:r>
      <w:r>
        <w:fldChar w:fldCharType="end"/>
      </w:r>
      <w:r>
        <w:rPr>
          <w:bCs/>
        </w:rPr>
        <w:fldChar w:fldCharType="end"/>
      </w:r>
      <w:r/>
    </w:p>
    <w:p>
      <w:pPr>
        <w:pStyle w:val="1525"/>
        <w:tabs>
          <w:tab w:val="right" w:pos="9638" w:leader="dot"/>
        </w:tabs>
      </w:pPr>
      <w:r>
        <w:rPr>
          <w:bCs/>
        </w:rPr>
        <w:fldChar w:fldCharType="begin"/>
      </w:r>
      <w:r>
        <w:rPr>
          <w:bCs/>
        </w:rPr>
        <w:instrText xml:space="preserve"> HYPERLINK \l _Toc12758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_Toc12758 \h </w:instrText>
      </w:r>
      <w:r>
        <w:fldChar w:fldCharType="separate"/>
      </w:r>
      <w:r>
        <w:t xml:space="preserve">59</w:t>
      </w:r>
      <w:r>
        <w:fldChar w:fldCharType="end"/>
      </w:r>
      <w:r>
        <w:rPr>
          <w:bCs/>
        </w:rPr>
        <w:fldChar w:fldCharType="end"/>
      </w:r>
      <w:r/>
    </w:p>
    <w:p>
      <w:pPr>
        <w:pStyle w:val="1525"/>
        <w:tabs>
          <w:tab w:val="right" w:pos="9638" w:leader="dot"/>
        </w:tabs>
      </w:pPr>
      <w:r>
        <w:rPr>
          <w:bCs/>
        </w:rPr>
        <w:fldChar w:fldCharType="begin"/>
      </w:r>
      <w:r>
        <w:rPr>
          <w:bCs/>
        </w:rPr>
        <w:instrText xml:space="preserve"> HYPERLINK \l _Toc156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_Toc156 \h </w:instrText>
      </w:r>
      <w:r>
        <w:fldChar w:fldCharType="separate"/>
      </w:r>
      <w:r>
        <w:t xml:space="preserve">60</w:t>
      </w:r>
      <w:r>
        <w:fldChar w:fldCharType="end"/>
      </w:r>
      <w:r>
        <w:rPr>
          <w:bCs/>
        </w:rPr>
        <w:fldChar w:fldCharType="end"/>
      </w:r>
      <w:r/>
    </w:p>
    <w:p>
      <w:pPr>
        <w:pStyle w:val="1525"/>
        <w:tabs>
          <w:tab w:val="right" w:pos="9638" w:leader="dot"/>
        </w:tabs>
      </w:pPr>
      <w:r>
        <w:rPr>
          <w:bCs/>
        </w:rPr>
        <w:fldChar w:fldCharType="begin"/>
      </w:r>
      <w:r>
        <w:rPr>
          <w:bCs/>
        </w:rPr>
        <w:instrText xml:space="preserve"> HYPERLINK \l _Toc19798 </w:instrText>
      </w:r>
      <w:r>
        <w:rPr>
          <w:bCs/>
        </w:rPr>
        <w:fldChar w:fldCharType="separate"/>
      </w:r>
      <w:r>
        <w:rPr>
          <w:bCs/>
          <w:szCs w:val="21"/>
        </w:rPr>
        <w:t xml:space="preserve">6、依法缴纳税收的记录</w:t>
      </w:r>
      <w:r>
        <w:tab/>
      </w:r>
      <w:r>
        <w:fldChar w:fldCharType="begin"/>
      </w:r>
      <w:r>
        <w:instrText xml:space="preserve"> PAGEREF _Toc19798 \h </w:instrText>
      </w:r>
      <w:r>
        <w:fldChar w:fldCharType="separate"/>
      </w:r>
      <w:r>
        <w:t xml:space="preserve">61</w:t>
      </w:r>
      <w:r>
        <w:fldChar w:fldCharType="end"/>
      </w:r>
      <w:r>
        <w:rPr>
          <w:bCs/>
        </w:rPr>
        <w:fldChar w:fldCharType="end"/>
      </w:r>
      <w:r/>
    </w:p>
    <w:p>
      <w:pPr>
        <w:pStyle w:val="1525"/>
        <w:tabs>
          <w:tab w:val="right" w:pos="9638" w:leader="dot"/>
        </w:tabs>
      </w:pPr>
      <w:r>
        <w:rPr>
          <w:bCs/>
        </w:rPr>
        <w:fldChar w:fldCharType="begin"/>
      </w:r>
      <w:r>
        <w:rPr>
          <w:bCs/>
        </w:rPr>
        <w:instrText xml:space="preserve"> HYPERLINK \l _Toc23608 </w:instrText>
      </w:r>
      <w:r>
        <w:rPr>
          <w:bCs/>
        </w:rPr>
        <w:fldChar w:fldCharType="separate"/>
      </w:r>
      <w:r>
        <w:rPr>
          <w:bCs/>
          <w:szCs w:val="21"/>
        </w:rPr>
        <w:t xml:space="preserve">7、依法缴纳社会保障资金的记录</w:t>
      </w:r>
      <w:r>
        <w:tab/>
      </w:r>
      <w:r>
        <w:fldChar w:fldCharType="begin"/>
      </w:r>
      <w:r>
        <w:instrText xml:space="preserve"> PAGEREF _Toc23608 \h </w:instrText>
      </w:r>
      <w:r>
        <w:fldChar w:fldCharType="separate"/>
      </w:r>
      <w:r>
        <w:t xml:space="preserve">62</w:t>
      </w:r>
      <w:r>
        <w:fldChar w:fldCharType="end"/>
      </w:r>
      <w:r>
        <w:rPr>
          <w:bCs/>
        </w:rPr>
        <w:fldChar w:fldCharType="end"/>
      </w:r>
      <w:r/>
    </w:p>
    <w:p>
      <w:pPr>
        <w:pStyle w:val="1525"/>
        <w:tabs>
          <w:tab w:val="right" w:pos="9638" w:leader="dot"/>
        </w:tabs>
      </w:pPr>
      <w:r>
        <w:rPr>
          <w:bCs/>
        </w:rPr>
        <w:fldChar w:fldCharType="begin"/>
      </w:r>
      <w:r>
        <w:rPr>
          <w:bCs/>
        </w:rPr>
        <w:instrText xml:space="preserve"> HYPERLINK \l _Toc12240 </w:instrText>
      </w:r>
      <w:r>
        <w:rPr>
          <w:bCs/>
        </w:rPr>
        <w:fldChar w:fldCharType="separate"/>
      </w:r>
      <w:r>
        <w:rPr>
          <w:bCs/>
          <w:szCs w:val="21"/>
        </w:rPr>
        <w:t xml:space="preserve">8、针对本项目的特定资格要求</w:t>
      </w:r>
      <w:r>
        <w:tab/>
      </w:r>
      <w:r>
        <w:fldChar w:fldCharType="begin"/>
      </w:r>
      <w:r>
        <w:instrText xml:space="preserve"> PAGEREF _Toc12240 \h </w:instrText>
      </w:r>
      <w:r>
        <w:fldChar w:fldCharType="separate"/>
      </w:r>
      <w:r>
        <w:t xml:space="preserve">63</w:t>
      </w:r>
      <w:r>
        <w:fldChar w:fldCharType="end"/>
      </w:r>
      <w:r>
        <w:rPr>
          <w:bCs/>
        </w:rPr>
        <w:fldChar w:fldCharType="end"/>
      </w:r>
      <w:r/>
    </w:p>
    <w:p>
      <w:pPr>
        <w:pStyle w:val="1525"/>
        <w:tabs>
          <w:tab w:val="right" w:pos="9638" w:leader="dot"/>
        </w:tabs>
      </w:pPr>
      <w:r>
        <w:rPr>
          <w:bCs/>
        </w:rPr>
        <w:fldChar w:fldCharType="begin"/>
      </w:r>
      <w:r>
        <w:rPr>
          <w:bCs/>
        </w:rPr>
        <w:instrText xml:space="preserve"> HYPERLINK \l _Toc22019 </w:instrText>
      </w:r>
      <w:r>
        <w:rPr>
          <w:bCs/>
        </w:rPr>
        <w:fldChar w:fldCharType="separate"/>
      </w:r>
      <w:r>
        <w:rPr>
          <w:bCs/>
          <w:szCs w:val="21"/>
        </w:rPr>
        <w:t xml:space="preserve">9、</w:t>
      </w:r>
      <w:r>
        <w:rPr>
          <w:rFonts w:hint="eastAsia" w:ascii="宋体" w:hAnsi="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_Toc22019 \h </w:instrText>
      </w:r>
      <w:r>
        <w:fldChar w:fldCharType="separate"/>
      </w:r>
      <w:r>
        <w:t xml:space="preserve">64</w:t>
      </w:r>
      <w:r>
        <w:fldChar w:fldCharType="end"/>
      </w:r>
      <w:r>
        <w:rPr>
          <w:bCs/>
        </w:rPr>
        <w:fldChar w:fldCharType="end"/>
      </w:r>
      <w:r/>
    </w:p>
    <w:p>
      <w:pPr>
        <w:pStyle w:val="1525"/>
        <w:tabs>
          <w:tab w:val="right" w:pos="9638" w:leader="dot"/>
        </w:tabs>
      </w:pPr>
      <w:r>
        <w:rPr>
          <w:bCs/>
        </w:rPr>
        <w:fldChar w:fldCharType="begin"/>
      </w:r>
      <w:r>
        <w:rPr>
          <w:bCs/>
        </w:rPr>
        <w:instrText xml:space="preserve"> HYPERLINK \l _Toc23403 </w:instrText>
      </w:r>
      <w:r>
        <w:rPr>
          <w:bCs/>
        </w:rPr>
        <w:fldChar w:fldCharType="separate"/>
      </w:r>
      <w:r>
        <w:rPr>
          <w:rFonts w:hint="eastAsia" w:ascii="宋体" w:hAnsi="宋体" w:cs="宋体"/>
          <w:bCs/>
          <w:szCs w:val="21"/>
        </w:rPr>
        <w:t xml:space="preserve">10、符合招标文件第一章“拒绝下述供应商参加本次采购活动的情形”中第 2）条的声明（加盖单位公章）</w:t>
      </w:r>
      <w:r>
        <w:tab/>
      </w:r>
      <w:r>
        <w:fldChar w:fldCharType="begin"/>
      </w:r>
      <w:r>
        <w:instrText xml:space="preserve"> PAGEREF _Toc23403 \h </w:instrText>
      </w:r>
      <w:r>
        <w:fldChar w:fldCharType="separate"/>
      </w:r>
      <w:r>
        <w:t xml:space="preserve">65</w:t>
      </w:r>
      <w:r>
        <w:fldChar w:fldCharType="end"/>
      </w:r>
      <w:r>
        <w:rPr>
          <w:bCs/>
        </w:rPr>
        <w:fldChar w:fldCharType="end"/>
      </w:r>
      <w:r/>
    </w:p>
    <w:p>
      <w:pPr>
        <w:pStyle w:val="1525"/>
        <w:tabs>
          <w:tab w:val="right" w:pos="9638" w:leader="dot"/>
        </w:tabs>
      </w:pPr>
      <w:r>
        <w:rPr>
          <w:bCs/>
        </w:rPr>
        <w:fldChar w:fldCharType="begin"/>
      </w:r>
      <w:r>
        <w:rPr>
          <w:bCs/>
        </w:rPr>
        <w:instrText xml:space="preserve"> HYPERLINK \l _Toc4699 </w:instrText>
      </w:r>
      <w:r>
        <w:rPr>
          <w:bCs/>
        </w:rPr>
        <w:fldChar w:fldCharType="separate"/>
      </w:r>
      <w:r>
        <w:rPr>
          <w:rFonts w:hint="eastAsia" w:ascii="宋体" w:hAnsi="宋体" w:cs="宋体"/>
          <w:bCs/>
          <w:szCs w:val="21"/>
        </w:rPr>
        <w:t xml:space="preserve">11、本项目不接受联合体投标，中标后不允许分包、转包。</w:t>
      </w:r>
      <w:r>
        <w:tab/>
      </w:r>
      <w:r>
        <w:fldChar w:fldCharType="begin"/>
      </w:r>
      <w:r>
        <w:instrText xml:space="preserve"> PAGEREF _Toc4699 \h </w:instrText>
      </w:r>
      <w:r>
        <w:fldChar w:fldCharType="separate"/>
      </w:r>
      <w:r>
        <w:t xml:space="preserve">66</w:t>
      </w:r>
      <w:r>
        <w:fldChar w:fldCharType="end"/>
      </w:r>
      <w:r>
        <w:rPr>
          <w:bCs/>
        </w:rPr>
        <w:fldChar w:fldCharType="end"/>
      </w:r>
      <w:r/>
    </w:p>
    <w:p>
      <w:pPr>
        <w:pStyle w:val="1525"/>
        <w:tabs>
          <w:tab w:val="right" w:pos="9638" w:leader="dot"/>
        </w:tabs>
      </w:pPr>
      <w:r>
        <w:rPr>
          <w:bCs/>
        </w:rPr>
        <w:fldChar w:fldCharType="begin"/>
      </w:r>
      <w:r>
        <w:rPr>
          <w:bCs/>
        </w:rPr>
        <w:instrText xml:space="preserve"> HYPERLINK \l _Toc19070 </w:instrText>
      </w:r>
      <w:r>
        <w:rPr>
          <w:bCs/>
        </w:rPr>
        <w:fldChar w:fldCharType="separate"/>
      </w:r>
      <w:r>
        <w:rPr>
          <w:rFonts w:hint="eastAsia" w:ascii="宋体" w:hAnsi="宋体" w:cs="宋体"/>
          <w:szCs w:val="21"/>
        </w:rPr>
        <w:t xml:space="preserve">参考格式：</w:t>
      </w:r>
      <w:r>
        <w:tab/>
      </w:r>
      <w:r>
        <w:fldChar w:fldCharType="begin"/>
      </w:r>
      <w:r>
        <w:instrText xml:space="preserve"> PAGEREF _Toc19070 \h </w:instrText>
      </w:r>
      <w:r>
        <w:fldChar w:fldCharType="separate"/>
      </w:r>
      <w:r>
        <w:t xml:space="preserve">66</w:t>
      </w:r>
      <w:r>
        <w:fldChar w:fldCharType="end"/>
      </w:r>
      <w:r>
        <w:rPr>
          <w:bCs/>
        </w:rPr>
        <w:fldChar w:fldCharType="end"/>
      </w:r>
      <w:r/>
    </w:p>
    <w:p>
      <w:pPr>
        <w:pStyle w:val="1546"/>
        <w:tabs>
          <w:tab w:val="right" w:pos="9638" w:leader="dot"/>
        </w:tabs>
      </w:pPr>
      <w:r>
        <w:rPr>
          <w:bCs/>
        </w:rPr>
        <w:fldChar w:fldCharType="begin"/>
      </w:r>
      <w:r>
        <w:rPr>
          <w:bCs/>
        </w:rPr>
        <w:instrText xml:space="preserve"> HYPERLINK \l _Toc13294 </w:instrText>
      </w:r>
      <w:r>
        <w:rPr>
          <w:bCs/>
        </w:rPr>
        <w:fldChar w:fldCharType="separate"/>
      </w:r>
      <w:r>
        <w:rPr>
          <w:bCs/>
          <w:szCs w:val="22"/>
          <w:lang w:val="zh-CN"/>
        </w:rPr>
        <w:t xml:space="preserve">附件</w:t>
      </w:r>
      <w:r>
        <w:rPr>
          <w:rFonts w:hint="eastAsia"/>
          <w:bCs/>
          <w:szCs w:val="22"/>
        </w:rPr>
        <w:t xml:space="preserve">九</w:t>
      </w:r>
      <w:r>
        <w:rPr>
          <w:bCs/>
          <w:szCs w:val="22"/>
          <w:lang w:val="zh-CN"/>
        </w:rPr>
        <w:t xml:space="preserve"> 供应商认为应提供的其他材料</w:t>
      </w:r>
      <w:r>
        <w:tab/>
      </w:r>
      <w:r>
        <w:fldChar w:fldCharType="begin"/>
      </w:r>
      <w:r>
        <w:instrText xml:space="preserve"> PAGEREF _Toc13294 \h </w:instrText>
      </w:r>
      <w:r>
        <w:fldChar w:fldCharType="separate"/>
      </w:r>
      <w:r>
        <w:t xml:space="preserve">67</w:t>
      </w:r>
      <w:r>
        <w:fldChar w:fldCharType="end"/>
      </w:r>
      <w:r>
        <w:rPr>
          <w:bCs/>
        </w:rPr>
        <w:fldChar w:fldCharType="end"/>
      </w:r>
      <w:r/>
    </w:p>
    <w:p>
      <w:pPr>
        <w:pStyle w:val="1484"/>
        <w:spacing w:line="440" w:lineRule="exact"/>
        <w:rPr>
          <w:bCs/>
          <w:sz w:val="24"/>
        </w:rPr>
      </w:pPr>
      <w:r>
        <w:rPr>
          <w:bCs/>
        </w:rPr>
        <w:fldChar w:fldCharType="end"/>
      </w:r>
      <w:r>
        <w:rPr>
          <w:bCs/>
          <w:sz w:val="24"/>
        </w:rPr>
      </w:r>
      <w:r/>
    </w:p>
    <w:p>
      <w:pPr>
        <w:pStyle w:val="1484"/>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Pr>
          <w:b/>
          <w:sz w:val="28"/>
          <w:szCs w:val="28"/>
        </w:rPr>
      </w:r>
      <w:r/>
    </w:p>
    <w:p>
      <w:pPr>
        <w:pStyle w:val="1484"/>
        <w:jc w:val="center"/>
        <w:spacing w:line="360" w:lineRule="auto"/>
        <w:rPr>
          <w:b/>
          <w:sz w:val="44"/>
        </w:rPr>
        <w:outlineLvl w:val="0"/>
      </w:pPr>
      <w:r/>
      <w:bookmarkStart w:id="2" w:name="_Toc8749"/>
      <w:r>
        <w:rPr>
          <w:b/>
          <w:sz w:val="28"/>
          <w:szCs w:val="28"/>
        </w:rPr>
        <w:t xml:space="preserve">第一章 投标邀请（招标公告）</w:t>
      </w:r>
      <w:bookmarkEnd w:id="0"/>
      <w:r/>
      <w:bookmarkEnd w:id="1"/>
      <w:r/>
      <w:bookmarkEnd w:id="2"/>
      <w:r>
        <w:rPr>
          <w:b/>
          <w:sz w:val="44"/>
        </w:rPr>
      </w:r>
      <w:r/>
    </w:p>
    <w:p>
      <w:pPr>
        <w:pStyle w:val="1484"/>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1484"/>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江苏省疾病预防控制中心（江苏省预防医学科学院） 新型冠状病毒2019-nCov/甲型流感病毒/乙型流感病毒核酸荧光定量PCR试剂盒</w:t>
      </w:r>
      <w:r>
        <w:rPr>
          <w:rFonts w:hint="eastAsia" w:ascii="宋体" w:hAnsi="宋体" w:cs="宋体"/>
          <w:szCs w:val="21"/>
        </w:rPr>
        <w:t xml:space="preserve">招标项目的潜在投标人应在</w:t>
      </w:r>
      <w:r>
        <w:rPr>
          <w:rFonts w:hint="eastAsia" w:ascii="宋体" w:hAnsi="宋体" w:cs="宋体"/>
          <w:szCs w:val="21"/>
          <w:u w:val="single"/>
        </w:rPr>
        <w:t xml:space="preserve">“苏采云”系统内免费下载</w:t>
      </w:r>
      <w:r>
        <w:rPr>
          <w:rFonts w:hint="eastAsia" w:ascii="宋体" w:hAnsi="宋体" w:cs="宋体"/>
          <w:szCs w:val="21"/>
        </w:rPr>
        <w:t xml:space="preserve">招标文件，并于</w:t>
      </w:r>
      <w:r>
        <w:rPr>
          <w:rFonts w:hint="eastAsia" w:ascii="宋体" w:hAnsi="宋体" w:cs="宋体"/>
          <w:szCs w:val="21"/>
          <w:u w:val="single"/>
        </w:rPr>
        <w:t xml:space="preserve">2026</w:t>
      </w:r>
      <w:r>
        <w:rPr>
          <w:rFonts w:hint="eastAsia" w:ascii="宋体" w:hAnsi="宋体" w:cs="宋体"/>
          <w:bCs/>
          <w:szCs w:val="21"/>
          <w:u w:val="single"/>
        </w:rPr>
        <w:t xml:space="preserve">年</w:t>
      </w:r>
      <w:r>
        <w:rPr>
          <w:rFonts w:hint="eastAsia" w:ascii="宋体" w:hAnsi="宋体" w:cs="宋体"/>
          <w:bCs/>
          <w:szCs w:val="21"/>
          <w:u w:val="single"/>
          <w:lang w:val="en-US" w:eastAsia="zh-CN"/>
        </w:rPr>
        <w:t xml:space="preserve">9</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2</w:t>
      </w:r>
      <w:r>
        <w:rPr>
          <w:rFonts w:hint="eastAsia" w:ascii="宋体" w:hAnsi="宋体" w:cs="宋体"/>
          <w:bCs/>
          <w:szCs w:val="21"/>
          <w:u w:val="single"/>
          <w:lang w:val="en-US" w:eastAsia="zh-CN"/>
        </w:rPr>
        <w:t xml:space="preserve">2</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1</w:t>
      </w:r>
      <w:r>
        <w:rPr>
          <w:rFonts w:hint="eastAsia" w:ascii="宋体" w:hAnsi="宋体" w:cs="宋体"/>
          <w:bCs/>
          <w:szCs w:val="21"/>
          <w:u w:val="single"/>
          <w:lang w:val="en-US" w:eastAsia="zh-CN"/>
        </w:rPr>
        <w:t xml:space="preserve">4</w:t>
      </w:r>
      <w:r>
        <w:rPr>
          <w:rFonts w:hint="eastAsia" w:ascii="宋体" w:hAnsi="宋体" w:cs="宋体"/>
          <w:bCs/>
          <w:szCs w:val="21"/>
          <w:u w:val="single"/>
        </w:rPr>
        <w:t xml:space="preserve">点</w:t>
      </w:r>
      <w:r>
        <w:rPr>
          <w:rFonts w:hint="eastAsia" w:ascii="宋体" w:hAnsi="宋体" w:cs="宋体"/>
          <w:bCs/>
          <w:szCs w:val="21"/>
          <w:u w:val="single"/>
          <w:lang w:val="en-US" w:eastAsia="zh-CN"/>
        </w:rPr>
        <w:t xml:space="preserve">0</w:t>
      </w:r>
      <w:r>
        <w:rPr>
          <w:rFonts w:hint="eastAsia" w:ascii="宋体" w:hAnsi="宋体" w:cs="宋体"/>
          <w:bCs/>
          <w:szCs w:val="21"/>
          <w:u w:val="single"/>
        </w:rPr>
        <w:t xml:space="preserve">0分（</w:t>
      </w:r>
      <w:r>
        <w:rPr>
          <w:rFonts w:hint="eastAsia" w:ascii="宋体" w:hAnsi="宋体" w:cs="宋体"/>
          <w:bCs/>
          <w:szCs w:val="21"/>
        </w:rPr>
        <w:t xml:space="preserve">北京时间）前递交投标文件</w:t>
      </w:r>
      <w:r>
        <w:rPr>
          <w:rFonts w:hint="eastAsia" w:ascii="宋体" w:hAnsi="宋体" w:cs="宋体"/>
          <w:szCs w:val="21"/>
        </w:rPr>
        <w:t xml:space="preserve">。</w:t>
      </w:r>
      <w:r>
        <w:rPr>
          <w:rFonts w:hint="eastAsia" w:ascii="宋体" w:hAnsi="宋体" w:cs="宋体"/>
          <w:szCs w:val="21"/>
        </w:rPr>
      </w:r>
      <w:r/>
    </w:p>
    <w:p>
      <w:pPr>
        <w:pStyle w:val="1484"/>
        <w:spacing w:line="360" w:lineRule="auto"/>
        <w:rPr>
          <w:rFonts w:hint="eastAsia" w:ascii="宋体" w:hAnsi="宋体" w:cs="宋体"/>
          <w:b/>
          <w:szCs w:val="21"/>
        </w:rPr>
      </w:pPr>
      <w:r/>
      <w:bookmarkStart w:id="3" w:name="_Toc28359002"/>
      <w:r/>
      <w:bookmarkStart w:id="4" w:name="_Toc28359079"/>
      <w:r/>
      <w:bookmarkStart w:id="5" w:name="_Toc35393621"/>
      <w:r/>
      <w:bookmarkStart w:id="6" w:name="_Toc35393790"/>
      <w:r/>
      <w:bookmarkStart w:id="7" w:name="_Hlk24379207"/>
      <w:r>
        <w:rPr>
          <w:rFonts w:hint="eastAsia" w:ascii="宋体" w:hAnsi="宋体" w:cs="宋体"/>
          <w:b/>
          <w:szCs w:val="21"/>
        </w:rPr>
        <w:t xml:space="preserve">一、项目基本情况</w:t>
      </w:r>
      <w:bookmarkEnd w:id="3"/>
      <w:r/>
      <w:bookmarkEnd w:id="4"/>
      <w:r/>
      <w:bookmarkEnd w:id="5"/>
      <w:r/>
      <w:bookmarkEnd w:id="6"/>
      <w:r>
        <w:rPr>
          <w:rFonts w:hint="eastAsia" w:ascii="宋体" w:hAnsi="宋体" w:cs="宋体"/>
          <w:b/>
          <w:szCs w:val="21"/>
        </w:rPr>
      </w:r>
      <w:r/>
    </w:p>
    <w:p>
      <w:pPr>
        <w:pStyle w:val="1484"/>
        <w:ind w:firstLine="21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lang w:eastAsia="zh-CN"/>
        </w:rPr>
        <w:t xml:space="preserve">JSZC-320000-SMDY-G2026-0076</w:t>
      </w:r>
      <w:r>
        <w:rPr>
          <w:rFonts w:hint="eastAsia" w:ascii="宋体" w:hAnsi="宋体" w:cs="宋体"/>
          <w:szCs w:val="21"/>
        </w:rPr>
        <w:t xml:space="preserve">（2640SUMEC/ZWGG2102）</w:t>
      </w:r>
      <w:r>
        <w:rPr>
          <w:rFonts w:hint="eastAsia" w:ascii="宋体" w:hAnsi="宋体" w:cs="宋体"/>
          <w:szCs w:val="21"/>
        </w:rPr>
      </w:r>
      <w:r/>
    </w:p>
    <w:p>
      <w:pPr>
        <w:pStyle w:val="1484"/>
        <w:ind w:firstLine="210"/>
        <w:spacing w:line="360" w:lineRule="auto"/>
        <w:rPr>
          <w:rFonts w:hint="eastAsia" w:ascii="宋体" w:hAnsi="宋体" w:cs="宋体"/>
          <w:szCs w:val="21"/>
        </w:rPr>
      </w:pPr>
      <w:r>
        <w:rPr>
          <w:rFonts w:hint="eastAsia" w:ascii="宋体" w:hAnsi="宋体" w:cs="宋体"/>
          <w:szCs w:val="21"/>
        </w:rPr>
        <w:t xml:space="preserve">2.项目名称：新型冠状病毒2019-nCov/甲型流感病毒/乙型流感病毒核酸荧光定量PCR试剂盒</w:t>
      </w:r>
      <w:r>
        <w:rPr>
          <w:rFonts w:hint="eastAsia" w:ascii="宋体" w:hAnsi="宋体" w:cs="宋体"/>
          <w:szCs w:val="21"/>
        </w:rPr>
      </w:r>
      <w:r/>
    </w:p>
    <w:p>
      <w:pPr>
        <w:pStyle w:val="1484"/>
        <w:ind w:firstLine="210"/>
        <w:spacing w:line="360" w:lineRule="auto"/>
        <w:rPr>
          <w:rFonts w:ascii="宋体" w:hAnsi="宋体" w:cs="宋体"/>
          <w:szCs w:val="21"/>
          <w:highlight w:val="none"/>
        </w:rPr>
      </w:pPr>
      <w:r/>
      <w:bookmarkEnd w:id="7"/>
      <w:r>
        <w:rPr>
          <w:rFonts w:hint="eastAsia" w:ascii="宋体" w:hAnsi="宋体" w:cs="宋体"/>
          <w:szCs w:val="21"/>
        </w:rPr>
        <w:t xml:space="preserve">3.预算金额：</w:t>
      </w:r>
      <w:r>
        <w:rPr>
          <w:rFonts w:hint="eastAsia" w:ascii="宋体" w:hAnsi="宋体" w:cs="宋体"/>
          <w:szCs w:val="21"/>
          <w:highlight w:val="none"/>
          <w:lang w:val="en-US" w:eastAsia="zh-CN"/>
        </w:rPr>
        <w:t xml:space="preserve">项目总预算为</w:t>
      </w:r>
      <w:r>
        <w:rPr>
          <w:rFonts w:hint="eastAsia" w:ascii="宋体" w:hAnsi="宋体" w:cs="宋体"/>
          <w:szCs w:val="21"/>
          <w:highlight w:val="none"/>
        </w:rPr>
        <w:t xml:space="preserve">人民币112万元，</w:t>
      </w:r>
      <w:r>
        <w:rPr>
          <w:rFonts w:hint="eastAsia" w:ascii="宋体" w:hAnsi="宋体" w:cs="宋体"/>
          <w:szCs w:val="21"/>
          <w:highlight w:val="none"/>
          <w:lang w:val="en-US" w:eastAsia="zh-CN"/>
        </w:rPr>
        <w:t xml:space="preserve">其中分包1预算为人民币56万元，分包2预算为人民币56万元，</w:t>
      </w:r>
      <w:r>
        <w:rPr>
          <w:rFonts w:hint="eastAsia" w:ascii="宋体" w:hAnsi="宋体" w:cs="宋体"/>
          <w:szCs w:val="21"/>
          <w:highlight w:val="none"/>
        </w:rPr>
        <w:t xml:space="preserve">超过</w:t>
      </w:r>
      <w:r>
        <w:rPr>
          <w:rFonts w:hint="eastAsia" w:ascii="宋体" w:hAnsi="宋体" w:cs="宋体"/>
          <w:szCs w:val="21"/>
          <w:highlight w:val="none"/>
          <w:lang w:val="en-US" w:eastAsia="zh-CN"/>
        </w:rPr>
        <w:t xml:space="preserve">对应分包</w:t>
      </w:r>
      <w:r>
        <w:rPr>
          <w:rFonts w:hint="eastAsia" w:ascii="宋体" w:hAnsi="宋体" w:cs="宋体"/>
          <w:szCs w:val="21"/>
          <w:highlight w:val="none"/>
        </w:rPr>
        <w:t xml:space="preserve">预算金额将作无效投标处理。</w:t>
      </w:r>
      <w:r>
        <w:rPr>
          <w:rFonts w:ascii="宋体" w:hAnsi="宋体" w:cs="宋体"/>
          <w:szCs w:val="21"/>
          <w:highlight w:val="none"/>
        </w:rPr>
      </w:r>
      <w:r/>
    </w:p>
    <w:p>
      <w:pPr>
        <w:pStyle w:val="1484"/>
        <w:ind w:firstLine="210"/>
        <w:spacing w:line="360" w:lineRule="auto"/>
        <w:rPr>
          <w:rFonts w:hint="eastAsia" w:ascii="宋体" w:hAnsi="宋体" w:cs="宋体"/>
          <w:szCs w:val="21"/>
          <w:highlight w:val="none"/>
        </w:rPr>
      </w:pPr>
      <w:r>
        <w:rPr>
          <w:rFonts w:hint="eastAsia" w:ascii="宋体" w:hAnsi="宋体" w:cs="宋体"/>
          <w:szCs w:val="21"/>
          <w:highlight w:val="none"/>
        </w:rPr>
        <w:t xml:space="preserve">4.采购需求：江苏省疾病预防控制中心（江苏省预防医学科学院）拟采购新型冠状病毒2019-nCov/甲型流感病毒/乙型流感病毒核酸检测试剂盒荧光PCR试剂盒，</w:t>
      </w:r>
      <w:r>
        <w:rPr>
          <w:rFonts w:hint="eastAsia" w:ascii="宋体" w:hAnsi="宋体" w:cs="宋体"/>
          <w:szCs w:val="21"/>
          <w:highlight w:val="none"/>
          <w:lang w:val="en-US" w:eastAsia="zh-CN"/>
        </w:rPr>
        <w:t xml:space="preserve">分包1</w:t>
      </w:r>
      <w:r>
        <w:rPr>
          <w:rFonts w:hint="eastAsia" w:ascii="宋体" w:hAnsi="宋体" w:cs="宋体"/>
          <w:szCs w:val="21"/>
          <w:highlight w:val="none"/>
        </w:rPr>
        <w:t xml:space="preserve">数量</w:t>
      </w:r>
      <w:r>
        <w:rPr>
          <w:rFonts w:hint="eastAsia" w:ascii="宋体" w:hAnsi="宋体" w:cs="宋体"/>
          <w:szCs w:val="21"/>
          <w:highlight w:val="none"/>
          <w:lang w:val="en-US" w:eastAsia="zh-CN"/>
        </w:rPr>
        <w:t xml:space="preserve">为2</w:t>
      </w:r>
      <w:r>
        <w:rPr>
          <w:rFonts w:hint="eastAsia" w:ascii="宋体" w:hAnsi="宋体" w:cs="宋体"/>
          <w:szCs w:val="21"/>
          <w:highlight w:val="none"/>
        </w:rPr>
        <w:t xml:space="preserve">0000人份，分包</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数量为20000人份</w:t>
      </w:r>
      <w:r>
        <w:rPr>
          <w:rFonts w:hint="eastAsia" w:ascii="宋体" w:hAnsi="宋体" w:cs="宋体"/>
          <w:szCs w:val="21"/>
          <w:highlight w:val="none"/>
          <w:lang w:eastAsia="zh-CN"/>
        </w:rPr>
        <w:t xml:space="preserve">，</w:t>
      </w:r>
      <w:r>
        <w:rPr>
          <w:rFonts w:hint="eastAsia" w:ascii="宋体" w:hAnsi="宋体" w:cs="宋体"/>
          <w:szCs w:val="21"/>
          <w:highlight w:val="none"/>
        </w:rPr>
        <w:t xml:space="preserve">具体需求详见第四章 招标技术规格及要求。</w:t>
      </w:r>
      <w:r>
        <w:rPr>
          <w:rFonts w:hint="eastAsia" w:ascii="宋体" w:hAnsi="宋体" w:cs="宋体"/>
          <w:szCs w:val="21"/>
          <w:highlight w:val="none"/>
        </w:rPr>
      </w:r>
      <w:r/>
    </w:p>
    <w:p>
      <w:pPr>
        <w:pStyle w:val="1484"/>
        <w:ind w:firstLine="211"/>
        <w:spacing w:line="360" w:lineRule="auto"/>
        <w:rPr>
          <w:rFonts w:hint="eastAsia" w:ascii="宋体" w:hAnsi="宋体" w:eastAsia="宋体" w:cs="宋体"/>
          <w:b/>
          <w:bCs/>
          <w:color w:val="ff0000"/>
          <w:szCs w:val="21"/>
          <w:highlight w:val="none"/>
        </w:rPr>
      </w:pPr>
      <w:r>
        <w:rPr>
          <w:rFonts w:hint="eastAsia" w:ascii="宋体" w:hAnsi="宋体" w:eastAsia="宋体" w:cs="宋体"/>
          <w:b/>
          <w:bCs/>
          <w:color w:val="ff0000"/>
          <w:szCs w:val="21"/>
          <w:highlight w:val="none"/>
        </w:rPr>
        <w:t xml:space="preserve">注：本次采购项目2个分包，按分包1至分包2正序进行评标。为保证服务质量，本次采购每个分包确定 1 家中标供应商，分包1、分包2确定不同的中标人。投标供应商可以同时投一个或多个分包，分包1和分包2不可兼中。若投标供应商在分包1中被确定为第一中标候选人的，则不再参与分包2的评审；每个分包若有效投标人不满三家的，则该分包作废标处理。</w:t>
      </w:r>
      <w:r>
        <w:rPr>
          <w:rFonts w:hint="eastAsia" w:ascii="宋体" w:hAnsi="宋体" w:eastAsia="宋体" w:cs="宋体"/>
          <w:b/>
          <w:bCs/>
          <w:color w:val="ff0000"/>
          <w:szCs w:val="21"/>
          <w:highlight w:val="none"/>
        </w:rPr>
      </w:r>
      <w:r/>
    </w:p>
    <w:p>
      <w:pPr>
        <w:pStyle w:val="1484"/>
        <w:ind w:firstLine="210"/>
        <w:spacing w:line="360" w:lineRule="auto"/>
        <w:rPr>
          <w:rFonts w:ascii="宋体" w:hAnsi="宋体" w:cs="宋体"/>
          <w:szCs w:val="21"/>
        </w:rPr>
      </w:pPr>
      <w:r>
        <w:rPr>
          <w:rFonts w:hint="eastAsia" w:ascii="宋体" w:hAnsi="宋体" w:cs="宋体"/>
          <w:szCs w:val="21"/>
        </w:rPr>
        <w:t xml:space="preserve">5.合同履行期限（交货期）：</w:t>
      </w:r>
      <w:r>
        <w:rPr>
          <w:rStyle w:val="1560"/>
          <w:rFonts w:hint="eastAsia" w:ascii="宋体" w:hAnsi="宋体" w:cs="宋体"/>
        </w:rPr>
        <w:t xml:space="preserve">合同签订后一个月内交付。</w:t>
      </w:r>
      <w:r>
        <w:rPr>
          <w:rFonts w:ascii="宋体" w:hAnsi="宋体" w:cs="宋体"/>
          <w:szCs w:val="21"/>
        </w:rPr>
      </w:r>
      <w:r/>
    </w:p>
    <w:p>
      <w:pPr>
        <w:pStyle w:val="1484"/>
        <w:ind w:firstLine="210"/>
        <w:spacing w:line="360" w:lineRule="auto"/>
        <w:rPr>
          <w:rFonts w:hint="eastAsia" w:ascii="宋体" w:hAnsi="宋体" w:cs="宋体"/>
          <w:szCs w:val="21"/>
        </w:rPr>
      </w:pPr>
      <w:r>
        <w:rPr>
          <w:rFonts w:hint="eastAsia" w:ascii="宋体" w:hAnsi="宋体" w:cs="宋体"/>
          <w:szCs w:val="21"/>
        </w:rPr>
        <w:t xml:space="preserve">6.本项目不接受联合体投标。</w:t>
      </w:r>
      <w:r>
        <w:rPr>
          <w:rFonts w:hint="eastAsia" w:ascii="宋体" w:hAnsi="宋体" w:cs="宋体"/>
          <w:szCs w:val="21"/>
        </w:rPr>
      </w:r>
      <w:r/>
    </w:p>
    <w:p>
      <w:pPr>
        <w:pStyle w:val="1484"/>
        <w:spacing w:line="360" w:lineRule="auto"/>
        <w:rPr>
          <w:rFonts w:hint="eastAsia" w:ascii="宋体" w:hAnsi="宋体" w:cs="宋体"/>
          <w:b/>
          <w:bCs/>
          <w:szCs w:val="21"/>
        </w:rPr>
      </w:pPr>
      <w:r/>
      <w:bookmarkStart w:id="8" w:name="_Toc28359080"/>
      <w:r/>
      <w:bookmarkStart w:id="9" w:name="_Toc35393622"/>
      <w:r/>
      <w:bookmarkStart w:id="10" w:name="_Toc28359003"/>
      <w:r/>
      <w:bookmarkStart w:id="11" w:name="_Toc35393791"/>
      <w:r>
        <w:rPr>
          <w:rFonts w:hint="eastAsia" w:ascii="宋体" w:hAnsi="宋体" w:cs="宋体"/>
          <w:b/>
          <w:bCs/>
          <w:szCs w:val="21"/>
        </w:rPr>
        <w:t xml:space="preserve">二、申请人的资格要求</w:t>
      </w:r>
      <w:bookmarkEnd w:id="8"/>
      <w:r/>
      <w:bookmarkEnd w:id="9"/>
      <w:r/>
      <w:bookmarkEnd w:id="10"/>
      <w:r/>
      <w:bookmarkEnd w:id="11"/>
      <w:r>
        <w:rPr>
          <w:rFonts w:hint="eastAsia" w:ascii="宋体" w:hAnsi="宋体" w:cs="宋体"/>
          <w:b/>
          <w:bCs/>
          <w:szCs w:val="21"/>
        </w:rPr>
      </w:r>
      <w:r/>
    </w:p>
    <w:p>
      <w:pPr>
        <w:pStyle w:val="1484"/>
        <w:spacing w:line="360" w:lineRule="auto"/>
        <w:widowControl/>
        <w:rPr>
          <w:rFonts w:hint="eastAsia" w:ascii="宋体" w:hAnsi="宋体" w:cs="宋体"/>
          <w:b/>
          <w:bCs/>
          <w:szCs w:val="21"/>
        </w:rPr>
      </w:pPr>
      <w:r/>
      <w:bookmarkStart w:id="12" w:name="_Toc28359004"/>
      <w:r/>
      <w:bookmarkStart w:id="13" w:name="_Toc28359081"/>
      <w:r>
        <w:rPr>
          <w:rFonts w:hint="eastAsia" w:ascii="宋体" w:hAnsi="宋体" w:cs="宋体"/>
          <w:b/>
          <w:bCs/>
          <w:szCs w:val="21"/>
        </w:rPr>
        <w:t xml:space="preserve">（一）满足《中华人民共和国政府采购法》第二十二条规定：</w:t>
      </w:r>
      <w:r>
        <w:rPr>
          <w:rFonts w:hint="eastAsia" w:ascii="宋体" w:hAnsi="宋体" w:cs="宋体"/>
          <w:b/>
          <w:bCs/>
          <w:szCs w:val="21"/>
        </w:rPr>
      </w:r>
      <w:r/>
    </w:p>
    <w:p>
      <w:pPr>
        <w:pStyle w:val="1484"/>
        <w:ind w:firstLine="220"/>
        <w:spacing w:line="480" w:lineRule="exact"/>
        <w:widowControl/>
        <w:rPr>
          <w:rFonts w:hint="eastAsia" w:ascii="宋体" w:cs="宋体"/>
          <w:szCs w:val="21"/>
        </w:rPr>
      </w:pPr>
      <w:r>
        <w:rPr>
          <w:rFonts w:hint="eastAsia" w:ascii="宋体" w:cs="宋体"/>
          <w:szCs w:val="21"/>
        </w:rPr>
        <w:t xml:space="preserve">1.</w:t>
      </w:r>
      <w:r>
        <w:rPr>
          <w:rFonts w:hint="eastAsia" w:ascii="宋体" w:cs="宋体"/>
        </w:rPr>
        <w:t xml:space="preserve">具有独立承担民事责任的能力，提供法人或其他组织的营业执照等证明文件，复印件加盖公章</w:t>
      </w:r>
      <w:r>
        <w:rPr>
          <w:rFonts w:hint="eastAsia" w:ascii="宋体" w:cs="宋体"/>
          <w:szCs w:val="21"/>
        </w:rPr>
        <w:t xml:space="preserve">；</w:t>
      </w:r>
      <w:r>
        <w:rPr>
          <w:rFonts w:hint="eastAsia" w:ascii="宋体" w:cs="宋体"/>
          <w:szCs w:val="21"/>
        </w:rPr>
      </w:r>
      <w:r/>
    </w:p>
    <w:p>
      <w:pPr>
        <w:pStyle w:val="1484"/>
        <w:ind w:firstLine="220"/>
        <w:spacing w:line="480" w:lineRule="exact"/>
        <w:widowControl/>
        <w:rPr>
          <w:rFonts w:hint="eastAsia" w:ascii="宋体" w:cs="宋体"/>
          <w:szCs w:val="21"/>
        </w:rPr>
      </w:pPr>
      <w:r>
        <w:rPr>
          <w:rFonts w:hint="eastAsia" w:ascii="宋体" w:cs="宋体"/>
          <w:szCs w:val="21"/>
        </w:rPr>
        <w:t xml:space="preserve">2.法人代表授权书（原件）及法定代表人、授权代表身份证复印件（如果是法定代表人直接参与投标的可以不提供授权书）；</w:t>
      </w:r>
      <w:r>
        <w:rPr>
          <w:rFonts w:hint="eastAsia" w:ascii="宋体" w:cs="宋体"/>
          <w:szCs w:val="21"/>
        </w:rPr>
      </w:r>
      <w:r/>
    </w:p>
    <w:p>
      <w:pPr>
        <w:pStyle w:val="1484"/>
        <w:ind w:firstLine="220"/>
        <w:spacing w:line="480" w:lineRule="exact"/>
        <w:widowControl/>
        <w:rPr>
          <w:rFonts w:hint="eastAsia" w:ascii="宋体" w:cs="宋体"/>
          <w:szCs w:val="21"/>
        </w:rPr>
      </w:pPr>
      <w:r>
        <w:rPr>
          <w:rFonts w:hint="eastAsia" w:ascii="宋体" w:cs="宋体"/>
          <w:szCs w:val="21"/>
        </w:rPr>
        <w:t xml:space="preserve">3.具有良好的商业信誉和健全的财务会计制度，提供</w:t>
      </w:r>
      <w:r>
        <w:rPr>
          <w:rFonts w:hint="eastAsia" w:ascii="宋体" w:cs="宋体"/>
        </w:rPr>
        <w:t xml:space="preserve">距开标时间六个月内任意一月份的</w:t>
      </w:r>
      <w:r>
        <w:rPr>
          <w:rFonts w:hint="eastAsia" w:ascii="宋体" w:cs="宋体"/>
          <w:szCs w:val="21"/>
        </w:rPr>
        <w:t xml:space="preserve">财务状况报告（至少包括资产负债表和利润表）（法人或者其他组织成立未满三个月的可以不提供），或其银行出具的资信证书（复印件）（开标前六个月内），或其上一年度（2025年度）经审计的财务报告复印件加盖公章；</w:t>
      </w:r>
      <w:r>
        <w:rPr>
          <w:rFonts w:hint="eastAsia" w:ascii="宋体" w:cs="宋体"/>
          <w:szCs w:val="21"/>
        </w:rPr>
      </w:r>
      <w:r/>
    </w:p>
    <w:p>
      <w:pPr>
        <w:pStyle w:val="1484"/>
        <w:ind w:firstLine="220"/>
        <w:spacing w:line="480" w:lineRule="exact"/>
        <w:widowControl/>
        <w:rPr>
          <w:rFonts w:hint="eastAsia" w:ascii="宋体" w:cs="宋体"/>
        </w:rPr>
      </w:pPr>
      <w:r>
        <w:rPr>
          <w:rFonts w:hint="eastAsia" w:ascii="宋体" w:cs="宋体"/>
          <w:szCs w:val="21"/>
        </w:rPr>
        <w:t xml:space="preserve">4.</w:t>
      </w:r>
      <w:r>
        <w:rPr>
          <w:rFonts w:hint="eastAsia" w:ascii="宋体" w:cs="宋体"/>
        </w:rPr>
        <w:t xml:space="preserve">具有履行合同所必需的设备和专业技术能力（根据项目需求提供履行合同所必需的设备和专业技术能力的证明材料或相关加盖公章的承诺函，承诺函自行编写）；</w:t>
      </w:r>
      <w:r>
        <w:rPr>
          <w:rFonts w:hint="eastAsia" w:ascii="宋体" w:cs="宋体"/>
        </w:rPr>
      </w:r>
      <w:r/>
    </w:p>
    <w:p>
      <w:pPr>
        <w:pStyle w:val="1484"/>
        <w:ind w:firstLine="220"/>
        <w:spacing w:line="480" w:lineRule="exact"/>
        <w:widowControl/>
        <w:rPr>
          <w:rFonts w:hint="eastAsia" w:ascii="宋体" w:cs="宋体"/>
          <w:szCs w:val="21"/>
        </w:rPr>
      </w:pPr>
      <w:r>
        <w:rPr>
          <w:rFonts w:hint="eastAsia" w:ascii="宋体" w:cs="宋体"/>
          <w:szCs w:val="21"/>
        </w:rPr>
        <w:t xml:space="preserve">5.参加政府采购活动近三年内</w:t>
      </w:r>
      <w:r>
        <w:rPr>
          <w:rFonts w:hint="eastAsia" w:ascii="宋体" w:cs="宋体"/>
        </w:rPr>
        <w:t xml:space="preserve">（成立时间不足三年的、自成立时间起）</w:t>
      </w:r>
      <w:r>
        <w:rPr>
          <w:rFonts w:hint="eastAsia" w:ascii="宋体" w:cs="宋体"/>
          <w:szCs w:val="21"/>
        </w:rPr>
        <w:t xml:space="preserve">，在经营活动中没有重大违法记录（提供承诺书，格式自拟，</w:t>
      </w:r>
      <w:r>
        <w:rPr>
          <w:rFonts w:hint="eastAsia" w:ascii="宋体" w:cs="宋体"/>
        </w:rPr>
        <w:t xml:space="preserve">重大违法记录是指供应商因违法经营受到刑事处罚或责令停产停业、吊销许可证或者执照、较大数额罚款等行政处罚</w:t>
      </w:r>
      <w:r>
        <w:rPr>
          <w:rFonts w:hint="eastAsia" w:ascii="宋体" w:cs="宋体"/>
          <w:szCs w:val="21"/>
        </w:rPr>
        <w:t xml:space="preserve">）；</w:t>
      </w:r>
      <w:r>
        <w:rPr>
          <w:rFonts w:hint="eastAsia" w:ascii="宋体" w:cs="宋体"/>
          <w:szCs w:val="21"/>
        </w:rPr>
      </w:r>
      <w:r/>
    </w:p>
    <w:p>
      <w:pPr>
        <w:pStyle w:val="1484"/>
        <w:ind w:firstLine="220"/>
        <w:spacing w:line="480" w:lineRule="exact"/>
        <w:widowControl/>
        <w:rPr>
          <w:rFonts w:hint="eastAsia" w:ascii="宋体" w:cs="宋体"/>
          <w:szCs w:val="21"/>
        </w:rPr>
      </w:pPr>
      <w:r>
        <w:rPr>
          <w:rFonts w:hint="eastAsia" w:ascii="宋体" w:cs="宋体"/>
          <w:szCs w:val="21"/>
        </w:rPr>
        <w:t xml:space="preserve">6.</w:t>
      </w:r>
      <w:r>
        <w:rPr>
          <w:rFonts w:hint="eastAsia" w:ascii="宋体" w:cs="宋体"/>
        </w:rPr>
        <w:t xml:space="preserve">有依法缴纳税收的良好记录</w:t>
      </w:r>
      <w:r>
        <w:rPr>
          <w:rFonts w:hint="eastAsia" w:ascii="宋体" w:cs="宋体"/>
          <w:szCs w:val="21"/>
        </w:rPr>
        <w:t xml:space="preserve">，</w:t>
      </w:r>
      <w:r>
        <w:rPr>
          <w:rFonts w:hint="eastAsia" w:ascii="宋体" w:cs="宋体"/>
        </w:rPr>
        <w:t xml:space="preserve">提供距开标时间六个月内任意一月份的纳税凭据复印件加盖公章（依法免税的应提供相应文件说明）；</w:t>
      </w:r>
      <w:r>
        <w:rPr>
          <w:rFonts w:hint="eastAsia" w:ascii="宋体" w:cs="宋体"/>
          <w:szCs w:val="21"/>
        </w:rPr>
      </w:r>
      <w:r/>
    </w:p>
    <w:p>
      <w:pPr>
        <w:pStyle w:val="1484"/>
        <w:ind w:firstLine="220"/>
        <w:spacing w:line="480" w:lineRule="exact"/>
        <w:widowControl/>
        <w:rPr>
          <w:rFonts w:hint="eastAsia" w:ascii="宋体" w:hAnsi="宋体" w:cs="宋体"/>
          <w:szCs w:val="21"/>
        </w:rPr>
      </w:pPr>
      <w:r>
        <w:rPr>
          <w:rFonts w:hint="eastAsia" w:ascii="宋体" w:cs="宋体"/>
          <w:szCs w:val="21"/>
        </w:rPr>
        <w:t xml:space="preserve">7.有依法缴纳</w:t>
      </w:r>
      <w:r>
        <w:rPr>
          <w:rFonts w:hint="eastAsia" w:ascii="宋体" w:cs="宋体"/>
        </w:rPr>
        <w:t xml:space="preserve">社会保障资金的良好记录</w:t>
      </w:r>
      <w:r>
        <w:rPr>
          <w:rFonts w:hint="eastAsia" w:ascii="宋体" w:cs="宋体"/>
          <w:szCs w:val="21"/>
        </w:rPr>
        <w:t xml:space="preserve">，</w:t>
      </w:r>
      <w:r>
        <w:rPr>
          <w:rFonts w:hint="eastAsia" w:ascii="宋体" w:cs="宋体"/>
        </w:rPr>
        <w:t xml:space="preserve">提供距开标时间六个月内任意一月份的依法缴纳社会保障资金的凭据复印件加盖公章</w:t>
      </w:r>
      <w:r>
        <w:rPr>
          <w:rFonts w:hint="eastAsia" w:ascii="宋体" w:hAnsi="宋体" w:cs="宋体"/>
          <w:szCs w:val="21"/>
        </w:rPr>
        <w:t xml:space="preserve">。</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b/>
          <w:bCs/>
          <w:szCs w:val="21"/>
        </w:rPr>
        <w:t xml:space="preserve">（二）落实政府采购政策需满足的资格要求：</w:t>
      </w:r>
      <w:r>
        <w:rPr>
          <w:rFonts w:hint="eastAsia" w:ascii="宋体" w:hAnsi="宋体" w:cs="宋体"/>
          <w:szCs w:val="21"/>
        </w:rPr>
        <w:t xml:space="preserve">无（本项目不属于专门面向中小企业采购的项目）</w:t>
      </w:r>
      <w:r>
        <w:rPr>
          <w:rFonts w:hint="eastAsia" w:ascii="宋体" w:hAnsi="宋体" w:cs="宋体"/>
          <w:szCs w:val="21"/>
        </w:rPr>
      </w:r>
      <w:r/>
    </w:p>
    <w:p>
      <w:pPr>
        <w:pStyle w:val="1484"/>
        <w:spacing w:line="360" w:lineRule="auto"/>
        <w:widowControl/>
        <w:rPr>
          <w:rFonts w:hint="eastAsia" w:ascii="宋体" w:hAnsi="宋体" w:cs="宋体"/>
          <w:b/>
          <w:bCs/>
          <w:szCs w:val="21"/>
        </w:rPr>
      </w:pPr>
      <w:r>
        <w:rPr>
          <w:rFonts w:hint="eastAsia" w:ascii="宋体" w:hAnsi="宋体" w:cs="宋体"/>
          <w:b/>
          <w:bCs/>
          <w:szCs w:val="21"/>
        </w:rPr>
        <w:t xml:space="preserve">（三）本项目的特定资格要求：</w:t>
      </w:r>
      <w:r>
        <w:rPr>
          <w:rFonts w:hint="eastAsia" w:ascii="宋体" w:hAnsi="宋体" w:cs="宋体"/>
          <w:b/>
          <w:bCs/>
          <w:szCs w:val="21"/>
        </w:rPr>
      </w:r>
      <w:r/>
    </w:p>
    <w:p>
      <w:pPr>
        <w:pStyle w:val="1484"/>
        <w:ind w:firstLine="218"/>
        <w:spacing w:line="360" w:lineRule="auto"/>
        <w:widowControl/>
        <w:rPr>
          <w:rFonts w:ascii="宋体" w:hAnsi="宋体" w:cs="宋体"/>
          <w:szCs w:val="21"/>
        </w:rPr>
      </w:pPr>
      <w:r>
        <w:rPr>
          <w:rFonts w:hint="eastAsia" w:ascii="宋体" w:hAnsi="宋体" w:cs="宋体"/>
          <w:szCs w:val="21"/>
        </w:rPr>
        <w:t xml:space="preserve">1.提供由国家药品监督管理局颁发的新型冠状病毒2019-nCov和甲型流感病毒/乙型流感病毒核酸检测试剂盒的《医疗器械注册证》，或者新型冠状病毒/甲型流感病毒/乙型流感病毒核酸检测试剂盒的《医疗器械注册证》。</w:t>
      </w:r>
      <w:r>
        <w:rPr>
          <w:rFonts w:ascii="宋体" w:hAnsi="宋体" w:cs="宋体"/>
          <w:szCs w:val="21"/>
        </w:rPr>
      </w:r>
      <w:r/>
    </w:p>
    <w:p>
      <w:pPr>
        <w:pStyle w:val="1484"/>
        <w:ind w:firstLine="218"/>
        <w:spacing w:line="360" w:lineRule="auto"/>
        <w:widowControl/>
        <w:rPr>
          <w:rFonts w:hint="eastAsia" w:ascii="宋体" w:hAnsi="宋体" w:cs="宋体"/>
          <w:szCs w:val="21"/>
        </w:rPr>
      </w:pPr>
      <w:r>
        <w:rPr>
          <w:rFonts w:hint="eastAsia" w:ascii="宋体" w:hAnsi="宋体" w:cs="宋体"/>
          <w:szCs w:val="21"/>
        </w:rPr>
        <w:t xml:space="preserve">2.本次采购不接受进口产品投标。【注：本文件所称进口产品是指通过中国海关报关验放进入中国境内且产自关境外的产品】</w:t>
      </w:r>
      <w:r>
        <w:rPr>
          <w:rFonts w:hint="eastAsia" w:ascii="宋体" w:hAnsi="宋体" w:cs="宋体"/>
          <w:szCs w:val="21"/>
        </w:rPr>
      </w:r>
      <w:r/>
    </w:p>
    <w:p>
      <w:pPr>
        <w:pStyle w:val="1495"/>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1"/>
          <w:szCs w:val="21"/>
        </w:rPr>
      </w:pPr>
      <w:r>
        <w:rPr>
          <w:rFonts w:hint="eastAsia" w:ascii="宋体" w:hAnsi="宋体" w:eastAsia="宋体" w:cs="宋体"/>
          <w:sz w:val="21"/>
          <w:szCs w:val="21"/>
        </w:rPr>
        <w:t xml:space="preserve">  3.中标后不允许转包、分包。</w:t>
      </w:r>
      <w:r>
        <w:rPr>
          <w:rFonts w:ascii="宋体" w:hAnsi="宋体" w:eastAsia="宋体" w:cs="宋体"/>
          <w:sz w:val="21"/>
          <w:szCs w:val="21"/>
        </w:rPr>
      </w:r>
      <w:r/>
    </w:p>
    <w:p>
      <w:pPr>
        <w:pStyle w:val="1484"/>
        <w:ind w:firstLine="218"/>
        <w:spacing w:line="360" w:lineRule="auto"/>
        <w:rPr>
          <w:rFonts w:hint="eastAsia" w:ascii="宋体" w:hAnsi="宋体" w:cs="宋体"/>
          <w:szCs w:val="21"/>
        </w:rPr>
      </w:pPr>
      <w:r>
        <w:rPr>
          <w:rFonts w:hint="eastAsia" w:ascii="宋体" w:hAnsi="宋体" w:cs="宋体"/>
          <w:szCs w:val="21"/>
        </w:rPr>
        <w:t xml:space="preserve">4.拒绝下述供应商参加本次采购活动的情形：</w:t>
      </w:r>
      <w:r>
        <w:rPr>
          <w:rFonts w:hint="eastAsia" w:ascii="宋体" w:hAnsi="宋体" w:cs="宋体"/>
          <w:szCs w:val="21"/>
        </w:rPr>
      </w:r>
      <w:r/>
    </w:p>
    <w:p>
      <w:pPr>
        <w:pStyle w:val="1484"/>
        <w:ind w:firstLine="218"/>
        <w:spacing w:line="360" w:lineRule="auto"/>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rPr>
          <w:rFonts w:hint="eastAsia" w:ascii="宋体" w:hAnsi="宋体" w:cs="宋体"/>
          <w:szCs w:val="21"/>
        </w:rPr>
      </w:r>
      <w:r/>
    </w:p>
    <w:p>
      <w:pPr>
        <w:pStyle w:val="1484"/>
        <w:ind w:firstLine="218"/>
        <w:spacing w:line="360" w:lineRule="auto"/>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rPr>
          <w:rFonts w:hint="eastAsia" w:ascii="宋体" w:hAnsi="宋体" w:cs="宋体"/>
          <w:szCs w:val="21"/>
        </w:rPr>
      </w:r>
      <w:r/>
    </w:p>
    <w:p>
      <w:pPr>
        <w:pStyle w:val="1484"/>
        <w:ind w:firstLine="218"/>
        <w:spacing w:line="360" w:lineRule="auto"/>
        <w:rPr>
          <w:rFonts w:hint="eastAsia" w:ascii="宋体" w:hAnsi="宋体" w:cs="宋体"/>
          <w:szCs w:val="21"/>
        </w:rPr>
      </w:pPr>
      <w:r>
        <w:rPr>
          <w:rFonts w:hint="eastAsia" w:ascii="宋体" w:hAnsi="宋体" w:cs="宋体"/>
          <w:szCs w:val="21"/>
        </w:rPr>
        <w:t xml:space="preserve">（3）拒绝列入失信被执行人、重大税收违法案件当事人名单、政府采购严重违法失信行为记录名单的供应商参与政府采购活动。</w:t>
      </w:r>
      <w:r>
        <w:rPr>
          <w:rFonts w:hint="eastAsia" w:ascii="宋体" w:hAnsi="宋体" w:cs="宋体"/>
          <w:szCs w:val="21"/>
        </w:rPr>
      </w:r>
      <w:r/>
    </w:p>
    <w:p>
      <w:pPr>
        <w:pStyle w:val="1484"/>
        <w:spacing w:line="360" w:lineRule="auto"/>
        <w:widowControl/>
        <w:rPr>
          <w:rFonts w:hint="eastAsia" w:ascii="宋体" w:hAnsi="宋体" w:cs="宋体"/>
          <w:szCs w:val="21"/>
        </w:rPr>
      </w:pPr>
      <w:r/>
      <w:bookmarkStart w:id="14" w:name="_Toc35393792"/>
      <w:r/>
      <w:bookmarkStart w:id="15" w:name="_Toc35393623"/>
      <w:r>
        <w:rPr>
          <w:rFonts w:hint="eastAsia" w:ascii="宋体" w:hAnsi="宋体" w:cs="宋体"/>
          <w:b/>
          <w:bCs/>
          <w:szCs w:val="21"/>
        </w:rPr>
        <w:t xml:space="preserve">三、获取招标文件</w:t>
      </w:r>
      <w:bookmarkEnd w:id="12"/>
      <w:r/>
      <w:bookmarkEnd w:id="13"/>
      <w:r/>
      <w:bookmarkEnd w:id="14"/>
      <w:r/>
      <w:bookmarkEnd w:id="15"/>
      <w:r>
        <w:rPr>
          <w:rFonts w:hint="eastAsia" w:ascii="宋体" w:hAnsi="宋体" w:cs="宋体"/>
          <w:szCs w:val="21"/>
        </w:rPr>
      </w:r>
      <w:r/>
    </w:p>
    <w:p>
      <w:pPr>
        <w:pStyle w:val="1484"/>
        <w:ind w:firstLine="218"/>
        <w:spacing w:line="360" w:lineRule="auto"/>
        <w:rPr>
          <w:rFonts w:hint="eastAsia" w:ascii="宋体" w:hAnsi="宋体" w:cs="宋体"/>
          <w:szCs w:val="21"/>
        </w:rPr>
      </w:pPr>
      <w:r>
        <w:rPr>
          <w:rFonts w:hint="eastAsia" w:ascii="宋体" w:hAnsi="宋体" w:cs="宋体"/>
          <w:szCs w:val="21"/>
        </w:rPr>
        <w:t xml:space="preserve">时间：自招标文件公告发布之日起5个工作日。</w:t>
      </w:r>
      <w:bookmarkStart w:id="16" w:name="_Toc28359005"/>
      <w:r/>
      <w:bookmarkStart w:id="17" w:name="_Toc28359082"/>
      <w:r/>
      <w:bookmarkStart w:id="18" w:name="_Toc35393624"/>
      <w:r/>
      <w:bookmarkStart w:id="19" w:name="_Toc35393793"/>
      <w:r>
        <w:rPr>
          <w:rFonts w:hint="eastAsia" w:ascii="宋体" w:hAnsi="宋体" w:cs="宋体"/>
          <w:szCs w:val="21"/>
        </w:rPr>
      </w:r>
      <w:r/>
    </w:p>
    <w:p>
      <w:pPr>
        <w:pStyle w:val="1484"/>
        <w:ind w:firstLine="218"/>
        <w:spacing w:line="360" w:lineRule="auto"/>
        <w:rPr>
          <w:rFonts w:hint="eastAsia" w:ascii="宋体" w:hAnsi="宋体" w:cs="宋体"/>
          <w:szCs w:val="21"/>
        </w:rPr>
      </w:pPr>
      <w:r>
        <w:rPr>
          <w:rFonts w:hint="eastAsia" w:ascii="宋体" w:hAnsi="宋体" w:cs="宋体"/>
          <w:szCs w:val="21"/>
        </w:rPr>
        <w:t xml:space="preserve">地点：“苏采云”系统内免费下载（投标人必须在苏采云系统中获取采购文件，方能参与政府采购项目）</w:t>
      </w:r>
      <w:r>
        <w:rPr>
          <w:rFonts w:hint="eastAsia" w:ascii="宋体" w:hAnsi="宋体" w:cs="宋体"/>
          <w:szCs w:val="21"/>
        </w:rPr>
      </w:r>
      <w:r/>
    </w:p>
    <w:p>
      <w:pPr>
        <w:pStyle w:val="1484"/>
        <w:ind w:firstLine="218"/>
        <w:spacing w:line="360" w:lineRule="auto"/>
        <w:rPr>
          <w:rFonts w:hint="eastAsia" w:ascii="宋体" w:hAnsi="宋体" w:cs="宋体"/>
          <w:szCs w:val="21"/>
        </w:rPr>
      </w:pPr>
      <w:r>
        <w:rPr>
          <w:rFonts w:hint="eastAsia" w:ascii="宋体" w:hAnsi="宋体" w:cs="宋体"/>
          <w:szCs w:val="21"/>
        </w:rPr>
        <w:t xml:space="preserve">方式：苏采云系统注册登记成功后系统内免费下载。</w:t>
      </w:r>
      <w:r>
        <w:rPr>
          <w:rFonts w:hint="eastAsia" w:ascii="宋体" w:hAnsi="宋体" w:cs="宋体"/>
          <w:szCs w:val="21"/>
        </w:rPr>
      </w:r>
      <w:r/>
    </w:p>
    <w:p>
      <w:pPr>
        <w:pStyle w:val="1484"/>
        <w:ind w:firstLine="218"/>
        <w:spacing w:line="360" w:lineRule="auto"/>
        <w:rPr>
          <w:rFonts w:hint="eastAsia" w:ascii="宋体" w:hAnsi="宋体" w:cs="宋体"/>
          <w:szCs w:val="21"/>
        </w:rPr>
      </w:pPr>
      <w:r>
        <w:rPr>
          <w:rFonts w:hint="eastAsia" w:ascii="宋体" w:hAnsi="宋体" w:cs="宋体"/>
          <w:szCs w:val="21"/>
        </w:rPr>
        <w:t xml:space="preserve">售价：0元。</w:t>
      </w:r>
      <w:r>
        <w:rPr>
          <w:rFonts w:hint="eastAsia" w:ascii="宋体" w:hAnsi="宋体" w:cs="宋体"/>
          <w:szCs w:val="21"/>
        </w:rPr>
      </w:r>
      <w:r/>
    </w:p>
    <w:p>
      <w:pPr>
        <w:pStyle w:val="1484"/>
        <w:spacing w:line="360" w:lineRule="auto"/>
        <w:rPr>
          <w:rFonts w:hint="eastAsia" w:ascii="宋体" w:hAnsi="宋体" w:cs="宋体"/>
          <w:b/>
          <w:bCs/>
          <w:szCs w:val="21"/>
        </w:rPr>
      </w:pPr>
      <w:r>
        <w:rPr>
          <w:rFonts w:hint="eastAsia" w:ascii="宋体" w:hAnsi="宋体" w:cs="宋体"/>
          <w:b/>
          <w:bCs/>
          <w:szCs w:val="21"/>
        </w:rPr>
        <w:t xml:space="preserve">四、提交投标文件</w:t>
      </w:r>
      <w:bookmarkEnd w:id="16"/>
      <w:r/>
      <w:bookmarkEnd w:id="17"/>
      <w:r>
        <w:rPr>
          <w:rFonts w:hint="eastAsia" w:ascii="宋体" w:hAnsi="宋体" w:cs="宋体"/>
          <w:b/>
          <w:bCs/>
          <w:szCs w:val="21"/>
        </w:rPr>
        <w:t xml:space="preserve">截止时间、开标时间和地点</w:t>
      </w:r>
      <w:bookmarkEnd w:id="18"/>
      <w:r/>
      <w:bookmarkEnd w:id="19"/>
      <w:r>
        <w:rPr>
          <w:rFonts w:hint="eastAsia" w:ascii="宋体" w:hAnsi="宋体" w:cs="宋体"/>
          <w:b/>
          <w:bCs/>
          <w:szCs w:val="21"/>
        </w:rPr>
      </w:r>
      <w:r/>
    </w:p>
    <w:p>
      <w:pPr>
        <w:pStyle w:val="1484"/>
        <w:ind w:firstLine="220"/>
        <w:spacing w:line="360" w:lineRule="auto"/>
        <w:rPr>
          <w:rFonts w:hint="eastAsia" w:ascii="宋体" w:hAnsi="宋体" w:cs="宋体"/>
          <w:szCs w:val="21"/>
        </w:rPr>
      </w:pPr>
      <w:r/>
      <w:bookmarkStart w:id="20" w:name="_Toc28359007"/>
      <w:r/>
      <w:bookmarkStart w:id="21" w:name="_Toc35393625"/>
      <w:r/>
      <w:bookmarkStart w:id="22" w:name="_Toc35393794"/>
      <w:r/>
      <w:bookmarkStart w:id="23" w:name="_Toc28359084"/>
      <w:r>
        <w:rPr>
          <w:rFonts w:hint="eastAsia" w:ascii="宋体" w:hAnsi="宋体" w:cs="宋体"/>
          <w:szCs w:val="21"/>
        </w:rPr>
        <w:t xml:space="preserve">提交投标文件截止时间、开标时间：2026年</w:t>
      </w:r>
      <w:r>
        <w:rPr>
          <w:rFonts w:hint="eastAsia" w:ascii="宋体" w:hAnsi="宋体" w:cs="宋体"/>
          <w:szCs w:val="21"/>
          <w:lang w:val="en-US" w:eastAsia="zh-CN"/>
        </w:rPr>
        <w:t xml:space="preserve">9</w:t>
      </w:r>
      <w:r>
        <w:rPr>
          <w:rFonts w:hint="eastAsia" w:ascii="宋体" w:hAnsi="宋体" w:cs="宋体"/>
          <w:szCs w:val="21"/>
        </w:rPr>
        <w:t xml:space="preserve">月</w:t>
      </w:r>
      <w:r>
        <w:rPr>
          <w:rFonts w:hint="eastAsia" w:ascii="宋体" w:hAnsi="宋体" w:cs="宋体"/>
          <w:szCs w:val="21"/>
          <w:lang w:val="en-US" w:eastAsia="zh-CN"/>
        </w:rPr>
        <w:t xml:space="preserve">22</w:t>
      </w:r>
      <w:r>
        <w:rPr>
          <w:rFonts w:hint="eastAsia" w:ascii="宋体" w:hAnsi="宋体" w:cs="宋体"/>
          <w:szCs w:val="21"/>
        </w:rPr>
        <w:t xml:space="preserve">日</w:t>
      </w:r>
      <w:r>
        <w:rPr>
          <w:rFonts w:hint="eastAsia" w:ascii="宋体" w:hAnsi="宋体" w:cs="宋体"/>
          <w:szCs w:val="21"/>
          <w:lang w:val="en-US" w:eastAsia="zh-CN"/>
        </w:rPr>
        <w:t xml:space="preserve">14</w:t>
      </w:r>
      <w:r>
        <w:rPr>
          <w:rFonts w:hint="eastAsia" w:ascii="宋体" w:hAnsi="宋体" w:cs="宋体"/>
          <w:szCs w:val="21"/>
        </w:rPr>
        <w:t xml:space="preserve">点</w:t>
      </w:r>
      <w:r>
        <w:rPr>
          <w:rFonts w:hint="eastAsia" w:ascii="宋体" w:hAnsi="宋体" w:cs="宋体"/>
          <w:szCs w:val="21"/>
          <w:lang w:val="en-US" w:eastAsia="zh-CN"/>
        </w:rPr>
        <w:t xml:space="preserve">0</w:t>
      </w:r>
      <w:r>
        <w:rPr>
          <w:rFonts w:hint="eastAsia" w:ascii="宋体" w:hAnsi="宋体" w:cs="宋体"/>
          <w:szCs w:val="21"/>
        </w:rPr>
        <w:t xml:space="preserve">0分（北京时间）</w:t>
      </w:r>
      <w:r>
        <w:rPr>
          <w:rFonts w:hint="eastAsia" w:ascii="宋体" w:hAnsi="宋体" w:cs="宋体"/>
          <w:szCs w:val="21"/>
        </w:rPr>
      </w:r>
      <w:r/>
    </w:p>
    <w:p>
      <w:pPr>
        <w:pStyle w:val="1484"/>
        <w:ind w:firstLine="220"/>
        <w:spacing w:line="360" w:lineRule="auto"/>
        <w:rPr>
          <w:rFonts w:hint="eastAsia" w:ascii="宋体" w:hAnsi="宋体" w:cs="宋体"/>
          <w:b/>
          <w:szCs w:val="21"/>
        </w:rPr>
      </w:pPr>
      <w:r>
        <w:rPr>
          <w:rFonts w:hint="eastAsia" w:ascii="宋体" w:hAnsi="宋体" w:cs="宋体"/>
          <w:bCs/>
          <w:szCs w:val="21"/>
        </w:rPr>
        <w:t xml:space="preserve">地点：“苏采云”系统（网址： http://jszfcg.jsczt.cn/）“开标大厅”</w:t>
      </w:r>
      <w:r>
        <w:rPr>
          <w:rFonts w:hint="eastAsia" w:ascii="宋体" w:hAnsi="宋体" w:cs="宋体"/>
          <w:b/>
          <w:szCs w:val="21"/>
        </w:rPr>
      </w:r>
      <w:r/>
    </w:p>
    <w:p>
      <w:pPr>
        <w:pStyle w:val="1484"/>
        <w:spacing w:line="360" w:lineRule="auto"/>
        <w:rPr>
          <w:rFonts w:hint="eastAsia" w:ascii="宋体" w:hAnsi="宋体" w:cs="宋体"/>
          <w:b/>
          <w:bCs/>
          <w:szCs w:val="21"/>
        </w:rPr>
      </w:pPr>
      <w:r>
        <w:rPr>
          <w:rFonts w:hint="eastAsia" w:ascii="宋体" w:hAnsi="宋体" w:cs="宋体"/>
          <w:b/>
          <w:bCs/>
          <w:szCs w:val="21"/>
        </w:rPr>
        <w:t xml:space="preserve">五、公告期限</w:t>
      </w:r>
      <w:bookmarkEnd w:id="20"/>
      <w:r/>
      <w:bookmarkEnd w:id="21"/>
      <w:r/>
      <w:bookmarkEnd w:id="22"/>
      <w:r/>
      <w:bookmarkEnd w:id="23"/>
      <w:r>
        <w:rPr>
          <w:rFonts w:hint="eastAsia" w:ascii="宋体" w:hAnsi="宋体" w:cs="宋体"/>
          <w:b/>
          <w:bCs/>
          <w:szCs w:val="21"/>
        </w:rPr>
      </w:r>
      <w:r/>
    </w:p>
    <w:p>
      <w:pPr>
        <w:pStyle w:val="1484"/>
        <w:ind w:firstLine="218"/>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484"/>
        <w:spacing w:line="360" w:lineRule="auto"/>
        <w:rPr>
          <w:rFonts w:hint="eastAsia" w:ascii="宋体" w:hAnsi="宋体" w:cs="宋体"/>
          <w:b/>
          <w:bCs/>
          <w:szCs w:val="21"/>
        </w:rPr>
      </w:pPr>
      <w:r/>
      <w:bookmarkStart w:id="24" w:name="_Toc35393795"/>
      <w:r/>
      <w:bookmarkStart w:id="25" w:name="_Toc35393626"/>
      <w:r>
        <w:rPr>
          <w:rFonts w:hint="eastAsia" w:ascii="宋体" w:hAnsi="宋体" w:cs="宋体"/>
          <w:b/>
          <w:bCs/>
          <w:szCs w:val="21"/>
        </w:rPr>
        <w:t xml:space="preserve">六、其他补充事宜</w:t>
      </w:r>
      <w:bookmarkEnd w:id="24"/>
      <w:r/>
      <w:bookmarkEnd w:id="25"/>
      <w:r>
        <w:rPr>
          <w:rFonts w:hint="eastAsia" w:ascii="宋体" w:hAnsi="宋体" w:cs="宋体"/>
          <w:b/>
          <w:bCs/>
          <w:szCs w:val="21"/>
        </w:rPr>
      </w:r>
      <w:r/>
    </w:p>
    <w:p>
      <w:pPr>
        <w:pStyle w:val="1484"/>
        <w:ind w:firstLine="218"/>
        <w:spacing w:line="360" w:lineRule="auto"/>
        <w:rPr>
          <w:rFonts w:hint="eastAsia" w:ascii="宋体" w:hAnsi="宋体" w:cs="宋体"/>
          <w:szCs w:val="21"/>
        </w:rPr>
      </w:pPr>
      <w:r/>
      <w:bookmarkStart w:id="26" w:name="_Toc35393796"/>
      <w:r/>
      <w:bookmarkStart w:id="27" w:name="_Toc35393627"/>
      <w:r/>
      <w:bookmarkStart w:id="28" w:name="_Toc28359008"/>
      <w:r/>
      <w:bookmarkStart w:id="29" w:name="_Toc28359085"/>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rFonts w:hint="eastAsia" w:ascii="宋体" w:hAnsi="宋体" w:cs="宋体"/>
          <w:bCs/>
          <w:szCs w:val="21"/>
        </w:rPr>
        <w:t xml:space="preserve">等政府采购文件。</w:t>
      </w:r>
      <w:r>
        <w:rPr>
          <w:rFonts w:hint="eastAsia" w:ascii="宋体" w:hAnsi="宋体" w:cs="宋体"/>
          <w:szCs w:val="21"/>
        </w:rPr>
      </w:r>
      <w:r/>
    </w:p>
    <w:p>
      <w:pPr>
        <w:pStyle w:val="1484"/>
        <w:ind w:firstLine="218"/>
        <w:spacing w:line="360" w:lineRule="auto"/>
        <w:rPr>
          <w:rFonts w:hint="eastAsia" w:ascii="宋体" w:hAnsi="宋体" w:cs="宋体"/>
          <w:szCs w:val="21"/>
        </w:rPr>
      </w:pPr>
      <w:r>
        <w:rPr>
          <w:rFonts w:hint="eastAsia" w:ascii="宋体" w:hAnsi="宋体" w:cs="宋体"/>
          <w:szCs w:val="21"/>
        </w:rPr>
        <w:t xml:space="preserve">2.项目编号：</w:t>
      </w:r>
      <w:r>
        <w:rPr>
          <w:rFonts w:hint="eastAsia" w:ascii="宋体" w:hAnsi="宋体" w:cs="宋体"/>
          <w:szCs w:val="21"/>
          <w:lang w:eastAsia="zh-CN"/>
        </w:rPr>
        <w:t xml:space="preserve">JSZC-320000-SMDY-G2026-0076</w:t>
      </w:r>
      <w:r>
        <w:rPr>
          <w:rFonts w:hint="eastAsia" w:ascii="宋体" w:hAnsi="宋体" w:cs="宋体"/>
          <w:szCs w:val="21"/>
        </w:rPr>
        <w:t xml:space="preserve">（2640SUMEC/ZWGG2102）</w:t>
      </w:r>
      <w:r>
        <w:rPr>
          <w:rFonts w:hint="eastAsia" w:ascii="宋体" w:hAnsi="宋体" w:cs="宋体"/>
          <w:szCs w:val="21"/>
        </w:rPr>
      </w:r>
      <w:r/>
    </w:p>
    <w:p>
      <w:pPr>
        <w:pStyle w:val="1484"/>
        <w:spacing w:line="360" w:lineRule="auto"/>
        <w:rPr>
          <w:rFonts w:hint="eastAsia" w:ascii="宋体" w:hAnsi="宋体" w:cs="宋体"/>
          <w:b/>
          <w:bCs/>
          <w:szCs w:val="21"/>
        </w:rPr>
      </w:pPr>
      <w:r>
        <w:rPr>
          <w:rFonts w:hint="eastAsia" w:ascii="宋体" w:hAnsi="宋体" w:cs="宋体"/>
          <w:b/>
          <w:bCs/>
          <w:szCs w:val="21"/>
        </w:rPr>
        <w:t xml:space="preserve">七、对本次招标提出询问，请按以下方式联系。</w:t>
      </w:r>
      <w:bookmarkEnd w:id="26"/>
      <w:r/>
      <w:bookmarkEnd w:id="27"/>
      <w:r/>
      <w:bookmarkEnd w:id="28"/>
      <w:r/>
      <w:bookmarkEnd w:id="29"/>
      <w:r>
        <w:rPr>
          <w:rFonts w:hint="eastAsia" w:ascii="宋体" w:hAnsi="宋体" w:cs="宋体"/>
          <w:b/>
          <w:bCs/>
          <w:szCs w:val="21"/>
        </w:rPr>
      </w:r>
      <w:r/>
    </w:p>
    <w:p>
      <w:pPr>
        <w:pStyle w:val="1484"/>
        <w:jc w:val="left"/>
        <w:spacing w:line="360" w:lineRule="auto"/>
        <w:widowControl/>
        <w:rPr>
          <w:rFonts w:hint="eastAsia" w:ascii="宋体" w:hAnsi="宋体" w:cs="宋体"/>
          <w:szCs w:val="21"/>
        </w:rPr>
      </w:pPr>
      <w:r>
        <w:rPr>
          <w:rFonts w:hint="eastAsia" w:ascii="宋体" w:hAnsi="宋体" w:cs="宋体"/>
          <w:szCs w:val="21"/>
        </w:rPr>
        <w:t xml:space="preserve">　　1.采购人信息</w:t>
      </w:r>
      <w:r>
        <w:rPr>
          <w:rFonts w:hint="eastAsia" w:ascii="宋体" w:hAnsi="宋体" w:cs="宋体"/>
          <w:szCs w:val="21"/>
        </w:rPr>
      </w:r>
      <w:r/>
    </w:p>
    <w:p>
      <w:pPr>
        <w:pStyle w:val="1484"/>
        <w:ind w:left="1037" w:hanging="399"/>
        <w:jc w:val="left"/>
        <w:spacing w:line="360" w:lineRule="auto"/>
        <w:rPr>
          <w:rFonts w:hint="eastAsia" w:ascii="宋体" w:hAnsi="宋体" w:cs="宋体"/>
          <w:szCs w:val="21"/>
        </w:rPr>
      </w:pPr>
      <w:r>
        <w:rPr>
          <w:rFonts w:hint="eastAsia" w:ascii="宋体" w:hAnsi="宋体" w:cs="宋体"/>
          <w:szCs w:val="21"/>
        </w:rPr>
        <w:t xml:space="preserve">名 称：江苏省疾病预防控制中心（江苏省预防医学科学院）</w:t>
      </w:r>
      <w:r>
        <w:rPr>
          <w:rFonts w:hint="eastAsia" w:ascii="宋体" w:hAnsi="宋体" w:cs="宋体"/>
          <w:szCs w:val="21"/>
        </w:rPr>
      </w:r>
      <w:r/>
    </w:p>
    <w:p>
      <w:pPr>
        <w:pStyle w:val="1484"/>
        <w:ind w:left="1037" w:hanging="399"/>
        <w:jc w:val="left"/>
        <w:spacing w:line="360" w:lineRule="auto"/>
        <w:rPr>
          <w:rFonts w:hint="eastAsia" w:ascii="宋体" w:hAnsi="宋体" w:cs="宋体"/>
          <w:szCs w:val="21"/>
        </w:rPr>
      </w:pPr>
      <w:r/>
      <w:bookmarkStart w:id="30" w:name="_Toc28359009"/>
      <w:r/>
      <w:bookmarkStart w:id="31" w:name="_Toc28359086"/>
      <w:r>
        <w:rPr>
          <w:rFonts w:hint="eastAsia" w:ascii="宋体" w:hAnsi="宋体" w:cs="宋体"/>
          <w:szCs w:val="21"/>
        </w:rPr>
        <w:t xml:space="preserve">地址：江苏省南京市鼓楼区江苏路172号</w:t>
      </w:r>
      <w:r>
        <w:rPr>
          <w:rFonts w:hint="eastAsia" w:ascii="宋体" w:hAnsi="宋体" w:cs="宋体"/>
          <w:szCs w:val="21"/>
        </w:rPr>
      </w:r>
      <w:r/>
    </w:p>
    <w:p>
      <w:pPr>
        <w:pStyle w:val="1484"/>
        <w:ind w:left="1037" w:hanging="399"/>
        <w:jc w:val="left"/>
        <w:spacing w:line="360" w:lineRule="auto"/>
        <w:rPr>
          <w:rFonts w:hint="eastAsia" w:ascii="宋体" w:hAnsi="宋体" w:cs="宋体"/>
          <w:szCs w:val="21"/>
        </w:rPr>
      </w:pPr>
      <w:r>
        <w:rPr>
          <w:rFonts w:hint="eastAsia" w:ascii="宋体" w:hAnsi="宋体" w:cs="宋体"/>
          <w:szCs w:val="21"/>
        </w:rPr>
        <w:t xml:space="preserve">联系人：吴老师</w:t>
      </w:r>
      <w:r>
        <w:rPr>
          <w:rFonts w:hint="eastAsia" w:ascii="宋体" w:hAnsi="宋体" w:cs="宋体"/>
          <w:szCs w:val="21"/>
        </w:rPr>
      </w:r>
      <w:r/>
    </w:p>
    <w:p>
      <w:pPr>
        <w:pStyle w:val="1484"/>
        <w:ind w:left="1037" w:hanging="399"/>
        <w:jc w:val="left"/>
        <w:spacing w:line="360" w:lineRule="auto"/>
        <w:rPr>
          <w:rFonts w:hint="eastAsia" w:ascii="宋体" w:hAnsi="宋体" w:cs="宋体"/>
          <w:szCs w:val="21"/>
        </w:rPr>
      </w:pPr>
      <w:r>
        <w:rPr>
          <w:rFonts w:hint="eastAsia" w:ascii="宋体" w:hAnsi="宋体" w:cs="宋体"/>
          <w:szCs w:val="21"/>
        </w:rPr>
        <w:t xml:space="preserve">电话：025-83759426</w:t>
      </w:r>
      <w:r>
        <w:rPr>
          <w:rFonts w:hint="eastAsia" w:ascii="宋体" w:hAnsi="宋体" w:cs="宋体"/>
          <w:szCs w:val="21"/>
        </w:rPr>
      </w:r>
      <w:r/>
    </w:p>
    <w:p>
      <w:pPr>
        <w:pStyle w:val="1484"/>
        <w:ind w:firstLine="42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30"/>
      <w:r/>
      <w:bookmarkEnd w:id="31"/>
      <w:r>
        <w:rPr>
          <w:rFonts w:hint="eastAsia" w:ascii="宋体" w:hAnsi="宋体" w:cs="宋体"/>
          <w:szCs w:val="21"/>
        </w:rPr>
      </w:r>
      <w:r/>
    </w:p>
    <w:p>
      <w:pPr>
        <w:pStyle w:val="1484"/>
        <w:ind w:firstLine="638"/>
        <w:spacing w:line="360" w:lineRule="auto"/>
        <w:rPr>
          <w:rFonts w:hint="eastAsia" w:ascii="宋体" w:hAnsi="宋体" w:cs="宋体"/>
          <w:szCs w:val="21"/>
        </w:rPr>
      </w:pPr>
      <w:r>
        <w:rPr>
          <w:rFonts w:hint="eastAsia" w:ascii="宋体" w:hAnsi="宋体" w:cs="宋体"/>
          <w:szCs w:val="21"/>
        </w:rPr>
        <w:t xml:space="preserve">名 称：江苏苏美达仪器设备有限公司</w:t>
      </w:r>
      <w:r>
        <w:rPr>
          <w:rFonts w:hint="eastAsia" w:ascii="宋体" w:hAnsi="宋体" w:cs="宋体"/>
          <w:szCs w:val="21"/>
        </w:rPr>
      </w:r>
      <w:r/>
    </w:p>
    <w:p>
      <w:pPr>
        <w:pStyle w:val="1484"/>
        <w:ind w:firstLine="638"/>
        <w:spacing w:line="360" w:lineRule="auto"/>
        <w:rPr>
          <w:rFonts w:hint="eastAsia" w:ascii="宋体" w:hAnsi="宋体" w:cs="宋体"/>
          <w:szCs w:val="21"/>
        </w:rPr>
      </w:pPr>
      <w:r>
        <w:rPr>
          <w:rFonts w:hint="eastAsia" w:ascii="宋体" w:hAnsi="宋体" w:cs="宋体"/>
          <w:szCs w:val="21"/>
        </w:rPr>
        <w:t xml:space="preserve">地　址：南京市长江路198号</w:t>
      </w:r>
      <w:r>
        <w:rPr>
          <w:rFonts w:hint="eastAsia" w:ascii="宋体" w:hAnsi="宋体" w:cs="宋体"/>
          <w:szCs w:val="21"/>
        </w:rPr>
      </w:r>
      <w:r/>
    </w:p>
    <w:p>
      <w:pPr>
        <w:pStyle w:val="1484"/>
        <w:ind w:firstLine="638"/>
        <w:spacing w:line="360" w:lineRule="auto"/>
        <w:rPr>
          <w:rFonts w:ascii="宋体" w:hAnsi="宋体" w:cs="宋体"/>
          <w:szCs w:val="21"/>
        </w:rPr>
      </w:pPr>
      <w:r>
        <w:rPr>
          <w:rFonts w:hint="eastAsia" w:ascii="宋体" w:hAnsi="宋体" w:cs="宋体"/>
          <w:szCs w:val="21"/>
        </w:rPr>
        <w:t xml:space="preserve">联系方式：</w:t>
      </w:r>
      <w:bookmarkStart w:id="32" w:name="_Toc28359010"/>
      <w:r/>
      <w:bookmarkStart w:id="33" w:name="_Toc28359087"/>
      <w:r>
        <w:rPr>
          <w:rFonts w:hint="eastAsia" w:ascii="宋体" w:hAnsi="宋体" w:cs="宋体"/>
          <w:b/>
          <w:bCs/>
          <w:szCs w:val="21"/>
        </w:rPr>
        <w:t xml:space="preserve">文件发售：</w:t>
      </w:r>
      <w:r>
        <w:rPr>
          <w:rFonts w:hint="eastAsia" w:ascii="宋体" w:hAnsi="宋体" w:cs="宋体"/>
          <w:szCs w:val="21"/>
        </w:rPr>
        <w:t xml:space="preserve">李婧怡025-84532580，</w:t>
      </w:r>
      <w:r>
        <w:rPr>
          <w:rFonts w:hint="eastAsia" w:ascii="宋体" w:hAnsi="宋体" w:cs="宋体"/>
          <w:b/>
          <w:bCs/>
          <w:szCs w:val="21"/>
        </w:rPr>
        <w:t xml:space="preserve">技术咨询：</w:t>
      </w:r>
      <w:r>
        <w:rPr>
          <w:rFonts w:hint="eastAsia" w:ascii="宋体" w:hAnsi="宋体" w:cs="宋体"/>
          <w:szCs w:val="21"/>
        </w:rPr>
        <w:t xml:space="preserve">王嘉卉 025-84532585、夏琳 025-84532570</w:t>
      </w:r>
      <w:r>
        <w:rPr>
          <w:rFonts w:ascii="宋体" w:hAnsi="宋体" w:cs="宋体"/>
          <w:szCs w:val="21"/>
        </w:rPr>
      </w:r>
      <w:r/>
    </w:p>
    <w:p>
      <w:pPr>
        <w:pStyle w:val="1484"/>
        <w:ind w:firstLine="420"/>
        <w:spacing w:line="360" w:lineRule="auto"/>
        <w:rPr>
          <w:rFonts w:hint="eastAsia" w:ascii="宋体" w:hAnsi="宋体" w:cs="宋体"/>
          <w:szCs w:val="21"/>
          <w:u w:val="single"/>
        </w:rPr>
      </w:pPr>
      <w:r>
        <w:rPr>
          <w:rFonts w:hint="eastAsia" w:ascii="宋体" w:hAnsi="宋体" w:cs="宋体"/>
          <w:szCs w:val="21"/>
        </w:rPr>
        <w:t xml:space="preserve">3.项目联系方式</w:t>
      </w:r>
      <w:bookmarkEnd w:id="32"/>
      <w:r/>
      <w:bookmarkEnd w:id="33"/>
      <w:r>
        <w:rPr>
          <w:rFonts w:hint="eastAsia" w:ascii="宋体" w:hAnsi="宋体" w:cs="宋体"/>
          <w:szCs w:val="21"/>
          <w:u w:val="single"/>
        </w:rPr>
      </w:r>
      <w:r/>
    </w:p>
    <w:p>
      <w:pPr>
        <w:pStyle w:val="1526"/>
        <w:ind w:firstLine="638"/>
        <w:spacing w:line="360" w:lineRule="auto"/>
        <w:rPr>
          <w:rFonts w:hint="eastAsia" w:hAnsi="宋体" w:cs="宋体"/>
          <w:color w:val="000000"/>
          <w:szCs w:val="21"/>
        </w:rPr>
      </w:pPr>
      <w:r>
        <w:rPr>
          <w:rFonts w:hint="eastAsia" w:hAnsi="宋体" w:cs="宋体"/>
          <w:szCs w:val="21"/>
        </w:rPr>
        <w:t xml:space="preserve">项目联系人：夏琳 </w:t>
      </w:r>
      <w:r>
        <w:rPr>
          <w:rFonts w:hint="eastAsia" w:hAnsi="宋体" w:cs="宋体"/>
          <w:color w:val="000000"/>
          <w:szCs w:val="21"/>
        </w:rPr>
      </w:r>
      <w:r/>
    </w:p>
    <w:p>
      <w:pPr>
        <w:pStyle w:val="1526"/>
        <w:ind w:firstLine="638"/>
        <w:spacing w:line="360" w:lineRule="auto"/>
        <w:rPr>
          <w:rFonts w:hAnsi="宋体" w:cs="宋体"/>
          <w:szCs w:val="21"/>
        </w:rPr>
      </w:pPr>
      <w:r>
        <w:rPr>
          <w:rFonts w:hint="eastAsia" w:hAnsi="宋体" w:cs="宋体"/>
          <w:szCs w:val="21"/>
        </w:rPr>
        <w:t xml:space="preserve">电　话：025-84532570</w:t>
      </w:r>
      <w:r>
        <w:rPr>
          <w:rFonts w:hAnsi="宋体" w:cs="宋体"/>
          <w:szCs w:val="21"/>
        </w:rPr>
      </w:r>
      <w:r/>
    </w:p>
    <w:p>
      <w:pPr>
        <w:pStyle w:val="1484"/>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484"/>
        <w:jc w:val="center"/>
        <w:spacing w:line="440" w:lineRule="exact"/>
        <w:rPr>
          <w:b/>
          <w:sz w:val="28"/>
          <w:szCs w:val="28"/>
        </w:rPr>
        <w:outlineLvl w:val="0"/>
      </w:pPr>
      <w:r/>
      <w:bookmarkStart w:id="34" w:name="_Toc28996"/>
      <w:r/>
      <w:bookmarkStart w:id="35" w:name="_Toc519"/>
      <w:r/>
      <w:bookmarkStart w:id="36" w:name="_Toc8717"/>
      <w:r>
        <w:rPr>
          <w:b/>
          <w:sz w:val="28"/>
          <w:szCs w:val="28"/>
        </w:rPr>
        <w:t xml:space="preserve">第二章 投标人须知</w:t>
      </w:r>
      <w:bookmarkEnd w:id="34"/>
      <w:r/>
      <w:bookmarkEnd w:id="35"/>
      <w:r/>
      <w:bookmarkEnd w:id="36"/>
      <w:r>
        <w:rPr>
          <w:b/>
          <w:sz w:val="28"/>
          <w:szCs w:val="28"/>
        </w:rPr>
      </w:r>
      <w:r/>
    </w:p>
    <w:p>
      <w:pPr>
        <w:pStyle w:val="1484"/>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484"/>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9175" w:type="dxa"/>
            <w:vAlign w:val="center"/>
            <w:textDirection w:val="lrTb"/>
            <w:noWrap w:val="false"/>
          </w:tcPr>
          <w:p>
            <w:pPr>
              <w:pStyle w:val="1484"/>
              <w:jc w:val="center"/>
              <w:spacing w:line="360" w:lineRule="auto"/>
              <w:rPr>
                <w:rFonts w:hint="eastAsia" w:ascii="宋体" w:hAnsi="宋体" w:cs="宋体"/>
                <w:b/>
                <w:szCs w:val="21"/>
              </w:rPr>
            </w:pPr>
            <w:r>
              <w:rPr>
                <w:rFonts w:hint="eastAsia" w:ascii="宋体" w:hAnsi="宋体" w:cs="宋体"/>
                <w:b/>
                <w:szCs w:val="21"/>
              </w:rPr>
              <w:t xml:space="preserve">主要内容</w:t>
            </w:r>
            <w:r>
              <w:rPr>
                <w:rFonts w:hint="eastAsia" w:ascii="宋体" w:hAnsi="宋体" w:cs="宋体"/>
                <w:b/>
                <w:szCs w:val="21"/>
              </w:rPr>
            </w:r>
            <w:r/>
          </w:p>
        </w:tc>
      </w:tr>
      <w:tr>
        <w:trPr>
          <w:trHeight w:val="240"/>
        </w:trPr>
        <w:tc>
          <w:tcPr>
            <w:tcW w:w="881"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r>
            <w:r/>
          </w:p>
        </w:tc>
        <w:tc>
          <w:tcPr>
            <w:tcW w:w="9175" w:type="dxa"/>
            <w:vAlign w:val="center"/>
            <w:textDirection w:val="lrTb"/>
            <w:noWrap w:val="false"/>
          </w:tcPr>
          <w:p>
            <w:pPr>
              <w:pStyle w:val="1484"/>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采购人：江苏省疾病预防控制中心（江苏省预防医学科学院）</w:t>
            </w:r>
            <w:r>
              <w:rPr>
                <w:rFonts w:hint="eastAsia" w:ascii="宋体" w:hAnsi="宋体" w:cs="宋体"/>
                <w:szCs w:val="21"/>
              </w:rPr>
            </w:r>
            <w:r/>
          </w:p>
          <w:p>
            <w:pPr>
              <w:pStyle w:val="1484"/>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联系人：吴老师</w:t>
            </w:r>
            <w:r>
              <w:rPr>
                <w:rFonts w:hint="eastAsia" w:ascii="宋体" w:hAnsi="宋体" w:cs="宋体"/>
                <w:szCs w:val="21"/>
              </w:rPr>
            </w:r>
            <w:r/>
          </w:p>
          <w:p>
            <w:pPr>
              <w:pStyle w:val="1484"/>
              <w:spacing w:line="360" w:lineRule="auto"/>
              <w:shd w:val="clear" w:color="auto" w:fill="ffffff"/>
              <w:widowControl/>
              <w:rPr>
                <w:rFonts w:hint="eastAsia" w:ascii="宋体" w:hAnsi="宋体" w:cs="宋体"/>
                <w:szCs w:val="21"/>
              </w:rPr>
            </w:pPr>
            <w:r>
              <w:rPr>
                <w:rFonts w:hint="eastAsia" w:ascii="宋体" w:hAnsi="宋体" w:cs="宋体"/>
                <w:szCs w:val="21"/>
              </w:rPr>
              <w:t xml:space="preserve">电话：025-83759426</w:t>
            </w:r>
            <w:r>
              <w:rPr>
                <w:rFonts w:hint="eastAsia" w:ascii="宋体" w:hAnsi="宋体" w:cs="宋体"/>
                <w:szCs w:val="21"/>
              </w:rPr>
            </w:r>
            <w:r/>
          </w:p>
          <w:p>
            <w:pPr>
              <w:pStyle w:val="1484"/>
              <w:spacing w:line="360" w:lineRule="auto"/>
              <w:shd w:val="clear" w:color="auto" w:fill="ffffff"/>
              <w:widowControl/>
              <w:rPr>
                <w:rFonts w:hint="eastAsia" w:ascii="宋体" w:hAnsi="宋体" w:cs="宋体"/>
                <w:szCs w:val="21"/>
              </w:rPr>
            </w:pPr>
            <w:r>
              <w:rPr>
                <w:rFonts w:hint="eastAsia" w:ascii="宋体" w:hAnsi="宋体" w:cs="宋体"/>
                <w:szCs w:val="21"/>
              </w:rPr>
              <w:t xml:space="preserve">地址：江苏省南京市鼓楼区江苏路172号</w:t>
            </w:r>
            <w:r>
              <w:rPr>
                <w:rFonts w:hint="eastAsia" w:ascii="宋体" w:hAnsi="宋体" w:cs="宋体"/>
                <w:szCs w:val="21"/>
              </w:rPr>
            </w:r>
            <w:r/>
          </w:p>
        </w:tc>
      </w:tr>
      <w:tr>
        <w:trPr>
          <w:trHeight w:val="240"/>
        </w:trPr>
        <w:tc>
          <w:tcPr>
            <w:tcW w:w="881"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tcW w:w="9175" w:type="dxa"/>
            <w:vAlign w:val="center"/>
            <w:textDirection w:val="lrTb"/>
            <w:noWrap w:val="false"/>
          </w:tcPr>
          <w:p>
            <w:pPr>
              <w:pStyle w:val="1484"/>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采购代理机构：江苏苏美达仪器设备有限公司</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文件发售联系人：李婧怡025-84532580 lijingyi@sumec.com.cn</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技术咨询联系人：王嘉卉 025-84532585、夏琳 025-84532570</w:t>
            </w:r>
            <w:r>
              <w:rPr>
                <w:rFonts w:hint="eastAsia" w:ascii="宋体" w:hAnsi="宋体" w:cs="宋体"/>
                <w:szCs w:val="21"/>
              </w:rPr>
            </w:r>
            <w:r/>
          </w:p>
          <w:p>
            <w:pPr>
              <w:pStyle w:val="1484"/>
              <w:spacing w:line="360" w:lineRule="auto"/>
              <w:shd w:val="clear" w:color="auto" w:fill="ffffff"/>
              <w:widowControl/>
              <w:rPr>
                <w:rFonts w:hint="eastAsia" w:ascii="宋体" w:hAnsi="宋体" w:cs="宋体"/>
                <w:szCs w:val="21"/>
              </w:rPr>
            </w:pPr>
            <w:r>
              <w:rPr>
                <w:rFonts w:hint="eastAsia" w:ascii="宋体" w:hAnsi="宋体" w:cs="宋体"/>
                <w:szCs w:val="21"/>
              </w:rPr>
              <w:t xml:space="preserve">联系地址：南京市长江路198号</w:t>
            </w:r>
            <w:r>
              <w:rPr>
                <w:rFonts w:hint="eastAsia" w:ascii="宋体" w:hAnsi="宋体" w:cs="宋体"/>
                <w:szCs w:val="21"/>
              </w:rPr>
            </w:r>
            <w:r/>
          </w:p>
        </w:tc>
      </w:tr>
      <w:tr>
        <w:trPr>
          <w:trHeight w:val="240"/>
        </w:trPr>
        <w:tc>
          <w:tcPr>
            <w:tcW w:w="881"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c>
          <w:tcPr>
            <w:tcW w:w="9175" w:type="dxa"/>
            <w:vAlign w:val="center"/>
            <w:textDirection w:val="lrTb"/>
            <w:noWrap w:val="false"/>
          </w:tcPr>
          <w:p>
            <w:pPr>
              <w:pStyle w:val="1484"/>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项目名称：2026年</w:t>
            </w:r>
            <w:r>
              <w:rPr>
                <w:rFonts w:ascii="宋体" w:hAnsi="宋体" w:cs="宋体"/>
                <w:szCs w:val="21"/>
              </w:rPr>
              <w:t xml:space="preserve">新型冠状病毒2019-nCov/甲型流感病毒/乙型流感病毒核酸荧光定量PCR试剂盒</w:t>
            </w:r>
            <w:r>
              <w:rPr>
                <w:rFonts w:hint="eastAsia" w:ascii="宋体" w:hAnsi="宋体" w:cs="宋体"/>
                <w:szCs w:val="21"/>
              </w:rPr>
            </w:r>
            <w:r/>
          </w:p>
          <w:p>
            <w:pPr>
              <w:pStyle w:val="1484"/>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lang w:eastAsia="zh-CN"/>
              </w:rPr>
              <w:t xml:space="preserve">JSZC-320000-SMDY-G2026-0076</w:t>
            </w:r>
            <w:r>
              <w:rPr>
                <w:rFonts w:hint="eastAsia" w:ascii="宋体" w:hAnsi="宋体" w:cs="宋体"/>
                <w:szCs w:val="21"/>
              </w:rPr>
              <w:t xml:space="preserve">（2640SUMEC/ZWGG2102）</w:t>
            </w:r>
            <w:r>
              <w:rPr>
                <w:rFonts w:hint="eastAsia" w:ascii="宋体" w:hAnsi="宋体" w:cs="宋体"/>
                <w:szCs w:val="21"/>
              </w:rPr>
            </w:r>
            <w:r/>
          </w:p>
        </w:tc>
      </w:tr>
      <w:tr>
        <w:trPr>
          <w:trHeight w:val="240"/>
        </w:trPr>
        <w:tc>
          <w:tcPr>
            <w:tcW w:w="881"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tcW w:w="9175" w:type="dxa"/>
            <w:vAlign w:val="center"/>
            <w:textDirection w:val="lrTb"/>
            <w:noWrap w:val="false"/>
          </w:tcPr>
          <w:p>
            <w:pPr>
              <w:pStyle w:val="1484"/>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采购方式：公开招标</w:t>
            </w:r>
            <w:r>
              <w:rPr>
                <w:rFonts w:hint="eastAsia" w:ascii="宋体" w:hAnsi="宋体" w:cs="宋体"/>
                <w:szCs w:val="21"/>
              </w:rPr>
            </w:r>
            <w:r/>
          </w:p>
        </w:tc>
      </w:tr>
      <w:tr>
        <w:trPr>
          <w:trHeight w:val="240"/>
        </w:trPr>
        <w:tc>
          <w:tcPr>
            <w:tcW w:w="881"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bCs/>
                <w:szCs w:val="21"/>
              </w:rPr>
            </w:r>
            <w:r/>
          </w:p>
        </w:tc>
        <w:tc>
          <w:tcPr>
            <w:tcW w:w="9175" w:type="dxa"/>
            <w:vAlign w:val="center"/>
            <w:textDirection w:val="lrTb"/>
            <w:noWrap w:val="false"/>
          </w:tcPr>
          <w:p>
            <w:pPr>
              <w:pStyle w:val="1484"/>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投标有效期：开标之日起90天</w:t>
            </w:r>
            <w:r>
              <w:rPr>
                <w:rFonts w:hint="eastAsia" w:ascii="宋体" w:hAnsi="宋体" w:cs="宋体"/>
                <w:szCs w:val="21"/>
              </w:rPr>
            </w:r>
            <w:r/>
          </w:p>
        </w:tc>
      </w:tr>
      <w:tr>
        <w:trPr>
          <w:trHeight w:val="446"/>
        </w:trPr>
        <w:tc>
          <w:tcPr>
            <w:tcW w:w="881"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c>
          <w:tcPr>
            <w:tcW w:w="9175" w:type="dxa"/>
            <w:vAlign w:val="center"/>
            <w:textDirection w:val="lrTb"/>
            <w:noWrap w:val="false"/>
          </w:tcPr>
          <w:p>
            <w:pPr>
              <w:pStyle w:val="1484"/>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投标保证金：本次采购不收取，本文件中与投标保证金有关条款不生效</w:t>
            </w:r>
            <w:r>
              <w:rPr>
                <w:rFonts w:hint="eastAsia" w:ascii="宋体" w:hAnsi="宋体" w:cs="宋体"/>
                <w:szCs w:val="21"/>
              </w:rPr>
            </w:r>
            <w:r/>
          </w:p>
        </w:tc>
      </w:tr>
      <w:tr>
        <w:trPr>
          <w:trHeight w:val="530"/>
        </w:trPr>
        <w:tc>
          <w:tcPr>
            <w:tcW w:w="881"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t xml:space="preserve">7</w:t>
            </w:r>
            <w:r>
              <w:rPr>
                <w:rFonts w:hint="eastAsia" w:ascii="宋体" w:hAnsi="宋体" w:cs="宋体"/>
                <w:bCs/>
                <w:szCs w:val="21"/>
              </w:rPr>
            </w:r>
            <w:r/>
          </w:p>
        </w:tc>
        <w:tc>
          <w:tcPr>
            <w:tcW w:w="9175" w:type="dxa"/>
            <w:vAlign w:val="center"/>
            <w:textDirection w:val="lrTb"/>
            <w:noWrap w:val="false"/>
          </w:tcPr>
          <w:p>
            <w:pPr>
              <w:pStyle w:val="1484"/>
              <w:jc w:val="left"/>
              <w:spacing w:line="360" w:lineRule="auto"/>
              <w:rPr>
                <w:rFonts w:hint="eastAsia" w:ascii="宋体" w:hAnsi="宋体" w:cs="宋体"/>
                <w:szCs w:val="21"/>
              </w:rPr>
            </w:pPr>
            <w:r>
              <w:rPr>
                <w:rFonts w:hint="eastAsia" w:ascii="宋体" w:hAnsi="宋体" w:cs="宋体"/>
                <w:szCs w:val="21"/>
              </w:rPr>
              <w:t xml:space="preserve">投标文件份数：</w:t>
            </w:r>
            <w:r>
              <w:rPr>
                <w:rFonts w:hint="eastAsia" w:ascii="宋体" w:hAnsi="宋体" w:cs="宋体"/>
                <w:szCs w:val="21"/>
              </w:rPr>
              <w:t xml:space="preserve">电子投标文件一份(通过系统提交)；纸质投标文件正本一份，副本三份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rPr>
                <w:rFonts w:hint="eastAsia" w:ascii="宋体" w:hAnsi="宋体" w:cs="宋体"/>
                <w:szCs w:val="21"/>
              </w:rPr>
            </w:r>
            <w:r/>
          </w:p>
        </w:tc>
      </w:tr>
      <w:tr>
        <w:trPr>
          <w:trHeight w:val="559"/>
        </w:trPr>
        <w:tc>
          <w:tcPr>
            <w:tcW w:w="881"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t xml:space="preserve">8</w:t>
            </w:r>
            <w:r>
              <w:rPr>
                <w:rFonts w:hint="eastAsia" w:ascii="宋体" w:hAnsi="宋体" w:cs="宋体"/>
                <w:bCs/>
                <w:szCs w:val="21"/>
              </w:rPr>
            </w:r>
            <w:r/>
          </w:p>
        </w:tc>
        <w:tc>
          <w:tcPr>
            <w:tcW w:w="9175" w:type="dxa"/>
            <w:vAlign w:val="center"/>
            <w:textDirection w:val="lrTb"/>
            <w:noWrap w:val="false"/>
          </w:tcPr>
          <w:p>
            <w:pPr>
              <w:pStyle w:val="1484"/>
              <w:jc w:val="left"/>
              <w:spacing w:line="360" w:lineRule="auto"/>
              <w:rPr>
                <w:rFonts w:hint="eastAsia" w:ascii="宋体" w:hAnsi="宋体" w:cs="宋体"/>
                <w:szCs w:val="21"/>
              </w:rPr>
            </w:pPr>
            <w:r>
              <w:rPr>
                <w:rFonts w:hint="eastAsia" w:ascii="宋体" w:hAnsi="宋体" w:cs="宋体"/>
                <w:szCs w:val="21"/>
              </w:rPr>
              <w:t xml:space="preserve">递交投标文件开始时间：</w:t>
            </w:r>
            <w:r>
              <w:rPr>
                <w:rFonts w:hint="eastAsia" w:ascii="宋体" w:hAnsi="宋体" w:cs="宋体"/>
                <w:szCs w:val="21"/>
              </w:rPr>
              <w:t xml:space="preserve">详见招标公告</w:t>
            </w:r>
            <w:r>
              <w:rPr>
                <w:rFonts w:hint="eastAsia" w:ascii="宋体" w:hAnsi="宋体" w:cs="宋体"/>
                <w:szCs w:val="21"/>
              </w:rPr>
            </w:r>
            <w:r/>
          </w:p>
          <w:p>
            <w:pPr>
              <w:pStyle w:val="1484"/>
              <w:jc w:val="left"/>
              <w:spacing w:line="360" w:lineRule="auto"/>
              <w:rPr>
                <w:rFonts w:hint="eastAsia" w:ascii="宋体" w:hAnsi="宋体" w:cs="宋体"/>
                <w:szCs w:val="21"/>
              </w:rPr>
            </w:pPr>
            <w:r>
              <w:rPr>
                <w:rFonts w:hint="eastAsia" w:ascii="宋体" w:hAnsi="宋体" w:cs="宋体"/>
                <w:szCs w:val="21"/>
              </w:rPr>
              <w:t xml:space="preserve">递交投标文件截止时间、开标时间：</w:t>
            </w:r>
            <w:r>
              <w:rPr>
                <w:rFonts w:hint="eastAsia" w:ascii="宋体" w:hAnsi="宋体" w:cs="宋体"/>
                <w:szCs w:val="21"/>
              </w:rPr>
              <w:t xml:space="preserve">详见招标公告</w:t>
            </w:r>
            <w:r>
              <w:rPr>
                <w:rFonts w:hint="eastAsia" w:ascii="宋体" w:hAnsi="宋体" w:cs="宋体"/>
                <w:szCs w:val="21"/>
              </w:rPr>
            </w:r>
            <w:r/>
          </w:p>
          <w:p>
            <w:pPr>
              <w:pStyle w:val="1484"/>
              <w:jc w:val="left"/>
              <w:spacing w:line="360" w:lineRule="auto"/>
              <w:rPr>
                <w:rFonts w:hint="eastAsia" w:ascii="宋体" w:hAnsi="宋体" w:cs="宋体"/>
                <w:szCs w:val="21"/>
              </w:rPr>
            </w:pPr>
            <w:r>
              <w:rPr>
                <w:rFonts w:hint="eastAsia" w:ascii="宋体" w:hAnsi="宋体" w:cs="宋体"/>
                <w:szCs w:val="21"/>
              </w:rPr>
              <w:t xml:space="preserve">地点：</w:t>
            </w:r>
            <w:r>
              <w:rPr>
                <w:rFonts w:hint="eastAsia" w:ascii="宋体" w:hAnsi="宋体" w:cs="宋体"/>
                <w:szCs w:val="21"/>
              </w:rPr>
              <w:t xml:space="preserve">详见招标公告</w:t>
            </w:r>
            <w:r>
              <w:rPr>
                <w:rFonts w:hint="eastAsia" w:ascii="宋体" w:hAnsi="宋体" w:cs="宋体"/>
                <w:szCs w:val="21"/>
              </w:rPr>
            </w:r>
            <w:r/>
          </w:p>
        </w:tc>
      </w:tr>
      <w:tr>
        <w:trPr>
          <w:trHeight w:val="90"/>
        </w:trPr>
        <w:tc>
          <w:tcPr>
            <w:tcW w:w="881" w:type="dxa"/>
            <w:vAlign w:val="center"/>
            <w:textDirection w:val="lrTb"/>
            <w:noWrap w:val="false"/>
          </w:tcPr>
          <w:p>
            <w:pPr>
              <w:pStyle w:val="1484"/>
              <w:jc w:val="center"/>
              <w:spacing w:line="360" w:lineRule="auto"/>
              <w:rPr>
                <w:rFonts w:hint="eastAsia" w:ascii="宋体" w:hAnsi="宋体" w:cs="宋体"/>
                <w:bCs/>
                <w:szCs w:val="21"/>
              </w:rPr>
            </w:pPr>
            <w:r>
              <w:rPr>
                <w:rFonts w:hint="eastAsia" w:ascii="宋体" w:hAnsi="宋体" w:cs="宋体"/>
                <w:bCs/>
                <w:szCs w:val="21"/>
              </w:rPr>
              <w:t xml:space="preserve">9</w:t>
            </w:r>
            <w:r>
              <w:rPr>
                <w:rFonts w:hint="eastAsia" w:ascii="宋体" w:hAnsi="宋体" w:cs="宋体"/>
                <w:bCs/>
                <w:szCs w:val="21"/>
              </w:rPr>
            </w:r>
            <w:r/>
          </w:p>
        </w:tc>
        <w:tc>
          <w:tcPr>
            <w:tcW w:w="9175"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553"/>
              <w:ind w:firstLine="0"/>
              <w:rPr>
                <w:rFonts w:hint="eastAsia" w:ascii="宋体" w:hAnsi="宋体" w:cs="宋体"/>
                <w:sz w:val="21"/>
              </w:rPr>
            </w:pPr>
            <w:r>
              <w:rPr>
                <w:rFonts w:hint="eastAsia" w:ascii="宋体" w:hAnsi="宋体" w:cs="宋体"/>
                <w:sz w:val="21"/>
              </w:rPr>
              <w:t xml:space="preserve">所有投标响应均以人民币报价。供应商的投标响应报价应遵守“中华人民共和国价格法”。该报价为到江苏省疾病预防控制中心（江苏省预防</w:t>
            </w:r>
            <w:r>
              <w:rPr>
                <w:rFonts w:hint="eastAsia" w:ascii="宋体" w:hAnsi="宋体" w:cs="宋体"/>
                <w:sz w:val="21"/>
              </w:rPr>
              <w:t xml:space="preserve">医学科学院）指定现场的全部费用，包括招标范围内所有试剂费用；项目所需的各种运输费（含至指定地点的机械、搬运费等）、装卸、工料保管费；未移交前的成品保护费；管理（含各类保险、税、临时设施，抢工）费；安装、调试及试运行（如有的话）、人员培训费、投标人认为需要的其他费用等，直至交付使用所需要的各种费用，还包括质保期内的一切维修、保养、更换零部件、人工等费用。在安装、调试、验收过程中，如发现有漏项、缺件，中标人应无条件、无偿补齐，所发生的一切费用，视为已包含在投标人的报价之中，且并不因此而影响交付实际使用人的时间。</w:t>
            </w:r>
            <w:r>
              <w:rPr>
                <w:rFonts w:hint="eastAsia" w:ascii="宋体" w:hAnsi="宋体" w:cs="宋体"/>
                <w:sz w:val="21"/>
              </w:rPr>
              <w:br w:type="textWrapping" w:clear="all"/>
            </w:r>
            <w:r>
              <w:rPr>
                <w:rFonts w:hint="eastAsia" w:ascii="宋体" w:hAnsi="宋体" w:cs="宋体"/>
                <w:sz w:val="21"/>
              </w:rPr>
              <w:t xml:space="preserve">注：本项目涉及试剂分批下发，中标单位负责按照需求发放试剂盒到指定的地区，并且要收好回执才能付款，这个周期可能是一年或者是一年以上，具体以发放完合同约定数量的时间来定。供应商应充分考虑该要求对投标报价的影响。</w:t>
            </w:r>
            <w:r>
              <w:rPr>
                <w:rFonts w:hint="eastAsia" w:ascii="宋体" w:hAnsi="宋体" w:cs="宋体"/>
                <w:sz w:val="21"/>
              </w:rPr>
            </w:r>
            <w:r/>
          </w:p>
        </w:tc>
      </w:tr>
      <w:tr>
        <w:trPr>
          <w:trHeight w:val="550"/>
        </w:trPr>
        <w:tc>
          <w:tcPr>
            <w:tcW w:w="881" w:type="dxa"/>
            <w:vAlign w:val="center"/>
            <w:textDirection w:val="lrTb"/>
            <w:noWrap w:val="false"/>
          </w:tcPr>
          <w:p>
            <w:pPr>
              <w:pStyle w:val="1484"/>
              <w:jc w:val="center"/>
              <w:spacing w:line="360" w:lineRule="auto"/>
              <w:shd w:val="clear" w:color="auto" w:fill="ffffff"/>
              <w:widowControl/>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W w:w="9175" w:type="dxa"/>
            <w:vAlign w:val="center"/>
            <w:textDirection w:val="lrTb"/>
            <w:noWrap w:val="false"/>
          </w:tcPr>
          <w:p>
            <w:pPr>
              <w:pStyle w:val="1548"/>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现场勘查要求：本项目不组织。</w:t>
            </w:r>
            <w:r>
              <w:rPr>
                <w:rFonts w:hint="eastAsia" w:ascii="宋体" w:hAnsi="宋体" w:eastAsia="宋体" w:cs="宋体"/>
                <w:color w:val="000000"/>
                <w:sz w:val="21"/>
                <w:szCs w:val="21"/>
              </w:rPr>
            </w:r>
            <w:r/>
          </w:p>
        </w:tc>
      </w:tr>
      <w:tr>
        <w:trPr>
          <w:trHeight w:val="389"/>
        </w:trPr>
        <w:tc>
          <w:tcPr>
            <w:tcW w:w="881" w:type="dxa"/>
            <w:vAlign w:val="center"/>
            <w:textDirection w:val="lrTb"/>
            <w:noWrap w:val="false"/>
          </w:tcPr>
          <w:p>
            <w:pPr>
              <w:pStyle w:val="148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W w:w="9175" w:type="dxa"/>
            <w:vAlign w:val="center"/>
            <w:textDirection w:val="lrTb"/>
            <w:noWrap w:val="false"/>
          </w:tcPr>
          <w:p>
            <w:pPr>
              <w:pStyle w:val="1484"/>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信用信息：</w:t>
            </w:r>
            <w:r>
              <w:rPr>
                <w:rFonts w:hint="eastAsia" w:ascii="宋体" w:hAnsi="宋体" w:cs="宋体"/>
                <w:b/>
                <w:bCs/>
                <w:szCs w:val="21"/>
              </w:rPr>
            </w:r>
            <w:r/>
          </w:p>
          <w:p>
            <w:pPr>
              <w:pStyle w:val="1484"/>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1）信用信息查询渠道：“信用中国”网站(www.creditchina.gov.cn)、中国政府采购网(www.ccgp.gov.cn)等。</w:t>
            </w:r>
            <w:r>
              <w:rPr>
                <w:rFonts w:hint="eastAsia" w:ascii="宋体" w:hAnsi="宋体" w:cs="宋体"/>
                <w:color w:val="000000"/>
                <w:szCs w:val="21"/>
              </w:rPr>
            </w:r>
            <w:r/>
          </w:p>
          <w:p>
            <w:pPr>
              <w:pStyle w:val="1484"/>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szCs w:val="21"/>
              </w:rPr>
              <w:t xml:space="preserve">递交投标文件截止之日24时前</w:t>
            </w:r>
            <w:r>
              <w:rPr>
                <w:rFonts w:hint="eastAsia" w:ascii="宋体" w:hAnsi="宋体" w:cs="宋体"/>
                <w:color w:val="000000"/>
                <w:szCs w:val="21"/>
              </w:rPr>
              <w:t xml:space="preserve">。</w:t>
            </w:r>
            <w:r>
              <w:rPr>
                <w:rFonts w:hint="eastAsia" w:ascii="宋体" w:hAnsi="宋体" w:cs="宋体"/>
                <w:color w:val="000000"/>
                <w:szCs w:val="21"/>
              </w:rPr>
            </w:r>
            <w:r/>
          </w:p>
          <w:p>
            <w:pPr>
              <w:pStyle w:val="1484"/>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rPr>
                <w:rFonts w:hint="eastAsia" w:ascii="宋体" w:hAnsi="宋体" w:cs="宋体"/>
                <w:color w:val="000000"/>
                <w:szCs w:val="21"/>
              </w:rPr>
            </w:r>
            <w:r/>
          </w:p>
          <w:p>
            <w:pPr>
              <w:pStyle w:val="1484"/>
              <w:spacing w:line="360" w:lineRule="auto"/>
              <w:shd w:val="clear" w:color="auto" w:fill="ffffff"/>
              <w:widowControl/>
              <w:rPr>
                <w:rFonts w:hint="eastAsia" w:ascii="宋体" w:hAnsi="宋体" w:cs="宋体"/>
                <w:b/>
                <w:bCs/>
                <w:szCs w:val="21"/>
              </w:rPr>
            </w:pPr>
            <w:r>
              <w:rPr>
                <w:rFonts w:hint="eastAsia" w:ascii="宋体" w:hAnsi="宋体" w:cs="宋体"/>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rFonts w:hint="eastAsia" w:ascii="宋体" w:hAnsi="宋体" w:cs="宋体"/>
                <w:b/>
                <w:bCs/>
                <w:szCs w:val="21"/>
              </w:rPr>
            </w:r>
            <w:r/>
          </w:p>
        </w:tc>
      </w:tr>
      <w:tr>
        <w:trPr>
          <w:trHeight w:val="529"/>
        </w:trPr>
        <w:tc>
          <w:tcPr>
            <w:tcW w:w="881" w:type="dxa"/>
            <w:vAlign w:val="center"/>
            <w:textDirection w:val="lrTb"/>
            <w:noWrap w:val="false"/>
          </w:tcPr>
          <w:p>
            <w:pPr>
              <w:pStyle w:val="148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9175" w:type="dxa"/>
            <w:vAlign w:val="center"/>
            <w:textDirection w:val="lrTb"/>
            <w:noWrap w:val="false"/>
          </w:tcPr>
          <w:p>
            <w:pPr>
              <w:pStyle w:val="1484"/>
              <w:spacing w:line="440" w:lineRule="exact"/>
              <w:shd w:val="clear" w:color="auto" w:fill="ffffff"/>
              <w:widowControl/>
              <w:rPr>
                <w:rFonts w:hint="eastAsia" w:ascii="宋体" w:hAnsi="宋体" w:cs="宋体"/>
                <w:b/>
                <w:bCs/>
                <w:szCs w:val="21"/>
              </w:rPr>
            </w:pPr>
            <w:r>
              <w:rPr>
                <w:rFonts w:hint="eastAsia" w:ascii="宋体" w:hAnsi="宋体" w:cs="宋体"/>
                <w:b/>
                <w:bCs/>
                <w:szCs w:val="21"/>
              </w:rPr>
              <w:t xml:space="preserve">核心产品：</w:t>
            </w:r>
            <w:r>
              <w:rPr>
                <w:rFonts w:hint="eastAsia" w:ascii="宋体" w:hAnsi="宋体" w:cs="宋体"/>
                <w:szCs w:val="21"/>
              </w:rPr>
              <w:t xml:space="preserve">本项目为单一产品。</w:t>
            </w:r>
            <w:r>
              <w:rPr>
                <w:rFonts w:hint="eastAsia" w:ascii="宋体" w:hAnsi="宋体" w:cs="宋体"/>
                <w:b/>
                <w:bCs/>
                <w:szCs w:val="21"/>
              </w:rPr>
            </w:r>
            <w:r/>
          </w:p>
          <w:p>
            <w:pPr>
              <w:pStyle w:val="1484"/>
              <w:spacing w:line="360" w:lineRule="auto"/>
              <w:shd w:val="clear" w:color="auto" w:fill="ffffff"/>
              <w:widowControl/>
              <w:rPr>
                <w:rFonts w:hint="eastAsia" w:ascii="宋体" w:hAnsi="宋体" w:cs="宋体"/>
                <w:b/>
                <w:bCs/>
                <w:szCs w:val="21"/>
              </w:rPr>
            </w:pPr>
            <w:r>
              <w:rPr>
                <w:rFonts w:hint="eastAsia" w:ascii="宋体" w:hAnsi="宋体" w:cs="宋体"/>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rFonts w:hint="eastAsia" w:ascii="宋体" w:hAnsi="宋体" w:cs="宋体"/>
                <w:b/>
                <w:bCs/>
                <w:szCs w:val="21"/>
              </w:rPr>
            </w:r>
            <w:r/>
          </w:p>
        </w:tc>
      </w:tr>
      <w:tr>
        <w:trPr>
          <w:trHeight w:val="895"/>
        </w:trPr>
        <w:tc>
          <w:tcPr>
            <w:tcW w:w="881" w:type="dxa"/>
            <w:vAlign w:val="center"/>
            <w:textDirection w:val="lrTb"/>
            <w:noWrap w:val="false"/>
          </w:tcPr>
          <w:p>
            <w:pPr>
              <w:pStyle w:val="148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9175" w:type="dxa"/>
            <w:vAlign w:val="center"/>
            <w:textDirection w:val="lrTb"/>
            <w:noWrap w:val="false"/>
          </w:tcPr>
          <w:p>
            <w:pPr>
              <w:pStyle w:val="1484"/>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采购标的对应中</w:t>
            </w:r>
            <w:r>
              <w:rPr>
                <w:rFonts w:hint="eastAsia" w:ascii="宋体" w:hAnsi="宋体" w:cs="宋体"/>
                <w:b/>
                <w:bCs/>
                <w:szCs w:val="21"/>
              </w:rPr>
              <w:t xml:space="preserve">小企业划分标准所属行业：</w:t>
            </w:r>
            <w:r>
              <w:rPr>
                <w:rFonts w:hint="eastAsia"/>
              </w:rPr>
              <w:t xml:space="preserve">其他未列明行业</w:t>
            </w:r>
            <w:r>
              <w:rPr>
                <w:rFonts w:hint="eastAsia" w:ascii="宋体" w:hAnsi="宋体" w:cs="宋体"/>
                <w:b/>
                <w:bCs/>
                <w:color w:val="000000"/>
                <w:szCs w:val="21"/>
              </w:rPr>
            </w:r>
            <w:r/>
          </w:p>
        </w:tc>
      </w:tr>
      <w:tr>
        <w:trPr>
          <w:trHeight w:val="299"/>
        </w:trPr>
        <w:tc>
          <w:tcPr>
            <w:tcW w:w="881" w:type="dxa"/>
            <w:vAlign w:val="center"/>
            <w:textDirection w:val="lrTb"/>
            <w:noWrap w:val="false"/>
          </w:tcPr>
          <w:p>
            <w:pPr>
              <w:pStyle w:val="148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W w:w="9175" w:type="dxa"/>
            <w:vAlign w:val="center"/>
            <w:textDirection w:val="lrTb"/>
            <w:noWrap w:val="false"/>
          </w:tcPr>
          <w:p>
            <w:pPr>
              <w:pStyle w:val="1484"/>
              <w:jc w:val="left"/>
              <w:spacing w:line="360" w:lineRule="auto"/>
              <w:rPr>
                <w:rFonts w:hint="eastAsia" w:ascii="宋体" w:hAnsi="宋体" w:cs="宋体"/>
                <w:szCs w:val="21"/>
              </w:rPr>
            </w:pPr>
            <w:r>
              <w:rPr>
                <w:rFonts w:hint="eastAsia" w:ascii="宋体" w:hAnsi="宋体" w:cs="宋体"/>
                <w:szCs w:val="21"/>
              </w:rPr>
              <w:t xml:space="preserve">招标代理服务费：</w:t>
            </w:r>
            <w:r>
              <w:rPr>
                <w:rFonts w:hint="eastAsia" w:ascii="宋体" w:hAnsi="宋体" w:cs="宋体"/>
                <w:szCs w:val="21"/>
              </w:rPr>
            </w:r>
            <w:r/>
          </w:p>
          <w:p>
            <w:pPr>
              <w:pStyle w:val="1484"/>
              <w:spacing w:line="360" w:lineRule="auto"/>
              <w:rPr>
                <w:rFonts w:hint="eastAsia" w:ascii="宋体" w:hAnsi="宋体" w:cs="宋体"/>
                <w:color w:val="000000"/>
              </w:rPr>
            </w:pPr>
            <w:r>
              <w:rPr>
                <w:rFonts w:hint="eastAsia" w:ascii="宋体" w:hAnsi="宋体" w:cs="宋体"/>
                <w:color w:val="000000"/>
              </w:rPr>
              <w:t xml:space="preserve">1）支付主体和报价要求：本项目采购代理服务费由中标供应商支付，供应商在报价时应将代理服务费全额包含在投标总价中，采购人不再另行支付。</w:t>
            </w:r>
            <w:r>
              <w:rPr>
                <w:rFonts w:hint="eastAsia" w:ascii="宋体" w:hAnsi="宋体" w:cs="宋体"/>
                <w:color w:val="000000"/>
              </w:rPr>
            </w:r>
            <w:r/>
          </w:p>
          <w:p>
            <w:pPr>
              <w:pStyle w:val="1484"/>
              <w:spacing w:line="360" w:lineRule="auto"/>
              <w:rPr>
                <w:rFonts w:hint="eastAsia" w:ascii="宋体" w:hAnsi="宋体" w:cs="宋体"/>
                <w:color w:val="000000"/>
              </w:rPr>
            </w:pPr>
            <w:r>
              <w:rPr>
                <w:rFonts w:hint="eastAsia" w:ascii="宋体" w:hAnsi="宋体" w:cs="宋体"/>
                <w:color w:val="000000"/>
              </w:rPr>
              <w:t xml:space="preserve">2）原因:为优化采购资金使用效率，依据《政府采购代理机构管理暂行办法》（财库〔2018〕2号）第十五条规定，经采购人研究确定，本项目代理服务费由中标供应商支付。</w:t>
            </w:r>
            <w:r>
              <w:rPr>
                <w:rFonts w:hint="eastAsia" w:ascii="宋体" w:hAnsi="宋体" w:cs="宋体"/>
                <w:color w:val="000000"/>
              </w:rPr>
            </w:r>
            <w:r/>
          </w:p>
          <w:p>
            <w:pPr>
              <w:pStyle w:val="1484"/>
              <w:spacing w:line="360" w:lineRule="auto"/>
              <w:rPr>
                <w:rFonts w:hint="eastAsia" w:ascii="宋体" w:hAnsi="宋体" w:cs="宋体"/>
                <w:color w:val="000000"/>
              </w:rPr>
            </w:pPr>
            <w:r>
              <w:rPr>
                <w:rFonts w:hint="eastAsia" w:ascii="宋体" w:hAnsi="宋体" w:cs="宋体"/>
                <w:color w:val="000000"/>
              </w:rPr>
              <w:t xml:space="preserve">3）收费标准：合同签订后一周内，中标供应商按《江苏省招标代理服务收费的指导意见》(苏招办[2022]002号)中规定的收费标准的80%缴纳中标服务费（即计费基数*收费标准*80%），计费基数为中标金额，服务费一次付清。</w:t>
            </w:r>
            <w:r>
              <w:rPr>
                <w:rFonts w:hint="eastAsia" w:ascii="宋体" w:hAnsi="宋体" w:cs="宋体"/>
                <w:color w:val="000000"/>
              </w:rPr>
            </w:r>
            <w:r/>
          </w:p>
          <w:p>
            <w:pPr>
              <w:pStyle w:val="1484"/>
              <w:spacing w:line="360" w:lineRule="auto"/>
              <w:rPr>
                <w:rFonts w:hint="eastAsia" w:ascii="宋体" w:hAnsi="宋体" w:cs="宋体"/>
                <w:color w:val="000000"/>
              </w:rPr>
            </w:pPr>
            <w:r>
              <w:rPr>
                <w:rFonts w:hint="eastAsia" w:ascii="宋体" w:hAnsi="宋体" w:cs="宋体"/>
                <w:color w:val="000000"/>
              </w:rPr>
              <w:t xml:space="preserve">收款信息：</w:t>
            </w:r>
            <w:r>
              <w:rPr>
                <w:rFonts w:hint="eastAsia" w:ascii="宋体" w:hAnsi="宋体" w:cs="宋体"/>
                <w:color w:val="000000"/>
              </w:rPr>
            </w:r>
            <w:r/>
          </w:p>
          <w:p>
            <w:pPr>
              <w:pStyle w:val="1484"/>
              <w:spacing w:line="360" w:lineRule="auto"/>
              <w:rPr>
                <w:rFonts w:hint="eastAsia" w:ascii="宋体" w:hAnsi="宋体" w:cs="宋体"/>
                <w:color w:val="000000"/>
              </w:rPr>
            </w:pPr>
            <w:r>
              <w:rPr>
                <w:rFonts w:hint="eastAsia" w:ascii="宋体" w:hAnsi="宋体" w:cs="宋体"/>
                <w:color w:val="000000"/>
              </w:rPr>
              <w:t xml:space="preserve">户名：江苏苏美达仪器设备有限公司</w:t>
            </w:r>
            <w:r>
              <w:rPr>
                <w:rFonts w:hint="eastAsia" w:ascii="宋体" w:hAnsi="宋体" w:cs="宋体"/>
                <w:color w:val="000000"/>
              </w:rPr>
            </w:r>
            <w:r/>
          </w:p>
          <w:p>
            <w:pPr>
              <w:pStyle w:val="1484"/>
              <w:spacing w:line="360" w:lineRule="auto"/>
              <w:rPr>
                <w:rFonts w:hint="eastAsia" w:ascii="宋体" w:hAnsi="宋体" w:cs="宋体"/>
                <w:color w:val="000000"/>
              </w:rPr>
            </w:pPr>
            <w:r>
              <w:rPr>
                <w:rFonts w:hint="eastAsia" w:ascii="宋体" w:hAnsi="宋体" w:cs="宋体"/>
                <w:color w:val="000000"/>
              </w:rPr>
              <w:t xml:space="preserve">开户银行：农行南京广州路支行</w:t>
            </w:r>
            <w:r>
              <w:rPr>
                <w:rFonts w:hint="eastAsia" w:ascii="宋体" w:hAnsi="宋体" w:cs="宋体"/>
                <w:color w:val="000000"/>
              </w:rPr>
            </w:r>
            <w:r/>
          </w:p>
          <w:p>
            <w:pPr>
              <w:pStyle w:val="1484"/>
              <w:spacing w:line="360" w:lineRule="auto"/>
              <w:rPr>
                <w:rFonts w:hint="eastAsia" w:ascii="宋体" w:hAnsi="宋体" w:cs="宋体"/>
                <w:color w:val="000000"/>
                <w:szCs w:val="21"/>
              </w:rPr>
            </w:pPr>
            <w:r>
              <w:rPr>
                <w:rFonts w:hint="eastAsia" w:ascii="宋体" w:hAnsi="宋体" w:cs="宋体"/>
                <w:color w:val="000000"/>
              </w:rPr>
              <w:t xml:space="preserve">账户：10100301040003106</w:t>
            </w:r>
            <w:r>
              <w:rPr>
                <w:rFonts w:hint="eastAsia" w:ascii="宋体" w:hAnsi="宋体" w:cs="宋体"/>
                <w:color w:val="000000"/>
                <w:szCs w:val="21"/>
              </w:rPr>
            </w:r>
            <w:r/>
          </w:p>
        </w:tc>
      </w:tr>
      <w:tr>
        <w:trPr>
          <w:trHeight w:val="299"/>
        </w:trPr>
        <w:tc>
          <w:tcPr>
            <w:tcW w:w="881" w:type="dxa"/>
            <w:vAlign w:val="center"/>
            <w:textDirection w:val="lrTb"/>
            <w:noWrap w:val="false"/>
          </w:tcPr>
          <w:p>
            <w:pPr>
              <w:pStyle w:val="148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W w:w="9175" w:type="dxa"/>
            <w:vAlign w:val="center"/>
            <w:textDirection w:val="lrTb"/>
            <w:noWrap w:val="false"/>
          </w:tcPr>
          <w:p>
            <w:pPr>
              <w:pStyle w:val="1484"/>
              <w:spacing w:line="360" w:lineRule="auto"/>
              <w:rPr>
                <w:rFonts w:hint="eastAsia" w:ascii="宋体" w:hAnsi="宋体" w:cs="宋体"/>
                <w:bCs/>
                <w:szCs w:val="21"/>
              </w:rPr>
            </w:pPr>
            <w:r>
              <w:rPr>
                <w:rFonts w:hint="eastAsia" w:ascii="宋体" w:hAnsi="宋体" w:cs="宋体"/>
                <w:bCs/>
                <w:szCs w:val="21"/>
              </w:rPr>
              <w:t xml:space="preserve">1、供应商对采购活动事项有疑问的，可以提出询问，联系方式详见第一章技术咨询联系人。</w:t>
            </w:r>
            <w:r>
              <w:rPr>
                <w:rFonts w:hint="eastAsia" w:ascii="宋体" w:hAnsi="宋体" w:cs="宋体"/>
                <w:bCs/>
                <w:szCs w:val="21"/>
              </w:rPr>
            </w:r>
            <w:r/>
          </w:p>
          <w:p>
            <w:pPr>
              <w:pStyle w:val="1484"/>
              <w:spacing w:line="360" w:lineRule="auto"/>
              <w:rPr>
                <w:rFonts w:hint="eastAsia" w:ascii="宋体" w:hAnsi="宋体" w:cs="宋体"/>
                <w:bCs/>
                <w:szCs w:val="21"/>
              </w:rPr>
            </w:pPr>
            <w:r>
              <w:rPr>
                <w:rFonts w:hint="eastAsia" w:ascii="宋体" w:hAnsi="宋体" w:cs="宋体"/>
                <w:bCs/>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cs="宋体"/>
                <w:bCs/>
                <w:szCs w:val="21"/>
              </w:rPr>
            </w:r>
            <w:r/>
          </w:p>
          <w:p>
            <w:pPr>
              <w:pStyle w:val="1484"/>
              <w:spacing w:line="360" w:lineRule="auto"/>
              <w:rPr>
                <w:rFonts w:hint="eastAsia" w:ascii="宋体" w:hAnsi="宋体" w:cs="宋体"/>
                <w:bCs/>
                <w:szCs w:val="21"/>
              </w:rPr>
            </w:pPr>
            <w:r>
              <w:rPr>
                <w:rFonts w:hint="eastAsia" w:ascii="宋体" w:hAnsi="宋体" w:cs="宋体"/>
                <w:bCs/>
                <w:szCs w:val="21"/>
              </w:rPr>
              <w:t xml:space="preserve">（1）接收质疑函的方式：供应商应在法定质疑期内将质疑函以书面形式（原件）送达代理机构，针对本项目同一采购程序环节的质疑应一次性提出。</w:t>
            </w:r>
            <w:r>
              <w:rPr>
                <w:rFonts w:hint="eastAsia" w:ascii="宋体" w:hAnsi="宋体" w:cs="宋体"/>
                <w:bCs/>
                <w:szCs w:val="21"/>
              </w:rPr>
            </w:r>
            <w:r/>
          </w:p>
          <w:p>
            <w:pPr>
              <w:pStyle w:val="1484"/>
              <w:spacing w:line="360" w:lineRule="auto"/>
              <w:rPr>
                <w:rFonts w:hint="eastAsia" w:ascii="宋体" w:hAnsi="宋体" w:cs="宋体"/>
                <w:bCs/>
                <w:szCs w:val="21"/>
              </w:rPr>
            </w:pPr>
            <w:r>
              <w:rPr>
                <w:rFonts w:hint="eastAsia" w:ascii="宋体" w:hAnsi="宋体" w:cs="宋体"/>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484"/>
              <w:ind w:firstLine="210"/>
              <w:spacing w:line="360" w:lineRule="auto"/>
              <w:rPr>
                <w:rFonts w:hint="eastAsia" w:ascii="宋体" w:hAnsi="宋体" w:cs="宋体"/>
                <w:bCs/>
                <w:szCs w:val="21"/>
              </w:rPr>
            </w:pPr>
            <w:r>
              <w:rPr>
                <w:rFonts w:hint="eastAsia" w:ascii="宋体" w:hAnsi="宋体" w:cs="宋体"/>
                <w:bCs/>
                <w:szCs w:val="21"/>
              </w:rPr>
              <w:t xml:space="preserve">①供应商的姓名或者名称、地址、邮编、联系人及联系电话；</w:t>
            </w:r>
            <w:r>
              <w:rPr>
                <w:rFonts w:hint="eastAsia" w:ascii="宋体" w:hAnsi="宋体" w:cs="宋体"/>
                <w:bCs/>
                <w:szCs w:val="21"/>
              </w:rPr>
            </w:r>
            <w:r/>
          </w:p>
          <w:p>
            <w:pPr>
              <w:pStyle w:val="1484"/>
              <w:ind w:firstLine="210"/>
              <w:spacing w:line="360" w:lineRule="auto"/>
              <w:rPr>
                <w:rFonts w:hint="eastAsia" w:ascii="宋体" w:hAnsi="宋体" w:cs="宋体"/>
                <w:bCs/>
                <w:szCs w:val="21"/>
              </w:rPr>
            </w:pPr>
            <w:r>
              <w:rPr>
                <w:rFonts w:hint="eastAsia" w:ascii="宋体" w:hAnsi="宋体" w:cs="宋体"/>
                <w:bCs/>
                <w:szCs w:val="21"/>
              </w:rPr>
              <w:t xml:space="preserve">②质疑项目的名称、编号；</w:t>
            </w:r>
            <w:r>
              <w:rPr>
                <w:rFonts w:hint="eastAsia" w:ascii="宋体" w:hAnsi="宋体" w:cs="宋体"/>
                <w:bCs/>
                <w:szCs w:val="21"/>
              </w:rPr>
            </w:r>
            <w:r/>
          </w:p>
          <w:p>
            <w:pPr>
              <w:pStyle w:val="1484"/>
              <w:ind w:firstLine="210"/>
              <w:spacing w:line="360" w:lineRule="auto"/>
              <w:rPr>
                <w:rFonts w:hint="eastAsia" w:ascii="宋体" w:hAnsi="宋体" w:cs="宋体"/>
                <w:bCs/>
                <w:szCs w:val="21"/>
              </w:rPr>
            </w:pPr>
            <w:r>
              <w:rPr>
                <w:rFonts w:hint="eastAsia" w:ascii="宋体" w:hAnsi="宋体" w:cs="宋体"/>
                <w:bCs/>
                <w:szCs w:val="21"/>
              </w:rPr>
              <w:t xml:space="preserve">③具体、明确的质疑事项和与质疑事项相关的请求；</w:t>
            </w:r>
            <w:r>
              <w:rPr>
                <w:rFonts w:hint="eastAsia" w:ascii="宋体" w:hAnsi="宋体" w:cs="宋体"/>
                <w:bCs/>
                <w:szCs w:val="21"/>
              </w:rPr>
            </w:r>
            <w:r/>
          </w:p>
          <w:p>
            <w:pPr>
              <w:pStyle w:val="1484"/>
              <w:ind w:firstLine="210"/>
              <w:spacing w:line="360" w:lineRule="auto"/>
              <w:rPr>
                <w:rFonts w:hint="eastAsia" w:ascii="宋体" w:hAnsi="宋体" w:cs="宋体"/>
                <w:bCs/>
                <w:szCs w:val="21"/>
              </w:rPr>
            </w:pPr>
            <w:r>
              <w:rPr>
                <w:rFonts w:hint="eastAsia" w:ascii="宋体" w:hAnsi="宋体" w:cs="宋体"/>
                <w:bCs/>
                <w:szCs w:val="21"/>
              </w:rPr>
              <w:t xml:space="preserve">④事实依据；</w:t>
            </w:r>
            <w:r>
              <w:rPr>
                <w:rFonts w:hint="eastAsia" w:ascii="宋体" w:hAnsi="宋体" w:cs="宋体"/>
                <w:bCs/>
                <w:szCs w:val="21"/>
              </w:rPr>
            </w:r>
            <w:r/>
          </w:p>
          <w:p>
            <w:pPr>
              <w:pStyle w:val="1484"/>
              <w:ind w:firstLine="210"/>
              <w:spacing w:line="360" w:lineRule="auto"/>
              <w:rPr>
                <w:rFonts w:hint="eastAsia" w:ascii="宋体" w:hAnsi="宋体" w:cs="宋体"/>
                <w:bCs/>
                <w:szCs w:val="21"/>
              </w:rPr>
            </w:pPr>
            <w:r>
              <w:rPr>
                <w:rFonts w:hint="eastAsia" w:ascii="宋体" w:hAnsi="宋体" w:cs="宋体"/>
                <w:bCs/>
                <w:szCs w:val="21"/>
              </w:rPr>
              <w:t xml:space="preserve">⑤必要的法律依据；</w:t>
            </w:r>
            <w:r>
              <w:rPr>
                <w:rFonts w:hint="eastAsia" w:ascii="宋体" w:hAnsi="宋体" w:cs="宋体"/>
                <w:bCs/>
                <w:szCs w:val="21"/>
              </w:rPr>
            </w:r>
            <w:r/>
          </w:p>
          <w:p>
            <w:pPr>
              <w:pStyle w:val="1484"/>
              <w:ind w:firstLine="210"/>
              <w:spacing w:line="360" w:lineRule="auto"/>
              <w:rPr>
                <w:rFonts w:hint="eastAsia" w:ascii="宋体" w:hAnsi="宋体" w:cs="宋体"/>
                <w:bCs/>
                <w:szCs w:val="21"/>
              </w:rPr>
            </w:pPr>
            <w:r>
              <w:rPr>
                <w:rFonts w:hint="eastAsia" w:ascii="宋体" w:hAnsi="宋体" w:cs="宋体"/>
                <w:bCs/>
                <w:szCs w:val="21"/>
              </w:rPr>
              <w:t xml:space="preserve">⑥提出质疑的日期；</w:t>
            </w:r>
            <w:r>
              <w:rPr>
                <w:rFonts w:hint="eastAsia" w:ascii="宋体" w:hAnsi="宋体" w:cs="宋体"/>
                <w:bCs/>
                <w:szCs w:val="21"/>
              </w:rPr>
            </w:r>
            <w:r/>
          </w:p>
          <w:p>
            <w:pPr>
              <w:pStyle w:val="1484"/>
              <w:ind w:firstLine="21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484"/>
              <w:spacing w:line="360" w:lineRule="auto"/>
              <w:rPr>
                <w:rFonts w:hint="eastAsia" w:ascii="宋体" w:hAnsi="宋体" w:cs="宋体"/>
                <w:bCs/>
                <w:szCs w:val="21"/>
              </w:rPr>
            </w:pPr>
            <w:r>
              <w:rPr>
                <w:rFonts w:hint="eastAsia" w:ascii="宋体" w:hAnsi="宋体" w:cs="宋体"/>
                <w:bCs/>
                <w:szCs w:val="21"/>
              </w:rPr>
              <w:t xml:space="preserve">（3）质疑供应商若对项目的某一分包进行质疑，质疑函中应列明具体分包号。</w:t>
            </w:r>
            <w:r>
              <w:rPr>
                <w:rFonts w:hint="eastAsia" w:ascii="宋体" w:hAnsi="宋体" w:cs="宋体"/>
                <w:bCs/>
                <w:szCs w:val="21"/>
              </w:rPr>
            </w:r>
            <w:r/>
          </w:p>
          <w:p>
            <w:pPr>
              <w:pStyle w:val="1484"/>
              <w:spacing w:line="360" w:lineRule="auto"/>
              <w:rPr>
                <w:rFonts w:hint="eastAsia" w:ascii="宋体" w:hAnsi="宋体" w:cs="宋体"/>
                <w:bCs/>
                <w:szCs w:val="21"/>
              </w:rPr>
            </w:pPr>
            <w:r>
              <w:rPr>
                <w:rFonts w:hint="eastAsia" w:ascii="宋体" w:hAnsi="宋体" w:cs="宋体"/>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484"/>
              <w:spacing w:line="360" w:lineRule="auto"/>
              <w:rPr>
                <w:rFonts w:hint="eastAsia" w:ascii="宋体" w:hAnsi="宋体" w:cs="宋体"/>
                <w:bCs/>
                <w:color w:val="000000"/>
                <w:szCs w:val="21"/>
              </w:rPr>
            </w:pPr>
            <w:r>
              <w:rPr>
                <w:rFonts w:hint="eastAsia" w:ascii="宋体" w:hAnsi="宋体" w:cs="宋体"/>
                <w:bCs/>
                <w:szCs w:val="21"/>
              </w:rPr>
              <w:t xml:space="preserve">（5）</w:t>
            </w:r>
            <w:r>
              <w:rPr>
                <w:rFonts w:hint="eastAsia" w:ascii="宋体" w:hAnsi="宋体" w:cs="宋体"/>
                <w:bCs/>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484"/>
              <w:spacing w:line="360" w:lineRule="auto"/>
              <w:rPr>
                <w:rFonts w:hint="eastAsia" w:ascii="宋体" w:hAnsi="宋体" w:cs="宋体"/>
                <w:bCs/>
                <w:szCs w:val="21"/>
              </w:rPr>
            </w:pPr>
            <w:r>
              <w:rPr>
                <w:rFonts w:hint="eastAsia" w:ascii="宋体" w:hAnsi="宋体" w:cs="宋体"/>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484"/>
              <w:spacing w:line="360" w:lineRule="auto"/>
              <w:rPr>
                <w:rFonts w:hint="eastAsia" w:ascii="宋体" w:hAnsi="宋体" w:cs="宋体"/>
                <w:bCs/>
                <w:szCs w:val="21"/>
              </w:rPr>
            </w:pPr>
            <w:r>
              <w:rPr>
                <w:rFonts w:hint="eastAsia" w:ascii="宋体" w:hAnsi="宋体" w:cs="宋体"/>
                <w:bCs/>
                <w:szCs w:val="21"/>
              </w:rPr>
              <w:t xml:space="preserve">（7）本项目质疑函的联系部门、联系电话和通讯地址如下：</w:t>
            </w:r>
            <w:r>
              <w:rPr>
                <w:rFonts w:hint="eastAsia" w:ascii="宋体" w:hAnsi="宋体" w:cs="宋体"/>
                <w:bCs/>
                <w:szCs w:val="21"/>
              </w:rPr>
            </w:r>
            <w:r/>
          </w:p>
          <w:p>
            <w:pPr>
              <w:pStyle w:val="1484"/>
              <w:ind w:firstLine="210"/>
              <w:spacing w:line="360" w:lineRule="auto"/>
              <w:rPr>
                <w:rFonts w:hint="eastAsia" w:ascii="宋体" w:hAnsi="宋体" w:cs="宋体"/>
                <w:bCs/>
                <w:szCs w:val="21"/>
              </w:rPr>
            </w:pPr>
            <w:r>
              <w:rPr>
                <w:rFonts w:hint="eastAsia" w:ascii="宋体" w:hAnsi="宋体" w:cs="宋体"/>
                <w:bCs/>
                <w:szCs w:val="21"/>
              </w:rPr>
              <w:t xml:space="preserve">联系部门：江苏苏美达仪器设备有限公司招标中心 黄经理</w:t>
            </w:r>
            <w:r>
              <w:rPr>
                <w:rFonts w:hint="eastAsia" w:ascii="宋体" w:hAnsi="宋体" w:cs="宋体"/>
                <w:bCs/>
                <w:szCs w:val="21"/>
              </w:rPr>
            </w:r>
            <w:r/>
          </w:p>
          <w:p>
            <w:pPr>
              <w:pStyle w:val="1484"/>
              <w:ind w:firstLine="210"/>
              <w:spacing w:line="360" w:lineRule="auto"/>
              <w:rPr>
                <w:rFonts w:hint="eastAsia" w:ascii="宋体" w:hAnsi="宋体" w:cs="宋体"/>
                <w:bCs/>
                <w:szCs w:val="21"/>
              </w:rPr>
            </w:pPr>
            <w:r>
              <w:rPr>
                <w:rFonts w:hint="eastAsia" w:ascii="宋体" w:hAnsi="宋体" w:cs="宋体"/>
                <w:bCs/>
                <w:szCs w:val="21"/>
              </w:rPr>
              <w:t xml:space="preserve">联系电话：025-84531274</w:t>
            </w:r>
            <w:r>
              <w:rPr>
                <w:rFonts w:hint="eastAsia" w:ascii="宋体" w:hAnsi="宋体" w:cs="宋体"/>
                <w:bCs/>
                <w:szCs w:val="21"/>
              </w:rPr>
            </w:r>
            <w:r/>
          </w:p>
          <w:p>
            <w:pPr>
              <w:pStyle w:val="1484"/>
              <w:ind w:firstLine="210"/>
              <w:spacing w:line="360" w:lineRule="auto"/>
              <w:rPr>
                <w:rFonts w:hint="eastAsia" w:ascii="宋体" w:hAnsi="宋体" w:cs="宋体"/>
                <w:szCs w:val="21"/>
              </w:rPr>
            </w:pPr>
            <w:r>
              <w:rPr>
                <w:rFonts w:hint="eastAsia" w:ascii="宋体" w:hAnsi="宋体" w:cs="宋体"/>
                <w:bCs/>
                <w:szCs w:val="21"/>
              </w:rPr>
              <w:t xml:space="preserve">通讯地址：</w:t>
            </w:r>
            <w:r>
              <w:rPr>
                <w:rFonts w:hint="eastAsia" w:ascii="宋体" w:hAnsi="宋体" w:cs="宋体"/>
                <w:szCs w:val="21"/>
              </w:rPr>
              <w:t xml:space="preserve">江苏省南京市长江路198号苏美达大厦14F</w:t>
            </w:r>
            <w:r>
              <w:rPr>
                <w:rFonts w:hint="eastAsia" w:ascii="宋体" w:hAnsi="宋体" w:cs="宋体"/>
                <w:szCs w:val="21"/>
              </w:rPr>
            </w:r>
            <w:r/>
          </w:p>
        </w:tc>
      </w:tr>
      <w:tr>
        <w:trPr>
          <w:trHeight w:val="1075"/>
        </w:trPr>
        <w:tc>
          <w:tcPr>
            <w:tcW w:w="881" w:type="dxa"/>
            <w:vAlign w:val="center"/>
            <w:textDirection w:val="lrTb"/>
            <w:noWrap w:val="false"/>
          </w:tcPr>
          <w:p>
            <w:pPr>
              <w:pStyle w:val="1484"/>
              <w:jc w:val="center"/>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16</w:t>
            </w:r>
            <w:r>
              <w:rPr>
                <w:rFonts w:hint="eastAsia" w:ascii="宋体" w:hAnsi="宋体" w:cs="宋体"/>
                <w:color w:val="000000"/>
                <w:szCs w:val="21"/>
              </w:rPr>
            </w:r>
            <w:r/>
          </w:p>
        </w:tc>
        <w:tc>
          <w:tcPr>
            <w:tcW w:w="9175" w:type="dxa"/>
            <w:vAlign w:val="center"/>
            <w:textDirection w:val="lrTb"/>
            <w:noWrap w:val="false"/>
          </w:tcPr>
          <w:p>
            <w:pPr>
              <w:pStyle w:val="1484"/>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 </w:t>
            </w:r>
            <w:r>
              <w:rPr>
                <w:rFonts w:hint="eastAsia" w:ascii="宋体" w:hAnsi="宋体" w:cs="宋体"/>
                <w:bCs/>
                <w:szCs w:val="21"/>
              </w:rPr>
            </w:r>
            <w:r/>
          </w:p>
        </w:tc>
      </w:tr>
      <w:tr>
        <w:trPr>
          <w:trHeight w:val="1075"/>
        </w:trPr>
        <w:tc>
          <w:tcPr>
            <w:tcW w:w="881" w:type="dxa"/>
            <w:vAlign w:val="center"/>
            <w:textDirection w:val="lrTb"/>
            <w:noWrap w:val="false"/>
          </w:tcPr>
          <w:p>
            <w:pPr>
              <w:pStyle w:val="1484"/>
              <w:jc w:val="center"/>
              <w:spacing w:line="360" w:lineRule="auto"/>
              <w:shd w:val="clear" w:color="auto" w:fill="ffffff"/>
              <w:widowControl/>
              <w:rPr>
                <w:rFonts w:hint="eastAsia" w:ascii="宋体" w:hAnsi="宋体" w:cs="宋体"/>
                <w:szCs w:val="21"/>
              </w:rPr>
            </w:pPr>
            <w:r>
              <w:rPr>
                <w:rFonts w:hint="eastAsia" w:ascii="宋体" w:hAnsi="宋体" w:cs="宋体"/>
                <w:szCs w:val="21"/>
              </w:rPr>
              <w:t xml:space="preserve">17</w:t>
            </w:r>
            <w:r>
              <w:rPr>
                <w:rFonts w:hint="eastAsia" w:ascii="宋体" w:hAnsi="宋体" w:cs="宋体"/>
                <w:szCs w:val="21"/>
              </w:rPr>
            </w:r>
            <w:r/>
          </w:p>
        </w:tc>
        <w:tc>
          <w:tcPr>
            <w:tcW w:w="9175"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关于“苏采云”系统的提示说明</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1.潜在供应商访问电子招标响应交易平台的网络地址和方法：</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2.潜在供应商访问“苏采云”系统的网络地址和方法：“苏采云”系统的网址：http://jszfcg.jsczt.cn/。</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3.“CA数字证书”的获取：</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rPr>
                <w:rFonts w:hint="eastAsia" w:ascii="宋体" w:hAnsi="宋体" w:cs="宋体"/>
                <w:szCs w:val="21"/>
              </w:rPr>
            </w:r>
            <w:r/>
          </w:p>
          <w:p>
            <w:pPr>
              <w:pStyle w:val="1484"/>
              <w:spacing w:line="360" w:lineRule="auto"/>
              <w:rPr>
                <w:rFonts w:hint="eastAsia" w:ascii="宋体" w:hAnsi="宋体" w:cs="宋体"/>
                <w:b/>
                <w:bCs/>
                <w:szCs w:val="21"/>
              </w:rPr>
            </w:pPr>
            <w:r>
              <w:rPr>
                <w:rFonts w:hint="eastAsia" w:ascii="宋体" w:hAnsi="宋体" w:cs="宋体"/>
                <w:b/>
                <w:bCs/>
                <w:szCs w:val="21"/>
              </w:rPr>
              <w:t xml:space="preserve">注：如潜在供应商未按上述要求操作，将自行承担所产生的风险。</w:t>
            </w:r>
            <w:r>
              <w:rPr>
                <w:rFonts w:hint="eastAsia" w:ascii="宋体" w:hAnsi="宋体" w:cs="宋体"/>
                <w:b/>
                <w:bCs/>
                <w:szCs w:val="21"/>
              </w:rPr>
            </w:r>
            <w:r/>
          </w:p>
        </w:tc>
      </w:tr>
    </w:tbl>
    <w:p>
      <w:pPr>
        <w:pStyle w:val="1484"/>
        <w:ind w:firstLine="420"/>
        <w:spacing w:line="360" w:lineRule="auto"/>
        <w:shd w:val="clear" w:color="auto" w:fill="ffffff"/>
        <w:widowControl/>
        <w:rPr>
          <w:rFonts w:hint="eastAsia" w:ascii="宋体" w:hAnsi="宋体" w:cs="宋体"/>
          <w:color w:val="000000"/>
          <w:szCs w:val="21"/>
        </w:rPr>
        <w:outlineLvl w:val="1"/>
      </w:pPr>
      <w:r/>
      <w:bookmarkStart w:id="37" w:name="_Toc7634"/>
      <w:r>
        <w:rPr>
          <w:rFonts w:hint="eastAsia" w:ascii="宋体" w:hAnsi="宋体" w:cs="宋体"/>
          <w:b/>
          <w:bCs/>
          <w:color w:val="000000"/>
          <w:szCs w:val="21"/>
        </w:rPr>
        <w:t xml:space="preserve"> </w:t>
      </w:r>
      <w:bookmarkStart w:id="38" w:name="_Toc19894"/>
      <w:r/>
      <w:bookmarkStart w:id="39" w:name="_Toc19726"/>
      <w:r>
        <w:rPr>
          <w:rFonts w:hint="eastAsia" w:ascii="宋体" w:hAnsi="宋体" w:cs="宋体"/>
          <w:b/>
          <w:bCs/>
          <w:color w:val="000000"/>
          <w:szCs w:val="21"/>
        </w:rPr>
        <w:t xml:space="preserve">一、总 则</w:t>
      </w:r>
      <w:bookmarkEnd w:id="37"/>
      <w:r/>
      <w:bookmarkEnd w:id="38"/>
      <w:r/>
      <w:bookmarkEnd w:id="39"/>
      <w:r>
        <w:rPr>
          <w:rFonts w:hint="eastAsia" w:ascii="宋体" w:hAnsi="宋体" w:cs="宋体"/>
          <w:color w:val="000000"/>
          <w:szCs w:val="21"/>
        </w:rPr>
      </w:r>
      <w:r/>
    </w:p>
    <w:p>
      <w:pPr>
        <w:pStyle w:val="1484"/>
        <w:ind w:firstLine="420"/>
        <w:spacing w:line="360" w:lineRule="auto"/>
        <w:rPr>
          <w:rFonts w:hint="eastAsia" w:ascii="宋体" w:hAnsi="宋体" w:cs="宋体"/>
          <w:b/>
          <w:szCs w:val="21"/>
          <w:lang w:val="zh-CN"/>
        </w:rPr>
        <w:outlineLvl w:val="2"/>
      </w:pPr>
      <w:r/>
      <w:bookmarkStart w:id="40" w:name="_Toc5219"/>
      <w:r/>
      <w:bookmarkStart w:id="41" w:name="_Toc3951"/>
      <w:r/>
      <w:bookmarkStart w:id="42" w:name="_Toc26564"/>
      <w:r/>
      <w:bookmarkStart w:id="43" w:name="_Toc513029204"/>
      <w:r/>
      <w:bookmarkStart w:id="44" w:name="_Toc20823276"/>
      <w:r/>
      <w:bookmarkStart w:id="45" w:name="_Toc24947"/>
      <w:r/>
      <w:bookmarkStart w:id="46" w:name="_Toc16938520"/>
      <w:r/>
      <w:bookmarkStart w:id="47" w:name="_Toc458694821"/>
      <w:r>
        <w:rPr>
          <w:rFonts w:hint="eastAsia" w:ascii="宋体" w:hAnsi="宋体" w:cs="宋体"/>
          <w:b/>
          <w:bCs/>
          <w:color w:val="000000"/>
          <w:szCs w:val="21"/>
          <w:lang w:val="zh-CN"/>
        </w:rPr>
        <w:t xml:space="preserve">1.</w:t>
      </w:r>
      <w:r>
        <w:rPr>
          <w:rFonts w:hint="eastAsia" w:ascii="宋体" w:hAnsi="宋体" w:cs="宋体"/>
          <w:b/>
          <w:szCs w:val="21"/>
          <w:lang w:val="zh-CN"/>
        </w:rPr>
        <w:t xml:space="preserve">适用法律</w:t>
      </w:r>
      <w:bookmarkEnd w:id="40"/>
      <w:r/>
      <w:bookmarkEnd w:id="41"/>
      <w:r/>
      <w:bookmarkEnd w:id="42"/>
      <w:r>
        <w:rPr>
          <w:rFonts w:hint="eastAsia" w:ascii="宋体" w:hAnsi="宋体" w:cs="宋体"/>
          <w:b/>
          <w:szCs w:val="21"/>
          <w:lang w:val="zh-CN"/>
        </w:rPr>
      </w:r>
      <w:r/>
    </w:p>
    <w:p>
      <w:pPr>
        <w:pStyle w:val="1484"/>
        <w:ind w:firstLine="420"/>
        <w:spacing w:line="360" w:lineRule="auto"/>
        <w:rPr>
          <w:rFonts w:hint="eastAsia" w:ascii="宋体" w:hAnsi="宋体" w:cs="宋体"/>
          <w:szCs w:val="21"/>
          <w:lang w:val="zh-CN"/>
        </w:rPr>
      </w:pPr>
      <w:r>
        <w:rPr>
          <w:rFonts w:hint="eastAsia" w:ascii="宋体" w:hAnsi="宋体" w:cs="宋体"/>
          <w:color w:val="000000"/>
          <w:szCs w:val="21"/>
          <w:lang w:val="zh-CN"/>
        </w:rPr>
        <w:t xml:space="preserve">1</w:t>
      </w:r>
      <w:r>
        <w:rPr>
          <w:rFonts w:hint="eastAsia" w:ascii="宋体" w:hAnsi="宋体" w:cs="宋体"/>
          <w:szCs w:val="21"/>
          <w:lang w:val="zh-CN"/>
        </w:rPr>
        <w:t xml:space="preserve">.1 《中华人民共和国政府采购法》《中华人民共和国政府采购法实施条例》《政府采购货物和服务招标投标管理办法》等有关法律、规章和规定等。</w:t>
      </w:r>
      <w:r>
        <w:rPr>
          <w:rFonts w:hint="eastAsia" w:ascii="宋体" w:hAnsi="宋体" w:cs="宋体"/>
          <w:szCs w:val="21"/>
          <w:lang w:val="zh-CN"/>
        </w:rPr>
      </w:r>
      <w:r/>
    </w:p>
    <w:p>
      <w:pPr>
        <w:pStyle w:val="1484"/>
        <w:ind w:firstLine="420"/>
        <w:spacing w:line="360" w:lineRule="auto"/>
        <w:rPr>
          <w:rFonts w:hint="eastAsia" w:ascii="宋体" w:hAnsi="宋体" w:cs="宋体"/>
          <w:b/>
          <w:szCs w:val="21"/>
          <w:lang w:val="zh-CN"/>
        </w:rPr>
        <w:outlineLvl w:val="2"/>
      </w:pPr>
      <w:r/>
      <w:bookmarkStart w:id="48" w:name="_Toc990"/>
      <w:r/>
      <w:bookmarkStart w:id="49" w:name="_Toc6911"/>
      <w:r/>
      <w:bookmarkStart w:id="50" w:name="_Toc10994"/>
      <w:r>
        <w:rPr>
          <w:rFonts w:hint="eastAsia" w:ascii="宋体" w:hAnsi="宋体" w:cs="宋体"/>
          <w:b/>
          <w:bCs/>
          <w:szCs w:val="21"/>
          <w:lang w:val="zh-CN"/>
        </w:rPr>
        <w:t xml:space="preserve">2.</w:t>
      </w:r>
      <w:r>
        <w:rPr>
          <w:rFonts w:hint="eastAsia" w:ascii="宋体" w:hAnsi="宋体" w:cs="宋体"/>
          <w:b/>
          <w:szCs w:val="21"/>
          <w:lang w:val="zh-CN"/>
        </w:rPr>
        <w:t xml:space="preserve">定义</w:t>
      </w:r>
      <w:bookmarkEnd w:id="48"/>
      <w:r/>
      <w:bookmarkEnd w:id="49"/>
      <w:r/>
      <w:bookmarkEnd w:id="50"/>
      <w:r>
        <w:rPr>
          <w:rFonts w:hint="eastAsia" w:ascii="宋体" w:hAnsi="宋体" w:cs="宋体"/>
          <w:b/>
          <w:szCs w:val="21"/>
          <w:lang w:val="zh-CN"/>
        </w:rPr>
      </w:r>
      <w:r/>
    </w:p>
    <w:p>
      <w:pPr>
        <w:pStyle w:val="1484"/>
        <w:ind w:firstLine="420"/>
        <w:spacing w:line="360" w:lineRule="auto"/>
        <w:rPr>
          <w:rFonts w:hint="eastAsia" w:ascii="宋体" w:hAnsi="宋体" w:cs="宋体"/>
          <w:bCs/>
          <w:szCs w:val="21"/>
        </w:rPr>
      </w:pPr>
      <w:r/>
      <w:bookmarkEnd w:id="43"/>
      <w:r/>
      <w:bookmarkEnd w:id="44"/>
      <w:r/>
      <w:bookmarkEnd w:id="45"/>
      <w:r/>
      <w:bookmarkEnd w:id="46"/>
      <w:r/>
      <w:bookmarkEnd w:id="47"/>
      <w:r>
        <w:rPr>
          <w:rFonts w:hint="eastAsia" w:ascii="宋体" w:hAnsi="宋体" w:cs="宋体"/>
          <w:szCs w:val="21"/>
        </w:rPr>
        <w:t xml:space="preserve">2.1本文件</w:t>
      </w:r>
      <w:r>
        <w:rPr>
          <w:rFonts w:hint="eastAsia" w:ascii="宋体" w:hAnsi="宋体" w:cs="宋体"/>
          <w:bCs/>
          <w:szCs w:val="21"/>
        </w:rPr>
        <w:t xml:space="preserve">中采购代理机构为</w:t>
      </w:r>
      <w:r>
        <w:rPr>
          <w:rFonts w:hint="eastAsia" w:ascii="宋体" w:hAnsi="宋体" w:cs="宋体"/>
          <w:b/>
          <w:szCs w:val="21"/>
          <w:u w:val="single"/>
        </w:rPr>
        <w:t xml:space="preserve">江苏苏美达仪器设备有限公司</w:t>
      </w:r>
      <w:r>
        <w:rPr>
          <w:rFonts w:hint="eastAsia" w:ascii="宋体" w:hAnsi="宋体" w:cs="宋体"/>
          <w:bCs/>
          <w:szCs w:val="21"/>
        </w:rPr>
        <w:t xml:space="preserve">；采购人为</w:t>
      </w:r>
      <w:r>
        <w:rPr>
          <w:rFonts w:hint="eastAsia" w:ascii="宋体" w:hAnsi="宋体" w:cs="宋体"/>
          <w:b/>
          <w:szCs w:val="21"/>
          <w:u w:val="single"/>
        </w:rPr>
        <w:t xml:space="preserve">江苏省疾病预防控制中心（江苏省预防医学科学院）</w:t>
      </w:r>
      <w:r>
        <w:rPr>
          <w:rFonts w:hint="eastAsia" w:ascii="宋体" w:hAnsi="宋体" w:cs="宋体"/>
          <w:bCs/>
          <w:szCs w:val="21"/>
        </w:rPr>
        <w:t xml:space="preserve">；投标人（亦称供应商）系指参加投标竞争并满足招标文件资格要求规定的法人、其他组织或者自然人。</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2.2“货物和服务”指本文件中所述产品及相关货物和服务。</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2.3“用户或使用单位”指使用</w:t>
      </w:r>
      <w:r>
        <w:rPr>
          <w:rFonts w:hint="eastAsia" w:ascii="宋体" w:hAnsi="宋体" w:cs="宋体"/>
          <w:szCs w:val="21"/>
          <w:lang w:val="zh-CN"/>
        </w:rPr>
        <w:t xml:space="preserve">货物、服务的</w:t>
      </w:r>
      <w:r>
        <w:rPr>
          <w:rFonts w:hint="eastAsia" w:ascii="宋体" w:hAnsi="宋体" w:cs="宋体"/>
          <w:bCs/>
          <w:szCs w:val="21"/>
        </w:rPr>
        <w:t xml:space="preserve">单位。</w:t>
      </w:r>
      <w:r>
        <w:rPr>
          <w:rFonts w:hint="eastAsia" w:ascii="宋体" w:hAnsi="宋体" w:cs="宋体"/>
          <w:bCs/>
          <w:szCs w:val="21"/>
        </w:rPr>
      </w:r>
      <w:r/>
    </w:p>
    <w:p>
      <w:pPr>
        <w:pStyle w:val="1484"/>
        <w:ind w:firstLine="422"/>
        <w:spacing w:line="360" w:lineRule="auto"/>
        <w:rPr>
          <w:rFonts w:hint="eastAsia" w:ascii="宋体" w:hAnsi="宋体" w:cs="宋体"/>
          <w:bCs/>
          <w:szCs w:val="21"/>
        </w:rPr>
        <w:outlineLvl w:val="2"/>
      </w:pPr>
      <w:r/>
      <w:bookmarkStart w:id="51" w:name="_Toc27829"/>
      <w:r>
        <w:rPr>
          <w:rFonts w:hint="eastAsia" w:ascii="宋体" w:hAnsi="宋体" w:cs="宋体"/>
          <w:b/>
          <w:szCs w:val="21"/>
        </w:rPr>
        <w:t xml:space="preserve">3.政策功能</w:t>
      </w:r>
      <w:bookmarkEnd w:id="51"/>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3.1促进中小企业发展政策：</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cs="宋体"/>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3.2节能产品、环境标志产品政策</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（1）政府采购节能产品、环境标志产品实施品目清单管理。</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（2）拟采购产品属于节能产品、环境标志产品品目清单规定必须强制采购的，实行强制采购。</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cs="宋体"/>
          <w:bCs/>
          <w:szCs w:val="21"/>
        </w:rPr>
      </w:r>
      <w:r/>
    </w:p>
    <w:p>
      <w:pPr>
        <w:pStyle w:val="1484"/>
        <w:ind w:firstLine="420"/>
        <w:spacing w:line="360" w:lineRule="auto"/>
        <w:rPr>
          <w:rFonts w:hint="eastAsia" w:ascii="宋体" w:hAnsi="宋体" w:cs="宋体"/>
          <w:b/>
          <w:bCs/>
          <w:szCs w:val="21"/>
        </w:rPr>
      </w:pPr>
      <w:r>
        <w:rPr>
          <w:rFonts w:hint="eastAsia" w:ascii="宋体" w:hAnsi="宋体" w:cs="宋体"/>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hAnsi="宋体" w:cs="宋体"/>
          <w:b/>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3.4提供的产品属于信息安全产品的，供应商应当选择经国家认证的信息安全产品投标，并提供由中国网络安全审查技术与认证中心按国家标准认证颁发的有效认证证书复印件。</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3.6为推进社会诚信体系建设，根据财政部等政策要求，在政府采购活动中查询、使用信用记录，推进政府采购领域联合惩戒工作。</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szCs w:val="21"/>
        </w:rPr>
      </w:r>
      <w:r/>
    </w:p>
    <w:p>
      <w:pPr>
        <w:pStyle w:val="1484"/>
        <w:ind w:firstLine="420"/>
        <w:spacing w:line="360" w:lineRule="auto"/>
        <w:rPr>
          <w:rFonts w:hint="eastAsia" w:ascii="宋体" w:hAnsi="宋体" w:cs="宋体"/>
          <w:szCs w:val="21"/>
          <w:lang w:val="zh-CN"/>
        </w:rPr>
      </w:pPr>
      <w:r/>
      <w:bookmarkStart w:id="52" w:name="_Toc21421"/>
      <w:r/>
      <w:bookmarkStart w:id="53" w:name="_Toc1972"/>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Pr>
          <w:rFonts w:hint="eastAsia" w:ascii="宋体" w:hAnsi="宋体" w:cs="宋体"/>
          <w:szCs w:val="21"/>
          <w:lang w:val="zh-CN"/>
        </w:rPr>
      </w:r>
      <w:r/>
    </w:p>
    <w:p>
      <w:pPr>
        <w:pStyle w:val="1484"/>
        <w:ind w:firstLine="420"/>
        <w:spacing w:line="360" w:lineRule="auto"/>
        <w:rPr>
          <w:rFonts w:hint="eastAsia" w:ascii="宋体" w:hAnsi="宋体" w:cs="宋体"/>
          <w:szCs w:val="21"/>
          <w:lang w:val="zh-CN"/>
        </w:rPr>
      </w:pPr>
      <w:r/>
      <w:bookmarkStart w:id="54" w:name="_Toc6952"/>
      <w:r/>
      <w:bookmarkStart w:id="55" w:name="_Toc30765"/>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54"/>
      <w:r/>
      <w:bookmarkEnd w:id="55"/>
      <w:r>
        <w:rPr>
          <w:rFonts w:hint="eastAsia" w:ascii="宋体" w:hAnsi="宋体" w:cs="宋体"/>
          <w:szCs w:val="21"/>
          <w:lang w:val="zh-CN"/>
        </w:rPr>
      </w:r>
      <w:r/>
    </w:p>
    <w:p>
      <w:pPr>
        <w:pStyle w:val="1484"/>
        <w:ind w:firstLine="420"/>
        <w:spacing w:line="360" w:lineRule="auto"/>
        <w:rPr>
          <w:rFonts w:hint="eastAsia" w:ascii="宋体" w:hAnsi="宋体" w:cs="宋体"/>
          <w:szCs w:val="21"/>
          <w:lang w:val="zh-CN"/>
        </w:rPr>
      </w:pPr>
      <w:r/>
      <w:bookmarkStart w:id="56" w:name="_Toc21427"/>
      <w:r/>
      <w:bookmarkStart w:id="57" w:name="_Toc22036"/>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56"/>
      <w:r/>
      <w:bookmarkEnd w:id="57"/>
      <w:r>
        <w:rPr>
          <w:rFonts w:hint="eastAsia" w:ascii="宋体" w:hAnsi="宋体" w:cs="宋体"/>
          <w:szCs w:val="21"/>
          <w:lang w:val="zh-CN"/>
        </w:rPr>
      </w:r>
      <w:r/>
    </w:p>
    <w:p>
      <w:pPr>
        <w:pStyle w:val="1484"/>
        <w:ind w:firstLine="420"/>
        <w:spacing w:line="360" w:lineRule="auto"/>
        <w:rPr>
          <w:rFonts w:hint="eastAsia" w:ascii="宋体" w:hAnsi="宋体" w:cs="宋体"/>
          <w:szCs w:val="21"/>
          <w:lang w:val="zh-CN"/>
        </w:rPr>
      </w:pPr>
      <w:r/>
      <w:bookmarkStart w:id="58" w:name="_Toc13564"/>
      <w:r/>
      <w:bookmarkStart w:id="59" w:name="_Toc29291"/>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58"/>
      <w:r/>
      <w:bookmarkEnd w:id="59"/>
      <w:r>
        <w:rPr>
          <w:rFonts w:hint="eastAsia" w:ascii="宋体" w:hAnsi="宋体" w:cs="宋体"/>
          <w:szCs w:val="21"/>
          <w:lang w:val="zh-CN"/>
        </w:rPr>
      </w:r>
      <w:r/>
    </w:p>
    <w:p>
      <w:pPr>
        <w:pStyle w:val="1484"/>
        <w:ind w:firstLine="420"/>
        <w:spacing w:line="360" w:lineRule="auto"/>
        <w:rPr>
          <w:rFonts w:hint="eastAsia" w:ascii="宋体" w:hAnsi="宋体" w:cs="宋体"/>
          <w:bCs/>
          <w:szCs w:val="21"/>
        </w:rPr>
        <w:outlineLvl w:val="2"/>
      </w:pPr>
      <w:r/>
      <w:bookmarkStart w:id="60" w:name="_Toc2242"/>
      <w:r/>
      <w:bookmarkStart w:id="61" w:name="_Toc14793"/>
      <w:r/>
      <w:bookmarkStart w:id="62" w:name="_Toc28481"/>
      <w:r/>
      <w:bookmarkStart w:id="63" w:name="_Toc14828"/>
      <w:r>
        <w:rPr>
          <w:rFonts w:hint="eastAsia" w:ascii="宋体" w:hAnsi="宋体" w:cs="宋体"/>
          <w:szCs w:val="21"/>
          <w:lang w:val="zh-CN"/>
        </w:rPr>
        <w:t xml:space="preserve">具体内容详见第三章 评标标准。</w:t>
      </w:r>
      <w:bookmarkEnd w:id="60"/>
      <w:r/>
      <w:bookmarkEnd w:id="61"/>
      <w:r/>
      <w:bookmarkEnd w:id="62"/>
      <w:r/>
      <w:bookmarkEnd w:id="63"/>
      <w:r>
        <w:rPr>
          <w:rFonts w:hint="eastAsia" w:ascii="宋体" w:hAnsi="宋体" w:cs="宋体"/>
          <w:bCs/>
          <w:szCs w:val="21"/>
        </w:rPr>
      </w:r>
      <w:r/>
    </w:p>
    <w:p>
      <w:pPr>
        <w:pStyle w:val="1484"/>
        <w:ind w:firstLine="420"/>
        <w:spacing w:line="360" w:lineRule="auto"/>
        <w:rPr>
          <w:rFonts w:hint="eastAsia" w:ascii="宋体" w:hAnsi="宋体" w:cs="宋体"/>
          <w:b/>
          <w:szCs w:val="21"/>
          <w:lang w:val="zh-CN"/>
        </w:rPr>
        <w:outlineLvl w:val="2"/>
      </w:pPr>
      <w:r/>
      <w:bookmarkStart w:id="64" w:name="_Toc462564067"/>
      <w:r/>
      <w:bookmarkStart w:id="65" w:name="_Toc513029207"/>
      <w:r/>
      <w:bookmarkStart w:id="66" w:name="_Toc16938523"/>
      <w:r/>
      <w:bookmarkStart w:id="67" w:name="_Toc13991"/>
      <w:r/>
      <w:bookmarkStart w:id="68" w:name="_Toc4759"/>
      <w:r/>
      <w:bookmarkStart w:id="69" w:name="_Toc20823279"/>
      <w:r/>
      <w:bookmarkStart w:id="70" w:name="_Toc17711"/>
      <w:r/>
      <w:bookmarkStart w:id="71" w:name="_Toc15743"/>
      <w:r>
        <w:rPr>
          <w:rFonts w:hint="eastAsia" w:ascii="宋体" w:hAnsi="宋体" w:cs="宋体"/>
          <w:b/>
          <w:bCs/>
          <w:color w:val="000000"/>
          <w:szCs w:val="21"/>
          <w:lang w:val="zh-CN"/>
        </w:rPr>
        <w:t xml:space="preserve">4.</w:t>
      </w:r>
      <w:r>
        <w:rPr>
          <w:rFonts w:hint="eastAsia" w:ascii="宋体" w:hAnsi="宋体" w:cs="宋体"/>
          <w:b/>
          <w:szCs w:val="21"/>
          <w:lang w:val="zh-CN"/>
        </w:rPr>
        <w:t xml:space="preserve">投标费用</w:t>
      </w:r>
      <w:bookmarkEnd w:id="64"/>
      <w:r/>
      <w:bookmarkEnd w:id="65"/>
      <w:r/>
      <w:bookmarkEnd w:id="66"/>
      <w:r/>
      <w:bookmarkEnd w:id="67"/>
      <w:r/>
      <w:bookmarkEnd w:id="68"/>
      <w:r/>
      <w:bookmarkEnd w:id="69"/>
      <w:r/>
      <w:bookmarkEnd w:id="70"/>
      <w:r/>
      <w:bookmarkEnd w:id="71"/>
      <w:r>
        <w:rPr>
          <w:rFonts w:hint="eastAsia" w:ascii="宋体" w:hAnsi="宋体" w:cs="宋体"/>
          <w:b/>
          <w:szCs w:val="21"/>
          <w:lang w:val="zh-CN"/>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4.1 供应商应自行承担所有与参加投标有关的费用，无论采购结果如何，代理机构和采购人在任何情况下均无义务和责任承担这些费用。</w:t>
      </w:r>
      <w:r>
        <w:rPr>
          <w:rFonts w:hint="eastAsia" w:ascii="宋体" w:hAnsi="宋体" w:cs="宋体"/>
          <w:szCs w:val="21"/>
        </w:rPr>
      </w:r>
      <w:r/>
    </w:p>
    <w:p>
      <w:pPr>
        <w:pStyle w:val="1484"/>
        <w:ind w:firstLine="420"/>
        <w:spacing w:line="360" w:lineRule="auto"/>
        <w:rPr>
          <w:rFonts w:hint="eastAsia" w:ascii="宋体" w:hAnsi="宋体" w:cs="宋体"/>
          <w:b/>
          <w:szCs w:val="21"/>
          <w:lang w:val="zh-CN"/>
        </w:rPr>
        <w:outlineLvl w:val="2"/>
      </w:pPr>
      <w:r/>
      <w:bookmarkStart w:id="72" w:name="_Toc344"/>
      <w:r/>
      <w:bookmarkStart w:id="73" w:name="_Toc20613"/>
      <w:r/>
      <w:bookmarkStart w:id="74" w:name="_Toc10708"/>
      <w:r>
        <w:rPr>
          <w:rFonts w:hint="eastAsia" w:ascii="宋体" w:hAnsi="宋体" w:cs="宋体"/>
          <w:b/>
          <w:bCs/>
          <w:color w:val="000000"/>
          <w:szCs w:val="21"/>
          <w:lang w:val="zh-CN"/>
        </w:rPr>
        <w:t xml:space="preserve">5.</w:t>
      </w:r>
      <w:r>
        <w:rPr>
          <w:rFonts w:hint="eastAsia" w:ascii="宋体" w:hAnsi="宋体" w:cs="宋体"/>
          <w:b/>
          <w:szCs w:val="21"/>
          <w:lang w:val="zh-CN"/>
        </w:rPr>
        <w:t xml:space="preserve">招标文件的约束力</w:t>
      </w:r>
      <w:bookmarkEnd w:id="72"/>
      <w:r/>
      <w:bookmarkEnd w:id="73"/>
      <w:r/>
      <w:bookmarkEnd w:id="74"/>
      <w:r>
        <w:rPr>
          <w:rFonts w:hint="eastAsia" w:ascii="宋体" w:hAnsi="宋体" w:cs="宋体"/>
          <w:b/>
          <w:szCs w:val="21"/>
          <w:lang w:val="zh-CN"/>
        </w:rPr>
      </w:r>
      <w:r/>
    </w:p>
    <w:p>
      <w:pPr>
        <w:pStyle w:val="1484"/>
        <w:ind w:firstLine="420"/>
        <w:spacing w:line="360" w:lineRule="auto"/>
        <w:rPr>
          <w:rFonts w:hint="eastAsia" w:ascii="宋体" w:hAnsi="宋体" w:cs="宋体"/>
          <w:color w:val="000000"/>
          <w:szCs w:val="21"/>
        </w:rPr>
      </w:pPr>
      <w:r>
        <w:rPr>
          <w:rFonts w:hint="eastAsia" w:ascii="宋体" w:hAnsi="宋体" w:cs="宋体"/>
          <w:color w:val="000000"/>
          <w:szCs w:val="21"/>
        </w:rPr>
        <w:t xml:space="preserve">5.1 供应商一旦参加本项目采购活动，即被认为接受了本招标文件的规定和约束。</w:t>
      </w:r>
      <w:r>
        <w:rPr>
          <w:rFonts w:hint="eastAsia" w:ascii="宋体" w:hAnsi="宋体" w:cs="宋体"/>
          <w:color w:val="000000"/>
          <w:szCs w:val="21"/>
        </w:rPr>
      </w:r>
      <w:r/>
    </w:p>
    <w:p>
      <w:pPr>
        <w:pStyle w:val="1484"/>
        <w:ind w:firstLine="420"/>
        <w:spacing w:line="360" w:lineRule="auto"/>
        <w:shd w:val="clear" w:color="auto" w:fill="ffffff"/>
        <w:widowControl/>
        <w:rPr>
          <w:rFonts w:hint="eastAsia" w:ascii="宋体" w:hAnsi="宋体" w:cs="宋体"/>
          <w:b/>
          <w:bCs/>
          <w:color w:val="000000"/>
          <w:szCs w:val="21"/>
        </w:rPr>
        <w:outlineLvl w:val="1"/>
      </w:pPr>
      <w:r/>
      <w:bookmarkStart w:id="75" w:name="_Toc15606"/>
      <w:r/>
      <w:bookmarkStart w:id="76" w:name="_Toc513029209"/>
      <w:r/>
      <w:bookmarkStart w:id="77" w:name="_Toc16938525"/>
      <w:r/>
      <w:bookmarkStart w:id="78" w:name="_Toc120614215"/>
      <w:r/>
      <w:bookmarkStart w:id="79" w:name="_Toc20823281"/>
      <w:r/>
      <w:bookmarkStart w:id="80" w:name="_Toc15035"/>
      <w:r/>
      <w:bookmarkStart w:id="81" w:name="_Toc5534"/>
      <w:r>
        <w:rPr>
          <w:rFonts w:hint="eastAsia" w:ascii="宋体" w:hAnsi="宋体" w:cs="宋体"/>
          <w:b/>
          <w:bCs/>
          <w:color w:val="000000"/>
          <w:szCs w:val="21"/>
        </w:rPr>
        <w:t xml:space="preserve">二、招标文件</w:t>
      </w:r>
      <w:bookmarkEnd w:id="75"/>
      <w:r/>
      <w:bookmarkEnd w:id="76"/>
      <w:r/>
      <w:bookmarkEnd w:id="77"/>
      <w:r/>
      <w:bookmarkEnd w:id="78"/>
      <w:r/>
      <w:bookmarkEnd w:id="79"/>
      <w:r/>
      <w:bookmarkEnd w:id="80"/>
      <w:r/>
      <w:bookmarkEnd w:id="81"/>
      <w:r>
        <w:rPr>
          <w:rFonts w:hint="eastAsia" w:ascii="宋体" w:hAnsi="宋体" w:cs="宋体"/>
          <w:b/>
          <w:bCs/>
          <w:color w:val="000000"/>
          <w:szCs w:val="21"/>
        </w:rPr>
      </w:r>
      <w:r/>
    </w:p>
    <w:p>
      <w:pPr>
        <w:pStyle w:val="1484"/>
        <w:ind w:firstLine="420"/>
        <w:spacing w:line="360" w:lineRule="auto"/>
        <w:rPr>
          <w:rFonts w:hint="eastAsia" w:ascii="宋体" w:hAnsi="宋体" w:cs="宋体"/>
          <w:b/>
          <w:szCs w:val="21"/>
          <w:lang w:val="zh-CN"/>
        </w:rPr>
        <w:outlineLvl w:val="2"/>
      </w:pPr>
      <w:r/>
      <w:bookmarkStart w:id="82" w:name="_Toc31631"/>
      <w:r/>
      <w:bookmarkStart w:id="83" w:name="_Toc513029210"/>
      <w:r/>
      <w:bookmarkStart w:id="84" w:name="_Toc20823282"/>
      <w:r/>
      <w:bookmarkStart w:id="85" w:name="_Toc16938526"/>
      <w:r/>
      <w:bookmarkStart w:id="86" w:name="_Toc16370"/>
      <w:r/>
      <w:bookmarkStart w:id="87" w:name="_Toc15890"/>
      <w:r>
        <w:rPr>
          <w:rFonts w:hint="eastAsia" w:ascii="宋体" w:hAnsi="宋体" w:cs="宋体"/>
          <w:b/>
          <w:bCs/>
          <w:color w:val="000000"/>
          <w:szCs w:val="21"/>
          <w:lang w:val="zh-CN"/>
        </w:rPr>
        <w:t xml:space="preserve">6.</w:t>
      </w:r>
      <w:r>
        <w:rPr>
          <w:rFonts w:hint="eastAsia" w:ascii="宋体" w:hAnsi="宋体" w:cs="宋体"/>
          <w:b/>
          <w:szCs w:val="21"/>
          <w:lang w:val="zh-CN"/>
        </w:rPr>
        <w:t xml:space="preserve">招标文件构成</w:t>
      </w:r>
      <w:bookmarkEnd w:id="82"/>
      <w:r/>
      <w:bookmarkEnd w:id="83"/>
      <w:r/>
      <w:bookmarkEnd w:id="84"/>
      <w:r/>
      <w:bookmarkEnd w:id="85"/>
      <w:r/>
      <w:bookmarkEnd w:id="86"/>
      <w:r/>
      <w:bookmarkEnd w:id="87"/>
      <w:r>
        <w:rPr>
          <w:rFonts w:hint="eastAsia" w:ascii="宋体" w:hAnsi="宋体" w:cs="宋体"/>
          <w:b/>
          <w:szCs w:val="21"/>
          <w:lang w:val="zh-CN"/>
        </w:rPr>
      </w:r>
      <w:r/>
    </w:p>
    <w:p>
      <w:pPr>
        <w:pStyle w:val="1484"/>
        <w:ind w:firstLine="420"/>
        <w:spacing w:line="360" w:lineRule="auto"/>
        <w:rPr>
          <w:rFonts w:hint="eastAsia" w:ascii="宋体" w:hAnsi="宋体" w:cs="宋体"/>
          <w:color w:val="000000"/>
          <w:szCs w:val="21"/>
        </w:rPr>
      </w:pPr>
      <w:r>
        <w:rPr>
          <w:rFonts w:hint="eastAsia" w:ascii="宋体" w:hAnsi="宋体" w:cs="宋体"/>
          <w:color w:val="000000"/>
          <w:szCs w:val="21"/>
        </w:rPr>
        <w:t xml:space="preserve">6.1 招标文件由以下部分组成：</w:t>
      </w:r>
      <w:r>
        <w:rPr>
          <w:rFonts w:hint="eastAsia" w:ascii="宋体" w:hAnsi="宋体" w:cs="宋体"/>
          <w:color w:val="000000"/>
          <w:szCs w:val="21"/>
        </w:rPr>
      </w:r>
      <w:r/>
    </w:p>
    <w:p>
      <w:pPr>
        <w:pStyle w:val="148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第一章  招标公告</w:t>
      </w:r>
      <w:r>
        <w:rPr>
          <w:rFonts w:hint="eastAsia" w:ascii="宋体" w:hAnsi="宋体" w:cs="宋体"/>
          <w:color w:val="000000"/>
          <w:szCs w:val="21"/>
        </w:rPr>
      </w:r>
      <w:r/>
    </w:p>
    <w:p>
      <w:pPr>
        <w:pStyle w:val="148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第二章  投标人须知</w:t>
      </w:r>
      <w:r>
        <w:rPr>
          <w:rFonts w:hint="eastAsia" w:ascii="宋体" w:hAnsi="宋体" w:cs="宋体"/>
          <w:color w:val="000000"/>
          <w:szCs w:val="21"/>
        </w:rPr>
      </w:r>
      <w:r/>
    </w:p>
    <w:p>
      <w:pPr>
        <w:pStyle w:val="148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第三章  评标标准</w:t>
      </w:r>
      <w:r>
        <w:rPr>
          <w:rFonts w:hint="eastAsia" w:ascii="宋体" w:hAnsi="宋体" w:cs="宋体"/>
          <w:color w:val="000000"/>
          <w:szCs w:val="21"/>
        </w:rPr>
      </w:r>
      <w:r/>
    </w:p>
    <w:p>
      <w:pPr>
        <w:pStyle w:val="148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第四章  招标技术规格及要求</w:t>
      </w:r>
      <w:r>
        <w:rPr>
          <w:rFonts w:hint="eastAsia" w:ascii="宋体" w:hAnsi="宋体" w:cs="宋体"/>
          <w:color w:val="000000"/>
          <w:szCs w:val="21"/>
        </w:rPr>
      </w:r>
      <w:r/>
    </w:p>
    <w:p>
      <w:pPr>
        <w:pStyle w:val="148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第五章  拟签订的合同文本</w:t>
      </w:r>
      <w:r>
        <w:rPr>
          <w:rFonts w:hint="eastAsia" w:ascii="宋体" w:hAnsi="宋体" w:cs="宋体"/>
          <w:color w:val="000000"/>
          <w:szCs w:val="21"/>
        </w:rPr>
      </w:r>
      <w:r/>
    </w:p>
    <w:p>
      <w:pPr>
        <w:pStyle w:val="1484"/>
        <w:ind w:firstLine="840"/>
        <w:spacing w:line="360" w:lineRule="auto"/>
        <w:rPr>
          <w:rFonts w:hint="eastAsia" w:ascii="宋体" w:hAnsi="宋体" w:cs="宋体"/>
          <w:color w:val="000000"/>
          <w:szCs w:val="21"/>
        </w:rPr>
      </w:pPr>
      <w:r>
        <w:rPr>
          <w:rFonts w:hint="eastAsia" w:ascii="宋体" w:hAnsi="宋体" w:cs="宋体"/>
          <w:color w:val="000000"/>
          <w:szCs w:val="21"/>
        </w:rPr>
        <w:t xml:space="preserve">第六章  投标文件格式及附件</w:t>
      </w:r>
      <w:r>
        <w:rPr>
          <w:rFonts w:hint="eastAsia" w:ascii="宋体" w:hAnsi="宋体" w:cs="宋体"/>
          <w:color w:val="000000"/>
          <w:szCs w:val="21"/>
        </w:rPr>
      </w:r>
      <w:r/>
    </w:p>
    <w:p>
      <w:pPr>
        <w:pStyle w:val="1484"/>
        <w:ind w:firstLine="420"/>
        <w:spacing w:line="360" w:lineRule="auto"/>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b/>
          <w:bCs/>
          <w:color w:val="000000"/>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cs="宋体"/>
          <w:color w:val="000000"/>
          <w:szCs w:val="21"/>
        </w:rPr>
        <w:t xml:space="preserve">。</w:t>
      </w:r>
      <w:r>
        <w:rPr>
          <w:rFonts w:hint="eastAsia" w:ascii="宋体" w:hAnsi="宋体" w:cs="宋体"/>
          <w:color w:val="000000"/>
          <w:szCs w:val="21"/>
        </w:rPr>
      </w:r>
      <w:r/>
    </w:p>
    <w:p>
      <w:pPr>
        <w:pStyle w:val="1484"/>
        <w:ind w:firstLine="420"/>
        <w:spacing w:line="360" w:lineRule="auto"/>
        <w:rPr>
          <w:rFonts w:hint="eastAsia" w:ascii="宋体" w:hAnsi="宋体" w:cs="宋体"/>
          <w:color w:val="000000"/>
          <w:szCs w:val="21"/>
        </w:rPr>
      </w:pPr>
      <w:r>
        <w:rPr>
          <w:rFonts w:hint="eastAsia" w:ascii="宋体" w:hAnsi="宋体" w:cs="宋体"/>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cs="宋体"/>
          <w:color w:val="000000"/>
          <w:szCs w:val="21"/>
        </w:rPr>
      </w:r>
      <w:r/>
    </w:p>
    <w:p>
      <w:pPr>
        <w:pStyle w:val="1484"/>
        <w:ind w:firstLine="420"/>
        <w:spacing w:line="360" w:lineRule="auto"/>
        <w:rPr>
          <w:rFonts w:hint="eastAsia" w:ascii="宋体" w:hAnsi="宋体" w:cs="宋体"/>
          <w:color w:val="000000"/>
          <w:szCs w:val="21"/>
        </w:rPr>
      </w:pPr>
      <w:r>
        <w:rPr>
          <w:rFonts w:hint="eastAsia" w:ascii="宋体" w:hAnsi="宋体" w:cs="宋体"/>
          <w:color w:val="000000"/>
          <w:szCs w:val="21"/>
        </w:rPr>
        <w:t xml:space="preserve">6.4供应商被视为充分熟悉本招标项目的各种情况以及与履行合同有关的一切其他情况。</w:t>
      </w:r>
      <w:r>
        <w:rPr>
          <w:rFonts w:hint="eastAsia" w:ascii="宋体" w:hAnsi="宋体" w:cs="宋体"/>
          <w:color w:val="000000"/>
          <w:szCs w:val="21"/>
        </w:rPr>
      </w:r>
      <w:r/>
    </w:p>
    <w:p>
      <w:pPr>
        <w:pStyle w:val="1487"/>
        <w:ind w:left="0" w:firstLine="422"/>
        <w:jc w:val="both"/>
        <w:spacing w:line="360" w:lineRule="auto"/>
        <w:tabs>
          <w:tab w:val="left" w:pos="480" w:leader="none"/>
        </w:tabs>
        <w:rPr>
          <w:rFonts w:hint="eastAsia" w:ascii="宋体" w:hAnsi="宋体" w:eastAsia="宋体" w:cs="宋体"/>
          <w:b/>
          <w:bCs/>
          <w:color w:val="000000"/>
          <w:sz w:val="21"/>
          <w:szCs w:val="21"/>
        </w:rPr>
      </w:pPr>
      <w:r/>
      <w:bookmarkStart w:id="88" w:name="_Toc15040"/>
      <w:r/>
      <w:bookmarkStart w:id="89" w:name="_Toc14415"/>
      <w:r/>
      <w:bookmarkStart w:id="90" w:name="_Toc18094"/>
      <w:r>
        <w:rPr>
          <w:rFonts w:hint="eastAsia" w:ascii="宋体" w:hAnsi="宋体" w:eastAsia="宋体" w:cs="宋体"/>
          <w:b/>
          <w:bCs/>
          <w:color w:val="000000"/>
          <w:sz w:val="21"/>
          <w:szCs w:val="21"/>
        </w:rPr>
        <w:t xml:space="preserve">7.招标文件的澄清、补充或修改</w:t>
      </w:r>
      <w:bookmarkEnd w:id="88"/>
      <w:r/>
      <w:bookmarkEnd w:id="89"/>
      <w:r/>
      <w:bookmarkEnd w:id="90"/>
      <w:r>
        <w:rPr>
          <w:rFonts w:hint="eastAsia" w:ascii="宋体" w:hAnsi="宋体" w:eastAsia="宋体" w:cs="宋体"/>
          <w:b/>
          <w:bCs/>
          <w:color w:val="000000"/>
          <w:sz w:val="21"/>
          <w:szCs w:val="21"/>
        </w:rPr>
      </w:r>
      <w:r/>
    </w:p>
    <w:p>
      <w:pPr>
        <w:pStyle w:val="1484"/>
        <w:ind w:firstLine="441"/>
        <w:spacing w:line="360" w:lineRule="auto"/>
        <w:rPr>
          <w:rFonts w:hint="eastAsia" w:ascii="宋体" w:hAnsi="宋体" w:cs="宋体"/>
          <w:szCs w:val="21"/>
        </w:rPr>
      </w:pPr>
      <w:r/>
      <w:bookmarkStart w:id="91" w:name="_Toc29128"/>
      <w:r>
        <w:rPr>
          <w:rFonts w:hint="eastAsia" w:ascii="宋体" w:hAnsi="宋体" w:cs="宋体"/>
          <w:color w:val="000000"/>
          <w:szCs w:val="21"/>
        </w:rPr>
        <w:t xml:space="preserve">7.1</w:t>
      </w:r>
      <w:r>
        <w:rPr>
          <w:rFonts w:hint="eastAsia" w:ascii="宋体" w:hAnsi="宋体" w:cs="宋体"/>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cs="宋体"/>
          <w:szCs w:val="21"/>
        </w:rPr>
      </w:r>
      <w:r/>
    </w:p>
    <w:p>
      <w:pPr>
        <w:pStyle w:val="1484"/>
        <w:ind w:firstLine="441"/>
        <w:spacing w:line="360" w:lineRule="auto"/>
        <w:rPr>
          <w:rFonts w:hint="eastAsia" w:ascii="宋体" w:hAnsi="宋体" w:cs="宋体"/>
          <w:szCs w:val="21"/>
        </w:rPr>
      </w:pPr>
      <w:r>
        <w:rPr>
          <w:rFonts w:hint="eastAsia" w:ascii="宋体" w:hAnsi="宋体" w:cs="宋体"/>
          <w:color w:val="000000"/>
          <w:szCs w:val="21"/>
        </w:rPr>
        <w:t xml:space="preserve">7.2 </w:t>
      </w:r>
      <w:r>
        <w:rPr>
          <w:rFonts w:hint="eastAsia" w:ascii="宋体" w:hAnsi="宋体" w:cs="宋体"/>
          <w:szCs w:val="21"/>
        </w:rPr>
        <w:t xml:space="preserve">采购代理机构可对已发出的招标文件用更正公告的方式进行必要的澄清或者修改，并以书面形式通知所有获取文件的供应商。</w:t>
      </w:r>
      <w:r>
        <w:rPr>
          <w:rFonts w:hint="eastAsia" w:ascii="宋体" w:hAnsi="宋体" w:cs="宋体"/>
          <w:szCs w:val="21"/>
        </w:rPr>
      </w:r>
      <w:r/>
    </w:p>
    <w:p>
      <w:pPr>
        <w:pStyle w:val="1484"/>
        <w:ind w:firstLine="441"/>
        <w:spacing w:line="360" w:lineRule="auto"/>
        <w:rPr>
          <w:rFonts w:hint="eastAsia" w:ascii="宋体" w:hAnsi="宋体" w:cs="宋体"/>
          <w:szCs w:val="21"/>
        </w:rPr>
      </w:pPr>
      <w:r>
        <w:rPr>
          <w:rFonts w:hint="eastAsia" w:ascii="宋体" w:hAnsi="宋体" w:cs="宋体"/>
          <w:color w:val="000000"/>
          <w:szCs w:val="21"/>
        </w:rPr>
        <w:t xml:space="preserve">7.3 </w:t>
      </w:r>
      <w:r>
        <w:rPr>
          <w:rFonts w:hint="eastAsia" w:ascii="宋体" w:hAnsi="宋体" w:cs="宋体"/>
          <w:szCs w:val="21"/>
        </w:rPr>
        <w:t xml:space="preserve">采购代理机构发出的以上</w:t>
      </w:r>
      <w:r>
        <w:rPr>
          <w:rFonts w:hint="eastAsia" w:ascii="宋体" w:hAnsi="宋体" w:cs="宋体"/>
          <w:bCs/>
          <w:szCs w:val="21"/>
        </w:rPr>
        <w:t xml:space="preserve">澄清或修改的内容</w:t>
      </w:r>
      <w:r>
        <w:rPr>
          <w:rFonts w:hint="eastAsia" w:ascii="宋体" w:hAnsi="宋体" w:cs="宋体"/>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cs="宋体"/>
          <w:szCs w:val="21"/>
        </w:rPr>
      </w:r>
      <w:r/>
    </w:p>
    <w:p>
      <w:pPr>
        <w:pStyle w:val="1484"/>
        <w:ind w:firstLine="441"/>
        <w:spacing w:line="360" w:lineRule="auto"/>
        <w:rPr>
          <w:rFonts w:hint="eastAsia" w:ascii="宋体" w:hAnsi="宋体" w:cs="宋体"/>
          <w:bCs/>
          <w:szCs w:val="21"/>
        </w:rPr>
      </w:pPr>
      <w:r>
        <w:rPr>
          <w:rFonts w:hint="eastAsia" w:ascii="宋体" w:hAnsi="宋体" w:cs="宋体"/>
          <w:bCs/>
          <w:szCs w:val="21"/>
        </w:rPr>
        <w:t xml:space="preserve">7.4 当招标文件与以上澄清或修改公告的内容相互矛盾时，以采购代理机构最后发出的澄清或修改为准。 </w:t>
      </w:r>
      <w:r>
        <w:rPr>
          <w:rFonts w:hint="eastAsia" w:ascii="宋体" w:hAnsi="宋体" w:cs="宋体"/>
          <w:bCs/>
          <w:szCs w:val="21"/>
        </w:rPr>
      </w:r>
      <w:r/>
    </w:p>
    <w:p>
      <w:pPr>
        <w:pStyle w:val="1484"/>
        <w:ind w:firstLine="441"/>
        <w:spacing w:line="360" w:lineRule="auto"/>
        <w:rPr>
          <w:rFonts w:hint="eastAsia" w:ascii="宋体" w:hAnsi="宋体" w:cs="宋体"/>
          <w:szCs w:val="21"/>
        </w:rPr>
      </w:pPr>
      <w:r>
        <w:rPr>
          <w:rFonts w:hint="eastAsia" w:ascii="宋体" w:hAnsi="宋体" w:cs="宋体"/>
          <w:color w:val="000000"/>
          <w:szCs w:val="21"/>
        </w:rPr>
        <w:t xml:space="preserve">7.5</w:t>
      </w:r>
      <w:r>
        <w:rPr>
          <w:rFonts w:hint="eastAsia" w:ascii="宋体" w:hAnsi="宋体" w:cs="宋体"/>
          <w:bCs/>
          <w:szCs w:val="21"/>
        </w:rPr>
        <w:t xml:space="preserve">为使供应商有足够的时间按招标文件的澄清或修改要求修正投标文件，</w:t>
      </w:r>
      <w:r>
        <w:rPr>
          <w:rFonts w:hint="eastAsia" w:ascii="宋体" w:hAnsi="宋体" w:cs="宋体"/>
          <w:szCs w:val="21"/>
        </w:rPr>
        <w:t xml:space="preserve">采购代理机构有权决定推迟投标截止时间和开标时间，并按7.2条规定的方式通知供应商。</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b/>
          <w:bCs/>
          <w:szCs w:val="21"/>
        </w:rPr>
        <w:outlineLvl w:val="1"/>
      </w:pPr>
      <w:r/>
      <w:bookmarkStart w:id="92" w:name="_Toc26883"/>
      <w:r/>
      <w:bookmarkStart w:id="93" w:name="_Toc5792"/>
      <w:r>
        <w:rPr>
          <w:rFonts w:hint="eastAsia" w:ascii="宋体" w:hAnsi="宋体" w:cs="宋体"/>
          <w:b/>
          <w:bCs/>
          <w:szCs w:val="21"/>
        </w:rPr>
        <w:t xml:space="preserve">三、投标文件的编制</w:t>
      </w:r>
      <w:bookmarkEnd w:id="91"/>
      <w:r/>
      <w:bookmarkEnd w:id="92"/>
      <w:r/>
      <w:bookmarkEnd w:id="93"/>
      <w:r>
        <w:rPr>
          <w:rFonts w:hint="eastAsia" w:ascii="宋体" w:hAnsi="宋体" w:cs="宋体"/>
          <w:b/>
          <w:bCs/>
          <w:szCs w:val="21"/>
        </w:rPr>
      </w:r>
      <w:r/>
    </w:p>
    <w:p>
      <w:pPr>
        <w:pStyle w:val="1487"/>
        <w:ind w:left="0" w:firstLine="422"/>
        <w:jc w:val="both"/>
        <w:spacing w:line="360" w:lineRule="auto"/>
        <w:tabs>
          <w:tab w:val="left" w:pos="480" w:leader="none"/>
        </w:tabs>
        <w:rPr>
          <w:rFonts w:hint="eastAsia" w:ascii="宋体" w:hAnsi="宋体" w:eastAsia="宋体" w:cs="宋体"/>
          <w:b/>
          <w:bCs/>
          <w:sz w:val="21"/>
          <w:szCs w:val="21"/>
        </w:rPr>
      </w:pPr>
      <w:r/>
      <w:bookmarkStart w:id="94" w:name="_Toc28127"/>
      <w:r/>
      <w:bookmarkStart w:id="95" w:name="_Toc17513"/>
      <w:r/>
      <w:bookmarkStart w:id="96" w:name="_Toc23140"/>
      <w:r>
        <w:rPr>
          <w:rFonts w:hint="eastAsia" w:ascii="宋体" w:hAnsi="宋体" w:eastAsia="宋体" w:cs="宋体"/>
          <w:b/>
          <w:bCs/>
          <w:sz w:val="21"/>
          <w:szCs w:val="21"/>
        </w:rPr>
        <w:t xml:space="preserve">8.</w:t>
      </w:r>
      <w:bookmarkEnd w:id="94"/>
      <w:r>
        <w:rPr>
          <w:rFonts w:hint="eastAsia" w:ascii="宋体" w:hAnsi="宋体" w:eastAsia="宋体" w:cs="宋体"/>
          <w:b/>
          <w:bCs/>
          <w:sz w:val="21"/>
          <w:szCs w:val="21"/>
        </w:rPr>
        <w:t xml:space="preserve">投标文件的语言、计量单位、货币</w:t>
      </w:r>
      <w:bookmarkEnd w:id="95"/>
      <w:r/>
      <w:bookmarkEnd w:id="96"/>
      <w:r>
        <w:rPr>
          <w:rFonts w:hint="eastAsia" w:ascii="宋体" w:hAnsi="宋体" w:eastAsia="宋体" w:cs="宋体"/>
          <w:b/>
          <w:bCs/>
          <w:sz w:val="21"/>
          <w:szCs w:val="21"/>
        </w:rPr>
      </w:r>
      <w:r/>
    </w:p>
    <w:p>
      <w:pPr>
        <w:pStyle w:val="148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8.1 供应商提交的投标文件（包括技术文件和资料、图纸中的说明）以及</w:t>
      </w:r>
      <w:r>
        <w:rPr>
          <w:rFonts w:hint="eastAsia" w:ascii="宋体" w:hAnsi="宋体" w:cs="宋体"/>
          <w:color w:val="000000"/>
          <w:szCs w:val="21"/>
        </w:rPr>
        <w:t xml:space="preserve">供应商与采购代理机构之间</w:t>
      </w:r>
      <w:r>
        <w:rPr>
          <w:rFonts w:hint="eastAsia" w:ascii="宋体" w:hAnsi="宋体" w:cs="宋体"/>
          <w:szCs w:val="21"/>
        </w:rPr>
        <w:t xml:space="preserve">就有关投标的所有来往函电均应</w:t>
      </w:r>
      <w:r>
        <w:rPr>
          <w:rFonts w:hint="eastAsia" w:ascii="宋体" w:hAnsi="宋体" w:cs="宋体"/>
          <w:color w:val="000000"/>
          <w:szCs w:val="21"/>
        </w:rPr>
        <w:t xml:space="preserve">以简体中文书写。</w:t>
      </w:r>
      <w:r>
        <w:rPr>
          <w:rFonts w:hint="eastAsia" w:ascii="宋体" w:hAnsi="宋体" w:cs="宋体"/>
          <w:color w:val="000000"/>
          <w:szCs w:val="21"/>
        </w:rPr>
      </w:r>
      <w:r/>
    </w:p>
    <w:p>
      <w:pPr>
        <w:pStyle w:val="148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cs="宋体"/>
          <w:color w:val="000000"/>
          <w:szCs w:val="21"/>
        </w:rPr>
      </w:r>
      <w:r/>
    </w:p>
    <w:p>
      <w:pPr>
        <w:pStyle w:val="1484"/>
        <w:ind w:firstLine="420"/>
        <w:spacing w:line="360" w:lineRule="auto"/>
        <w:shd w:val="clear" w:color="auto" w:fill="ffffff"/>
        <w:widowControl/>
        <w:rPr>
          <w:rFonts w:hint="eastAsia" w:ascii="宋体" w:hAnsi="宋体" w:cs="宋体"/>
          <w:szCs w:val="21"/>
        </w:rPr>
      </w:pPr>
      <w:r/>
      <w:bookmarkStart w:id="97" w:name="_Toc19298"/>
      <w:r>
        <w:rPr>
          <w:rFonts w:hint="eastAsia" w:ascii="宋体" w:hAnsi="宋体" w:cs="宋体"/>
          <w:szCs w:val="21"/>
        </w:rPr>
        <w:t xml:space="preserve">8.3 除招标文件中有特殊要求外，招标文件中所使用的计量单位应为国家法定计量单位。</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8.4 本招标文件所表述的时间均为北京时间。</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8.5 </w:t>
      </w:r>
      <w:r>
        <w:rPr>
          <w:rFonts w:hint="eastAsia" w:ascii="宋体" w:hAnsi="宋体" w:cs="宋体"/>
          <w:b/>
          <w:bCs/>
          <w:szCs w:val="21"/>
        </w:rPr>
        <w:t xml:space="preserve">所有投标响应报价具体详见投标人须知前附表。</w:t>
      </w:r>
      <w:r>
        <w:rPr>
          <w:rFonts w:hint="eastAsia" w:ascii="宋体" w:hAnsi="宋体" w:cs="宋体"/>
          <w:color w:val="000000"/>
          <w:szCs w:val="21"/>
        </w:rPr>
      </w:r>
      <w:r/>
    </w:p>
    <w:p>
      <w:pPr>
        <w:pStyle w:val="1484"/>
        <w:ind w:firstLine="420"/>
        <w:spacing w:line="360" w:lineRule="auto"/>
        <w:rPr>
          <w:rFonts w:hint="eastAsia" w:ascii="宋体" w:hAnsi="宋体" w:cs="宋体"/>
          <w:b/>
          <w:szCs w:val="21"/>
          <w:lang w:val="zh-CN"/>
        </w:rPr>
        <w:outlineLvl w:val="2"/>
      </w:pPr>
      <w:r/>
      <w:bookmarkStart w:id="98" w:name="_Toc31000"/>
      <w:r/>
      <w:bookmarkStart w:id="99" w:name="_Toc30894"/>
      <w:r/>
      <w:bookmarkStart w:id="100" w:name="_Toc24957"/>
      <w:r>
        <w:rPr>
          <w:rFonts w:hint="eastAsia" w:ascii="宋体" w:hAnsi="宋体" w:cs="宋体"/>
          <w:b/>
          <w:bCs/>
          <w:color w:val="000000"/>
          <w:szCs w:val="21"/>
        </w:rPr>
        <w:t xml:space="preserve">9.</w:t>
      </w:r>
      <w:r>
        <w:rPr>
          <w:rFonts w:hint="eastAsia" w:ascii="宋体" w:hAnsi="宋体" w:cs="宋体"/>
          <w:b/>
          <w:szCs w:val="21"/>
          <w:lang w:val="zh-CN"/>
        </w:rPr>
        <w:t xml:space="preserve">联合体（</w:t>
      </w:r>
      <w:r>
        <w:rPr>
          <w:rFonts w:hint="eastAsia" w:ascii="宋体" w:hAnsi="宋体" w:cs="宋体"/>
          <w:b/>
          <w:bCs/>
          <w:szCs w:val="21"/>
        </w:rPr>
        <w:t xml:space="preserve">本项目不接受联合体投标</w:t>
      </w:r>
      <w:r>
        <w:rPr>
          <w:rFonts w:hint="eastAsia" w:ascii="宋体" w:hAnsi="宋体" w:cs="宋体"/>
          <w:b/>
          <w:szCs w:val="21"/>
          <w:lang w:val="zh-CN"/>
        </w:rPr>
        <w:t xml:space="preserve">）</w:t>
      </w:r>
      <w:bookmarkEnd w:id="98"/>
      <w:r/>
      <w:bookmarkEnd w:id="99"/>
      <w:r/>
      <w:bookmarkEnd w:id="100"/>
      <w:r>
        <w:rPr>
          <w:rFonts w:hint="eastAsia" w:ascii="宋体" w:hAnsi="宋体" w:cs="宋体"/>
          <w:b/>
          <w:szCs w:val="21"/>
          <w:lang w:val="zh-CN"/>
        </w:rPr>
      </w:r>
      <w:r/>
    </w:p>
    <w:p>
      <w:pPr>
        <w:pStyle w:val="1484"/>
        <w:ind w:firstLine="420"/>
        <w:spacing w:line="360" w:lineRule="auto"/>
        <w:rPr>
          <w:rFonts w:hint="eastAsia" w:ascii="宋体" w:hAnsi="宋体" w:cs="宋体"/>
          <w:color w:val="000000"/>
          <w:szCs w:val="21"/>
        </w:rPr>
      </w:pPr>
      <w:r>
        <w:rPr>
          <w:rFonts w:hint="eastAsia" w:ascii="宋体" w:hAnsi="宋体" w:cs="宋体"/>
          <w:szCs w:val="21"/>
        </w:rPr>
        <w:t xml:space="preserve">9.1</w:t>
      </w:r>
      <w:r>
        <w:rPr>
          <w:rFonts w:hint="eastAsia" w:ascii="宋体" w:hAnsi="宋体" w:cs="宋体"/>
          <w:color w:val="000000"/>
          <w:szCs w:val="21"/>
        </w:rPr>
        <w:t xml:space="preserve">两个以上的自然人、法人或者其他组织可以组成一个联合体，以一个供应商的身份共同参加政府采购。</w:t>
      </w:r>
      <w:r>
        <w:rPr>
          <w:rFonts w:hint="eastAsia" w:ascii="宋体" w:hAnsi="宋体" w:cs="宋体"/>
          <w:color w:val="000000"/>
          <w:szCs w:val="21"/>
        </w:rPr>
      </w:r>
      <w:r/>
    </w:p>
    <w:p>
      <w:pPr>
        <w:pStyle w:val="1484"/>
        <w:ind w:firstLine="420"/>
        <w:spacing w:line="360" w:lineRule="auto"/>
        <w:rPr>
          <w:rFonts w:hint="eastAsia" w:ascii="宋体" w:hAnsi="宋体" w:cs="宋体"/>
          <w:color w:val="000000"/>
          <w:szCs w:val="21"/>
        </w:rPr>
      </w:pPr>
      <w:r>
        <w:rPr>
          <w:rFonts w:hint="eastAsia" w:ascii="宋体" w:hAnsi="宋体" w:cs="宋体"/>
          <w:szCs w:val="21"/>
        </w:rPr>
        <w:t xml:space="preserve">9.2</w:t>
      </w:r>
      <w:r>
        <w:rPr>
          <w:rFonts w:hint="eastAsia" w:ascii="宋体" w:hAnsi="宋体" w:cs="宋体"/>
          <w:color w:val="000000"/>
          <w:szCs w:val="21"/>
        </w:rPr>
        <w:t xml:space="preserve">鼓励大中型企业和其他自然人、法人或者其他组织与小型、微型企业组成联合体共同参加非专门面向中小企业的政府采购活动。</w:t>
      </w:r>
      <w:r>
        <w:rPr>
          <w:rFonts w:hint="eastAsia" w:ascii="宋体" w:hAnsi="宋体" w:cs="宋体"/>
          <w:color w:val="000000"/>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9.3</w:t>
      </w:r>
      <w:r>
        <w:rPr>
          <w:rFonts w:hint="eastAsia" w:ascii="宋体" w:hAnsi="宋体" w:cs="宋体"/>
          <w:szCs w:val="21"/>
        </w:rPr>
        <w:t xml:space="preserve">以联合体形式参加采购的，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w:t>
      </w:r>
      <w:r>
        <w:rPr>
          <w:rFonts w:hint="eastAsia" w:ascii="宋体" w:hAnsi="宋体" w:cs="宋体"/>
          <w:color w:val="000000"/>
          <w:szCs w:val="21"/>
        </w:rPr>
        <w:t xml:space="preserve">联合体中有同类资质的供应商按照联合体分工承担相同工作的，按照资质等级较低的供应商确定资质等级，并</w:t>
      </w:r>
      <w:r>
        <w:rPr>
          <w:rFonts w:hint="eastAsia" w:ascii="宋体" w:hAnsi="宋体" w:cs="宋体"/>
          <w:szCs w:val="21"/>
        </w:rPr>
        <w:t xml:space="preserve">以响应全权代表方的应答材料作为商务评审的依据</w:t>
      </w:r>
      <w:r>
        <w:rPr>
          <w:rFonts w:hint="eastAsia" w:ascii="宋体" w:hAnsi="宋体" w:cs="宋体"/>
          <w:color w:val="000000"/>
          <w:szCs w:val="21"/>
        </w:rPr>
        <w:t xml:space="preserve">。</w:t>
      </w:r>
      <w:r>
        <w:rPr>
          <w:rFonts w:hint="eastAsia" w:ascii="宋体" w:hAnsi="宋体" w:cs="宋体"/>
          <w:szCs w:val="21"/>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9.4 </w:t>
      </w:r>
      <w:r>
        <w:rPr>
          <w:rFonts w:hint="eastAsia" w:ascii="宋体" w:hAnsi="宋体" w:cs="宋体"/>
          <w:szCs w:val="21"/>
        </w:rPr>
        <w:t xml:space="preserve">联合体各方之间应当签订联合体协议，明确约定联合体各方承担的工作和相应的责任，并将联合体协议连同响应文件一并提交。</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9.5 </w:t>
      </w:r>
      <w:r>
        <w:rPr>
          <w:rFonts w:hint="eastAsia" w:ascii="宋体" w:hAnsi="宋体" w:cs="宋体"/>
          <w:szCs w:val="21"/>
        </w:rPr>
        <w:t xml:space="preserve">以联合体形式参加政府采购活动的，联合体各方不得再单独参加或者与其他供应商另外组成联合体参加同一合同项下的政府采购活动。</w:t>
      </w:r>
      <w:r>
        <w:rPr>
          <w:rFonts w:hint="eastAsia" w:ascii="宋体" w:hAnsi="宋体" w:cs="宋体"/>
          <w:szCs w:val="21"/>
        </w:rPr>
      </w:r>
      <w:r/>
    </w:p>
    <w:p>
      <w:pPr>
        <w:pStyle w:val="1487"/>
        <w:ind w:left="0" w:firstLine="422"/>
        <w:jc w:val="both"/>
        <w:spacing w:line="360" w:lineRule="auto"/>
        <w:tabs>
          <w:tab w:val="left" w:pos="480" w:leader="none"/>
        </w:tabs>
        <w:rPr>
          <w:rFonts w:hint="eastAsia" w:ascii="宋体" w:hAnsi="宋体" w:eastAsia="宋体" w:cs="宋体"/>
          <w:color w:val="000000"/>
          <w:sz w:val="21"/>
          <w:szCs w:val="21"/>
        </w:rPr>
      </w:pPr>
      <w:r/>
      <w:bookmarkEnd w:id="97"/>
      <w:r/>
      <w:bookmarkStart w:id="101" w:name="_Toc22790"/>
      <w:r/>
      <w:bookmarkStart w:id="102" w:name="_Toc23063"/>
      <w:r/>
      <w:bookmarkStart w:id="103" w:name="_Toc19830"/>
      <w:r>
        <w:rPr>
          <w:rFonts w:hint="eastAsia" w:ascii="宋体" w:hAnsi="宋体" w:eastAsia="宋体" w:cs="宋体"/>
          <w:b/>
          <w:bCs/>
          <w:color w:val="000000"/>
          <w:sz w:val="21"/>
          <w:szCs w:val="21"/>
        </w:rPr>
        <w:t xml:space="preserve">10.投标文件的</w:t>
      </w:r>
      <w:bookmarkEnd w:id="101"/>
      <w:r>
        <w:rPr>
          <w:rFonts w:hint="eastAsia" w:ascii="宋体" w:hAnsi="宋体" w:eastAsia="宋体" w:cs="宋体"/>
          <w:b/>
          <w:bCs/>
          <w:color w:val="000000"/>
          <w:sz w:val="21"/>
          <w:szCs w:val="21"/>
        </w:rPr>
        <w:t xml:space="preserve">组成</w:t>
      </w:r>
      <w:bookmarkEnd w:id="102"/>
      <w:r/>
      <w:bookmarkEnd w:id="103"/>
      <w:r>
        <w:rPr>
          <w:rFonts w:hint="eastAsia" w:ascii="宋体" w:hAnsi="宋体" w:eastAsia="宋体" w:cs="宋体"/>
          <w:color w:val="000000"/>
          <w:sz w:val="21"/>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 投标函（投标申请及声明）</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（2）※开标一览表 </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（3）分项报价表</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（4）《商务条款偏离表》</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（5）※《技术条款偏离表》</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（6）政府采购政策</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（7）供应商基本情况表</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（8）※资格证明文件</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（9）供应商认为需要提供的其他资料</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bookmarkStart w:id="104" w:name="_Toc32484"/>
      <w:r/>
      <w:bookmarkStart w:id="105" w:name="_Toc12595"/>
      <w:r>
        <w:rPr>
          <w:rFonts w:hint="eastAsia" w:ascii="宋体" w:hAnsi="宋体" w:cs="宋体"/>
          <w:szCs w:val="21"/>
        </w:rPr>
        <w:t xml:space="preserve">10.3投标文件的商务部分：是证明供应商有资格参加投标和中标后有能力履行合同的文件，这些文件应能满足招标的要求。</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10.5 投标文件的价格部分：</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10.6 投标文件的其他部分：</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其他文件由供应商根据编制投标文件需要提供的其他相关文件。</w:t>
      </w:r>
      <w:r>
        <w:rPr>
          <w:rFonts w:hint="eastAsia" w:ascii="宋体" w:hAnsi="宋体" w:cs="宋体"/>
          <w:szCs w:val="21"/>
        </w:rPr>
      </w:r>
      <w:r/>
    </w:p>
    <w:p>
      <w:pPr>
        <w:pStyle w:val="148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6" w:name="_Toc23659"/>
      <w:r>
        <w:rPr>
          <w:rFonts w:hint="eastAsia" w:ascii="宋体" w:hAnsi="宋体" w:eastAsia="宋体" w:cs="宋体"/>
          <w:b/>
          <w:bCs/>
          <w:color w:val="000000"/>
          <w:sz w:val="21"/>
          <w:szCs w:val="21"/>
        </w:rPr>
        <w:t xml:space="preserve">11.投标保证金</w:t>
      </w:r>
      <w:bookmarkEnd w:id="104"/>
      <w:r/>
      <w:bookmarkEnd w:id="105"/>
      <w:r>
        <w:rPr>
          <w:rFonts w:hint="eastAsia" w:ascii="宋体" w:hAnsi="宋体" w:eastAsia="宋体" w:cs="宋体"/>
          <w:b/>
          <w:bCs/>
          <w:color w:val="000000"/>
          <w:sz w:val="21"/>
          <w:szCs w:val="21"/>
        </w:rPr>
        <w:t xml:space="preserve">（如有）</w:t>
      </w:r>
      <w:bookmarkEnd w:id="106"/>
      <w:r>
        <w:rPr>
          <w:rFonts w:hint="eastAsia" w:ascii="宋体" w:hAnsi="宋体" w:eastAsia="宋体" w:cs="宋体"/>
          <w:b/>
          <w:bCs/>
          <w:color w:val="000000"/>
          <w:sz w:val="21"/>
          <w:szCs w:val="21"/>
        </w:rPr>
      </w:r>
      <w:r/>
    </w:p>
    <w:p>
      <w:pPr>
        <w:pStyle w:val="1484"/>
        <w:ind w:firstLine="420"/>
        <w:spacing w:line="360" w:lineRule="auto"/>
        <w:shd w:val="clear" w:color="auto" w:fill="ffffff"/>
        <w:widowControl/>
        <w:rPr>
          <w:rFonts w:hint="eastAsia" w:ascii="宋体" w:hAnsi="宋体" w:cs="宋体"/>
          <w:color w:val="000000"/>
          <w:szCs w:val="21"/>
        </w:rPr>
      </w:pPr>
      <w:r/>
      <w:bookmarkStart w:id="107" w:name="_Toc31206"/>
      <w:r>
        <w:rPr>
          <w:rFonts w:hint="eastAsia" w:ascii="宋体" w:hAnsi="宋体" w:cs="宋体"/>
          <w:szCs w:val="21"/>
        </w:rPr>
        <w:t xml:space="preserve">11.1</w:t>
      </w:r>
      <w:r>
        <w:rPr>
          <w:rFonts w:hint="eastAsia" w:ascii="宋体" w:hAnsi="宋体" w:cs="宋体"/>
          <w:color w:val="000000"/>
          <w:szCs w:val="21"/>
        </w:rPr>
        <w:t xml:space="preserve">作为投标文件的一部分，</w:t>
      </w:r>
      <w:r>
        <w:rPr>
          <w:rFonts w:hint="eastAsia" w:ascii="宋体" w:hAnsi="宋体" w:cs="宋体"/>
          <w:szCs w:val="21"/>
        </w:rPr>
        <w:t xml:space="preserve">供应商</w:t>
      </w:r>
      <w:r>
        <w:rPr>
          <w:rFonts w:hint="eastAsia" w:ascii="宋体" w:hAnsi="宋体" w:cs="宋体"/>
          <w:color w:val="000000"/>
          <w:szCs w:val="21"/>
        </w:rPr>
        <w:t xml:space="preserve">应按照招标文件要求的数额和办法交纳投标保证金；投标保证金有效期应当与投标有效期一致。</w:t>
      </w:r>
      <w:r>
        <w:rPr>
          <w:rFonts w:hint="eastAsia" w:ascii="宋体" w:hAnsi="宋体" w:cs="宋体"/>
          <w:color w:val="000000"/>
          <w:szCs w:val="21"/>
        </w:rPr>
      </w:r>
      <w:r/>
    </w:p>
    <w:p>
      <w:pPr>
        <w:pStyle w:val="148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投标保证金金额及形式：</w:t>
      </w:r>
      <w:r>
        <w:rPr>
          <w:rFonts w:hint="eastAsia" w:ascii="宋体" w:hAnsi="宋体" w:cs="宋体"/>
          <w:b/>
          <w:bCs/>
          <w:color w:val="000000"/>
          <w:szCs w:val="21"/>
        </w:rPr>
        <w:t xml:space="preserve">详见</w:t>
      </w:r>
      <w:r>
        <w:rPr>
          <w:rFonts w:hint="eastAsia" w:ascii="宋体" w:hAnsi="宋体" w:cs="宋体"/>
          <w:b/>
          <w:bCs/>
          <w:szCs w:val="21"/>
        </w:rPr>
        <w:t xml:space="preserve">投标人</w:t>
      </w:r>
      <w:r>
        <w:rPr>
          <w:rFonts w:hint="eastAsia" w:ascii="宋体" w:hAnsi="宋体" w:cs="宋体"/>
          <w:b/>
          <w:bCs/>
          <w:color w:val="000000"/>
          <w:szCs w:val="21"/>
        </w:rPr>
        <w:t xml:space="preserve">须知前附表</w:t>
      </w:r>
      <w:r>
        <w:rPr>
          <w:rFonts w:hint="eastAsia" w:ascii="宋体" w:hAnsi="宋体" w:cs="宋体"/>
          <w:color w:val="000000"/>
          <w:szCs w:val="21"/>
        </w:rPr>
        <w:t xml:space="preserve">。</w:t>
      </w:r>
      <w:r>
        <w:rPr>
          <w:rFonts w:hint="eastAsia" w:ascii="宋体" w:hAnsi="宋体" w:cs="宋体"/>
          <w:color w:val="000000"/>
          <w:szCs w:val="21"/>
        </w:rPr>
      </w:r>
      <w:r/>
    </w:p>
    <w:p>
      <w:pPr>
        <w:pStyle w:val="1484"/>
        <w:ind w:firstLine="420"/>
        <w:spacing w:line="360" w:lineRule="auto"/>
        <w:shd w:val="clear" w:color="auto" w:fill="ffffff"/>
        <w:widowControl/>
        <w:rPr>
          <w:rFonts w:hint="eastAsia" w:ascii="宋体" w:hAnsi="宋体" w:cs="宋体"/>
          <w:b/>
          <w:bCs/>
          <w:color w:val="000000"/>
          <w:szCs w:val="21"/>
        </w:rPr>
      </w:pPr>
      <w:r>
        <w:rPr>
          <w:rFonts w:hint="eastAsia" w:ascii="宋体" w:hAnsi="宋体" w:cs="宋体"/>
          <w:b/>
          <w:bCs/>
          <w:szCs w:val="21"/>
        </w:rPr>
        <w:t xml:space="preserve">11.2</w:t>
      </w:r>
      <w:r>
        <w:rPr>
          <w:rFonts w:hint="eastAsia" w:ascii="宋体" w:hAnsi="宋体" w:cs="宋体"/>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cs="宋体"/>
          <w:b/>
          <w:bCs/>
          <w:color w:val="000000"/>
          <w:szCs w:val="21"/>
        </w:rPr>
      </w:r>
      <w:r/>
    </w:p>
    <w:p>
      <w:pPr>
        <w:pStyle w:val="148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11.3</w:t>
      </w:r>
      <w:r>
        <w:rPr>
          <w:rFonts w:hint="eastAsia" w:ascii="宋体" w:hAnsi="宋体" w:cs="宋体"/>
          <w:color w:val="000000"/>
          <w:szCs w:val="21"/>
        </w:rPr>
        <w:t xml:space="preserve">中标供应商的保证金将按要求缴纳招标代理服务费后在采购合同签订后五个工作日内退还。</w:t>
      </w:r>
      <w:r>
        <w:rPr>
          <w:rFonts w:hint="eastAsia" w:ascii="宋体" w:hAnsi="宋体" w:cs="宋体"/>
          <w:color w:val="000000"/>
          <w:szCs w:val="21"/>
        </w:rPr>
      </w:r>
      <w:r/>
    </w:p>
    <w:p>
      <w:pPr>
        <w:pStyle w:val="1484"/>
        <w:ind w:firstLine="420"/>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11.4</w:t>
      </w:r>
      <w:r>
        <w:rPr>
          <w:rFonts w:hint="eastAsia" w:ascii="宋体" w:hAnsi="宋体" w:cs="宋体"/>
          <w:color w:val="000000"/>
          <w:szCs w:val="21"/>
        </w:rPr>
        <w:t xml:space="preserve">发生下列情况之一，保证金将被没收：</w:t>
      </w:r>
      <w:r>
        <w:rPr>
          <w:rFonts w:hint="eastAsia" w:ascii="宋体" w:hAnsi="宋体" w:cs="宋体"/>
          <w:color w:val="000000"/>
          <w:szCs w:val="21"/>
        </w:rPr>
      </w:r>
      <w:r/>
    </w:p>
    <w:p>
      <w:pPr>
        <w:pStyle w:val="148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（1）中标供应商在中标后无正当理由不与采购人签订合同的；</w:t>
      </w:r>
      <w:r>
        <w:rPr>
          <w:rFonts w:hint="eastAsia" w:ascii="宋体" w:hAnsi="宋体" w:cs="宋体"/>
          <w:color w:val="000000"/>
          <w:szCs w:val="21"/>
        </w:rPr>
      </w:r>
      <w:r/>
    </w:p>
    <w:p>
      <w:pPr>
        <w:pStyle w:val="148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投标有效期内撤回其投标的；</w:t>
      </w:r>
      <w:r>
        <w:rPr>
          <w:rFonts w:hint="eastAsia" w:ascii="宋体" w:hAnsi="宋体" w:cs="宋体"/>
          <w:color w:val="000000"/>
          <w:szCs w:val="21"/>
        </w:rPr>
      </w:r>
      <w:r/>
    </w:p>
    <w:p>
      <w:pPr>
        <w:pStyle w:val="148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（3）提供虚假材料谋取成交的；</w:t>
      </w:r>
      <w:r>
        <w:rPr>
          <w:rFonts w:hint="eastAsia" w:ascii="宋体" w:hAnsi="宋体" w:cs="宋体"/>
          <w:color w:val="000000"/>
          <w:szCs w:val="21"/>
        </w:rPr>
      </w:r>
      <w:r/>
    </w:p>
    <w:p>
      <w:pPr>
        <w:pStyle w:val="148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（4）采取不正当手段诋毁、排挤其他</w:t>
      </w:r>
      <w:r>
        <w:rPr>
          <w:rFonts w:hint="eastAsia" w:ascii="宋体" w:hAnsi="宋体" w:cs="宋体"/>
          <w:szCs w:val="21"/>
        </w:rPr>
        <w:t xml:space="preserve">供应商</w:t>
      </w:r>
      <w:r>
        <w:rPr>
          <w:rFonts w:hint="eastAsia" w:ascii="宋体" w:hAnsi="宋体" w:cs="宋体"/>
          <w:color w:val="000000"/>
          <w:szCs w:val="21"/>
        </w:rPr>
        <w:t xml:space="preserve">的；</w:t>
      </w:r>
      <w:r>
        <w:rPr>
          <w:rFonts w:hint="eastAsia" w:ascii="宋体" w:hAnsi="宋体" w:cs="宋体"/>
          <w:color w:val="000000"/>
          <w:szCs w:val="21"/>
        </w:rPr>
      </w:r>
      <w:r/>
    </w:p>
    <w:p>
      <w:pPr>
        <w:pStyle w:val="148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（5）与采购人、采购代理机构或者其他</w:t>
      </w:r>
      <w:r>
        <w:rPr>
          <w:rFonts w:hint="eastAsia" w:ascii="宋体" w:hAnsi="宋体" w:cs="宋体"/>
          <w:szCs w:val="21"/>
        </w:rPr>
        <w:t xml:space="preserve">供应商</w:t>
      </w:r>
      <w:r>
        <w:rPr>
          <w:rFonts w:hint="eastAsia" w:ascii="宋体" w:hAnsi="宋体" w:cs="宋体"/>
          <w:color w:val="000000"/>
          <w:szCs w:val="21"/>
        </w:rPr>
        <w:t xml:space="preserve">恶意串通的；</w:t>
      </w:r>
      <w:r>
        <w:rPr>
          <w:rFonts w:hint="eastAsia" w:ascii="宋体" w:hAnsi="宋体" w:cs="宋体"/>
          <w:color w:val="000000"/>
          <w:szCs w:val="21"/>
        </w:rPr>
      </w:r>
      <w:r/>
    </w:p>
    <w:p>
      <w:pPr>
        <w:pStyle w:val="1484"/>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（6）中标供应商在中标后将中标项目转让给他人，或者在投标文件中未说明，且未经采购人同意，将中标项目分包给他人的；</w:t>
      </w:r>
      <w:r>
        <w:rPr>
          <w:rFonts w:hint="eastAsia" w:ascii="宋体" w:hAnsi="宋体" w:cs="宋体"/>
          <w:color w:val="000000"/>
          <w:szCs w:val="21"/>
        </w:rPr>
      </w:r>
      <w:r/>
    </w:p>
    <w:p>
      <w:pPr>
        <w:pStyle w:val="1484"/>
        <w:ind w:firstLine="420"/>
        <w:spacing w:line="360" w:lineRule="auto"/>
        <w:shd w:val="clear" w:color="auto" w:fill="ffffff"/>
        <w:widowControl/>
        <w:rPr>
          <w:rFonts w:hint="eastAsia" w:ascii="宋体" w:hAnsi="宋体" w:cs="宋体"/>
          <w:bCs/>
          <w:szCs w:val="21"/>
        </w:rPr>
      </w:pPr>
      <w:r>
        <w:rPr>
          <w:rFonts w:hint="eastAsia" w:ascii="宋体" w:hAnsi="宋体" w:cs="宋体"/>
          <w:color w:val="000000"/>
          <w:szCs w:val="21"/>
        </w:rPr>
        <w:t xml:space="preserve">（7）中标供应商在中标后拒绝</w:t>
      </w:r>
      <w:r>
        <w:rPr>
          <w:rFonts w:hint="eastAsia" w:ascii="宋体" w:hAnsi="宋体" w:cs="宋体"/>
          <w:bCs/>
          <w:szCs w:val="21"/>
        </w:rPr>
        <w:t xml:space="preserve">履行合同义务的。</w:t>
      </w:r>
      <w:r>
        <w:rPr>
          <w:rFonts w:hint="eastAsia" w:ascii="宋体" w:hAnsi="宋体" w:cs="宋体"/>
          <w:bCs/>
          <w:szCs w:val="21"/>
        </w:rPr>
      </w:r>
      <w:r/>
    </w:p>
    <w:p>
      <w:pPr>
        <w:pStyle w:val="148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08" w:name="_Toc10832"/>
      <w:r/>
      <w:bookmarkStart w:id="109" w:name="_Toc29408"/>
      <w:r>
        <w:rPr>
          <w:rFonts w:hint="eastAsia" w:ascii="宋体" w:hAnsi="宋体" w:eastAsia="宋体" w:cs="宋体"/>
          <w:b/>
          <w:bCs/>
          <w:color w:val="000000"/>
          <w:sz w:val="21"/>
          <w:szCs w:val="21"/>
        </w:rPr>
        <w:t xml:space="preserve">12.投标文件的有效期</w:t>
      </w:r>
      <w:bookmarkEnd w:id="107"/>
      <w:r/>
      <w:bookmarkEnd w:id="108"/>
      <w:r/>
      <w:bookmarkEnd w:id="109"/>
      <w:r>
        <w:rPr>
          <w:rFonts w:hint="eastAsia" w:ascii="宋体" w:hAnsi="宋体" w:eastAsia="宋体" w:cs="宋体"/>
          <w:b/>
          <w:bCs/>
          <w:color w:val="000000"/>
          <w:sz w:val="21"/>
          <w:szCs w:val="21"/>
        </w:rPr>
      </w:r>
      <w:r/>
    </w:p>
    <w:p>
      <w:pPr>
        <w:pStyle w:val="1484"/>
        <w:ind w:firstLine="420"/>
        <w:jc w:val="left"/>
        <w:spacing w:line="360" w:lineRule="auto"/>
        <w:rPr>
          <w:rFonts w:hint="eastAsia" w:ascii="宋体" w:hAnsi="宋体" w:cs="宋体"/>
          <w:bCs/>
          <w:szCs w:val="21"/>
        </w:rPr>
      </w:pPr>
      <w:r/>
      <w:bookmarkStart w:id="110" w:name="_Toc6811"/>
      <w:r>
        <w:rPr>
          <w:rFonts w:hint="eastAsia" w:ascii="宋体" w:hAnsi="宋体" w:cs="宋体"/>
          <w:bCs/>
          <w:szCs w:val="21"/>
        </w:rPr>
        <w:t xml:space="preserve">12.1自开标之日起90天内，投标文件应保持有效，有效期短于此规定的投标文件将视为无效。</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cs="宋体"/>
          <w:bCs/>
          <w:szCs w:val="21"/>
        </w:rPr>
      </w:r>
      <w:r/>
    </w:p>
    <w:p>
      <w:pPr>
        <w:pStyle w:val="148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11" w:name="_Toc18186"/>
      <w:r/>
      <w:bookmarkStart w:id="112" w:name="_Toc29105"/>
      <w:r>
        <w:rPr>
          <w:rFonts w:hint="eastAsia" w:ascii="宋体" w:hAnsi="宋体" w:eastAsia="宋体" w:cs="宋体"/>
          <w:b/>
          <w:bCs/>
          <w:color w:val="000000"/>
          <w:sz w:val="21"/>
          <w:szCs w:val="21"/>
        </w:rPr>
        <w:t xml:space="preserve">13.投标文件的签署及其形式</w:t>
      </w:r>
      <w:bookmarkEnd w:id="110"/>
      <w:r/>
      <w:bookmarkEnd w:id="111"/>
      <w:r/>
      <w:bookmarkEnd w:id="112"/>
      <w:r>
        <w:rPr>
          <w:rFonts w:hint="eastAsia" w:ascii="宋体" w:hAnsi="宋体" w:eastAsia="宋体" w:cs="宋体"/>
          <w:b/>
          <w:bCs/>
          <w:color w:val="000000"/>
          <w:sz w:val="21"/>
          <w:szCs w:val="21"/>
        </w:rPr>
      </w:r>
      <w:r/>
    </w:p>
    <w:p>
      <w:pPr>
        <w:pStyle w:val="1484"/>
        <w:ind w:firstLine="420"/>
        <w:spacing w:line="360" w:lineRule="auto"/>
        <w:rPr>
          <w:rFonts w:hint="eastAsia" w:ascii="宋体" w:hAnsi="宋体" w:cs="宋体"/>
          <w:bCs/>
          <w:szCs w:val="21"/>
        </w:rPr>
      </w:pPr>
      <w:r/>
      <w:bookmarkStart w:id="113" w:name="_Toc3725"/>
      <w:r/>
      <w:bookmarkStart w:id="114" w:name="_Toc27455"/>
      <w:r>
        <w:rPr>
          <w:rFonts w:hint="eastAsia" w:ascii="宋体" w:hAnsi="宋体" w:cs="宋体"/>
          <w:bCs/>
          <w:szCs w:val="21"/>
        </w:rPr>
        <w:t xml:space="preserve">13.1投标文件的应用打印机或不褪色墨水书写，且经法定代表人或授权代表签署</w:t>
      </w:r>
      <w:r>
        <w:rPr>
          <w:rFonts w:hint="eastAsia" w:ascii="宋体" w:hAnsi="宋体" w:cs="宋体"/>
          <w:bCs/>
          <w:color w:val="000000"/>
          <w:szCs w:val="21"/>
        </w:rPr>
        <w:t xml:space="preserve">。</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cs="宋体"/>
          <w:bCs/>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13.3</w:t>
      </w:r>
      <w:r>
        <w:rPr>
          <w:rFonts w:hint="eastAsia" w:ascii="宋体" w:hAnsi="宋体" w:cs="宋体"/>
          <w:szCs w:val="21"/>
        </w:rPr>
        <w:t xml:space="preserve">供应商应按照招标文件所规定的内容顺序，</w:t>
      </w:r>
      <w:r>
        <w:rPr>
          <w:rFonts w:hint="eastAsia" w:ascii="宋体" w:hAnsi="宋体" w:cs="宋体"/>
          <w:b/>
          <w:bCs/>
          <w:szCs w:val="21"/>
        </w:rPr>
        <w:t xml:space="preserve">编制目录，逐页编码</w:t>
      </w:r>
      <w:r>
        <w:rPr>
          <w:rFonts w:hint="eastAsia" w:ascii="宋体" w:hAnsi="宋体" w:cs="宋体"/>
          <w:szCs w:val="21"/>
        </w:rPr>
        <w:t xml:space="preserve">。由于编排混乱导致投标文件被误读或查找不到，责任由供应商承担。</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b/>
          <w:bCs/>
          <w:color w:val="000000"/>
          <w:szCs w:val="21"/>
        </w:rPr>
        <w:outlineLvl w:val="1"/>
      </w:pPr>
      <w:r/>
      <w:bookmarkStart w:id="115" w:name="_Toc18975"/>
      <w:r>
        <w:rPr>
          <w:rFonts w:hint="eastAsia" w:ascii="宋体" w:hAnsi="宋体" w:cs="宋体"/>
          <w:b/>
          <w:bCs/>
          <w:color w:val="000000"/>
          <w:szCs w:val="21"/>
        </w:rPr>
        <w:t xml:space="preserve">四、投标文件的递交</w:t>
      </w:r>
      <w:bookmarkEnd w:id="113"/>
      <w:r/>
      <w:bookmarkEnd w:id="114"/>
      <w:r/>
      <w:bookmarkEnd w:id="115"/>
      <w:r>
        <w:rPr>
          <w:rFonts w:hint="eastAsia" w:ascii="宋体" w:hAnsi="宋体" w:cs="宋体"/>
          <w:b/>
          <w:bCs/>
          <w:color w:val="000000"/>
          <w:szCs w:val="21"/>
        </w:rPr>
      </w:r>
      <w:r/>
    </w:p>
    <w:p>
      <w:pPr>
        <w:pStyle w:val="1484"/>
        <w:ind w:firstLine="422"/>
        <w:spacing w:line="360" w:lineRule="auto"/>
        <w:tabs>
          <w:tab w:val="left" w:pos="480" w:leader="none"/>
        </w:tabs>
        <w:rPr>
          <w:rFonts w:hint="eastAsia" w:ascii="宋体" w:hAnsi="宋体" w:cs="宋体"/>
          <w:b/>
          <w:bCs/>
          <w:szCs w:val="21"/>
        </w:rPr>
        <w:outlineLvl w:val="2"/>
      </w:pPr>
      <w:r/>
      <w:bookmarkStart w:id="116" w:name="_Toc513029225"/>
      <w:r/>
      <w:bookmarkStart w:id="117" w:name="_Toc20823297"/>
      <w:r/>
      <w:bookmarkStart w:id="118" w:name="_Toc462564084"/>
      <w:r/>
      <w:bookmarkStart w:id="119" w:name="_Toc16938541"/>
      <w:r/>
      <w:bookmarkStart w:id="120" w:name="_Toc12261"/>
      <w:r/>
      <w:bookmarkStart w:id="121" w:name="_Toc21766"/>
      <w:r/>
      <w:bookmarkStart w:id="122" w:name="_Toc14747"/>
      <w:r>
        <w:rPr>
          <w:rFonts w:hint="eastAsia" w:ascii="宋体" w:hAnsi="宋体" w:cs="宋体"/>
          <w:b/>
          <w:bCs/>
          <w:szCs w:val="21"/>
        </w:rPr>
        <w:t xml:space="preserve">14.投标文件</w:t>
      </w:r>
      <w:bookmarkEnd w:id="116"/>
      <w:r/>
      <w:bookmarkEnd w:id="117"/>
      <w:r/>
      <w:bookmarkEnd w:id="118"/>
      <w:r/>
      <w:bookmarkEnd w:id="119"/>
      <w:r>
        <w:rPr>
          <w:rFonts w:hint="eastAsia" w:ascii="宋体" w:hAnsi="宋体" w:cs="宋体"/>
          <w:b/>
          <w:bCs/>
          <w:szCs w:val="21"/>
        </w:rPr>
        <w:t xml:space="preserve">的递交</w:t>
      </w:r>
      <w:bookmarkEnd w:id="120"/>
      <w:r>
        <w:rPr>
          <w:rFonts w:hint="eastAsia" w:ascii="宋体" w:hAnsi="宋体" w:cs="宋体"/>
          <w:b/>
          <w:bCs/>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14.1 电子投标文件的递交：投标人应当按照《操作手册》规定，在投标截止时间前制作并上传电子投标文件。</w:t>
      </w:r>
      <w:bookmarkStart w:id="123" w:name="_Toc1507"/>
      <w:r/>
      <w:bookmarkStart w:id="124" w:name="_Toc20823298"/>
      <w:r/>
      <w:bookmarkStart w:id="125" w:name="_Toc16938542"/>
      <w:r/>
      <w:bookmarkStart w:id="126" w:name="_Toc513029226"/>
      <w:r/>
      <w:bookmarkStart w:id="127" w:name="_Toc11996"/>
      <w:r/>
      <w:bookmarkStart w:id="128" w:name="_Toc14201"/>
      <w:r>
        <w:rPr>
          <w:rFonts w:hint="eastAsia" w:ascii="宋体" w:hAnsi="宋体" w:cs="宋体"/>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14.2 投标文件的</w:t>
      </w:r>
      <w:bookmarkEnd w:id="127"/>
      <w:r/>
      <w:bookmarkEnd w:id="128"/>
      <w:r>
        <w:rPr>
          <w:rFonts w:hint="eastAsia" w:ascii="宋体" w:hAnsi="宋体" w:cs="宋体"/>
          <w:szCs w:val="21"/>
        </w:rPr>
        <w:t xml:space="preserve">解密</w:t>
      </w:r>
      <w:bookmarkEnd w:id="123"/>
      <w:r>
        <w:rPr>
          <w:rFonts w:hint="eastAsia" w:ascii="宋体" w:hAnsi="宋体" w:cs="宋体"/>
          <w:szCs w:val="21"/>
        </w:rPr>
        <w:t xml:space="preserve">：开标当天各供应商及时登录不见面开标大厅，投标文件递交截止时间后，采购人将在系统内公布供应商名单，然后通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szCs w:val="21"/>
        </w:rPr>
      </w:r>
      <w:r/>
    </w:p>
    <w:p>
      <w:pPr>
        <w:pStyle w:val="1484"/>
        <w:ind w:firstLine="422"/>
        <w:spacing w:line="360" w:lineRule="auto"/>
        <w:tabs>
          <w:tab w:val="left" w:pos="480" w:leader="none"/>
        </w:tabs>
        <w:rPr>
          <w:rFonts w:hint="eastAsia" w:ascii="宋体" w:hAnsi="宋体" w:cs="宋体"/>
          <w:b/>
          <w:bCs/>
          <w:szCs w:val="21"/>
        </w:rPr>
        <w:outlineLvl w:val="2"/>
      </w:pPr>
      <w:r/>
      <w:bookmarkStart w:id="129" w:name="_Toc10319"/>
      <w:r>
        <w:rPr>
          <w:rFonts w:hint="eastAsia" w:ascii="宋体" w:hAnsi="宋体" w:cs="宋体"/>
          <w:b/>
          <w:bCs/>
          <w:szCs w:val="21"/>
        </w:rPr>
        <w:t xml:space="preserve">15.投标截止</w:t>
      </w:r>
      <w:bookmarkEnd w:id="124"/>
      <w:r/>
      <w:bookmarkEnd w:id="125"/>
      <w:r/>
      <w:bookmarkEnd w:id="126"/>
      <w:r>
        <w:rPr>
          <w:rFonts w:hint="eastAsia" w:ascii="宋体" w:hAnsi="宋体" w:cs="宋体"/>
          <w:b/>
          <w:bCs/>
          <w:szCs w:val="21"/>
        </w:rPr>
        <w:t xml:space="preserve">时间</w:t>
      </w:r>
      <w:bookmarkEnd w:id="129"/>
      <w:r>
        <w:rPr>
          <w:rFonts w:hint="eastAsia" w:ascii="宋体" w:hAnsi="宋体" w:cs="宋体"/>
          <w:b/>
          <w:bCs/>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15.1 投标人上传电子投标文件的时间不得迟于招标公告中规定的投标截止时间。</w:t>
      </w:r>
      <w:r>
        <w:rPr>
          <w:rFonts w:hint="eastAsia" w:ascii="宋体" w:hAnsi="宋体" w:cs="宋体"/>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szCs w:val="21"/>
        </w:rPr>
      </w:r>
      <w:r/>
    </w:p>
    <w:p>
      <w:pPr>
        <w:pStyle w:val="1484"/>
        <w:ind w:firstLine="422"/>
        <w:spacing w:line="360" w:lineRule="auto"/>
        <w:tabs>
          <w:tab w:val="left" w:pos="480" w:leader="none"/>
        </w:tabs>
        <w:rPr>
          <w:rFonts w:hint="eastAsia" w:ascii="宋体" w:hAnsi="宋体" w:cs="宋体"/>
          <w:b/>
          <w:bCs/>
          <w:color w:val="000000"/>
          <w:szCs w:val="21"/>
        </w:rPr>
        <w:outlineLvl w:val="2"/>
      </w:pPr>
      <w:r/>
      <w:bookmarkStart w:id="130" w:name="_Toc16938543"/>
      <w:r/>
      <w:bookmarkStart w:id="131" w:name="_Toc513029227"/>
      <w:r/>
      <w:bookmarkStart w:id="132" w:name="_Toc7434"/>
      <w:r/>
      <w:bookmarkStart w:id="133" w:name="_Toc20823299"/>
      <w:r>
        <w:rPr>
          <w:rFonts w:hint="eastAsia" w:ascii="宋体" w:hAnsi="宋体" w:cs="宋体"/>
          <w:b/>
          <w:bCs/>
          <w:color w:val="000000"/>
          <w:szCs w:val="21"/>
        </w:rPr>
        <w:t xml:space="preserve">16.投标文件</w:t>
      </w:r>
      <w:bookmarkEnd w:id="130"/>
      <w:r/>
      <w:bookmarkEnd w:id="131"/>
      <w:r/>
      <w:bookmarkEnd w:id="133"/>
      <w:r>
        <w:rPr>
          <w:rFonts w:hint="eastAsia" w:ascii="宋体" w:hAnsi="宋体" w:cs="宋体"/>
          <w:b/>
          <w:bCs/>
          <w:color w:val="000000"/>
          <w:szCs w:val="21"/>
        </w:rPr>
        <w:t xml:space="preserve">的拒收</w:t>
      </w:r>
      <w:bookmarkEnd w:id="132"/>
      <w:r>
        <w:rPr>
          <w:rFonts w:hint="eastAsia" w:ascii="宋体" w:hAnsi="宋体" w:cs="宋体"/>
          <w:b/>
          <w:bCs/>
          <w:color w:val="000000"/>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16.1采购人拒绝接收在其规定的投标截止时间后上传的任何投标文件。</w:t>
      </w:r>
      <w:r>
        <w:rPr>
          <w:rFonts w:hint="eastAsia" w:ascii="宋体" w:hAnsi="宋体" w:cs="宋体"/>
          <w:szCs w:val="21"/>
        </w:rPr>
      </w:r>
      <w:r/>
    </w:p>
    <w:p>
      <w:pPr>
        <w:pStyle w:val="1484"/>
        <w:ind w:firstLine="422"/>
        <w:spacing w:line="360" w:lineRule="auto"/>
        <w:tabs>
          <w:tab w:val="left" w:pos="480" w:leader="none"/>
        </w:tabs>
        <w:rPr>
          <w:rFonts w:hint="eastAsia" w:ascii="宋体" w:hAnsi="宋体" w:cs="宋体"/>
          <w:szCs w:val="21"/>
        </w:rPr>
        <w:outlineLvl w:val="2"/>
      </w:pPr>
      <w:r/>
      <w:bookmarkStart w:id="134" w:name="_Toc513029228"/>
      <w:r/>
      <w:bookmarkStart w:id="135" w:name="_Toc16938544"/>
      <w:r/>
      <w:bookmarkStart w:id="136" w:name="_Toc20823300"/>
      <w:r/>
      <w:bookmarkStart w:id="137" w:name="_Toc21344"/>
      <w:r>
        <w:rPr>
          <w:rFonts w:hint="eastAsia" w:ascii="宋体" w:hAnsi="宋体" w:cs="宋体"/>
          <w:b/>
          <w:bCs/>
          <w:szCs w:val="21"/>
        </w:rPr>
        <w:t xml:space="preserve">17</w:t>
      </w:r>
      <w:bookmarkEnd w:id="134"/>
      <w:r/>
      <w:bookmarkEnd w:id="135"/>
      <w:r/>
      <w:bookmarkEnd w:id="136"/>
      <w:r>
        <w:rPr>
          <w:rFonts w:hint="eastAsia" w:ascii="宋体" w:hAnsi="宋体" w:cs="宋体"/>
          <w:b/>
          <w:bCs/>
          <w:szCs w:val="21"/>
        </w:rPr>
        <w:t xml:space="preserve">.</w:t>
      </w:r>
      <w:r>
        <w:rPr>
          <w:rFonts w:hint="eastAsia" w:ascii="宋体" w:hAnsi="宋体" w:cs="宋体"/>
          <w:b/>
          <w:bCs/>
          <w:color w:val="000000"/>
          <w:szCs w:val="21"/>
        </w:rPr>
        <w:t xml:space="preserve">投标文件的修改或撤回</w:t>
      </w:r>
      <w:bookmarkEnd w:id="137"/>
      <w:r>
        <w:rPr>
          <w:rFonts w:hint="eastAsia" w:ascii="宋体" w:hAnsi="宋体" w:cs="宋体"/>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 投标文件的撤回</w:t>
      </w:r>
      <w:r>
        <w:rPr>
          <w:rFonts w:hint="eastAsia" w:ascii="宋体" w:hAnsi="宋体" w:cs="宋体"/>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17.1.1 电子投标文件的撤回</w:t>
      </w:r>
      <w:r>
        <w:rPr>
          <w:rFonts w:hint="eastAsia" w:ascii="宋体" w:hAnsi="宋体" w:cs="宋体"/>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rPr>
          <w:rFonts w:hint="eastAsia" w:ascii="宋体" w:hAnsi="宋体" w:cs="宋体"/>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 投标文件的修改</w:t>
      </w:r>
      <w:r>
        <w:rPr>
          <w:rFonts w:hint="eastAsia" w:ascii="宋体" w:hAnsi="宋体" w:cs="宋体"/>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rPr>
          <w:rFonts w:hint="eastAsia" w:ascii="宋体" w:hAnsi="宋体" w:cs="宋体"/>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rPr>
          <w:rFonts w:hint="eastAsia" w:ascii="宋体" w:hAnsi="宋体" w:cs="宋体"/>
          <w:szCs w:val="21"/>
        </w:rPr>
      </w:r>
      <w:r/>
    </w:p>
    <w:p>
      <w:pPr>
        <w:pStyle w:val="148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b/>
          <w:bCs/>
          <w:color w:val="000000"/>
          <w:szCs w:val="21"/>
        </w:rPr>
        <w:outlineLvl w:val="1"/>
      </w:pPr>
      <w:r/>
      <w:bookmarkEnd w:id="121"/>
      <w:r/>
      <w:bookmarkEnd w:id="122"/>
      <w:r/>
      <w:bookmarkStart w:id="138" w:name="_Toc16938545"/>
      <w:r/>
      <w:bookmarkStart w:id="139" w:name="_Toc513029229"/>
      <w:r/>
      <w:bookmarkStart w:id="140" w:name="_Toc20823301"/>
      <w:r/>
      <w:bookmarkStart w:id="141" w:name="_Toc7027"/>
      <w:r/>
      <w:bookmarkStart w:id="142" w:name="_Toc24233"/>
      <w:r/>
      <w:bookmarkStart w:id="143" w:name="_Toc120614218"/>
      <w:r/>
      <w:bookmarkStart w:id="144" w:name="_Toc10111"/>
      <w:r>
        <w:rPr>
          <w:rFonts w:hint="eastAsia" w:ascii="宋体" w:hAnsi="宋体" w:cs="宋体"/>
          <w:b/>
          <w:bCs/>
          <w:color w:val="000000"/>
          <w:szCs w:val="21"/>
        </w:rPr>
        <w:t xml:space="preserve">五、开标与评标</w:t>
      </w:r>
      <w:bookmarkEnd w:id="138"/>
      <w:r/>
      <w:bookmarkEnd w:id="139"/>
      <w:r/>
      <w:bookmarkEnd w:id="140"/>
      <w:r/>
      <w:bookmarkEnd w:id="141"/>
      <w:r/>
      <w:bookmarkEnd w:id="142"/>
      <w:r/>
      <w:bookmarkEnd w:id="143"/>
      <w:r/>
      <w:bookmarkEnd w:id="144"/>
      <w:r>
        <w:rPr>
          <w:rFonts w:hint="eastAsia" w:ascii="宋体" w:hAnsi="宋体" w:cs="宋体"/>
          <w:b/>
          <w:bCs/>
          <w:color w:val="000000"/>
          <w:szCs w:val="21"/>
        </w:rPr>
      </w:r>
      <w:r/>
    </w:p>
    <w:p>
      <w:pPr>
        <w:pStyle w:val="148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45" w:name="_Toc3679"/>
      <w:r/>
      <w:bookmarkStart w:id="146" w:name="_Toc15345"/>
      <w:r/>
      <w:bookmarkStart w:id="147" w:name="_Toc13829"/>
      <w:r/>
      <w:bookmarkStart w:id="148" w:name="_Toc201"/>
      <w:r/>
      <w:bookmarkStart w:id="149" w:name="_Toc26545"/>
      <w:r/>
      <w:bookmarkStart w:id="150" w:name="OLE_LINK3"/>
      <w:r/>
      <w:bookmarkStart w:id="151" w:name="OLE_LINK7"/>
      <w:r/>
      <w:bookmarkStart w:id="152" w:name="_Toc6944"/>
      <w:r>
        <w:rPr>
          <w:rFonts w:hint="eastAsia" w:ascii="宋体" w:hAnsi="宋体" w:eastAsia="宋体" w:cs="宋体"/>
          <w:b/>
          <w:bCs/>
          <w:color w:val="000000"/>
          <w:sz w:val="21"/>
          <w:szCs w:val="21"/>
        </w:rPr>
        <w:t xml:space="preserve">18.开标</w:t>
      </w:r>
      <w:bookmarkEnd w:id="145"/>
      <w:r/>
      <w:bookmarkEnd w:id="146"/>
      <w:r/>
      <w:bookmarkEnd w:id="147"/>
      <w:r/>
      <w:bookmarkEnd w:id="148"/>
      <w:r/>
      <w:bookmarkEnd w:id="149"/>
      <w:r>
        <w:rPr>
          <w:rFonts w:hint="eastAsia" w:ascii="宋体" w:hAnsi="宋体" w:eastAsia="宋体" w:cs="宋体"/>
          <w:b/>
          <w:bCs/>
          <w:color w:val="000000"/>
          <w:sz w:val="21"/>
          <w:szCs w:val="21"/>
        </w:rPr>
      </w:r>
      <w:r/>
    </w:p>
    <w:p>
      <w:pPr>
        <w:pStyle w:val="1484"/>
        <w:ind w:firstLine="420"/>
        <w:spacing w:line="360" w:lineRule="auto"/>
        <w:rPr>
          <w:rFonts w:hint="eastAsia" w:ascii="宋体" w:hAnsi="宋体" w:cs="宋体"/>
          <w:bCs/>
          <w:szCs w:val="21"/>
        </w:rPr>
      </w:pPr>
      <w:r/>
      <w:bookmarkEnd w:id="150"/>
      <w:r/>
      <w:bookmarkEnd w:id="151"/>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r>
        <w:rPr>
          <w:rFonts w:hint="eastAsia" w:ascii="宋体" w:hAnsi="宋体" w:cs="宋体"/>
          <w:bCs/>
          <w:szCs w:val="21"/>
        </w:rPr>
      </w:r>
      <w:r/>
    </w:p>
    <w:p>
      <w:pPr>
        <w:pStyle w:val="1487"/>
        <w:ind w:left="0" w:firstLine="422"/>
        <w:jc w:val="both"/>
        <w:spacing w:line="360" w:lineRule="auto"/>
        <w:tabs>
          <w:tab w:val="left" w:pos="480" w:leader="none"/>
        </w:tabs>
        <w:rPr>
          <w:rFonts w:hint="eastAsia" w:ascii="宋体" w:hAnsi="宋体" w:eastAsia="宋体" w:cs="宋体"/>
          <w:b/>
          <w:bCs/>
          <w:color w:val="000000"/>
          <w:sz w:val="21"/>
          <w:szCs w:val="21"/>
        </w:rPr>
      </w:pPr>
      <w:r/>
      <w:bookmarkEnd w:id="152"/>
      <w:r/>
      <w:bookmarkStart w:id="153" w:name="_Toc18343"/>
      <w:r/>
      <w:bookmarkStart w:id="154" w:name="_Toc19352"/>
      <w:r/>
      <w:bookmarkStart w:id="155" w:name="_Toc20823303"/>
      <w:r/>
      <w:bookmarkStart w:id="156" w:name="_Toc29284"/>
      <w:r/>
      <w:bookmarkStart w:id="157" w:name="_Toc16938547"/>
      <w:r/>
      <w:bookmarkStart w:id="158" w:name="_Toc513029231"/>
      <w:r>
        <w:rPr>
          <w:rFonts w:hint="eastAsia" w:ascii="宋体" w:hAnsi="宋体" w:eastAsia="宋体" w:cs="宋体"/>
          <w:b/>
          <w:bCs/>
          <w:color w:val="000000"/>
          <w:sz w:val="21"/>
          <w:szCs w:val="21"/>
        </w:rPr>
        <w:t xml:space="preserve">19.评标组织</w:t>
      </w:r>
      <w:bookmarkEnd w:id="153"/>
      <w:r/>
      <w:bookmarkEnd w:id="154"/>
      <w:r>
        <w:rPr>
          <w:rFonts w:hint="eastAsia" w:ascii="宋体" w:hAnsi="宋体" w:eastAsia="宋体" w:cs="宋体"/>
          <w:b/>
          <w:bCs/>
          <w:color w:val="000000"/>
          <w:sz w:val="21"/>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19.1评标工作由采购代理机构负责组织，具体评标事务由依法组建的评标委员会负责，并独立履行下列职责：</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（1）审查、评价投标文件是否符合招标文件的商务、技术等实质性要求；</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（2）要求供应商对投标文件有关事项作出澄清或者说明；</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（3）对投标文件进行比较和评价；</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（4）确定中标候选人名单，以及根据采购人委托直接确定中标供应商；</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（5）向采购人、采购代理机构或者有关部门报告评标中发现的违法行为。</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19.2评标委员会由采购人代表和有关技术、经济等方面的专家组成，独立开展评审工作且评标委员会人员构成符合有关规定。</w:t>
      </w:r>
      <w:r>
        <w:rPr>
          <w:rFonts w:hint="eastAsia" w:ascii="宋体" w:hAnsi="宋体" w:cs="宋体"/>
          <w:bCs/>
          <w:szCs w:val="21"/>
        </w:rPr>
      </w:r>
      <w:r/>
    </w:p>
    <w:p>
      <w:pPr>
        <w:pStyle w:val="1487"/>
        <w:ind w:left="0" w:firstLine="422"/>
        <w:jc w:val="both"/>
        <w:spacing w:line="360" w:lineRule="auto"/>
        <w:tabs>
          <w:tab w:val="left" w:pos="480" w:leader="none"/>
        </w:tabs>
        <w:rPr>
          <w:rFonts w:hint="eastAsia" w:ascii="宋体" w:hAnsi="宋体" w:eastAsia="宋体" w:cs="宋体"/>
          <w:b/>
          <w:bCs/>
          <w:color w:val="000000"/>
          <w:sz w:val="21"/>
          <w:szCs w:val="21"/>
        </w:rPr>
      </w:pPr>
      <w:r/>
      <w:bookmarkEnd w:id="155"/>
      <w:r/>
      <w:bookmarkEnd w:id="156"/>
      <w:r/>
      <w:bookmarkEnd w:id="157"/>
      <w:r/>
      <w:bookmarkEnd w:id="158"/>
      <w:r/>
      <w:bookmarkStart w:id="159" w:name="_Toc862"/>
      <w:r/>
      <w:bookmarkStart w:id="160" w:name="_Toc21772"/>
      <w:r/>
      <w:bookmarkStart w:id="161" w:name="_Toc26401"/>
      <w:r/>
      <w:bookmarkStart w:id="162" w:name="_Toc25564"/>
      <w:r/>
      <w:bookmarkStart w:id="163" w:name="_Toc16496"/>
      <w:r>
        <w:rPr>
          <w:rFonts w:hint="eastAsia" w:ascii="宋体" w:hAnsi="宋体" w:eastAsia="宋体" w:cs="宋体"/>
          <w:b/>
          <w:bCs/>
          <w:color w:val="000000"/>
          <w:sz w:val="21"/>
          <w:szCs w:val="21"/>
        </w:rPr>
        <w:t xml:space="preserve">20.</w:t>
      </w:r>
      <w:bookmarkEnd w:id="159"/>
      <w:r/>
      <w:bookmarkEnd w:id="160"/>
      <w:r>
        <w:rPr>
          <w:rFonts w:hint="eastAsia" w:ascii="宋体" w:hAnsi="宋体" w:eastAsia="宋体" w:cs="宋体"/>
          <w:b/>
          <w:bCs/>
          <w:color w:val="000000"/>
          <w:sz w:val="21"/>
          <w:szCs w:val="21"/>
        </w:rPr>
        <w:t xml:space="preserve">对投标文件的资格性审查和符合性审查</w:t>
      </w:r>
      <w:bookmarkEnd w:id="161"/>
      <w:r/>
      <w:bookmarkEnd w:id="162"/>
      <w:r>
        <w:rPr>
          <w:rFonts w:hint="eastAsia" w:ascii="宋体" w:hAnsi="宋体" w:eastAsia="宋体" w:cs="宋体"/>
          <w:b/>
          <w:bCs/>
          <w:color w:val="000000"/>
          <w:sz w:val="21"/>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20.1投标文件初审分为资格性审查和符合性审查。</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资格性审查：采购人或者采购代理机构依据法律法规和招标文件的规定，对投标文件中</w:t>
      </w:r>
      <w:r>
        <w:rPr>
          <w:rFonts w:hint="eastAsia" w:ascii="宋体" w:hAnsi="宋体" w:cs="宋体"/>
          <w:b/>
          <w:szCs w:val="21"/>
        </w:rPr>
        <w:t xml:space="preserve">资格证明文件、投标保证金（如有）</w:t>
      </w:r>
      <w:r>
        <w:rPr>
          <w:rFonts w:hint="eastAsia" w:ascii="宋体" w:hAnsi="宋体" w:cs="宋体"/>
          <w:bCs/>
          <w:szCs w:val="21"/>
        </w:rPr>
        <w:t xml:space="preserve">进行审查，以确定供应商是否具备投标资格。</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20.3未实质性响应招标文件要求的将视为无效投标，</w:t>
      </w:r>
      <w:r>
        <w:rPr>
          <w:rFonts w:hint="eastAsia" w:ascii="宋体" w:hAnsi="宋体" w:cs="宋体"/>
          <w:b/>
          <w:szCs w:val="21"/>
        </w:rPr>
        <w:t xml:space="preserve">供应商不得通过修正或撤销不符合要求的偏离从而使其投标成为实质性响应</w:t>
      </w:r>
      <w:r>
        <w:rPr>
          <w:rFonts w:hint="eastAsia" w:ascii="宋体" w:hAnsi="宋体" w:cs="宋体"/>
          <w:bCs/>
          <w:szCs w:val="21"/>
        </w:rPr>
        <w:t xml:space="preserve">。如发现下列情况之一的，将视为无效投标：</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（1）未按照招标文件规定要求密封、签署、盖章的；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（2）投标有效期不足的；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（3）不同供应商的投标文件由同一单位或者个人编制；</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（4）不同供应商委托同一单位或者个人办理投标事宜；</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（5）不同供应商的投标文件载明的项目管理成员或者联系人员为同一人；</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（6）不同供应商的投标文件异常一致或者投标报价呈规律性差异；</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（7）不同供应商的投标文件相互混装；</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（8）不同供应商的投标保证金从同一单位或者个人的账户转出；</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（9）报价超过招标文件中规定的项目预算或者最高限价的；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（10）投标文件含有采购人不能接受的附加条件的；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（11）不同供应商的负责人为同一人或者存在控股、管理关系的；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（12）法律、法规和招标文件规定的其他无效情形。</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20</w:t>
      </w:r>
      <w:r>
        <w:rPr>
          <w:rFonts w:hint="eastAsia" w:ascii="宋体" w:hAnsi="宋体" w:cs="宋体"/>
          <w:bCs/>
          <w:color w:val="0000ff"/>
          <w:szCs w:val="21"/>
        </w:rPr>
        <w:t xml:space="preserve">.</w:t>
      </w:r>
      <w:r>
        <w:rPr>
          <w:rFonts w:hint="eastAsia" w:ascii="宋体" w:hAnsi="宋体" w:cs="宋体"/>
          <w:bCs/>
          <w:color w:val="000000"/>
          <w:szCs w:val="21"/>
        </w:rPr>
        <w:t xml:space="preserve">4</w:t>
      </w:r>
      <w:r>
        <w:rPr>
          <w:rFonts w:hint="eastAsia" w:ascii="宋体" w:hAnsi="宋体" w:cs="宋体"/>
          <w:bCs/>
          <w:szCs w:val="21"/>
        </w:rPr>
        <w:t xml:space="preserve">评标委员会在初审中，对明显的文字和算术错误的修正原则如下：</w:t>
      </w:r>
      <w:r>
        <w:rPr>
          <w:rFonts w:hint="eastAsia" w:ascii="宋体" w:hAnsi="宋体" w:cs="宋体"/>
          <w:bCs/>
          <w:szCs w:val="21"/>
        </w:rPr>
      </w:r>
      <w:r/>
    </w:p>
    <w:p>
      <w:pPr>
        <w:pStyle w:val="1484"/>
        <w:ind w:firstLine="422"/>
        <w:spacing w:line="360" w:lineRule="auto"/>
        <w:rPr>
          <w:rFonts w:hint="eastAsia" w:ascii="宋体" w:hAnsi="宋体" w:cs="宋体"/>
          <w:bCs/>
          <w:szCs w:val="21"/>
        </w:rPr>
      </w:pPr>
      <w:r>
        <w:rPr>
          <w:rFonts w:hint="eastAsia" w:ascii="宋体" w:hAnsi="宋体" w:cs="宋体"/>
          <w:b/>
          <w:szCs w:val="21"/>
        </w:rPr>
        <w:t xml:space="preserve">（1）《开标一览表》（报价表）内容与投标文件中相应内容不一致的，以《开标一览表》（报价表）为准</w:t>
      </w:r>
      <w:r>
        <w:rPr>
          <w:rFonts w:hint="eastAsia" w:ascii="宋体" w:hAnsi="宋体" w:cs="宋体"/>
          <w:bCs/>
          <w:szCs w:val="21"/>
        </w:rPr>
        <w:t xml:space="preserve">；</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（2）投标文件的大写金额与小写金额不一致的，以大写金额为准；</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（3）总价金额与单价金额不一致的，以单价金额计算结果为准；</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（4）单价金额小数点有明显错位的，以总价金额为准，并修改单价金额；</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（5）对不同文字文本投标文件的解释发生异议的，以中文文本为准；如果正本投标文件和副本投标文件之间有差异，则以正本投标文件为准。</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cs="宋体"/>
          <w:bCs/>
          <w:szCs w:val="21"/>
        </w:rPr>
      </w:r>
      <w:r/>
    </w:p>
    <w:p>
      <w:pPr>
        <w:pStyle w:val="1484"/>
        <w:ind w:firstLine="422"/>
        <w:spacing w:line="360" w:lineRule="auto"/>
        <w:rPr>
          <w:rFonts w:hint="eastAsia" w:ascii="宋体" w:hAnsi="宋体" w:cs="宋体"/>
          <w:b/>
          <w:szCs w:val="21"/>
        </w:rPr>
      </w:pPr>
      <w:r/>
      <w:bookmarkEnd w:id="163"/>
      <w:r/>
      <w:bookmarkStart w:id="164" w:name="_Toc25188"/>
      <w:r/>
      <w:bookmarkStart w:id="165" w:name="_Toc13685"/>
      <w:r>
        <w:rPr>
          <w:rFonts w:hint="eastAsia" w:ascii="宋体" w:hAnsi="宋体" w:cs="宋体"/>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rPr>
          <w:rFonts w:hint="eastAsia" w:ascii="宋体" w:hAnsi="宋体" w:cs="宋体"/>
          <w:b/>
          <w:szCs w:val="21"/>
        </w:rPr>
      </w:r>
      <w:r/>
    </w:p>
    <w:p>
      <w:pPr>
        <w:pStyle w:val="1484"/>
        <w:ind w:firstLine="422"/>
        <w:spacing w:line="360" w:lineRule="auto"/>
        <w:rPr>
          <w:rFonts w:hint="eastAsia" w:ascii="宋体" w:hAnsi="宋体" w:cs="宋体"/>
          <w:b/>
          <w:szCs w:val="21"/>
        </w:rPr>
      </w:pPr>
      <w:r>
        <w:rPr>
          <w:rFonts w:hint="eastAsia" w:ascii="宋体" w:hAnsi="宋体" w:cs="宋体"/>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rPr>
          <w:rFonts w:hint="eastAsia" w:ascii="宋体" w:hAnsi="宋体" w:cs="宋体"/>
          <w:b/>
          <w:szCs w:val="21"/>
        </w:rPr>
      </w:r>
      <w:r/>
    </w:p>
    <w:p>
      <w:pPr>
        <w:pStyle w:val="1484"/>
        <w:ind w:firstLine="422"/>
        <w:spacing w:line="360" w:lineRule="auto"/>
        <w:rPr>
          <w:rFonts w:hint="eastAsia" w:ascii="宋体" w:hAnsi="宋体" w:cs="宋体"/>
          <w:b/>
          <w:szCs w:val="21"/>
        </w:rPr>
      </w:pPr>
      <w:r>
        <w:rPr>
          <w:rFonts w:hint="eastAsia" w:ascii="宋体" w:hAnsi="宋体" w:cs="宋体"/>
          <w:b/>
          <w:szCs w:val="21"/>
        </w:rPr>
        <w:t xml:space="preserve">20.7异常低价投标（响应）审查：</w:t>
      </w:r>
      <w:r>
        <w:rPr>
          <w:rFonts w:hint="eastAsia" w:ascii="宋体" w:hAnsi="宋体" w:cs="宋体"/>
          <w:b/>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w:t>
      </w:r>
      <w:r>
        <w:rPr>
          <w:rFonts w:hint="eastAsia" w:ascii="宋体" w:hAnsi="宋体" w:cs="宋体"/>
          <w:szCs w:val="21"/>
          <w:lang w:val="en-US" w:eastAsia="zh-CN"/>
        </w:rPr>
        <w:t xml:space="preserve">65</w:t>
      </w:r>
      <w:r>
        <w:rPr>
          <w:rFonts w:hint="eastAsia" w:ascii="宋体" w:hAnsi="宋体" w:cs="宋体"/>
          <w:szCs w:val="21"/>
        </w:rPr>
        <w:t xml:space="preserve">%的，即投标（响应）报价&lt;全部通过符合性审查供应商投标（响应）报价平均值×</w:t>
      </w:r>
      <w:r>
        <w:rPr>
          <w:rFonts w:hint="eastAsia" w:ascii="宋体" w:hAnsi="宋体" w:cs="宋体"/>
          <w:szCs w:val="21"/>
          <w:lang w:val="en-US" w:eastAsia="zh-CN"/>
        </w:rPr>
        <w:t xml:space="preserve">65</w:t>
      </w:r>
      <w:r>
        <w:rPr>
          <w:rFonts w:hint="eastAsia" w:ascii="宋体" w:hAnsi="宋体" w:cs="宋体"/>
          <w:szCs w:val="21"/>
        </w:rPr>
        <w:t xml:space="preserve">%；</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w:t>
      </w:r>
      <w:r>
        <w:rPr>
          <w:rFonts w:hint="eastAsia" w:ascii="宋体" w:hAnsi="宋体" w:cs="宋体"/>
          <w:szCs w:val="21"/>
          <w:lang w:val="en-US" w:eastAsia="zh-CN"/>
        </w:rPr>
        <w:t xml:space="preserve">65</w:t>
      </w:r>
      <w:r>
        <w:rPr>
          <w:rFonts w:hint="eastAsia" w:ascii="宋体" w:hAnsi="宋体" w:cs="宋体"/>
          <w:szCs w:val="21"/>
        </w:rPr>
        <w:t xml:space="preserve">%的，即投标（响应）报价&lt;通过符合性审查的次低报价供应商投标（响应）报价×</w:t>
      </w:r>
      <w:r>
        <w:rPr>
          <w:rFonts w:hint="eastAsia" w:ascii="宋体" w:hAnsi="宋体" w:cs="宋体"/>
          <w:szCs w:val="21"/>
          <w:lang w:val="en-US" w:eastAsia="zh-CN"/>
        </w:rPr>
        <w:t xml:space="preserve">65</w:t>
      </w:r>
      <w:r>
        <w:rPr>
          <w:rFonts w:hint="eastAsia" w:ascii="宋体" w:hAnsi="宋体" w:cs="宋体"/>
          <w:szCs w:val="21"/>
        </w:rPr>
        <w:t xml:space="preserve">%；</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w:t>
      </w:r>
      <w:r>
        <w:rPr>
          <w:rFonts w:hint="eastAsia" w:ascii="宋体" w:hAnsi="宋体" w:cs="宋体"/>
          <w:szCs w:val="21"/>
          <w:lang w:val="en-US" w:eastAsia="zh-CN"/>
        </w:rPr>
        <w:t xml:space="preserve">65</w:t>
      </w:r>
      <w:r>
        <w:rPr>
          <w:rFonts w:hint="eastAsia" w:ascii="宋体" w:hAnsi="宋体" w:cs="宋体"/>
          <w:szCs w:val="21"/>
        </w:rPr>
        <w:t xml:space="preserve">%的，即投标（响应）报价&lt;采购项目最高限价×</w:t>
      </w:r>
      <w:r>
        <w:rPr>
          <w:rFonts w:hint="eastAsia" w:ascii="宋体" w:hAnsi="宋体" w:cs="宋体"/>
          <w:szCs w:val="21"/>
          <w:lang w:val="en-US" w:eastAsia="zh-CN"/>
        </w:rPr>
        <w:t xml:space="preserve">65</w:t>
      </w:r>
      <w:r>
        <w:rPr>
          <w:rFonts w:hint="eastAsia" w:ascii="宋体" w:hAnsi="宋体" w:cs="宋体"/>
          <w:szCs w:val="21"/>
        </w:rPr>
        <w:t xml:space="preserve">%；</w:t>
      </w:r>
      <w:r>
        <w:rPr>
          <w:rFonts w:hint="eastAsia" w:ascii="宋体" w:hAnsi="宋体" w:cs="宋体"/>
          <w:szCs w:val="21"/>
        </w:rPr>
      </w:r>
      <w:r/>
    </w:p>
    <w:p>
      <w:pPr>
        <w:pStyle w:val="1484"/>
        <w:ind w:firstLine="420"/>
        <w:spacing w:line="360" w:lineRule="auto"/>
        <w:rPr>
          <w:rFonts w:hint="eastAsia" w:ascii="宋体" w:hAnsi="宋体" w:cs="宋体"/>
          <w:color w:val="000000"/>
          <w:szCs w:val="21"/>
        </w:rPr>
      </w:pPr>
      <w:r>
        <w:rPr>
          <w:rFonts w:hint="eastAsia" w:ascii="宋体" w:hAnsi="宋体" w:cs="宋体"/>
          <w:szCs w:val="21"/>
        </w:rPr>
        <w:t xml:space="preserve">4.评审委员会基于专业判断，认为供应商报价过低，有可能影响产品质量或者不能诚信履约的其他情形。</w:t>
      </w:r>
      <w:r>
        <w:rPr>
          <w:rFonts w:hint="eastAsia" w:ascii="宋体" w:hAnsi="宋体" w:cs="宋体"/>
          <w:color w:val="000000"/>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szCs w:val="21"/>
        </w:rPr>
      </w:r>
      <w:r/>
    </w:p>
    <w:p>
      <w:pPr>
        <w:pStyle w:val="1484"/>
        <w:ind w:firstLine="420"/>
        <w:spacing w:line="360" w:lineRule="auto"/>
        <w:rPr>
          <w:rFonts w:hint="eastAsia" w:ascii="宋体" w:hAnsi="宋体" w:cs="宋体"/>
          <w:bCs/>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Cs/>
          <w:szCs w:val="21"/>
        </w:rPr>
      </w:r>
      <w:r/>
    </w:p>
    <w:p>
      <w:pPr>
        <w:pStyle w:val="1484"/>
        <w:ind w:firstLine="422"/>
        <w:spacing w:line="360" w:lineRule="auto"/>
        <w:rPr>
          <w:rFonts w:hint="eastAsia" w:ascii="宋体" w:hAnsi="宋体" w:cs="宋体"/>
          <w:b/>
          <w:szCs w:val="21"/>
        </w:rPr>
      </w:pPr>
      <w:r>
        <w:rPr>
          <w:rFonts w:hint="eastAsia" w:ascii="宋体" w:hAnsi="宋体" w:cs="宋体"/>
          <w:b/>
          <w:szCs w:val="21"/>
        </w:rPr>
        <w:t xml:space="preserve">20.8评标委员会在评标时只能依据招标文件规定的办法进行评审,不得寻求外部的证据。</w:t>
      </w:r>
      <w:r>
        <w:rPr>
          <w:rFonts w:hint="eastAsia" w:ascii="宋体" w:hAnsi="宋体" w:cs="宋体"/>
          <w:b/>
          <w:szCs w:val="21"/>
        </w:rPr>
      </w:r>
      <w:r/>
    </w:p>
    <w:p>
      <w:pPr>
        <w:pStyle w:val="1487"/>
        <w:ind w:left="0" w:firstLine="422"/>
        <w:jc w:val="both"/>
        <w:spacing w:line="360" w:lineRule="auto"/>
        <w:tabs>
          <w:tab w:val="left" w:pos="480" w:leader="none"/>
        </w:tabs>
        <w:rPr>
          <w:rFonts w:hint="eastAsia" w:ascii="宋体" w:hAnsi="宋体" w:eastAsia="宋体" w:cs="宋体"/>
          <w:b/>
          <w:bCs/>
          <w:sz w:val="21"/>
          <w:szCs w:val="21"/>
        </w:rPr>
      </w:pPr>
      <w:r/>
      <w:bookmarkStart w:id="166" w:name="_Toc31450"/>
      <w:r>
        <w:rPr>
          <w:rFonts w:hint="eastAsia" w:ascii="宋体" w:hAnsi="宋体" w:eastAsia="宋体" w:cs="宋体"/>
          <w:b/>
          <w:bCs/>
          <w:sz w:val="21"/>
          <w:szCs w:val="21"/>
        </w:rPr>
        <w:t xml:space="preserve">21.投标文件的澄清</w:t>
      </w:r>
      <w:bookmarkEnd w:id="164"/>
      <w:r/>
      <w:bookmarkEnd w:id="166"/>
      <w:r>
        <w:rPr>
          <w:rFonts w:hint="eastAsia" w:ascii="宋体" w:hAnsi="宋体" w:eastAsia="宋体" w:cs="宋体"/>
          <w:b/>
          <w:bCs/>
          <w:sz w:val="21"/>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21.4供应商澄清、说明或者补正不得超出投标文件的范围或者改变投标文件的实质性内容。供应商拒不按照要求对投标文件进行澄清、说明或者补正的，视其放弃该项权利。</w:t>
      </w:r>
      <w:r>
        <w:rPr>
          <w:rFonts w:hint="eastAsia" w:ascii="宋体" w:hAnsi="宋体" w:cs="宋体"/>
          <w:bCs/>
          <w:szCs w:val="21"/>
        </w:rPr>
      </w:r>
      <w:r/>
    </w:p>
    <w:p>
      <w:pPr>
        <w:pStyle w:val="1487"/>
        <w:ind w:left="0" w:firstLine="422"/>
        <w:jc w:val="both"/>
        <w:spacing w:line="360" w:lineRule="auto"/>
        <w:tabs>
          <w:tab w:val="left" w:pos="480" w:leader="none"/>
        </w:tabs>
        <w:rPr>
          <w:rFonts w:hint="eastAsia" w:ascii="宋体" w:hAnsi="宋体" w:eastAsia="宋体" w:cs="宋体"/>
          <w:b/>
          <w:bCs/>
          <w:sz w:val="21"/>
          <w:szCs w:val="21"/>
        </w:rPr>
      </w:pPr>
      <w:r/>
      <w:bookmarkStart w:id="167" w:name="_Toc438"/>
      <w:r/>
      <w:bookmarkStart w:id="168" w:name="_Toc21360"/>
      <w:r>
        <w:rPr>
          <w:rFonts w:hint="eastAsia" w:ascii="宋体" w:hAnsi="宋体" w:eastAsia="宋体" w:cs="宋体"/>
          <w:b/>
          <w:bCs/>
          <w:sz w:val="21"/>
          <w:szCs w:val="21"/>
        </w:rPr>
        <w:t xml:space="preserve">22.对投标文件的详细评审</w:t>
      </w:r>
      <w:bookmarkEnd w:id="167"/>
      <w:r/>
      <w:bookmarkEnd w:id="168"/>
      <w:r>
        <w:rPr>
          <w:rFonts w:hint="eastAsia" w:ascii="宋体" w:hAnsi="宋体" w:eastAsia="宋体" w:cs="宋体"/>
          <w:b/>
          <w:bCs/>
          <w:sz w:val="21"/>
          <w:szCs w:val="21"/>
        </w:rPr>
      </w:r>
      <w:r/>
    </w:p>
    <w:p>
      <w:pPr>
        <w:pStyle w:val="1484"/>
        <w:ind w:firstLine="420"/>
        <w:spacing w:line="360" w:lineRule="auto"/>
        <w:rPr>
          <w:rFonts w:hint="eastAsia" w:ascii="宋体" w:hAnsi="宋体" w:cs="宋体"/>
          <w:szCs w:val="21"/>
        </w:rPr>
      </w:pPr>
      <w:r/>
      <w:bookmarkEnd w:id="165"/>
      <w:r/>
      <w:bookmarkStart w:id="169" w:name="_Toc21985"/>
      <w:r/>
      <w:bookmarkStart w:id="170" w:name="_Toc12358"/>
      <w:r/>
      <w:bookmarkStart w:id="171" w:name="_Toc28875"/>
      <w:r/>
      <w:bookmarkStart w:id="172" w:name="_Toc26838"/>
      <w:r>
        <w:rPr>
          <w:rFonts w:hint="eastAsia" w:ascii="宋体" w:hAnsi="宋体" w:cs="宋体"/>
          <w:bCs/>
          <w:szCs w:val="21"/>
        </w:rPr>
        <w:t xml:space="preserve">22.1</w:t>
      </w:r>
      <w:r>
        <w:rPr>
          <w:rFonts w:hint="eastAsia" w:ascii="宋体" w:hAns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szCs w:val="21"/>
        </w:rPr>
        <w:t xml:space="preserve">取技术分最高者；均相同时，由</w:t>
      </w:r>
      <w:r>
        <w:rPr>
          <w:rFonts w:hint="eastAsia" w:ascii="宋体" w:hAnsi="宋体" w:cs="宋体"/>
          <w:szCs w:val="21"/>
        </w:rPr>
        <w:t xml:space="preserve">评标委员会</w:t>
      </w:r>
      <w:r>
        <w:rPr>
          <w:rFonts w:hint="eastAsia" w:ascii="宋体" w:hAnsi="宋体" w:cs="宋体"/>
          <w:bCs/>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cs="宋体"/>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22.2评标委员会应当按照招标文件中规定的评标方法和标准，对符合性审查合格的投标文件进行商务和技术评估，综合比较与评价。</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22.4评审因素包括投标报价、技术或者服务水平、履约能力、售后服务等</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22.5评标标准详见文件第三章。</w:t>
      </w:r>
      <w:r>
        <w:rPr>
          <w:rFonts w:hint="eastAsia" w:ascii="宋体" w:hAnsi="宋体" w:cs="宋体"/>
          <w:bCs/>
          <w:szCs w:val="21"/>
        </w:rPr>
      </w:r>
      <w:r/>
    </w:p>
    <w:p>
      <w:pPr>
        <w:pStyle w:val="1487"/>
        <w:ind w:left="0" w:firstLine="422"/>
        <w:jc w:val="both"/>
        <w:spacing w:line="360" w:lineRule="auto"/>
        <w:tabs>
          <w:tab w:val="left" w:pos="480" w:leader="none"/>
        </w:tabs>
        <w:rPr>
          <w:rFonts w:hint="eastAsia" w:ascii="宋体" w:hAnsi="宋体" w:eastAsia="宋体" w:cs="宋体"/>
          <w:b/>
          <w:bCs/>
          <w:sz w:val="21"/>
          <w:szCs w:val="21"/>
        </w:rPr>
      </w:pPr>
      <w:r/>
      <w:bookmarkStart w:id="173" w:name="_Toc31277"/>
      <w:r>
        <w:rPr>
          <w:rFonts w:hint="eastAsia" w:ascii="宋体" w:hAnsi="宋体" w:eastAsia="宋体" w:cs="宋体"/>
          <w:b/>
          <w:bCs/>
          <w:sz w:val="21"/>
          <w:szCs w:val="21"/>
        </w:rPr>
        <w:t xml:space="preserve">23.评标过程的保密与公正</w:t>
      </w:r>
      <w:bookmarkEnd w:id="169"/>
      <w:r/>
      <w:bookmarkEnd w:id="170"/>
      <w:r/>
      <w:bookmarkEnd w:id="171"/>
      <w:r/>
      <w:bookmarkEnd w:id="173"/>
      <w:r>
        <w:rPr>
          <w:rFonts w:hint="eastAsia" w:ascii="宋体" w:hAnsi="宋体" w:eastAsia="宋体" w:cs="宋体"/>
          <w:b/>
          <w:bCs/>
          <w:sz w:val="21"/>
          <w:szCs w:val="21"/>
        </w:rPr>
      </w:r>
      <w:r/>
    </w:p>
    <w:p>
      <w:pPr>
        <w:pStyle w:val="1484"/>
        <w:ind w:firstLine="420"/>
        <w:spacing w:line="360" w:lineRule="auto"/>
        <w:rPr>
          <w:rFonts w:hint="eastAsia" w:ascii="宋体" w:hAnsi="宋体" w:cs="宋体"/>
          <w:bCs/>
          <w:szCs w:val="21"/>
        </w:rPr>
      </w:pPr>
      <w:r/>
      <w:bookmarkEnd w:id="172"/>
      <w:r/>
      <w:bookmarkStart w:id="174" w:name="_Toc30824"/>
      <w:r/>
      <w:bookmarkStart w:id="175" w:name="_Toc26041"/>
      <w:r/>
      <w:bookmarkStart w:id="176" w:name="_Toc18327"/>
      <w:r>
        <w:rPr>
          <w:rFonts w:hint="eastAsia" w:ascii="宋体" w:hAnsi="宋体" w:cs="宋体"/>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23.2在评标过程中，供应商不得以任何行为影响评标过程，否则其投标文件将被作为无效投标文件。</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23.3 采购代理机构和评标委员会不得向落标的供应商解释未中标原因，也不公布评标过程中的相关细节。</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23.4 在评标期间，采购代理机构将指定联络员与供应商进行联络。</w:t>
      </w:r>
      <w:r>
        <w:rPr>
          <w:rFonts w:hint="eastAsia" w:ascii="宋体" w:hAnsi="宋体" w:cs="宋体"/>
          <w:bCs/>
          <w:szCs w:val="21"/>
        </w:rPr>
      </w:r>
      <w:r/>
    </w:p>
    <w:p>
      <w:pPr>
        <w:pStyle w:val="148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77" w:name="_Toc21168"/>
      <w:r/>
      <w:bookmarkStart w:id="178" w:name="_Toc6380"/>
      <w:r>
        <w:rPr>
          <w:rFonts w:hint="eastAsia" w:ascii="宋体" w:hAnsi="宋体" w:eastAsia="宋体" w:cs="宋体"/>
          <w:b/>
          <w:bCs/>
          <w:color w:val="000000"/>
          <w:sz w:val="21"/>
          <w:szCs w:val="21"/>
        </w:rPr>
        <w:t xml:space="preserve">24.无效投标条款和废标条款</w:t>
      </w:r>
      <w:bookmarkEnd w:id="174"/>
      <w:r/>
      <w:bookmarkEnd w:id="175"/>
      <w:r/>
      <w:bookmarkEnd w:id="177"/>
      <w:r/>
      <w:bookmarkEnd w:id="178"/>
      <w:r>
        <w:rPr>
          <w:rFonts w:hint="eastAsia" w:ascii="宋体" w:hAnsi="宋体" w:eastAsia="宋体" w:cs="宋体"/>
          <w:b/>
          <w:bCs/>
          <w:color w:val="000000"/>
          <w:sz w:val="21"/>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24.1无效投标条款</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（1）未按要求交纳投标保证金的；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（3）未按照招标文件规定要求签署、加盖CA电子公章的；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（4）供应商在报价时采用选择性报价；</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（5）供应商不具备招标文件中规定资格要求的；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（6）供应商的报价超过了采购预算的；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（7）未通过符合性检查的；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（8）不符合招标文件中规定的其他实质性要求和条件的；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24.2废标条款：</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（1）符合专业条件的供应商或者对招标文件作实质响应的供应商不足三家的；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（3）因重大变故，采购任务取消的；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（5）因苏采云系统故障原因造成开标不成功的。</w:t>
      </w:r>
      <w:r>
        <w:rPr>
          <w:rFonts w:hint="eastAsia" w:ascii="宋体" w:hAnsi="宋体" w:cs="宋体"/>
          <w:bCs/>
          <w:szCs w:val="21"/>
        </w:rPr>
      </w:r>
      <w:r/>
    </w:p>
    <w:p>
      <w:pPr>
        <w:pStyle w:val="1487"/>
        <w:ind w:left="0" w:firstLine="422"/>
        <w:jc w:val="both"/>
        <w:spacing w:line="360" w:lineRule="auto"/>
        <w:tabs>
          <w:tab w:val="left" w:pos="480" w:leader="none"/>
        </w:tabs>
        <w:rPr>
          <w:rFonts w:hint="eastAsia" w:ascii="宋体" w:hAnsi="宋体" w:eastAsia="宋体" w:cs="宋体"/>
          <w:b/>
          <w:bCs/>
          <w:sz w:val="21"/>
          <w:szCs w:val="21"/>
        </w:rPr>
      </w:pPr>
      <w:r/>
      <w:bookmarkStart w:id="179" w:name="_Toc323"/>
      <w:r/>
      <w:bookmarkStart w:id="180" w:name="_Toc22143"/>
      <w:r>
        <w:rPr>
          <w:rFonts w:hint="eastAsia" w:ascii="宋体" w:hAnsi="宋体" w:eastAsia="宋体" w:cs="宋体"/>
          <w:b/>
          <w:bCs/>
          <w:sz w:val="21"/>
          <w:szCs w:val="21"/>
        </w:rPr>
        <w:t xml:space="preserve">25.投标截止时间结束参加投标的供应商不足三家的处理</w:t>
      </w:r>
      <w:bookmarkEnd w:id="179"/>
      <w:r/>
      <w:bookmarkEnd w:id="180"/>
      <w:r>
        <w:rPr>
          <w:rFonts w:hint="eastAsia" w:ascii="宋体" w:hAnsi="宋体" w:eastAsia="宋体" w:cs="宋体"/>
          <w:b/>
          <w:bCs/>
          <w:sz w:val="21"/>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25.3供应商若不接受采购方式的改变，应在规定的时间内书面向评标委员会说明，未在规定时间内提交书面说明的视为接受采购方式的改变。</w:t>
      </w:r>
      <w:r>
        <w:rPr>
          <w:rFonts w:hint="eastAsia" w:ascii="宋体" w:hAnsi="宋体" w:cs="宋体"/>
          <w:bCs/>
          <w:szCs w:val="21"/>
        </w:rPr>
      </w:r>
      <w:r/>
    </w:p>
    <w:p>
      <w:pPr>
        <w:pStyle w:val="1484"/>
        <w:ind w:firstLine="420"/>
        <w:spacing w:line="360" w:lineRule="auto"/>
        <w:shd w:val="clear" w:color="auto" w:fill="ffffff"/>
        <w:widowControl/>
        <w:rPr>
          <w:rFonts w:hint="eastAsia" w:ascii="宋体" w:hAnsi="宋体" w:cs="宋体"/>
          <w:b/>
          <w:bCs/>
          <w:color w:val="000000"/>
          <w:szCs w:val="21"/>
        </w:rPr>
        <w:outlineLvl w:val="1"/>
      </w:pPr>
      <w:r/>
      <w:bookmarkStart w:id="181" w:name="_Toc5044"/>
      <w:r/>
      <w:bookmarkStart w:id="182" w:name="_Toc6210"/>
      <w:r>
        <w:rPr>
          <w:rFonts w:hint="eastAsia" w:ascii="宋体" w:hAnsi="宋体" w:cs="宋体"/>
          <w:b/>
          <w:bCs/>
          <w:color w:val="000000"/>
          <w:szCs w:val="21"/>
        </w:rPr>
        <w:t xml:space="preserve">六、授标</w:t>
      </w:r>
      <w:bookmarkEnd w:id="176"/>
      <w:r/>
      <w:bookmarkEnd w:id="181"/>
      <w:r/>
      <w:bookmarkEnd w:id="182"/>
      <w:r>
        <w:rPr>
          <w:rFonts w:hint="eastAsia" w:ascii="宋体" w:hAnsi="宋体" w:cs="宋体"/>
          <w:b/>
          <w:bCs/>
          <w:color w:val="000000"/>
          <w:szCs w:val="21"/>
        </w:rPr>
      </w:r>
      <w:r/>
    </w:p>
    <w:p>
      <w:pPr>
        <w:pStyle w:val="1487"/>
        <w:ind w:left="0" w:firstLine="422"/>
        <w:jc w:val="both"/>
        <w:spacing w:line="360" w:lineRule="auto"/>
        <w:tabs>
          <w:tab w:val="left" w:pos="480" w:leader="none"/>
        </w:tabs>
        <w:rPr>
          <w:rFonts w:hint="eastAsia" w:ascii="宋体" w:hAnsi="宋体" w:eastAsia="宋体" w:cs="宋体"/>
          <w:b/>
          <w:bCs/>
          <w:color w:val="000000"/>
          <w:sz w:val="21"/>
          <w:szCs w:val="21"/>
        </w:rPr>
      </w:pPr>
      <w:r/>
      <w:bookmarkStart w:id="183" w:name="_Toc28693"/>
      <w:r/>
      <w:bookmarkStart w:id="184" w:name="_Toc6735"/>
      <w:r/>
      <w:bookmarkStart w:id="185" w:name="_Toc19379"/>
      <w:r>
        <w:rPr>
          <w:rFonts w:hint="eastAsia" w:ascii="宋体" w:hAnsi="宋体" w:eastAsia="宋体" w:cs="宋体"/>
          <w:b/>
          <w:bCs/>
          <w:color w:val="000000"/>
          <w:sz w:val="21"/>
          <w:szCs w:val="21"/>
        </w:rPr>
        <w:t xml:space="preserve">26.确定中标</w:t>
      </w:r>
      <w:bookmarkEnd w:id="183"/>
      <w:r>
        <w:rPr>
          <w:rFonts w:hint="eastAsia" w:ascii="宋体" w:hAnsi="宋体" w:eastAsia="宋体" w:cs="宋体"/>
          <w:b/>
          <w:bCs/>
          <w:color w:val="000000"/>
          <w:sz w:val="21"/>
          <w:szCs w:val="21"/>
        </w:rPr>
        <w:t xml:space="preserve">供应商</w:t>
      </w:r>
      <w:bookmarkEnd w:id="184"/>
      <w:r/>
      <w:bookmarkEnd w:id="185"/>
      <w:r>
        <w:rPr>
          <w:rFonts w:hint="eastAsia" w:ascii="宋体" w:hAnsi="宋体" w:eastAsia="宋体" w:cs="宋体"/>
          <w:b/>
          <w:bCs/>
          <w:color w:val="000000"/>
          <w:sz w:val="21"/>
          <w:szCs w:val="21"/>
        </w:rPr>
      </w:r>
      <w:r/>
    </w:p>
    <w:p>
      <w:pPr>
        <w:pStyle w:val="1484"/>
        <w:ind w:firstLine="420"/>
        <w:spacing w:line="360" w:lineRule="auto"/>
        <w:rPr>
          <w:rFonts w:hint="eastAsia" w:ascii="宋体" w:hAnsi="宋体" w:cs="宋体"/>
          <w:szCs w:val="21"/>
        </w:rPr>
      </w:pPr>
      <w:r/>
      <w:bookmarkStart w:id="186" w:name="_Toc7377"/>
      <w:r>
        <w:rPr>
          <w:rFonts w:hint="eastAsia" w:ascii="宋体" w:hAns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48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26.2 采购人应根据评标委员会推荐的中标候选供应商确定中标供应商。</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26.3评标委员会根据全体评标成员签字的原始评标记录和评标结果编写评标报告。</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26.6 若评标委员会发现供应商的投标文件中有弄虚作假行为，则该供应商将失去中标资格。</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26.7 所有投标文件都将作为档案保存，不论中标与否，代理机构均不退回。</w:t>
      </w:r>
      <w:r>
        <w:rPr>
          <w:rFonts w:hint="eastAsia" w:ascii="宋体" w:hAnsi="宋体" w:cs="宋体"/>
          <w:szCs w:val="21"/>
        </w:rPr>
      </w:r>
      <w:r/>
    </w:p>
    <w:p>
      <w:pPr>
        <w:pStyle w:val="1487"/>
        <w:ind w:left="0" w:firstLine="422"/>
        <w:jc w:val="both"/>
        <w:spacing w:line="360" w:lineRule="auto"/>
        <w:tabs>
          <w:tab w:val="left" w:pos="480" w:leader="none"/>
        </w:tabs>
        <w:rPr>
          <w:rFonts w:hint="eastAsia" w:ascii="宋体" w:hAnsi="宋体" w:eastAsia="宋体" w:cs="宋体"/>
          <w:b/>
          <w:bCs/>
          <w:color w:val="000000"/>
          <w:sz w:val="21"/>
          <w:szCs w:val="21"/>
        </w:rPr>
      </w:pPr>
      <w:r/>
      <w:bookmarkEnd w:id="186"/>
      <w:r/>
      <w:bookmarkStart w:id="187" w:name="_Toc21169"/>
      <w:r/>
      <w:bookmarkStart w:id="188" w:name="_Toc32182"/>
      <w:r/>
      <w:bookmarkStart w:id="189" w:name="_Toc17252"/>
      <w:r/>
      <w:bookmarkStart w:id="190" w:name="_Toc19713"/>
      <w:r/>
      <w:bookmarkStart w:id="191" w:name="_Toc20127"/>
      <w:r/>
      <w:bookmarkStart w:id="192" w:name="_Toc4684"/>
      <w:r>
        <w:rPr>
          <w:rFonts w:hint="eastAsia" w:ascii="宋体" w:hAnsi="宋体" w:eastAsia="宋体" w:cs="宋体"/>
          <w:b/>
          <w:bCs/>
          <w:color w:val="000000"/>
          <w:sz w:val="21"/>
          <w:szCs w:val="21"/>
        </w:rPr>
        <w:t xml:space="preserve">27.中标的通知</w:t>
      </w:r>
      <w:bookmarkEnd w:id="187"/>
      <w:r/>
      <w:bookmarkEnd w:id="188"/>
      <w:r/>
      <w:bookmarkEnd w:id="189"/>
      <w:r/>
      <w:bookmarkEnd w:id="190"/>
      <w:r/>
      <w:bookmarkEnd w:id="191"/>
      <w:r>
        <w:rPr>
          <w:rFonts w:hint="eastAsia" w:ascii="宋体" w:hAnsi="宋体" w:eastAsia="宋体" w:cs="宋体"/>
          <w:b/>
          <w:bCs/>
          <w:color w:val="000000"/>
          <w:sz w:val="21"/>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27.1定标后，采购代理机构将以公告形式将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27.2中标通知书将是合同的一个组成部分。对采购人和中标人均具有法律效力。中标通知书发出后，采购人改变中标结果的，或者中标人放弃中标项目的，应当依法承担法律责任。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bCs/>
          <w:szCs w:val="21"/>
        </w:rPr>
      </w:r>
      <w:r/>
    </w:p>
    <w:p>
      <w:pPr>
        <w:pStyle w:val="1487"/>
        <w:ind w:left="0" w:firstLine="422"/>
        <w:jc w:val="both"/>
        <w:spacing w:line="360" w:lineRule="auto"/>
        <w:tabs>
          <w:tab w:val="left" w:pos="480" w:leader="none"/>
        </w:tabs>
        <w:rPr>
          <w:rFonts w:hint="eastAsia" w:ascii="宋体" w:hAnsi="宋体" w:eastAsia="宋体" w:cs="宋体"/>
          <w:b/>
          <w:bCs/>
          <w:sz w:val="21"/>
          <w:szCs w:val="21"/>
        </w:rPr>
      </w:pPr>
      <w:r/>
      <w:bookmarkEnd w:id="192"/>
      <w:r/>
      <w:bookmarkStart w:id="193" w:name="_Toc15484"/>
      <w:r/>
      <w:bookmarkStart w:id="194" w:name="_Toc2049"/>
      <w:r/>
      <w:bookmarkStart w:id="195" w:name="_Toc28003"/>
      <w:r/>
      <w:bookmarkStart w:id="196" w:name="_Toc6096"/>
      <w:r/>
      <w:bookmarkStart w:id="197" w:name="_Toc24788"/>
      <w:r>
        <w:rPr>
          <w:rFonts w:hint="eastAsia" w:ascii="宋体" w:hAnsi="宋体" w:eastAsia="宋体" w:cs="宋体"/>
          <w:b/>
          <w:bCs/>
          <w:color w:val="000000"/>
          <w:sz w:val="21"/>
          <w:szCs w:val="21"/>
        </w:rPr>
        <w:t xml:space="preserve">28.签订合同</w:t>
      </w:r>
      <w:bookmarkEnd w:id="193"/>
      <w:r/>
      <w:bookmarkEnd w:id="194"/>
      <w:r/>
      <w:bookmarkEnd w:id="195"/>
      <w:r/>
      <w:bookmarkEnd w:id="196"/>
      <w:r>
        <w:rPr>
          <w:rFonts w:hint="eastAsia" w:ascii="宋体" w:hAnsi="宋体" w:eastAsia="宋体" w:cs="宋体"/>
          <w:b/>
          <w:bCs/>
          <w:sz w:val="21"/>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28.2招标文件、中标供应商的投标文件及评标过程中有关澄清、说明或者补正文件均应作为合同附件。</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28.3若中标供应商未能按规定签约，中标将被撤销及投标保证金被没收，在这种情况下采购人可以另选中标供应商或重新招标。</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bCs/>
          <w:szCs w:val="21"/>
        </w:rPr>
      </w:r>
      <w:r/>
    </w:p>
    <w:p>
      <w:pPr>
        <w:pStyle w:val="1487"/>
        <w:ind w:left="0" w:firstLine="422"/>
        <w:jc w:val="both"/>
        <w:spacing w:line="360" w:lineRule="auto"/>
        <w:tabs>
          <w:tab w:val="left" w:pos="480" w:leader="none"/>
        </w:tabs>
        <w:rPr>
          <w:rFonts w:hint="eastAsia" w:ascii="宋体" w:hAnsi="宋体" w:eastAsia="宋体" w:cs="宋体"/>
          <w:b/>
          <w:bCs/>
          <w:color w:val="000000"/>
          <w:sz w:val="21"/>
          <w:szCs w:val="21"/>
        </w:rPr>
      </w:pPr>
      <w:r/>
      <w:bookmarkEnd w:id="197"/>
      <w:r/>
      <w:bookmarkStart w:id="198" w:name="_Toc22298"/>
      <w:r/>
      <w:bookmarkStart w:id="199" w:name="_Toc15509"/>
      <w:r/>
      <w:bookmarkStart w:id="200" w:name="_Toc11230"/>
      <w:r/>
      <w:bookmarkStart w:id="201" w:name="_Toc2384"/>
      <w:r/>
      <w:bookmarkStart w:id="202" w:name="_Toc20112"/>
      <w:r>
        <w:rPr>
          <w:rFonts w:hint="eastAsia" w:ascii="宋体" w:hAnsi="宋体" w:eastAsia="宋体" w:cs="宋体"/>
          <w:b/>
          <w:bCs/>
          <w:color w:val="000000"/>
          <w:sz w:val="21"/>
          <w:szCs w:val="21"/>
        </w:rPr>
        <w:t xml:space="preserve">29.</w:t>
      </w:r>
      <w:bookmarkEnd w:id="198"/>
      <w:r>
        <w:rPr>
          <w:rFonts w:hint="eastAsia" w:ascii="宋体" w:hAnsi="宋体" w:eastAsia="宋体" w:cs="宋体"/>
          <w:b/>
          <w:bCs/>
          <w:color w:val="000000"/>
          <w:sz w:val="21"/>
          <w:szCs w:val="21"/>
        </w:rPr>
        <w:t xml:space="preserve">招标代理服务费</w:t>
      </w:r>
      <w:bookmarkEnd w:id="199"/>
      <w:r/>
      <w:bookmarkEnd w:id="200"/>
      <w:r/>
      <w:bookmarkEnd w:id="201"/>
      <w:r>
        <w:rPr>
          <w:rFonts w:hint="eastAsia" w:ascii="宋体" w:hAnsi="宋体" w:eastAsia="宋体" w:cs="宋体"/>
          <w:b/>
          <w:bCs/>
          <w:color w:val="000000"/>
          <w:sz w:val="21"/>
          <w:szCs w:val="21"/>
        </w:rPr>
      </w:r>
      <w:r/>
    </w:p>
    <w:p>
      <w:pPr>
        <w:pStyle w:val="1484"/>
        <w:ind w:firstLine="420"/>
        <w:spacing w:line="360" w:lineRule="auto"/>
        <w:shd w:val="clear" w:color="auto" w:fill="ffffff"/>
        <w:widowControl/>
        <w:rPr>
          <w:rFonts w:hint="eastAsia" w:ascii="宋体" w:hAnsi="宋体" w:cs="宋体"/>
          <w:bCs/>
          <w:szCs w:val="21"/>
        </w:rPr>
      </w:pPr>
      <w:r/>
      <w:bookmarkStart w:id="203" w:name="_Toc30326"/>
      <w:r>
        <w:rPr>
          <w:rFonts w:hint="eastAsia" w:ascii="宋体" w:hAnsi="宋体" w:cs="宋体"/>
          <w:bCs/>
          <w:szCs w:val="21"/>
        </w:rPr>
        <w:t xml:space="preserve">详见投标人须知前附表。</w:t>
      </w:r>
      <w:r>
        <w:rPr>
          <w:rFonts w:hint="eastAsia" w:ascii="宋体" w:hAnsi="宋体" w:cs="宋体"/>
          <w:bCs/>
          <w:szCs w:val="21"/>
        </w:rPr>
      </w:r>
      <w:r/>
    </w:p>
    <w:p>
      <w:pPr>
        <w:pStyle w:val="1484"/>
        <w:ind w:firstLine="420"/>
        <w:spacing w:line="360" w:lineRule="auto"/>
        <w:shd w:val="clear" w:color="auto" w:fill="ffffff"/>
        <w:widowControl/>
        <w:rPr>
          <w:rFonts w:hint="eastAsia" w:ascii="宋体" w:hAnsi="宋体" w:cs="宋体"/>
          <w:b/>
          <w:bCs/>
          <w:color w:val="000000"/>
          <w:szCs w:val="21"/>
        </w:rPr>
        <w:outlineLvl w:val="1"/>
      </w:pPr>
      <w:r/>
      <w:bookmarkStart w:id="204" w:name="_Toc17603"/>
      <w:r>
        <w:rPr>
          <w:rFonts w:hint="eastAsia" w:ascii="宋体" w:hAnsi="宋体" w:cs="宋体"/>
          <w:b/>
          <w:bCs/>
          <w:color w:val="000000"/>
          <w:szCs w:val="21"/>
        </w:rPr>
        <w:t xml:space="preserve">七、质疑</w:t>
      </w:r>
      <w:bookmarkEnd w:id="202"/>
      <w:r/>
      <w:bookmarkEnd w:id="203"/>
      <w:r/>
      <w:bookmarkEnd w:id="204"/>
      <w:r>
        <w:rPr>
          <w:rFonts w:hint="eastAsia" w:ascii="宋体" w:hAnsi="宋体" w:cs="宋体"/>
          <w:b/>
          <w:bCs/>
          <w:color w:val="000000"/>
          <w:szCs w:val="21"/>
        </w:rPr>
      </w:r>
      <w:r/>
    </w:p>
    <w:p>
      <w:pPr>
        <w:pStyle w:val="1487"/>
        <w:ind w:left="0" w:firstLine="422"/>
        <w:jc w:val="both"/>
        <w:spacing w:line="360" w:lineRule="auto"/>
        <w:tabs>
          <w:tab w:val="left" w:pos="480" w:leader="none"/>
        </w:tabs>
        <w:rPr>
          <w:rFonts w:hint="eastAsia" w:ascii="宋体" w:hAnsi="宋体" w:eastAsia="宋体" w:cs="宋体"/>
          <w:b/>
          <w:bCs/>
          <w:color w:val="000000"/>
          <w:sz w:val="21"/>
          <w:szCs w:val="21"/>
        </w:rPr>
      </w:pPr>
      <w:r/>
      <w:bookmarkStart w:id="205" w:name="_Toc19917"/>
      <w:r/>
      <w:bookmarkStart w:id="206" w:name="_Toc16085"/>
      <w:r/>
      <w:bookmarkStart w:id="207" w:name="_Toc29529"/>
      <w:r/>
      <w:bookmarkStart w:id="208" w:name="_Toc4679"/>
      <w:r/>
      <w:bookmarkStart w:id="209" w:name="_Toc15615"/>
      <w:r>
        <w:rPr>
          <w:rFonts w:hint="eastAsia" w:ascii="宋体" w:hAnsi="宋体" w:eastAsia="宋体" w:cs="宋体"/>
          <w:b/>
          <w:bCs/>
          <w:color w:val="000000"/>
          <w:sz w:val="21"/>
          <w:szCs w:val="21"/>
        </w:rPr>
        <w:t xml:space="preserve">30、质疑</w:t>
      </w:r>
      <w:bookmarkEnd w:id="205"/>
      <w:r/>
      <w:bookmarkEnd w:id="206"/>
      <w:r/>
      <w:bookmarkEnd w:id="207"/>
      <w:r/>
      <w:bookmarkEnd w:id="208"/>
      <w:r/>
      <w:bookmarkEnd w:id="209"/>
      <w:r>
        <w:rPr>
          <w:rFonts w:hint="eastAsia" w:ascii="宋体" w:hAnsi="宋体" w:eastAsia="宋体" w:cs="宋体"/>
          <w:b/>
          <w:bCs/>
          <w:color w:val="000000"/>
          <w:sz w:val="21"/>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30.1供应商对招标活动事项有疑问的，可以向采购代理机构提出询问，采购代理机构将依法作出答复，但答复的内容不涉及商业秘密。</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cs="宋体"/>
          <w:b/>
          <w:szCs w:val="21"/>
        </w:rPr>
        <w:t xml:space="preserve">书面形式（原件）</w:t>
      </w:r>
      <w:r>
        <w:rPr>
          <w:rFonts w:hint="eastAsia" w:ascii="宋体" w:hAnsi="宋体" w:cs="宋体"/>
          <w:bCs/>
          <w:szCs w:val="21"/>
        </w:rPr>
        <w:t xml:space="preserve">送达代理机构，质疑期外提出的质疑，采购代理机构将不予受理。</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30.3供应商须在法定质疑期内</w:t>
      </w:r>
      <w:r>
        <w:rPr>
          <w:rFonts w:hint="eastAsia" w:ascii="宋体" w:hAnsi="宋体" w:cs="宋体"/>
          <w:b/>
          <w:szCs w:val="21"/>
        </w:rPr>
        <w:t xml:space="preserve">一次性提出</w:t>
      </w:r>
      <w:r>
        <w:rPr>
          <w:rFonts w:hint="eastAsia" w:ascii="宋体" w:hAnsi="宋体" w:cs="宋体"/>
          <w:bCs/>
          <w:szCs w:val="21"/>
        </w:rPr>
        <w:t xml:space="preserve">针对本项目同一采购程序环节的质疑。</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30.5质疑供应商若对项目的某一分包进行质疑，质疑函中应列明具体分包号。</w:t>
      </w:r>
      <w:r>
        <w:rPr>
          <w:rFonts w:hint="eastAsia" w:ascii="宋体" w:hAnsi="宋体" w:cs="宋体"/>
          <w:bCs/>
          <w:szCs w:val="21"/>
        </w:rPr>
      </w:r>
      <w:r/>
    </w:p>
    <w:p>
      <w:pPr>
        <w:pStyle w:val="1484"/>
        <w:ind w:firstLine="409"/>
        <w:spacing w:line="360" w:lineRule="auto"/>
        <w:rPr>
          <w:rFonts w:hint="eastAsia" w:ascii="宋体" w:hAnsi="宋体" w:cs="宋体"/>
          <w:bCs/>
          <w:szCs w:val="21"/>
        </w:rPr>
      </w:pPr>
      <w:r>
        <w:rPr>
          <w:rFonts w:hint="eastAsia" w:ascii="宋体" w:hAnsi="宋体" w:cs="宋体"/>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（1）供应商的姓名或者名称、地址、邮编、联系人及联系电话；</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（2）质疑项目的名称、编号；</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（3）具体、明确的质疑事项和与质疑事项相关的请求；</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（4）事实依据；</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（5）必要的法律依据</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（6）提出质疑的日期</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1484"/>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cs="宋体"/>
          <w:bCs/>
          <w:color w:val="000000"/>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30.9</w:t>
      </w:r>
      <w:r>
        <w:rPr>
          <w:rFonts w:hint="eastAsia" w:ascii="宋体" w:hAnsi="宋体" w:cs="宋体"/>
          <w:b/>
          <w:szCs w:val="21"/>
        </w:rPr>
        <w:t xml:space="preserve">本项目质疑函的联系部门、联系电话和通讯地址详见第二章投标人须知前附表</w:t>
      </w:r>
      <w:r>
        <w:rPr>
          <w:rFonts w:hint="eastAsia" w:ascii="宋体" w:hAnsi="宋体" w:cs="宋体"/>
          <w:bCs/>
          <w:szCs w:val="21"/>
        </w:rPr>
        <w:t xml:space="preserve">。</w:t>
      </w:r>
      <w:r>
        <w:rPr>
          <w:rFonts w:hint="eastAsia" w:ascii="宋体" w:hAnsi="宋体" w:cs="宋体"/>
          <w:bCs/>
          <w:szCs w:val="21"/>
        </w:rPr>
      </w:r>
      <w:r/>
    </w:p>
    <w:p>
      <w:pPr>
        <w:pStyle w:val="1484"/>
        <w:ind w:firstLine="420"/>
        <w:spacing w:line="360" w:lineRule="auto"/>
        <w:rPr>
          <w:rFonts w:hint="eastAsia" w:ascii="宋体" w:hAnsi="宋体" w:cs="宋体"/>
          <w:bCs/>
          <w:szCs w:val="21"/>
        </w:rPr>
      </w:pPr>
      <w:r>
        <w:rPr>
          <w:rFonts w:hint="eastAsia" w:ascii="宋体" w:hAnsi="宋体" w:cs="宋体"/>
          <w:bCs/>
          <w:szCs w:val="21"/>
        </w:rPr>
        <w:t xml:space="preserve">30.10采购代理机构在收到书面质疑后七个工作日内作出答复，并以书面形式通知质疑供应商和其他有关供应商，答复的内容不涉及商业秘密。</w:t>
      </w:r>
      <w:r>
        <w:rPr>
          <w:rFonts w:hint="eastAsia" w:ascii="宋体" w:hAnsi="宋体" w:cs="宋体"/>
          <w:bCs/>
          <w:szCs w:val="21"/>
        </w:rPr>
        <w:br w:type="textWrapping" w:clear="all"/>
      </w:r>
      <w:r>
        <w:rPr>
          <w:rFonts w:hint="eastAsia" w:ascii="宋体" w:hAnsi="宋体" w:cs="宋体"/>
          <w:b/>
          <w:bCs/>
          <w:szCs w:val="21"/>
        </w:rPr>
        <w:t xml:space="preserve">八、政府采购履约资金扶持政策</w:t>
      </w:r>
      <w:r>
        <w:rPr>
          <w:rFonts w:hint="eastAsia" w:ascii="宋体" w:hAnsi="宋体" w:cs="宋体"/>
          <w:bCs/>
          <w:szCs w:val="21"/>
        </w:rPr>
      </w:r>
      <w:r/>
    </w:p>
    <w:p>
      <w:pPr>
        <w:pStyle w:val="1484"/>
        <w:ind w:firstLine="420"/>
        <w:spacing w:line="360" w:lineRule="auto"/>
        <w:rPr>
          <w:rFonts w:ascii="Arial" w:hAnsi="Arial" w:cs="Arial"/>
          <w:bCs/>
        </w:rPr>
      </w:pPr>
      <w:r>
        <w:rPr>
          <w:rFonts w:hint="eastAsia" w:ascii="宋体" w:hAnsi="宋体" w:cs="宋体"/>
          <w:bCs/>
          <w:szCs w:val="21"/>
        </w:rPr>
        <w:t xml:space="preserve">中标人可凭政府采购合同办理融资贷款，详情请见江苏政府采购网“政采贷”专栏。</w:t>
      </w:r>
      <w:r>
        <w:rPr>
          <w:rFonts w:ascii="Arial" w:hAnsi="Arial" w:cs="Arial"/>
          <w:bCs/>
        </w:rPr>
      </w:r>
      <w:r/>
    </w:p>
    <w:p>
      <w:pPr>
        <w:pStyle w:val="1484"/>
        <w:ind w:firstLine="420"/>
        <w:spacing w:line="440" w:lineRule="exact"/>
        <w:rPr>
          <w:bCs/>
          <w:szCs w:val="21"/>
        </w:rPr>
      </w:pPr>
      <w:r>
        <w:rPr>
          <w:bCs/>
          <w:szCs w:val="21"/>
        </w:rPr>
      </w:r>
      <w:r/>
    </w:p>
    <w:p>
      <w:pPr>
        <w:pStyle w:val="1484"/>
        <w:jc w:val="center"/>
        <w:spacing w:line="440" w:lineRule="exact"/>
        <w:rPr>
          <w:b/>
          <w:sz w:val="28"/>
          <w:szCs w:val="28"/>
        </w:rPr>
        <w:outlineLvl w:val="0"/>
      </w:pPr>
      <w:r/>
      <w:bookmarkStart w:id="210" w:name="_Toc163629751"/>
      <w:r/>
      <w:bookmarkEnd w:id="210"/>
      <w:r/>
      <w:bookmarkStart w:id="211" w:name="_Toc522347554"/>
      <w:r/>
      <w:bookmarkEnd w:id="211"/>
      <w:r/>
      <w:bookmarkStart w:id="212" w:name="_Toc25032666"/>
      <w:r/>
      <w:bookmarkEnd w:id="212"/>
      <w:r/>
      <w:bookmarkStart w:id="213" w:name="_Hlk297273538"/>
      <w:r/>
      <w:bookmarkEnd w:id="213"/>
      <w:r/>
      <w:bookmarkStart w:id="214" w:name="_Toc189726853"/>
      <w:r/>
      <w:bookmarkEnd w:id="214"/>
      <w:r/>
      <w:bookmarkStart w:id="215" w:name="_Toc521839351"/>
      <w:r/>
      <w:bookmarkEnd w:id="215"/>
      <w:r/>
      <w:bookmarkStart w:id="216" w:name="_Toc142623417"/>
      <w:r/>
      <w:bookmarkEnd w:id="216"/>
      <w:r/>
      <w:bookmarkStart w:id="217" w:name="_Toc12622"/>
      <w:r/>
      <w:bookmarkStart w:id="218" w:name="_Toc16918"/>
      <w:r>
        <w:rPr>
          <w:b/>
          <w:sz w:val="28"/>
          <w:szCs w:val="28"/>
        </w:rPr>
        <w:br w:type="page" w:clear="all"/>
      </w:r>
      <w:bookmarkStart w:id="219" w:name="_Toc1343"/>
      <w:r>
        <w:rPr>
          <w:b/>
          <w:sz w:val="28"/>
          <w:szCs w:val="28"/>
        </w:rPr>
        <w:t xml:space="preserve">第三章 评标标准</w:t>
      </w:r>
      <w:bookmarkEnd w:id="217"/>
      <w:r/>
      <w:bookmarkEnd w:id="218"/>
      <w:r/>
      <w:bookmarkEnd w:id="219"/>
      <w:r>
        <w:rPr>
          <w:b/>
          <w:sz w:val="28"/>
          <w:szCs w:val="28"/>
        </w:rPr>
      </w:r>
      <w:r/>
    </w:p>
    <w:p>
      <w:pPr>
        <w:pStyle w:val="1484"/>
        <w:ind w:left="632" w:hanging="632"/>
        <w:spacing w:line="360" w:lineRule="auto"/>
        <w:widowControl/>
        <w:rPr>
          <w:rFonts w:hint="eastAsia" w:ascii="宋体" w:hAnsi="宋体" w:cs="宋体"/>
          <w:b/>
          <w:bCs/>
          <w:szCs w:val="21"/>
        </w:rPr>
      </w:pPr>
      <w:r>
        <w:rPr>
          <w:rFonts w:hint="eastAsia" w:ascii="宋体" w:hAnsi="宋体" w:cs="宋体"/>
          <w:b/>
          <w:bCs/>
          <w:szCs w:val="21"/>
        </w:rPr>
        <w:t xml:space="preserve">（一）评审方法</w:t>
      </w:r>
      <w:r>
        <w:rPr>
          <w:rFonts w:hint="eastAsia" w:ascii="宋体" w:hAnsi="宋体" w:cs="宋体"/>
          <w:b/>
          <w:bCs/>
          <w:szCs w:val="21"/>
        </w:rPr>
      </w:r>
      <w:r/>
    </w:p>
    <w:p>
      <w:pPr>
        <w:pStyle w:val="1484"/>
        <w:ind w:firstLine="422"/>
        <w:spacing w:line="360" w:lineRule="auto"/>
        <w:rPr>
          <w:rFonts w:hint="eastAsia" w:ascii="宋体" w:hAnsi="宋体" w:cs="宋体"/>
          <w:b/>
          <w:bCs/>
          <w:szCs w:val="21"/>
        </w:rPr>
      </w:pPr>
      <w:r>
        <w:rPr>
          <w:rFonts w:hint="eastAsia" w:ascii="宋体" w:hAnsi="宋体" w:cs="宋体"/>
          <w:b/>
          <w:bCs/>
          <w:szCs w:val="21"/>
        </w:rPr>
        <w:t xml:space="preserve">本项目采用综合评分法。</w:t>
      </w:r>
      <w:r>
        <w:rPr>
          <w:rFonts w:hint="eastAsia" w:ascii="宋体" w:hAnsi="宋体" w:cs="宋体"/>
          <w:b/>
          <w:bCs/>
          <w:szCs w:val="21"/>
        </w:rPr>
      </w:r>
      <w:r/>
    </w:p>
    <w:p>
      <w:pPr>
        <w:pStyle w:val="1484"/>
        <w:spacing w:line="360" w:lineRule="auto"/>
        <w:rPr>
          <w:rFonts w:hint="eastAsia" w:ascii="宋体" w:hAnsi="宋体" w:cs="宋体"/>
          <w:b/>
          <w:bCs/>
          <w:szCs w:val="21"/>
        </w:rPr>
      </w:pPr>
      <w:r>
        <w:rPr>
          <w:rFonts w:hint="eastAsia" w:ascii="宋体" w:hAnsi="宋体" w:cs="宋体"/>
          <w:b/>
          <w:bCs/>
          <w:szCs w:val="21"/>
        </w:rPr>
        <w:t xml:space="preserve">（二）评审标准</w:t>
      </w:r>
      <w:r>
        <w:rPr>
          <w:rFonts w:hint="eastAsia" w:ascii="宋体" w:hAnsi="宋体" w:cs="宋体"/>
          <w:b/>
          <w:bCs/>
          <w:szCs w:val="21"/>
        </w:rPr>
      </w:r>
      <w:r/>
    </w:p>
    <w:p>
      <w:pPr>
        <w:pStyle w:val="1484"/>
        <w:ind w:firstLine="211"/>
        <w:spacing w:line="360" w:lineRule="auto"/>
        <w:rPr>
          <w:rFonts w:hint="eastAsia" w:ascii="宋体" w:hAnsi="宋体" w:cs="宋体"/>
          <w:szCs w:val="21"/>
        </w:rPr>
      </w:pPr>
      <w:r>
        <w:rPr>
          <w:rFonts w:hint="eastAsia" w:ascii="宋体" w:hAnsi="宋体" w:cs="宋体"/>
          <w:b/>
          <w:bCs/>
          <w:szCs w:val="21"/>
        </w:rPr>
        <w:t xml:space="preserve">（1）</w:t>
      </w:r>
      <w:r>
        <w:rPr>
          <w:rFonts w:hint="eastAsia" w:ascii="宋体" w:hAnsi="宋体" w:cs="宋体"/>
          <w:b/>
          <w:bCs/>
          <w:color w:val="000000"/>
          <w:szCs w:val="21"/>
        </w:rPr>
        <w:t xml:space="preserve">国家政策导向</w:t>
      </w:r>
      <w:r>
        <w:rPr>
          <w:rFonts w:hint="eastAsia" w:ascii="宋体" w:hAnsi="宋体" w:cs="宋体"/>
          <w:szCs w:val="21"/>
        </w:rPr>
      </w:r>
      <w:r/>
    </w:p>
    <w:p>
      <w:pPr>
        <w:pStyle w:val="1484"/>
        <w:ind w:firstLine="422"/>
        <w:spacing w:line="360" w:lineRule="auto"/>
        <w:rPr>
          <w:rFonts w:hint="eastAsia" w:ascii="宋体" w:hAnsi="宋体" w:cs="宋体"/>
          <w:szCs w:val="21"/>
        </w:rPr>
      </w:pPr>
      <w:r>
        <w:rPr>
          <w:rFonts w:hint="eastAsia" w:ascii="宋体" w:hAnsi="宋体" w:cs="宋体"/>
          <w:b/>
          <w:bCs/>
          <w:szCs w:val="21"/>
        </w:rPr>
        <w:t xml:space="preserve">①促进小微企业发展政策</w:t>
      </w:r>
      <w:r>
        <w:rPr>
          <w:rFonts w:hint="eastAsia" w:ascii="宋体" w:hAns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cs="宋体"/>
          <w:szCs w:val="21"/>
        </w:rPr>
      </w:r>
      <w:r/>
    </w:p>
    <w:p>
      <w:pPr>
        <w:pStyle w:val="1484"/>
        <w:ind w:firstLine="422"/>
        <w:spacing w:line="360" w:lineRule="auto"/>
        <w:rPr>
          <w:rFonts w:hint="eastAsia" w:ascii="宋体" w:hAnsi="宋体" w:cs="宋体"/>
          <w:szCs w:val="21"/>
        </w:rPr>
      </w:pPr>
      <w:r>
        <w:rPr>
          <w:rFonts w:hint="eastAsia" w:ascii="宋体" w:hAnsi="宋体" w:cs="宋体"/>
          <w:b/>
          <w:bCs/>
          <w:szCs w:val="21"/>
        </w:rPr>
        <w:t xml:space="preserve">②监狱企业扶持政策：</w:t>
      </w:r>
      <w:r>
        <w:rPr>
          <w:rFonts w:hint="eastAsia" w:ascii="宋体" w:hAns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szCs w:val="21"/>
        </w:rPr>
      </w:r>
      <w:r/>
    </w:p>
    <w:p>
      <w:pPr>
        <w:pStyle w:val="1484"/>
        <w:ind w:firstLine="422"/>
        <w:spacing w:line="360" w:lineRule="auto"/>
        <w:rPr>
          <w:rFonts w:hint="eastAsia" w:ascii="宋体" w:hAnsi="宋体" w:cs="宋体"/>
          <w:szCs w:val="21"/>
        </w:rPr>
      </w:pPr>
      <w:r>
        <w:rPr>
          <w:rFonts w:hint="eastAsia" w:ascii="宋体" w:hAnsi="宋体" w:cs="宋体"/>
          <w:b/>
          <w:bCs/>
          <w:szCs w:val="21"/>
        </w:rPr>
        <w:t xml:space="preserve">③残疾人福利性单位扶持政策：</w:t>
      </w: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szCs w:val="21"/>
        </w:rPr>
      </w:r>
      <w:r/>
    </w:p>
    <w:p>
      <w:pPr>
        <w:pStyle w:val="1484"/>
        <w:ind w:firstLine="422"/>
        <w:spacing w:line="360" w:lineRule="auto"/>
        <w:rPr>
          <w:rFonts w:hint="eastAsia" w:ascii="宋体" w:hAnsi="宋体" w:cs="宋体"/>
          <w:szCs w:val="21"/>
        </w:rPr>
      </w:pPr>
      <w:r>
        <w:rPr>
          <w:rFonts w:hint="eastAsia" w:ascii="宋体" w:hAnsi="宋体" w:cs="宋体"/>
          <w:b/>
          <w:bCs/>
          <w:szCs w:val="21"/>
        </w:rPr>
        <w:t xml:space="preserve">④乡村产业振兴支持政策：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1"/>
        </w:rPr>
      </w:r>
      <w:r/>
    </w:p>
    <w:p>
      <w:pPr>
        <w:pStyle w:val="1484"/>
        <w:ind w:firstLine="422"/>
        <w:spacing w:line="360" w:lineRule="auto"/>
        <w:rPr>
          <w:rFonts w:hint="eastAsia" w:ascii="宋体" w:hAnsi="宋体" w:cs="宋体"/>
          <w:szCs w:val="21"/>
        </w:rPr>
      </w:pPr>
      <w:r>
        <w:rPr>
          <w:rFonts w:hint="eastAsia" w:ascii="宋体" w:hAnsi="宋体" w:cs="宋体"/>
          <w:b/>
          <w:bCs/>
          <w:szCs w:val="21"/>
        </w:rPr>
        <w:t xml:space="preserve">⑤采购本国产品的支持政策：</w:t>
      </w:r>
      <w:r>
        <w:rPr>
          <w:rFonts w:hint="eastAsia" w:ascii="宋体" w:hAnsi="宋体" w:cs="宋体"/>
          <w:szCs w:val="21"/>
        </w:rPr>
      </w:r>
      <w:r/>
    </w:p>
    <w:p>
      <w:pPr>
        <w:pStyle w:val="148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rPr>
      </w:r>
      <w:r/>
    </w:p>
    <w:p>
      <w:pPr>
        <w:pStyle w:val="148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rPr>
      </w:r>
      <w:r/>
    </w:p>
    <w:p>
      <w:pPr>
        <w:pStyle w:val="148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Cs w:val="21"/>
        </w:rPr>
      </w:r>
      <w:r/>
    </w:p>
    <w:p>
      <w:pPr>
        <w:pStyle w:val="148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rPr>
      </w:r>
      <w:r/>
    </w:p>
    <w:p>
      <w:pPr>
        <w:pStyle w:val="148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rPr>
      </w:r>
      <w:r/>
    </w:p>
    <w:p>
      <w:pPr>
        <w:pStyle w:val="1484"/>
        <w:ind w:firstLine="210"/>
        <w:spacing w:line="360" w:lineRule="auto"/>
        <w:rPr>
          <w:rFonts w:hint="eastAsia" w:ascii="宋体" w:hAnsi="宋体" w:cs="宋体"/>
          <w:szCs w:val="21"/>
        </w:rPr>
      </w:pPr>
      <w:r>
        <w:rPr>
          <w:rFonts w:hint="eastAsia" w:ascii="宋体" w:hAnsi="宋体" w:cs="宋体"/>
          <w:szCs w:val="21"/>
        </w:rPr>
        <w:t xml:space="preserve">（2）本项目总分为100分，</w:t>
      </w:r>
      <w:r>
        <w:rPr>
          <w:rFonts w:hint="eastAsia" w:ascii="宋体" w:hAnsi="宋体" w:cs="宋体"/>
          <w:szCs w:val="21"/>
        </w:rPr>
        <w:t xml:space="preserve">小数点后保留2位。</w:t>
      </w:r>
      <w:r>
        <w:rPr>
          <w:rFonts w:hint="eastAsia" w:ascii="宋体" w:hAnsi="宋体" w:cs="宋体"/>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cs="宋体"/>
          <w:szCs w:val="21"/>
        </w:rPr>
      </w:r>
      <w:r/>
    </w:p>
    <w:p>
      <w:pPr>
        <w:pStyle w:val="1484"/>
        <w:ind w:firstLine="420"/>
        <w:spacing w:line="360" w:lineRule="auto"/>
        <w:rPr>
          <w:rFonts w:hint="eastAsia"/>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具体打分方法如下：</w:t>
      </w: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648"/>
        <w:gridCol w:w="7385"/>
      </w:tblGrid>
      <w:tr>
        <w:trPr>
          <w:trHeight w:val="526"/>
          <w:tblHeader/>
        </w:trPr>
        <w:tc>
          <w:tcPr>
            <w:tcW w:w="821" w:type="dxa"/>
            <w:vAlign w:val="center"/>
            <w:textDirection w:val="lrTb"/>
            <w:noWrap w:val="false"/>
          </w:tcPr>
          <w:p>
            <w:pPr>
              <w:pStyle w:val="1484"/>
              <w:spacing w:line="360" w:lineRule="auto"/>
              <w:rPr>
                <w:rFonts w:hint="eastAsia" w:ascii="宋体" w:hAnsi="宋体" w:cs="宋体"/>
                <w:b/>
                <w:szCs w:val="21"/>
              </w:rPr>
            </w:pPr>
            <w:r>
              <w:rPr>
                <w:rFonts w:hint="eastAsia" w:ascii="宋体" w:cs="宋体"/>
                <w:szCs w:val="21"/>
              </w:rPr>
              <w:br w:type="page" w:clear="all"/>
            </w:r>
            <w:r>
              <w:rPr>
                <w:rFonts w:hint="eastAsia" w:ascii="宋体" w:hAnsi="宋体" w:cs="宋体"/>
                <w:b/>
                <w:szCs w:val="21"/>
              </w:rPr>
              <w:t xml:space="preserve">序号</w:t>
            </w:r>
            <w:r>
              <w:rPr>
                <w:rFonts w:hint="eastAsia" w:ascii="宋体" w:hAnsi="宋体" w:cs="宋体"/>
                <w:b/>
                <w:szCs w:val="21"/>
              </w:rPr>
            </w:r>
            <w:r/>
          </w:p>
        </w:tc>
        <w:tc>
          <w:tcPr>
            <w:tcW w:w="1648" w:type="dxa"/>
            <w:vAlign w:val="center"/>
            <w:textDirection w:val="lrTb"/>
            <w:noWrap w:val="false"/>
          </w:tcPr>
          <w:p>
            <w:pPr>
              <w:pStyle w:val="1484"/>
              <w:jc w:val="center"/>
              <w:spacing w:line="360" w:lineRule="auto"/>
              <w:widowControl/>
              <w:rPr>
                <w:rFonts w:hint="eastAsia" w:ascii="宋体" w:hAnsi="宋体" w:cs="宋体"/>
                <w:b/>
                <w:szCs w:val="21"/>
              </w:rPr>
            </w:pPr>
            <w:r>
              <w:rPr>
                <w:rFonts w:hint="eastAsia" w:ascii="宋体" w:hAnsi="宋体" w:cs="宋体"/>
                <w:b/>
                <w:szCs w:val="21"/>
              </w:rPr>
              <w:t xml:space="preserve">评审因素</w:t>
            </w:r>
            <w:r>
              <w:rPr>
                <w:rFonts w:hint="eastAsia" w:ascii="宋体" w:hAnsi="宋体" w:cs="宋体"/>
                <w:b/>
                <w:szCs w:val="21"/>
              </w:rPr>
            </w:r>
            <w:r/>
          </w:p>
        </w:tc>
        <w:tc>
          <w:tcPr>
            <w:tcW w:w="7385" w:type="dxa"/>
            <w:vAlign w:val="center"/>
            <w:textDirection w:val="lrTb"/>
            <w:noWrap w:val="false"/>
          </w:tcPr>
          <w:p>
            <w:pPr>
              <w:pStyle w:val="1484"/>
              <w:jc w:val="center"/>
              <w:spacing w:line="360" w:lineRule="auto"/>
              <w:widowControl/>
              <w:rPr>
                <w:rFonts w:hint="eastAsia" w:ascii="宋体" w:hAnsi="宋体" w:cs="宋体"/>
                <w:b/>
                <w:szCs w:val="21"/>
              </w:rPr>
            </w:pPr>
            <w:r>
              <w:rPr>
                <w:rFonts w:hint="eastAsia" w:ascii="宋体" w:hAnsi="宋体" w:cs="宋体"/>
                <w:b/>
                <w:szCs w:val="21"/>
              </w:rPr>
              <w:t xml:space="preserve">评审标准</w:t>
            </w:r>
            <w:r>
              <w:rPr>
                <w:rFonts w:hint="eastAsia" w:ascii="宋体" w:hAnsi="宋体" w:cs="宋体"/>
                <w:b/>
                <w:szCs w:val="21"/>
              </w:rPr>
            </w:r>
            <w:r/>
          </w:p>
        </w:tc>
      </w:tr>
      <w:tr>
        <w:trPr>
          <w:trHeight w:val="1447"/>
        </w:trPr>
        <w:tc>
          <w:tcPr>
            <w:tcW w:w="821" w:type="dxa"/>
            <w:vAlign w:val="center"/>
            <w:textDirection w:val="lrTb"/>
            <w:noWrap w:val="false"/>
          </w:tcPr>
          <w:p>
            <w:pPr>
              <w:pStyle w:val="1484"/>
              <w:jc w:val="center"/>
              <w:rPr>
                <w:rFonts w:hint="eastAsia" w:ascii="宋体" w:hAnsi="宋体" w:cs="宋体"/>
                <w:b/>
                <w:bCs/>
              </w:rPr>
            </w:pPr>
            <w:r>
              <w:rPr>
                <w:rFonts w:hint="eastAsia" w:ascii="宋体" w:hAnsi="宋体" w:cs="宋体"/>
                <w:b/>
                <w:bCs/>
              </w:rPr>
              <w:t xml:space="preserve">1</w:t>
            </w:r>
            <w:r>
              <w:rPr>
                <w:rFonts w:hint="eastAsia" w:ascii="宋体" w:hAnsi="宋体" w:cs="宋体"/>
                <w:b/>
                <w:bCs/>
              </w:rPr>
            </w:r>
            <w:r/>
          </w:p>
        </w:tc>
        <w:tc>
          <w:tcPr>
            <w:tcW w:w="1648" w:type="dxa"/>
            <w:vAlign w:val="center"/>
            <w:textDirection w:val="lrTb"/>
            <w:noWrap w:val="false"/>
          </w:tcPr>
          <w:p>
            <w:pPr>
              <w:pStyle w:val="1484"/>
              <w:jc w:val="center"/>
              <w:spacing w:line="360" w:lineRule="auto"/>
              <w:widowControl/>
              <w:rPr>
                <w:rFonts w:hint="eastAsia" w:ascii="宋体" w:hAnsi="宋体" w:cs="宋体"/>
                <w:b/>
                <w:szCs w:val="21"/>
              </w:rPr>
            </w:pPr>
            <w:r>
              <w:rPr>
                <w:rFonts w:hint="eastAsia" w:ascii="宋体" w:hAnsi="宋体" w:cs="宋体"/>
                <w:b/>
                <w:szCs w:val="21"/>
              </w:rPr>
              <w:t xml:space="preserve">价格</w:t>
            </w:r>
            <w:r>
              <w:rPr>
                <w:rFonts w:hint="eastAsia" w:ascii="宋体" w:hAnsi="宋体" w:cs="宋体"/>
                <w:b/>
                <w:szCs w:val="21"/>
              </w:rPr>
            </w:r>
            <w:r/>
          </w:p>
          <w:p>
            <w:pPr>
              <w:pStyle w:val="1484"/>
              <w:jc w:val="center"/>
              <w:spacing w:line="360" w:lineRule="auto"/>
              <w:widowControl/>
              <w:rPr>
                <w:rFonts w:hint="eastAsia" w:ascii="宋体" w:hAnsi="宋体" w:cs="宋体"/>
                <w:b/>
                <w:szCs w:val="21"/>
              </w:rPr>
            </w:pPr>
            <w:r>
              <w:rPr>
                <w:rFonts w:hint="eastAsia" w:ascii="宋体" w:hAnsi="宋体" w:cs="宋体"/>
                <w:b/>
                <w:szCs w:val="21"/>
              </w:rPr>
              <w:t xml:space="preserve">（0-30分）</w:t>
            </w:r>
            <w:r>
              <w:rPr>
                <w:rFonts w:hint="eastAsia" w:ascii="宋体" w:hAnsi="宋体" w:cs="宋体"/>
                <w:b/>
                <w:szCs w:val="21"/>
              </w:rPr>
            </w:r>
            <w:r/>
          </w:p>
        </w:tc>
        <w:tc>
          <w:tcPr>
            <w:tcW w:w="7385"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满足招标文件要求且投标价格最低的投标报价为评标基准价，其价格分为满分。其他供应商的价格分统一按照下列公式计算：</w:t>
            </w:r>
            <w:r>
              <w:rPr>
                <w:rFonts w:hint="eastAsia" w:ascii="宋体" w:hAnsi="宋体" w:cs="宋体"/>
                <w:szCs w:val="21"/>
              </w:rPr>
            </w:r>
            <w:r/>
          </w:p>
          <w:p>
            <w:pPr>
              <w:pStyle w:val="1484"/>
              <w:spacing w:line="480" w:lineRule="exact"/>
              <w:rPr>
                <w:rFonts w:hint="eastAsia" w:ascii="宋体" w:hAnsi="宋体" w:cs="宋体"/>
                <w:szCs w:val="21"/>
              </w:rPr>
            </w:pPr>
            <w:r>
              <w:rPr>
                <w:rFonts w:hint="eastAsia" w:ascii="宋体" w:hAnsi="宋体" w:cs="宋体"/>
                <w:szCs w:val="21"/>
              </w:rPr>
              <w:t xml:space="preserve">投标报价得分=(评标基准价／投标报价)×30</w:t>
            </w:r>
            <w:r>
              <w:rPr>
                <w:rFonts w:hint="eastAsia" w:ascii="宋体" w:hAnsi="宋体" w:cs="宋体"/>
                <w:szCs w:val="21"/>
              </w:rPr>
              <w:br w:type="textWrapping" w:clear="all"/>
            </w:r>
            <w:r>
              <w:rPr>
                <w:rFonts w:hint="eastAsia" w:ascii="宋体" w:hAnsi="宋体" w:cs="宋体"/>
                <w:szCs w:val="21"/>
              </w:rPr>
              <w:t xml:space="preserve">注：</w:t>
            </w:r>
            <w:r>
              <w:rPr>
                <w:rFonts w:hint="eastAsia" w:ascii="宋体" w:hAnsi="宋体" w:cs="宋体"/>
                <w:b/>
                <w:bCs/>
                <w:color w:val="ff0000"/>
                <w:szCs w:val="21"/>
              </w:rPr>
              <w:t xml:space="preserve">本项目报价方式为单价（元/人份）报价，即以最低投标单价为评标基准价。</w:t>
            </w:r>
            <w:r>
              <w:rPr>
                <w:rFonts w:hint="eastAsia" w:ascii="宋体" w:hAnsi="宋体" w:cs="宋体"/>
                <w:szCs w:val="21"/>
              </w:rPr>
            </w:r>
            <w:r/>
          </w:p>
        </w:tc>
      </w:tr>
      <w:tr>
        <w:trPr>
          <w:trHeight w:val="667"/>
        </w:trPr>
        <w:tc>
          <w:tcPr>
            <w:tcW w:w="821" w:type="dxa"/>
            <w:vAlign w:val="center"/>
            <w:textDirection w:val="lrTb"/>
            <w:noWrap w:val="false"/>
          </w:tcPr>
          <w:p>
            <w:pPr>
              <w:pStyle w:val="1484"/>
              <w:jc w:val="center"/>
              <w:rPr>
                <w:rFonts w:hint="eastAsia" w:ascii="宋体" w:hAnsi="宋体" w:cs="宋体"/>
                <w:b/>
                <w:bCs/>
              </w:rPr>
            </w:pPr>
            <w:r>
              <w:rPr>
                <w:rFonts w:hint="eastAsia" w:ascii="宋体" w:hAnsi="宋体" w:cs="宋体"/>
                <w:b/>
                <w:bCs/>
              </w:rPr>
              <w:t xml:space="preserve">2.1</w:t>
            </w:r>
            <w:r>
              <w:rPr>
                <w:rFonts w:hint="eastAsia" w:ascii="宋体" w:hAnsi="宋体" w:cs="宋体"/>
                <w:b/>
                <w:bCs/>
              </w:rPr>
            </w:r>
            <w:r/>
          </w:p>
        </w:tc>
        <w:tc>
          <w:tcPr>
            <w:tcW w:w="1648" w:type="dxa"/>
            <w:vAlign w:val="center"/>
            <w:vMerge w:val="restart"/>
            <w:textDirection w:val="lrTb"/>
            <w:noWrap w:val="false"/>
          </w:tcPr>
          <w:p>
            <w:pPr>
              <w:pStyle w:val="1484"/>
              <w:jc w:val="center"/>
              <w:spacing w:line="360" w:lineRule="auto"/>
              <w:rPr>
                <w:rFonts w:hint="eastAsia" w:ascii="宋体" w:hAnsi="宋体" w:cs="宋体"/>
                <w:b/>
                <w:szCs w:val="21"/>
              </w:rPr>
            </w:pPr>
            <w:r>
              <w:rPr>
                <w:rFonts w:hint="eastAsia" w:ascii="宋体" w:hAnsi="宋体" w:cs="宋体"/>
                <w:b/>
                <w:szCs w:val="21"/>
              </w:rPr>
              <w:t xml:space="preserve">技术响应</w:t>
            </w:r>
            <w:r>
              <w:rPr>
                <w:rFonts w:hint="eastAsia" w:ascii="宋体" w:hAnsi="宋体" w:cs="宋体"/>
                <w:b/>
                <w:szCs w:val="21"/>
              </w:rPr>
            </w:r>
            <w:r/>
          </w:p>
          <w:p>
            <w:pPr>
              <w:pStyle w:val="1484"/>
              <w:jc w:val="center"/>
              <w:spacing w:line="360" w:lineRule="auto"/>
              <w:rPr>
                <w:rFonts w:hint="eastAsia" w:ascii="宋体" w:hAnsi="宋体" w:cs="宋体"/>
                <w:b/>
                <w:szCs w:val="21"/>
              </w:rPr>
            </w:pPr>
            <w:r>
              <w:rPr>
                <w:rFonts w:hint="eastAsia" w:ascii="宋体" w:hAnsi="宋体" w:cs="宋体"/>
                <w:b/>
                <w:szCs w:val="21"/>
              </w:rPr>
              <w:t xml:space="preserve">（0-19分）</w:t>
            </w:r>
            <w:r>
              <w:rPr>
                <w:rFonts w:hint="eastAsia" w:ascii="宋体" w:hAnsi="宋体" w:cs="宋体"/>
                <w:b/>
                <w:szCs w:val="21"/>
              </w:rPr>
            </w:r>
            <w:r/>
          </w:p>
        </w:tc>
        <w:tc>
          <w:tcPr>
            <w:tcW w:w="7385" w:type="dxa"/>
            <w:vAlign w:val="center"/>
            <w:textDirection w:val="lrTb"/>
            <w:noWrap w:val="false"/>
          </w:tcPr>
          <w:p>
            <w:pPr>
              <w:pStyle w:val="1484"/>
              <w:spacing w:line="360" w:lineRule="auto"/>
              <w:rPr>
                <w:rFonts w:ascii="宋体" w:hAnsi="宋体" w:cs="宋体"/>
                <w:b/>
                <w:szCs w:val="21"/>
              </w:rPr>
            </w:pPr>
            <w:r>
              <w:rPr>
                <w:rFonts w:hint="eastAsia" w:ascii="宋体" w:hAnsi="宋体" w:cs="宋体"/>
                <w:bCs/>
                <w:szCs w:val="21"/>
              </w:rPr>
              <w:t xml:space="preserve">产品技术参数全部满足招标要求的得满分</w:t>
            </w:r>
            <w:r>
              <w:rPr>
                <w:rFonts w:hint="eastAsia" w:ascii="宋体" w:hAnsi="宋体" w:cs="宋体"/>
                <w:szCs w:val="21"/>
              </w:rPr>
              <w:t xml:space="preserve">16</w:t>
            </w:r>
            <w:r>
              <w:rPr>
                <w:rFonts w:hint="eastAsia" w:ascii="宋体" w:hAnsi="宋体" w:cs="宋体"/>
                <w:bCs/>
                <w:szCs w:val="21"/>
              </w:rPr>
              <w:t xml:space="preserve">分；</w:t>
            </w:r>
            <w:r>
              <w:rPr>
                <w:rFonts w:hint="eastAsia" w:ascii="宋体" w:hAnsi="宋体" w:cs="宋体"/>
                <w:szCs w:val="21"/>
              </w:rPr>
              <w:t xml:space="preserve">在此基础上，招标文件中标注“★”的内容为实质性要求，有一项不符合的，作无效投标处理</w:t>
            </w:r>
            <w:r>
              <w:rPr>
                <w:rFonts w:hint="eastAsia" w:ascii="Arial" w:hAnsi="Arial" w:cs="Arial"/>
                <w:szCs w:val="21"/>
              </w:rPr>
              <w:t xml:space="preserve">，</w:t>
            </w:r>
            <w:r>
              <w:rPr>
                <w:rFonts w:hint="eastAsia" w:ascii="宋体" w:hAnsi="宋体" w:cs="宋体"/>
                <w:szCs w:val="21"/>
              </w:rPr>
              <w:t xml:space="preserve">其他非重要参数负偏离的，则每项扣1.14分，扣完为止。所有对标注“★”参数技术内容的响应均应提供支撑资料（具体内容以第四章招标技术规格及要求为准，如无明确要求则为说明该技术内容的公开发行的产品彩页、产品说明书或第三方检测机构的检测报告、承诺书，配置要求中“★”参数除外），否则视为未实质性响应</w:t>
            </w:r>
            <w:r>
              <w:rPr>
                <w:rFonts w:hint="eastAsia" w:ascii="Arial" w:hAnsi="Arial" w:cs="Arial"/>
                <w:szCs w:val="21"/>
              </w:rPr>
              <w:t xml:space="preserve">。  </w:t>
            </w:r>
            <w:r>
              <w:rPr>
                <w:rFonts w:ascii="宋体" w:hAnsi="宋体" w:cs="宋体"/>
                <w:b/>
                <w:szCs w:val="21"/>
              </w:rPr>
            </w:r>
            <w:r/>
          </w:p>
        </w:tc>
      </w:tr>
      <w:tr>
        <w:trPr>
          <w:trHeight w:val="700"/>
        </w:trPr>
        <w:tc>
          <w:tcPr>
            <w:tcW w:w="821" w:type="dxa"/>
            <w:vAlign w:val="center"/>
            <w:textDirection w:val="lrTb"/>
            <w:noWrap w:val="false"/>
          </w:tcPr>
          <w:p>
            <w:pPr>
              <w:pStyle w:val="1484"/>
              <w:jc w:val="center"/>
              <w:rPr>
                <w:rFonts w:hint="eastAsia" w:ascii="宋体" w:hAnsi="宋体" w:cs="宋体"/>
                <w:b/>
                <w:bCs/>
              </w:rPr>
            </w:pPr>
            <w:r>
              <w:rPr>
                <w:rFonts w:hint="eastAsia" w:ascii="宋体" w:hAnsi="宋体" w:cs="宋体"/>
                <w:b/>
                <w:bCs/>
              </w:rPr>
              <w:t xml:space="preserve">2.2</w:t>
            </w:r>
            <w:r>
              <w:rPr>
                <w:rFonts w:hint="eastAsia" w:ascii="宋体" w:hAnsi="宋体" w:cs="宋体"/>
                <w:b/>
                <w:bCs/>
              </w:rPr>
            </w:r>
            <w:r/>
          </w:p>
        </w:tc>
        <w:tc>
          <w:tcPr>
            <w:tcW w:w="1648" w:type="dxa"/>
            <w:vAlign w:val="center"/>
            <w:vMerge w:val="continue"/>
            <w:textDirection w:val="lrTb"/>
            <w:noWrap w:val="false"/>
          </w:tcPr>
          <w:p>
            <w:pPr>
              <w:pStyle w:val="1484"/>
              <w:jc w:val="center"/>
              <w:spacing w:line="360" w:lineRule="auto"/>
              <w:widowControl/>
              <w:rPr>
                <w:rFonts w:hint="eastAsia" w:ascii="宋体" w:hAnsi="宋体" w:cs="宋体"/>
                <w:b/>
                <w:szCs w:val="21"/>
              </w:rPr>
            </w:pPr>
            <w:r>
              <w:rPr>
                <w:rFonts w:hint="eastAsia" w:ascii="宋体" w:hAnsi="宋体" w:cs="宋体"/>
                <w:b/>
                <w:szCs w:val="21"/>
              </w:rPr>
            </w:r>
            <w:r/>
          </w:p>
        </w:tc>
        <w:tc>
          <w:tcPr>
            <w:tcW w:w="7385" w:type="dxa"/>
            <w:vAlign w:val="center"/>
            <w:textDirection w:val="lrTb"/>
            <w:noWrap w:val="false"/>
          </w:tcPr>
          <w:p>
            <w:pPr>
              <w:pStyle w:val="1484"/>
              <w:spacing w:line="360" w:lineRule="auto"/>
              <w:widowControl/>
              <w:rPr>
                <w:rFonts w:hint="eastAsia" w:ascii="宋体" w:hAnsi="宋体" w:cs="宋体"/>
                <w:szCs w:val="21"/>
              </w:rPr>
            </w:pPr>
            <w:r>
              <w:rPr>
                <w:rFonts w:hint="eastAsia" w:ascii="宋体" w:hAnsi="宋体" w:cs="宋体"/>
                <w:szCs w:val="21"/>
              </w:rPr>
              <w:t xml:space="preserve">根据供应商</w:t>
            </w:r>
            <w:r>
              <w:rPr>
                <w:szCs w:val="21"/>
              </w:rPr>
              <w:t xml:space="preserve">提供的产品的技术功能要求、</w:t>
            </w:r>
            <w:r>
              <w:rPr>
                <w:rFonts w:hint="eastAsia"/>
                <w:szCs w:val="21"/>
              </w:rPr>
              <w:t xml:space="preserve">适用性</w:t>
            </w:r>
            <w:r>
              <w:rPr>
                <w:szCs w:val="21"/>
              </w:rPr>
              <w:t xml:space="preserve">、</w:t>
            </w:r>
            <w:r>
              <w:rPr>
                <w:rFonts w:hint="eastAsia"/>
                <w:szCs w:val="21"/>
              </w:rPr>
              <w:t xml:space="preserve">可靠性、稳定性</w:t>
            </w:r>
            <w:r>
              <w:rPr>
                <w:rFonts w:hint="eastAsia" w:ascii="宋体" w:hAnsi="宋体" w:cs="宋体"/>
                <w:szCs w:val="21"/>
              </w:rPr>
              <w:t xml:space="preserve">、美观实用等进行打分；</w:t>
            </w:r>
            <w:r>
              <w:rPr>
                <w:rFonts w:hint="eastAsia" w:ascii="宋体" w:hAnsi="宋体" w:cs="宋体"/>
                <w:szCs w:val="21"/>
              </w:rPr>
            </w:r>
            <w:r/>
          </w:p>
          <w:p>
            <w:pPr>
              <w:pStyle w:val="1484"/>
              <w:spacing w:line="360" w:lineRule="auto"/>
              <w:widowControl/>
              <w:rPr>
                <w:rFonts w:hint="eastAsia" w:ascii="宋体" w:hAnsi="宋体" w:cs="宋体"/>
                <w:szCs w:val="21"/>
              </w:rPr>
            </w:pPr>
            <w:r>
              <w:rPr>
                <w:rFonts w:hint="eastAsia" w:ascii="宋体" w:hAnsi="宋体" w:cs="宋体"/>
                <w:szCs w:val="21"/>
              </w:rPr>
              <w:t xml:space="preserve">产品技术先进、稳定、可靠性高实用性强的得3分；</w:t>
            </w:r>
            <w:r>
              <w:rPr>
                <w:rFonts w:hint="eastAsia" w:ascii="宋体" w:hAnsi="宋体" w:cs="宋体"/>
                <w:szCs w:val="21"/>
              </w:rPr>
            </w:r>
            <w:r/>
          </w:p>
          <w:p>
            <w:pPr>
              <w:pStyle w:val="1484"/>
              <w:spacing w:line="360" w:lineRule="auto"/>
              <w:widowControl/>
              <w:rPr>
                <w:rFonts w:hint="eastAsia" w:ascii="宋体" w:hAnsi="宋体" w:cs="宋体"/>
                <w:szCs w:val="21"/>
              </w:rPr>
            </w:pPr>
            <w:r>
              <w:rPr>
                <w:rFonts w:hint="eastAsia" w:ascii="宋体" w:hAnsi="宋体" w:cs="宋体"/>
                <w:szCs w:val="21"/>
              </w:rPr>
              <w:t xml:space="preserve">产品技术先进度、可靠度一般的得1分；</w:t>
            </w:r>
            <w:r>
              <w:rPr>
                <w:rFonts w:hint="eastAsia" w:ascii="宋体" w:hAnsi="宋体" w:cs="宋体"/>
                <w:szCs w:val="21"/>
              </w:rPr>
            </w:r>
            <w:r/>
          </w:p>
          <w:p>
            <w:pPr>
              <w:pStyle w:val="1484"/>
              <w:spacing w:line="360" w:lineRule="auto"/>
              <w:widowControl/>
              <w:rPr>
                <w:rFonts w:hint="eastAsia" w:ascii="宋体" w:hAnsi="宋体" w:cs="宋体"/>
                <w:szCs w:val="21"/>
              </w:rPr>
            </w:pPr>
            <w:r>
              <w:rPr>
                <w:rFonts w:hint="eastAsia" w:ascii="宋体" w:hAnsi="宋体" w:cs="宋体"/>
                <w:szCs w:val="21"/>
              </w:rPr>
              <w:t xml:space="preserve">产品技术先进度不高的得0分；</w:t>
            </w:r>
            <w:r>
              <w:rPr>
                <w:rFonts w:hint="eastAsia" w:ascii="宋体" w:hAnsi="宋体" w:cs="宋体"/>
                <w:szCs w:val="21"/>
              </w:rPr>
            </w:r>
            <w:r/>
          </w:p>
        </w:tc>
      </w:tr>
      <w:tr>
        <w:trPr>
          <w:trHeight w:val="1370"/>
        </w:trPr>
        <w:tc>
          <w:tcPr>
            <w:tcW w:w="821" w:type="dxa"/>
            <w:vAlign w:val="center"/>
            <w:textDirection w:val="lrTb"/>
            <w:noWrap w:val="false"/>
          </w:tcPr>
          <w:p>
            <w:pPr>
              <w:pStyle w:val="1484"/>
              <w:jc w:val="center"/>
              <w:rPr>
                <w:rFonts w:ascii="宋体" w:hAnsi="宋体" w:cs="宋体"/>
                <w:b/>
                <w:bCs/>
              </w:rPr>
            </w:pPr>
            <w:r>
              <w:rPr>
                <w:rFonts w:hint="eastAsia" w:ascii="宋体" w:hAnsi="宋体" w:cs="宋体"/>
                <w:b/>
                <w:bCs/>
              </w:rPr>
              <w:t xml:space="preserve">3</w:t>
            </w:r>
            <w:r>
              <w:rPr>
                <w:rFonts w:ascii="宋体" w:hAnsi="宋体" w:cs="宋体"/>
                <w:b/>
                <w:bCs/>
              </w:rPr>
            </w:r>
            <w:r/>
          </w:p>
        </w:tc>
        <w:tc>
          <w:tcPr>
            <w:tcW w:w="1648" w:type="dxa"/>
            <w:vAlign w:val="center"/>
            <w:textDirection w:val="lrTb"/>
            <w:noWrap w:val="false"/>
          </w:tcPr>
          <w:p>
            <w:pPr>
              <w:pStyle w:val="1484"/>
              <w:jc w:val="center"/>
              <w:spacing w:line="360" w:lineRule="auto"/>
              <w:rPr>
                <w:rFonts w:hint="eastAsia" w:ascii="宋体" w:hAnsi="宋体" w:cs="宋体"/>
                <w:b/>
                <w:szCs w:val="21"/>
              </w:rPr>
            </w:pPr>
            <w:r>
              <w:rPr>
                <w:rFonts w:hint="eastAsia" w:ascii="宋体" w:hAnsi="宋体" w:cs="宋体"/>
                <w:b/>
                <w:szCs w:val="21"/>
                <w:lang w:bidi="ar"/>
              </w:rPr>
              <w:t xml:space="preserve">实施方案</w:t>
            </w:r>
            <w:r>
              <w:rPr>
                <w:rFonts w:hint="eastAsia" w:ascii="宋体" w:hAnsi="宋体" w:cs="宋体"/>
                <w:b/>
                <w:szCs w:val="21"/>
              </w:rPr>
            </w:r>
            <w:r/>
          </w:p>
          <w:p>
            <w:pPr>
              <w:pStyle w:val="1484"/>
              <w:jc w:val="center"/>
              <w:spacing w:line="360" w:lineRule="auto"/>
              <w:rPr>
                <w:rFonts w:hint="eastAsia" w:ascii="宋体" w:hAnsi="宋体" w:cs="宋体"/>
                <w:b/>
                <w:szCs w:val="21"/>
              </w:rPr>
            </w:pPr>
            <w:r>
              <w:rPr>
                <w:rFonts w:hint="eastAsia" w:ascii="宋体" w:hAnsi="宋体" w:cs="宋体"/>
                <w:b/>
                <w:szCs w:val="21"/>
                <w:lang w:bidi="ar"/>
              </w:rPr>
              <w:t xml:space="preserve">（0-5分）</w:t>
            </w:r>
            <w:r>
              <w:rPr>
                <w:rFonts w:hint="eastAsia" w:ascii="宋体" w:hAnsi="宋体" w:cs="宋体"/>
                <w:b/>
                <w:szCs w:val="21"/>
              </w:rPr>
            </w:r>
            <w:r/>
          </w:p>
        </w:tc>
        <w:tc>
          <w:tcPr>
            <w:tcW w:w="7385" w:type="dxa"/>
            <w:vAlign w:val="top"/>
            <w:textDirection w:val="lrTb"/>
            <w:noWrap w:val="false"/>
          </w:tcPr>
          <w:p>
            <w:pPr>
              <w:pStyle w:val="1484"/>
              <w:spacing w:line="360" w:lineRule="auto"/>
              <w:rPr>
                <w:rFonts w:hint="eastAsia" w:ascii="宋体" w:hAnsi="宋体" w:cs="宋体"/>
                <w:szCs w:val="21"/>
              </w:rPr>
            </w:pPr>
            <w:r>
              <w:rPr>
                <w:rFonts w:hint="eastAsia" w:ascii="宋体" w:hAnsi="宋体" w:cs="宋体"/>
                <w:szCs w:val="21"/>
                <w:lang w:bidi="ar"/>
              </w:rPr>
              <w:t xml:space="preserve">根据投标人提供的项目整体实施方案（包括项目组织实施、人员、运输、安装、调试、培训、系统验收等），内容是否详细、思路清晰、先进性等为依据进行综合评审：</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lang w:bidi="ar"/>
              </w:rPr>
              <w:t xml:space="preserve">实施方案全面具体、内容详实，可操作性强的得5分；</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lang w:bidi="ar"/>
              </w:rPr>
              <w:t xml:space="preserve">实施方案较为全面具体、内容完整，可操作性一般的得3分；</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lang w:bidi="ar"/>
              </w:rPr>
              <w:t xml:space="preserve">实施方案不全面、内容空泛，可操作性较差的得1分；</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lang w:bidi="ar"/>
              </w:rPr>
              <w:t xml:space="preserve">供应商未在投标文件中提供实施方案或者提供的实施方案不可行的得0分。</w:t>
            </w:r>
            <w:r>
              <w:rPr>
                <w:rFonts w:hint="eastAsia" w:ascii="宋体" w:hAnsi="宋体" w:cs="宋体"/>
                <w:szCs w:val="21"/>
              </w:rPr>
            </w:r>
            <w:r/>
          </w:p>
        </w:tc>
      </w:tr>
      <w:tr>
        <w:trPr>
          <w:trHeight w:val="940"/>
        </w:trPr>
        <w:tc>
          <w:tcPr>
            <w:tcW w:w="821" w:type="dxa"/>
            <w:vAlign w:val="center"/>
            <w:textDirection w:val="lrTb"/>
            <w:noWrap w:val="false"/>
          </w:tcPr>
          <w:p>
            <w:pPr>
              <w:pStyle w:val="1484"/>
              <w:jc w:val="center"/>
              <w:rPr>
                <w:rFonts w:ascii="宋体" w:hAnsi="宋体" w:cs="宋体"/>
                <w:b/>
                <w:bCs/>
              </w:rPr>
            </w:pPr>
            <w:r>
              <w:rPr>
                <w:rFonts w:hint="eastAsia" w:ascii="宋体" w:hAnsi="宋体" w:cs="宋体"/>
                <w:b/>
                <w:bCs/>
              </w:rPr>
              <w:t xml:space="preserve">4</w:t>
            </w:r>
            <w:r>
              <w:rPr>
                <w:rFonts w:ascii="宋体" w:hAnsi="宋体" w:cs="宋体"/>
                <w:b/>
                <w:bCs/>
              </w:rPr>
            </w:r>
            <w:r/>
          </w:p>
        </w:tc>
        <w:tc>
          <w:tcPr>
            <w:tcW w:w="1648" w:type="dxa"/>
            <w:vAlign w:val="center"/>
            <w:textDirection w:val="lrTb"/>
            <w:noWrap w:val="false"/>
          </w:tcPr>
          <w:p>
            <w:pPr>
              <w:pStyle w:val="1484"/>
              <w:jc w:val="center"/>
              <w:spacing w:line="360" w:lineRule="auto"/>
              <w:rPr>
                <w:rFonts w:hint="eastAsia" w:ascii="宋体" w:hAnsi="宋体" w:cs="宋体"/>
                <w:b/>
                <w:szCs w:val="21"/>
              </w:rPr>
            </w:pPr>
            <w:r>
              <w:rPr>
                <w:rFonts w:hint="eastAsia" w:ascii="宋体" w:hAnsi="宋体" w:cs="宋体"/>
                <w:b/>
                <w:szCs w:val="21"/>
                <w:lang w:bidi="ar"/>
              </w:rPr>
              <w:t xml:space="preserve">生产供应配送（0-5分）</w:t>
            </w:r>
            <w:r>
              <w:rPr>
                <w:rFonts w:hint="eastAsia" w:ascii="宋体" w:hAnsi="宋体" w:cs="宋体"/>
                <w:b/>
                <w:szCs w:val="21"/>
              </w:rPr>
            </w:r>
            <w:r/>
          </w:p>
        </w:tc>
        <w:tc>
          <w:tcPr>
            <w:tcW w:w="7385" w:type="dxa"/>
            <w:vAlign w:val="top"/>
            <w:textDirection w:val="lrTb"/>
            <w:noWrap w:val="false"/>
          </w:tcPr>
          <w:p>
            <w:pPr>
              <w:pStyle w:val="1484"/>
              <w:spacing w:line="360" w:lineRule="auto"/>
              <w:rPr>
                <w:rFonts w:hint="eastAsia" w:ascii="宋体" w:hAnsi="宋体" w:cs="宋体"/>
                <w:szCs w:val="21"/>
              </w:rPr>
            </w:pPr>
            <w:r>
              <w:rPr>
                <w:rFonts w:hint="eastAsia" w:ascii="宋体" w:hAnsi="宋体" w:cs="宋体"/>
                <w:szCs w:val="21"/>
                <w:lang w:bidi="ar"/>
              </w:rPr>
              <w:t xml:space="preserve">评委根据投标文件中配送方案的内容进行打分（投标人接招标人通知后的试剂配送到达时间及全省各市服务网点情况）：</w:t>
            </w:r>
            <w:r>
              <w:rPr>
                <w:rFonts w:hint="eastAsia" w:ascii="宋体" w:hAnsi="宋体" w:cs="宋体"/>
                <w:szCs w:val="21"/>
              </w:rPr>
            </w:r>
            <w:r/>
          </w:p>
          <w:p>
            <w:pPr>
              <w:pStyle w:val="1484"/>
              <w:spacing w:line="360" w:lineRule="auto"/>
              <w:widowControl/>
              <w:rPr>
                <w:rFonts w:hint="eastAsia" w:ascii="宋体" w:hAnsi="宋体" w:cs="宋体"/>
                <w:szCs w:val="21"/>
              </w:rPr>
            </w:pPr>
            <w:r>
              <w:rPr>
                <w:rFonts w:hint="eastAsia" w:ascii="宋体" w:hAnsi="宋体" w:cs="宋体"/>
                <w:szCs w:val="21"/>
                <w:lang w:bidi="ar"/>
              </w:rPr>
              <w:t xml:space="preserve">承诺配送及时且服务网点涵盖全面、真实、数量多得5分；</w:t>
            </w:r>
            <w:r>
              <w:rPr>
                <w:rFonts w:hint="eastAsia" w:ascii="宋体" w:hAnsi="宋体" w:cs="宋体"/>
                <w:szCs w:val="21"/>
              </w:rPr>
            </w:r>
            <w:r/>
          </w:p>
          <w:p>
            <w:pPr>
              <w:pStyle w:val="1484"/>
              <w:spacing w:line="360" w:lineRule="auto"/>
              <w:widowControl/>
              <w:rPr>
                <w:rFonts w:hint="eastAsia" w:ascii="宋体" w:hAnsi="宋体" w:cs="宋体"/>
                <w:szCs w:val="21"/>
              </w:rPr>
            </w:pPr>
            <w:r>
              <w:rPr>
                <w:rFonts w:hint="eastAsia" w:ascii="宋体" w:hAnsi="宋体" w:cs="宋体"/>
                <w:szCs w:val="21"/>
                <w:lang w:bidi="ar"/>
              </w:rPr>
              <w:t xml:space="preserve">承诺配送较为及时且服务网点涵盖比较全面、内容真实、数量较多得3分；</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lang w:bidi="ar"/>
              </w:rPr>
              <w:t xml:space="preserve">承诺配送时效性较强或服务网点涵盖较少、内容不实、数量较少得1分；</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lang w:bidi="ar"/>
              </w:rPr>
              <w:t xml:space="preserve">供应商未在投标文件中提供方案或者提供的方案不可行的得0分。</w:t>
            </w:r>
            <w:r>
              <w:rPr>
                <w:rFonts w:hint="eastAsia" w:ascii="宋体" w:hAnsi="宋体" w:cs="宋体"/>
                <w:szCs w:val="21"/>
              </w:rPr>
            </w:r>
            <w:r/>
          </w:p>
        </w:tc>
      </w:tr>
      <w:tr>
        <w:trPr>
          <w:trHeight w:val="344"/>
        </w:trPr>
        <w:tc>
          <w:tcPr>
            <w:tcW w:w="821" w:type="dxa"/>
            <w:vAlign w:val="center"/>
            <w:textDirection w:val="lrTb"/>
            <w:noWrap w:val="false"/>
          </w:tcPr>
          <w:p>
            <w:pPr>
              <w:pStyle w:val="1484"/>
              <w:jc w:val="center"/>
              <w:rPr>
                <w:rFonts w:ascii="宋体" w:hAnsi="宋体" w:cs="宋体"/>
                <w:b/>
                <w:bCs/>
              </w:rPr>
            </w:pPr>
            <w:r>
              <w:rPr>
                <w:rFonts w:hint="eastAsia" w:ascii="宋体" w:hAnsi="宋体" w:cs="宋体"/>
                <w:b/>
                <w:bCs/>
              </w:rPr>
              <w:t xml:space="preserve">5.1</w:t>
            </w:r>
            <w:r>
              <w:rPr>
                <w:rFonts w:ascii="宋体" w:hAnsi="宋体" w:cs="宋体"/>
                <w:b/>
                <w:bCs/>
              </w:rPr>
            </w:r>
            <w:r/>
          </w:p>
        </w:tc>
        <w:tc>
          <w:tcPr>
            <w:tcW w:w="1648" w:type="dxa"/>
            <w:vAlign w:val="center"/>
            <w:vMerge w:val="restart"/>
            <w:textDirection w:val="lrTb"/>
            <w:noWrap w:val="false"/>
          </w:tcPr>
          <w:p>
            <w:pPr>
              <w:pStyle w:val="1484"/>
              <w:jc w:val="center"/>
              <w:spacing w:line="360" w:lineRule="auto"/>
              <w:rPr>
                <w:rFonts w:hint="eastAsia" w:ascii="宋体" w:hAnsi="宋体" w:cs="宋体"/>
                <w:b/>
                <w:szCs w:val="21"/>
              </w:rPr>
            </w:pPr>
            <w:r>
              <w:rPr>
                <w:rFonts w:hint="eastAsia" w:ascii="宋体" w:hAnsi="宋体" w:cs="宋体"/>
                <w:b/>
                <w:szCs w:val="21"/>
              </w:rPr>
              <w:t xml:space="preserve">售后服务</w:t>
            </w:r>
            <w:r>
              <w:rPr>
                <w:rFonts w:hint="eastAsia" w:ascii="宋体" w:hAnsi="宋体" w:cs="宋体"/>
                <w:b/>
                <w:szCs w:val="21"/>
              </w:rPr>
            </w:r>
            <w:r/>
          </w:p>
          <w:p>
            <w:pPr>
              <w:pStyle w:val="1484"/>
              <w:jc w:val="center"/>
              <w:spacing w:line="360" w:lineRule="auto"/>
              <w:rPr>
                <w:rFonts w:hint="eastAsia" w:ascii="宋体" w:hAnsi="宋体" w:cs="宋体"/>
                <w:b/>
                <w:szCs w:val="21"/>
              </w:rPr>
            </w:pPr>
            <w:r>
              <w:rPr>
                <w:rFonts w:hint="eastAsia" w:ascii="宋体" w:hAnsi="宋体" w:cs="宋体"/>
                <w:b/>
                <w:szCs w:val="21"/>
              </w:rPr>
              <w:t xml:space="preserve">（0-8分）</w:t>
            </w:r>
            <w:r>
              <w:rPr>
                <w:rFonts w:hint="eastAsia" w:ascii="宋体" w:hAnsi="宋体" w:cs="宋体"/>
                <w:b/>
                <w:szCs w:val="21"/>
              </w:rPr>
            </w:r>
            <w:r/>
          </w:p>
        </w:tc>
        <w:tc>
          <w:tcPr>
            <w:tcW w:w="7385"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评委根据供应商售后服务体系进行打分：</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供应商售后服务体系完善，技术人员充足、维修便利的得4分；</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供应商售后服务体系略有欠缺的得2分；</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未提供售后服务方案的不得分。</w:t>
            </w:r>
            <w:r>
              <w:rPr>
                <w:rFonts w:hint="eastAsia" w:ascii="宋体" w:hAnsi="宋体" w:cs="宋体"/>
                <w:szCs w:val="21"/>
              </w:rPr>
            </w:r>
            <w:r/>
          </w:p>
        </w:tc>
      </w:tr>
      <w:tr>
        <w:trPr>
          <w:trHeight w:val="90"/>
        </w:trPr>
        <w:tc>
          <w:tcPr>
            <w:tcW w:w="821" w:type="dxa"/>
            <w:vAlign w:val="center"/>
            <w:textDirection w:val="lrTb"/>
            <w:noWrap w:val="false"/>
          </w:tcPr>
          <w:p>
            <w:pPr>
              <w:pStyle w:val="1484"/>
              <w:jc w:val="center"/>
              <w:rPr>
                <w:rFonts w:ascii="宋体" w:hAnsi="宋体" w:cs="宋体"/>
                <w:b/>
                <w:bCs/>
              </w:rPr>
            </w:pPr>
            <w:r>
              <w:rPr>
                <w:rFonts w:hint="eastAsia" w:ascii="宋体" w:hAnsi="宋体" w:cs="宋体"/>
                <w:b/>
                <w:bCs/>
              </w:rPr>
              <w:t xml:space="preserve">5.2</w:t>
            </w:r>
            <w:r>
              <w:rPr>
                <w:rFonts w:ascii="宋体" w:hAnsi="宋体" w:cs="宋体"/>
                <w:b/>
                <w:bCs/>
              </w:rPr>
            </w:r>
            <w:r/>
          </w:p>
        </w:tc>
        <w:tc>
          <w:tcPr>
            <w:tcW w:w="1648" w:type="dxa"/>
            <w:vAlign w:val="center"/>
            <w:vMerge w:val="continue"/>
            <w:textDirection w:val="lrTb"/>
            <w:noWrap w:val="false"/>
          </w:tcPr>
          <w:p>
            <w:pPr>
              <w:pStyle w:val="1484"/>
              <w:jc w:val="center"/>
              <w:spacing w:line="360" w:lineRule="auto"/>
              <w:rPr>
                <w:rFonts w:hint="eastAsia" w:ascii="宋体" w:hAnsi="宋体" w:cs="宋体"/>
                <w:b/>
                <w:szCs w:val="21"/>
              </w:rPr>
            </w:pPr>
            <w:r>
              <w:rPr>
                <w:rFonts w:hint="eastAsia" w:ascii="宋体" w:hAnsi="宋体" w:cs="宋体"/>
                <w:b/>
                <w:szCs w:val="21"/>
              </w:rPr>
            </w:r>
            <w:r/>
          </w:p>
        </w:tc>
        <w:tc>
          <w:tcPr>
            <w:tcW w:w="7385"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评委根据供应商现场服务响应情况进行打分：</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投标人或试剂制造商承诺在试剂使用期间（无论是否过保）可在2小时以内为招标人提供现场技术指导或解决试剂使用问题、破损试剂退换货服务的得4分</w:t>
            </w:r>
            <w:r>
              <w:rPr>
                <w:rFonts w:hint="eastAsia" w:ascii="宋体" w:hAnsi="宋体" w:cs="宋体"/>
                <w:szCs w:val="21"/>
              </w:rPr>
            </w:r>
            <w:r/>
          </w:p>
          <w:p>
            <w:pPr>
              <w:pStyle w:val="1484"/>
              <w:spacing w:line="360" w:lineRule="auto"/>
              <w:rPr>
                <w:rFonts w:hint="eastAsia" w:ascii="宋体" w:hAnsi="宋体" w:cs="宋体"/>
                <w:szCs w:val="22"/>
              </w:rPr>
            </w:pPr>
            <w:r>
              <w:rPr>
                <w:rFonts w:hint="eastAsia" w:ascii="宋体" w:hAnsi="宋体" w:cs="宋体"/>
                <w:szCs w:val="21"/>
              </w:rPr>
              <w:t xml:space="preserve">3小时以内的得2分，4小时以内得1分，其余不得分。需提供承诺及切实可行的保障措施（若评标委员会认为保障措施不具备可行性或未提供保障措施，本项不得分），加盖公章。</w:t>
            </w:r>
            <w:r>
              <w:rPr>
                <w:rFonts w:hint="eastAsia" w:ascii="宋体" w:hAnsi="宋体" w:cs="宋体"/>
                <w:szCs w:val="22"/>
              </w:rPr>
            </w:r>
            <w:r/>
          </w:p>
        </w:tc>
      </w:tr>
      <w:tr>
        <w:trPr>
          <w:trHeight w:val="1151"/>
        </w:trPr>
        <w:tc>
          <w:tcPr>
            <w:tcW w:w="821" w:type="dxa"/>
            <w:vAlign w:val="center"/>
            <w:textDirection w:val="lrTb"/>
            <w:noWrap w:val="false"/>
          </w:tcPr>
          <w:p>
            <w:pPr>
              <w:pStyle w:val="1484"/>
              <w:jc w:val="center"/>
              <w:rPr>
                <w:rFonts w:hint="eastAsia" w:ascii="宋体" w:hAnsi="宋体" w:cs="宋体"/>
                <w:b/>
                <w:bCs/>
              </w:rPr>
            </w:pPr>
            <w:r>
              <w:rPr>
                <w:rFonts w:hint="eastAsia" w:ascii="宋体" w:hAnsi="宋体" w:cs="宋体"/>
                <w:b/>
                <w:bCs/>
              </w:rPr>
              <w:t xml:space="preserve">6</w:t>
            </w:r>
            <w:r>
              <w:rPr>
                <w:rFonts w:hint="eastAsia" w:ascii="宋体" w:hAnsi="宋体" w:cs="宋体"/>
                <w:b/>
                <w:bCs/>
              </w:rPr>
            </w:r>
            <w:r/>
          </w:p>
        </w:tc>
        <w:tc>
          <w:tcPr>
            <w:tcW w:w="1648" w:type="dxa"/>
            <w:vAlign w:val="center"/>
            <w:textDirection w:val="lrTb"/>
            <w:noWrap w:val="false"/>
          </w:tcPr>
          <w:p>
            <w:pPr>
              <w:pStyle w:val="1484"/>
              <w:jc w:val="center"/>
              <w:spacing w:line="360" w:lineRule="auto"/>
              <w:rPr>
                <w:rFonts w:hint="eastAsia" w:ascii="宋体" w:hAnsi="宋体" w:cs="宋体"/>
                <w:b/>
                <w:szCs w:val="21"/>
              </w:rPr>
            </w:pPr>
            <w:r>
              <w:rPr>
                <w:rFonts w:hint="eastAsia" w:ascii="宋体" w:hAnsi="宋体" w:cs="宋体"/>
                <w:b/>
                <w:szCs w:val="21"/>
                <w:lang w:bidi="ar"/>
              </w:rPr>
              <w:t xml:space="preserve">质量认证</w:t>
            </w:r>
            <w:r>
              <w:rPr>
                <w:rFonts w:hint="eastAsia" w:ascii="宋体" w:hAnsi="宋体" w:cs="宋体"/>
                <w:b/>
                <w:szCs w:val="21"/>
              </w:rPr>
            </w:r>
            <w:r/>
          </w:p>
          <w:p>
            <w:pPr>
              <w:pStyle w:val="1484"/>
              <w:jc w:val="center"/>
              <w:spacing w:line="360" w:lineRule="auto"/>
              <w:rPr>
                <w:rFonts w:hint="eastAsia" w:ascii="宋体" w:hAnsi="宋体" w:cs="宋体"/>
                <w:b/>
                <w:szCs w:val="21"/>
              </w:rPr>
            </w:pPr>
            <w:r>
              <w:rPr>
                <w:rFonts w:hint="eastAsia" w:ascii="宋体" w:hAnsi="宋体" w:cs="宋体"/>
                <w:b/>
                <w:szCs w:val="21"/>
                <w:lang w:bidi="ar"/>
              </w:rPr>
              <w:t xml:space="preserve">（0-5分）</w:t>
            </w:r>
            <w:r>
              <w:rPr>
                <w:rFonts w:hint="eastAsia" w:ascii="宋体" w:hAnsi="宋体" w:cs="宋体"/>
                <w:b/>
                <w:szCs w:val="21"/>
              </w:rPr>
            </w:r>
            <w:r/>
          </w:p>
        </w:tc>
        <w:tc>
          <w:tcPr>
            <w:tcW w:w="7385" w:type="dxa"/>
            <w:vAlign w:val="center"/>
            <w:textDirection w:val="lrTb"/>
            <w:noWrap w:val="false"/>
          </w:tcPr>
          <w:p>
            <w:pPr>
              <w:pStyle w:val="1484"/>
              <w:jc w:val="left"/>
              <w:spacing w:line="360" w:lineRule="auto"/>
              <w:widowControl/>
              <w:rPr>
                <w:rFonts w:hint="eastAsia" w:ascii="宋体" w:hAnsi="宋体" w:cs="宋体"/>
                <w:szCs w:val="21"/>
              </w:rPr>
            </w:pPr>
            <w:r>
              <w:rPr>
                <w:rFonts w:hint="eastAsia" w:ascii="宋体" w:hAnsi="宋体" w:cs="宋体"/>
                <w:szCs w:val="21"/>
                <w:lang w:bidi="ar"/>
              </w:rPr>
              <w:t xml:space="preserve">1.投标人具备有效期内的通过ISO13485质量体系认证、ISO14000环境管理体系、OHSAS18001或ISO45001职业安全健康体系认证证书的，每有一个得1分，最多得3分；</w:t>
            </w:r>
            <w:r>
              <w:rPr>
                <w:rFonts w:hint="eastAsia" w:ascii="宋体" w:hAnsi="宋体" w:cs="宋体"/>
                <w:szCs w:val="21"/>
              </w:rPr>
            </w:r>
            <w:r/>
          </w:p>
          <w:p>
            <w:pPr>
              <w:pStyle w:val="1484"/>
              <w:jc w:val="left"/>
              <w:spacing w:line="360" w:lineRule="auto"/>
              <w:widowControl/>
              <w:rPr>
                <w:rFonts w:hint="eastAsia" w:ascii="宋体" w:hAnsi="宋体" w:cs="宋体"/>
                <w:szCs w:val="22"/>
              </w:rPr>
            </w:pPr>
            <w:r>
              <w:rPr>
                <w:rFonts w:hint="eastAsia" w:ascii="宋体" w:hAnsi="宋体" w:cs="宋体"/>
                <w:szCs w:val="21"/>
                <w:lang w:bidi="ar"/>
              </w:rPr>
              <w:t xml:space="preserve">2.投标人或</w:t>
            </w:r>
            <w:r>
              <w:rPr>
                <w:rFonts w:hint="eastAsia" w:ascii="宋体" w:hAnsi="宋体" w:cs="宋体"/>
                <w:szCs w:val="21"/>
                <w:highlight w:val="none"/>
                <w:lang w:bidi="ar"/>
              </w:rPr>
              <w:t xml:space="preserve">试剂盒制造商具备</w:t>
            </w:r>
            <w:r>
              <w:rPr>
                <w:rFonts w:hint="eastAsia" w:ascii="宋体" w:hAnsi="宋体" w:cs="宋体"/>
                <w:szCs w:val="21"/>
                <w:lang w:bidi="ar"/>
              </w:rPr>
              <w:t xml:space="preserve">投标试剂生产场所的GMP认证的（或现场检查结果合格通知或其他有效证明材料）得2分，否则不得分；</w:t>
            </w:r>
            <w:r>
              <w:rPr>
                <w:rFonts w:hint="eastAsia" w:ascii="宋体" w:hAnsi="宋体" w:cs="宋体"/>
                <w:szCs w:val="22"/>
              </w:rPr>
            </w:r>
            <w:r/>
          </w:p>
        </w:tc>
      </w:tr>
      <w:tr>
        <w:trPr>
          <w:trHeight w:val="578"/>
        </w:trPr>
        <w:tc>
          <w:tcPr>
            <w:tcW w:w="821" w:type="dxa"/>
            <w:vAlign w:val="center"/>
            <w:textDirection w:val="lrTb"/>
            <w:noWrap w:val="false"/>
          </w:tcPr>
          <w:p>
            <w:pPr>
              <w:pStyle w:val="1484"/>
              <w:jc w:val="center"/>
              <w:rPr>
                <w:rFonts w:ascii="宋体" w:hAnsi="宋体" w:cs="宋体"/>
                <w:b/>
                <w:bCs/>
              </w:rPr>
            </w:pPr>
            <w:r>
              <w:rPr>
                <w:rFonts w:hint="eastAsia" w:ascii="宋体" w:hAnsi="宋体" w:cs="宋体"/>
                <w:b/>
                <w:bCs/>
              </w:rPr>
              <w:t xml:space="preserve">7</w:t>
            </w:r>
            <w:r>
              <w:rPr>
                <w:rFonts w:ascii="宋体" w:hAnsi="宋体" w:cs="宋体"/>
                <w:b/>
                <w:bCs/>
              </w:rPr>
            </w:r>
            <w:r/>
          </w:p>
        </w:tc>
        <w:tc>
          <w:tcPr>
            <w:tcW w:w="1648" w:type="dxa"/>
            <w:vAlign w:val="center"/>
            <w:textDirection w:val="lrTb"/>
            <w:noWrap w:val="false"/>
          </w:tcPr>
          <w:p>
            <w:pPr>
              <w:pStyle w:val="1484"/>
              <w:jc w:val="center"/>
              <w:spacing w:line="360" w:lineRule="auto"/>
              <w:rPr>
                <w:rFonts w:hint="eastAsia" w:ascii="宋体" w:hAnsi="宋体" w:cs="宋体"/>
                <w:b/>
                <w:szCs w:val="21"/>
              </w:rPr>
            </w:pPr>
            <w:r>
              <w:rPr>
                <w:rFonts w:hint="eastAsia" w:ascii="宋体" w:hAnsi="宋体" w:cs="宋体"/>
                <w:b/>
                <w:szCs w:val="21"/>
              </w:rPr>
              <w:t xml:space="preserve">试剂包装标识（0-5分）</w:t>
            </w:r>
            <w:r>
              <w:rPr>
                <w:rFonts w:hint="eastAsia" w:ascii="宋体" w:hAnsi="宋体" w:cs="宋体"/>
                <w:b/>
                <w:szCs w:val="21"/>
              </w:rPr>
            </w:r>
            <w:r/>
          </w:p>
        </w:tc>
        <w:tc>
          <w:tcPr>
            <w:tcW w:w="7385" w:type="dxa"/>
            <w:vAlign w:val="top"/>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根据投标人提供的整包试剂样品为评审依据，重点从外包装和标识是否满足招标人要求、包装防潮性能等为依据进行综合评审：</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包装标识印刷完全符合或优于标准得5分；</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包装符合度良好基本满足招标人要求得3分；</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包装不符合要求但承诺后期可达到要求得1分；</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完全不符合要求且无任何承诺得0分。</w:t>
            </w:r>
            <w:r>
              <w:rPr>
                <w:rFonts w:hint="eastAsia" w:ascii="宋体" w:hAnsi="宋体" w:cs="宋体"/>
                <w:szCs w:val="21"/>
              </w:rPr>
            </w:r>
            <w:r/>
          </w:p>
        </w:tc>
      </w:tr>
      <w:tr>
        <w:trPr>
          <w:trHeight w:val="578"/>
        </w:trPr>
        <w:tc>
          <w:tcPr>
            <w:tcW w:w="821" w:type="dxa"/>
            <w:vAlign w:val="center"/>
            <w:textDirection w:val="lrTb"/>
            <w:noWrap w:val="false"/>
          </w:tcPr>
          <w:p>
            <w:pPr>
              <w:pStyle w:val="1484"/>
              <w:jc w:val="center"/>
              <w:rPr>
                <w:rFonts w:hint="eastAsia" w:ascii="宋体" w:hAnsi="宋体" w:cs="宋体"/>
                <w:b/>
                <w:bCs/>
              </w:rPr>
            </w:pPr>
            <w:r>
              <w:rPr>
                <w:rFonts w:hint="eastAsia" w:ascii="宋体" w:hAnsi="宋体" w:cs="宋体"/>
                <w:b/>
                <w:bCs/>
              </w:rPr>
              <w:t xml:space="preserve">8</w:t>
            </w:r>
            <w:r>
              <w:rPr>
                <w:rFonts w:hint="eastAsia" w:ascii="宋体" w:hAnsi="宋体" w:cs="宋体"/>
                <w:b/>
                <w:bCs/>
              </w:rPr>
            </w:r>
            <w:r/>
          </w:p>
        </w:tc>
        <w:tc>
          <w:tcPr>
            <w:tcW w:w="1648" w:type="dxa"/>
            <w:vAlign w:val="center"/>
            <w:textDirection w:val="lrTb"/>
            <w:noWrap w:val="false"/>
          </w:tcPr>
          <w:p>
            <w:pPr>
              <w:pStyle w:val="1484"/>
              <w:jc w:val="center"/>
              <w:spacing w:line="360" w:lineRule="auto"/>
              <w:rPr>
                <w:rFonts w:hint="eastAsia" w:ascii="宋体" w:hAnsi="宋体" w:cs="宋体"/>
                <w:b/>
                <w:szCs w:val="21"/>
              </w:rPr>
            </w:pPr>
            <w:r>
              <w:rPr>
                <w:rFonts w:hint="eastAsia" w:ascii="宋体" w:hAnsi="宋体" w:cs="宋体"/>
                <w:b/>
                <w:szCs w:val="21"/>
              </w:rPr>
              <w:t xml:space="preserve">试剂有效期（0-4分）</w:t>
            </w:r>
            <w:r>
              <w:rPr>
                <w:rFonts w:hint="eastAsia" w:ascii="宋体" w:hAnsi="宋体" w:cs="宋体"/>
                <w:b/>
                <w:szCs w:val="21"/>
              </w:rPr>
            </w:r>
            <w:r/>
          </w:p>
        </w:tc>
        <w:tc>
          <w:tcPr>
            <w:tcW w:w="7385" w:type="dxa"/>
            <w:vAlign w:val="top"/>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根据投标人承诺交付至招标人的试剂剩余有效期为评审依据，承诺有效期最长者得4分，其余较最长者每减少1个月扣1分（不足1个月按1个月计），扣完为止。</w:t>
            </w:r>
            <w:r>
              <w:rPr>
                <w:rFonts w:hint="eastAsia" w:ascii="宋体" w:hAnsi="宋体" w:cs="宋体"/>
                <w:szCs w:val="21"/>
              </w:rPr>
            </w:r>
            <w:r/>
          </w:p>
        </w:tc>
      </w:tr>
      <w:tr>
        <w:trPr>
          <w:trHeight w:val="578"/>
        </w:trPr>
        <w:tc>
          <w:tcPr>
            <w:tcW w:w="821" w:type="dxa"/>
            <w:vAlign w:val="center"/>
            <w:textDirection w:val="lrTb"/>
            <w:noWrap w:val="false"/>
          </w:tcPr>
          <w:p>
            <w:pPr>
              <w:pStyle w:val="1484"/>
              <w:jc w:val="center"/>
              <w:rPr>
                <w:rFonts w:hint="eastAsia" w:ascii="宋体" w:hAnsi="宋体" w:cs="宋体"/>
                <w:b/>
                <w:bCs/>
              </w:rPr>
            </w:pPr>
            <w:r>
              <w:rPr>
                <w:rFonts w:hint="eastAsia" w:ascii="宋体" w:hAnsi="宋体" w:cs="宋体"/>
                <w:b/>
                <w:bCs/>
              </w:rPr>
              <w:t xml:space="preserve">9</w:t>
            </w:r>
            <w:r>
              <w:rPr>
                <w:rFonts w:hint="eastAsia" w:ascii="宋体" w:hAnsi="宋体" w:cs="宋体"/>
                <w:b/>
                <w:bCs/>
              </w:rPr>
            </w:r>
            <w:r/>
          </w:p>
        </w:tc>
        <w:tc>
          <w:tcPr>
            <w:tcW w:w="1648" w:type="dxa"/>
            <w:vAlign w:val="center"/>
            <w:textDirection w:val="lrTb"/>
            <w:noWrap w:val="false"/>
          </w:tcPr>
          <w:p>
            <w:pPr>
              <w:pStyle w:val="1484"/>
              <w:jc w:val="center"/>
              <w:spacing w:line="360" w:lineRule="auto"/>
              <w:rPr>
                <w:rFonts w:ascii="宋体" w:hAnsi="宋体"/>
                <w:b/>
                <w:bCs/>
              </w:rPr>
            </w:pPr>
            <w:r>
              <w:rPr>
                <w:rFonts w:hint="eastAsia" w:ascii="宋体" w:hAnsi="宋体"/>
                <w:b/>
                <w:bCs/>
              </w:rPr>
              <w:t xml:space="preserve">程序运行时间</w:t>
            </w:r>
            <w:r>
              <w:rPr>
                <w:rFonts w:ascii="宋体" w:hAnsi="宋体"/>
                <w:b/>
                <w:bCs/>
              </w:rPr>
            </w:r>
            <w:r/>
          </w:p>
          <w:p>
            <w:pPr>
              <w:pStyle w:val="1484"/>
              <w:jc w:val="center"/>
              <w:spacing w:line="360" w:lineRule="auto"/>
              <w:rPr>
                <w:rFonts w:hint="eastAsia" w:ascii="宋体" w:hAnsi="宋体" w:cs="宋体"/>
                <w:b/>
                <w:szCs w:val="21"/>
              </w:rPr>
            </w:pPr>
            <w:r>
              <w:rPr>
                <w:rFonts w:hint="eastAsia" w:ascii="宋体" w:hAnsi="宋体"/>
                <w:b/>
                <w:bCs/>
              </w:rPr>
              <w:t xml:space="preserve">（0-3分）</w:t>
            </w:r>
            <w:r>
              <w:rPr>
                <w:rFonts w:hint="eastAsia" w:ascii="宋体" w:hAnsi="宋体" w:cs="宋体"/>
                <w:b/>
                <w:szCs w:val="21"/>
              </w:rPr>
            </w:r>
            <w:r/>
          </w:p>
        </w:tc>
        <w:tc>
          <w:tcPr>
            <w:tcW w:w="7385" w:type="dxa"/>
            <w:vAlign w:val="center"/>
            <w:textDirection w:val="lrTb"/>
            <w:noWrap w:val="false"/>
          </w:tcPr>
          <w:p>
            <w:pPr>
              <w:pStyle w:val="1484"/>
              <w:spacing w:line="360" w:lineRule="auto"/>
              <w:rPr>
                <w:rFonts w:hint="eastAsia" w:ascii="宋体" w:hAnsi="宋体" w:cs="宋体"/>
                <w:szCs w:val="21"/>
                <w:highlight w:val="none"/>
              </w:rPr>
            </w:pPr>
            <w:r>
              <w:rPr>
                <w:rFonts w:hint="eastAsia" w:ascii="宋体" w:hAnsi="宋体"/>
                <w:highlight w:val="none"/>
              </w:rPr>
              <w:t xml:space="preserve">程序上机运行时间小于等于70min得3分，71-90（含）min得2分，大于90min不得分；需提供有效证明材料，否则不计分。</w:t>
            </w:r>
            <w:r>
              <w:rPr>
                <w:rFonts w:hint="eastAsia" w:ascii="宋体" w:hAnsi="宋体" w:cs="宋体"/>
                <w:szCs w:val="21"/>
                <w:highlight w:val="none"/>
              </w:rPr>
            </w:r>
            <w:r/>
          </w:p>
        </w:tc>
      </w:tr>
      <w:tr>
        <w:trPr>
          <w:trHeight w:val="633"/>
        </w:trPr>
        <w:tc>
          <w:tcPr>
            <w:tcW w:w="821" w:type="dxa"/>
            <w:vAlign w:val="center"/>
            <w:textDirection w:val="lrTb"/>
            <w:noWrap w:val="false"/>
          </w:tcPr>
          <w:p>
            <w:pPr>
              <w:pStyle w:val="1484"/>
              <w:jc w:val="center"/>
              <w:rPr>
                <w:rFonts w:ascii="宋体" w:hAnsi="宋体" w:cs="宋体"/>
                <w:b/>
                <w:bCs/>
              </w:rPr>
            </w:pPr>
            <w:r>
              <w:rPr>
                <w:rFonts w:hint="eastAsia" w:ascii="宋体" w:hAnsi="宋体" w:cs="宋体"/>
                <w:b/>
                <w:bCs/>
              </w:rPr>
              <w:t xml:space="preserve">10.1</w:t>
            </w:r>
            <w:r>
              <w:rPr>
                <w:rFonts w:ascii="宋体" w:hAnsi="宋体" w:cs="宋体"/>
                <w:b/>
                <w:bCs/>
              </w:rPr>
            </w:r>
            <w:r/>
          </w:p>
        </w:tc>
        <w:tc>
          <w:tcPr>
            <w:tcW w:w="1648" w:type="dxa"/>
            <w:vAlign w:val="center"/>
            <w:textDirection w:val="lrTb"/>
            <w:noWrap w:val="false"/>
          </w:tcPr>
          <w:p>
            <w:pPr>
              <w:pStyle w:val="1484"/>
              <w:jc w:val="center"/>
              <w:spacing w:line="360" w:lineRule="auto"/>
              <w:rPr>
                <w:rFonts w:hint="eastAsia" w:ascii="宋体" w:hAnsi="宋体" w:cs="宋体"/>
                <w:b/>
                <w:szCs w:val="21"/>
              </w:rPr>
            </w:pPr>
            <w:r>
              <w:rPr>
                <w:rFonts w:hint="eastAsia" w:ascii="宋体" w:hAnsi="宋体" w:cs="宋体"/>
                <w:b/>
                <w:szCs w:val="21"/>
              </w:rPr>
              <w:t xml:space="preserve">成功案例</w:t>
            </w:r>
            <w:r>
              <w:rPr>
                <w:rFonts w:hint="eastAsia" w:ascii="宋体" w:hAnsi="宋体" w:cs="宋体"/>
                <w:b/>
                <w:szCs w:val="21"/>
              </w:rPr>
            </w:r>
            <w:r/>
          </w:p>
          <w:p>
            <w:pPr>
              <w:pStyle w:val="1484"/>
              <w:jc w:val="center"/>
              <w:spacing w:line="360" w:lineRule="auto"/>
              <w:rPr>
                <w:rFonts w:hint="eastAsia" w:ascii="宋体" w:hAnsi="宋体" w:cs="宋体"/>
                <w:b/>
                <w:szCs w:val="21"/>
              </w:rPr>
            </w:pPr>
            <w:r>
              <w:rPr>
                <w:rFonts w:hint="eastAsia" w:ascii="宋体" w:hAnsi="宋体" w:cs="宋体"/>
                <w:b/>
                <w:szCs w:val="21"/>
              </w:rPr>
              <w:t xml:space="preserve">（0-</w:t>
            </w:r>
            <w:r>
              <w:rPr>
                <w:rFonts w:hint="eastAsia" w:ascii="宋体" w:hAnsi="宋体" w:cs="宋体"/>
                <w:b/>
                <w:szCs w:val="21"/>
                <w:lang w:val="en-US" w:eastAsia="zh-CN"/>
              </w:rPr>
              <w:t xml:space="preserve">1</w:t>
            </w:r>
            <w:r>
              <w:rPr>
                <w:rFonts w:hint="eastAsia" w:ascii="宋体" w:hAnsi="宋体" w:cs="宋体"/>
                <w:b/>
                <w:szCs w:val="21"/>
                <w:lang w:val="en-US" w:eastAsia="zh-CN"/>
              </w:rPr>
              <w:t xml:space="preserve">0</w:t>
            </w:r>
            <w:r>
              <w:rPr>
                <w:rFonts w:hint="eastAsia" w:ascii="宋体" w:hAnsi="宋体" w:cs="宋体"/>
                <w:b/>
                <w:szCs w:val="21"/>
              </w:rPr>
              <w:t xml:space="preserve">分）</w:t>
            </w:r>
            <w:r>
              <w:rPr>
                <w:rFonts w:hint="eastAsia" w:ascii="宋体" w:hAnsi="宋体" w:cs="宋体"/>
                <w:b/>
                <w:szCs w:val="21"/>
              </w:rPr>
            </w:r>
            <w:r/>
          </w:p>
        </w:tc>
        <w:tc>
          <w:tcPr>
            <w:tcW w:w="7385" w:type="dxa"/>
            <w:vAlign w:val="center"/>
            <w:textDirection w:val="lrTb"/>
            <w:noWrap w:val="false"/>
          </w:tcPr>
          <w:p>
            <w:pPr>
              <w:pStyle w:val="1484"/>
              <w:spacing w:line="360" w:lineRule="auto"/>
              <w:rPr>
                <w:rFonts w:hint="eastAsia" w:ascii="宋体" w:hAnsi="宋体" w:cs="宋体"/>
                <w:szCs w:val="21"/>
                <w:highlight w:val="none"/>
              </w:rPr>
            </w:pPr>
            <w:r>
              <w:rPr>
                <w:rFonts w:hint="eastAsia" w:ascii="宋体" w:hAnsi="宋体" w:cs="宋体"/>
                <w:szCs w:val="21"/>
                <w:highlight w:val="none"/>
              </w:rPr>
              <w:t xml:space="preserve">1.2023年1月1日（含）至今</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以合同签订日期或通知书落款日期为准</w:t>
            </w:r>
            <w:r>
              <w:rPr>
                <w:rFonts w:hint="eastAsia" w:ascii="宋体" w:hAnsi="宋体" w:cs="宋体"/>
                <w:szCs w:val="21"/>
                <w:highlight w:val="none"/>
                <w:lang w:eastAsia="zh-CN"/>
              </w:rPr>
              <w:t xml:space="preserve">）</w:t>
            </w:r>
            <w:r>
              <w:rPr>
                <w:rFonts w:hint="eastAsia" w:ascii="宋体" w:hAnsi="宋体" w:cs="宋体"/>
                <w:szCs w:val="21"/>
                <w:highlight w:val="none"/>
              </w:rPr>
              <w:t xml:space="preserve">，供应商或制造商具有与本次投标产品同品牌同型号试剂盒销售的成功案例，</w:t>
            </w:r>
            <w:r>
              <w:rPr>
                <w:rFonts w:hint="eastAsia" w:ascii="宋体" w:hAnsi="宋体" w:cs="宋体"/>
                <w:szCs w:val="21"/>
                <w:highlight w:val="none"/>
                <w:lang w:val="en-US" w:eastAsia="zh-CN"/>
              </w:rPr>
              <w:t xml:space="preserve">提供</w:t>
            </w:r>
            <w:r>
              <w:rPr>
                <w:rFonts w:hint="eastAsia" w:ascii="宋体" w:hAnsi="宋体"/>
                <w:bCs/>
                <w:highlight w:val="none"/>
                <w:lang w:val="en-US" w:eastAsia="zh-CN"/>
              </w:rPr>
              <w:t xml:space="preserve">中标通知书或</w:t>
            </w:r>
            <w:r>
              <w:rPr>
                <w:rFonts w:hint="eastAsia" w:ascii="宋体" w:hAnsi="宋体"/>
                <w:bCs/>
                <w:highlight w:val="none"/>
              </w:rPr>
              <w:t xml:space="preserve">合同</w:t>
            </w:r>
            <w:r>
              <w:rPr>
                <w:rFonts w:hint="eastAsia" w:ascii="宋体" w:hAnsi="宋体" w:cs="宋体"/>
                <w:szCs w:val="21"/>
                <w:highlight w:val="none"/>
              </w:rPr>
              <w:t xml:space="preserve">。每提供一个有效成功案例得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分，本项最高得</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rPr>
                <w:rFonts w:hint="eastAsia" w:ascii="宋体" w:hAnsi="宋体" w:cs="宋体"/>
                <w:szCs w:val="21"/>
                <w:highlight w:val="none"/>
              </w:rPr>
            </w:r>
            <w:r/>
          </w:p>
          <w:p>
            <w:pPr>
              <w:pStyle w:val="1484"/>
              <w:spacing w:line="360" w:lineRule="auto"/>
              <w:rPr>
                <w:rFonts w:hint="eastAsia" w:ascii="宋体" w:hAnsi="宋体" w:eastAsia="宋体" w:cs="宋体"/>
                <w:b/>
                <w:bCs/>
                <w:szCs w:val="21"/>
                <w:highlight w:val="none"/>
                <w:lang w:eastAsia="zh-CN"/>
              </w:rPr>
            </w:pPr>
            <w:r>
              <w:rPr>
                <w:rFonts w:hint="eastAsia" w:ascii="宋体" w:hAnsi="宋体" w:cs="宋体"/>
                <w:szCs w:val="21"/>
                <w:highlight w:val="none"/>
              </w:rPr>
              <w:t xml:space="preserve">注：需提供</w:t>
            </w:r>
            <w:r>
              <w:rPr>
                <w:rFonts w:hint="eastAsia" w:ascii="宋体" w:hAnsi="宋体" w:cs="宋体"/>
                <w:szCs w:val="21"/>
                <w:highlight w:val="none"/>
                <w:lang w:val="en-US" w:eastAsia="zh-CN"/>
              </w:rPr>
              <w:t xml:space="preserve">中标通知书或</w:t>
            </w:r>
            <w:r>
              <w:rPr>
                <w:rFonts w:hint="eastAsia" w:ascii="宋体" w:hAnsi="宋体" w:cs="宋体"/>
                <w:szCs w:val="21"/>
                <w:highlight w:val="none"/>
              </w:rPr>
              <w:t xml:space="preserve">合同复印件</w:t>
            </w:r>
            <w:r>
              <w:rPr>
                <w:rFonts w:hint="eastAsia" w:ascii="宋体" w:hAnsi="宋体" w:cs="宋体"/>
                <w:szCs w:val="21"/>
                <w:highlight w:val="none"/>
                <w:lang w:val="en-US" w:eastAsia="zh-CN"/>
              </w:rPr>
              <w:t xml:space="preserve">并</w:t>
            </w:r>
            <w:r>
              <w:rPr>
                <w:rFonts w:hint="eastAsia" w:ascii="宋体" w:hAnsi="宋体" w:cs="宋体"/>
                <w:szCs w:val="21"/>
                <w:highlight w:val="none"/>
              </w:rPr>
              <w:t xml:space="preserve">加盖公章</w:t>
            </w:r>
            <w:r>
              <w:rPr>
                <w:rFonts w:hint="eastAsia" w:ascii="宋体" w:hAnsi="宋体" w:cs="宋体"/>
                <w:szCs w:val="21"/>
                <w:highlight w:val="none"/>
                <w:lang w:eastAsia="zh-CN"/>
              </w:rPr>
              <w:t xml:space="preserve">。</w:t>
            </w:r>
            <w:r>
              <w:rPr>
                <w:rFonts w:hint="eastAsia" w:ascii="宋体" w:hAnsi="宋体" w:eastAsia="宋体" w:cs="宋体"/>
                <w:b/>
                <w:bCs/>
                <w:szCs w:val="21"/>
                <w:highlight w:val="none"/>
                <w:lang w:eastAsia="zh-CN"/>
              </w:rPr>
            </w:r>
            <w:r/>
          </w:p>
        </w:tc>
      </w:tr>
      <w:tr>
        <w:trPr>
          <w:trHeight w:val="1524"/>
        </w:trPr>
        <w:tc>
          <w:tcPr>
            <w:tcW w:w="821" w:type="dxa"/>
            <w:vAlign w:val="center"/>
            <w:textDirection w:val="lrTb"/>
            <w:noWrap w:val="false"/>
          </w:tcPr>
          <w:p>
            <w:pPr>
              <w:pStyle w:val="1484"/>
              <w:jc w:val="center"/>
              <w:rPr>
                <w:rFonts w:hint="eastAsia" w:ascii="宋体" w:hAnsi="宋体" w:cs="宋体"/>
                <w:b/>
                <w:bCs/>
              </w:rPr>
            </w:pPr>
            <w:r>
              <w:rPr>
                <w:rFonts w:hint="eastAsia" w:ascii="宋体" w:hAnsi="宋体" w:cs="宋体"/>
                <w:b/>
                <w:bCs/>
              </w:rPr>
              <w:t xml:space="preserve">10.2</w:t>
            </w:r>
            <w:r>
              <w:rPr>
                <w:rFonts w:hint="eastAsia" w:ascii="宋体" w:hAnsi="宋体" w:cs="宋体"/>
                <w:b/>
                <w:bCs/>
              </w:rPr>
            </w:r>
            <w:r/>
          </w:p>
        </w:tc>
        <w:tc>
          <w:tcPr>
            <w:tcW w:w="1648" w:type="dxa"/>
            <w:vAlign w:val="center"/>
            <w:textDirection w:val="lrTb"/>
            <w:noWrap w:val="false"/>
          </w:tcPr>
          <w:p>
            <w:pPr>
              <w:pStyle w:val="1484"/>
              <w:jc w:val="center"/>
              <w:spacing w:line="360" w:lineRule="auto"/>
              <w:rPr>
                <w:rFonts w:hint="eastAsia" w:ascii="宋体" w:hAnsi="宋体" w:cs="宋体"/>
                <w:b/>
                <w:szCs w:val="21"/>
              </w:rPr>
            </w:pPr>
            <w:r>
              <w:rPr>
                <w:rFonts w:hint="eastAsia" w:ascii="宋体" w:hAnsi="宋体" w:cs="宋体"/>
                <w:b/>
                <w:szCs w:val="21"/>
              </w:rPr>
              <w:t xml:space="preserve">既往评价</w:t>
            </w:r>
            <w:r>
              <w:rPr>
                <w:rFonts w:hint="eastAsia" w:ascii="宋体" w:hAnsi="宋体" w:cs="宋体"/>
                <w:b/>
                <w:szCs w:val="21"/>
              </w:rPr>
            </w:r>
            <w:r/>
          </w:p>
          <w:p>
            <w:pPr>
              <w:pStyle w:val="1484"/>
              <w:jc w:val="center"/>
              <w:spacing w:line="360" w:lineRule="auto"/>
              <w:rPr>
                <w:rFonts w:hint="eastAsia" w:ascii="宋体" w:hAnsi="宋体" w:cs="宋体"/>
                <w:b/>
                <w:szCs w:val="21"/>
              </w:rPr>
            </w:pPr>
            <w:r>
              <w:rPr>
                <w:rFonts w:hint="eastAsia" w:ascii="宋体" w:hAnsi="宋体" w:cs="宋体"/>
                <w:b/>
                <w:szCs w:val="21"/>
              </w:rPr>
              <w:t xml:space="preserve">（0-</w:t>
            </w:r>
            <w:r>
              <w:rPr>
                <w:rFonts w:hint="eastAsia" w:ascii="宋体" w:hAnsi="宋体" w:cs="宋体"/>
                <w:b/>
                <w:szCs w:val="21"/>
                <w:lang w:val="en-US" w:eastAsia="zh-CN"/>
              </w:rPr>
              <w:t xml:space="preserve">1</w:t>
            </w:r>
            <w:r>
              <w:rPr>
                <w:rFonts w:hint="eastAsia" w:ascii="宋体" w:hAnsi="宋体" w:cs="宋体"/>
                <w:b/>
                <w:szCs w:val="21"/>
              </w:rPr>
              <w:t xml:space="preserve">分）</w:t>
            </w:r>
            <w:r>
              <w:rPr>
                <w:rFonts w:hint="eastAsia" w:ascii="宋体" w:hAnsi="宋体" w:cs="宋体"/>
                <w:b/>
                <w:szCs w:val="21"/>
              </w:rPr>
            </w:r>
            <w:r/>
          </w:p>
        </w:tc>
        <w:tc>
          <w:tcPr>
            <w:tcW w:w="7385"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2.基于成功案例基础上，</w:t>
            </w:r>
            <w:r>
              <w:rPr>
                <w:rFonts w:hint="eastAsia" w:ascii="宋体" w:hAnsi="宋体" w:cs="宋体"/>
                <w:szCs w:val="21"/>
                <w:highlight w:val="none"/>
              </w:rPr>
              <w:t xml:space="preserve">供应商或制造商</w:t>
            </w:r>
            <w:r>
              <w:rPr>
                <w:rFonts w:hint="eastAsia" w:ascii="宋体" w:hAnsi="宋体" w:cs="宋体"/>
                <w:szCs w:val="21"/>
              </w:rPr>
              <w:t xml:space="preserve">自2023年1月1日以来获得过既往用户对履约服务能力满意或优秀评价的，每提供一份满意或优秀评价得1分，最多得</w:t>
            </w:r>
            <w:r>
              <w:rPr>
                <w:rFonts w:hint="eastAsia" w:ascii="宋体" w:hAnsi="宋体" w:cs="宋体"/>
                <w:szCs w:val="21"/>
                <w:lang w:val="en-US" w:eastAsia="zh-CN"/>
              </w:rPr>
              <w:t xml:space="preserve">1</w:t>
            </w:r>
            <w:r>
              <w:rPr>
                <w:rFonts w:hint="eastAsia" w:ascii="宋体" w:hAnsi="宋体" w:cs="宋体"/>
                <w:szCs w:val="21"/>
              </w:rPr>
              <w:t xml:space="preserve">分，同一用户不重复计分。</w:t>
            </w:r>
            <w:r>
              <w:rPr>
                <w:rFonts w:hint="eastAsia" w:ascii="宋体" w:hAnsi="宋体" w:cs="宋体"/>
                <w:szCs w:val="21"/>
              </w:rPr>
            </w:r>
            <w:r/>
          </w:p>
          <w:p>
            <w:pPr>
              <w:pStyle w:val="1523"/>
              <w:ind w:left="0"/>
              <w:rPr>
                <w:rFonts w:hint="eastAsia"/>
              </w:rPr>
            </w:pPr>
            <w:r>
              <w:rPr>
                <w:rFonts w:hint="eastAsia"/>
              </w:rPr>
              <w:t xml:space="preserve">注：需提供履约评价，评价需能反应上述内容。</w:t>
            </w:r>
            <w:r>
              <w:rPr>
                <w:rFonts w:hint="eastAsia"/>
              </w:rPr>
            </w:r>
            <w:r/>
          </w:p>
        </w:tc>
      </w:tr>
      <w:tr>
        <w:trPr>
          <w:trHeight w:val="633"/>
        </w:trPr>
        <w:tc>
          <w:tcPr>
            <w:tcW w:w="821" w:type="dxa"/>
            <w:vAlign w:val="center"/>
            <w:textDirection w:val="lrTb"/>
            <w:noWrap w:val="false"/>
          </w:tcPr>
          <w:p>
            <w:pPr>
              <w:pStyle w:val="1484"/>
              <w:jc w:val="center"/>
              <w:rPr>
                <w:rFonts w:hint="eastAsia" w:ascii="宋体" w:hAnsi="宋体" w:cs="宋体"/>
                <w:b/>
                <w:bCs/>
              </w:rPr>
            </w:pPr>
            <w:r>
              <w:rPr>
                <w:rFonts w:hint="eastAsia" w:ascii="宋体" w:hAnsi="宋体" w:cs="宋体"/>
                <w:b/>
                <w:bCs/>
              </w:rPr>
              <w:t xml:space="preserve">11</w:t>
            </w:r>
            <w:r>
              <w:rPr>
                <w:rFonts w:hint="eastAsia" w:ascii="宋体" w:hAnsi="宋体" w:cs="宋体"/>
                <w:b/>
                <w:bCs/>
              </w:rPr>
            </w:r>
            <w:r/>
          </w:p>
        </w:tc>
        <w:tc>
          <w:tcPr>
            <w:tcW w:w="1648" w:type="dxa"/>
            <w:vAlign w:val="center"/>
            <w:textDirection w:val="lrTb"/>
            <w:noWrap w:val="false"/>
          </w:tcPr>
          <w:p>
            <w:pPr>
              <w:pStyle w:val="1484"/>
              <w:jc w:val="center"/>
              <w:spacing w:line="360" w:lineRule="auto"/>
              <w:rPr>
                <w:rFonts w:hint="eastAsia" w:ascii="宋体" w:hAnsi="宋体" w:cs="宋体"/>
                <w:b/>
                <w:szCs w:val="21"/>
              </w:rPr>
            </w:pPr>
            <w:r>
              <w:rPr>
                <w:rFonts w:hint="eastAsia" w:ascii="宋体" w:hAnsi="宋体" w:cs="宋体"/>
                <w:b/>
                <w:szCs w:val="21"/>
              </w:rPr>
              <w:t xml:space="preserve">科技创新</w:t>
            </w:r>
            <w:r>
              <w:rPr>
                <w:rFonts w:hint="eastAsia" w:ascii="宋体" w:hAnsi="宋体" w:cs="宋体"/>
                <w:b/>
                <w:szCs w:val="21"/>
              </w:rPr>
            </w:r>
            <w:r/>
          </w:p>
          <w:p>
            <w:pPr>
              <w:pStyle w:val="1484"/>
              <w:jc w:val="center"/>
              <w:spacing w:line="360" w:lineRule="auto"/>
              <w:rPr>
                <w:rFonts w:hint="eastAsia" w:ascii="宋体" w:hAnsi="宋体" w:cs="宋体"/>
                <w:b/>
                <w:szCs w:val="21"/>
              </w:rPr>
            </w:pPr>
            <w:r>
              <w:rPr>
                <w:rFonts w:hint="eastAsia" w:ascii="宋体" w:hAnsi="宋体" w:cs="宋体"/>
                <w:b/>
                <w:szCs w:val="21"/>
              </w:rPr>
              <w:t xml:space="preserve">（0-</w:t>
            </w:r>
            <w:r>
              <w:rPr>
                <w:rFonts w:hint="eastAsia" w:ascii="宋体" w:hAnsi="宋体" w:cs="宋体"/>
                <w:b/>
                <w:szCs w:val="21"/>
                <w:lang w:val="en-US" w:eastAsia="zh-CN"/>
              </w:rPr>
              <w:t xml:space="preserve">1</w:t>
            </w:r>
            <w:r>
              <w:rPr>
                <w:rFonts w:hint="eastAsia" w:ascii="宋体" w:hAnsi="宋体" w:cs="宋体"/>
                <w:b/>
                <w:szCs w:val="21"/>
              </w:rPr>
              <w:t xml:space="preserve">分）</w:t>
            </w:r>
            <w:r>
              <w:rPr>
                <w:rFonts w:hint="eastAsia" w:ascii="宋体" w:hAnsi="宋体" w:cs="宋体"/>
                <w:b/>
                <w:szCs w:val="21"/>
              </w:rPr>
            </w:r>
            <w:r/>
          </w:p>
        </w:tc>
        <w:tc>
          <w:tcPr>
            <w:tcW w:w="7385"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供应商自2023年1月1日以来具备行业主管部门或政府部门诊断试剂类科技或创新类荣誉的，得</w:t>
            </w:r>
            <w:r>
              <w:rPr>
                <w:rFonts w:hint="eastAsia" w:ascii="宋体" w:hAnsi="宋体" w:cs="宋体"/>
                <w:szCs w:val="21"/>
                <w:lang w:val="en-US" w:eastAsia="zh-CN"/>
              </w:rPr>
              <w:t xml:space="preserve">1</w:t>
            </w:r>
            <w:r>
              <w:rPr>
                <w:rFonts w:hint="eastAsia" w:ascii="宋体" w:hAnsi="宋体" w:cs="宋体"/>
                <w:szCs w:val="21"/>
              </w:rPr>
              <w:t xml:space="preserve">分，否则不得分。需提供有效证明材料。</w:t>
            </w:r>
            <w:r>
              <w:rPr>
                <w:rFonts w:hint="eastAsia" w:ascii="宋体" w:hAnsi="宋体" w:cs="宋体"/>
                <w:szCs w:val="21"/>
              </w:rPr>
            </w:r>
            <w:r/>
          </w:p>
        </w:tc>
      </w:tr>
      <w:tr>
        <w:trPr>
          <w:trHeight w:val="633"/>
        </w:trPr>
        <w:tc>
          <w:tcPr>
            <w:tcW w:w="821" w:type="dxa"/>
            <w:vAlign w:val="center"/>
            <w:textDirection w:val="lrTb"/>
            <w:noWrap w:val="false"/>
          </w:tcPr>
          <w:p>
            <w:pPr>
              <w:pStyle w:val="1484"/>
              <w:jc w:val="center"/>
              <w:rPr>
                <w:rFonts w:hint="eastAsia" w:ascii="宋体" w:hAnsi="宋体" w:cs="宋体"/>
                <w:b/>
                <w:bCs/>
              </w:rPr>
            </w:pPr>
            <w:r>
              <w:rPr>
                <w:rFonts w:hint="eastAsia" w:ascii="宋体" w:hAnsi="宋体" w:cs="宋体"/>
                <w:b/>
                <w:bCs/>
              </w:rPr>
              <w:t xml:space="preserve">12</w:t>
            </w:r>
            <w:r>
              <w:rPr>
                <w:rFonts w:hint="eastAsia" w:ascii="宋体" w:hAnsi="宋体" w:cs="宋体"/>
                <w:b/>
                <w:bCs/>
              </w:rPr>
            </w:r>
            <w:r/>
          </w:p>
        </w:tc>
        <w:tc>
          <w:tcPr>
            <w:tcW w:w="1648" w:type="dxa"/>
            <w:vAlign w:val="center"/>
            <w:textDirection w:val="lrTb"/>
            <w:noWrap w:val="false"/>
          </w:tcPr>
          <w:p>
            <w:pPr>
              <w:pStyle w:val="1484"/>
              <w:jc w:val="center"/>
              <w:spacing w:line="360" w:lineRule="auto"/>
              <w:rPr>
                <w:rFonts w:hint="eastAsia" w:ascii="宋体" w:hAnsi="宋体" w:cs="宋体"/>
                <w:b/>
                <w:szCs w:val="21"/>
              </w:rPr>
            </w:pPr>
            <w:r>
              <w:rPr>
                <w:rFonts w:hint="eastAsia" w:ascii="宋体" w:hAnsi="宋体" w:cs="宋体"/>
                <w:b/>
                <w:szCs w:val="21"/>
              </w:rPr>
              <w:t xml:space="preserve">质量检查记录（0-3分）</w:t>
            </w:r>
            <w:r>
              <w:rPr>
                <w:rFonts w:hint="eastAsia" w:ascii="宋体" w:hAnsi="宋体" w:cs="宋体"/>
                <w:b/>
                <w:szCs w:val="21"/>
              </w:rPr>
            </w:r>
            <w:r/>
          </w:p>
        </w:tc>
        <w:tc>
          <w:tcPr>
            <w:tcW w:w="7385" w:type="dxa"/>
            <w:vAlign w:val="center"/>
            <w:textDirection w:val="lrTb"/>
            <w:noWrap w:val="false"/>
          </w:tcPr>
          <w:p>
            <w:pPr>
              <w:pStyle w:val="1484"/>
              <w:spacing w:line="360" w:lineRule="auto"/>
              <w:rPr>
                <w:rFonts w:hint="eastAsia" w:ascii="宋体" w:hAnsi="宋体" w:cs="宋体"/>
                <w:b/>
                <w:bCs/>
                <w:szCs w:val="21"/>
              </w:rPr>
            </w:pPr>
            <w:r>
              <w:rPr>
                <w:rFonts w:hint="eastAsia" w:ascii="宋体" w:hAnsi="宋体" w:cs="宋体"/>
                <w:szCs w:val="21"/>
              </w:rPr>
              <w:t xml:space="preserve">投标人自2023年1月1日以来，在行政主管部门的相关质量检查、督查中未存在被通报记录的得3分，否则不得分（本项可由投标人自行出具）</w:t>
            </w:r>
            <w:r>
              <w:rPr>
                <w:rFonts w:hint="eastAsia" w:ascii="宋体" w:hAnsi="宋体" w:cs="宋体"/>
                <w:b/>
                <w:bCs/>
                <w:szCs w:val="21"/>
              </w:rPr>
            </w:r>
            <w:r/>
          </w:p>
        </w:tc>
      </w:tr>
      <w:tr>
        <w:trPr>
          <w:trHeight w:val="633"/>
        </w:trPr>
        <w:tc>
          <w:tcPr>
            <w:tcW w:w="821" w:type="dxa"/>
            <w:vAlign w:val="center"/>
            <w:textDirection w:val="lrTb"/>
            <w:noWrap w:val="false"/>
          </w:tcPr>
          <w:p>
            <w:pPr>
              <w:pStyle w:val="1484"/>
              <w:jc w:val="center"/>
              <w:rPr>
                <w:rFonts w:hint="eastAsia" w:ascii="宋体" w:hAnsi="宋体" w:cs="宋体"/>
                <w:b/>
                <w:bCs/>
              </w:rPr>
            </w:pPr>
            <w:r>
              <w:rPr>
                <w:rFonts w:hint="eastAsia" w:ascii="宋体" w:hAnsi="宋体" w:cs="宋体"/>
                <w:b/>
                <w:bCs/>
              </w:rPr>
              <w:t xml:space="preserve">13</w:t>
            </w:r>
            <w:r>
              <w:rPr>
                <w:rFonts w:hint="eastAsia" w:ascii="宋体" w:hAnsi="宋体" w:cs="宋体"/>
                <w:b/>
                <w:bCs/>
              </w:rPr>
            </w:r>
            <w:r/>
          </w:p>
        </w:tc>
        <w:tc>
          <w:tcPr>
            <w:tcW w:w="1648"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b/>
                <w:szCs w:val="21"/>
              </w:rPr>
              <w:t xml:space="preserve">国家政策导向（0-</w:t>
            </w:r>
            <w:r>
              <w:rPr>
                <w:rFonts w:ascii="宋体" w:hAnsi="宋体" w:cs="宋体"/>
                <w:b/>
                <w:szCs w:val="21"/>
              </w:rPr>
              <w:t xml:space="preserve">1</w:t>
            </w:r>
            <w:r>
              <w:rPr>
                <w:rFonts w:hint="eastAsia" w:ascii="宋体" w:hAnsi="宋体" w:cs="宋体"/>
                <w:b/>
                <w:szCs w:val="21"/>
              </w:rPr>
              <w:t xml:space="preserve">分）</w:t>
            </w:r>
            <w:r>
              <w:rPr>
                <w:rFonts w:hint="eastAsia" w:ascii="宋体" w:hAnsi="宋体" w:cs="宋体"/>
                <w:szCs w:val="21"/>
              </w:rPr>
            </w:r>
            <w:r/>
          </w:p>
        </w:tc>
        <w:tc>
          <w:tcPr>
            <w:tcW w:w="7385"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1、投标产品属于财政部、生态环境部公布的《环境标志产品政府采购品目清单》内的产品且具有国家确定的认证机构出具的、处于有效期之内的环境标志产品认证证书的，有得0.5分</w:t>
            </w:r>
            <w:r>
              <w:rPr>
                <w:rFonts w:ascii="宋体" w:hAnsi="宋体" w:cs="宋体"/>
                <w:szCs w:val="21"/>
              </w:rPr>
              <w:t xml:space="preserve">，没有不得分</w:t>
            </w:r>
            <w:r>
              <w:rPr>
                <w:rFonts w:hint="eastAsia" w:ascii="宋体" w:hAnsi="宋体" w:cs="宋体"/>
                <w:szCs w:val="21"/>
              </w:rPr>
              <w:t xml:space="preserve">。提供认证证书复印件，否则不得分。</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2、投标产品属于财政部、发展改革委公布的《节能产品政府采购品目清单》内的产品且具有国家确定的认证机构出具的、处于有效期之内的节能产品认证证书的，有得0.5分</w:t>
            </w:r>
            <w:r>
              <w:rPr>
                <w:rFonts w:ascii="宋体" w:hAnsi="宋体" w:cs="宋体"/>
                <w:szCs w:val="21"/>
              </w:rPr>
              <w:t xml:space="preserve">，没有不得分</w:t>
            </w:r>
            <w:r>
              <w:rPr>
                <w:rFonts w:hint="eastAsia" w:ascii="宋体" w:hAnsi="宋体" w:cs="宋体"/>
                <w:szCs w:val="21"/>
              </w:rPr>
              <w:t xml:space="preserve">。提供认证证书复印件，否则不得分。</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b/>
                <w:bCs/>
                <w:szCs w:val="21"/>
              </w:rPr>
              <w:t xml:space="preserve">特别说明：供应商需提供环境标志产品证书/节能产品证书并标识出产品型号，如未提供，将不予认可。</w:t>
            </w:r>
            <w:r>
              <w:rPr>
                <w:rFonts w:hint="eastAsia" w:ascii="宋体" w:hAnsi="宋体" w:cs="宋体"/>
                <w:szCs w:val="21"/>
              </w:rPr>
            </w:r>
            <w:r/>
          </w:p>
        </w:tc>
      </w:tr>
    </w:tbl>
    <w:p>
      <w:pPr>
        <w:pStyle w:val="1484"/>
        <w:spacing w:line="360" w:lineRule="auto"/>
        <w:rPr>
          <w:rFonts w:hint="eastAsia" w:ascii="宋体" w:hAnsi="宋体" w:cs="宋体"/>
          <w:szCs w:val="21"/>
        </w:rPr>
      </w:pPr>
      <w:r>
        <w:rPr>
          <w:rFonts w:hint="eastAsia" w:ascii="宋体" w:hAnsi="宋体" w:cs="宋体"/>
          <w:b/>
          <w:bCs/>
          <w:szCs w:val="21"/>
        </w:rPr>
        <w:t xml:space="preserve">说明：</w:t>
      </w:r>
      <w:r>
        <w:rPr>
          <w:rFonts w:hint="eastAsia" w:ascii="宋体" w:hAnsi="宋体" w:cs="宋体"/>
          <w:b/>
          <w:szCs w:val="21"/>
        </w:rPr>
        <w:t xml:space="preserve">评审标准中涉及的</w:t>
      </w:r>
      <w:r>
        <w:rPr>
          <w:rFonts w:hint="eastAsia" w:ascii="宋体" w:hAnsi="宋体" w:cs="宋体"/>
          <w:b/>
          <w:bCs/>
          <w:szCs w:val="21"/>
        </w:rPr>
        <w:t xml:space="preserve">证明材料均需附入投标文件内（复印件加盖公章）。</w:t>
      </w:r>
      <w:r>
        <w:rPr>
          <w:rFonts w:hint="eastAsia" w:ascii="宋体" w:hAnsi="宋体" w:cs="宋体"/>
          <w:szCs w:val="21"/>
        </w:rPr>
      </w:r>
      <w:r/>
    </w:p>
    <w:p>
      <w:pPr>
        <w:pStyle w:val="1484"/>
        <w:jc w:val="center"/>
        <w:spacing w:line="440" w:lineRule="exact"/>
        <w:rPr>
          <w:b/>
          <w:sz w:val="28"/>
          <w:szCs w:val="28"/>
        </w:rPr>
        <w:outlineLvl w:val="0"/>
      </w:pPr>
      <w:r>
        <w:rPr>
          <w:b/>
          <w:sz w:val="28"/>
          <w:szCs w:val="28"/>
        </w:rPr>
        <w:br w:type="page" w:clear="all"/>
      </w:r>
      <w:bookmarkStart w:id="220" w:name="_Toc17106"/>
      <w:r/>
      <w:bookmarkStart w:id="221" w:name="_Toc252"/>
      <w:r/>
      <w:bookmarkStart w:id="222" w:name="_Toc18328"/>
      <w:r>
        <w:rPr>
          <w:b/>
          <w:sz w:val="28"/>
          <w:szCs w:val="28"/>
        </w:rPr>
        <w:t xml:space="preserve">第四章 招标</w:t>
      </w:r>
      <w:bookmarkEnd w:id="220"/>
      <w:r/>
      <w:bookmarkEnd w:id="221"/>
      <w:r>
        <w:rPr>
          <w:b/>
          <w:sz w:val="28"/>
          <w:szCs w:val="28"/>
        </w:rPr>
        <w:t xml:space="preserve">技术规格及要求</w:t>
      </w:r>
      <w:bookmarkEnd w:id="222"/>
      <w:r>
        <w:rPr>
          <w:b/>
          <w:sz w:val="28"/>
          <w:szCs w:val="28"/>
        </w:rPr>
      </w:r>
      <w:r/>
    </w:p>
    <w:p>
      <w:pPr>
        <w:pStyle w:val="1484"/>
        <w:spacing w:line="360" w:lineRule="auto"/>
        <w:rPr>
          <w:rFonts w:hint="eastAsia" w:ascii="宋体" w:hAnsi="宋体" w:cs="宋体"/>
          <w:b/>
          <w:bCs/>
          <w:szCs w:val="21"/>
          <w:highlight w:val="none"/>
        </w:rPr>
      </w:pPr>
      <w:r/>
      <w:bookmarkStart w:id="223" w:name="_Toc2516"/>
      <w:r/>
      <w:bookmarkStart w:id="224" w:name="_Toc19691"/>
      <w:r>
        <w:rPr>
          <w:rFonts w:hint="eastAsia" w:ascii="宋体" w:hAnsi="宋体" w:cs="宋体"/>
          <w:b/>
          <w:bCs/>
          <w:szCs w:val="21"/>
          <w:highlight w:val="none"/>
        </w:rPr>
        <w:t xml:space="preserve">一、</w:t>
      </w:r>
      <w:r>
        <w:rPr>
          <w:rFonts w:hint="eastAsia" w:ascii="宋体" w:hAnsi="宋体" w:cs="宋体"/>
          <w:b/>
          <w:bCs/>
          <w:szCs w:val="21"/>
          <w:highlight w:val="none"/>
        </w:rPr>
        <w:tab/>
      </w:r>
      <w:r>
        <w:rPr>
          <w:rFonts w:hint="eastAsia" w:ascii="宋体" w:hAnsi="宋体" w:cs="宋体"/>
          <w:b/>
          <w:bCs/>
          <w:szCs w:val="21"/>
          <w:highlight w:val="none"/>
        </w:rPr>
        <w:t xml:space="preserve">采购项目概况</w:t>
      </w:r>
      <w:r>
        <w:rPr>
          <w:rFonts w:hint="eastAsia" w:ascii="宋体" w:hAnsi="宋体" w:cs="宋体"/>
          <w:b/>
          <w:bCs/>
          <w:szCs w:val="21"/>
          <w:highlight w:val="none"/>
        </w:rPr>
      </w:r>
      <w:r/>
    </w:p>
    <w:p>
      <w:pPr>
        <w:pStyle w:val="1484"/>
        <w:ind w:firstLine="210"/>
        <w:spacing w:line="360" w:lineRule="auto"/>
        <w:rPr>
          <w:rFonts w:hint="eastAsia" w:ascii="宋体" w:hAnsi="宋体" w:cs="宋体"/>
          <w:szCs w:val="21"/>
          <w:highlight w:val="none"/>
        </w:rPr>
      </w:pPr>
      <w:r>
        <w:rPr>
          <w:rFonts w:hint="eastAsia" w:ascii="宋体" w:hAnsi="宋体" w:cs="宋体"/>
          <w:szCs w:val="21"/>
          <w:highlight w:val="none"/>
        </w:rPr>
        <w:t xml:space="preserve">1.项目编号：</w:t>
      </w:r>
      <w:r>
        <w:rPr>
          <w:rFonts w:hint="eastAsia" w:ascii="宋体" w:hAnsi="宋体" w:cs="宋体"/>
          <w:szCs w:val="21"/>
          <w:highlight w:val="none"/>
          <w:lang w:eastAsia="zh-CN"/>
        </w:rPr>
        <w:t xml:space="preserve">JSZC-320000-SMDY-G2026-0076</w:t>
      </w:r>
      <w:r>
        <w:rPr>
          <w:rFonts w:hint="eastAsia" w:ascii="宋体" w:hAnsi="宋体" w:cs="宋体"/>
          <w:szCs w:val="21"/>
          <w:highlight w:val="none"/>
        </w:rPr>
        <w:t xml:space="preserve">（2640SUMEC/ZWGG2102）</w:t>
      </w:r>
      <w:r>
        <w:rPr>
          <w:rFonts w:hint="eastAsia" w:ascii="宋体" w:hAnsi="宋体" w:cs="宋体"/>
          <w:szCs w:val="21"/>
          <w:highlight w:val="none"/>
        </w:rPr>
      </w:r>
      <w:r/>
    </w:p>
    <w:p>
      <w:pPr>
        <w:pStyle w:val="1484"/>
        <w:ind w:firstLine="210"/>
        <w:spacing w:line="360" w:lineRule="auto"/>
        <w:rPr>
          <w:rFonts w:hint="eastAsia" w:ascii="宋体" w:hAnsi="宋体" w:cs="宋体"/>
          <w:szCs w:val="21"/>
          <w:highlight w:val="none"/>
        </w:rPr>
      </w:pPr>
      <w:r>
        <w:rPr>
          <w:rFonts w:hint="eastAsia" w:ascii="宋体" w:hAnsi="宋体" w:cs="宋体"/>
          <w:szCs w:val="21"/>
          <w:highlight w:val="none"/>
        </w:rPr>
        <w:t xml:space="preserve">2.项目名称：新型冠状病毒2019-nCov/甲型流感病毒/乙型流感病毒核酸荧光定量PCR试剂盒</w:t>
      </w:r>
      <w:r>
        <w:rPr>
          <w:rFonts w:hint="eastAsia" w:ascii="宋体" w:hAnsi="宋体" w:cs="宋体"/>
          <w:szCs w:val="21"/>
          <w:highlight w:val="none"/>
        </w:rPr>
      </w:r>
      <w:r/>
    </w:p>
    <w:p>
      <w:pPr>
        <w:pStyle w:val="1484"/>
        <w:ind w:firstLine="210"/>
        <w:spacing w:line="360" w:lineRule="auto"/>
        <w:rPr>
          <w:rFonts w:ascii="宋体" w:hAnsi="宋体" w:cs="宋体"/>
          <w:szCs w:val="21"/>
          <w:highlight w:val="none"/>
        </w:rPr>
      </w:pPr>
      <w:r>
        <w:rPr>
          <w:rFonts w:hint="eastAsia" w:ascii="宋体" w:hAnsi="宋体" w:cs="宋体"/>
          <w:szCs w:val="21"/>
          <w:highlight w:val="none"/>
        </w:rPr>
        <w:t xml:space="preserve">3.预算金额：</w:t>
      </w:r>
      <w:r>
        <w:rPr>
          <w:rFonts w:hint="eastAsia" w:ascii="宋体" w:hAnsi="宋体" w:cs="宋体"/>
          <w:szCs w:val="21"/>
          <w:highlight w:val="none"/>
          <w:lang w:val="en-US" w:eastAsia="zh-CN"/>
        </w:rPr>
        <w:t xml:space="preserve">项目总预算为</w:t>
      </w:r>
      <w:r>
        <w:rPr>
          <w:rFonts w:hint="eastAsia" w:ascii="宋体" w:hAnsi="宋体" w:cs="宋体"/>
          <w:szCs w:val="21"/>
          <w:highlight w:val="none"/>
        </w:rPr>
        <w:t xml:space="preserve">人民币112万元，</w:t>
      </w:r>
      <w:r>
        <w:rPr>
          <w:rFonts w:hint="eastAsia" w:ascii="宋体" w:hAnsi="宋体" w:cs="宋体"/>
          <w:szCs w:val="21"/>
          <w:highlight w:val="none"/>
          <w:lang w:val="en-US" w:eastAsia="zh-CN"/>
        </w:rPr>
        <w:t xml:space="preserve">其中分包1预算为人民币56万元，分包2预算为人民币56万元，</w:t>
      </w:r>
      <w:r>
        <w:rPr>
          <w:rFonts w:hint="eastAsia" w:ascii="宋体" w:hAnsi="宋体" w:cs="宋体"/>
          <w:szCs w:val="21"/>
          <w:highlight w:val="none"/>
        </w:rPr>
        <w:t xml:space="preserve">超过</w:t>
      </w:r>
      <w:r>
        <w:rPr>
          <w:rFonts w:hint="eastAsia" w:ascii="宋体" w:hAnsi="宋体" w:cs="宋体"/>
          <w:szCs w:val="21"/>
          <w:highlight w:val="none"/>
          <w:lang w:val="en-US" w:eastAsia="zh-CN"/>
        </w:rPr>
        <w:t xml:space="preserve">对应分包</w:t>
      </w:r>
      <w:r>
        <w:rPr>
          <w:rFonts w:hint="eastAsia" w:ascii="宋体" w:hAnsi="宋体" w:cs="宋体"/>
          <w:szCs w:val="21"/>
          <w:highlight w:val="none"/>
        </w:rPr>
        <w:t xml:space="preserve">预算金额将作无效投标处理。</w:t>
      </w:r>
      <w:r>
        <w:rPr>
          <w:rFonts w:ascii="宋体" w:hAnsi="宋体" w:cs="宋体"/>
          <w:szCs w:val="21"/>
          <w:highlight w:val="none"/>
        </w:rPr>
      </w:r>
      <w:r/>
    </w:p>
    <w:p>
      <w:pPr>
        <w:pStyle w:val="1484"/>
        <w:ind w:firstLine="210"/>
        <w:spacing w:line="360" w:lineRule="auto"/>
        <w:rPr>
          <w:rFonts w:hint="eastAsia" w:ascii="宋体" w:hAnsi="宋体" w:cs="宋体"/>
          <w:szCs w:val="21"/>
          <w:highlight w:val="none"/>
        </w:rPr>
      </w:pPr>
      <w:r>
        <w:rPr>
          <w:rFonts w:hint="eastAsia" w:ascii="宋体" w:hAnsi="宋体" w:cs="宋体"/>
          <w:szCs w:val="21"/>
          <w:highlight w:val="none"/>
        </w:rPr>
        <w:t xml:space="preserve">4.采购需求：江苏省疾病预防控制中心（江苏省预防医学科学院）拟采购新型冠状病毒2019-nCov/甲型流感病毒/乙型流感病毒核酸检测试剂盒荧光PCR试剂盒，</w:t>
      </w:r>
      <w:r>
        <w:rPr>
          <w:rFonts w:hint="eastAsia" w:ascii="宋体" w:hAnsi="宋体" w:cs="宋体"/>
          <w:szCs w:val="21"/>
          <w:highlight w:val="none"/>
          <w:lang w:val="en-US" w:eastAsia="zh-CN"/>
        </w:rPr>
        <w:t xml:space="preserve">分包1</w:t>
      </w:r>
      <w:r>
        <w:rPr>
          <w:rFonts w:hint="eastAsia" w:ascii="宋体" w:hAnsi="宋体" w:cs="宋体"/>
          <w:szCs w:val="21"/>
          <w:highlight w:val="none"/>
        </w:rPr>
        <w:t xml:space="preserve">数量</w:t>
      </w:r>
      <w:r>
        <w:rPr>
          <w:rFonts w:hint="eastAsia" w:ascii="宋体" w:hAnsi="宋体" w:cs="宋体"/>
          <w:szCs w:val="21"/>
          <w:highlight w:val="none"/>
          <w:lang w:val="en-US" w:eastAsia="zh-CN"/>
        </w:rPr>
        <w:t xml:space="preserve">为2</w:t>
      </w:r>
      <w:r>
        <w:rPr>
          <w:rFonts w:hint="eastAsia" w:ascii="宋体" w:hAnsi="宋体" w:cs="宋体"/>
          <w:szCs w:val="21"/>
          <w:highlight w:val="none"/>
        </w:rPr>
        <w:t xml:space="preserve">0000人份，分包</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数量为20000人份。</w:t>
      </w:r>
      <w:r>
        <w:rPr>
          <w:rFonts w:hint="eastAsia" w:ascii="宋体" w:hAnsi="宋体" w:cs="宋体"/>
          <w:szCs w:val="21"/>
          <w:highlight w:val="none"/>
        </w:rPr>
      </w:r>
      <w:r/>
    </w:p>
    <w:p>
      <w:pPr>
        <w:pStyle w:val="1484"/>
        <w:ind w:firstLine="211"/>
        <w:spacing w:line="360" w:lineRule="auto"/>
        <w:rPr>
          <w:rFonts w:hint="eastAsia"/>
          <w:sz w:val="21"/>
          <w:szCs w:val="21"/>
          <w:highlight w:val="none"/>
        </w:rPr>
      </w:pPr>
      <w:r>
        <w:rPr>
          <w:rFonts w:hint="eastAsia" w:ascii="宋体" w:hAnsi="宋体"/>
          <w:b/>
          <w:color w:val="ff0000"/>
          <w:sz w:val="21"/>
          <w:szCs w:val="21"/>
          <w:highlight w:val="none"/>
        </w:rPr>
        <w:t xml:space="preserve">注：本次采购项目2个分包，按分包1至分包2正序进行评标。为保证服务质量，本次采购每个分包确定 1 家中标供应商，分包1、分包2确定不同的中标人。投标供应商可以同时投一个或多个分包，分包1和分包2不可兼中。若投标供应商在分包1中被确定为第一中标候选人的，则不再参与分包2的评审；每个分包若有效投标人不满三家的，则该分包作废标处理。</w:t>
      </w:r>
      <w:r>
        <w:rPr>
          <w:rFonts w:hint="eastAsia"/>
          <w:sz w:val="21"/>
          <w:szCs w:val="21"/>
          <w:highlight w:val="none"/>
        </w:rPr>
      </w:r>
      <w:r/>
    </w:p>
    <w:p>
      <w:pPr>
        <w:pStyle w:val="1484"/>
        <w:ind w:firstLine="210"/>
        <w:spacing w:line="360" w:lineRule="auto"/>
        <w:rPr>
          <w:rFonts w:ascii="宋体" w:hAnsi="宋体" w:cs="宋体"/>
          <w:szCs w:val="21"/>
        </w:rPr>
      </w:pPr>
      <w:r>
        <w:rPr>
          <w:rFonts w:hint="eastAsia" w:ascii="宋体" w:hAnsi="宋体" w:cs="宋体"/>
          <w:szCs w:val="21"/>
        </w:rPr>
        <w:t xml:space="preserve">5.合同履行期限（交货期）：</w:t>
      </w:r>
      <w:r>
        <w:rPr>
          <w:rStyle w:val="1560"/>
          <w:rFonts w:hint="eastAsia" w:ascii="宋体" w:hAnsi="宋体" w:cs="宋体"/>
        </w:rPr>
        <w:t xml:space="preserve">合同签订后一个月内交付。</w:t>
      </w:r>
      <w:r>
        <w:rPr>
          <w:rFonts w:ascii="宋体" w:hAnsi="宋体" w:cs="宋体"/>
          <w:szCs w:val="21"/>
        </w:rPr>
      </w:r>
      <w:r/>
    </w:p>
    <w:p>
      <w:pPr>
        <w:pStyle w:val="1484"/>
        <w:ind w:firstLine="210"/>
        <w:spacing w:line="360" w:lineRule="auto"/>
        <w:rPr>
          <w:rFonts w:hint="eastAsia" w:ascii="宋体" w:hAnsi="宋体" w:cs="宋体"/>
          <w:szCs w:val="21"/>
        </w:rPr>
      </w:pPr>
      <w:r>
        <w:rPr>
          <w:rFonts w:hint="eastAsia" w:ascii="宋体" w:hAnsi="宋体" w:cs="宋体"/>
          <w:szCs w:val="21"/>
        </w:rPr>
        <w:t xml:space="preserve">6.本项目不接受联合体投标。</w:t>
      </w:r>
      <w:r>
        <w:rPr>
          <w:rFonts w:hint="eastAsia" w:ascii="宋体" w:hAnsi="宋体" w:cs="宋体"/>
          <w:szCs w:val="21"/>
        </w:rPr>
      </w:r>
      <w:r/>
    </w:p>
    <w:p>
      <w:pPr>
        <w:pStyle w:val="148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注：招标文件中标注“★”的内容为实质性要求，有一项不符合的，作无效投标处理。</w:t>
      </w:r>
      <w:r>
        <w:rPr>
          <w:rFonts w:hint="eastAsia" w:ascii="宋体" w:hAnsi="宋体" w:cs="宋体"/>
          <w:b/>
          <w:bCs/>
          <w:szCs w:val="21"/>
        </w:rPr>
      </w:r>
      <w:r/>
    </w:p>
    <w:p>
      <w:pPr>
        <w:pStyle w:val="148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r>
      <w:r/>
    </w:p>
    <w:p>
      <w:pPr>
        <w:pStyle w:val="1484"/>
        <w:jc w:val="left"/>
        <w:spacing w:line="360" w:lineRule="auto"/>
        <w:tabs>
          <w:tab w:val="left" w:pos="2325" w:leader="none"/>
        </w:tabs>
        <w:rPr>
          <w:rFonts w:hint="eastAsia" w:ascii="宋体" w:hAnsi="宋体" w:cs="宋体"/>
          <w:szCs w:val="21"/>
        </w:rPr>
      </w:pPr>
      <w:r>
        <w:rPr>
          <w:rFonts w:hint="eastAsia" w:ascii="宋体" w:hAnsi="宋体" w:cs="宋体"/>
          <w:b/>
          <w:bCs/>
          <w:szCs w:val="21"/>
        </w:rPr>
        <w:t xml:space="preserve">二、</w:t>
      </w:r>
      <w:r>
        <w:rPr>
          <w:rFonts w:hint="eastAsia" w:ascii="宋体" w:hAnsi="宋体" w:cs="宋体"/>
          <w:b/>
          <w:bCs/>
          <w:color w:val="000000"/>
          <w:szCs w:val="21"/>
        </w:rPr>
        <w:t xml:space="preserve">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采购相当于或高于所列品牌技术标准的材料和设备。）</w:t>
      </w:r>
      <w:r>
        <w:rPr>
          <w:rFonts w:hint="eastAsia" w:ascii="宋体" w:hAnsi="宋体" w:cs="宋体"/>
          <w:szCs w:val="21"/>
        </w:rPr>
      </w:r>
      <w:r/>
    </w:p>
    <w:p>
      <w:pPr>
        <w:pStyle w:val="1484"/>
        <w:spacing w:line="360" w:lineRule="auto"/>
        <w:rPr>
          <w:rFonts w:hint="eastAsia" w:ascii="宋体" w:hAnsi="宋体" w:cs="宋体"/>
          <w:b/>
          <w:szCs w:val="21"/>
        </w:rPr>
      </w:pPr>
      <w:r/>
      <w:bookmarkEnd w:id="223"/>
      <w:r>
        <w:rPr>
          <w:rFonts w:hint="eastAsia" w:ascii="宋体" w:hAnsi="宋体" w:cs="宋体"/>
          <w:b/>
          <w:szCs w:val="21"/>
        </w:rPr>
        <w:t xml:space="preserve">（一）试剂盒参数</w:t>
      </w:r>
      <w:r>
        <w:rPr>
          <w:rFonts w:hint="eastAsia" w:ascii="宋体" w:hAnsi="宋体" w:cs="宋体"/>
          <w:b/>
          <w:szCs w:val="21"/>
        </w:rPr>
      </w:r>
      <w:r/>
    </w:p>
    <w:p>
      <w:pPr>
        <w:pStyle w:val="1484"/>
        <w:spacing w:line="360" w:lineRule="auto"/>
        <w:rPr>
          <w:rFonts w:hint="eastAsia" w:ascii="宋体" w:hAnsi="宋体" w:cs="宋体"/>
          <w:szCs w:val="21"/>
        </w:rPr>
      </w:pPr>
      <w:r>
        <w:rPr>
          <w:rFonts w:hint="eastAsia" w:ascii="宋体" w:hAnsi="宋体" w:cs="宋体"/>
          <w:szCs w:val="21"/>
        </w:rPr>
        <w:t xml:space="preserve">1、用于检测病人鼻咽抽提物、鼻拭子、咽拭子与鼻咽拭子等标本中</w:t>
      </w:r>
      <w:bookmarkStart w:id="225" w:name="_Hlk114496247"/>
      <w:r>
        <w:rPr>
          <w:rFonts w:hint="eastAsia" w:ascii="宋体" w:hAnsi="宋体" w:cs="宋体"/>
          <w:szCs w:val="21"/>
        </w:rPr>
        <w:t xml:space="preserve">新型冠状病毒/甲型流感病毒/乙型流感病毒核酸</w:t>
      </w:r>
      <w:bookmarkEnd w:id="225"/>
      <w:r>
        <w:rPr>
          <w:rFonts w:hint="eastAsia" w:ascii="宋体" w:hAnsi="宋体" w:cs="宋体"/>
          <w:szCs w:val="21"/>
        </w:rPr>
        <w:t xml:space="preserve">的检测。</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2、实时荧光PCR法检测新型冠状病毒2019-nCov /甲型流感病毒/乙型流感病毒。</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3、试剂盒规格：24-50人次/盒。</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4、提供阴性、阳性质控和人临床标本检测的内标对照。 </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b/>
          <w:bCs/>
          <w:szCs w:val="21"/>
        </w:rPr>
        <w:t xml:space="preserve">★5、单反应管一次反应同步完成新型冠状病毒（2019-nCoV）、甲型流感病毒和乙型流感病毒的核酸检测</w:t>
      </w:r>
      <w:r>
        <w:rPr>
          <w:rFonts w:hint="eastAsia" w:ascii="宋体" w:hAnsi="宋体" w:cs="宋体"/>
          <w:szCs w:val="21"/>
        </w:rPr>
        <w:t xml:space="preserve">。</w:t>
      </w:r>
      <w:r>
        <w:rPr>
          <w:rFonts w:hint="eastAsia" w:ascii="宋体" w:hAnsi="宋体" w:cs="宋体"/>
          <w:szCs w:val="21"/>
        </w:rPr>
      </w:r>
      <w:r/>
    </w:p>
    <w:p>
      <w:pPr>
        <w:pStyle w:val="1484"/>
        <w:spacing w:line="360" w:lineRule="auto"/>
        <w:rPr>
          <w:rFonts w:hint="eastAsia" w:ascii="宋体" w:hAnsi="宋体" w:cs="宋体"/>
          <w:b/>
          <w:bCs/>
          <w:szCs w:val="21"/>
        </w:rPr>
      </w:pPr>
      <w:r>
        <w:rPr>
          <w:rFonts w:hint="eastAsia" w:ascii="宋体" w:hAnsi="宋体" w:cs="宋体"/>
          <w:b/>
          <w:bCs/>
          <w:szCs w:val="21"/>
        </w:rPr>
        <w:t xml:space="preserve">★6、检测限：每种病原检测限不超过500拷贝/ml。</w:t>
      </w:r>
      <w:r>
        <w:rPr>
          <w:rFonts w:hint="eastAsia" w:ascii="宋体" w:hAnsi="宋体" w:cs="宋体"/>
          <w:b/>
          <w:bCs/>
          <w:szCs w:val="21"/>
        </w:rPr>
      </w:r>
      <w:r/>
    </w:p>
    <w:p>
      <w:pPr>
        <w:pStyle w:val="1484"/>
        <w:spacing w:line="360" w:lineRule="auto"/>
        <w:rPr>
          <w:rFonts w:hint="eastAsia" w:ascii="宋体" w:hAnsi="宋体" w:cs="宋体"/>
          <w:szCs w:val="21"/>
        </w:rPr>
      </w:pPr>
      <w:r>
        <w:rPr>
          <w:rFonts w:hint="eastAsia" w:ascii="宋体" w:hAnsi="宋体" w:cs="宋体"/>
          <w:szCs w:val="21"/>
        </w:rPr>
        <w:t xml:space="preserve">7、可在各种主流多通道荧光定量PCR 仪器（ABI系列仪器、BioRad、罗氏480等）上使用。</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8、特异性：100%（验证≥10种病原体，含本试剂盒目标病原体，提供相关验证报告）</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★9、有效期：到货有效期≥10个月</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10、供货周期：在合同签订后1年内完成分批供货。</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b/>
          <w:szCs w:val="21"/>
        </w:rPr>
        <w:t xml:space="preserve">（二）质量控制计划</w:t>
      </w:r>
      <w:r>
        <w:rPr>
          <w:rFonts w:hint="eastAsia" w:ascii="宋体" w:hAnsi="宋体" w:cs="宋体"/>
          <w:szCs w:val="21"/>
        </w:rPr>
      </w:r>
      <w:r/>
    </w:p>
    <w:p>
      <w:pPr>
        <w:pStyle w:val="1484"/>
        <w:spacing w:line="360" w:lineRule="auto"/>
        <w:rPr>
          <w:rFonts w:hint="eastAsia" w:ascii="宋体" w:hAnsi="宋体" w:cs="宋体"/>
          <w:b/>
          <w:szCs w:val="21"/>
        </w:rPr>
      </w:pPr>
      <w:r>
        <w:rPr>
          <w:rFonts w:hint="eastAsia" w:ascii="宋体" w:hAnsi="宋体" w:cs="宋体"/>
          <w:szCs w:val="21"/>
        </w:rPr>
        <w:t xml:space="preserve">★1、</w:t>
      </w:r>
      <w:r>
        <w:rPr>
          <w:rFonts w:hint="eastAsia" w:ascii="宋体" w:hAnsi="宋体" w:cs="宋体"/>
          <w:b/>
          <w:szCs w:val="21"/>
        </w:rPr>
        <w:t xml:space="preserve">提供投标试剂的国家批准文号或省级药监机构出具的生产许可证明。（提供相关证明材料加盖公章）</w:t>
      </w:r>
      <w:r>
        <w:rPr>
          <w:rFonts w:hint="eastAsia" w:ascii="宋体" w:hAnsi="宋体" w:cs="宋体"/>
          <w:b/>
          <w:szCs w:val="21"/>
        </w:rPr>
      </w:r>
      <w:r/>
    </w:p>
    <w:p>
      <w:pPr>
        <w:pStyle w:val="1484"/>
        <w:spacing w:line="360" w:lineRule="auto"/>
        <w:rPr>
          <w:rFonts w:hint="eastAsia" w:ascii="宋体" w:hAnsi="宋体" w:cs="宋体"/>
          <w:szCs w:val="21"/>
        </w:rPr>
      </w:pPr>
      <w:r>
        <w:rPr>
          <w:rFonts w:hint="eastAsia" w:ascii="宋体" w:hAnsi="宋体" w:cs="宋体"/>
          <w:szCs w:val="21"/>
        </w:rPr>
        <w:t xml:space="preserve">2、投标人应就其所供应的试剂提供总体性说明，包括：</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（1）每种试剂的性能、组成及其材料使用；</w:t>
      </w:r>
      <w:r>
        <w:rPr>
          <w:rFonts w:hint="eastAsia" w:ascii="宋体" w:hAnsi="宋体" w:cs="宋体"/>
          <w:szCs w:val="21"/>
        </w:rPr>
      </w:r>
      <w:r/>
    </w:p>
    <w:p>
      <w:pPr>
        <w:pStyle w:val="1484"/>
        <w:spacing w:line="360" w:lineRule="auto"/>
        <w:rPr>
          <w:rFonts w:hint="eastAsia" w:ascii="宋体" w:hAnsi="宋体" w:cs="宋体"/>
          <w:b/>
          <w:szCs w:val="21"/>
        </w:rPr>
      </w:pPr>
      <w:r>
        <w:rPr>
          <w:rFonts w:hint="eastAsia" w:ascii="宋体" w:hAnsi="宋体" w:cs="宋体"/>
          <w:szCs w:val="21"/>
        </w:rPr>
        <w:t xml:space="preserve">（2）试剂的特性、使用范围、用途。</w:t>
      </w:r>
      <w:bookmarkStart w:id="226" w:name="OLE_LINK1"/>
      <w:r>
        <w:rPr>
          <w:rFonts w:hint="eastAsia" w:ascii="宋体" w:hAnsi="宋体" w:cs="宋体"/>
          <w:b/>
          <w:szCs w:val="21"/>
        </w:rPr>
      </w:r>
      <w:r/>
    </w:p>
    <w:p>
      <w:pPr>
        <w:pStyle w:val="1484"/>
        <w:spacing w:line="360" w:lineRule="auto"/>
        <w:rPr>
          <w:rFonts w:hint="eastAsia" w:ascii="宋体" w:hAnsi="宋体" w:cs="宋体"/>
          <w:szCs w:val="21"/>
        </w:rPr>
      </w:pPr>
      <w:r/>
      <w:bookmarkEnd w:id="226"/>
      <w:r>
        <w:rPr>
          <w:rFonts w:hint="eastAsia" w:ascii="宋体" w:hAnsi="宋体" w:cs="宋体"/>
          <w:szCs w:val="21"/>
        </w:rPr>
        <w:t xml:space="preserve">（三）技术服务承诺</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1、投标人应提供试剂使用期间的技术支持、培训、售后服务等方面的方案。</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2、售后服务：</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（1）试剂在贮藏和运输过程中应符合生物制品/检测试剂的要求。收货时一旦发现违反贮藏和运输要求，供货商应无条件直接更换，并承担因此造成的损失。</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（2）试剂在使用单位使用过程中，如有任何质量问题，联系投标人后，投标人应12小时内答复，72小时内到达用户现场，保证试剂能够正常使用。</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3）使用单位组织对试剂开展性能验证，如发现验证不合格者，将调换所有同批次试剂。供货商应支付包装费和运费，对更换试剂使用之日起重新计算质量保证期。经过厂家确认，如产品存在严重质量问题且无法得到有效改进，将不再考虑其进入中标候选人。</w:t>
      </w:r>
      <w:r>
        <w:rPr>
          <w:rFonts w:hint="eastAsia" w:ascii="宋体" w:hAnsi="宋体" w:cs="宋体"/>
          <w:szCs w:val="21"/>
        </w:rPr>
      </w:r>
      <w:r/>
    </w:p>
    <w:p>
      <w:pPr>
        <w:pStyle w:val="1484"/>
        <w:spacing w:line="360" w:lineRule="auto"/>
        <w:tabs>
          <w:tab w:val="left" w:pos="4500" w:leader="none"/>
          <w:tab w:val="left" w:pos="4680" w:leader="none"/>
        </w:tabs>
        <w:rPr>
          <w:rFonts w:hint="eastAsia" w:ascii="宋体" w:hAnsi="宋体" w:cs="宋体"/>
          <w:szCs w:val="21"/>
        </w:rPr>
      </w:pPr>
      <w:r>
        <w:rPr>
          <w:rFonts w:hint="eastAsia" w:ascii="宋体" w:hAnsi="宋体" w:cs="宋体"/>
          <w:szCs w:val="21"/>
        </w:rPr>
      </w:r>
      <w:r/>
    </w:p>
    <w:p>
      <w:pPr>
        <w:pStyle w:val="1484"/>
        <w:keepLines/>
        <w:keepNext/>
        <w:spacing w:line="360" w:lineRule="auto"/>
        <w:rPr>
          <w:rFonts w:hint="eastAsia" w:ascii="宋体" w:hAnsi="宋体" w:cs="宋体"/>
          <w:b/>
          <w:bCs/>
          <w:szCs w:val="21"/>
        </w:rPr>
      </w:pPr>
      <w:r>
        <w:rPr>
          <w:rFonts w:hint="eastAsia" w:ascii="宋体" w:hAnsi="宋体" w:cs="宋体"/>
          <w:b/>
          <w:bCs/>
          <w:szCs w:val="21"/>
        </w:rPr>
        <w:t xml:space="preserve">三、包装</w:t>
      </w:r>
      <w:r>
        <w:rPr>
          <w:rFonts w:hint="eastAsia" w:ascii="宋体" w:hAnsi="宋体" w:cs="宋体"/>
          <w:b/>
          <w:bCs/>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投标产品的包装及标识执行国家标准，标识中应标明产品名称、注册号、批号、抗原含量、剂量、储存温度、有效期以及生产企业名称、地址、联系电话等信息。产品具有良好的密封性和防潮性。投标产品须为单剂量包装，最小包装应符合国家对相关试剂盒的标识规定。</w:t>
      </w:r>
      <w:r>
        <w:rPr>
          <w:rFonts w:hint="eastAsia" w:ascii="宋体" w:hAnsi="宋体" w:cs="宋体"/>
          <w:szCs w:val="21"/>
        </w:rPr>
      </w:r>
      <w:r/>
    </w:p>
    <w:p>
      <w:pPr>
        <w:pStyle w:val="1484"/>
        <w:keepLines/>
        <w:keepNext/>
        <w:spacing w:line="360" w:lineRule="auto"/>
        <w:rPr>
          <w:rFonts w:hint="eastAsia" w:ascii="宋体" w:hAnsi="宋体" w:cs="宋体"/>
          <w:b/>
          <w:bCs/>
          <w:szCs w:val="21"/>
        </w:rPr>
      </w:pPr>
      <w:r/>
      <w:bookmarkStart w:id="227" w:name="_Toc105615662"/>
      <w:r>
        <w:rPr>
          <w:rFonts w:hint="eastAsia" w:ascii="宋体" w:hAnsi="宋体" w:cs="宋体"/>
          <w:b/>
          <w:bCs/>
          <w:szCs w:val="21"/>
        </w:rPr>
      </w:r>
      <w:r/>
    </w:p>
    <w:p>
      <w:pPr>
        <w:pStyle w:val="1484"/>
        <w:keepLines/>
        <w:keepNext/>
        <w:spacing w:line="360" w:lineRule="auto"/>
        <w:rPr>
          <w:rFonts w:hint="eastAsia" w:ascii="宋体" w:hAnsi="宋体" w:cs="宋体"/>
          <w:b/>
          <w:bCs/>
          <w:szCs w:val="21"/>
        </w:rPr>
      </w:pPr>
      <w:r>
        <w:rPr>
          <w:rFonts w:hint="eastAsia" w:ascii="宋体" w:hAnsi="宋体" w:cs="宋体"/>
          <w:b/>
          <w:bCs/>
          <w:szCs w:val="21"/>
        </w:rPr>
        <w:t xml:space="preserve">四、质量检验</w:t>
      </w:r>
      <w:bookmarkEnd w:id="227"/>
      <w:r>
        <w:rPr>
          <w:rFonts w:hint="eastAsia" w:ascii="宋体" w:hAnsi="宋体" w:cs="宋体"/>
          <w:b/>
          <w:bCs/>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每次供货时，投标人须向招标人提供由提供该批次投标试剂的国家批准文号或省级药监机构出具的生产许可证明，并加盖投标人公章。境外生产的产品还须提供该批次进口药品通关单复印件并加盖企业印章。所检验批次的产品数量不得包含在供货合同数量内，所需费用由中标人承担。</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投标产品提交给招标人后，招标人在有效期内有权要求国家药检部门对产品实施检验。由于产品质量问题要求回收产品时的费用及损失由投标人承担。若对产品质量出现争议，则中国食品药品检定研究院的检验报告具有约束力。</w:t>
      </w:r>
      <w:r>
        <w:rPr>
          <w:rFonts w:hint="eastAsia" w:ascii="宋体" w:hAnsi="宋体" w:cs="宋体"/>
          <w:szCs w:val="21"/>
        </w:rPr>
      </w:r>
      <w:r/>
    </w:p>
    <w:p>
      <w:pPr>
        <w:pStyle w:val="1484"/>
        <w:keepLines/>
        <w:keepNext/>
        <w:spacing w:line="360" w:lineRule="auto"/>
        <w:rPr>
          <w:rFonts w:hint="eastAsia" w:ascii="宋体" w:hAnsi="宋体" w:cs="宋体"/>
          <w:b/>
          <w:bCs/>
          <w:szCs w:val="21"/>
        </w:rPr>
      </w:pPr>
      <w:r/>
      <w:bookmarkStart w:id="228" w:name="_Toc105615663"/>
      <w:r>
        <w:rPr>
          <w:rFonts w:hint="eastAsia" w:ascii="宋体" w:hAnsi="宋体" w:cs="宋体"/>
          <w:b/>
          <w:bCs/>
          <w:szCs w:val="21"/>
        </w:rPr>
      </w:r>
      <w:r/>
    </w:p>
    <w:p>
      <w:pPr>
        <w:pStyle w:val="1484"/>
        <w:keepLines/>
        <w:keepNext/>
        <w:spacing w:line="360" w:lineRule="auto"/>
        <w:rPr>
          <w:rFonts w:hint="eastAsia" w:ascii="宋体" w:hAnsi="宋体" w:cs="宋体"/>
          <w:b/>
          <w:bCs/>
          <w:szCs w:val="21"/>
        </w:rPr>
      </w:pPr>
      <w:r>
        <w:rPr>
          <w:rFonts w:hint="eastAsia" w:ascii="宋体" w:hAnsi="宋体" w:cs="宋体"/>
          <w:b/>
          <w:bCs/>
          <w:szCs w:val="21"/>
        </w:rPr>
        <w:t xml:space="preserve">五、样品</w:t>
      </w:r>
      <w:bookmarkEnd w:id="228"/>
      <w:r>
        <w:rPr>
          <w:rFonts w:hint="eastAsia" w:ascii="宋体" w:hAnsi="宋体" w:cs="宋体"/>
          <w:b/>
          <w:bCs/>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投标人投标时须提供1-2份最小包装的投标产品样品。</w:t>
      </w:r>
      <w:r>
        <w:rPr>
          <w:rFonts w:hint="eastAsia" w:ascii="宋体" w:hAnsi="宋体" w:cs="宋体"/>
          <w:szCs w:val="21"/>
        </w:rPr>
      </w:r>
      <w:r/>
    </w:p>
    <w:p>
      <w:pPr>
        <w:pStyle w:val="1484"/>
        <w:keepLines/>
        <w:keepNext/>
        <w:spacing w:line="360" w:lineRule="auto"/>
        <w:rPr>
          <w:rFonts w:hint="eastAsia" w:ascii="宋体" w:hAnsi="宋体" w:cs="宋体"/>
          <w:b/>
          <w:bCs/>
          <w:szCs w:val="21"/>
        </w:rPr>
      </w:pPr>
      <w:r/>
      <w:bookmarkStart w:id="229" w:name="_Toc105615664"/>
      <w:r>
        <w:rPr>
          <w:rFonts w:hint="eastAsia" w:ascii="宋体" w:hAnsi="宋体" w:cs="宋体"/>
          <w:b/>
          <w:bCs/>
          <w:szCs w:val="21"/>
        </w:rPr>
      </w:r>
      <w:r/>
    </w:p>
    <w:p>
      <w:pPr>
        <w:pStyle w:val="1484"/>
        <w:keepLines/>
        <w:keepNext/>
        <w:spacing w:line="360" w:lineRule="auto"/>
        <w:rPr>
          <w:rFonts w:hint="eastAsia" w:ascii="宋体" w:hAnsi="宋体" w:cs="宋体"/>
          <w:b/>
          <w:bCs/>
          <w:szCs w:val="21"/>
        </w:rPr>
      </w:pPr>
      <w:r>
        <w:rPr>
          <w:rFonts w:hint="eastAsia" w:ascii="宋体" w:hAnsi="宋体" w:cs="宋体"/>
          <w:b/>
          <w:bCs/>
          <w:szCs w:val="21"/>
        </w:rPr>
        <w:t xml:space="preserve">六、质量保证</w:t>
      </w:r>
      <w:bookmarkEnd w:id="229"/>
      <w:r>
        <w:rPr>
          <w:rFonts w:hint="eastAsia" w:ascii="宋体" w:hAnsi="宋体" w:cs="宋体"/>
          <w:b/>
          <w:bCs/>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1.质量保证期：投标产品运送到采购单位指定的机构时有效期≥10个月。如投标产品在运送到采购单位指定的机构前有效期＜10个月，投标人应保证对投标产品进行无条件更换，投标人应提供承诺函。</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2.投标人应在产品有效期内对经检验证实是产品质量引起的任何缺陷时，投标人有义务尽快通知招标人，并实施补偿措施，投标人须更换问题试剂并承担所需费用。更换的试剂应在得到招标人通知后7日内送达指定交货地点。</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3.在质量保证期内，凡因正常使用出现的质量问题，供货商应提供免费更换。供货商应支付包装费和运费。对更换试剂使用之日起重新计算质量保证期。</w:t>
      </w:r>
      <w:r>
        <w:rPr>
          <w:rFonts w:hint="eastAsia" w:ascii="宋体" w:hAnsi="宋体" w:cs="宋体"/>
          <w:szCs w:val="21"/>
        </w:rPr>
      </w:r>
      <w:r/>
    </w:p>
    <w:p>
      <w:pPr>
        <w:pStyle w:val="1484"/>
        <w:keepLines/>
        <w:keepNext/>
        <w:spacing w:line="360" w:lineRule="auto"/>
        <w:rPr>
          <w:rFonts w:hint="eastAsia" w:ascii="宋体" w:hAnsi="宋体" w:cs="宋体"/>
          <w:b/>
          <w:bCs/>
          <w:szCs w:val="21"/>
        </w:rPr>
      </w:pPr>
      <w:r/>
      <w:bookmarkStart w:id="230" w:name="_Toc105615665"/>
      <w:r>
        <w:rPr>
          <w:rFonts w:hint="eastAsia" w:ascii="宋体" w:hAnsi="宋体" w:cs="宋体"/>
          <w:b/>
          <w:bCs/>
          <w:szCs w:val="21"/>
        </w:rPr>
      </w:r>
      <w:r/>
    </w:p>
    <w:p>
      <w:pPr>
        <w:pStyle w:val="1484"/>
        <w:keepLines/>
        <w:keepNext/>
        <w:spacing w:line="360" w:lineRule="auto"/>
        <w:rPr>
          <w:rFonts w:hint="eastAsia" w:ascii="宋体" w:hAnsi="宋体" w:cs="宋体"/>
          <w:b/>
          <w:bCs/>
          <w:szCs w:val="21"/>
        </w:rPr>
      </w:pPr>
      <w:r>
        <w:rPr>
          <w:rFonts w:hint="eastAsia" w:ascii="宋体" w:hAnsi="宋体" w:cs="宋体"/>
          <w:b/>
          <w:bCs/>
          <w:szCs w:val="21"/>
        </w:rPr>
        <w:t xml:space="preserve">七、运输与保存</w:t>
      </w:r>
      <w:bookmarkEnd w:id="230"/>
      <w:r>
        <w:rPr>
          <w:rFonts w:hint="eastAsia" w:ascii="宋体" w:hAnsi="宋体" w:cs="宋体"/>
          <w:b/>
          <w:bCs/>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投标人将产品由生产企业到项目配送指定地点的储运过程中，试剂应冷冻（－20℃）贮藏，运输过程中应符合生物制品/检测试剂的全程冷链要求，使用干冰或并排运输，保持试剂处于冷冻状态。收货时一旦发现收到的试剂非冷冻状态，供货商应无条件直接更换，并承担因此造成的损失。</w:t>
      </w:r>
      <w:r>
        <w:rPr>
          <w:rFonts w:hint="eastAsia" w:ascii="宋体" w:hAnsi="宋体" w:cs="宋体"/>
          <w:szCs w:val="21"/>
        </w:rPr>
      </w:r>
      <w:r/>
    </w:p>
    <w:p>
      <w:pPr>
        <w:pStyle w:val="1484"/>
        <w:keepLines/>
        <w:keepNext/>
        <w:spacing w:line="360" w:lineRule="auto"/>
        <w:rPr>
          <w:rFonts w:hint="eastAsia" w:ascii="宋体" w:hAnsi="宋体" w:cs="宋体"/>
          <w:b/>
          <w:bCs/>
          <w:szCs w:val="21"/>
        </w:rPr>
      </w:pPr>
      <w:r/>
      <w:bookmarkStart w:id="231" w:name="_Toc105615666"/>
      <w:r>
        <w:rPr>
          <w:rFonts w:hint="eastAsia" w:ascii="宋体" w:hAnsi="宋体" w:cs="宋体"/>
          <w:b/>
          <w:bCs/>
          <w:szCs w:val="21"/>
        </w:rPr>
      </w:r>
      <w:r/>
    </w:p>
    <w:p>
      <w:pPr>
        <w:pStyle w:val="1484"/>
        <w:keepLines/>
        <w:keepNext/>
        <w:spacing w:line="360" w:lineRule="auto"/>
        <w:rPr>
          <w:rFonts w:hint="eastAsia" w:ascii="宋体" w:hAnsi="宋体" w:cs="宋体"/>
          <w:b/>
          <w:bCs/>
          <w:szCs w:val="21"/>
        </w:rPr>
      </w:pPr>
      <w:r>
        <w:rPr>
          <w:rFonts w:hint="eastAsia" w:ascii="宋体" w:hAnsi="宋体" w:cs="宋体"/>
          <w:b/>
          <w:bCs/>
          <w:szCs w:val="21"/>
        </w:rPr>
        <w:t xml:space="preserve">八、配送地点和时间</w:t>
      </w:r>
      <w:bookmarkEnd w:id="231"/>
      <w:r>
        <w:rPr>
          <w:rFonts w:hint="eastAsia" w:ascii="宋体" w:hAnsi="宋体" w:cs="宋体"/>
          <w:b/>
          <w:bCs/>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配送由中标人负责。每次配送的时间和数量以招标人的采购计划或合同为准。配送时应提供同批号试剂的批签发报告书（有效复印件），并按招标人要求冷链运输（如要求的话）送往指定地点。</w:t>
      </w:r>
      <w:r>
        <w:rPr>
          <w:rFonts w:hint="eastAsia" w:ascii="宋体" w:hAnsi="宋体" w:cs="宋体"/>
          <w:szCs w:val="21"/>
        </w:rPr>
      </w:r>
      <w:r/>
    </w:p>
    <w:p>
      <w:pPr>
        <w:pStyle w:val="1484"/>
        <w:ind w:firstLine="420"/>
        <w:spacing w:line="360" w:lineRule="auto"/>
        <w:rPr>
          <w:rFonts w:hint="eastAsia"/>
          <w:highlight w:val="none"/>
        </w:rPr>
      </w:pPr>
      <w:r>
        <w:rPr>
          <w:rFonts w:hint="eastAsia" w:ascii="宋体" w:hAnsi="宋体" w:cs="宋体"/>
          <w:szCs w:val="21"/>
          <w:highlight w:val="none"/>
        </w:rPr>
        <w:t xml:space="preserve">合同签订后一个月内交付至</w:t>
      </w:r>
      <w:r>
        <w:rPr>
          <w:rFonts w:hint="eastAsia" w:ascii="宋体" w:hAnsi="宋体" w:cs="宋体"/>
          <w:szCs w:val="21"/>
          <w:highlight w:val="none"/>
          <w:lang w:val="en-US" w:eastAsia="zh-CN"/>
        </w:rPr>
        <w:t xml:space="preserve">采购人</w:t>
      </w:r>
      <w:r>
        <w:rPr>
          <w:rFonts w:hint="eastAsia" w:ascii="宋体" w:hAnsi="宋体" w:cs="宋体"/>
          <w:szCs w:val="21"/>
          <w:highlight w:val="none"/>
        </w:rPr>
        <w:t xml:space="preserve">指定地点。</w:t>
      </w:r>
      <w:r>
        <w:rPr>
          <w:rFonts w:hint="eastAsia"/>
          <w:highlight w:val="none"/>
        </w:rPr>
      </w:r>
      <w:r/>
    </w:p>
    <w:p>
      <w:pPr>
        <w:pStyle w:val="1484"/>
        <w:spacing w:line="360" w:lineRule="auto"/>
        <w:rPr>
          <w:rFonts w:hint="eastAsia" w:ascii="宋体" w:hAnsi="宋体" w:cs="宋体"/>
          <w:b/>
          <w:szCs w:val="21"/>
        </w:rPr>
      </w:pPr>
      <w:r>
        <w:rPr>
          <w:rFonts w:hint="eastAsia" w:ascii="宋体" w:hAnsi="宋体" w:cs="宋体"/>
          <w:b/>
          <w:szCs w:val="21"/>
        </w:rPr>
      </w:r>
      <w:r/>
    </w:p>
    <w:p>
      <w:pPr>
        <w:pStyle w:val="1484"/>
        <w:spacing w:line="360" w:lineRule="auto"/>
        <w:rPr>
          <w:rFonts w:ascii="宋体" w:hAnsi="宋体" w:cs="宋体"/>
          <w:b/>
          <w:szCs w:val="21"/>
        </w:rPr>
      </w:pPr>
      <w:r>
        <w:rPr>
          <w:rFonts w:hint="eastAsia" w:ascii="宋体" w:hAnsi="宋体" w:cs="宋体"/>
          <w:b/>
          <w:szCs w:val="21"/>
        </w:rPr>
        <w:t xml:space="preserve">★九、付款方式：</w:t>
      </w:r>
      <w:r>
        <w:rPr>
          <w:rFonts w:ascii="宋体" w:hAnsi="宋体" w:cs="宋体"/>
          <w:b/>
          <w:szCs w:val="21"/>
        </w:rPr>
      </w:r>
      <w:r/>
    </w:p>
    <w:p>
      <w:pPr>
        <w:pStyle w:val="1484"/>
        <w:ind w:firstLine="420"/>
        <w:jc w:val="left"/>
        <w:spacing w:line="360" w:lineRule="auto"/>
        <w:widowControl/>
        <w:rPr>
          <w:rFonts w:hint="eastAsia" w:ascii="宋体" w:hAnsi="宋体"/>
          <w:szCs w:val="21"/>
        </w:rPr>
      </w:pPr>
      <w:r>
        <w:rPr>
          <w:rFonts w:hint="eastAsia" w:ascii="宋体" w:hAnsi="宋体"/>
          <w:szCs w:val="21"/>
        </w:rPr>
        <w:t xml:space="preserve">1、招标人不提供预付款。</w:t>
      </w:r>
      <w:r>
        <w:rPr>
          <w:rFonts w:hint="eastAsia" w:ascii="宋体" w:hAnsi="宋体"/>
          <w:szCs w:val="21"/>
        </w:rPr>
      </w:r>
      <w:r/>
    </w:p>
    <w:p>
      <w:pPr>
        <w:pStyle w:val="1484"/>
        <w:ind w:firstLine="420"/>
        <w:jc w:val="left"/>
        <w:spacing w:line="360" w:lineRule="auto"/>
        <w:widowControl/>
        <w:rPr>
          <w:rFonts w:hint="eastAsia" w:ascii="宋体" w:hAnsi="宋体"/>
          <w:szCs w:val="21"/>
        </w:rPr>
      </w:pPr>
      <w:r>
        <w:rPr>
          <w:rFonts w:hint="eastAsia" w:ascii="宋体" w:hAnsi="宋体"/>
          <w:szCs w:val="21"/>
        </w:rPr>
        <w:t xml:space="preserve">2、在所有项目验收合格后，招标人一次性付清全款。付款时供应商应提供：</w:t>
      </w:r>
      <w:r>
        <w:rPr>
          <w:rFonts w:hint="eastAsia" w:ascii="宋体" w:hAnsi="宋体"/>
          <w:szCs w:val="21"/>
        </w:rPr>
      </w:r>
      <w:r/>
    </w:p>
    <w:p>
      <w:pPr>
        <w:pStyle w:val="1484"/>
        <w:ind w:firstLine="420"/>
        <w:jc w:val="left"/>
        <w:spacing w:line="360" w:lineRule="auto"/>
        <w:widowControl/>
        <w:rPr>
          <w:rFonts w:hint="eastAsia" w:ascii="宋体" w:hAnsi="宋体"/>
          <w:szCs w:val="21"/>
        </w:rPr>
      </w:pPr>
      <w:r>
        <w:rPr>
          <w:rFonts w:hint="eastAsia" w:ascii="宋体" w:hAnsi="宋体"/>
          <w:szCs w:val="21"/>
        </w:rPr>
        <w:t xml:space="preserve">（1）正规增值税专用发票；</w:t>
      </w:r>
      <w:r>
        <w:rPr>
          <w:rFonts w:hint="eastAsia" w:ascii="宋体" w:hAnsi="宋体"/>
          <w:szCs w:val="21"/>
        </w:rPr>
      </w:r>
      <w:r/>
    </w:p>
    <w:p>
      <w:pPr>
        <w:pStyle w:val="1484"/>
        <w:ind w:firstLine="420"/>
        <w:jc w:val="left"/>
        <w:spacing w:line="360" w:lineRule="auto"/>
        <w:widowControl/>
        <w:rPr>
          <w:rFonts w:hint="eastAsia" w:ascii="宋体" w:hAnsi="宋体"/>
          <w:szCs w:val="21"/>
        </w:rPr>
      </w:pPr>
      <w:r>
        <w:rPr>
          <w:rFonts w:hint="eastAsia" w:ascii="宋体" w:hAnsi="宋体"/>
          <w:szCs w:val="21"/>
        </w:rPr>
        <w:t xml:space="preserve">（2）经招标人单位相关责任人签字验收合格的证明文件一份；</w:t>
      </w:r>
      <w:r>
        <w:rPr>
          <w:rFonts w:hint="eastAsia" w:ascii="宋体" w:hAnsi="宋体"/>
          <w:szCs w:val="21"/>
        </w:rPr>
      </w:r>
      <w:r/>
    </w:p>
    <w:p>
      <w:pPr>
        <w:pStyle w:val="1484"/>
        <w:ind w:firstLine="420"/>
        <w:jc w:val="left"/>
        <w:spacing w:line="360" w:lineRule="auto"/>
        <w:widowControl/>
        <w:rPr>
          <w:rFonts w:hint="eastAsia" w:ascii="宋体" w:hAnsi="宋体"/>
          <w:szCs w:val="21"/>
        </w:rPr>
      </w:pPr>
      <w:r>
        <w:rPr>
          <w:rFonts w:hint="eastAsia" w:ascii="宋体" w:hAnsi="宋体"/>
          <w:szCs w:val="21"/>
        </w:rPr>
        <w:t xml:space="preserve">（3）经招标人单位相关责任人签字认可的与提供项目相关之所有资料（如合同书、使用说明书、质量证书、接收记录等）。</w:t>
      </w:r>
      <w:r>
        <w:rPr>
          <w:rFonts w:hint="eastAsia" w:ascii="宋体" w:hAnsi="宋体"/>
          <w:szCs w:val="21"/>
        </w:rPr>
      </w:r>
      <w:r/>
    </w:p>
    <w:p>
      <w:pPr>
        <w:pStyle w:val="1484"/>
        <w:ind w:firstLine="420"/>
        <w:jc w:val="left"/>
        <w:spacing w:line="360" w:lineRule="auto"/>
        <w:widowControl/>
        <w:rPr>
          <w:rFonts w:hint="eastAsia" w:ascii="宋体" w:hAnsi="宋体"/>
          <w:szCs w:val="21"/>
        </w:rPr>
      </w:pPr>
      <w:r>
        <w:rPr>
          <w:rFonts w:hint="eastAsia" w:ascii="宋体" w:hAnsi="宋体"/>
          <w:szCs w:val="21"/>
        </w:rPr>
        <w:t xml:space="preserve">3、当采购数量与实际使用数量不一致时，供应商应根据实际使用量供货，合同的最终结算金额按实际使用量乘以中标单价进行计算。</w:t>
      </w:r>
      <w:r>
        <w:rPr>
          <w:rFonts w:hint="eastAsia" w:ascii="宋体" w:hAnsi="宋体"/>
          <w:szCs w:val="21"/>
        </w:rPr>
      </w:r>
      <w:r/>
    </w:p>
    <w:p>
      <w:pPr>
        <w:pStyle w:val="1484"/>
        <w:jc w:val="left"/>
        <w:spacing w:line="360" w:lineRule="auto"/>
        <w:rPr>
          <w:sz w:val="24"/>
          <w:szCs w:val="24"/>
          <w:highlight w:val="yellow"/>
        </w:rPr>
      </w:pPr>
      <w:r>
        <w:rPr>
          <w:sz w:val="24"/>
          <w:szCs w:val="24"/>
          <w:highlight w:val="yellow"/>
        </w:rPr>
        <w:br w:type="page" w:clear="all"/>
      </w:r>
      <w:r>
        <w:rPr>
          <w:sz w:val="24"/>
          <w:szCs w:val="24"/>
          <w:highlight w:val="yellow"/>
        </w:rPr>
      </w:r>
      <w:r/>
    </w:p>
    <w:p>
      <w:pPr>
        <w:pStyle w:val="1484"/>
        <w:jc w:val="center"/>
        <w:spacing w:line="440" w:lineRule="exact"/>
        <w:rPr>
          <w:b/>
          <w:sz w:val="28"/>
          <w:szCs w:val="28"/>
        </w:rPr>
        <w:outlineLvl w:val="0"/>
      </w:pPr>
      <w:r/>
      <w:bookmarkStart w:id="232" w:name="_Toc25972"/>
      <w:r>
        <w:rPr>
          <w:b/>
          <w:sz w:val="28"/>
          <w:szCs w:val="28"/>
        </w:rPr>
        <w:t xml:space="preserve">第五章 拟签订的合同文本</w:t>
      </w:r>
      <w:bookmarkEnd w:id="224"/>
      <w:r/>
      <w:bookmarkEnd w:id="232"/>
      <w:r>
        <w:rPr>
          <w:b/>
          <w:sz w:val="28"/>
          <w:szCs w:val="28"/>
        </w:rPr>
      </w:r>
      <w:r/>
    </w:p>
    <w:p>
      <w:pPr>
        <w:pStyle w:val="1484"/>
        <w:jc w:val="center"/>
        <w:spacing w:line="440" w:lineRule="exact"/>
        <w:rPr>
          <w:b/>
          <w:sz w:val="28"/>
          <w:szCs w:val="28"/>
        </w:rPr>
      </w:pPr>
      <w:r/>
      <w:bookmarkStart w:id="233" w:name="_Toc6085"/>
      <w:r>
        <w:rPr>
          <w:b/>
          <w:sz w:val="28"/>
          <w:szCs w:val="28"/>
        </w:rPr>
        <w:t xml:space="preserve">（参考格式，本合同内容条款在正式签署前可具体补充细化，仅作参考，最终合同以采购人法务审查通过的版本为准）</w:t>
      </w:r>
      <w:bookmarkEnd w:id="233"/>
      <w:r>
        <w:rPr>
          <w:b/>
          <w:sz w:val="28"/>
          <w:szCs w:val="28"/>
        </w:rPr>
      </w:r>
      <w:r/>
    </w:p>
    <w:p>
      <w:pPr>
        <w:pStyle w:val="1484"/>
        <w:jc w:val="center"/>
        <w:rPr>
          <w:b/>
          <w:sz w:val="24"/>
        </w:rPr>
      </w:pPr>
      <w:r>
        <w:rPr>
          <w:b/>
          <w:sz w:val="24"/>
          <w:u w:val="single"/>
        </w:rPr>
        <w:t xml:space="preserve">（采购人）（项目名称）</w:t>
      </w:r>
      <w:r>
        <w:rPr>
          <w:b/>
          <w:sz w:val="24"/>
        </w:rPr>
        <w:t xml:space="preserve">采购合同</w:t>
      </w:r>
      <w:r>
        <w:rPr>
          <w:b/>
          <w:sz w:val="24"/>
        </w:rPr>
      </w:r>
      <w:r/>
    </w:p>
    <w:p>
      <w:pPr>
        <w:pStyle w:val="1484"/>
        <w:jc w:val="center"/>
        <w:rPr>
          <w:b/>
          <w:sz w:val="24"/>
        </w:rPr>
      </w:pPr>
      <w:r>
        <w:rPr>
          <w:b/>
          <w:sz w:val="24"/>
        </w:rPr>
        <w:t xml:space="preserve">（货物类模板）</w:t>
      </w:r>
      <w:r>
        <w:rPr>
          <w:b/>
          <w:sz w:val="24"/>
        </w:rPr>
      </w:r>
      <w:r/>
    </w:p>
    <w:p>
      <w:pPr>
        <w:pStyle w:val="1484"/>
        <w:jc w:val="center"/>
        <w:rPr>
          <w:szCs w:val="21"/>
        </w:rPr>
      </w:pPr>
      <w:r>
        <w:rPr>
          <w:szCs w:val="21"/>
        </w:rPr>
      </w:r>
      <w:r/>
    </w:p>
    <w:p>
      <w:pPr>
        <w:pStyle w:val="1484"/>
        <w:jc w:val="left"/>
        <w:spacing w:line="360" w:lineRule="auto"/>
        <w:rPr>
          <w:rFonts w:hint="eastAsia" w:ascii="宋体" w:hAnsi="宋体" w:cs="宋体"/>
          <w:szCs w:val="21"/>
          <w:u w:val="single"/>
        </w:rPr>
      </w:pPr>
      <w:r>
        <w:rPr>
          <w:rFonts w:hint="eastAsia" w:ascii="宋体" w:hAnsi="宋体" w:cs="宋体"/>
          <w:b/>
          <w:szCs w:val="21"/>
        </w:rPr>
        <w:t xml:space="preserve">甲方（采购人）</w:t>
      </w:r>
      <w:r>
        <w:rPr>
          <w:rFonts w:hint="eastAsia" w:ascii="宋体" w:hAnsi="宋体" w:cs="宋体"/>
          <w:szCs w:val="21"/>
        </w:rPr>
        <w:t xml:space="preserve">：</w:t>
      </w:r>
      <w:r>
        <w:rPr>
          <w:rFonts w:hint="eastAsia" w:ascii="宋体" w:hAnsi="宋体" w:cs="宋体"/>
          <w:szCs w:val="21"/>
          <w:u w:val="single"/>
        </w:rPr>
      </w:r>
      <w:r/>
    </w:p>
    <w:p>
      <w:pPr>
        <w:pStyle w:val="1484"/>
        <w:jc w:val="left"/>
        <w:spacing w:line="360" w:lineRule="auto"/>
        <w:rPr>
          <w:rFonts w:hint="eastAsia" w:ascii="宋体" w:hAnsi="宋体" w:cs="宋体"/>
          <w:szCs w:val="21"/>
          <w:u w:val="single"/>
        </w:rPr>
      </w:pPr>
      <w:r>
        <w:rPr>
          <w:rFonts w:hint="eastAsia" w:ascii="宋体" w:hAnsi="宋体" w:cs="宋体"/>
          <w:b/>
          <w:szCs w:val="21"/>
        </w:rPr>
        <w:t xml:space="preserve">乙方（供应商）</w:t>
      </w:r>
      <w:r>
        <w:rPr>
          <w:rFonts w:hint="eastAsia" w:ascii="宋体" w:hAnsi="宋体" w:cs="宋体"/>
          <w:szCs w:val="21"/>
        </w:rPr>
        <w:t xml:space="preserve">：</w:t>
      </w:r>
      <w:r>
        <w:rPr>
          <w:rFonts w:hint="eastAsia" w:ascii="宋体" w:hAnsi="宋体" w:cs="宋体"/>
          <w:szCs w:val="21"/>
          <w:u w:val="single"/>
        </w:rPr>
      </w:r>
      <w:r/>
    </w:p>
    <w:p>
      <w:pPr>
        <w:pStyle w:val="1484"/>
        <w:jc w:val="left"/>
        <w:spacing w:line="360" w:lineRule="auto"/>
        <w:rPr>
          <w:rFonts w:hint="eastAsia" w:ascii="宋体" w:hAnsi="宋体" w:cs="宋体"/>
          <w:szCs w:val="21"/>
        </w:rPr>
      </w:pPr>
      <w:r>
        <w:rPr>
          <w:rFonts w:hint="eastAsia" w:ascii="宋体" w:hAnsi="宋体" w:cs="宋体"/>
          <w:b/>
          <w:szCs w:val="21"/>
        </w:rPr>
        <w:t xml:space="preserve">招标编号</w:t>
      </w:r>
      <w:r>
        <w:rPr>
          <w:rFonts w:hint="eastAsia" w:ascii="宋体" w:hAnsi="宋体" w:cs="宋体"/>
          <w:szCs w:val="21"/>
        </w:rPr>
        <w:t xml:space="preserve">：</w:t>
      </w:r>
      <w:r>
        <w:rPr>
          <w:rFonts w:hint="eastAsia" w:ascii="宋体" w:hAnsi="宋体" w:cs="宋体"/>
          <w:szCs w:val="21"/>
        </w:rPr>
      </w:r>
      <w:r/>
    </w:p>
    <w:p>
      <w:pPr>
        <w:pStyle w:val="1484"/>
        <w:jc w:val="left"/>
        <w:spacing w:line="360" w:lineRule="auto"/>
        <w:rPr>
          <w:rFonts w:hint="eastAsia" w:ascii="宋体" w:hAnsi="宋体" w:cs="宋体"/>
          <w:b/>
          <w:szCs w:val="21"/>
          <w:u w:val="single"/>
        </w:rPr>
      </w:pPr>
      <w:r>
        <w:rPr>
          <w:rFonts w:hint="eastAsia" w:ascii="宋体" w:hAnsi="宋体" w:cs="宋体"/>
          <w:b/>
          <w:szCs w:val="21"/>
        </w:rPr>
        <w:t xml:space="preserve">签订时间：</w:t>
      </w:r>
      <w:r>
        <w:rPr>
          <w:rFonts w:hint="eastAsia" w:ascii="宋体" w:hAnsi="宋体" w:cs="宋体"/>
          <w:b/>
          <w:szCs w:val="21"/>
          <w:u w:val="single"/>
        </w:rPr>
      </w:r>
      <w:r/>
    </w:p>
    <w:p>
      <w:pPr>
        <w:pStyle w:val="1484"/>
        <w:jc w:val="left"/>
        <w:spacing w:line="360" w:lineRule="auto"/>
        <w:rPr>
          <w:rFonts w:hint="eastAsia" w:ascii="宋体" w:hAnsi="宋体" w:cs="宋体"/>
          <w:szCs w:val="21"/>
        </w:rPr>
      </w:pP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根据《中华人民共和国政府采购法》、《中华人民共和国民法典》等法律、法规规定，按照</w:t>
      </w:r>
      <w:r>
        <w:rPr>
          <w:rFonts w:hint="eastAsia" w:ascii="宋体" w:hAnsi="宋体" w:cs="宋体"/>
          <w:szCs w:val="21"/>
          <w:u w:val="single"/>
        </w:rPr>
        <w:t xml:space="preserve"> 项目名称        （招标编号：        ） </w:t>
      </w:r>
      <w:r>
        <w:rPr>
          <w:rFonts w:hint="eastAsia" w:ascii="宋体" w:hAnsi="宋体" w:cs="宋体"/>
          <w:szCs w:val="21"/>
        </w:rPr>
        <w:t xml:space="preserve">采购文件、投标（响应）文件规定条款和中标（成交）供应商承诺，甲方向乙方购置相关货物，双方同意以下内容。</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b/>
          <w:szCs w:val="21"/>
        </w:rPr>
        <w:t xml:space="preserve">第一条：合同签订依据</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甲方采购文件或与本次采购活动方式相适应的文件及有关附件是本合同不可分割的组成部分，与本合同具有同等法律效力，这些文件包括但不限于：</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（1）乙方提供的投标文件和投标报价表；</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（2）供货一览表；</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（3）交货地点一览表；</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（4）技术规格响应表；</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（5）投标承诺；</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（6）服务承诺；</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（7）中标或成交通知书；</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（8）甲乙双方商定的其他文件。</w:t>
      </w:r>
      <w:r>
        <w:rPr>
          <w:rFonts w:hint="eastAsia" w:ascii="宋体" w:hAnsi="宋体" w:cs="宋体"/>
          <w:szCs w:val="21"/>
        </w:rPr>
      </w:r>
      <w:r/>
    </w:p>
    <w:p>
      <w:pPr>
        <w:pStyle w:val="1484"/>
        <w:ind w:firstLine="560"/>
        <w:jc w:val="left"/>
        <w:spacing w:line="360" w:lineRule="auto"/>
        <w:rPr>
          <w:rFonts w:hint="eastAsia" w:ascii="宋体" w:hAnsi="宋体" w:cs="宋体"/>
          <w:b/>
          <w:szCs w:val="21"/>
        </w:rPr>
      </w:pPr>
      <w:r>
        <w:rPr>
          <w:rFonts w:hint="eastAsia" w:ascii="宋体" w:hAnsi="宋体" w:cs="宋体"/>
          <w:b/>
          <w:szCs w:val="21"/>
        </w:rPr>
        <w:t xml:space="preserve">第二条：合同标的   </w:t>
      </w:r>
      <w:r>
        <w:rPr>
          <w:rFonts w:hint="eastAsia" w:ascii="宋体" w:hAnsi="宋体" w:cs="宋体"/>
          <w:b/>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乙方根据甲方需求提供下列货物，货物名称、规格及数量详见货物清单 “供货一览表”（格式可自拟）：</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7"/>
        <w:gridCol w:w="1199"/>
        <w:gridCol w:w="1200"/>
        <w:gridCol w:w="1200"/>
        <w:gridCol w:w="1199"/>
        <w:gridCol w:w="1200"/>
        <w:gridCol w:w="1200"/>
        <w:gridCol w:w="1200"/>
      </w:tblGrid>
      <w:tr>
        <w:trPr>
          <w:cantSplit/>
          <w:trHeight w:val="820"/>
        </w:trPr>
        <w:tc>
          <w:tcPr>
            <w:tcW w:w="497"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199"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货物名称</w:t>
            </w: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商标品牌</w:t>
            </w: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规格型号</w:t>
            </w:r>
            <w:r>
              <w:rPr>
                <w:rFonts w:hint="eastAsia" w:ascii="宋体" w:hAnsi="宋体" w:cs="宋体"/>
                <w:szCs w:val="21"/>
              </w:rPr>
            </w:r>
            <w:r/>
          </w:p>
        </w:tc>
        <w:tc>
          <w:tcPr>
            <w:tcW w:w="1199"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生产厂家</w:t>
            </w: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p>
            <w:pPr>
              <w:pStyle w:val="1484"/>
              <w:jc w:val="center"/>
              <w:spacing w:line="360" w:lineRule="auto"/>
              <w:rPr>
                <w:rFonts w:hint="eastAsia" w:ascii="宋体" w:hAnsi="宋体" w:cs="宋体"/>
                <w:szCs w:val="21"/>
              </w:rPr>
            </w:pPr>
            <w:r>
              <w:rPr>
                <w:rFonts w:hint="eastAsia" w:ascii="宋体" w:hAnsi="宋体" w:cs="宋体"/>
                <w:szCs w:val="21"/>
              </w:rPr>
              <w:t xml:space="preserve">及单位</w:t>
            </w: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p>
            <w:pPr>
              <w:pStyle w:val="1484"/>
              <w:jc w:val="center"/>
              <w:spacing w:line="360" w:lineRule="auto"/>
              <w:rPr>
                <w:rFonts w:hint="eastAsia" w:ascii="宋体" w:hAnsi="宋体" w:cs="宋体"/>
                <w:szCs w:val="21"/>
              </w:rPr>
            </w:pPr>
            <w:r>
              <w:rPr>
                <w:rFonts w:hint="eastAsia" w:ascii="宋体" w:hAnsi="宋体" w:cs="宋体"/>
                <w:szCs w:val="21"/>
              </w:rPr>
              <w:t xml:space="preserve">（元）</w:t>
            </w: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金额</w:t>
            </w:r>
            <w:r>
              <w:rPr>
                <w:rFonts w:hint="eastAsia" w:ascii="宋体" w:hAnsi="宋体" w:cs="宋体"/>
                <w:szCs w:val="21"/>
              </w:rPr>
            </w:r>
            <w:r/>
          </w:p>
          <w:p>
            <w:pPr>
              <w:pStyle w:val="1484"/>
              <w:jc w:val="center"/>
              <w:spacing w:line="360" w:lineRule="auto"/>
              <w:rPr>
                <w:rFonts w:hint="eastAsia" w:ascii="宋体" w:hAnsi="宋体" w:cs="宋体"/>
                <w:szCs w:val="21"/>
              </w:rPr>
            </w:pPr>
            <w:r>
              <w:rPr>
                <w:rFonts w:hint="eastAsia" w:ascii="宋体" w:hAnsi="宋体" w:cs="宋体"/>
                <w:szCs w:val="21"/>
              </w:rPr>
              <w:t xml:space="preserve">（元）</w:t>
            </w:r>
            <w:r>
              <w:rPr>
                <w:rFonts w:hint="eastAsia" w:ascii="宋体" w:hAnsi="宋体" w:cs="宋体"/>
                <w:szCs w:val="21"/>
              </w:rPr>
            </w:r>
            <w:r/>
          </w:p>
        </w:tc>
      </w:tr>
      <w:tr>
        <w:trPr>
          <w:cantSplit/>
          <w:trHeight w:val="465"/>
        </w:trPr>
        <w:tc>
          <w:tcPr>
            <w:tcW w:w="497"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199"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199" w:type="dxa"/>
            <w:vAlign w:val="top"/>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top"/>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r>
      <w:tr>
        <w:trPr>
          <w:cantSplit/>
          <w:trHeight w:val="465"/>
        </w:trPr>
        <w:tc>
          <w:tcPr>
            <w:tcW w:w="497"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199"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199" w:type="dxa"/>
            <w:vAlign w:val="top"/>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top"/>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r>
      <w:tr>
        <w:trPr>
          <w:cantSplit/>
          <w:trHeight w:val="465"/>
        </w:trPr>
        <w:tc>
          <w:tcPr>
            <w:tcW w:w="497"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199"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199" w:type="dxa"/>
            <w:vAlign w:val="top"/>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top"/>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r>
      <w:tr>
        <w:trPr>
          <w:cantSplit/>
          <w:trHeight w:val="465"/>
        </w:trPr>
        <w:tc>
          <w:tcPr>
            <w:tcW w:w="497"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199"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199" w:type="dxa"/>
            <w:vAlign w:val="top"/>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top"/>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r>
      <w:tr>
        <w:trPr>
          <w:cantSplit/>
          <w:trHeight w:val="465"/>
        </w:trPr>
        <w:tc>
          <w:tcPr>
            <w:tcW w:w="497"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199"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199" w:type="dxa"/>
            <w:vAlign w:val="top"/>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top"/>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r>
      <w:tr>
        <w:trPr>
          <w:cantSplit/>
          <w:trHeight w:val="465"/>
        </w:trPr>
        <w:tc>
          <w:tcPr>
            <w:tcW w:w="497"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199"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199" w:type="dxa"/>
            <w:vAlign w:val="top"/>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top"/>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c>
          <w:tcPr>
            <w:tcW w:w="1200" w:type="dxa"/>
            <w:vAlign w:val="center"/>
            <w:textDirection w:val="lrTb"/>
            <w:noWrap w:val="false"/>
          </w:tcPr>
          <w:p>
            <w:pPr>
              <w:pStyle w:val="1484"/>
              <w:jc w:val="center"/>
              <w:spacing w:line="360" w:lineRule="auto"/>
              <w:rPr>
                <w:rFonts w:hint="eastAsia" w:ascii="宋体" w:hAnsi="宋体" w:cs="宋体"/>
                <w:szCs w:val="21"/>
              </w:rPr>
            </w:pPr>
            <w:r>
              <w:rPr>
                <w:rFonts w:hint="eastAsia" w:ascii="宋体" w:hAnsi="宋体" w:cs="宋体"/>
                <w:szCs w:val="21"/>
              </w:rPr>
            </w:r>
            <w:r/>
          </w:p>
        </w:tc>
      </w:tr>
      <w:tr>
        <w:trPr>
          <w:cantSplit/>
          <w:trHeight w:val="465"/>
        </w:trPr>
        <w:tc>
          <w:tcPr>
            <w:gridSpan w:val="8"/>
            <w:tcW w:w="8895"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人民币合计金额（大写）（小写）</w:t>
            </w:r>
            <w:r>
              <w:rPr>
                <w:rFonts w:hint="eastAsia" w:ascii="宋体" w:hAnsi="宋体" w:cs="宋体"/>
                <w:szCs w:val="21"/>
              </w:rPr>
            </w:r>
            <w:r/>
          </w:p>
        </w:tc>
      </w:tr>
    </w:tbl>
    <w:p>
      <w:pPr>
        <w:pStyle w:val="1484"/>
        <w:ind w:firstLine="560"/>
        <w:jc w:val="left"/>
        <w:spacing w:line="360" w:lineRule="auto"/>
        <w:rPr>
          <w:rFonts w:hint="eastAsia" w:ascii="宋体" w:hAnsi="宋体" w:cs="宋体"/>
          <w:b/>
          <w:szCs w:val="21"/>
        </w:rPr>
      </w:pPr>
      <w:r>
        <w:rPr>
          <w:rFonts w:hint="eastAsia" w:ascii="宋体" w:hAnsi="宋体" w:cs="宋体"/>
          <w:b/>
          <w:szCs w:val="21"/>
        </w:rPr>
        <w:t xml:space="preserve">第三条：合同总价款    </w:t>
      </w:r>
      <w:r>
        <w:rPr>
          <w:rFonts w:hint="eastAsia" w:ascii="宋体" w:hAnsi="宋体" w:cs="宋体"/>
          <w:b/>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本合同项下货物总价款为元人民币，大写；分项价款在“投标报价表”中有明确规定。</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本合同总价款包括货物设计、制造、包装、仓储、运输、专用工具、安装、调试、检验、技术培训及相关资料、以及验收合格之前及保修期内备品备件发生的所有含税费用，同时还包含乙方应当提供的售后服务等费用。</w:t>
      </w:r>
      <w:r>
        <w:rPr>
          <w:rFonts w:hint="eastAsia" w:ascii="宋体" w:hAnsi="宋体" w:cs="宋体"/>
          <w:szCs w:val="21"/>
        </w:rPr>
      </w:r>
      <w:r/>
    </w:p>
    <w:p>
      <w:pPr>
        <w:pStyle w:val="1484"/>
        <w:ind w:firstLine="560"/>
        <w:jc w:val="left"/>
        <w:spacing w:line="360" w:lineRule="auto"/>
        <w:rPr>
          <w:rFonts w:hint="eastAsia" w:ascii="宋体" w:hAnsi="宋体" w:cs="宋体"/>
          <w:b/>
          <w:szCs w:val="21"/>
        </w:rPr>
      </w:pPr>
      <w:r>
        <w:rPr>
          <w:rFonts w:hint="eastAsia" w:ascii="宋体" w:hAnsi="宋体" w:cs="宋体"/>
          <w:b/>
          <w:szCs w:val="21"/>
        </w:rPr>
        <w:t xml:space="preserve">第四条  权利保证</w:t>
      </w:r>
      <w:r>
        <w:rPr>
          <w:rFonts w:hint="eastAsia" w:ascii="宋体" w:hAnsi="宋体" w:cs="宋体"/>
          <w:b/>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乙方应保证甲方在使用该货物或其任何一部分时不受第三方提出侵犯其专利权、版权、商标权或其他权利的起诉。一旦出现侵权，乙方应承担全部责任。</w:t>
      </w:r>
      <w:r>
        <w:rPr>
          <w:rFonts w:hint="eastAsia" w:ascii="宋体" w:hAnsi="宋体" w:cs="宋体"/>
          <w:szCs w:val="21"/>
        </w:rPr>
      </w:r>
      <w:r/>
    </w:p>
    <w:p>
      <w:pPr>
        <w:pStyle w:val="1484"/>
        <w:ind w:firstLine="560"/>
        <w:jc w:val="left"/>
        <w:spacing w:line="360" w:lineRule="auto"/>
        <w:rPr>
          <w:rFonts w:hint="eastAsia" w:ascii="宋体" w:hAnsi="宋体" w:cs="宋体"/>
          <w:b/>
          <w:szCs w:val="21"/>
        </w:rPr>
      </w:pPr>
      <w:r>
        <w:rPr>
          <w:rFonts w:hint="eastAsia" w:ascii="宋体" w:hAnsi="宋体" w:cs="宋体"/>
          <w:b/>
          <w:szCs w:val="21"/>
        </w:rPr>
        <w:t xml:space="preserve">第五条  质量保证</w:t>
      </w:r>
      <w:r>
        <w:rPr>
          <w:rFonts w:hint="eastAsia" w:ascii="宋体" w:hAnsi="宋体" w:cs="宋体"/>
          <w:b/>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1、乙方所提供的货物型号、技术规格、技术参数等质量必须与采购文件、投标（响应）文件和承诺相一致。若技术性能无特殊说明，则按国家有关部门最新颁布的标准及规范为准。</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cs="宋体"/>
          <w:szCs w:val="21"/>
        </w:rPr>
      </w:r>
      <w:r/>
    </w:p>
    <w:p>
      <w:pPr>
        <w:pStyle w:val="1484"/>
        <w:ind w:firstLine="560"/>
        <w:jc w:val="left"/>
        <w:spacing w:line="360" w:lineRule="auto"/>
        <w:rPr>
          <w:rFonts w:hint="eastAsia" w:ascii="宋体" w:hAnsi="宋体" w:cs="宋体"/>
          <w:b/>
          <w:szCs w:val="21"/>
        </w:rPr>
      </w:pPr>
      <w:r>
        <w:rPr>
          <w:rFonts w:hint="eastAsia" w:ascii="宋体" w:hAnsi="宋体" w:cs="宋体"/>
          <w:b/>
          <w:szCs w:val="21"/>
        </w:rPr>
        <w:t xml:space="preserve">第六条  包装要求</w:t>
      </w:r>
      <w:r>
        <w:rPr>
          <w:rFonts w:hint="eastAsia" w:ascii="宋体" w:hAnsi="宋体" w:cs="宋体"/>
          <w:b/>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1、乙方提供的货物均应按采购文件、投标（响应）文件要求的包装材料、包装标准、包装方式进行包装，若采购文件、投标（响应）文件无特殊说明，则按国家最新标准及规范进行包装。该包装应适应于远距离运输、防潮、防震、防锈和防野蛮装卸，以确保货物安全无损运抵甲方指定地点。由于包装不善所引起的货物损失均由乙方承担。</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2、每一包装单元内应附详细的装箱单和质量合格凭证。</w:t>
      </w:r>
      <w:r>
        <w:rPr>
          <w:rFonts w:hint="eastAsia" w:ascii="宋体" w:hAnsi="宋体" w:cs="宋体"/>
          <w:szCs w:val="21"/>
        </w:rPr>
      </w:r>
      <w:r/>
    </w:p>
    <w:p>
      <w:pPr>
        <w:pStyle w:val="1484"/>
        <w:ind w:firstLine="560"/>
        <w:jc w:val="left"/>
        <w:spacing w:line="360" w:lineRule="auto"/>
        <w:rPr>
          <w:rFonts w:hint="eastAsia" w:ascii="宋体" w:hAnsi="宋体" w:cs="宋体"/>
          <w:b/>
          <w:szCs w:val="21"/>
        </w:rPr>
      </w:pPr>
      <w:r>
        <w:rPr>
          <w:rFonts w:hint="eastAsia" w:ascii="宋体" w:hAnsi="宋体" w:cs="宋体"/>
          <w:b/>
          <w:szCs w:val="21"/>
        </w:rPr>
        <w:t xml:space="preserve">第七条  交货和验收</w:t>
      </w:r>
      <w:r>
        <w:rPr>
          <w:rFonts w:hint="eastAsia" w:ascii="宋体" w:hAnsi="宋体" w:cs="宋体"/>
          <w:b/>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1、交货时间地点</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（1）交货时间：年月日，也可以甲方书面通知的具体时间为准。</w:t>
      </w:r>
      <w:r>
        <w:rPr>
          <w:rFonts w:hint="eastAsia" w:ascii="宋体" w:hAnsi="宋体" w:cs="宋体"/>
          <w:szCs w:val="21"/>
        </w:rPr>
      </w:r>
      <w:r/>
    </w:p>
    <w:p>
      <w:pPr>
        <w:pStyle w:val="1484"/>
        <w:ind w:firstLine="420"/>
        <w:jc w:val="left"/>
        <w:spacing w:line="360" w:lineRule="auto"/>
        <w:rPr>
          <w:rFonts w:hint="eastAsia" w:ascii="宋体" w:hAnsi="宋体" w:cs="宋体"/>
          <w:szCs w:val="21"/>
          <w:u w:val="single"/>
        </w:rPr>
      </w:pPr>
      <w:r>
        <w:rPr>
          <w:rFonts w:hint="eastAsia" w:ascii="宋体" w:hAnsi="宋体" w:cs="宋体"/>
          <w:szCs w:val="21"/>
        </w:rPr>
        <w:t xml:space="preserve">乙方应按照本合同或采购文件规定的时间和方式向甲方交付货物，如招投标文件对交货时间未明确规定，则乙方应当在（期间）前将货物交付甲方。</w:t>
      </w:r>
      <w:r>
        <w:rPr>
          <w:rFonts w:hint="eastAsia" w:ascii="宋体" w:hAnsi="宋体" w:cs="宋体"/>
          <w:szCs w:val="21"/>
          <w:u w:val="single"/>
        </w:rPr>
      </w:r>
      <w:r/>
    </w:p>
    <w:p>
      <w:pPr>
        <w:pStyle w:val="1484"/>
        <w:ind w:firstLine="560"/>
        <w:jc w:val="left"/>
        <w:spacing w:line="360" w:lineRule="auto"/>
        <w:rPr>
          <w:rFonts w:hint="eastAsia" w:ascii="宋体" w:hAnsi="宋体" w:cs="宋体"/>
          <w:szCs w:val="21"/>
          <w:u w:val="single"/>
        </w:rPr>
      </w:pPr>
      <w:r>
        <w:rPr>
          <w:rFonts w:hint="eastAsia" w:ascii="宋体" w:hAnsi="宋体" w:cs="宋体"/>
          <w:szCs w:val="21"/>
        </w:rPr>
        <w:t xml:space="preserve">（2）交货地点由甲方指定，交货地点：。</w:t>
      </w:r>
      <w:r>
        <w:rPr>
          <w:rFonts w:hint="eastAsia" w:ascii="宋体" w:hAnsi="宋体" w:cs="宋体"/>
          <w:szCs w:val="21"/>
          <w:u w:val="single"/>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2、验收标准</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1）乙方交付的货物应当完全符合本合同或者招投标文件所规定的货物、数量和规格要求。乙方不得少交或多交货物。乙方提供的货物不符合招投标文件和合同规定的，甲方有权拒收货物，由此引起的风险，由乙方承担。</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（3）货物和系统调试验收的标准：按行业通行标准、厂方出厂标准和乙方投标文件的承诺（详见合同附件载明的标准，并不低于国家相关标准）。</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4、乙方负责在货物到达甲方交货地点或者指定地点____日内到甲方现场调试服务，甲方在调试过程中作整体验收，如调试验收不合格则由甲方出具书面通知，并责令乙方限期整改。</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5、甲方应当在到货后的个工作日内对货物进行验收；需要乙方对货物或系统进行安装调试的，甲方应在货物安装调试完毕后的个工作日内进行质量验收。验收合格的，由甲方签署验收单并加盖单位公章。招投标文件对检验期限另有规定的，从其规定。</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6、验收时间以验收单上签署的时间为准，验收结果以该项目验收单结论为准。在验收过程中发现乙方有违约问题，可暂缓资金结算，待违约问题解决后，方可办理资金结算事宜。</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7、甲方对验收有异议的或者经整改仍验收不合格的，在验收后</w:t>
      </w:r>
      <w:r>
        <w:rPr>
          <w:rFonts w:hint="eastAsia" w:ascii="宋体" w:hAnsi="宋体" w:cs="宋体"/>
          <w:szCs w:val="21"/>
          <w:u w:val="single"/>
        </w:rPr>
        <w:t xml:space="preserve">____</w:t>
      </w:r>
      <w:r>
        <w:rPr>
          <w:rFonts w:hint="eastAsia" w:ascii="宋体" w:hAnsi="宋体" w:cs="宋体"/>
          <w:szCs w:val="21"/>
        </w:rPr>
        <w:t xml:space="preserve">个工作日内以书面形式向乙方提出，乙方应自收到甲方书面异议后日内及时予以解决。</w:t>
      </w:r>
      <w:r>
        <w:rPr>
          <w:rFonts w:hint="eastAsia" w:ascii="宋体" w:hAnsi="宋体" w:cs="宋体"/>
          <w:szCs w:val="21"/>
        </w:rPr>
      </w:r>
      <w:r/>
    </w:p>
    <w:p>
      <w:pPr>
        <w:pStyle w:val="1484"/>
        <w:ind w:firstLine="560"/>
        <w:jc w:val="left"/>
        <w:spacing w:line="360" w:lineRule="auto"/>
        <w:rPr>
          <w:rFonts w:hint="eastAsia" w:ascii="宋体" w:hAnsi="宋体" w:cs="宋体"/>
          <w:b/>
          <w:szCs w:val="21"/>
        </w:rPr>
      </w:pPr>
      <w:r>
        <w:rPr>
          <w:rFonts w:hint="eastAsia" w:ascii="宋体" w:hAnsi="宋体" w:cs="宋体"/>
          <w:b/>
          <w:szCs w:val="21"/>
        </w:rPr>
        <w:t xml:space="preserve">第八条 付款方式和期限</w:t>
      </w:r>
      <w:r>
        <w:rPr>
          <w:rFonts w:hint="eastAsia" w:ascii="宋体" w:hAnsi="宋体" w:cs="宋体"/>
          <w:b/>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1、本合同所有款项均以人民币支付，合同执行期间合同总价不变，该价格已经包含本合同第三条约定的所有费用。</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2、付款条件</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乙方要求付款应提交下列单证和文件：</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A、国家税务机关监制的正式发票。</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B、制造厂家出具的货物质量合格证书。</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C、甲方已收讫货物的验收凭证。</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D、甲方签发的验收合格文件。</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3、付款方式：</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1）采购方不提供预付款。</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2）在所有项目验收合格后，甲方一次性付清全款。付款时供应商应提供：</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（1）正规增值税专用发票；</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（2）经采购方单位相关责任人签字验收合格的证明文件一份；</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（3）经采购方单位相关责任人签字认可的与提供项目相关之所有资料（如合同书、使用说明书、质量证书、接收记录等）。</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3）当采购数量与实际使用数量不一致时，供应商应根据实际使用量供货，合同的最终结算金额按实际使用量乘以中标单价进行计算。</w:t>
      </w:r>
      <w:r>
        <w:rPr>
          <w:rFonts w:hint="eastAsia" w:ascii="宋体" w:hAnsi="宋体" w:cs="宋体"/>
          <w:szCs w:val="21"/>
        </w:rPr>
      </w:r>
      <w:r/>
    </w:p>
    <w:p>
      <w:pPr>
        <w:pStyle w:val="1484"/>
        <w:ind w:firstLine="560"/>
        <w:jc w:val="left"/>
        <w:spacing w:line="360" w:lineRule="auto"/>
        <w:rPr>
          <w:rFonts w:hint="eastAsia" w:ascii="宋体" w:hAnsi="宋体" w:cs="宋体"/>
          <w:b/>
          <w:szCs w:val="21"/>
        </w:rPr>
      </w:pPr>
      <w:r>
        <w:rPr>
          <w:rFonts w:hint="eastAsia" w:ascii="宋体" w:hAnsi="宋体" w:cs="宋体"/>
          <w:b/>
          <w:szCs w:val="21"/>
        </w:rPr>
        <w:t xml:space="preserve">第九条 履约、质量保证金（如有）</w:t>
      </w:r>
      <w:r>
        <w:rPr>
          <w:rFonts w:hint="eastAsia" w:ascii="宋体" w:hAnsi="宋体" w:cs="宋体"/>
          <w:b/>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1、乙方在签订本合同之前，按合同总价款</w:t>
      </w:r>
      <w:r>
        <w:rPr>
          <w:rFonts w:hint="eastAsia" w:ascii="宋体" w:hAnsi="宋体" w:cs="宋体"/>
          <w:szCs w:val="21"/>
          <w:u w:val="single"/>
        </w:rPr>
        <w:t xml:space="preserve"> / </w:t>
      </w:r>
      <w:r>
        <w:rPr>
          <w:rFonts w:hint="eastAsia" w:ascii="宋体" w:hAnsi="宋体" w:cs="宋体"/>
          <w:szCs w:val="21"/>
        </w:rPr>
        <w:t xml:space="preserve">比例向甲方提交履约保证金，待货物验收合格且甲乙双方签署验收单且加盖甲方公章无异议后个工作日内无息返还。</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2、甲方按本合同总价款____比例留存质量保证金，质量保证期____个月，甲方应在质量保证期届满后</w:t>
      </w:r>
      <w:r>
        <w:rPr>
          <w:rFonts w:hint="eastAsia" w:ascii="宋体" w:hAnsi="宋体" w:cs="宋体"/>
          <w:szCs w:val="21"/>
          <w:u w:val="single"/>
        </w:rPr>
        <w:t xml:space="preserve">     </w:t>
      </w:r>
      <w:r>
        <w:rPr>
          <w:rFonts w:hint="eastAsia" w:ascii="宋体" w:hAnsi="宋体" w:cs="宋体"/>
          <w:szCs w:val="21"/>
        </w:rPr>
        <w:t xml:space="preserve">个工作日内按规定无息返还乙方。</w:t>
      </w:r>
      <w:r>
        <w:rPr>
          <w:rFonts w:hint="eastAsia" w:ascii="宋体" w:hAnsi="宋体" w:cs="宋体"/>
          <w:szCs w:val="21"/>
        </w:rPr>
      </w:r>
      <w:r/>
    </w:p>
    <w:p>
      <w:pPr>
        <w:pStyle w:val="1484"/>
        <w:ind w:firstLine="560"/>
        <w:jc w:val="left"/>
        <w:spacing w:line="360" w:lineRule="auto"/>
        <w:rPr>
          <w:rFonts w:hint="eastAsia" w:ascii="宋体" w:hAnsi="宋体" w:cs="宋体"/>
          <w:b/>
          <w:szCs w:val="21"/>
        </w:rPr>
      </w:pPr>
      <w:r>
        <w:rPr>
          <w:rFonts w:hint="eastAsia" w:ascii="宋体" w:hAnsi="宋体" w:cs="宋体"/>
          <w:b/>
          <w:szCs w:val="21"/>
        </w:rPr>
        <w:t xml:space="preserve">第十条  安装和培训</w:t>
      </w:r>
      <w:r>
        <w:rPr>
          <w:rFonts w:hint="eastAsia" w:ascii="宋体" w:hAnsi="宋体" w:cs="宋体"/>
          <w:b/>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1、甲方应提供必要安装条件（如场地、电源、水源等）。</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2、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宋体" w:hAnsi="宋体" w:cs="宋体"/>
          <w:szCs w:val="21"/>
        </w:rPr>
      </w:r>
      <w:r/>
    </w:p>
    <w:p>
      <w:pPr>
        <w:pStyle w:val="1484"/>
        <w:ind w:firstLine="560"/>
        <w:jc w:val="left"/>
        <w:spacing w:line="360" w:lineRule="auto"/>
        <w:rPr>
          <w:rFonts w:hint="eastAsia" w:ascii="宋体" w:hAnsi="宋体" w:cs="宋体"/>
          <w:b/>
          <w:szCs w:val="21"/>
        </w:rPr>
      </w:pPr>
      <w:r>
        <w:rPr>
          <w:rFonts w:hint="eastAsia" w:ascii="宋体" w:hAnsi="宋体" w:cs="宋体"/>
          <w:b/>
          <w:szCs w:val="21"/>
        </w:rPr>
        <w:t xml:space="preserve">第十一条 售后服务</w:t>
      </w:r>
      <w:r>
        <w:rPr>
          <w:rFonts w:hint="eastAsia" w:ascii="宋体" w:hAnsi="宋体" w:cs="宋体"/>
          <w:b/>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1、乙方应按国家相关法规及采购文件、投标（响应）文件对售后服务的要求和响应提供服务。自甲乙双方签署验收单且加盖甲方公章之日的次日起算。货物保修起止时间：起至止。</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2、乙方将定期派员对甲方使用的货物进行检测，应保证货物处于正常使用状态。</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3、若招投标文件中不包含有关售后服务的承诺，双方作如下约定：</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3.1保修期内，乙方负责对其提供的货物整机进行维修和系统维护，不再收取任何费用，但不可抗力（如火灾、雷击等）造成的故障除外。</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3.2货物故障报修的响应时间为：工作期间（星期一至星期五8：00-18：00）为</w:t>
      </w:r>
      <w:r>
        <w:rPr>
          <w:rFonts w:hint="eastAsia" w:ascii="宋体" w:hAnsi="宋体" w:cs="宋体"/>
          <w:szCs w:val="21"/>
          <w:u w:val="single"/>
        </w:rPr>
        <w:t xml:space="preserve">  </w:t>
      </w:r>
      <w:r>
        <w:rPr>
          <w:rFonts w:hint="eastAsia" w:ascii="宋体" w:hAnsi="宋体" w:cs="宋体"/>
          <w:szCs w:val="21"/>
        </w:rPr>
        <w:t xml:space="preserve">小时；非工作期间为</w:t>
      </w:r>
      <w:r>
        <w:rPr>
          <w:rFonts w:hint="eastAsia" w:ascii="宋体" w:hAnsi="宋体" w:cs="宋体"/>
          <w:szCs w:val="21"/>
          <w:u w:val="single"/>
        </w:rPr>
        <w:t xml:space="preserve">  </w:t>
      </w:r>
      <w:r>
        <w:rPr>
          <w:rFonts w:hint="eastAsia" w:ascii="宋体" w:hAnsi="宋体" w:cs="宋体"/>
          <w:szCs w:val="21"/>
        </w:rPr>
        <w:t xml:space="preserve">小时。</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3.3若货物故障在检修8工作小时后仍无法排除，乙方应在48小时内免费提供不低于故障货物规格型号档次的备用货物供甲方使用，直至故障货物修复。</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3.4 所有货物保修服务方式均为乙方上门保修，即由乙方派员到货物使用现场维修，由此产生的一切费用均由乙方承担。</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4、保修期届满后，双方可另行签订维护保养合同。</w:t>
      </w:r>
      <w:r>
        <w:rPr>
          <w:rFonts w:hint="eastAsia" w:ascii="宋体" w:hAnsi="宋体" w:cs="宋体"/>
          <w:szCs w:val="21"/>
        </w:rPr>
      </w:r>
      <w:r/>
    </w:p>
    <w:p>
      <w:pPr>
        <w:pStyle w:val="1484"/>
        <w:ind w:firstLine="560"/>
        <w:jc w:val="left"/>
        <w:spacing w:line="360" w:lineRule="auto"/>
        <w:rPr>
          <w:rFonts w:hint="eastAsia" w:ascii="宋体" w:hAnsi="宋体" w:cs="宋体"/>
          <w:b/>
          <w:szCs w:val="21"/>
        </w:rPr>
      </w:pPr>
      <w:r>
        <w:rPr>
          <w:rFonts w:hint="eastAsia" w:ascii="宋体" w:hAnsi="宋体" w:cs="宋体"/>
          <w:b/>
          <w:szCs w:val="21"/>
        </w:rPr>
        <w:t xml:space="preserve">第十二条 合同的变更、终止与转让</w:t>
      </w:r>
      <w:r>
        <w:rPr>
          <w:rFonts w:hint="eastAsia" w:ascii="宋体" w:hAnsi="宋体" w:cs="宋体"/>
          <w:b/>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1、按照《中华人民共和国政府采购法》第50条规定，本合同一经签订，除本合同约定外，甲乙双方不得擅自变更、中止或终止。</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2、双方除非事先得到对方的书面同意或本合同另有约定，任何一方不得将合同项下的任何权利、义务、责任转让给任何第三方。</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3、乙方逾期未完成约定义务超过</w:t>
      </w:r>
      <w:r>
        <w:rPr>
          <w:rFonts w:hint="eastAsia" w:ascii="宋体" w:hAnsi="宋体" w:cs="宋体"/>
          <w:szCs w:val="21"/>
          <w:u w:val="single"/>
        </w:rPr>
        <w:t xml:space="preserve">  </w:t>
      </w:r>
      <w:r>
        <w:rPr>
          <w:rFonts w:hint="eastAsia" w:ascii="宋体" w:hAnsi="宋体" w:cs="宋体"/>
          <w:szCs w:val="21"/>
        </w:rPr>
        <w:t xml:space="preserve">工作日，甲方有权单方解除本合同。</w:t>
      </w:r>
      <w:r>
        <w:rPr>
          <w:rFonts w:hint="eastAsia" w:ascii="宋体" w:hAnsi="宋体" w:cs="宋体"/>
          <w:szCs w:val="21"/>
        </w:rPr>
      </w:r>
      <w:r/>
    </w:p>
    <w:p>
      <w:pPr>
        <w:pStyle w:val="1484"/>
        <w:ind w:left="1" w:firstLine="420"/>
        <w:jc w:val="left"/>
        <w:spacing w:line="360" w:lineRule="auto"/>
        <w:rPr>
          <w:rFonts w:hint="eastAsia" w:ascii="宋体" w:hAnsi="宋体" w:cs="宋体"/>
          <w:szCs w:val="21"/>
        </w:rPr>
      </w:pPr>
      <w:r>
        <w:rPr>
          <w:rFonts w:hint="eastAsia" w:ascii="宋体" w:hAnsi="宋体" w:cs="宋体"/>
          <w:szCs w:val="21"/>
        </w:rPr>
        <w:t xml:space="preserve">4、乙方履行本合同约定义务时，未达到甲方要求，修改或整改超过</w:t>
      </w:r>
      <w:r>
        <w:rPr>
          <w:rFonts w:hint="eastAsia" w:ascii="宋体" w:hAnsi="宋体" w:cs="宋体"/>
          <w:szCs w:val="21"/>
          <w:u w:val="single"/>
        </w:rPr>
        <w:t xml:space="preserve">     </w:t>
      </w:r>
      <w:r>
        <w:rPr>
          <w:rFonts w:hint="eastAsia" w:ascii="宋体" w:hAnsi="宋体" w:cs="宋体"/>
          <w:szCs w:val="21"/>
        </w:rPr>
        <w:t xml:space="preserve">次，仍然无法达到甲方要求，甲方有权单方解除本合同。</w:t>
      </w:r>
      <w:r>
        <w:rPr>
          <w:rFonts w:hint="eastAsia" w:ascii="宋体" w:hAnsi="宋体" w:cs="宋体"/>
          <w:szCs w:val="21"/>
        </w:rPr>
      </w:r>
      <w:r/>
    </w:p>
    <w:p>
      <w:pPr>
        <w:pStyle w:val="1484"/>
        <w:ind w:firstLine="560"/>
        <w:jc w:val="left"/>
        <w:spacing w:line="360" w:lineRule="auto"/>
        <w:rPr>
          <w:rFonts w:hint="eastAsia" w:ascii="宋体" w:hAnsi="宋体" w:cs="宋体"/>
          <w:b/>
          <w:szCs w:val="21"/>
        </w:rPr>
      </w:pPr>
      <w:r>
        <w:rPr>
          <w:rFonts w:hint="eastAsia" w:ascii="宋体" w:hAnsi="宋体" w:cs="宋体"/>
          <w:b/>
          <w:szCs w:val="21"/>
        </w:rPr>
        <w:t xml:space="preserve">第十三条　违约责任</w:t>
      </w:r>
      <w:r>
        <w:rPr>
          <w:rFonts w:hint="eastAsia" w:ascii="宋体" w:hAnsi="宋体" w:cs="宋体"/>
          <w:b/>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1、甲方无正当理由拒收货物的，甲方向乙方偿付拒收本合同约定总价款的</w:t>
      </w:r>
      <w:r>
        <w:rPr>
          <w:rFonts w:hint="eastAsia" w:ascii="宋体" w:hAnsi="宋体" w:cs="宋体"/>
          <w:szCs w:val="21"/>
          <w:u w:val="single"/>
        </w:rPr>
        <w:t xml:space="preserve">  </w:t>
      </w:r>
      <w:r>
        <w:rPr>
          <w:rFonts w:hint="eastAsia" w:ascii="宋体" w:hAnsi="宋体" w:cs="宋体"/>
          <w:szCs w:val="21"/>
        </w:rPr>
        <w:t xml:space="preserve">违约金。</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2、甲方无故逾期验收和办理价款支付手续的，甲方应按逾期付款总额部分每日</w:t>
      </w:r>
      <w:r>
        <w:rPr>
          <w:rFonts w:hint="eastAsia" w:ascii="宋体" w:hAnsi="宋体" w:cs="宋体"/>
          <w:szCs w:val="21"/>
          <w:u w:val="single"/>
        </w:rPr>
        <w:t xml:space="preserve">    </w:t>
      </w:r>
      <w:r>
        <w:rPr>
          <w:rFonts w:hint="eastAsia" w:ascii="宋体" w:hAnsi="宋体" w:cs="宋体"/>
          <w:szCs w:val="21"/>
        </w:rPr>
        <w:t xml:space="preserve">计算，向乙方支付违约金，但累计滞纳金总额不超过欠款总额的</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3、乙方逾期交付货物的，乙方应按逾期交货部分总价款每日</w:t>
      </w:r>
      <w:r>
        <w:rPr>
          <w:rFonts w:hint="eastAsia" w:ascii="宋体" w:hAnsi="宋体" w:cs="宋体"/>
          <w:szCs w:val="21"/>
          <w:u w:val="single"/>
        </w:rPr>
        <w:t xml:space="preserve">  </w:t>
      </w:r>
      <w:r>
        <w:rPr>
          <w:rFonts w:hint="eastAsia" w:ascii="宋体" w:hAnsi="宋体" w:cs="宋体"/>
          <w:szCs w:val="21"/>
        </w:rPr>
        <w:t xml:space="preserve">向甲方支付违约金，由甲方从待付价款中直接扣除；逾期超过约定日期</w:t>
      </w:r>
      <w:r>
        <w:rPr>
          <w:rFonts w:hint="eastAsia" w:ascii="宋体" w:hAnsi="宋体" w:cs="宋体"/>
          <w:szCs w:val="21"/>
          <w:u w:val="single"/>
        </w:rPr>
        <w:t xml:space="preserve">    </w:t>
      </w:r>
      <w:r>
        <w:rPr>
          <w:rFonts w:hint="eastAsia" w:ascii="宋体" w:hAnsi="宋体" w:cs="宋体"/>
          <w:szCs w:val="21"/>
        </w:rPr>
        <w:t xml:space="preserve">工作日不能交货的，甲方可解除本合同。</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4、如乙方不能交付货物，甲方有权扣留全部履约保证金；同时乙方应向甲方支付合同总价</w:t>
      </w:r>
      <w:r>
        <w:rPr>
          <w:rFonts w:hint="eastAsia" w:ascii="宋体" w:hAnsi="宋体" w:cs="宋体"/>
          <w:szCs w:val="21"/>
          <w:u w:val="single"/>
        </w:rPr>
        <w:t xml:space="preserve">    </w:t>
      </w:r>
      <w:r>
        <w:rPr>
          <w:rFonts w:hint="eastAsia" w:ascii="宋体" w:hAnsi="宋体" w:cs="宋体"/>
          <w:szCs w:val="21"/>
        </w:rPr>
        <w:t xml:space="preserve">的违约金。</w:t>
      </w:r>
      <w:r>
        <w:rPr>
          <w:rFonts w:hint="eastAsia" w:ascii="宋体" w:hAnsi="宋体" w:cs="宋体"/>
          <w:szCs w:val="21"/>
        </w:rPr>
      </w:r>
      <w:r/>
    </w:p>
    <w:p>
      <w:pPr>
        <w:pStyle w:val="1484"/>
        <w:ind w:left="420" w:firstLine="136"/>
        <w:jc w:val="left"/>
        <w:spacing w:line="360" w:lineRule="auto"/>
        <w:rPr>
          <w:rFonts w:hint="eastAsia" w:ascii="宋体" w:hAnsi="宋体" w:cs="宋体"/>
          <w:szCs w:val="21"/>
        </w:rPr>
      </w:pPr>
      <w:r>
        <w:rPr>
          <w:rFonts w:hint="eastAsia" w:ascii="宋体" w:hAnsi="宋体" w:cs="宋体"/>
          <w:szCs w:val="21"/>
        </w:rPr>
        <w:t xml:space="preserve">5、乙方因逾期交货或因其他违约行为导致甲方解除合同的，乙方应向甲方支付本合同约定总价款</w:t>
      </w:r>
      <w:r>
        <w:rPr>
          <w:rFonts w:hint="eastAsia" w:ascii="宋体" w:hAnsi="宋体" w:cs="宋体"/>
          <w:szCs w:val="21"/>
          <w:u w:val="single"/>
        </w:rPr>
        <w:t xml:space="preserve">  </w:t>
      </w:r>
      <w:r>
        <w:rPr>
          <w:rFonts w:hint="eastAsia" w:ascii="宋体" w:hAnsi="宋体" w:cs="宋体"/>
          <w:szCs w:val="21"/>
        </w:rPr>
        <w:t xml:space="preserve">的违约金，如造成甲方损失超过违约金的，超出部分由乙方继续承担赔偿责任。</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6、乙方所交的货物品种、型号、规格、技术参数、质量不符合合同约定及招投标文件规定的标准的，甲方有权拒收该货物，乙方应按本合同总价款的</w:t>
      </w:r>
      <w:r>
        <w:rPr>
          <w:rFonts w:hint="eastAsia" w:ascii="宋体" w:hAnsi="宋体" w:cs="宋体"/>
          <w:szCs w:val="21"/>
          <w:u w:val="single"/>
        </w:rPr>
        <w:t xml:space="preserve">  </w:t>
      </w:r>
      <w:r>
        <w:rPr>
          <w:rFonts w:hint="eastAsia" w:ascii="宋体" w:hAnsi="宋体" w:cs="宋体"/>
          <w:szCs w:val="21"/>
        </w:rPr>
        <w:t xml:space="preserve">向甲方支付违约金。乙方愿意更换货物但逾期交货的，按乙方逾期交货处理。乙方拒绝更换货物的，甲方可以单方面解除合同。</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7、在乙方承诺的或国家规定的质量保证期内（取两者中最长的期限），如经乙方两次维修或更换，货物仍不能达到合同约定的质量标准，甲方有权退货，乙方应退回全部货款，并按第4款处理，同时，乙方还须赔偿甲方因此遭受的损失。</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8、乙方未按本合同第九条的规定向甲方交付履约保证金的，应按应交付履约保证金的</w:t>
      </w:r>
      <w:r>
        <w:rPr>
          <w:rFonts w:hint="eastAsia" w:ascii="宋体" w:hAnsi="宋体" w:cs="宋体"/>
          <w:szCs w:val="21"/>
          <w:u w:val="single"/>
        </w:rPr>
        <w:t xml:space="preserve">   </w:t>
      </w:r>
      <w:r>
        <w:rPr>
          <w:rFonts w:hint="eastAsia" w:ascii="宋体" w:hAnsi="宋体" w:cs="宋体"/>
          <w:szCs w:val="21"/>
        </w:rPr>
        <w:t xml:space="preserve">%向甲方支付违约金，该违约金的支付不影响乙方应承担的其他违约责任。</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9、乙方未按本合同的规定和“服务承诺”提供售后服务的，应按合同总价款的</w:t>
      </w:r>
      <w:r>
        <w:rPr>
          <w:rFonts w:hint="eastAsia" w:ascii="宋体" w:hAnsi="宋体" w:cs="宋体"/>
          <w:szCs w:val="21"/>
          <w:u w:val="single"/>
        </w:rPr>
        <w:t xml:space="preserve">  </w:t>
      </w:r>
      <w:r>
        <w:rPr>
          <w:rFonts w:hint="eastAsia" w:ascii="宋体" w:hAnsi="宋体" w:cs="宋体"/>
          <w:szCs w:val="21"/>
        </w:rPr>
        <w:t xml:space="preserve">%向甲方承担违约责任。</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10、乙方在承担上述5-8款一项或多项违约责任后，仍应继续履行合同规定的义务（甲方解除合同的除外）。甲方未能及时追究乙方的任何一项违约责任并不表明甲方放弃追究乙方该项或其他违约责任。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11、乙方提供的货物如侵犯了第三方合法权益而引发的任何纠纷或诉讼，均由乙方负责交涉并承担全部责任。</w:t>
      </w:r>
      <w:r>
        <w:rPr>
          <w:rFonts w:hint="eastAsia" w:ascii="宋体" w:hAnsi="宋体" w:cs="宋体"/>
          <w:szCs w:val="21"/>
        </w:rPr>
      </w:r>
      <w:r/>
    </w:p>
    <w:p>
      <w:pPr>
        <w:pStyle w:val="1484"/>
        <w:ind w:firstLine="560"/>
        <w:jc w:val="left"/>
        <w:spacing w:line="360" w:lineRule="auto"/>
        <w:rPr>
          <w:rFonts w:hint="eastAsia" w:ascii="宋体" w:hAnsi="宋体" w:cs="宋体"/>
          <w:b/>
          <w:szCs w:val="21"/>
        </w:rPr>
      </w:pPr>
      <w:r>
        <w:rPr>
          <w:rFonts w:hint="eastAsia" w:ascii="宋体" w:hAnsi="宋体" w:cs="宋体"/>
          <w:b/>
          <w:szCs w:val="21"/>
        </w:rPr>
        <w:t xml:space="preserve">第十四条 保密条款</w:t>
      </w:r>
      <w:r>
        <w:rPr>
          <w:rFonts w:hint="eastAsia" w:ascii="宋体" w:hAnsi="宋体" w:cs="宋体"/>
          <w:b/>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1、双方对合作及本合同的具体内容负有保密责任。未经对方事先书面同意，任何一方不得将双方的合作及本合同中涉及的商业秘密披露给任何第三方。</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本条所指的商业秘密是指以各种有形或无形形式存贮的观点、计划和信息，包括但不限于：技术或商业性质的信息、标语口号、版权物品、</w:t>
      </w:r>
      <w:r>
        <w:rPr>
          <w:rFonts w:hint="eastAsia" w:ascii="宋体" w:hAnsi="宋体" w:cs="宋体"/>
          <w:szCs w:val="21"/>
        </w:rPr>
        <w:fldChar w:fldCharType="begin"/>
      </w:r>
      <w:r>
        <w:rPr>
          <w:rFonts w:hint="eastAsia" w:ascii="宋体" w:hAnsi="宋体" w:cs="宋体"/>
          <w:szCs w:val="21"/>
        </w:rPr>
        <w:instrText xml:space="preserve">HYPERLINK "http://www.xuexila.com/diannao/"</w:instrText>
      </w:r>
      <w:r>
        <w:rPr>
          <w:rFonts w:hint="eastAsia" w:ascii="宋体" w:hAnsi="宋体" w:cs="宋体"/>
          <w:szCs w:val="21"/>
        </w:rPr>
        <w:fldChar w:fldCharType="separate"/>
      </w:r>
      <w:r>
        <w:rPr>
          <w:rFonts w:hint="eastAsia" w:ascii="宋体" w:hAnsi="宋体" w:cs="宋体"/>
          <w:szCs w:val="21"/>
        </w:rPr>
        <w:t xml:space="preserve">计算机</w:t>
      </w:r>
      <w:r>
        <w:rPr>
          <w:rFonts w:hint="eastAsia" w:ascii="宋体" w:hAnsi="宋体" w:cs="宋体"/>
          <w:szCs w:val="21"/>
        </w:rPr>
        <w:fldChar w:fldCharType="end"/>
      </w:r>
      <w:r>
        <w:rPr>
          <w:rFonts w:hint="eastAsia" w:ascii="宋体" w:hAnsi="宋体" w:cs="宋体"/>
          <w:szCs w:val="21"/>
        </w:rPr>
        <w:t xml:space="preserve">软件、源代码、目标代码、技术、技术诀窍、数据、营销企划、摘要、报告及邮件列表等。</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2、本合同如有任何部分被视为无效或不可执行，均不影响保密条款的有效性。</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3、本条约定在本合同终止履行后两年内仍然有效。</w:t>
      </w:r>
      <w:r>
        <w:rPr>
          <w:rFonts w:hint="eastAsia" w:ascii="宋体" w:hAnsi="宋体" w:cs="宋体"/>
          <w:szCs w:val="21"/>
        </w:rPr>
      </w:r>
      <w:r/>
    </w:p>
    <w:p>
      <w:pPr>
        <w:pStyle w:val="1484"/>
        <w:ind w:firstLine="560"/>
        <w:jc w:val="left"/>
        <w:spacing w:line="360" w:lineRule="auto"/>
        <w:rPr>
          <w:rFonts w:hint="eastAsia" w:ascii="宋体" w:hAnsi="宋体" w:cs="宋体"/>
          <w:b/>
          <w:szCs w:val="21"/>
        </w:rPr>
      </w:pPr>
      <w:r>
        <w:rPr>
          <w:rFonts w:hint="eastAsia" w:ascii="宋体" w:hAnsi="宋体" w:cs="宋体"/>
          <w:b/>
          <w:szCs w:val="21"/>
        </w:rPr>
        <w:t xml:space="preserve">第十五条 不可抗力</w:t>
      </w:r>
      <w:r>
        <w:rPr>
          <w:rFonts w:hint="eastAsia" w:ascii="宋体" w:hAnsi="宋体" w:cs="宋体"/>
          <w:b/>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2、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rPr>
          <w:rFonts w:hint="eastAsia" w:ascii="宋体" w:hAnsi="宋体" w:cs="宋体"/>
          <w:szCs w:val="21"/>
        </w:rPr>
      </w:r>
      <w:r/>
    </w:p>
    <w:p>
      <w:pPr>
        <w:pStyle w:val="1484"/>
        <w:ind w:firstLine="560"/>
        <w:jc w:val="left"/>
        <w:spacing w:line="360" w:lineRule="auto"/>
        <w:rPr>
          <w:rFonts w:hint="eastAsia" w:ascii="宋体" w:hAnsi="宋体" w:cs="宋体"/>
          <w:b/>
          <w:szCs w:val="21"/>
        </w:rPr>
      </w:pPr>
      <w:r>
        <w:rPr>
          <w:rFonts w:hint="eastAsia" w:ascii="宋体" w:hAnsi="宋体" w:cs="宋体"/>
          <w:b/>
          <w:szCs w:val="21"/>
        </w:rPr>
        <w:t xml:space="preserve">第十六条  争议的解决</w:t>
      </w:r>
      <w:r>
        <w:rPr>
          <w:rFonts w:hint="eastAsia" w:ascii="宋体" w:hAnsi="宋体" w:cs="宋体"/>
          <w:b/>
          <w:szCs w:val="21"/>
        </w:rPr>
      </w:r>
      <w:r/>
    </w:p>
    <w:p>
      <w:pPr>
        <w:pStyle w:val="1670"/>
        <w:ind w:firstLine="315"/>
        <w:jc w:val="left"/>
        <w:spacing w:line="360" w:lineRule="auto"/>
        <w:rPr>
          <w:rFonts w:hint="eastAsia" w:ascii="宋体" w:hAnsi="宋体" w:cs="宋体"/>
          <w:szCs w:val="21"/>
        </w:rPr>
      </w:pPr>
      <w:r>
        <w:rPr>
          <w:rFonts w:hint="eastAsia" w:ascii="宋体" w:hAnsi="宋体" w:cs="宋体"/>
          <w:szCs w:val="21"/>
        </w:rPr>
        <w:t xml:space="preserve">1、因货物质量问题发生争议，由质量技术监督部门或质量技术监督部门指定的质量鉴定机构进行质量鉴定。货物符合标准的，鉴定费由甲方承担；货物不符合质量标准的，鉴定费由乙方承担。</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2、因履行本合同引起的或与本合同有关的争议，甲、乙双方应首先通过友好协商解决，如果协商不能解决争议，则采取以下第（ 1 ）种方式解决争议：</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（1）向甲方所在地有管辖权的人民法院提起诉讼；</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t xml:space="preserve">（2）向仲裁委员会按其仲裁规则申请仲裁。</w:t>
      </w:r>
      <w:r>
        <w:rPr>
          <w:rFonts w:hint="eastAsia" w:ascii="宋体" w:hAnsi="宋体" w:cs="宋体"/>
          <w:szCs w:val="21"/>
        </w:rPr>
      </w:r>
      <w:r/>
    </w:p>
    <w:p>
      <w:pPr>
        <w:pStyle w:val="1484"/>
        <w:ind w:firstLine="560"/>
        <w:jc w:val="left"/>
        <w:spacing w:line="360" w:lineRule="auto"/>
        <w:rPr>
          <w:rFonts w:hint="eastAsia" w:ascii="宋体" w:hAnsi="宋体" w:cs="宋体"/>
          <w:b/>
          <w:szCs w:val="21"/>
        </w:rPr>
      </w:pPr>
      <w:r>
        <w:rPr>
          <w:rFonts w:hint="eastAsia" w:ascii="宋体" w:hAnsi="宋体" w:cs="宋体"/>
          <w:b/>
          <w:szCs w:val="21"/>
        </w:rPr>
        <w:t xml:space="preserve">第十七条  合同生效及其他</w:t>
      </w:r>
      <w:r>
        <w:rPr>
          <w:rFonts w:hint="eastAsia" w:ascii="宋体" w:hAnsi="宋体" w:cs="宋体"/>
          <w:b/>
          <w:szCs w:val="21"/>
        </w:rPr>
      </w:r>
      <w:r/>
    </w:p>
    <w:p>
      <w:pPr>
        <w:pStyle w:val="1670"/>
        <w:ind w:firstLine="315"/>
        <w:jc w:val="left"/>
        <w:spacing w:line="360" w:lineRule="auto"/>
        <w:rPr>
          <w:rFonts w:hint="eastAsia" w:ascii="宋体" w:hAnsi="宋体" w:cs="宋体"/>
          <w:szCs w:val="21"/>
        </w:rPr>
      </w:pPr>
      <w:r>
        <w:rPr>
          <w:rFonts w:hint="eastAsia" w:ascii="宋体" w:hAnsi="宋体" w:cs="宋体"/>
          <w:szCs w:val="21"/>
        </w:rPr>
        <w:t xml:space="preserve">1、合同附件是本合同不可分割组成部分，与本合同具有同等法律效力。</w:t>
      </w:r>
      <w:r>
        <w:rPr>
          <w:rFonts w:hint="eastAsia" w:ascii="宋体" w:hAnsi="宋体" w:cs="宋体"/>
          <w:szCs w:val="21"/>
        </w:rPr>
      </w:r>
      <w:r/>
    </w:p>
    <w:p>
      <w:pPr>
        <w:pStyle w:val="1670"/>
        <w:ind w:firstLine="315"/>
        <w:jc w:val="left"/>
        <w:spacing w:line="360" w:lineRule="auto"/>
        <w:rPr>
          <w:rFonts w:hint="eastAsia" w:ascii="宋体" w:hAnsi="宋体" w:cs="宋体"/>
          <w:szCs w:val="21"/>
        </w:rPr>
      </w:pPr>
      <w:r>
        <w:rPr>
          <w:rFonts w:hint="eastAsia" w:ascii="宋体" w:hAnsi="宋体" w:cs="宋体"/>
          <w:szCs w:val="21"/>
        </w:rPr>
        <w:t xml:space="preserve">2、本合同未尽事宜，由甲乙双方协商后产生书面文件，作为本合同的补充条款，具备与本合同同等法律效力。 </w:t>
      </w:r>
      <w:r>
        <w:rPr>
          <w:rFonts w:hint="eastAsia" w:ascii="宋体" w:hAnsi="宋体" w:cs="宋体"/>
          <w:szCs w:val="21"/>
        </w:rPr>
      </w:r>
      <w:r/>
    </w:p>
    <w:p>
      <w:pPr>
        <w:pStyle w:val="1670"/>
        <w:ind w:firstLine="315"/>
        <w:jc w:val="left"/>
        <w:spacing w:line="360" w:lineRule="auto"/>
        <w:rPr>
          <w:rFonts w:hint="eastAsia" w:ascii="宋体" w:hAnsi="宋体" w:cs="宋体"/>
          <w:szCs w:val="21"/>
        </w:rPr>
      </w:pPr>
      <w:r>
        <w:rPr>
          <w:rFonts w:hint="eastAsia" w:ascii="宋体" w:hAnsi="宋体" w:cs="宋体"/>
          <w:szCs w:val="21"/>
        </w:rPr>
        <w:t xml:space="preserve">3、对本合同内容的任何修改和变更需要用书面形式，并经双方签字盖章确认后生效。</w:t>
      </w:r>
      <w:r>
        <w:rPr>
          <w:rFonts w:hint="eastAsia" w:ascii="宋体" w:hAnsi="宋体" w:cs="宋体"/>
          <w:szCs w:val="21"/>
        </w:rPr>
      </w:r>
      <w:r/>
    </w:p>
    <w:p>
      <w:pPr>
        <w:pStyle w:val="1670"/>
        <w:ind w:firstLine="315"/>
        <w:jc w:val="left"/>
        <w:spacing w:line="360" w:lineRule="auto"/>
        <w:rPr>
          <w:rFonts w:hint="eastAsia" w:ascii="宋体" w:hAnsi="宋体" w:cs="宋体"/>
          <w:szCs w:val="21"/>
        </w:rPr>
      </w:pPr>
      <w:r>
        <w:rPr>
          <w:rFonts w:hint="eastAsia" w:ascii="宋体" w:hAnsi="宋体" w:cs="宋体"/>
          <w:szCs w:val="21"/>
        </w:rPr>
        <w:t xml:space="preserve">4、本合同一式份，甲方份，乙方份。本合同自甲乙双方签字盖章后生效。</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16"/>
        <w:gridCol w:w="4517"/>
      </w:tblGrid>
      <w:tr>
        <w:trPr>
          <w:cantSplit/>
          <w:trHeight w:val="2760"/>
        </w:trPr>
        <w:tc>
          <w:tcPr>
            <w:tcW w:w="4516" w:type="dxa"/>
            <w:vAlign w:val="center"/>
            <w:textDirection w:val="lrTb"/>
            <w:noWrap w:val="false"/>
          </w:tcPr>
          <w:p>
            <w:pPr>
              <w:pStyle w:val="1484"/>
              <w:jc w:val="left"/>
              <w:spacing w:line="360" w:lineRule="auto"/>
              <w:rPr>
                <w:rFonts w:hint="eastAsia" w:ascii="宋体" w:hAnsi="宋体" w:cs="宋体"/>
                <w:szCs w:val="21"/>
              </w:rPr>
            </w:pPr>
            <w:r>
              <w:rPr>
                <w:rFonts w:hint="eastAsia" w:ascii="宋体" w:hAnsi="宋体" w:cs="宋体"/>
                <w:szCs w:val="21"/>
              </w:rPr>
              <w:t xml:space="preserve">甲方（公章）</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r>
            <w:r/>
          </w:p>
          <w:p>
            <w:pPr>
              <w:pStyle w:val="1484"/>
              <w:ind w:firstLine="525"/>
              <w:jc w:val="left"/>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c>
          <w:tcPr>
            <w:tcW w:w="4517" w:type="dxa"/>
            <w:vAlign w:val="center"/>
            <w:textDirection w:val="lrTb"/>
            <w:noWrap w:val="false"/>
          </w:tcPr>
          <w:p>
            <w:pPr>
              <w:pStyle w:val="1484"/>
              <w:jc w:val="left"/>
              <w:spacing w:line="360" w:lineRule="auto"/>
              <w:rPr>
                <w:rFonts w:hint="eastAsia" w:ascii="宋体" w:hAnsi="宋体" w:cs="宋体"/>
                <w:szCs w:val="21"/>
              </w:rPr>
            </w:pPr>
            <w:r>
              <w:rPr>
                <w:rFonts w:hint="eastAsia" w:ascii="宋体" w:hAnsi="宋体" w:cs="宋体"/>
                <w:szCs w:val="21"/>
              </w:rPr>
              <w:t xml:space="preserve">乙方（公章）</w:t>
            </w: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r>
            <w:r/>
          </w:p>
          <w:p>
            <w:pPr>
              <w:pStyle w:val="1484"/>
              <w:ind w:firstLine="560"/>
              <w:jc w:val="left"/>
              <w:spacing w:line="360" w:lineRule="auto"/>
              <w:rPr>
                <w:rFonts w:hint="eastAsia" w:ascii="宋体" w:hAnsi="宋体" w:cs="宋体"/>
                <w:szCs w:val="21"/>
              </w:rPr>
            </w:pPr>
            <w:r>
              <w:rPr>
                <w:rFonts w:hint="eastAsia" w:ascii="宋体" w:hAnsi="宋体" w:cs="宋体"/>
                <w:szCs w:val="21"/>
              </w:rPr>
            </w:r>
            <w:r/>
          </w:p>
          <w:p>
            <w:pPr>
              <w:pStyle w:val="1484"/>
              <w:ind w:firstLine="525"/>
              <w:jc w:val="left"/>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r>
      <w:tr>
        <w:trPr>
          <w:cantSplit/>
          <w:trHeight w:val="593"/>
        </w:trPr>
        <w:tc>
          <w:tcPr>
            <w:tcW w:w="4516" w:type="dxa"/>
            <w:vAlign w:val="center"/>
            <w:textDirection w:val="lrTb"/>
            <w:noWrap w:val="false"/>
          </w:tcPr>
          <w:p>
            <w:pPr>
              <w:pStyle w:val="1484"/>
              <w:jc w:val="left"/>
              <w:spacing w:line="360" w:lineRule="auto"/>
              <w:rPr>
                <w:rFonts w:hint="eastAsia" w:ascii="宋体" w:hAnsi="宋体" w:cs="宋体"/>
                <w:szCs w:val="21"/>
              </w:rPr>
            </w:pPr>
            <w:r>
              <w:rPr>
                <w:rFonts w:hint="eastAsia" w:ascii="宋体" w:hAnsi="宋体" w:cs="宋体"/>
                <w:szCs w:val="21"/>
              </w:rPr>
              <w:t xml:space="preserve">单位地址：</w:t>
            </w:r>
            <w:r>
              <w:rPr>
                <w:rFonts w:hint="eastAsia" w:ascii="宋体" w:hAnsi="宋体" w:cs="宋体"/>
                <w:szCs w:val="21"/>
              </w:rPr>
            </w:r>
            <w:r/>
          </w:p>
        </w:tc>
        <w:tc>
          <w:tcPr>
            <w:tcW w:w="4517" w:type="dxa"/>
            <w:vAlign w:val="center"/>
            <w:textDirection w:val="lrTb"/>
            <w:noWrap w:val="false"/>
          </w:tcPr>
          <w:p>
            <w:pPr>
              <w:pStyle w:val="1484"/>
              <w:jc w:val="left"/>
              <w:spacing w:line="360" w:lineRule="auto"/>
              <w:rPr>
                <w:rFonts w:hint="eastAsia" w:ascii="宋体" w:hAnsi="宋体" w:cs="宋体"/>
                <w:szCs w:val="21"/>
              </w:rPr>
            </w:pPr>
            <w:r>
              <w:rPr>
                <w:rFonts w:hint="eastAsia" w:ascii="宋体" w:hAnsi="宋体" w:cs="宋体"/>
                <w:szCs w:val="21"/>
              </w:rPr>
              <w:t xml:space="preserve">单位地址：</w:t>
            </w:r>
            <w:r>
              <w:rPr>
                <w:rFonts w:hint="eastAsia" w:ascii="宋体" w:hAnsi="宋体" w:cs="宋体"/>
                <w:szCs w:val="21"/>
              </w:rPr>
            </w:r>
            <w:r/>
          </w:p>
        </w:tc>
      </w:tr>
      <w:tr>
        <w:trPr>
          <w:cantSplit/>
          <w:trHeight w:val="1175"/>
        </w:trPr>
        <w:tc>
          <w:tcPr>
            <w:tcW w:w="4516" w:type="dxa"/>
            <w:vAlign w:val="center"/>
            <w:textDirection w:val="lrTb"/>
            <w:noWrap w:val="false"/>
          </w:tcPr>
          <w:p>
            <w:pPr>
              <w:pStyle w:val="1484"/>
              <w:jc w:val="left"/>
              <w:spacing w:before="156" w:line="360" w:lineRule="auto"/>
              <w:rPr>
                <w:rFonts w:hint="eastAsia"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rPr>
            </w:r>
            <w:r/>
          </w:p>
          <w:p>
            <w:pPr>
              <w:pStyle w:val="1484"/>
              <w:jc w:val="left"/>
              <w:spacing w:line="360" w:lineRule="auto"/>
              <w:rPr>
                <w:rFonts w:hint="eastAsia" w:ascii="宋体" w:hAnsi="宋体" w:cs="宋体"/>
                <w:szCs w:val="21"/>
              </w:rPr>
            </w:pPr>
            <w:r>
              <w:rPr>
                <w:rFonts w:hint="eastAsia" w:ascii="宋体" w:hAnsi="宋体" w:cs="宋体"/>
                <w:szCs w:val="21"/>
              </w:rPr>
              <w:t xml:space="preserve">（签字）：</w:t>
            </w:r>
            <w:r>
              <w:rPr>
                <w:rFonts w:hint="eastAsia" w:ascii="宋体" w:hAnsi="宋体" w:cs="宋体"/>
                <w:szCs w:val="21"/>
              </w:rPr>
            </w:r>
            <w:r/>
          </w:p>
        </w:tc>
        <w:tc>
          <w:tcPr>
            <w:tcW w:w="4517" w:type="dxa"/>
            <w:vAlign w:val="center"/>
            <w:textDirection w:val="lrTb"/>
            <w:noWrap w:val="false"/>
          </w:tcPr>
          <w:p>
            <w:pPr>
              <w:pStyle w:val="1484"/>
              <w:jc w:val="left"/>
              <w:spacing w:before="156" w:line="360" w:lineRule="auto"/>
              <w:rPr>
                <w:rFonts w:hint="eastAsia"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rPr>
            </w:r>
            <w:r/>
          </w:p>
          <w:p>
            <w:pPr>
              <w:pStyle w:val="1484"/>
              <w:jc w:val="left"/>
              <w:spacing w:line="360" w:lineRule="auto"/>
              <w:rPr>
                <w:rFonts w:hint="eastAsia" w:ascii="宋体" w:hAnsi="宋体" w:cs="宋体"/>
                <w:szCs w:val="21"/>
              </w:rPr>
            </w:pPr>
            <w:r>
              <w:rPr>
                <w:rFonts w:hint="eastAsia" w:ascii="宋体" w:hAnsi="宋体" w:cs="宋体"/>
                <w:szCs w:val="21"/>
              </w:rPr>
              <w:t xml:space="preserve">（签字）：</w:t>
            </w:r>
            <w:r>
              <w:rPr>
                <w:rFonts w:hint="eastAsia" w:ascii="宋体" w:hAnsi="宋体" w:cs="宋体"/>
                <w:szCs w:val="21"/>
              </w:rPr>
            </w:r>
            <w:r/>
          </w:p>
        </w:tc>
      </w:tr>
      <w:tr>
        <w:trPr>
          <w:cantSplit/>
          <w:trHeight w:val="460"/>
        </w:trPr>
        <w:tc>
          <w:tcPr>
            <w:tcW w:w="4516"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tc>
        <w:tc>
          <w:tcPr>
            <w:tcW w:w="4517" w:type="dxa"/>
            <w:vAlign w:val="center"/>
            <w:textDirection w:val="lrTb"/>
            <w:noWrap w:val="false"/>
          </w:tcPr>
          <w:p>
            <w:pPr>
              <w:pStyle w:val="1484"/>
              <w:jc w:val="left"/>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tc>
      </w:tr>
      <w:tr>
        <w:trPr>
          <w:cantSplit/>
          <w:trHeight w:val="531"/>
        </w:trPr>
        <w:tc>
          <w:tcPr>
            <w:tcW w:w="4516"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电子邮箱：</w:t>
            </w:r>
            <w:r>
              <w:rPr>
                <w:rFonts w:hint="eastAsia" w:ascii="宋体" w:hAnsi="宋体" w:cs="宋体"/>
                <w:szCs w:val="21"/>
              </w:rPr>
            </w:r>
            <w:r/>
          </w:p>
        </w:tc>
        <w:tc>
          <w:tcPr>
            <w:tcW w:w="4517" w:type="dxa"/>
            <w:vAlign w:val="center"/>
            <w:textDirection w:val="lrTb"/>
            <w:noWrap w:val="false"/>
          </w:tcPr>
          <w:p>
            <w:pPr>
              <w:pStyle w:val="1484"/>
              <w:jc w:val="left"/>
              <w:spacing w:line="360" w:lineRule="auto"/>
              <w:rPr>
                <w:rFonts w:hint="eastAsia" w:ascii="宋体" w:hAnsi="宋体" w:cs="宋体"/>
                <w:szCs w:val="21"/>
              </w:rPr>
            </w:pPr>
            <w:r>
              <w:rPr>
                <w:rFonts w:hint="eastAsia" w:ascii="宋体" w:hAnsi="宋体" w:cs="宋体"/>
                <w:szCs w:val="21"/>
              </w:rPr>
              <w:t xml:space="preserve">电子邮箱：</w:t>
            </w:r>
            <w:r>
              <w:rPr>
                <w:rFonts w:hint="eastAsia" w:ascii="宋体" w:hAnsi="宋体" w:cs="宋体"/>
                <w:szCs w:val="21"/>
              </w:rPr>
            </w:r>
            <w:r/>
          </w:p>
        </w:tc>
      </w:tr>
      <w:tr>
        <w:trPr>
          <w:cantSplit/>
          <w:trHeight w:val="90"/>
        </w:trPr>
        <w:tc>
          <w:tcPr>
            <w:tcW w:w="4516" w:type="dxa"/>
            <w:vAlign w:val="center"/>
            <w:textDirection w:val="lrTb"/>
            <w:noWrap w:val="false"/>
          </w:tcPr>
          <w:p>
            <w:pPr>
              <w:pStyle w:val="1484"/>
              <w:spacing w:line="360" w:lineRule="auto"/>
              <w:rPr>
                <w:rFonts w:hint="eastAsia" w:ascii="宋体" w:hAnsi="宋体" w:cs="宋体"/>
                <w:szCs w:val="21"/>
                <w:u w:val="single"/>
              </w:rPr>
            </w:pPr>
            <w:r>
              <w:rPr>
                <w:rFonts w:hint="eastAsia" w:ascii="宋体" w:hAnsi="宋体" w:cs="宋体"/>
                <w:szCs w:val="21"/>
              </w:rPr>
              <w:t xml:space="preserve">开户银行：</w:t>
            </w:r>
            <w:r>
              <w:rPr>
                <w:rFonts w:hint="eastAsia" w:ascii="宋体" w:hAnsi="宋体" w:cs="宋体"/>
                <w:szCs w:val="21"/>
                <w:u w:val="single"/>
              </w:rPr>
            </w:r>
            <w:r/>
          </w:p>
        </w:tc>
        <w:tc>
          <w:tcPr>
            <w:tcW w:w="4517" w:type="dxa"/>
            <w:vAlign w:val="center"/>
            <w:textDirection w:val="lrTb"/>
            <w:noWrap w:val="false"/>
          </w:tcPr>
          <w:p>
            <w:pPr>
              <w:pStyle w:val="1484"/>
              <w:jc w:val="left"/>
              <w:spacing w:line="360"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rPr>
            </w:r>
            <w:r/>
          </w:p>
        </w:tc>
      </w:tr>
      <w:tr>
        <w:trPr>
          <w:cantSplit/>
          <w:trHeight w:val="489"/>
        </w:trPr>
        <w:tc>
          <w:tcPr>
            <w:tcW w:w="4516"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账号：</w:t>
            </w:r>
            <w:r>
              <w:rPr>
                <w:rFonts w:hint="eastAsia" w:ascii="宋体" w:hAnsi="宋体" w:cs="宋体"/>
                <w:szCs w:val="21"/>
              </w:rPr>
            </w:r>
            <w:r/>
          </w:p>
        </w:tc>
        <w:tc>
          <w:tcPr>
            <w:tcW w:w="4517" w:type="dxa"/>
            <w:vAlign w:val="center"/>
            <w:textDirection w:val="lrTb"/>
            <w:noWrap w:val="false"/>
          </w:tcPr>
          <w:p>
            <w:pPr>
              <w:pStyle w:val="1484"/>
              <w:jc w:val="left"/>
              <w:spacing w:line="360" w:lineRule="auto"/>
              <w:rPr>
                <w:rFonts w:hint="eastAsia" w:ascii="宋体" w:hAnsi="宋体" w:cs="宋体"/>
                <w:szCs w:val="21"/>
              </w:rPr>
            </w:pPr>
            <w:r>
              <w:rPr>
                <w:rFonts w:hint="eastAsia" w:ascii="宋体" w:hAnsi="宋体" w:cs="宋体"/>
                <w:szCs w:val="21"/>
              </w:rPr>
              <w:t xml:space="preserve">账号：</w:t>
            </w:r>
            <w:r>
              <w:rPr>
                <w:rFonts w:hint="eastAsia" w:ascii="宋体" w:hAnsi="宋体" w:cs="宋体"/>
                <w:szCs w:val="21"/>
              </w:rPr>
            </w:r>
            <w:r/>
          </w:p>
        </w:tc>
      </w:tr>
      <w:tr>
        <w:trPr>
          <w:cantSplit/>
          <w:trHeight w:val="377"/>
        </w:trPr>
        <w:tc>
          <w:tcPr>
            <w:tcW w:w="4516"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rPr>
            </w:r>
            <w:r/>
          </w:p>
        </w:tc>
        <w:tc>
          <w:tcPr>
            <w:tcW w:w="4517" w:type="dxa"/>
            <w:vAlign w:val="center"/>
            <w:textDirection w:val="lrTb"/>
            <w:noWrap w:val="false"/>
          </w:tcPr>
          <w:p>
            <w:pPr>
              <w:pStyle w:val="1484"/>
              <w:jc w:val="left"/>
              <w:spacing w:line="360"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rPr>
            </w:r>
            <w:r/>
          </w:p>
        </w:tc>
      </w:tr>
    </w:tbl>
    <w:p>
      <w:pPr>
        <w:pStyle w:val="1670"/>
        <w:ind w:firstLine="315"/>
        <w:jc w:val="left"/>
        <w:spacing w:line="360" w:lineRule="auto"/>
        <w:rPr>
          <w:rFonts w:hint="eastAsia" w:ascii="宋体" w:hAnsi="宋体" w:cs="宋体"/>
          <w:szCs w:val="21"/>
        </w:rPr>
      </w:pPr>
      <w:r>
        <w:rPr>
          <w:rFonts w:hint="eastAsia" w:ascii="宋体" w:hAnsi="宋体" w:cs="宋体"/>
          <w:szCs w:val="21"/>
        </w:rPr>
      </w:r>
      <w:r/>
    </w:p>
    <w:p>
      <w:pPr>
        <w:pStyle w:val="1484"/>
        <w:jc w:val="center"/>
        <w:spacing w:line="360" w:lineRule="auto"/>
        <w:rPr>
          <w:rFonts w:hint="eastAsia" w:ascii="宋体" w:hAnsi="宋体" w:cs="宋体"/>
          <w:b/>
          <w:szCs w:val="21"/>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b/>
          <w:szCs w:val="21"/>
        </w:rPr>
      </w:r>
      <w:r/>
    </w:p>
    <w:p>
      <w:pPr>
        <w:pStyle w:val="1484"/>
        <w:jc w:val="center"/>
        <w:spacing w:line="360" w:lineRule="auto"/>
        <w:rPr>
          <w:rFonts w:hint="eastAsia" w:ascii="宋体" w:hAnsi="宋体" w:cs="宋体"/>
          <w:b/>
          <w:szCs w:val="21"/>
        </w:rPr>
      </w:pPr>
      <w:r>
        <w:rPr>
          <w:rFonts w:hint="eastAsia" w:ascii="宋体" w:hAnsi="宋体" w:cs="宋体"/>
          <w:b/>
          <w:szCs w:val="21"/>
        </w:rPr>
        <w:t xml:space="preserve">合同附件</w:t>
      </w:r>
      <w:r>
        <w:rPr>
          <w:rFonts w:hint="eastAsia" w:ascii="宋体" w:hAnsi="宋体" w:cs="宋体"/>
          <w:b/>
          <w:szCs w:val="21"/>
        </w:rPr>
      </w:r>
      <w:r/>
    </w:p>
    <w:p>
      <w:pPr>
        <w:pStyle w:val="1484"/>
        <w:jc w:val="center"/>
        <w:spacing w:line="360" w:lineRule="auto"/>
        <w:rPr>
          <w:rFonts w:hint="eastAsia" w:ascii="宋体" w:hAnsi="宋体" w:cs="宋体"/>
          <w:b/>
          <w:szCs w:val="21"/>
        </w:rPr>
      </w:pPr>
      <w:r>
        <w:rPr>
          <w:rFonts w:hint="eastAsia" w:ascii="宋体" w:hAnsi="宋体" w:cs="宋体"/>
          <w:b/>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48"/>
        <w:gridCol w:w="4274"/>
      </w:tblGrid>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1、供应商承诺具体事项：</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2、售后服务具体事项：</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3、保修期责任：</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4、其他具体事项：</w:t>
            </w: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454" w:hRule="exact"/>
        </w:trPr>
        <w:tc>
          <w:tcPr>
            <w:gridSpan w:val="2"/>
            <w:tcW w:w="8522"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r>
            <w:r/>
          </w:p>
        </w:tc>
      </w:tr>
      <w:tr>
        <w:trPr>
          <w:trHeight w:val="2577"/>
        </w:trPr>
        <w:tc>
          <w:tcPr>
            <w:tcW w:w="4248"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甲方（公章）</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r>
            <w:r/>
          </w:p>
          <w:p>
            <w:pPr>
              <w:pStyle w:val="1484"/>
              <w:ind w:firstLine="525"/>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c>
          <w:tcPr>
            <w:tcW w:w="4274" w:type="dxa"/>
            <w:vAlign w:val="center"/>
            <w:textDirection w:val="lrTb"/>
            <w:noWrap w:val="false"/>
          </w:tcPr>
          <w:p>
            <w:pPr>
              <w:pStyle w:val="1484"/>
              <w:spacing w:line="360" w:lineRule="auto"/>
              <w:rPr>
                <w:rFonts w:hint="eastAsia" w:ascii="宋体" w:hAnsi="宋体" w:cs="宋体"/>
                <w:szCs w:val="21"/>
              </w:rPr>
            </w:pPr>
            <w:r>
              <w:rPr>
                <w:rFonts w:hint="eastAsia" w:ascii="宋体" w:hAnsi="宋体" w:cs="宋体"/>
                <w:szCs w:val="21"/>
              </w:rPr>
              <w:t xml:space="preserve">乙方（公章）</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r>
            <w:r/>
          </w:p>
          <w:p>
            <w:pPr>
              <w:pStyle w:val="1484"/>
              <w:ind w:firstLine="525"/>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r>
    </w:tbl>
    <w:p>
      <w:pPr>
        <w:pStyle w:val="1484"/>
        <w:jc w:val="left"/>
        <w:spacing w:line="360" w:lineRule="auto"/>
        <w:widowControl/>
        <w:rPr>
          <w:rFonts w:hint="eastAsia" w:ascii="宋体" w:hAnsi="宋体" w:cs="宋体"/>
          <w:b/>
          <w:szCs w:val="21"/>
        </w:rPr>
      </w:pPr>
      <w:r>
        <w:rPr>
          <w:rFonts w:hint="eastAsia" w:ascii="宋体" w:hAnsi="宋体" w:cs="宋体"/>
          <w:szCs w:val="21"/>
        </w:rPr>
        <w:t xml:space="preserve">注：售后服务事项填不下时可另加附页。</w:t>
      </w:r>
      <w:r>
        <w:rPr>
          <w:rFonts w:hint="eastAsia" w:ascii="宋体" w:hAnsi="宋体" w:cs="宋体"/>
          <w:b/>
          <w:szCs w:val="21"/>
        </w:rPr>
      </w:r>
      <w:r/>
    </w:p>
    <w:p>
      <w:pPr>
        <w:pStyle w:val="1484"/>
        <w:jc w:val="left"/>
        <w:spacing w:line="360" w:lineRule="auto"/>
        <w:widowControl/>
        <w:rPr>
          <w:rFonts w:hint="eastAsia" w:ascii="宋体" w:hAnsi="宋体" w:cs="宋体"/>
          <w:b/>
          <w:szCs w:val="21"/>
        </w:rPr>
      </w:pPr>
      <w:r>
        <w:rPr>
          <w:rFonts w:hint="eastAsia" w:ascii="宋体" w:hAnsi="宋体" w:cs="宋体"/>
          <w:b/>
          <w:szCs w:val="21"/>
        </w:rPr>
      </w:r>
      <w:r/>
    </w:p>
    <w:p>
      <w:pPr>
        <w:pStyle w:val="1484"/>
        <w:jc w:val="center"/>
        <w:spacing w:line="440" w:lineRule="exact"/>
        <w:rPr>
          <w:b/>
          <w:sz w:val="28"/>
          <w:szCs w:val="28"/>
        </w:rPr>
      </w:pPr>
      <w:r>
        <w:rPr>
          <w:b/>
          <w:sz w:val="28"/>
          <w:szCs w:val="28"/>
        </w:rPr>
      </w:r>
      <w:r/>
    </w:p>
    <w:p>
      <w:pPr>
        <w:pStyle w:val="1484"/>
        <w:ind w:left="1067"/>
        <w:spacing w:before="65" w:line="193" w:lineRule="auto"/>
        <w:rPr>
          <w:rFonts w:ascii="宋体" w:hAnsi="宋体" w:cs="宋体"/>
          <w:sz w:val="20"/>
        </w:rPr>
      </w:pPr>
      <w:r>
        <w:rPr>
          <w:sz w:val="2"/>
          <w:szCs w:val="2"/>
        </w:rPr>
        <w:br w:type="column"/>
      </w:r>
      <w:r>
        <w:rPr>
          <w:rFonts w:ascii="宋体" w:hAnsi="宋体" w:cs="宋体"/>
          <w:sz w:val="20"/>
        </w:rPr>
      </w:r>
      <w:r/>
    </w:p>
    <w:p>
      <w:pPr>
        <w:pStyle w:val="1484"/>
        <w:jc w:val="center"/>
        <w:spacing w:line="440" w:lineRule="exact"/>
        <w:rPr>
          <w:b/>
          <w:sz w:val="28"/>
          <w:szCs w:val="28"/>
        </w:rPr>
        <w:outlineLvl w:val="0"/>
      </w:pPr>
      <w:r/>
      <w:bookmarkStart w:id="234" w:name="_Toc19"/>
      <w:r/>
      <w:bookmarkStart w:id="235" w:name="_Toc26078"/>
      <w:r/>
      <w:bookmarkStart w:id="236" w:name="_Toc31382"/>
      <w:r>
        <w:rPr>
          <w:b/>
          <w:sz w:val="28"/>
          <w:szCs w:val="28"/>
        </w:rPr>
        <w:t xml:space="preserve">第六章 投标文件格式及附件</w:t>
      </w:r>
      <w:bookmarkEnd w:id="234"/>
      <w:r/>
      <w:bookmarkEnd w:id="235"/>
      <w:r/>
      <w:bookmarkEnd w:id="236"/>
      <w:r>
        <w:rPr>
          <w:b/>
          <w:sz w:val="28"/>
          <w:szCs w:val="28"/>
        </w:rPr>
      </w:r>
      <w:r/>
    </w:p>
    <w:p>
      <w:pPr>
        <w:pStyle w:val="1484"/>
        <w:spacing w:line="360" w:lineRule="auto"/>
        <w:rPr>
          <w:b/>
          <w:bCs/>
          <w:szCs w:val="21"/>
        </w:rPr>
      </w:pPr>
      <w:r>
        <w:rPr>
          <w:b/>
          <w:bCs/>
          <w:szCs w:val="21"/>
        </w:rPr>
        <w:t xml:space="preserve">注：</w:t>
      </w:r>
      <w:r>
        <w:rPr>
          <w:b/>
          <w:bCs/>
          <w:szCs w:val="21"/>
        </w:rPr>
      </w:r>
      <w:r/>
    </w:p>
    <w:p>
      <w:pPr>
        <w:pStyle w:val="1484"/>
        <w:jc w:val="left"/>
        <w:spacing w:line="360" w:lineRule="auto"/>
        <w:rPr>
          <w:szCs w:val="21"/>
        </w:rPr>
      </w:pPr>
      <w:r>
        <w:rPr>
          <w:szCs w:val="21"/>
        </w:rPr>
        <w:t xml:space="preserve">1.本部分内容仅提供格式参考。 </w:t>
      </w:r>
      <w:r>
        <w:rPr>
          <w:szCs w:val="21"/>
        </w:rPr>
      </w:r>
      <w:r/>
    </w:p>
    <w:p>
      <w:pPr>
        <w:pStyle w:val="1484"/>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rPr>
          <w:szCs w:val="21"/>
        </w:rPr>
      </w:r>
      <w:r/>
    </w:p>
    <w:p>
      <w:pPr>
        <w:pStyle w:val="1484"/>
        <w:jc w:val="left"/>
        <w:spacing w:line="360" w:lineRule="auto"/>
        <w:rPr>
          <w:szCs w:val="21"/>
        </w:rPr>
      </w:pPr>
      <w:r>
        <w:rPr>
          <w:szCs w:val="21"/>
        </w:rPr>
        <w:t xml:space="preserve">3.所附表格中要求回答的全部问题和信息都必须正面回答。 </w:t>
      </w:r>
      <w:r>
        <w:rPr>
          <w:szCs w:val="21"/>
        </w:rPr>
      </w:r>
      <w:r/>
    </w:p>
    <w:p>
      <w:pPr>
        <w:pStyle w:val="1484"/>
        <w:jc w:val="left"/>
        <w:spacing w:line="360" w:lineRule="auto"/>
        <w:rPr>
          <w:szCs w:val="21"/>
        </w:rPr>
      </w:pPr>
      <w:r>
        <w:rPr>
          <w:szCs w:val="21"/>
        </w:rPr>
        <w:t xml:space="preserve">4.供应商提交的材料不予退还。 </w:t>
      </w:r>
      <w:r>
        <w:rPr>
          <w:szCs w:val="21"/>
        </w:rPr>
      </w:r>
      <w:r/>
    </w:p>
    <w:p>
      <w:pPr>
        <w:pStyle w:val="1484"/>
        <w:jc w:val="left"/>
        <w:spacing w:line="360" w:lineRule="auto"/>
        <w:rPr>
          <w:szCs w:val="21"/>
        </w:rPr>
      </w:pPr>
      <w:r>
        <w:rPr>
          <w:szCs w:val="21"/>
        </w:rPr>
        <w:t xml:space="preserve">5.全部文件应按投标人须知以及前附表中规定的语言和份数提交。 </w:t>
      </w:r>
      <w:r>
        <w:rPr>
          <w:szCs w:val="21"/>
        </w:rPr>
      </w:r>
      <w:r/>
    </w:p>
    <w:p>
      <w:pPr>
        <w:pStyle w:val="1484"/>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484"/>
        <w:jc w:val="center"/>
        <w:rPr>
          <w:szCs w:val="24"/>
        </w:rPr>
      </w:pPr>
      <w:r/>
      <w:bookmarkStart w:id="237" w:name="_Toc12151"/>
      <w:r/>
      <w:bookmarkStart w:id="238" w:name="_Toc29373"/>
      <w:r/>
      <w:bookmarkStart w:id="239" w:name="_Toc496780634"/>
      <w:r>
        <w:rPr>
          <w:szCs w:val="24"/>
        </w:rPr>
      </w:r>
      <w:r/>
    </w:p>
    <w:p>
      <w:pPr>
        <w:pStyle w:val="1484"/>
        <w:rPr>
          <w:szCs w:val="24"/>
        </w:rPr>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484"/>
        <w:jc w:val="left"/>
        <w:widowControl/>
      </w:pPr>
      <w:r>
        <w:rPr>
          <w:b/>
          <w:bCs/>
          <w:color w:val="000000"/>
          <w:sz w:val="28"/>
          <w:szCs w:val="28"/>
          <w:lang w:bidi="ar"/>
        </w:rPr>
        <w:t xml:space="preserve">投标文件封面格式 </w:t>
      </w:r>
      <w:r/>
    </w:p>
    <w:p>
      <w:pPr>
        <w:pStyle w:val="1484"/>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484"/>
        <w:jc w:val="center"/>
        <w:spacing w:line="500" w:lineRule="exact"/>
        <w:rPr>
          <w:b/>
          <w:sz w:val="44"/>
          <w:szCs w:val="44"/>
        </w:rPr>
      </w:pPr>
      <w:r>
        <w:rPr>
          <w:b/>
          <w:sz w:val="44"/>
          <w:szCs w:val="44"/>
        </w:rPr>
      </w:r>
      <w:r/>
    </w:p>
    <w:p>
      <w:pPr>
        <w:pStyle w:val="1670"/>
        <w:ind w:firstLine="883"/>
        <w:rPr>
          <w:b/>
          <w:sz w:val="44"/>
          <w:szCs w:val="44"/>
        </w:rPr>
      </w:pPr>
      <w:r>
        <w:rPr>
          <w:b/>
          <w:sz w:val="44"/>
          <w:szCs w:val="44"/>
        </w:rPr>
      </w:r>
      <w:r/>
    </w:p>
    <w:p>
      <w:pPr>
        <w:pStyle w:val="1670"/>
        <w:ind w:firstLine="883"/>
        <w:rPr>
          <w:b/>
          <w:sz w:val="44"/>
          <w:szCs w:val="44"/>
        </w:rPr>
      </w:pPr>
      <w:r>
        <w:rPr>
          <w:b/>
          <w:sz w:val="44"/>
          <w:szCs w:val="44"/>
        </w:rPr>
      </w:r>
      <w:r/>
    </w:p>
    <w:p>
      <w:pPr>
        <w:pStyle w:val="1484"/>
        <w:jc w:val="center"/>
        <w:spacing w:line="500" w:lineRule="exact"/>
        <w:rPr>
          <w:rFonts w:hint="eastAsia"/>
          <w:b/>
          <w:sz w:val="48"/>
          <w:szCs w:val="48"/>
        </w:rPr>
      </w:pPr>
      <w:r>
        <w:rPr>
          <w:rFonts w:hint="eastAsia"/>
          <w:b/>
          <w:sz w:val="48"/>
          <w:szCs w:val="48"/>
        </w:rPr>
        <w:t xml:space="preserve">江苏省疾病预防控制中心</w:t>
      </w:r>
      <w:r>
        <w:rPr>
          <w:rFonts w:hint="eastAsia"/>
          <w:b/>
          <w:sz w:val="48"/>
          <w:szCs w:val="48"/>
        </w:rPr>
      </w:r>
      <w:r/>
    </w:p>
    <w:p>
      <w:pPr>
        <w:pStyle w:val="1484"/>
        <w:jc w:val="center"/>
        <w:spacing w:line="500" w:lineRule="exact"/>
        <w:rPr>
          <w:rFonts w:hint="eastAsia"/>
          <w:b/>
          <w:sz w:val="48"/>
          <w:szCs w:val="48"/>
        </w:rPr>
      </w:pPr>
      <w:r>
        <w:rPr>
          <w:rFonts w:hint="eastAsia"/>
          <w:b/>
          <w:sz w:val="48"/>
          <w:szCs w:val="48"/>
        </w:rPr>
        <w:t xml:space="preserve">（江苏省预防医学科学院）</w:t>
      </w:r>
      <w:r>
        <w:rPr>
          <w:rFonts w:hint="eastAsia"/>
          <w:b/>
          <w:sz w:val="48"/>
          <w:szCs w:val="48"/>
        </w:rPr>
      </w:r>
      <w:r/>
    </w:p>
    <w:p>
      <w:pPr>
        <w:pStyle w:val="1484"/>
        <w:jc w:val="center"/>
        <w:spacing w:line="500" w:lineRule="exact"/>
        <w:rPr>
          <w:rFonts w:hint="eastAsia"/>
          <w:b/>
          <w:sz w:val="48"/>
          <w:szCs w:val="48"/>
        </w:rPr>
      </w:pPr>
      <w:r>
        <w:rPr>
          <w:rFonts w:hint="eastAsia"/>
          <w:b/>
          <w:sz w:val="48"/>
          <w:szCs w:val="48"/>
        </w:rPr>
      </w:r>
      <w:r/>
    </w:p>
    <w:p>
      <w:pPr>
        <w:pStyle w:val="1484"/>
        <w:jc w:val="center"/>
        <w:spacing w:line="500" w:lineRule="exact"/>
        <w:rPr>
          <w:rFonts w:hint="eastAsia"/>
          <w:b/>
          <w:sz w:val="48"/>
          <w:szCs w:val="48"/>
        </w:rPr>
      </w:pPr>
      <w:r>
        <w:rPr>
          <w:rFonts w:hint="eastAsia"/>
          <w:b/>
          <w:sz w:val="48"/>
          <w:szCs w:val="48"/>
        </w:rPr>
      </w:r>
      <w:r/>
    </w:p>
    <w:p>
      <w:pPr>
        <w:pStyle w:val="1484"/>
        <w:jc w:val="center"/>
        <w:spacing w:line="500" w:lineRule="exact"/>
        <w:rPr>
          <w:rFonts w:hint="eastAsia"/>
          <w:b/>
          <w:color w:val="000000"/>
          <w:spacing w:val="80"/>
          <w:sz w:val="72"/>
        </w:rPr>
      </w:pPr>
      <w:r>
        <w:rPr>
          <w:rFonts w:hint="eastAsia"/>
          <w:b/>
          <w:sz w:val="48"/>
          <w:szCs w:val="48"/>
        </w:rPr>
        <w:t xml:space="preserve">新型冠状病毒2019-nCov/甲型流感病毒/乙型流感病毒核酸荧光定量PCR试剂盒</w:t>
      </w:r>
      <w:r>
        <w:rPr>
          <w:rFonts w:hint="eastAsia"/>
          <w:b/>
          <w:color w:val="000000"/>
          <w:spacing w:val="80"/>
          <w:sz w:val="72"/>
        </w:rPr>
      </w:r>
      <w:r/>
    </w:p>
    <w:p>
      <w:pPr>
        <w:pStyle w:val="1670"/>
        <w:ind w:firstLine="1766"/>
        <w:rPr>
          <w:b/>
          <w:color w:val="000000"/>
          <w:spacing w:val="80"/>
          <w:sz w:val="72"/>
        </w:rPr>
      </w:pPr>
      <w:r>
        <w:rPr>
          <w:b/>
          <w:color w:val="000000"/>
          <w:spacing w:val="80"/>
          <w:sz w:val="72"/>
        </w:rPr>
      </w:r>
      <w:r/>
    </w:p>
    <w:p>
      <w:pPr>
        <w:pStyle w:val="1670"/>
        <w:ind w:firstLine="1766"/>
        <w:rPr>
          <w:b/>
          <w:color w:val="000000"/>
          <w:spacing w:val="80"/>
          <w:sz w:val="72"/>
        </w:rPr>
      </w:pPr>
      <w:r>
        <w:rPr>
          <w:b/>
          <w:color w:val="000000"/>
          <w:spacing w:val="80"/>
          <w:sz w:val="72"/>
        </w:rPr>
      </w:r>
      <w:r/>
    </w:p>
    <w:p>
      <w:pPr>
        <w:pStyle w:val="1484"/>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484"/>
        <w:ind w:firstLine="1285"/>
        <w:spacing w:line="360" w:lineRule="auto"/>
        <w:rPr>
          <w:b/>
          <w:sz w:val="32"/>
          <w:szCs w:val="32"/>
        </w:rPr>
      </w:pPr>
      <w:r>
        <w:rPr>
          <w:b/>
          <w:sz w:val="32"/>
          <w:szCs w:val="32"/>
        </w:rPr>
      </w:r>
      <w:r/>
    </w:p>
    <w:p>
      <w:pPr>
        <w:pStyle w:val="1484"/>
        <w:spacing w:line="500" w:lineRule="exact"/>
        <w:rPr>
          <w:color w:val="000000"/>
          <w:sz w:val="32"/>
        </w:rPr>
      </w:pPr>
      <w:r>
        <w:rPr>
          <w:color w:val="000000"/>
          <w:sz w:val="32"/>
        </w:rPr>
      </w:r>
      <w:r/>
    </w:p>
    <w:p>
      <w:pPr>
        <w:pStyle w:val="1484"/>
        <w:spacing w:line="360" w:lineRule="auto"/>
        <w:rPr>
          <w:b/>
          <w:sz w:val="32"/>
          <w:szCs w:val="32"/>
        </w:rPr>
      </w:pPr>
      <w:r>
        <w:rPr>
          <w:b/>
          <w:sz w:val="32"/>
          <w:szCs w:val="32"/>
        </w:rPr>
      </w:r>
      <w:r/>
    </w:p>
    <w:p>
      <w:pPr>
        <w:pStyle w:val="1484"/>
        <w:ind w:firstLine="1285"/>
        <w:spacing w:line="360" w:lineRule="auto"/>
        <w:rPr>
          <w:b/>
          <w:sz w:val="32"/>
          <w:szCs w:val="32"/>
          <w:highlight w:val="yellow"/>
        </w:rPr>
      </w:pPr>
      <w:r>
        <w:rPr>
          <w:b/>
          <w:sz w:val="32"/>
          <w:szCs w:val="32"/>
        </w:rPr>
        <w:t xml:space="preserve">项目编号：</w:t>
      </w:r>
      <w:r>
        <w:rPr>
          <w:rFonts w:hint="eastAsia"/>
          <w:b/>
          <w:sz w:val="32"/>
          <w:szCs w:val="32"/>
          <w:lang w:eastAsia="zh-CN"/>
        </w:rPr>
        <w:t xml:space="preserve">JSZC-320000-SMDY-G2026-0076</w:t>
      </w:r>
      <w:r>
        <w:rPr>
          <w:b/>
          <w:sz w:val="32"/>
          <w:szCs w:val="32"/>
        </w:rPr>
        <w:t xml:space="preserve">（</w:t>
      </w:r>
      <w:r>
        <w:rPr>
          <w:rFonts w:hint="eastAsia"/>
          <w:b/>
          <w:sz w:val="32"/>
          <w:szCs w:val="32"/>
        </w:rPr>
        <w:t xml:space="preserve">2640SUMEC/ZWGG2102</w:t>
      </w:r>
      <w:r>
        <w:rPr>
          <w:b/>
          <w:sz w:val="32"/>
          <w:szCs w:val="32"/>
        </w:rPr>
        <w:t xml:space="preserve">）</w:t>
      </w:r>
      <w:r>
        <w:rPr>
          <w:b/>
          <w:sz w:val="32"/>
          <w:szCs w:val="32"/>
          <w:highlight w:val="yellow"/>
        </w:rPr>
      </w:r>
      <w:r/>
    </w:p>
    <w:p>
      <w:pPr>
        <w:pStyle w:val="1484"/>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484"/>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484"/>
        <w:jc w:val="center"/>
        <w:spacing w:line="360" w:lineRule="auto"/>
        <w:rPr>
          <w:b/>
          <w:sz w:val="36"/>
          <w:szCs w:val="36"/>
        </w:rPr>
      </w:pPr>
      <w:r>
        <w:rPr>
          <w:b/>
          <w:sz w:val="36"/>
          <w:szCs w:val="36"/>
        </w:rPr>
      </w:r>
      <w:r/>
    </w:p>
    <w:p>
      <w:pPr>
        <w:pStyle w:val="1553"/>
        <w:ind w:firstLine="280"/>
        <w:sectPr>
          <w:footerReference w:type="default" r:id="rId22"/>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pPr>
      <w:r/>
      <w:r/>
    </w:p>
    <w:p>
      <w:pPr>
        <w:pStyle w:val="1486"/>
        <w:jc w:val="center"/>
        <w:spacing w:before="120" w:after="120" w:line="360" w:lineRule="auto"/>
        <w:rPr>
          <w:rFonts w:ascii="Times New Roman" w:hAnsi="Times New Roman" w:eastAsia="宋体"/>
          <w:sz w:val="28"/>
          <w:szCs w:val="28"/>
        </w:rPr>
      </w:pPr>
      <w:r/>
      <w:bookmarkStart w:id="240" w:name="_Toc22205"/>
      <w:r>
        <w:rPr>
          <w:rFonts w:ascii="Times New Roman" w:hAnsi="Times New Roman" w:eastAsia="宋体"/>
          <w:sz w:val="28"/>
          <w:szCs w:val="28"/>
        </w:rPr>
        <w:t xml:space="preserve">资格审查索引表</w:t>
      </w:r>
      <w:bookmarkEnd w:id="240"/>
      <w:r>
        <w:rPr>
          <w:rFonts w:ascii="Times New Roman" w:hAnsi="Times New Roman" w:eastAsia="宋体"/>
          <w:sz w:val="28"/>
          <w:szCs w:val="28"/>
        </w:rPr>
      </w:r>
      <w:r/>
    </w:p>
    <w:p>
      <w:pPr>
        <w:pStyle w:val="1484"/>
        <w:jc w:val="center"/>
        <w:spacing w:before="120" w:after="120" w:line="360" w:lineRule="auto"/>
        <w:rPr>
          <w:sz w:val="28"/>
          <w:szCs w:val="28"/>
        </w:rPr>
      </w:pPr>
      <w:r>
        <w:rPr>
          <w:sz w:val="24"/>
          <w:szCs w:val="24"/>
        </w:rPr>
        <w:t xml:space="preserve">（仅供参考，具体详见招标文件第一章申请人的资格要求）</w:t>
      </w:r>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484"/>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1484"/>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1484"/>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1484"/>
              <w:spacing w:line="360" w:lineRule="auto"/>
              <w:widowControl/>
              <w:rPr>
                <w:sz w:val="24"/>
                <w:szCs w:val="24"/>
              </w:rPr>
            </w:pPr>
            <w:r>
              <w:rPr>
                <w:sz w:val="24"/>
                <w:szCs w:val="24"/>
              </w:rPr>
            </w:r>
            <w:r/>
          </w:p>
        </w:tc>
        <w:tc>
          <w:tcPr>
            <w:tcW w:w="5332" w:type="dxa"/>
            <w:vAlign w:val="center"/>
            <w:textDirection w:val="lrTb"/>
            <w:noWrap w:val="false"/>
          </w:tcPr>
          <w:p>
            <w:pPr>
              <w:pStyle w:val="1484"/>
              <w:spacing w:line="360" w:lineRule="auto"/>
              <w:rPr>
                <w:sz w:val="24"/>
                <w:szCs w:val="24"/>
              </w:rPr>
            </w:pPr>
            <w:r>
              <w:rPr>
                <w:sz w:val="24"/>
                <w:szCs w:val="24"/>
              </w:rPr>
            </w:r>
            <w:r/>
          </w:p>
        </w:tc>
        <w:tc>
          <w:tcPr>
            <w:tcW w:w="1949" w:type="dxa"/>
            <w:vAlign w:val="top"/>
            <w:textDirection w:val="lrTb"/>
            <w:noWrap w:val="false"/>
          </w:tcPr>
          <w:p>
            <w:pPr>
              <w:pStyle w:val="1484"/>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1484"/>
              <w:spacing w:line="360" w:lineRule="auto"/>
              <w:rPr>
                <w:sz w:val="24"/>
                <w:szCs w:val="24"/>
              </w:rPr>
            </w:pPr>
            <w:r>
              <w:rPr>
                <w:sz w:val="24"/>
                <w:szCs w:val="24"/>
              </w:rPr>
            </w:r>
            <w:r/>
          </w:p>
        </w:tc>
        <w:tc>
          <w:tcPr>
            <w:tcW w:w="5332" w:type="dxa"/>
            <w:vAlign w:val="center"/>
            <w:textDirection w:val="lrTb"/>
            <w:noWrap w:val="false"/>
          </w:tcPr>
          <w:p>
            <w:pPr>
              <w:pStyle w:val="1484"/>
              <w:spacing w:line="360" w:lineRule="auto"/>
              <w:rPr>
                <w:sz w:val="24"/>
                <w:szCs w:val="24"/>
              </w:rPr>
            </w:pPr>
            <w:r>
              <w:rPr>
                <w:sz w:val="24"/>
                <w:szCs w:val="24"/>
              </w:rPr>
            </w:r>
            <w:r/>
          </w:p>
        </w:tc>
        <w:tc>
          <w:tcPr>
            <w:tcW w:w="1949" w:type="dxa"/>
            <w:vAlign w:val="top"/>
            <w:textDirection w:val="lrTb"/>
            <w:noWrap w:val="false"/>
          </w:tcPr>
          <w:p>
            <w:pPr>
              <w:pStyle w:val="148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84"/>
              <w:spacing w:line="360" w:lineRule="auto"/>
              <w:rPr>
                <w:sz w:val="24"/>
                <w:szCs w:val="24"/>
              </w:rPr>
            </w:pPr>
            <w:r>
              <w:rPr>
                <w:sz w:val="24"/>
                <w:szCs w:val="24"/>
              </w:rPr>
            </w:r>
            <w:r/>
          </w:p>
        </w:tc>
        <w:tc>
          <w:tcPr>
            <w:tcW w:w="5332" w:type="dxa"/>
            <w:vAlign w:val="center"/>
            <w:textDirection w:val="lrTb"/>
            <w:noWrap w:val="false"/>
          </w:tcPr>
          <w:p>
            <w:pPr>
              <w:pStyle w:val="1484"/>
              <w:spacing w:line="360" w:lineRule="auto"/>
              <w:rPr>
                <w:sz w:val="24"/>
                <w:szCs w:val="24"/>
              </w:rPr>
            </w:pPr>
            <w:r>
              <w:rPr>
                <w:sz w:val="24"/>
                <w:szCs w:val="24"/>
              </w:rPr>
            </w:r>
            <w:r/>
          </w:p>
        </w:tc>
        <w:tc>
          <w:tcPr>
            <w:tcW w:w="1949" w:type="dxa"/>
            <w:vAlign w:val="top"/>
            <w:textDirection w:val="lrTb"/>
            <w:noWrap w:val="false"/>
          </w:tcPr>
          <w:p>
            <w:pPr>
              <w:pStyle w:val="148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84"/>
              <w:spacing w:line="360" w:lineRule="auto"/>
              <w:rPr>
                <w:sz w:val="24"/>
                <w:szCs w:val="24"/>
              </w:rPr>
            </w:pPr>
            <w:r>
              <w:rPr>
                <w:sz w:val="24"/>
                <w:szCs w:val="24"/>
              </w:rPr>
            </w:r>
            <w:r/>
          </w:p>
        </w:tc>
        <w:tc>
          <w:tcPr>
            <w:tcW w:w="5332" w:type="dxa"/>
            <w:vAlign w:val="center"/>
            <w:textDirection w:val="lrTb"/>
            <w:noWrap w:val="false"/>
          </w:tcPr>
          <w:p>
            <w:pPr>
              <w:pStyle w:val="1484"/>
              <w:spacing w:line="360" w:lineRule="auto"/>
              <w:rPr>
                <w:sz w:val="24"/>
                <w:szCs w:val="24"/>
              </w:rPr>
            </w:pPr>
            <w:r>
              <w:rPr>
                <w:sz w:val="24"/>
                <w:szCs w:val="24"/>
              </w:rPr>
            </w:r>
            <w:r/>
          </w:p>
        </w:tc>
        <w:tc>
          <w:tcPr>
            <w:tcW w:w="1949" w:type="dxa"/>
            <w:vAlign w:val="top"/>
            <w:textDirection w:val="lrTb"/>
            <w:noWrap w:val="false"/>
          </w:tcPr>
          <w:p>
            <w:pPr>
              <w:pStyle w:val="148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84"/>
              <w:spacing w:line="360" w:lineRule="auto"/>
              <w:rPr>
                <w:sz w:val="24"/>
                <w:szCs w:val="24"/>
              </w:rPr>
            </w:pPr>
            <w:r>
              <w:rPr>
                <w:sz w:val="24"/>
                <w:szCs w:val="24"/>
              </w:rPr>
            </w:r>
            <w:r/>
          </w:p>
        </w:tc>
        <w:tc>
          <w:tcPr>
            <w:tcW w:w="5332" w:type="dxa"/>
            <w:vAlign w:val="center"/>
            <w:textDirection w:val="lrTb"/>
            <w:noWrap w:val="false"/>
          </w:tcPr>
          <w:p>
            <w:pPr>
              <w:pStyle w:val="1484"/>
              <w:spacing w:line="360" w:lineRule="auto"/>
              <w:rPr>
                <w:sz w:val="24"/>
                <w:szCs w:val="24"/>
              </w:rPr>
            </w:pPr>
            <w:r>
              <w:rPr>
                <w:sz w:val="24"/>
                <w:szCs w:val="24"/>
              </w:rPr>
            </w:r>
            <w:r/>
          </w:p>
        </w:tc>
        <w:tc>
          <w:tcPr>
            <w:tcW w:w="1949" w:type="dxa"/>
            <w:vAlign w:val="top"/>
            <w:textDirection w:val="lrTb"/>
            <w:noWrap w:val="false"/>
          </w:tcPr>
          <w:p>
            <w:pPr>
              <w:pStyle w:val="148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84"/>
              <w:spacing w:line="360" w:lineRule="auto"/>
              <w:rPr>
                <w:sz w:val="24"/>
                <w:szCs w:val="24"/>
              </w:rPr>
            </w:pPr>
            <w:r>
              <w:rPr>
                <w:sz w:val="24"/>
                <w:szCs w:val="24"/>
              </w:rPr>
            </w:r>
            <w:r/>
          </w:p>
        </w:tc>
        <w:tc>
          <w:tcPr>
            <w:tcW w:w="5332" w:type="dxa"/>
            <w:vAlign w:val="center"/>
            <w:textDirection w:val="lrTb"/>
            <w:noWrap w:val="false"/>
          </w:tcPr>
          <w:p>
            <w:pPr>
              <w:pStyle w:val="1484"/>
              <w:spacing w:line="360" w:lineRule="auto"/>
              <w:rPr>
                <w:sz w:val="24"/>
                <w:szCs w:val="24"/>
              </w:rPr>
            </w:pPr>
            <w:r>
              <w:rPr>
                <w:sz w:val="24"/>
                <w:szCs w:val="24"/>
              </w:rPr>
            </w:r>
            <w:r/>
          </w:p>
        </w:tc>
        <w:tc>
          <w:tcPr>
            <w:tcW w:w="1949" w:type="dxa"/>
            <w:vAlign w:val="top"/>
            <w:textDirection w:val="lrTb"/>
            <w:noWrap w:val="false"/>
          </w:tcPr>
          <w:p>
            <w:pPr>
              <w:pStyle w:val="148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84"/>
              <w:spacing w:line="360" w:lineRule="auto"/>
              <w:rPr>
                <w:sz w:val="24"/>
                <w:szCs w:val="24"/>
              </w:rPr>
            </w:pPr>
            <w:r>
              <w:rPr>
                <w:sz w:val="24"/>
                <w:szCs w:val="24"/>
              </w:rPr>
            </w:r>
            <w:r/>
          </w:p>
        </w:tc>
        <w:tc>
          <w:tcPr>
            <w:tcW w:w="5332" w:type="dxa"/>
            <w:vAlign w:val="center"/>
            <w:textDirection w:val="lrTb"/>
            <w:noWrap w:val="false"/>
          </w:tcPr>
          <w:p>
            <w:pPr>
              <w:pStyle w:val="1484"/>
              <w:spacing w:line="360" w:lineRule="auto"/>
              <w:rPr>
                <w:sz w:val="24"/>
                <w:szCs w:val="24"/>
              </w:rPr>
            </w:pPr>
            <w:r>
              <w:rPr>
                <w:sz w:val="24"/>
                <w:szCs w:val="24"/>
              </w:rPr>
            </w:r>
            <w:r/>
          </w:p>
        </w:tc>
        <w:tc>
          <w:tcPr>
            <w:tcW w:w="1949" w:type="dxa"/>
            <w:vAlign w:val="top"/>
            <w:textDirection w:val="lrTb"/>
            <w:noWrap w:val="false"/>
          </w:tcPr>
          <w:p>
            <w:pPr>
              <w:pStyle w:val="148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84"/>
              <w:spacing w:line="360" w:lineRule="auto"/>
              <w:rPr>
                <w:sz w:val="24"/>
                <w:szCs w:val="24"/>
              </w:rPr>
            </w:pPr>
            <w:r>
              <w:rPr>
                <w:sz w:val="24"/>
                <w:szCs w:val="24"/>
              </w:rPr>
            </w:r>
            <w:r/>
          </w:p>
        </w:tc>
        <w:tc>
          <w:tcPr>
            <w:tcW w:w="5332" w:type="dxa"/>
            <w:vAlign w:val="center"/>
            <w:textDirection w:val="lrTb"/>
            <w:noWrap w:val="false"/>
          </w:tcPr>
          <w:p>
            <w:pPr>
              <w:pStyle w:val="1484"/>
              <w:spacing w:line="360" w:lineRule="auto"/>
              <w:rPr>
                <w:sz w:val="24"/>
                <w:szCs w:val="24"/>
              </w:rPr>
            </w:pPr>
            <w:r>
              <w:rPr>
                <w:sz w:val="24"/>
                <w:szCs w:val="24"/>
              </w:rPr>
            </w:r>
            <w:r/>
          </w:p>
        </w:tc>
        <w:tc>
          <w:tcPr>
            <w:tcW w:w="1949" w:type="dxa"/>
            <w:vAlign w:val="top"/>
            <w:textDirection w:val="lrTb"/>
            <w:noWrap w:val="false"/>
          </w:tcPr>
          <w:p>
            <w:pPr>
              <w:pStyle w:val="1484"/>
              <w:spacing w:line="360" w:lineRule="auto"/>
              <w:rPr>
                <w:sz w:val="24"/>
                <w:szCs w:val="24"/>
              </w:rPr>
            </w:pPr>
            <w:r>
              <w:rPr>
                <w:sz w:val="24"/>
                <w:szCs w:val="24"/>
              </w:rPr>
            </w:r>
            <w:r/>
          </w:p>
        </w:tc>
      </w:tr>
    </w:tbl>
    <w:p>
      <w:pPr>
        <w:pStyle w:val="148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486"/>
        <w:jc w:val="center"/>
        <w:spacing w:before="120" w:after="120"/>
        <w:rPr>
          <w:rFonts w:ascii="Times New Roman" w:hAnsi="Times New Roman" w:eastAsia="宋体"/>
          <w:sz w:val="28"/>
          <w:szCs w:val="28"/>
        </w:rPr>
      </w:pPr>
      <w:r/>
      <w:bookmarkEnd w:id="237"/>
      <w:r/>
      <w:bookmarkEnd w:id="238"/>
      <w:r/>
      <w:bookmarkEnd w:id="239"/>
      <w:r/>
      <w:bookmarkStart w:id="241" w:name="_Toc18263"/>
      <w:r/>
      <w:bookmarkStart w:id="242" w:name="_Toc30864"/>
      <w:r/>
      <w:bookmarkStart w:id="243" w:name="_Toc13756"/>
      <w:r>
        <w:rPr>
          <w:rFonts w:ascii="Times New Roman" w:hAnsi="Times New Roman" w:eastAsia="宋体"/>
          <w:sz w:val="28"/>
          <w:szCs w:val="28"/>
        </w:rPr>
        <w:t xml:space="preserve">评审索引表</w:t>
      </w:r>
      <w:bookmarkEnd w:id="241"/>
      <w:r/>
      <w:bookmarkEnd w:id="242"/>
      <w:r>
        <w:rPr>
          <w:rFonts w:ascii="Times New Roman" w:hAnsi="Times New Roman" w:eastAsia="宋体"/>
          <w:sz w:val="28"/>
          <w:szCs w:val="28"/>
        </w:rPr>
      </w:r>
      <w:r/>
    </w:p>
    <w:p>
      <w:pPr>
        <w:pStyle w:val="1484"/>
        <w:jc w:val="center"/>
        <w:spacing w:before="120" w:after="120"/>
        <w:rPr>
          <w:sz w:val="28"/>
          <w:szCs w:val="28"/>
        </w:rPr>
      </w:pPr>
      <w:r/>
      <w:bookmarkStart w:id="244" w:name="_Toc5536"/>
      <w:r>
        <w:rPr>
          <w:sz w:val="24"/>
          <w:szCs w:val="24"/>
        </w:rPr>
        <w:t xml:space="preserve">（具体详见招标文件第三章评标标准）</w:t>
      </w:r>
      <w:bookmarkEnd w:id="244"/>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484"/>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1484"/>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1484"/>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1484"/>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1484"/>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widowControl/>
              <w:rPr>
                <w:b/>
                <w:szCs w:val="21"/>
              </w:rPr>
            </w:pPr>
            <w:r>
              <w:rPr>
                <w:b/>
                <w:szCs w:val="21"/>
              </w:rPr>
            </w:r>
            <w:r/>
          </w:p>
        </w:tc>
        <w:tc>
          <w:tcPr>
            <w:tcW w:w="4868" w:type="dxa"/>
            <w:vAlign w:val="center"/>
            <w:textDirection w:val="lrTb"/>
            <w:noWrap w:val="false"/>
          </w:tcPr>
          <w:p>
            <w:pPr>
              <w:pStyle w:val="1484"/>
              <w:spacing w:line="360" w:lineRule="auto"/>
              <w:rPr>
                <w:szCs w:val="21"/>
              </w:rPr>
            </w:pPr>
            <w:r>
              <w:rPr>
                <w:szCs w:val="21"/>
              </w:rPr>
            </w:r>
            <w:r/>
          </w:p>
        </w:tc>
        <w:tc>
          <w:tcPr>
            <w:tcW w:w="1884" w:type="dxa"/>
            <w:vAlign w:val="center"/>
            <w:textDirection w:val="lrTb"/>
            <w:noWrap w:val="false"/>
          </w:tcPr>
          <w:p>
            <w:pPr>
              <w:pStyle w:val="148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84"/>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widowControl/>
              <w:rPr>
                <w:b/>
                <w:szCs w:val="21"/>
              </w:rPr>
            </w:pPr>
            <w:r>
              <w:rPr>
                <w:b/>
                <w:szCs w:val="21"/>
              </w:rPr>
            </w:r>
            <w:r/>
          </w:p>
        </w:tc>
        <w:tc>
          <w:tcPr>
            <w:tcW w:w="4868" w:type="dxa"/>
            <w:vAlign w:val="center"/>
            <w:textDirection w:val="lrTb"/>
            <w:noWrap w:val="false"/>
          </w:tcPr>
          <w:p>
            <w:pPr>
              <w:pStyle w:val="1484"/>
              <w:spacing w:line="360" w:lineRule="auto"/>
              <w:rPr>
                <w:szCs w:val="21"/>
              </w:rPr>
            </w:pPr>
            <w:r>
              <w:rPr>
                <w:szCs w:val="21"/>
              </w:rPr>
            </w:r>
            <w:r/>
          </w:p>
        </w:tc>
        <w:tc>
          <w:tcPr>
            <w:tcW w:w="1884" w:type="dxa"/>
            <w:vAlign w:val="center"/>
            <w:textDirection w:val="lrTb"/>
            <w:noWrap w:val="false"/>
          </w:tcPr>
          <w:p>
            <w:pPr>
              <w:pStyle w:val="148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84"/>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widowControl/>
              <w:rPr>
                <w:b/>
                <w:szCs w:val="21"/>
              </w:rPr>
            </w:pPr>
            <w:r>
              <w:rPr>
                <w:b/>
                <w:szCs w:val="21"/>
              </w:rPr>
            </w:r>
            <w:r/>
          </w:p>
        </w:tc>
        <w:tc>
          <w:tcPr>
            <w:tcW w:w="4868" w:type="dxa"/>
            <w:vAlign w:val="center"/>
            <w:textDirection w:val="lrTb"/>
            <w:noWrap w:val="false"/>
          </w:tcPr>
          <w:p>
            <w:pPr>
              <w:pStyle w:val="1484"/>
              <w:spacing w:line="360" w:lineRule="auto"/>
              <w:rPr>
                <w:szCs w:val="21"/>
              </w:rPr>
            </w:pPr>
            <w:r>
              <w:rPr>
                <w:szCs w:val="21"/>
              </w:rPr>
            </w:r>
            <w:r/>
          </w:p>
        </w:tc>
        <w:tc>
          <w:tcPr>
            <w:tcW w:w="1884" w:type="dxa"/>
            <w:vAlign w:val="center"/>
            <w:textDirection w:val="lrTb"/>
            <w:noWrap w:val="false"/>
          </w:tcPr>
          <w:p>
            <w:pPr>
              <w:pStyle w:val="148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84"/>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widowControl/>
              <w:rPr>
                <w:b/>
                <w:szCs w:val="21"/>
              </w:rPr>
            </w:pPr>
            <w:r>
              <w:rPr>
                <w:b/>
                <w:szCs w:val="21"/>
              </w:rPr>
            </w:r>
            <w:r/>
          </w:p>
        </w:tc>
        <w:tc>
          <w:tcPr>
            <w:tcW w:w="4868" w:type="dxa"/>
            <w:vAlign w:val="center"/>
            <w:textDirection w:val="lrTb"/>
            <w:noWrap w:val="false"/>
          </w:tcPr>
          <w:p>
            <w:pPr>
              <w:pStyle w:val="1484"/>
              <w:spacing w:line="360" w:lineRule="auto"/>
              <w:rPr>
                <w:szCs w:val="21"/>
              </w:rPr>
            </w:pPr>
            <w:r>
              <w:rPr>
                <w:szCs w:val="21"/>
              </w:rPr>
            </w:r>
            <w:r/>
          </w:p>
        </w:tc>
        <w:tc>
          <w:tcPr>
            <w:tcW w:w="1884" w:type="dxa"/>
            <w:vAlign w:val="center"/>
            <w:textDirection w:val="lrTb"/>
            <w:noWrap w:val="false"/>
          </w:tcPr>
          <w:p>
            <w:pPr>
              <w:pStyle w:val="148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84"/>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widowControl/>
              <w:rPr>
                <w:b/>
                <w:szCs w:val="21"/>
              </w:rPr>
            </w:pPr>
            <w:r>
              <w:rPr>
                <w:b/>
                <w:szCs w:val="21"/>
              </w:rPr>
            </w:r>
            <w:r/>
          </w:p>
        </w:tc>
        <w:tc>
          <w:tcPr>
            <w:tcW w:w="4868" w:type="dxa"/>
            <w:vAlign w:val="center"/>
            <w:textDirection w:val="lrTb"/>
            <w:noWrap w:val="false"/>
          </w:tcPr>
          <w:p>
            <w:pPr>
              <w:pStyle w:val="1484"/>
              <w:spacing w:line="360" w:lineRule="auto"/>
              <w:rPr>
                <w:szCs w:val="21"/>
              </w:rPr>
            </w:pPr>
            <w:r>
              <w:rPr>
                <w:szCs w:val="21"/>
              </w:rPr>
            </w:r>
            <w:r/>
          </w:p>
        </w:tc>
        <w:tc>
          <w:tcPr>
            <w:tcW w:w="1884" w:type="dxa"/>
            <w:vAlign w:val="center"/>
            <w:textDirection w:val="lrTb"/>
            <w:noWrap w:val="false"/>
          </w:tcPr>
          <w:p>
            <w:pPr>
              <w:pStyle w:val="148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84"/>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widowControl/>
              <w:rPr>
                <w:b/>
                <w:szCs w:val="21"/>
              </w:rPr>
            </w:pPr>
            <w:r>
              <w:rPr>
                <w:b/>
                <w:szCs w:val="21"/>
              </w:rPr>
            </w:r>
            <w:r/>
          </w:p>
        </w:tc>
        <w:tc>
          <w:tcPr>
            <w:tcW w:w="4868" w:type="dxa"/>
            <w:vAlign w:val="center"/>
            <w:textDirection w:val="lrTb"/>
            <w:noWrap w:val="false"/>
          </w:tcPr>
          <w:p>
            <w:pPr>
              <w:pStyle w:val="1484"/>
              <w:spacing w:line="360" w:lineRule="auto"/>
              <w:rPr>
                <w:szCs w:val="21"/>
              </w:rPr>
            </w:pPr>
            <w:r>
              <w:rPr>
                <w:szCs w:val="21"/>
              </w:rPr>
            </w:r>
            <w:r/>
          </w:p>
        </w:tc>
        <w:tc>
          <w:tcPr>
            <w:tcW w:w="1884" w:type="dxa"/>
            <w:vAlign w:val="center"/>
            <w:textDirection w:val="lrTb"/>
            <w:noWrap w:val="false"/>
          </w:tcPr>
          <w:p>
            <w:pPr>
              <w:pStyle w:val="148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84"/>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widowControl/>
              <w:rPr>
                <w:b/>
                <w:szCs w:val="21"/>
              </w:rPr>
            </w:pPr>
            <w:r>
              <w:rPr>
                <w:b/>
                <w:szCs w:val="21"/>
              </w:rPr>
            </w:r>
            <w:r/>
          </w:p>
        </w:tc>
        <w:tc>
          <w:tcPr>
            <w:tcW w:w="4868" w:type="dxa"/>
            <w:vAlign w:val="center"/>
            <w:textDirection w:val="lrTb"/>
            <w:noWrap w:val="false"/>
          </w:tcPr>
          <w:p>
            <w:pPr>
              <w:pStyle w:val="1484"/>
              <w:spacing w:line="360" w:lineRule="auto"/>
              <w:rPr>
                <w:szCs w:val="21"/>
              </w:rPr>
            </w:pPr>
            <w:r>
              <w:rPr>
                <w:szCs w:val="21"/>
              </w:rPr>
            </w:r>
            <w:r/>
          </w:p>
        </w:tc>
        <w:tc>
          <w:tcPr>
            <w:tcW w:w="1884" w:type="dxa"/>
            <w:vAlign w:val="center"/>
            <w:textDirection w:val="lrTb"/>
            <w:noWrap w:val="false"/>
          </w:tcPr>
          <w:p>
            <w:pPr>
              <w:pStyle w:val="148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84"/>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widowControl/>
              <w:rPr>
                <w:b/>
                <w:szCs w:val="21"/>
              </w:rPr>
            </w:pPr>
            <w:r>
              <w:rPr>
                <w:b/>
                <w:szCs w:val="21"/>
              </w:rPr>
            </w:r>
            <w:r/>
          </w:p>
        </w:tc>
        <w:tc>
          <w:tcPr>
            <w:tcW w:w="4868" w:type="dxa"/>
            <w:vAlign w:val="center"/>
            <w:textDirection w:val="lrTb"/>
            <w:noWrap w:val="false"/>
          </w:tcPr>
          <w:p>
            <w:pPr>
              <w:pStyle w:val="1484"/>
              <w:spacing w:line="360" w:lineRule="auto"/>
              <w:rPr>
                <w:szCs w:val="21"/>
              </w:rPr>
            </w:pPr>
            <w:r>
              <w:rPr>
                <w:szCs w:val="21"/>
              </w:rPr>
            </w:r>
            <w:r/>
          </w:p>
        </w:tc>
        <w:tc>
          <w:tcPr>
            <w:tcW w:w="1884" w:type="dxa"/>
            <w:vAlign w:val="center"/>
            <w:textDirection w:val="lrTb"/>
            <w:noWrap w:val="false"/>
          </w:tcPr>
          <w:p>
            <w:pPr>
              <w:pStyle w:val="148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84"/>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widowControl/>
              <w:rPr>
                <w:b/>
                <w:szCs w:val="21"/>
              </w:rPr>
            </w:pPr>
            <w:r>
              <w:rPr>
                <w:b/>
                <w:szCs w:val="21"/>
              </w:rPr>
            </w:r>
            <w:r/>
          </w:p>
        </w:tc>
        <w:tc>
          <w:tcPr>
            <w:tcW w:w="4868" w:type="dxa"/>
            <w:vAlign w:val="center"/>
            <w:textDirection w:val="lrTb"/>
            <w:noWrap w:val="false"/>
          </w:tcPr>
          <w:p>
            <w:pPr>
              <w:pStyle w:val="1484"/>
              <w:spacing w:line="360" w:lineRule="auto"/>
              <w:rPr>
                <w:szCs w:val="21"/>
              </w:rPr>
            </w:pPr>
            <w:r>
              <w:rPr>
                <w:szCs w:val="21"/>
              </w:rPr>
            </w:r>
            <w:r/>
          </w:p>
        </w:tc>
        <w:tc>
          <w:tcPr>
            <w:tcW w:w="1884" w:type="dxa"/>
            <w:vAlign w:val="center"/>
            <w:textDirection w:val="lrTb"/>
            <w:noWrap w:val="false"/>
          </w:tcPr>
          <w:p>
            <w:pPr>
              <w:pStyle w:val="1484"/>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1484"/>
              <w:ind w:right="211"/>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rPr>
                <w:b/>
                <w:szCs w:val="21"/>
              </w:rPr>
            </w:pPr>
            <w:r>
              <w:rPr>
                <w:b/>
                <w:szCs w:val="21"/>
              </w:rPr>
            </w:r>
            <w:r/>
          </w:p>
        </w:tc>
        <w:tc>
          <w:tcPr>
            <w:tcW w:w="4868" w:type="dxa"/>
            <w:vAlign w:val="center"/>
            <w:textDirection w:val="lrTb"/>
            <w:noWrap w:val="false"/>
          </w:tcPr>
          <w:p>
            <w:pPr>
              <w:pStyle w:val="1553"/>
              <w:ind w:firstLine="0"/>
            </w:pPr>
            <w:r/>
            <w:r/>
          </w:p>
        </w:tc>
        <w:tc>
          <w:tcPr>
            <w:tcW w:w="1884" w:type="dxa"/>
            <w:vAlign w:val="center"/>
            <w:textDirection w:val="lrTb"/>
            <w:noWrap w:val="false"/>
          </w:tcPr>
          <w:p>
            <w:pPr>
              <w:pStyle w:val="1484"/>
              <w:jc w:val="center"/>
              <w:spacing w:line="360" w:lineRule="auto"/>
              <w:rPr>
                <w:szCs w:val="21"/>
              </w:rPr>
            </w:pPr>
            <w:r>
              <w:rPr>
                <w:szCs w:val="21"/>
              </w:rPr>
            </w:r>
            <w:r/>
          </w:p>
        </w:tc>
      </w:tr>
      <w:tr>
        <w:trPr>
          <w:trHeight w:val="580"/>
        </w:trPr>
        <w:tc>
          <w:tcPr>
            <w:tcW w:w="1234" w:type="dxa"/>
            <w:vAlign w:val="center"/>
            <w:textDirection w:val="lrTb"/>
            <w:noWrap w:val="false"/>
          </w:tcPr>
          <w:p>
            <w:pPr>
              <w:pStyle w:val="1484"/>
              <w:ind w:right="211"/>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rPr>
                <w:b/>
                <w:szCs w:val="21"/>
              </w:rPr>
            </w:pPr>
            <w:r>
              <w:rPr>
                <w:b/>
                <w:szCs w:val="21"/>
              </w:rPr>
            </w:r>
            <w:r/>
          </w:p>
        </w:tc>
        <w:tc>
          <w:tcPr>
            <w:tcW w:w="4868" w:type="dxa"/>
            <w:vAlign w:val="center"/>
            <w:textDirection w:val="lrTb"/>
            <w:noWrap w:val="false"/>
          </w:tcPr>
          <w:p>
            <w:pPr>
              <w:pStyle w:val="1553"/>
              <w:ind w:firstLine="0"/>
            </w:pPr>
            <w:r/>
            <w:r/>
          </w:p>
        </w:tc>
        <w:tc>
          <w:tcPr>
            <w:tcW w:w="1884" w:type="dxa"/>
            <w:vAlign w:val="center"/>
            <w:textDirection w:val="lrTb"/>
            <w:noWrap w:val="false"/>
          </w:tcPr>
          <w:p>
            <w:pPr>
              <w:pStyle w:val="1484"/>
              <w:jc w:val="center"/>
              <w:spacing w:line="360" w:lineRule="auto"/>
              <w:rPr>
                <w:szCs w:val="21"/>
              </w:rPr>
            </w:pPr>
            <w:r>
              <w:rPr>
                <w:szCs w:val="21"/>
              </w:rPr>
            </w:r>
            <w:r/>
          </w:p>
        </w:tc>
      </w:tr>
      <w:tr>
        <w:trPr>
          <w:trHeight w:val="580"/>
        </w:trPr>
        <w:tc>
          <w:tcPr>
            <w:tcW w:w="1234" w:type="dxa"/>
            <w:vAlign w:val="center"/>
            <w:textDirection w:val="lrTb"/>
            <w:noWrap w:val="false"/>
          </w:tcPr>
          <w:p>
            <w:pPr>
              <w:pStyle w:val="1484"/>
              <w:ind w:right="211"/>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rPr>
                <w:b/>
                <w:szCs w:val="21"/>
              </w:rPr>
            </w:pPr>
            <w:r>
              <w:rPr>
                <w:b/>
                <w:szCs w:val="21"/>
              </w:rPr>
            </w:r>
            <w:r/>
          </w:p>
        </w:tc>
        <w:tc>
          <w:tcPr>
            <w:tcW w:w="4868" w:type="dxa"/>
            <w:vAlign w:val="center"/>
            <w:textDirection w:val="lrTb"/>
            <w:noWrap w:val="false"/>
          </w:tcPr>
          <w:p>
            <w:pPr>
              <w:pStyle w:val="1553"/>
              <w:ind w:firstLine="0"/>
            </w:pPr>
            <w:r/>
            <w:r/>
          </w:p>
        </w:tc>
        <w:tc>
          <w:tcPr>
            <w:tcW w:w="1884" w:type="dxa"/>
            <w:vAlign w:val="center"/>
            <w:textDirection w:val="lrTb"/>
            <w:noWrap w:val="false"/>
          </w:tcPr>
          <w:p>
            <w:pPr>
              <w:pStyle w:val="1484"/>
              <w:jc w:val="center"/>
              <w:spacing w:line="360" w:lineRule="auto"/>
              <w:rPr>
                <w:szCs w:val="21"/>
              </w:rPr>
            </w:pPr>
            <w:r>
              <w:rPr>
                <w:szCs w:val="21"/>
              </w:rPr>
            </w:r>
            <w:r/>
          </w:p>
        </w:tc>
      </w:tr>
      <w:tr>
        <w:trPr>
          <w:trHeight w:val="580"/>
        </w:trPr>
        <w:tc>
          <w:tcPr>
            <w:tcW w:w="1234" w:type="dxa"/>
            <w:vAlign w:val="center"/>
            <w:textDirection w:val="lrTb"/>
            <w:noWrap w:val="false"/>
          </w:tcPr>
          <w:p>
            <w:pPr>
              <w:pStyle w:val="1484"/>
              <w:ind w:right="211"/>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rPr>
                <w:b/>
                <w:szCs w:val="21"/>
              </w:rPr>
            </w:pPr>
            <w:r>
              <w:rPr>
                <w:b/>
                <w:szCs w:val="21"/>
              </w:rPr>
            </w:r>
            <w:r/>
          </w:p>
        </w:tc>
        <w:tc>
          <w:tcPr>
            <w:tcW w:w="4868" w:type="dxa"/>
            <w:vAlign w:val="center"/>
            <w:textDirection w:val="lrTb"/>
            <w:noWrap w:val="false"/>
          </w:tcPr>
          <w:p>
            <w:pPr>
              <w:pStyle w:val="1553"/>
              <w:ind w:firstLine="0"/>
            </w:pPr>
            <w:r/>
            <w:r/>
          </w:p>
        </w:tc>
        <w:tc>
          <w:tcPr>
            <w:tcW w:w="1884" w:type="dxa"/>
            <w:vAlign w:val="center"/>
            <w:textDirection w:val="lrTb"/>
            <w:noWrap w:val="false"/>
          </w:tcPr>
          <w:p>
            <w:pPr>
              <w:pStyle w:val="1484"/>
              <w:jc w:val="center"/>
              <w:spacing w:line="360" w:lineRule="auto"/>
              <w:rPr>
                <w:szCs w:val="21"/>
              </w:rPr>
            </w:pPr>
            <w:r>
              <w:rPr>
                <w:szCs w:val="21"/>
              </w:rPr>
            </w:r>
            <w:r/>
          </w:p>
        </w:tc>
      </w:tr>
      <w:tr>
        <w:trPr>
          <w:trHeight w:val="580"/>
        </w:trPr>
        <w:tc>
          <w:tcPr>
            <w:tcW w:w="1234" w:type="dxa"/>
            <w:vAlign w:val="center"/>
            <w:textDirection w:val="lrTb"/>
            <w:noWrap w:val="false"/>
          </w:tcPr>
          <w:p>
            <w:pPr>
              <w:pStyle w:val="1484"/>
              <w:ind w:right="211"/>
              <w:jc w:val="center"/>
              <w:spacing w:line="360" w:lineRule="auto"/>
              <w:widowControl/>
              <w:rPr>
                <w:b/>
                <w:szCs w:val="21"/>
              </w:rPr>
            </w:pPr>
            <w:r>
              <w:rPr>
                <w:b/>
                <w:szCs w:val="21"/>
              </w:rPr>
            </w:r>
            <w:r/>
          </w:p>
        </w:tc>
        <w:tc>
          <w:tcPr>
            <w:tcW w:w="2355" w:type="dxa"/>
            <w:vAlign w:val="center"/>
            <w:textDirection w:val="lrTb"/>
            <w:noWrap w:val="false"/>
          </w:tcPr>
          <w:p>
            <w:pPr>
              <w:pStyle w:val="1484"/>
              <w:jc w:val="center"/>
              <w:spacing w:line="360" w:lineRule="auto"/>
              <w:rPr>
                <w:b/>
                <w:szCs w:val="21"/>
              </w:rPr>
            </w:pPr>
            <w:r>
              <w:rPr>
                <w:b/>
                <w:szCs w:val="21"/>
              </w:rPr>
            </w:r>
            <w:r/>
          </w:p>
        </w:tc>
        <w:tc>
          <w:tcPr>
            <w:tcW w:w="4868" w:type="dxa"/>
            <w:vAlign w:val="center"/>
            <w:textDirection w:val="lrTb"/>
            <w:noWrap w:val="false"/>
          </w:tcPr>
          <w:p>
            <w:pPr>
              <w:pStyle w:val="1553"/>
              <w:ind w:firstLine="0"/>
            </w:pPr>
            <w:r/>
            <w:r/>
          </w:p>
        </w:tc>
        <w:tc>
          <w:tcPr>
            <w:tcW w:w="1884" w:type="dxa"/>
            <w:vAlign w:val="center"/>
            <w:textDirection w:val="lrTb"/>
            <w:noWrap w:val="false"/>
          </w:tcPr>
          <w:p>
            <w:pPr>
              <w:pStyle w:val="1484"/>
              <w:jc w:val="center"/>
              <w:spacing w:line="360" w:lineRule="auto"/>
              <w:rPr>
                <w:szCs w:val="21"/>
              </w:rPr>
            </w:pPr>
            <w:r>
              <w:rPr>
                <w:szCs w:val="21"/>
              </w:rPr>
            </w:r>
            <w:r/>
          </w:p>
        </w:tc>
      </w:tr>
    </w:tbl>
    <w:p>
      <w:pPr>
        <w:pStyle w:val="1484"/>
        <w:spacing w:line="440" w:lineRule="exact"/>
        <w:rPr>
          <w:szCs w:val="24"/>
        </w:rPr>
      </w:pPr>
      <w:r>
        <w:rPr>
          <w:szCs w:val="24"/>
        </w:rPr>
      </w:r>
      <w:r/>
    </w:p>
    <w:p>
      <w:pPr>
        <w:pStyle w:val="1484"/>
        <w:spacing w:line="440" w:lineRule="exact"/>
        <w:rPr>
          <w:szCs w:val="24"/>
        </w:rPr>
      </w:pPr>
      <w:r>
        <w:rPr>
          <w:szCs w:val="24"/>
        </w:rPr>
      </w:r>
      <w:r/>
    </w:p>
    <w:p>
      <w:pPr>
        <w:pStyle w:val="1516"/>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pStyle w:val="1484"/>
        <w:spacing w:line="440" w:lineRule="exact"/>
        <w:rPr>
          <w:rFonts w:hint="eastAsia" w:ascii="宋体" w:hAnsi="宋体" w:cs="宋体"/>
          <w:b/>
          <w:bCs/>
          <w:szCs w:val="21"/>
        </w:rPr>
        <w:outlineLvl w:val="1"/>
      </w:pPr>
      <w:r/>
      <w:bookmarkStart w:id="245" w:name="_Toc5489"/>
      <w:r>
        <w:rPr>
          <w:rFonts w:hint="eastAsia" w:ascii="宋体" w:hAnsi="宋体" w:cs="宋体"/>
          <w:b/>
          <w:bCs/>
          <w:szCs w:val="21"/>
        </w:rPr>
        <w:t xml:space="preserve">附件一 投标函格式</w:t>
      </w:r>
      <w:bookmarkEnd w:id="243"/>
      <w:r/>
      <w:bookmarkEnd w:id="245"/>
      <w:r>
        <w:rPr>
          <w:rFonts w:hint="eastAsia" w:ascii="宋体" w:hAnsi="宋体" w:cs="宋体"/>
          <w:b/>
          <w:bCs/>
          <w:szCs w:val="21"/>
        </w:rPr>
      </w:r>
      <w:r/>
    </w:p>
    <w:p>
      <w:pPr>
        <w:pStyle w:val="1484"/>
        <w:jc w:val="center"/>
        <w:spacing w:line="440" w:lineRule="exact"/>
        <w:rPr>
          <w:rFonts w:hint="eastAsia" w:ascii="宋体" w:hAnsi="宋体" w:cs="宋体"/>
          <w:b/>
          <w:szCs w:val="21"/>
        </w:rPr>
      </w:pPr>
      <w:r>
        <w:rPr>
          <w:rFonts w:hint="eastAsia" w:ascii="宋体" w:hAnsi="宋体" w:cs="宋体"/>
          <w:b/>
          <w:szCs w:val="21"/>
        </w:rPr>
        <w:t xml:space="preserve">投标函</w:t>
      </w:r>
      <w:r>
        <w:rPr>
          <w:rFonts w:hint="eastAsia" w:ascii="宋体" w:hAnsi="宋体" w:cs="宋体"/>
          <w:b/>
          <w:szCs w:val="21"/>
        </w:rPr>
      </w:r>
      <w:r/>
    </w:p>
    <w:p>
      <w:pPr>
        <w:pStyle w:val="1484"/>
        <w:spacing w:line="360" w:lineRule="auto"/>
        <w:rPr>
          <w:rFonts w:hint="eastAsia" w:ascii="宋体" w:hAnsi="宋体" w:cs="宋体"/>
          <w:szCs w:val="21"/>
        </w:rPr>
      </w:pPr>
      <w:r>
        <w:rPr>
          <w:rFonts w:hint="eastAsia" w:ascii="宋体" w:hAnsi="宋体" w:cs="宋体"/>
          <w:szCs w:val="21"/>
        </w:rPr>
        <w:t xml:space="preserve">致：江苏苏美达仪器设备有限公司</w:t>
      </w:r>
      <w:r>
        <w:rPr>
          <w:rFonts w:hint="eastAsia" w:ascii="宋体" w:hAnsi="宋体" w:cs="宋体"/>
          <w:szCs w:val="21"/>
        </w:rPr>
      </w:r>
      <w:r/>
    </w:p>
    <w:p>
      <w:pPr>
        <w:pStyle w:val="1484"/>
        <w:ind w:firstLine="420"/>
        <w:spacing w:line="360" w:lineRule="auto"/>
        <w:rPr>
          <w:rFonts w:hint="eastAsia" w:ascii="宋体" w:hAnsi="宋体" w:cs="宋体"/>
          <w:szCs w:val="21"/>
          <w:lang w:val="zh-CN"/>
        </w:rPr>
      </w:pPr>
      <w:r>
        <w:rPr>
          <w:rFonts w:hint="eastAsia" w:ascii="宋体" w:hAnsi="宋体" w:cs="宋体"/>
          <w:szCs w:val="21"/>
          <w:lang w:val="zh-CN"/>
        </w:rPr>
        <w:t xml:space="preserve">根据贵方</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（项目编号）投标邀请，正式授权下述签字人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投标人</w:t>
      </w:r>
      <w:r>
        <w:rPr>
          <w:rFonts w:hint="eastAsia" w:ascii="宋体" w:hAnsi="宋体" w:cs="宋体"/>
          <w:szCs w:val="21"/>
          <w:lang w:val="zh-CN"/>
        </w:rPr>
        <w:t xml:space="preserve">名称），提交投标文件。</w:t>
      </w:r>
      <w:r>
        <w:rPr>
          <w:rFonts w:hint="eastAsia" w:ascii="宋体" w:hAnsi="宋体" w:cs="宋体"/>
          <w:szCs w:val="21"/>
          <w:lang w:val="zh-CN"/>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据此函，签字人兹宣布同意如下：</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1．我们的资格条件完全符合《中华人民共和国政府采购法》和本次招标要求，我们同意并向贵方提供了与本次招标活动有关的所有证据和资料。    </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2．我们已详细审核全部招标文件及其有效补充文件，我们放弃对招标文件任何误解的权利，提交投标文件后，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。否则，属于不诚信和故意扰乱采购活动行为，我们将无条件接受处罚。</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3．我们同意在本项目招标文件中规定的开标之日起90天内遵守本投标文件中的承诺且在此期限期满之前均具有约束力。</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4．我们愿意向采购代理机构提供任何与本次招标有关的其他资料，并保证已提供和将要提供的文件是真实的、准确的。</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5．我们理解，你们无义务必须接受投标价最低的投标，并有权拒绝所有的投标。</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7．其它说明：</w:t>
      </w:r>
      <w:r>
        <w:rPr>
          <w:rFonts w:hint="eastAsia" w:ascii="宋体" w:hAnsi="宋体" w:cs="宋体"/>
          <w:szCs w:val="21"/>
        </w:rPr>
      </w:r>
      <w:r/>
    </w:p>
    <w:p>
      <w:pPr>
        <w:pStyle w:val="1484"/>
        <w:spacing w:line="440" w:lineRule="exact"/>
        <w:rPr>
          <w:szCs w:val="21"/>
        </w:rPr>
      </w:pPr>
      <w:r>
        <w:rPr>
          <w:szCs w:val="21"/>
        </w:rPr>
      </w:r>
      <w:r/>
    </w:p>
    <w:p>
      <w:pPr>
        <w:pStyle w:val="1484"/>
        <w:spacing w:line="360" w:lineRule="auto"/>
        <w:rPr>
          <w:szCs w:val="21"/>
        </w:rPr>
      </w:pPr>
      <w:r>
        <w:rPr>
          <w:szCs w:val="21"/>
        </w:rPr>
        <w:t xml:space="preserve">投标人名称：</w:t>
      </w:r>
      <w:r>
        <w:rPr>
          <w:szCs w:val="21"/>
          <w:u w:val="single"/>
        </w:rPr>
        <w:t xml:space="preserve">                   （公章）</w:t>
      </w:r>
      <w:r>
        <w:rPr>
          <w:szCs w:val="21"/>
        </w:rPr>
      </w:r>
      <w:r/>
    </w:p>
    <w:p>
      <w:pPr>
        <w:pStyle w:val="1484"/>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484"/>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484"/>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484"/>
        <w:spacing w:line="360" w:lineRule="auto"/>
        <w:rPr>
          <w:sz w:val="24"/>
        </w:rPr>
      </w:pPr>
      <w:r>
        <w:rPr>
          <w:szCs w:val="21"/>
        </w:rPr>
        <w:t xml:space="preserve">日期：</w:t>
      </w:r>
      <w:r>
        <w:rPr>
          <w:szCs w:val="21"/>
          <w:u w:val="single"/>
        </w:rPr>
        <w:t xml:space="preserve">               </w:t>
      </w:r>
      <w:r>
        <w:rPr>
          <w:sz w:val="24"/>
        </w:rPr>
      </w:r>
      <w:r/>
    </w:p>
    <w:p>
      <w:pPr>
        <w:pStyle w:val="148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84"/>
        <w:spacing w:line="440" w:lineRule="exact"/>
        <w:rPr>
          <w:b/>
          <w:bCs/>
          <w:sz w:val="24"/>
          <w:szCs w:val="22"/>
        </w:rPr>
        <w:outlineLvl w:val="1"/>
      </w:pPr>
      <w:r/>
      <w:bookmarkStart w:id="246" w:name="_Toc14605"/>
      <w:r/>
      <w:bookmarkStart w:id="247" w:name="_Toc437"/>
      <w:r/>
      <w:bookmarkStart w:id="248" w:name="_Toc2097"/>
      <w:r>
        <w:rPr>
          <w:b/>
          <w:bCs/>
          <w:sz w:val="24"/>
          <w:szCs w:val="22"/>
        </w:rPr>
        <w:t xml:space="preserve">附件二 开标一览表</w:t>
      </w:r>
      <w:bookmarkEnd w:id="246"/>
      <w:r/>
      <w:bookmarkEnd w:id="247"/>
      <w:r/>
      <w:bookmarkEnd w:id="248"/>
      <w:r>
        <w:rPr>
          <w:b/>
          <w:bCs/>
          <w:sz w:val="24"/>
          <w:szCs w:val="22"/>
        </w:rPr>
      </w:r>
      <w:r/>
    </w:p>
    <w:p>
      <w:pPr>
        <w:pStyle w:val="1484"/>
        <w:jc w:val="center"/>
        <w:spacing w:line="440" w:lineRule="exact"/>
        <w:rPr>
          <w:b/>
          <w:sz w:val="28"/>
          <w:szCs w:val="22"/>
        </w:rPr>
      </w:pPr>
      <w:r>
        <w:rPr>
          <w:b/>
          <w:sz w:val="28"/>
          <w:szCs w:val="22"/>
        </w:rPr>
        <w:t xml:space="preserve">开标一览表</w:t>
      </w:r>
      <w:r>
        <w:rPr>
          <w:b/>
          <w:sz w:val="28"/>
          <w:szCs w:val="22"/>
        </w:rPr>
      </w:r>
      <w:r/>
    </w:p>
    <w:p>
      <w:pPr>
        <w:pStyle w:val="1484"/>
        <w:jc w:val="left"/>
        <w:spacing w:line="440" w:lineRule="exact"/>
        <w:rPr>
          <w:b/>
          <w:sz w:val="28"/>
          <w:szCs w:val="22"/>
        </w:rPr>
      </w:pPr>
      <w:r>
        <w:rPr>
          <w:szCs w:val="21"/>
        </w:rPr>
        <w:t xml:space="preserve">项目编号：                                                        </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975"/>
        </w:trPr>
        <w:tc>
          <w:tcPr>
            <w:tcW w:w="2485" w:type="dxa"/>
            <w:vAlign w:val="center"/>
            <w:textDirection w:val="lrTb"/>
            <w:noWrap w:val="false"/>
          </w:tcPr>
          <w:p>
            <w:pPr>
              <w:pStyle w:val="1484"/>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484"/>
              <w:ind w:firstLine="105"/>
              <w:spacing w:line="480" w:lineRule="exact"/>
              <w:rPr>
                <w:szCs w:val="21"/>
              </w:rPr>
            </w:pPr>
            <w:r>
              <w:rPr>
                <w:szCs w:val="21"/>
              </w:rPr>
            </w:r>
            <w:r/>
          </w:p>
        </w:tc>
      </w:tr>
      <w:tr>
        <w:trPr>
          <w:cantSplit/>
          <w:trHeight w:val="1314"/>
        </w:trPr>
        <w:tc>
          <w:tcPr>
            <w:tcW w:w="2485" w:type="dxa"/>
            <w:vAlign w:val="center"/>
            <w:textDirection w:val="lrTb"/>
            <w:noWrap w:val="false"/>
          </w:tcPr>
          <w:p>
            <w:pPr>
              <w:pStyle w:val="1484"/>
              <w:jc w:val="center"/>
              <w:spacing w:line="480" w:lineRule="exact"/>
              <w:rPr>
                <w:rFonts w:hint="eastAsia" w:ascii="宋体" w:hAnsi="宋体" w:cs="宋体"/>
                <w:szCs w:val="21"/>
              </w:rPr>
            </w:pPr>
            <w:r>
              <w:rPr>
                <w:rFonts w:hint="eastAsia" w:ascii="宋体" w:hAnsi="宋体" w:cs="宋体"/>
                <w:szCs w:val="21"/>
              </w:rPr>
              <w:t xml:space="preserve">报价（单价）</w:t>
            </w:r>
            <w:r>
              <w:rPr>
                <w:rFonts w:hint="eastAsia" w:ascii="宋体" w:hAnsi="宋体" w:cs="宋体"/>
                <w:szCs w:val="21"/>
              </w:rPr>
            </w:r>
            <w:r/>
          </w:p>
        </w:tc>
        <w:tc>
          <w:tcPr>
            <w:tcW w:w="6898" w:type="dxa"/>
            <w:vAlign w:val="center"/>
            <w:textDirection w:val="lrTb"/>
            <w:noWrap w:val="false"/>
          </w:tcPr>
          <w:p>
            <w:pPr>
              <w:pStyle w:val="1484"/>
              <w:spacing w:line="480" w:lineRule="exact"/>
              <w:rPr>
                <w:rFonts w:hint="eastAsia" w:ascii="宋体" w:hAnsi="宋体" w:cs="宋体"/>
                <w:szCs w:val="21"/>
                <w:u w:val="single"/>
              </w:rPr>
            </w:pPr>
            <w:r>
              <w:rPr>
                <w:rFonts w:hint="eastAsia" w:ascii="宋体" w:hAnsi="宋体" w:cs="宋体"/>
                <w:szCs w:val="21"/>
              </w:rPr>
              <w:t xml:space="preserve">人民币：</w:t>
            </w:r>
            <w:r>
              <w:rPr>
                <w:rFonts w:hint="eastAsia" w:ascii="宋体" w:hAnsi="宋体" w:cs="宋体"/>
                <w:szCs w:val="21"/>
                <w:u w:val="single"/>
              </w:rPr>
              <w:t xml:space="preserve">          </w:t>
            </w:r>
            <w:r>
              <w:rPr>
                <w:rFonts w:hint="eastAsia" w:ascii="宋体" w:hAnsi="宋体" w:cs="宋体"/>
                <w:szCs w:val="21"/>
              </w:rPr>
              <w:t xml:space="preserve">元/人份</w:t>
            </w:r>
            <w:r>
              <w:rPr>
                <w:rFonts w:hint="eastAsia" w:ascii="宋体" w:hAnsi="宋体" w:cs="宋体"/>
                <w:szCs w:val="21"/>
                <w:u w:val="single"/>
              </w:rPr>
            </w:r>
            <w:r/>
          </w:p>
          <w:p>
            <w:pPr>
              <w:pStyle w:val="1484"/>
              <w:spacing w:line="480" w:lineRule="exact"/>
              <w:rPr>
                <w:rFonts w:hint="eastAsia" w:ascii="宋体" w:hAnsi="宋体" w:cs="宋体"/>
                <w:szCs w:val="21"/>
              </w:rPr>
            </w:pPr>
            <w:r>
              <w:rPr>
                <w:rFonts w:hint="eastAsia" w:ascii="宋体" w:hAnsi="宋体" w:cs="宋体"/>
                <w:szCs w:val="21"/>
              </w:rPr>
              <w:t xml:space="preserve">（大写）：</w:t>
            </w:r>
            <w:r>
              <w:rPr>
                <w:rFonts w:hint="eastAsia" w:ascii="宋体" w:hAnsi="宋体" w:cs="宋体"/>
                <w:szCs w:val="21"/>
                <w:u w:val="single"/>
              </w:rPr>
              <w:t xml:space="preserve">         </w:t>
            </w:r>
            <w:r>
              <w:rPr>
                <w:rFonts w:hint="eastAsia" w:ascii="宋体" w:hAnsi="宋体" w:cs="宋体"/>
                <w:szCs w:val="21"/>
              </w:rPr>
              <w:t xml:space="preserve">元/人份</w:t>
            </w:r>
            <w:r>
              <w:rPr>
                <w:rFonts w:hint="eastAsia" w:ascii="宋体" w:hAnsi="宋体" w:cs="宋体"/>
                <w:szCs w:val="21"/>
              </w:rPr>
            </w:r>
            <w:r/>
          </w:p>
        </w:tc>
      </w:tr>
      <w:tr>
        <w:trPr>
          <w:cantSplit/>
          <w:trHeight w:val="1280"/>
        </w:trPr>
        <w:tc>
          <w:tcPr>
            <w:tcW w:w="2485" w:type="dxa"/>
            <w:vAlign w:val="center"/>
            <w:textDirection w:val="lrTb"/>
            <w:noWrap w:val="false"/>
          </w:tcPr>
          <w:p>
            <w:pPr>
              <w:pStyle w:val="1484"/>
              <w:jc w:val="center"/>
              <w:spacing w:line="480" w:lineRule="exact"/>
              <w:rPr>
                <w:rFonts w:hint="eastAsia" w:ascii="宋体" w:hAnsi="宋体" w:cs="宋体"/>
                <w:szCs w:val="21"/>
              </w:rPr>
            </w:pPr>
            <w:r>
              <w:rPr>
                <w:rFonts w:hint="eastAsia" w:ascii="宋体" w:hAnsi="宋体" w:cs="宋体"/>
                <w:szCs w:val="21"/>
              </w:rPr>
              <w:t xml:space="preserve">报价（总价）</w:t>
            </w:r>
            <w:r>
              <w:rPr>
                <w:rFonts w:hint="eastAsia" w:ascii="宋体" w:hAnsi="宋体" w:cs="宋体"/>
                <w:szCs w:val="21"/>
              </w:rPr>
            </w:r>
            <w:r/>
          </w:p>
        </w:tc>
        <w:tc>
          <w:tcPr>
            <w:tcW w:w="6898" w:type="dxa"/>
            <w:vAlign w:val="center"/>
            <w:textDirection w:val="lrTb"/>
            <w:noWrap w:val="false"/>
          </w:tcPr>
          <w:p>
            <w:pPr>
              <w:pStyle w:val="1484"/>
              <w:spacing w:line="480" w:lineRule="exact"/>
              <w:rPr>
                <w:rFonts w:hint="eastAsia" w:ascii="宋体" w:hAnsi="宋体" w:cs="宋体"/>
                <w:szCs w:val="21"/>
                <w:u w:val="single"/>
              </w:rPr>
            </w:pPr>
            <w:r>
              <w:rPr>
                <w:rFonts w:hint="eastAsia" w:ascii="宋体" w:hAnsi="宋体" w:cs="宋体"/>
                <w:szCs w:val="21"/>
              </w:rPr>
              <w:t xml:space="preserve">人民币：</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r>
            <w:r/>
          </w:p>
          <w:p>
            <w:pPr>
              <w:pStyle w:val="1484"/>
              <w:spacing w:line="480" w:lineRule="exact"/>
              <w:rPr>
                <w:rFonts w:hint="eastAsia" w:ascii="宋体" w:hAnsi="宋体" w:cs="宋体"/>
                <w:szCs w:val="21"/>
              </w:rPr>
            </w:pPr>
            <w:r>
              <w:rPr>
                <w:rFonts w:hint="eastAsia" w:ascii="宋体" w:hAnsi="宋体" w:cs="宋体"/>
                <w:szCs w:val="21"/>
              </w:rPr>
              <w:t xml:space="preserve">（大写）：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rPr>
            </w:r>
            <w:r/>
          </w:p>
          <w:p>
            <w:pPr>
              <w:pStyle w:val="1484"/>
              <w:spacing w:line="480" w:lineRule="exact"/>
              <w:rPr>
                <w:rFonts w:hint="eastAsia" w:ascii="宋体" w:hAnsi="宋体" w:cs="宋体"/>
                <w:szCs w:val="21"/>
              </w:rPr>
            </w:pPr>
            <w:r>
              <w:rPr>
                <w:rFonts w:hint="eastAsia" w:ascii="宋体" w:hAnsi="宋体" w:cs="宋体"/>
                <w:szCs w:val="21"/>
              </w:rPr>
              <w:t xml:space="preserve">注：本部分价格为单价*预估数量 人份</w:t>
            </w:r>
            <w:r>
              <w:rPr>
                <w:rFonts w:hint="eastAsia" w:ascii="宋体" w:hAnsi="宋体" w:cs="宋体"/>
                <w:szCs w:val="21"/>
              </w:rPr>
            </w:r>
            <w:r/>
          </w:p>
        </w:tc>
      </w:tr>
      <w:tr>
        <w:trPr>
          <w:cantSplit/>
          <w:trHeight w:val="836"/>
        </w:trPr>
        <w:tc>
          <w:tcPr>
            <w:tcW w:w="2485" w:type="dxa"/>
            <w:vAlign w:val="center"/>
            <w:textDirection w:val="lrTb"/>
            <w:noWrap w:val="false"/>
          </w:tcPr>
          <w:p>
            <w:pPr>
              <w:pStyle w:val="1484"/>
              <w:jc w:val="center"/>
              <w:spacing w:line="480" w:lineRule="exact"/>
              <w:rPr>
                <w:rFonts w:hint="eastAsia"/>
                <w:szCs w:val="21"/>
              </w:rPr>
            </w:pPr>
            <w:r>
              <w:rPr>
                <w:szCs w:val="21"/>
              </w:rPr>
              <w:t xml:space="preserve">所投品牌</w:t>
            </w:r>
            <w:r>
              <w:rPr>
                <w:rFonts w:hint="eastAsia"/>
                <w:szCs w:val="21"/>
              </w:rPr>
            </w:r>
            <w:r/>
          </w:p>
        </w:tc>
        <w:tc>
          <w:tcPr>
            <w:tcW w:w="6898" w:type="dxa"/>
            <w:vAlign w:val="center"/>
            <w:textDirection w:val="lrTb"/>
            <w:noWrap w:val="false"/>
          </w:tcPr>
          <w:p>
            <w:pPr>
              <w:pStyle w:val="1484"/>
              <w:spacing w:line="480" w:lineRule="exact"/>
              <w:rPr>
                <w:szCs w:val="21"/>
              </w:rPr>
            </w:pPr>
            <w:r>
              <w:rPr>
                <w:szCs w:val="21"/>
              </w:rPr>
            </w:r>
            <w:r/>
          </w:p>
        </w:tc>
      </w:tr>
      <w:tr>
        <w:trPr>
          <w:cantSplit/>
          <w:trHeight w:val="724"/>
        </w:trPr>
        <w:tc>
          <w:tcPr>
            <w:tcW w:w="2485" w:type="dxa"/>
            <w:vAlign w:val="center"/>
            <w:textDirection w:val="lrTb"/>
            <w:noWrap w:val="false"/>
          </w:tcPr>
          <w:p>
            <w:pPr>
              <w:pStyle w:val="1484"/>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484"/>
              <w:ind w:firstLine="105"/>
              <w:spacing w:line="480" w:lineRule="exact"/>
              <w:rPr>
                <w:szCs w:val="21"/>
              </w:rPr>
            </w:pPr>
            <w:r>
              <w:rPr>
                <w:szCs w:val="21"/>
              </w:rPr>
            </w:r>
            <w:r/>
          </w:p>
        </w:tc>
      </w:tr>
      <w:tr>
        <w:trPr>
          <w:cantSplit/>
          <w:trHeight w:val="771"/>
        </w:trPr>
        <w:tc>
          <w:tcPr>
            <w:tcW w:w="2485" w:type="dxa"/>
            <w:vAlign w:val="center"/>
            <w:textDirection w:val="lrTb"/>
            <w:noWrap w:val="false"/>
          </w:tcPr>
          <w:p>
            <w:pPr>
              <w:pStyle w:val="1484"/>
              <w:jc w:val="center"/>
              <w:spacing w:line="480" w:lineRule="exact"/>
              <w:rPr>
                <w:rFonts w:hint="eastAsia" w:ascii="宋体" w:hAnsi="宋体" w:cs="宋体"/>
                <w:szCs w:val="21"/>
              </w:rPr>
            </w:pPr>
            <w:r>
              <w:rPr>
                <w:rFonts w:hint="eastAsia"/>
                <w:szCs w:val="21"/>
              </w:rPr>
              <w:t xml:space="preserve">是否为进口产品</w:t>
            </w:r>
            <w:r>
              <w:rPr>
                <w:rFonts w:hint="eastAsia" w:ascii="宋体" w:hAnsi="宋体" w:cs="宋体"/>
                <w:szCs w:val="21"/>
              </w:rPr>
            </w:r>
            <w:r/>
          </w:p>
        </w:tc>
        <w:tc>
          <w:tcPr>
            <w:tcW w:w="6898" w:type="dxa"/>
            <w:vAlign w:val="center"/>
            <w:textDirection w:val="lrTb"/>
            <w:noWrap w:val="false"/>
          </w:tcPr>
          <w:p>
            <w:pPr>
              <w:pStyle w:val="1484"/>
              <w:ind w:firstLine="210"/>
              <w:spacing w:line="480" w:lineRule="exact"/>
              <w:rPr>
                <w:rFonts w:hint="eastAsia"/>
                <w:szCs w:val="21"/>
              </w:rPr>
            </w:pPr>
            <w:r>
              <w:rPr>
                <w:rFonts w:ascii="Wingdings 2" w:hAnsi="Wingdings 2" w:eastAsia="Wingdings 2" w:cs="Wingdings 2"/>
                <w:szCs w:val="21"/>
              </w:rPr>
              <w:t xml:space="preserve">£</w:t>
            </w:r>
            <w:r>
              <w:rPr>
                <w:rFonts w:hint="eastAsia"/>
                <w:szCs w:val="21"/>
              </w:rPr>
              <w:t xml:space="preserve">是</w:t>
            </w:r>
            <w:r>
              <w:rPr>
                <w:szCs w:val="21"/>
              </w:rPr>
              <w:t xml:space="preserve">                       </w:t>
            </w:r>
            <w:r>
              <w:rPr>
                <w:rFonts w:ascii="Wingdings 2" w:hAnsi="Wingdings 2" w:eastAsia="Wingdings 2" w:cs="Wingdings 2"/>
                <w:szCs w:val="21"/>
              </w:rPr>
              <w:t xml:space="preserve">£</w:t>
            </w:r>
            <w:r>
              <w:rPr>
                <w:rFonts w:hint="eastAsia"/>
                <w:szCs w:val="21"/>
              </w:rPr>
              <w:t xml:space="preserve">否</w:t>
            </w:r>
            <w:r>
              <w:rPr>
                <w:rFonts w:hint="eastAsia"/>
                <w:szCs w:val="21"/>
              </w:rPr>
            </w:r>
            <w:r/>
          </w:p>
        </w:tc>
      </w:tr>
      <w:tr>
        <w:trPr>
          <w:cantSplit/>
          <w:trHeight w:val="701"/>
        </w:trPr>
        <w:tc>
          <w:tcPr>
            <w:tcW w:w="2485" w:type="dxa"/>
            <w:vAlign w:val="center"/>
            <w:textDirection w:val="lrTb"/>
            <w:noWrap w:val="false"/>
          </w:tcPr>
          <w:p>
            <w:pPr>
              <w:pStyle w:val="1484"/>
              <w:jc w:val="center"/>
              <w:spacing w:line="480" w:lineRule="exact"/>
            </w:pPr>
            <w:r>
              <w:rPr>
                <w:rFonts w:hint="eastAsia"/>
              </w:rPr>
              <w:t xml:space="preserve">是否属于小微型企业</w:t>
            </w:r>
            <w:r/>
          </w:p>
        </w:tc>
        <w:tc>
          <w:tcPr>
            <w:tcW w:w="6898" w:type="dxa"/>
            <w:vAlign w:val="center"/>
            <w:textDirection w:val="lrTb"/>
            <w:noWrap w:val="false"/>
          </w:tcPr>
          <w:p>
            <w:pPr>
              <w:pStyle w:val="1501"/>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484"/>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484"/>
        <w:spacing w:line="440" w:lineRule="exact"/>
        <w:rPr>
          <w:szCs w:val="21"/>
        </w:rPr>
      </w:pPr>
      <w:r>
        <w:rPr>
          <w:szCs w:val="21"/>
        </w:rPr>
      </w:r>
      <w:r/>
    </w:p>
    <w:p>
      <w:pPr>
        <w:pStyle w:val="1553"/>
        <w:ind w:firstLine="280"/>
      </w:pPr>
      <w:r/>
      <w:r/>
    </w:p>
    <w:p>
      <w:pPr>
        <w:pStyle w:val="1484"/>
        <w:spacing w:line="440" w:lineRule="exact"/>
        <w:rPr>
          <w:szCs w:val="21"/>
        </w:rPr>
      </w:pPr>
      <w:r>
        <w:rPr>
          <w:szCs w:val="21"/>
        </w:rPr>
        <w:t xml:space="preserve">投标人名称（公章）：</w:t>
      </w:r>
      <w:r>
        <w:rPr>
          <w:szCs w:val="21"/>
        </w:rPr>
      </w:r>
      <w:r/>
    </w:p>
    <w:p>
      <w:pPr>
        <w:pStyle w:val="1484"/>
        <w:spacing w:line="440" w:lineRule="exact"/>
        <w:rPr>
          <w:szCs w:val="21"/>
        </w:rPr>
      </w:pPr>
      <w:r>
        <w:rPr>
          <w:szCs w:val="21"/>
        </w:rPr>
        <w:t xml:space="preserve">授权代表（签字）：</w:t>
      </w:r>
      <w:r>
        <w:rPr>
          <w:szCs w:val="21"/>
        </w:rPr>
      </w:r>
      <w:r/>
    </w:p>
    <w:p>
      <w:pPr>
        <w:pStyle w:val="1484"/>
        <w:spacing w:line="440" w:lineRule="exact"/>
        <w:rPr>
          <w:szCs w:val="21"/>
        </w:rPr>
      </w:pPr>
      <w:r>
        <w:rPr>
          <w:szCs w:val="21"/>
        </w:rPr>
        <w:t xml:space="preserve">日期：</w:t>
      </w:r>
      <w:r>
        <w:rPr>
          <w:szCs w:val="21"/>
        </w:rPr>
      </w:r>
      <w:r/>
    </w:p>
    <w:p>
      <w:pPr>
        <w:pStyle w:val="1484"/>
        <w:spacing w:line="440" w:lineRule="exact"/>
        <w:rPr>
          <w:szCs w:val="21"/>
        </w:rPr>
      </w:pPr>
      <w:r>
        <w:rPr>
          <w:szCs w:val="21"/>
        </w:rPr>
      </w:r>
      <w:r/>
    </w:p>
    <w:p>
      <w:pPr>
        <w:pStyle w:val="1484"/>
        <w:spacing w:line="440" w:lineRule="exact"/>
        <w:rPr>
          <w:szCs w:val="21"/>
        </w:rPr>
      </w:pPr>
      <w:r>
        <w:rPr>
          <w:szCs w:val="21"/>
        </w:rPr>
        <w:t xml:space="preserve">注：此表中，投标总价合计应和分项报价表中的总价一致。</w:t>
      </w:r>
      <w:r>
        <w:rPr>
          <w:szCs w:val="21"/>
        </w:rPr>
      </w:r>
      <w:r/>
    </w:p>
    <w:p>
      <w:pPr>
        <w:pStyle w:val="1516"/>
        <w:rPr>
          <w:rFonts w:ascii="Times New Roman"/>
        </w:rPr>
      </w:pPr>
      <w:r>
        <w:rPr>
          <w:rFonts w:ascii="Times New Roman"/>
        </w:rPr>
      </w:r>
      <w:r/>
    </w:p>
    <w:p>
      <w:pPr>
        <w:pStyle w:val="1484"/>
        <w:jc w:val="center"/>
        <w:spacing w:line="440" w:lineRule="exact"/>
        <w:rPr>
          <w:b/>
        </w:rPr>
      </w:pPr>
      <w:r>
        <w:rPr>
          <w:b/>
        </w:rPr>
      </w:r>
      <w:r/>
    </w:p>
    <w:p>
      <w:pPr>
        <w:pStyle w:val="1484"/>
        <w:jc w:val="center"/>
        <w:spacing w:line="440" w:lineRule="exact"/>
        <w:rPr>
          <w:b/>
        </w:rPr>
      </w:pPr>
      <w:r>
        <w:rPr>
          <w:b/>
        </w:rPr>
      </w:r>
      <w:r/>
    </w:p>
    <w:p>
      <w:pPr>
        <w:pStyle w:val="1484"/>
        <w:spacing w:line="440" w:lineRule="exact"/>
        <w:rPr>
          <w:b/>
        </w:rPr>
      </w:pPr>
      <w:r>
        <w:rPr>
          <w:b/>
        </w:rPr>
      </w:r>
      <w:r/>
    </w:p>
    <w:p>
      <w:pPr>
        <w:pStyle w:val="1484"/>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49" w:name="_Toc14445"/>
      <w:r>
        <w:rPr>
          <w:b/>
          <w:bCs/>
          <w:sz w:val="24"/>
          <w:szCs w:val="22"/>
        </w:rPr>
      </w:r>
      <w:r/>
    </w:p>
    <w:p>
      <w:pPr>
        <w:pStyle w:val="1484"/>
        <w:spacing w:line="440" w:lineRule="exact"/>
        <w:rPr>
          <w:b/>
          <w:bCs/>
          <w:sz w:val="24"/>
          <w:szCs w:val="22"/>
        </w:rPr>
        <w:outlineLvl w:val="1"/>
      </w:pPr>
      <w:r/>
      <w:bookmarkEnd w:id="249"/>
      <w:r/>
      <w:bookmarkStart w:id="250" w:name="_Toc2903"/>
      <w:r/>
      <w:bookmarkStart w:id="251" w:name="_Toc8821"/>
      <w:r>
        <w:rPr>
          <w:b/>
          <w:bCs/>
          <w:sz w:val="24"/>
          <w:szCs w:val="22"/>
        </w:rPr>
        <w:t xml:space="preserve">附件三 分项报价表</w:t>
      </w:r>
      <w:bookmarkEnd w:id="250"/>
      <w:r/>
      <w:bookmarkEnd w:id="251"/>
      <w:r>
        <w:rPr>
          <w:b/>
          <w:bCs/>
          <w:sz w:val="24"/>
          <w:szCs w:val="22"/>
        </w:rPr>
      </w:r>
      <w:r/>
    </w:p>
    <w:p>
      <w:pPr>
        <w:pStyle w:val="1484"/>
        <w:jc w:val="center"/>
        <w:spacing w:line="440" w:lineRule="exact"/>
        <w:rPr>
          <w:rFonts w:hint="eastAsia"/>
          <w:b/>
          <w:sz w:val="28"/>
          <w:szCs w:val="22"/>
        </w:rPr>
        <w:outlineLvl w:val="0"/>
      </w:pPr>
      <w:r/>
      <w:bookmarkStart w:id="252" w:name="_Toc8446"/>
      <w:r/>
      <w:bookmarkStart w:id="253" w:name="_Toc20492"/>
      <w:r>
        <w:rPr>
          <w:b/>
          <w:sz w:val="28"/>
          <w:szCs w:val="22"/>
        </w:rPr>
        <w:t xml:space="preserve">分项报价表</w:t>
      </w:r>
      <w:bookmarkEnd w:id="252"/>
      <w:r/>
      <w:bookmarkEnd w:id="253"/>
      <w:r>
        <w:rPr>
          <w:rFonts w:hint="eastAsia"/>
          <w:b/>
          <w:sz w:val="28"/>
          <w:szCs w:val="22"/>
        </w:rPr>
      </w:r>
      <w:r/>
    </w:p>
    <w:p>
      <w:pPr>
        <w:pStyle w:val="1501"/>
        <w:ind w:firstLine="0"/>
        <w:rPr>
          <w:sz w:val="21"/>
          <w:szCs w:val="21"/>
        </w:rPr>
      </w:pPr>
      <w:r>
        <w:rPr>
          <w:sz w:val="21"/>
          <w:szCs w:val="21"/>
        </w:rPr>
      </w:r>
      <w:r/>
    </w:p>
    <w:p>
      <w:pPr>
        <w:pStyle w:val="1484"/>
        <w:ind w:firstLine="525"/>
        <w:spacing w:after="156" w:line="440" w:lineRule="exact"/>
        <w:rPr>
          <w:rFonts w:hint="eastAsia"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rPr>
          <w:rFonts w:hint="eastAsia" w:ascii="宋体" w:cs="宋体"/>
        </w:rPr>
      </w:r>
      <w:r/>
    </w:p>
    <w:tbl>
      <w:tblPr>
        <w:tblW w:w="4959"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85"/>
        <w:gridCol w:w="1733"/>
        <w:gridCol w:w="1687"/>
        <w:gridCol w:w="1364"/>
        <w:gridCol w:w="872"/>
        <w:gridCol w:w="1811"/>
        <w:gridCol w:w="1821"/>
      </w:tblGrid>
      <w:tr>
        <w:trPr>
          <w:trHeight w:val="899"/>
        </w:trPr>
        <w:tc>
          <w:tcPr>
            <w:tcW w:w="486" w:type="dxa"/>
            <w:vAlign w:val="center"/>
            <w:textDirection w:val="lrTb"/>
            <w:noWrap w:val="false"/>
          </w:tcPr>
          <w:p>
            <w:pPr>
              <w:pStyle w:val="1484"/>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734" w:type="dxa"/>
            <w:vAlign w:val="center"/>
            <w:textDirection w:val="lrTb"/>
            <w:noWrap w:val="false"/>
          </w:tcPr>
          <w:p>
            <w:pPr>
              <w:pStyle w:val="1484"/>
              <w:jc w:val="center"/>
              <w:rPr>
                <w:rFonts w:hint="eastAsia"/>
              </w:rPr>
            </w:pPr>
            <w:r>
              <w:rPr>
                <w:rFonts w:hint="eastAsia"/>
              </w:rPr>
              <w:t xml:space="preserve">名 称</w:t>
            </w:r>
            <w:r>
              <w:rPr>
                <w:rFonts w:hint="eastAsia"/>
              </w:rPr>
            </w:r>
            <w:r/>
          </w:p>
        </w:tc>
        <w:tc>
          <w:tcPr>
            <w:tcW w:w="1687" w:type="dxa"/>
            <w:vAlign w:val="center"/>
            <w:textDirection w:val="lrTb"/>
            <w:noWrap w:val="false"/>
          </w:tcPr>
          <w:p>
            <w:pPr>
              <w:pStyle w:val="1484"/>
              <w:jc w:val="center"/>
              <w:rPr>
                <w:rFonts w:hint="eastAsia"/>
              </w:rPr>
            </w:pPr>
            <w:r>
              <w:rPr>
                <w:rFonts w:hint="eastAsia"/>
              </w:rPr>
              <w:t xml:space="preserve">品牌、型号</w:t>
            </w:r>
            <w:r>
              <w:rPr>
                <w:rFonts w:hint="eastAsia"/>
              </w:rPr>
            </w:r>
            <w:r/>
          </w:p>
        </w:tc>
        <w:tc>
          <w:tcPr>
            <w:tcW w:w="1364" w:type="dxa"/>
            <w:vAlign w:val="center"/>
            <w:textDirection w:val="lrTb"/>
            <w:noWrap w:val="false"/>
          </w:tcPr>
          <w:p>
            <w:pPr>
              <w:pStyle w:val="1484"/>
              <w:jc w:val="center"/>
              <w:rPr>
                <w:rFonts w:hint="eastAsia"/>
              </w:rPr>
            </w:pPr>
            <w:r>
              <w:rPr>
                <w:rFonts w:hint="eastAsia"/>
              </w:rPr>
              <w:t xml:space="preserve">数量</w:t>
            </w:r>
            <w:r>
              <w:rPr>
                <w:rFonts w:hint="eastAsia"/>
              </w:rPr>
            </w:r>
            <w:r/>
          </w:p>
        </w:tc>
        <w:tc>
          <w:tcPr>
            <w:tcW w:w="872" w:type="dxa"/>
            <w:vAlign w:val="center"/>
            <w:textDirection w:val="lrTb"/>
            <w:noWrap w:val="false"/>
          </w:tcPr>
          <w:p>
            <w:pPr>
              <w:pStyle w:val="1484"/>
              <w:jc w:val="center"/>
              <w:rPr>
                <w:rFonts w:hint="eastAsia"/>
              </w:rPr>
            </w:pPr>
            <w:r>
              <w:rPr>
                <w:rFonts w:hint="eastAsia"/>
              </w:rPr>
              <w:t xml:space="preserve">是否进口</w:t>
            </w:r>
            <w:r>
              <w:rPr>
                <w:rFonts w:hint="eastAsia"/>
              </w:rPr>
            </w:r>
            <w:r/>
          </w:p>
        </w:tc>
        <w:tc>
          <w:tcPr>
            <w:tcW w:w="1811" w:type="dxa"/>
            <w:vAlign w:val="center"/>
            <w:textDirection w:val="lrTb"/>
            <w:noWrap w:val="false"/>
          </w:tcPr>
          <w:p>
            <w:pPr>
              <w:pStyle w:val="1484"/>
              <w:jc w:val="center"/>
              <w:rPr>
                <w:rFonts w:hint="eastAsia"/>
              </w:rPr>
            </w:pPr>
            <w:r>
              <w:rPr>
                <w:rFonts w:hint="eastAsia"/>
              </w:rPr>
              <w:t xml:space="preserve">单项金额</w:t>
            </w:r>
            <w:r>
              <w:rPr>
                <w:rFonts w:hint="eastAsia"/>
              </w:rPr>
            </w:r>
            <w:r/>
          </w:p>
        </w:tc>
        <w:tc>
          <w:tcPr>
            <w:tcW w:w="1821" w:type="dxa"/>
            <w:vAlign w:val="center"/>
            <w:textDirection w:val="lrTb"/>
            <w:noWrap w:val="false"/>
          </w:tcPr>
          <w:p>
            <w:pPr>
              <w:pStyle w:val="1484"/>
              <w:jc w:val="center"/>
              <w:rPr>
                <w:rFonts w:hint="eastAsia"/>
              </w:rPr>
            </w:pPr>
            <w:r>
              <w:rPr>
                <w:rFonts w:hint="eastAsia"/>
              </w:rPr>
              <w:t xml:space="preserve">总价金额</w:t>
            </w:r>
            <w:r>
              <w:rPr>
                <w:rFonts w:hint="eastAsia"/>
              </w:rPr>
            </w:r>
            <w:r/>
          </w:p>
        </w:tc>
      </w:tr>
      <w:tr>
        <w:trPr>
          <w:trHeight w:val="454"/>
        </w:trPr>
        <w:tc>
          <w:tcPr>
            <w:tcW w:w="486" w:type="dxa"/>
            <w:vAlign w:val="top"/>
            <w:textDirection w:val="lrTb"/>
            <w:noWrap w:val="false"/>
          </w:tcPr>
          <w:p>
            <w:pPr>
              <w:pStyle w:val="1484"/>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734"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687"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872"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811"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821"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r>
      <w:tr>
        <w:trPr>
          <w:trHeight w:val="454"/>
        </w:trPr>
        <w:tc>
          <w:tcPr>
            <w:tcW w:w="486" w:type="dxa"/>
            <w:vAlign w:val="top"/>
            <w:textDirection w:val="lrTb"/>
            <w:noWrap w:val="false"/>
          </w:tcPr>
          <w:p>
            <w:pPr>
              <w:pStyle w:val="1484"/>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734"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687"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872"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811"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821"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r>
      <w:tr>
        <w:trPr>
          <w:trHeight w:val="454"/>
        </w:trPr>
        <w:tc>
          <w:tcPr>
            <w:tcW w:w="486" w:type="dxa"/>
            <w:vAlign w:val="top"/>
            <w:textDirection w:val="lrTb"/>
            <w:noWrap w:val="false"/>
          </w:tcPr>
          <w:p>
            <w:pPr>
              <w:pStyle w:val="1484"/>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734" w:type="dxa"/>
            <w:vAlign w:val="top"/>
            <w:textDirection w:val="lrTb"/>
            <w:noWrap w:val="false"/>
          </w:tcPr>
          <w:p>
            <w:pPr>
              <w:pStyle w:val="1484"/>
              <w:ind w:left="-827" w:firstLine="827"/>
              <w:spacing w:line="440" w:lineRule="exact"/>
              <w:rPr>
                <w:rFonts w:hint="eastAsia" w:ascii="宋体" w:hAnsi="宋体" w:cs="宋体"/>
                <w:szCs w:val="21"/>
              </w:rPr>
            </w:pPr>
            <w:r>
              <w:rPr>
                <w:rFonts w:hint="eastAsia" w:ascii="宋体" w:hAnsi="宋体" w:cs="宋体"/>
                <w:szCs w:val="21"/>
              </w:rPr>
            </w:r>
            <w:r/>
          </w:p>
        </w:tc>
        <w:tc>
          <w:tcPr>
            <w:tcW w:w="1687"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872"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811"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821"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r>
      <w:tr>
        <w:trPr>
          <w:trHeight w:val="454"/>
        </w:trPr>
        <w:tc>
          <w:tcPr>
            <w:tcW w:w="486" w:type="dxa"/>
            <w:vAlign w:val="top"/>
            <w:textDirection w:val="lrTb"/>
            <w:noWrap w:val="false"/>
          </w:tcPr>
          <w:p>
            <w:pPr>
              <w:pStyle w:val="1484"/>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734"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687"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872"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811"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821"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r>
      <w:tr>
        <w:trPr>
          <w:trHeight w:val="454"/>
        </w:trPr>
        <w:tc>
          <w:tcPr>
            <w:tcW w:w="486" w:type="dxa"/>
            <w:vAlign w:val="top"/>
            <w:textDirection w:val="lrTb"/>
            <w:noWrap w:val="false"/>
          </w:tcPr>
          <w:p>
            <w:pPr>
              <w:pStyle w:val="1484"/>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734"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687"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872"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811"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821"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r>
      <w:tr>
        <w:trPr>
          <w:trHeight w:val="454"/>
        </w:trPr>
        <w:tc>
          <w:tcPr>
            <w:tcW w:w="486" w:type="dxa"/>
            <w:vAlign w:val="top"/>
            <w:textDirection w:val="lrTb"/>
            <w:noWrap w:val="false"/>
          </w:tcPr>
          <w:p>
            <w:pPr>
              <w:pStyle w:val="1484"/>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734"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687"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872"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811"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c>
          <w:tcPr>
            <w:tcW w:w="1821"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r>
      <w:tr>
        <w:trPr>
          <w:trHeight w:val="454"/>
        </w:trPr>
        <w:tc>
          <w:tcPr>
            <w:gridSpan w:val="3"/>
            <w:tcW w:w="3907" w:type="dxa"/>
            <w:vAlign w:val="top"/>
            <w:textDirection w:val="lrTb"/>
            <w:noWrap w:val="false"/>
          </w:tcPr>
          <w:p>
            <w:pPr>
              <w:pStyle w:val="1484"/>
              <w:jc w:val="center"/>
              <w:spacing w:line="440" w:lineRule="exact"/>
              <w:rPr>
                <w:rFonts w:hint="eastAsia" w:ascii="宋体" w:hAnsi="宋体" w:cs="宋体"/>
                <w:szCs w:val="21"/>
              </w:rPr>
            </w:pPr>
            <w:r>
              <w:rPr>
                <w:rFonts w:hint="eastAsia" w:ascii="宋体" w:hAnsi="宋体" w:cs="宋体"/>
                <w:szCs w:val="21"/>
              </w:rPr>
              <w:t xml:space="preserve">投标总价合计：</w:t>
            </w:r>
            <w:r>
              <w:rPr>
                <w:rFonts w:hint="eastAsia" w:ascii="宋体" w:hAnsi="宋体" w:cs="宋体"/>
                <w:szCs w:val="21"/>
              </w:rPr>
            </w:r>
            <w:r/>
          </w:p>
        </w:tc>
        <w:tc>
          <w:tcPr>
            <w:gridSpan w:val="4"/>
            <w:tcW w:w="5868" w:type="dxa"/>
            <w:vAlign w:val="top"/>
            <w:textDirection w:val="lrTb"/>
            <w:noWrap w:val="false"/>
          </w:tcPr>
          <w:p>
            <w:pPr>
              <w:pStyle w:val="1484"/>
              <w:spacing w:line="440" w:lineRule="exact"/>
              <w:rPr>
                <w:rFonts w:hint="eastAsia" w:ascii="宋体" w:hAnsi="宋体" w:cs="宋体"/>
                <w:szCs w:val="21"/>
              </w:rPr>
            </w:pPr>
            <w:r>
              <w:rPr>
                <w:rFonts w:hint="eastAsia" w:ascii="宋体" w:hAnsi="宋体" w:cs="宋体"/>
                <w:szCs w:val="21"/>
              </w:rPr>
            </w:r>
            <w:r/>
          </w:p>
        </w:tc>
      </w:tr>
    </w:tbl>
    <w:p>
      <w:pPr>
        <w:pStyle w:val="1484"/>
        <w:spacing w:line="440" w:lineRule="exact"/>
        <w:rPr>
          <w:rFonts w:hint="eastAsia" w:ascii="宋体" w:cs="宋体"/>
          <w:szCs w:val="21"/>
        </w:rPr>
      </w:pPr>
      <w:r>
        <w:rPr>
          <w:rFonts w:hint="eastAsia" w:ascii="宋体" w:cs="宋体"/>
          <w:szCs w:val="21"/>
        </w:rPr>
      </w:r>
      <w:r/>
    </w:p>
    <w:p>
      <w:pPr>
        <w:pStyle w:val="1484"/>
        <w:spacing w:line="440" w:lineRule="exact"/>
        <w:rPr>
          <w:rFonts w:hint="eastAsia" w:ascii="宋体" w:cs="宋体"/>
          <w:szCs w:val="21"/>
        </w:rPr>
      </w:pPr>
      <w:r>
        <w:rPr>
          <w:rFonts w:hint="eastAsia" w:ascii="宋体" w:cs="宋体"/>
          <w:szCs w:val="21"/>
        </w:rPr>
        <w:t xml:space="preserve">供应商名称（公章）：</w:t>
      </w:r>
      <w:r>
        <w:rPr>
          <w:rFonts w:hint="eastAsia" w:ascii="宋体" w:cs="宋体"/>
          <w:szCs w:val="21"/>
        </w:rPr>
      </w:r>
      <w:r/>
    </w:p>
    <w:p>
      <w:pPr>
        <w:pStyle w:val="1484"/>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484"/>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484"/>
        <w:spacing w:line="440" w:lineRule="exact"/>
        <w:rPr>
          <w:rFonts w:hint="eastAsia"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rPr>
          <w:rFonts w:hint="eastAsia" w:ascii="宋体" w:hAnsi="宋体" w:cs="宋体"/>
          <w:b/>
          <w:bCs/>
        </w:rPr>
        <w:t xml:space="preserve">具体明细内容可在</w:t>
      </w:r>
      <w:r>
        <w:rPr>
          <w:rFonts w:hint="eastAsia" w:ascii="宋体" w:hAnsi="宋体" w:cs="宋体"/>
          <w:b/>
          <w:bCs/>
          <w:szCs w:val="21"/>
        </w:rPr>
        <w:t xml:space="preserve">投标产品配置清单及技术说明中填列完全。</w:t>
      </w:r>
      <w:r>
        <w:rPr>
          <w:rFonts w:hint="eastAsia" w:ascii="宋体" w:hAnsi="宋体" w:cs="宋体"/>
        </w:rPr>
      </w:r>
      <w:r/>
    </w:p>
    <w:p>
      <w:pPr>
        <w:pStyle w:val="1484"/>
        <w:ind w:firstLine="420"/>
        <w:spacing w:line="440" w:lineRule="exact"/>
        <w:rPr>
          <w:rFonts w:hint="eastAsia" w:ascii="宋体" w:hAnsi="宋体" w:cs="宋体"/>
        </w:rPr>
      </w:pPr>
      <w:r>
        <w:rPr>
          <w:rFonts w:hint="eastAsia" w:ascii="宋体" w:hAnsi="宋体" w:cs="宋体"/>
        </w:rPr>
        <w:t xml:space="preserve">2、如果不提供分项报价将视为没有实质性响应招标文件。</w:t>
      </w:r>
      <w:r>
        <w:rPr>
          <w:rFonts w:hint="eastAsia" w:ascii="宋体" w:hAnsi="宋体" w:cs="宋体"/>
        </w:rPr>
      </w:r>
      <w:r/>
    </w:p>
    <w:p>
      <w:pPr>
        <w:pStyle w:val="1484"/>
        <w:ind w:firstLine="420"/>
        <w:spacing w:line="440" w:lineRule="exact"/>
        <w:rPr>
          <w:rFonts w:hint="eastAsia" w:ascii="宋体" w:hAnsi="宋体" w:cs="宋体"/>
        </w:rPr>
      </w:pPr>
      <w:r>
        <w:rPr>
          <w:rFonts w:hint="eastAsia" w:ascii="宋体" w:hAnsi="宋体" w:cs="宋体"/>
        </w:rPr>
        <w:t xml:space="preserve">3、表中表格行数可自行添加。</w:t>
      </w:r>
      <w:r>
        <w:rPr>
          <w:rFonts w:hint="eastAsia" w:ascii="宋体" w:hAnsi="宋体" w:cs="宋体"/>
        </w:rPr>
      </w:r>
      <w:r/>
    </w:p>
    <w:p>
      <w:pPr>
        <w:pStyle w:val="1484"/>
        <w:spacing w:line="440" w:lineRule="exact"/>
        <w:rPr>
          <w:szCs w:val="21"/>
        </w:rPr>
      </w:pPr>
      <w:r>
        <w:rPr>
          <w:szCs w:val="21"/>
        </w:rPr>
      </w:r>
      <w:r/>
    </w:p>
    <w:p>
      <w:pPr>
        <w:pStyle w:val="1484"/>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484"/>
        <w:spacing w:line="440" w:lineRule="exact"/>
        <w:rPr>
          <w:sz w:val="24"/>
        </w:rPr>
      </w:pPr>
      <w:r>
        <w:rPr>
          <w:sz w:val="24"/>
        </w:rPr>
      </w:r>
      <w:r/>
    </w:p>
    <w:p>
      <w:pPr>
        <w:pStyle w:val="1484"/>
        <w:spacing w:after="156" w:line="440" w:lineRule="exact"/>
        <w:rPr>
          <w:b/>
          <w:bCs/>
          <w:sz w:val="24"/>
          <w:szCs w:val="22"/>
        </w:rPr>
        <w:outlineLvl w:val="1"/>
      </w:pPr>
      <w:r/>
      <w:bookmarkStart w:id="254" w:name="_Toc3694"/>
      <w:r/>
      <w:bookmarkStart w:id="255" w:name="_Toc31558"/>
      <w:r/>
      <w:bookmarkStart w:id="256" w:name="_Toc5711"/>
      <w:r>
        <w:rPr>
          <w:b/>
          <w:bCs/>
          <w:sz w:val="24"/>
          <w:szCs w:val="22"/>
        </w:rPr>
        <w:t xml:space="preserve">附件四 商务条款偏离表</w:t>
      </w:r>
      <w:bookmarkEnd w:id="254"/>
      <w:r/>
      <w:bookmarkEnd w:id="255"/>
      <w:r/>
      <w:bookmarkEnd w:id="256"/>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484"/>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484"/>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484"/>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484"/>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484"/>
              <w:spacing w:before="156" w:line="440" w:lineRule="exact"/>
              <w:rPr>
                <w:szCs w:val="21"/>
              </w:rPr>
            </w:pPr>
            <w:r>
              <w:rPr>
                <w:szCs w:val="21"/>
              </w:rPr>
            </w:r>
            <w:r/>
          </w:p>
        </w:tc>
        <w:tc>
          <w:tcPr>
            <w:tcW w:w="3551" w:type="dxa"/>
            <w:vAlign w:val="center"/>
            <w:textDirection w:val="lrTb"/>
            <w:noWrap w:val="false"/>
          </w:tcPr>
          <w:p>
            <w:pPr>
              <w:pStyle w:val="1484"/>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484"/>
              <w:spacing w:before="156" w:line="440" w:lineRule="exact"/>
              <w:rPr>
                <w:szCs w:val="21"/>
              </w:rPr>
            </w:pPr>
            <w:r>
              <w:rPr>
                <w:szCs w:val="21"/>
              </w:rPr>
            </w:r>
            <w:r/>
          </w:p>
        </w:tc>
        <w:tc>
          <w:tcPr>
            <w:tcW w:w="3454" w:type="dxa"/>
            <w:vAlign w:val="top"/>
            <w:textDirection w:val="lrTb"/>
            <w:noWrap w:val="false"/>
          </w:tcPr>
          <w:p>
            <w:pPr>
              <w:pStyle w:val="1484"/>
              <w:spacing w:before="156" w:line="440" w:lineRule="exact"/>
              <w:rPr>
                <w:szCs w:val="21"/>
              </w:rPr>
            </w:pPr>
            <w:r>
              <w:rPr>
                <w:szCs w:val="21"/>
              </w:rPr>
            </w:r>
            <w:r/>
          </w:p>
        </w:tc>
      </w:tr>
      <w:tr>
        <w:trPr>
          <w:trHeight w:val="719"/>
        </w:trPr>
        <w:tc>
          <w:tcPr>
            <w:tcW w:w="849" w:type="dxa"/>
            <w:vAlign w:val="top"/>
            <w:textDirection w:val="lrTb"/>
            <w:noWrap w:val="false"/>
          </w:tcPr>
          <w:p>
            <w:pPr>
              <w:pStyle w:val="1484"/>
              <w:spacing w:before="156" w:line="440" w:lineRule="exact"/>
              <w:rPr>
                <w:szCs w:val="21"/>
              </w:rPr>
            </w:pPr>
            <w:r>
              <w:rPr>
                <w:szCs w:val="21"/>
              </w:rPr>
            </w:r>
            <w:r/>
          </w:p>
        </w:tc>
        <w:tc>
          <w:tcPr>
            <w:tcW w:w="3551" w:type="dxa"/>
            <w:vAlign w:val="center"/>
            <w:textDirection w:val="lrTb"/>
            <w:noWrap w:val="false"/>
          </w:tcPr>
          <w:p>
            <w:pPr>
              <w:pStyle w:val="1484"/>
              <w:jc w:val="center"/>
              <w:spacing w:before="156" w:line="440" w:lineRule="exact"/>
              <w:rPr>
                <w:rFonts w:ascii="Arial" w:hAnsi="Arial" w:cs="Arial"/>
                <w:szCs w:val="21"/>
              </w:rPr>
            </w:pPr>
            <w:r>
              <w:rPr>
                <w:rFonts w:ascii="Arial" w:hAnsi="Arial" w:cs="Arial"/>
                <w:b/>
                <w:bCs/>
                <w:szCs w:val="21"/>
                <w:lang w:bidi="ar"/>
              </w:rPr>
              <w:t xml:space="preserve">付款方式</w:t>
            </w:r>
            <w:r>
              <w:rPr>
                <w:rFonts w:ascii="Arial" w:hAnsi="Arial" w:cs="Arial"/>
                <w:szCs w:val="21"/>
              </w:rPr>
            </w:r>
            <w:r/>
          </w:p>
        </w:tc>
        <w:tc>
          <w:tcPr>
            <w:tcW w:w="1996" w:type="dxa"/>
            <w:vAlign w:val="top"/>
            <w:textDirection w:val="lrTb"/>
            <w:noWrap w:val="false"/>
          </w:tcPr>
          <w:p>
            <w:pPr>
              <w:pStyle w:val="1484"/>
              <w:spacing w:before="156" w:line="440" w:lineRule="exact"/>
              <w:rPr>
                <w:szCs w:val="21"/>
              </w:rPr>
            </w:pPr>
            <w:r>
              <w:rPr>
                <w:szCs w:val="21"/>
              </w:rPr>
            </w:r>
            <w:r/>
          </w:p>
        </w:tc>
        <w:tc>
          <w:tcPr>
            <w:tcW w:w="3454" w:type="dxa"/>
            <w:vAlign w:val="top"/>
            <w:textDirection w:val="lrTb"/>
            <w:noWrap w:val="false"/>
          </w:tcPr>
          <w:p>
            <w:pPr>
              <w:pStyle w:val="1484"/>
              <w:spacing w:before="156" w:line="440" w:lineRule="exact"/>
              <w:rPr>
                <w:szCs w:val="21"/>
              </w:rPr>
            </w:pPr>
            <w:r>
              <w:rPr>
                <w:szCs w:val="21"/>
              </w:rPr>
            </w:r>
            <w:r/>
          </w:p>
        </w:tc>
      </w:tr>
      <w:tr>
        <w:trPr>
          <w:trHeight w:val="540"/>
        </w:trPr>
        <w:tc>
          <w:tcPr>
            <w:tcW w:w="849" w:type="dxa"/>
            <w:vAlign w:val="top"/>
            <w:textDirection w:val="lrTb"/>
            <w:noWrap w:val="false"/>
          </w:tcPr>
          <w:p>
            <w:pPr>
              <w:pStyle w:val="1484"/>
              <w:spacing w:before="156" w:line="440" w:lineRule="exact"/>
              <w:rPr>
                <w:szCs w:val="21"/>
              </w:rPr>
            </w:pPr>
            <w:r>
              <w:rPr>
                <w:szCs w:val="21"/>
              </w:rPr>
            </w:r>
            <w:r/>
          </w:p>
        </w:tc>
        <w:tc>
          <w:tcPr>
            <w:tcW w:w="3551" w:type="dxa"/>
            <w:vAlign w:val="center"/>
            <w:textDirection w:val="lrTb"/>
            <w:noWrap w:val="false"/>
          </w:tcPr>
          <w:p>
            <w:pPr>
              <w:pStyle w:val="1484"/>
              <w:jc w:val="center"/>
              <w:spacing w:before="156" w:line="440" w:lineRule="exact"/>
              <w:rPr>
                <w:rFonts w:ascii="Arial" w:hAnsi="Arial" w:cs="Arial"/>
                <w:szCs w:val="21"/>
              </w:rPr>
            </w:pPr>
            <w:r>
              <w:rPr>
                <w:rFonts w:hint="eastAsia" w:ascii="Arial" w:hAnsi="Arial" w:cs="Arial"/>
                <w:b/>
                <w:bCs/>
                <w:szCs w:val="21"/>
                <w:lang w:bidi="ar"/>
              </w:rPr>
              <w:t xml:space="preserve">售后服务要求</w:t>
            </w:r>
            <w:r>
              <w:rPr>
                <w:rFonts w:ascii="Arial" w:hAnsi="Arial" w:cs="Arial"/>
                <w:szCs w:val="21"/>
              </w:rPr>
            </w:r>
            <w:r/>
          </w:p>
        </w:tc>
        <w:tc>
          <w:tcPr>
            <w:tcW w:w="1996" w:type="dxa"/>
            <w:vAlign w:val="top"/>
            <w:textDirection w:val="lrTb"/>
            <w:noWrap w:val="false"/>
          </w:tcPr>
          <w:p>
            <w:pPr>
              <w:pStyle w:val="1484"/>
              <w:ind w:left="43"/>
              <w:spacing w:before="156" w:line="440" w:lineRule="exact"/>
              <w:rPr>
                <w:szCs w:val="21"/>
              </w:rPr>
            </w:pPr>
            <w:r>
              <w:rPr>
                <w:szCs w:val="21"/>
              </w:rPr>
            </w:r>
            <w:r/>
          </w:p>
        </w:tc>
        <w:tc>
          <w:tcPr>
            <w:tcW w:w="3454" w:type="dxa"/>
            <w:vAlign w:val="top"/>
            <w:textDirection w:val="lrTb"/>
            <w:noWrap w:val="false"/>
          </w:tcPr>
          <w:p>
            <w:pPr>
              <w:pStyle w:val="1484"/>
              <w:ind w:left="43"/>
              <w:spacing w:before="156" w:line="440" w:lineRule="exact"/>
              <w:rPr>
                <w:szCs w:val="21"/>
              </w:rPr>
            </w:pPr>
            <w:r>
              <w:rPr>
                <w:szCs w:val="21"/>
              </w:rPr>
            </w:r>
            <w:r/>
          </w:p>
        </w:tc>
      </w:tr>
      <w:tr>
        <w:trPr>
          <w:trHeight w:val="440"/>
        </w:trPr>
        <w:tc>
          <w:tcPr>
            <w:tcW w:w="849" w:type="dxa"/>
            <w:vAlign w:val="top"/>
            <w:textDirection w:val="lrTb"/>
            <w:noWrap w:val="false"/>
          </w:tcPr>
          <w:p>
            <w:pPr>
              <w:pStyle w:val="1484"/>
              <w:spacing w:before="156" w:line="440" w:lineRule="exact"/>
              <w:rPr>
                <w:szCs w:val="21"/>
              </w:rPr>
            </w:pPr>
            <w:r>
              <w:rPr>
                <w:szCs w:val="21"/>
              </w:rPr>
            </w:r>
            <w:r/>
          </w:p>
        </w:tc>
        <w:tc>
          <w:tcPr>
            <w:tcW w:w="3551" w:type="dxa"/>
            <w:vAlign w:val="top"/>
            <w:textDirection w:val="lrTb"/>
            <w:noWrap w:val="false"/>
          </w:tcPr>
          <w:p>
            <w:pPr>
              <w:pStyle w:val="1484"/>
              <w:jc w:val="center"/>
              <w:spacing w:before="156" w:line="440" w:lineRule="exact"/>
              <w:rPr>
                <w:rFonts w:ascii="Arial" w:hAnsi="Arial" w:cs="Arial"/>
                <w:szCs w:val="21"/>
              </w:rPr>
            </w:pPr>
            <w:r>
              <w:rPr>
                <w:rFonts w:ascii="Arial" w:hAnsi="Arial" w:cs="Arial"/>
                <w:szCs w:val="21"/>
              </w:rPr>
            </w:r>
            <w:r/>
          </w:p>
        </w:tc>
        <w:tc>
          <w:tcPr>
            <w:tcW w:w="1996" w:type="dxa"/>
            <w:vAlign w:val="top"/>
            <w:textDirection w:val="lrTb"/>
            <w:noWrap w:val="false"/>
          </w:tcPr>
          <w:p>
            <w:pPr>
              <w:pStyle w:val="1484"/>
              <w:ind w:left="43"/>
              <w:spacing w:before="156" w:line="440" w:lineRule="exact"/>
              <w:rPr>
                <w:szCs w:val="21"/>
              </w:rPr>
            </w:pPr>
            <w:r>
              <w:rPr>
                <w:szCs w:val="21"/>
              </w:rPr>
            </w:r>
            <w:r/>
          </w:p>
        </w:tc>
        <w:tc>
          <w:tcPr>
            <w:tcW w:w="3454" w:type="dxa"/>
            <w:vAlign w:val="top"/>
            <w:textDirection w:val="lrTb"/>
            <w:noWrap w:val="false"/>
          </w:tcPr>
          <w:p>
            <w:pPr>
              <w:pStyle w:val="1484"/>
              <w:ind w:left="43"/>
              <w:spacing w:before="156" w:line="440" w:lineRule="exact"/>
              <w:rPr>
                <w:szCs w:val="21"/>
              </w:rPr>
            </w:pPr>
            <w:r>
              <w:rPr>
                <w:szCs w:val="21"/>
              </w:rPr>
            </w:r>
            <w:r/>
          </w:p>
        </w:tc>
      </w:tr>
      <w:tr>
        <w:trPr>
          <w:trHeight w:val="460"/>
        </w:trPr>
        <w:tc>
          <w:tcPr>
            <w:tcW w:w="849" w:type="dxa"/>
            <w:vAlign w:val="top"/>
            <w:textDirection w:val="lrTb"/>
            <w:noWrap w:val="false"/>
          </w:tcPr>
          <w:p>
            <w:pPr>
              <w:pStyle w:val="1484"/>
              <w:spacing w:before="156" w:line="440" w:lineRule="exact"/>
              <w:rPr>
                <w:szCs w:val="21"/>
              </w:rPr>
            </w:pPr>
            <w:r>
              <w:rPr>
                <w:szCs w:val="21"/>
              </w:rPr>
            </w:r>
            <w:r/>
          </w:p>
        </w:tc>
        <w:tc>
          <w:tcPr>
            <w:tcW w:w="3551" w:type="dxa"/>
            <w:vAlign w:val="top"/>
            <w:textDirection w:val="lrTb"/>
            <w:noWrap w:val="false"/>
          </w:tcPr>
          <w:p>
            <w:pPr>
              <w:pStyle w:val="1484"/>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484"/>
              <w:ind w:left="43"/>
              <w:spacing w:before="156" w:line="440" w:lineRule="exact"/>
              <w:rPr>
                <w:szCs w:val="21"/>
              </w:rPr>
            </w:pPr>
            <w:r>
              <w:rPr>
                <w:szCs w:val="21"/>
              </w:rPr>
            </w:r>
            <w:r/>
          </w:p>
        </w:tc>
        <w:tc>
          <w:tcPr>
            <w:tcW w:w="3454" w:type="dxa"/>
            <w:vAlign w:val="top"/>
            <w:textDirection w:val="lrTb"/>
            <w:noWrap w:val="false"/>
          </w:tcPr>
          <w:p>
            <w:pPr>
              <w:pStyle w:val="1484"/>
              <w:ind w:left="43"/>
              <w:spacing w:before="156" w:line="440" w:lineRule="exact"/>
              <w:rPr>
                <w:szCs w:val="21"/>
              </w:rPr>
            </w:pPr>
            <w:r>
              <w:rPr>
                <w:szCs w:val="21"/>
              </w:rPr>
            </w:r>
            <w:r/>
          </w:p>
        </w:tc>
      </w:tr>
      <w:tr>
        <w:trPr>
          <w:trHeight w:val="820"/>
        </w:trPr>
        <w:tc>
          <w:tcPr>
            <w:tcW w:w="849" w:type="dxa"/>
            <w:vAlign w:val="top"/>
            <w:textDirection w:val="lrTb"/>
            <w:noWrap w:val="false"/>
          </w:tcPr>
          <w:p>
            <w:pPr>
              <w:pStyle w:val="1484"/>
              <w:spacing w:before="156" w:line="440" w:lineRule="exact"/>
              <w:rPr>
                <w:szCs w:val="21"/>
              </w:rPr>
            </w:pPr>
            <w:r>
              <w:rPr>
                <w:szCs w:val="21"/>
              </w:rPr>
            </w:r>
            <w:r/>
          </w:p>
        </w:tc>
        <w:tc>
          <w:tcPr>
            <w:tcW w:w="3551" w:type="dxa"/>
            <w:vAlign w:val="top"/>
            <w:textDirection w:val="lrTb"/>
            <w:noWrap w:val="false"/>
          </w:tcPr>
          <w:p>
            <w:pPr>
              <w:pStyle w:val="1484"/>
              <w:spacing w:before="156" w:line="440" w:lineRule="exact"/>
              <w:rPr>
                <w:szCs w:val="21"/>
              </w:rPr>
            </w:pPr>
            <w:r>
              <w:rPr>
                <w:szCs w:val="21"/>
              </w:rPr>
            </w:r>
            <w:r/>
          </w:p>
        </w:tc>
        <w:tc>
          <w:tcPr>
            <w:tcW w:w="1996" w:type="dxa"/>
            <w:vAlign w:val="top"/>
            <w:textDirection w:val="lrTb"/>
            <w:noWrap w:val="false"/>
          </w:tcPr>
          <w:p>
            <w:pPr>
              <w:pStyle w:val="1484"/>
              <w:spacing w:before="156" w:line="440" w:lineRule="exact"/>
              <w:rPr>
                <w:szCs w:val="21"/>
              </w:rPr>
            </w:pPr>
            <w:r>
              <w:rPr>
                <w:szCs w:val="21"/>
              </w:rPr>
            </w:r>
            <w:r/>
          </w:p>
        </w:tc>
        <w:tc>
          <w:tcPr>
            <w:tcW w:w="3454" w:type="dxa"/>
            <w:vAlign w:val="top"/>
            <w:textDirection w:val="lrTb"/>
            <w:noWrap w:val="false"/>
          </w:tcPr>
          <w:p>
            <w:pPr>
              <w:pStyle w:val="1484"/>
              <w:spacing w:before="156" w:line="440" w:lineRule="exact"/>
              <w:rPr>
                <w:szCs w:val="21"/>
              </w:rPr>
            </w:pPr>
            <w:r>
              <w:rPr>
                <w:szCs w:val="21"/>
              </w:rPr>
            </w:r>
            <w:r/>
          </w:p>
        </w:tc>
      </w:tr>
      <w:tr>
        <w:trPr>
          <w:trHeight w:val="340"/>
        </w:trPr>
        <w:tc>
          <w:tcPr>
            <w:tcW w:w="849" w:type="dxa"/>
            <w:vAlign w:val="top"/>
            <w:textDirection w:val="lrTb"/>
            <w:noWrap w:val="false"/>
          </w:tcPr>
          <w:p>
            <w:pPr>
              <w:pStyle w:val="1484"/>
              <w:spacing w:before="156" w:line="440" w:lineRule="exact"/>
              <w:rPr>
                <w:szCs w:val="21"/>
              </w:rPr>
            </w:pPr>
            <w:r>
              <w:rPr>
                <w:szCs w:val="21"/>
              </w:rPr>
            </w:r>
            <w:r/>
          </w:p>
        </w:tc>
        <w:tc>
          <w:tcPr>
            <w:tcW w:w="3551" w:type="dxa"/>
            <w:vAlign w:val="top"/>
            <w:textDirection w:val="lrTb"/>
            <w:noWrap w:val="false"/>
          </w:tcPr>
          <w:p>
            <w:pPr>
              <w:pStyle w:val="1484"/>
              <w:spacing w:before="156" w:line="440" w:lineRule="exact"/>
              <w:rPr>
                <w:szCs w:val="21"/>
              </w:rPr>
            </w:pPr>
            <w:r>
              <w:rPr>
                <w:szCs w:val="21"/>
              </w:rPr>
            </w:r>
            <w:r/>
          </w:p>
        </w:tc>
        <w:tc>
          <w:tcPr>
            <w:tcW w:w="1996" w:type="dxa"/>
            <w:vAlign w:val="top"/>
            <w:textDirection w:val="lrTb"/>
            <w:noWrap w:val="false"/>
          </w:tcPr>
          <w:p>
            <w:pPr>
              <w:pStyle w:val="1484"/>
              <w:spacing w:before="156" w:line="440" w:lineRule="exact"/>
              <w:rPr>
                <w:szCs w:val="21"/>
              </w:rPr>
            </w:pPr>
            <w:r>
              <w:rPr>
                <w:szCs w:val="21"/>
              </w:rPr>
            </w:r>
            <w:r/>
          </w:p>
        </w:tc>
        <w:tc>
          <w:tcPr>
            <w:tcW w:w="3454" w:type="dxa"/>
            <w:vAlign w:val="top"/>
            <w:textDirection w:val="lrTb"/>
            <w:noWrap w:val="false"/>
          </w:tcPr>
          <w:p>
            <w:pPr>
              <w:pStyle w:val="1484"/>
              <w:spacing w:before="156" w:line="440" w:lineRule="exact"/>
              <w:rPr>
                <w:szCs w:val="21"/>
              </w:rPr>
            </w:pPr>
            <w:r>
              <w:rPr>
                <w:szCs w:val="21"/>
              </w:rPr>
            </w:r>
            <w:r/>
          </w:p>
        </w:tc>
      </w:tr>
    </w:tbl>
    <w:p>
      <w:pPr>
        <w:pStyle w:val="1484"/>
        <w:spacing w:line="440" w:lineRule="exact"/>
        <w:rPr>
          <w:sz w:val="24"/>
        </w:rPr>
      </w:pPr>
      <w:r>
        <w:rPr>
          <w:sz w:val="24"/>
        </w:rPr>
      </w:r>
      <w:r/>
    </w:p>
    <w:p>
      <w:pPr>
        <w:pStyle w:val="1484"/>
        <w:spacing w:line="440" w:lineRule="exact"/>
        <w:rPr>
          <w:szCs w:val="21"/>
        </w:rPr>
      </w:pPr>
      <w:r>
        <w:rPr>
          <w:szCs w:val="21"/>
        </w:rPr>
        <w:t xml:space="preserve">投标人名称（公章）：</w:t>
      </w:r>
      <w:r>
        <w:rPr>
          <w:szCs w:val="21"/>
        </w:rPr>
      </w:r>
      <w:r/>
    </w:p>
    <w:p>
      <w:pPr>
        <w:pStyle w:val="1484"/>
        <w:spacing w:line="440" w:lineRule="exact"/>
        <w:rPr>
          <w:szCs w:val="21"/>
        </w:rPr>
      </w:pPr>
      <w:r>
        <w:rPr>
          <w:szCs w:val="21"/>
        </w:rPr>
        <w:t xml:space="preserve">授权代表（签字）：</w:t>
      </w:r>
      <w:r>
        <w:rPr>
          <w:szCs w:val="21"/>
        </w:rPr>
      </w:r>
      <w:r/>
    </w:p>
    <w:p>
      <w:pPr>
        <w:pStyle w:val="1484"/>
        <w:spacing w:line="440" w:lineRule="exact"/>
        <w:rPr>
          <w:szCs w:val="21"/>
        </w:rPr>
      </w:pPr>
      <w:r>
        <w:rPr>
          <w:szCs w:val="21"/>
        </w:rPr>
        <w:t xml:space="preserve">日期：</w:t>
      </w:r>
      <w:r>
        <w:rPr>
          <w:szCs w:val="21"/>
        </w:rPr>
      </w:r>
      <w:r/>
    </w:p>
    <w:p>
      <w:pPr>
        <w:pStyle w:val="1484"/>
        <w:spacing w:line="440" w:lineRule="exact"/>
        <w:rPr>
          <w:color w:val="000000"/>
          <w:szCs w:val="21"/>
        </w:rPr>
      </w:pPr>
      <w:r>
        <w:rPr>
          <w:color w:val="000000"/>
          <w:szCs w:val="21"/>
        </w:rPr>
      </w:r>
      <w:r/>
    </w:p>
    <w:p>
      <w:pPr>
        <w:pStyle w:val="1484"/>
        <w:spacing w:line="440" w:lineRule="exact"/>
        <w:rPr>
          <w:color w:val="000000"/>
          <w:szCs w:val="21"/>
        </w:rPr>
      </w:pPr>
      <w:r>
        <w:rPr>
          <w:color w:val="000000"/>
          <w:szCs w:val="21"/>
        </w:rPr>
        <w:t xml:space="preserve">注：1、供应商如对</w:t>
      </w:r>
      <w:r>
        <w:rPr>
          <w:szCs w:val="21"/>
        </w:rPr>
        <w:t xml:space="preserve">包括</w:t>
      </w:r>
      <w:r>
        <w:rPr>
          <w:b/>
          <w:bCs/>
          <w:szCs w:val="21"/>
        </w:rPr>
        <w:t xml:space="preserve">合同履行期限（服务期）、售后服务要求、付款方式、合同条款等</w:t>
      </w:r>
      <w:r>
        <w:rPr>
          <w:color w:val="000000"/>
          <w:szCs w:val="21"/>
        </w:rPr>
        <w:t xml:space="preserve">商务条款的响应有任何偏离，请在本表中详细填写。如不列出，则视为供应商完全同意招标文件的商务条款。</w:t>
      </w:r>
      <w:r>
        <w:rPr>
          <w:color w:val="000000"/>
          <w:szCs w:val="21"/>
        </w:rPr>
      </w:r>
      <w:r/>
    </w:p>
    <w:p>
      <w:pPr>
        <w:pStyle w:val="1484"/>
        <w:numPr>
          <w:ilvl w:val="0"/>
          <w:numId w:val="1"/>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rPr>
          <w:color w:val="000000"/>
          <w:szCs w:val="21"/>
        </w:rPr>
      </w:r>
      <w:r/>
    </w:p>
    <w:p>
      <w:pPr>
        <w:pStyle w:val="1484"/>
        <w:ind w:firstLine="420"/>
        <w:spacing w:line="440" w:lineRule="exact"/>
        <w:rPr>
          <w:color w:val="000000"/>
          <w:szCs w:val="21"/>
        </w:rPr>
      </w:pPr>
      <w:r>
        <w:rPr>
          <w:color w:val="000000"/>
          <w:szCs w:val="21"/>
        </w:rPr>
        <w:t xml:space="preserve">3、如果行数不够，请自行增加。</w:t>
      </w:r>
      <w:r>
        <w:rPr>
          <w:color w:val="000000"/>
          <w:szCs w:val="21"/>
        </w:rPr>
      </w:r>
      <w:r/>
    </w:p>
    <w:p>
      <w:pPr>
        <w:pStyle w:val="1484"/>
        <w:ind w:firstLine="5494"/>
        <w:spacing w:line="440" w:lineRule="exact"/>
        <w:rPr>
          <w:sz w:val="24"/>
        </w:rPr>
      </w:pPr>
      <w:r>
        <w:rPr>
          <w:sz w:val="24"/>
        </w:rPr>
      </w:r>
      <w:r/>
    </w:p>
    <w:p>
      <w:pPr>
        <w:pStyle w:val="1484"/>
        <w:spacing w:line="440" w:lineRule="exact"/>
        <w:rPr>
          <w:sz w:val="24"/>
        </w:rPr>
      </w:pPr>
      <w:r>
        <w:rPr>
          <w:sz w:val="24"/>
        </w:rPr>
      </w:r>
      <w:r/>
    </w:p>
    <w:p>
      <w:pPr>
        <w:pStyle w:val="1484"/>
        <w:ind w:right="-334"/>
        <w:spacing w:line="440" w:lineRule="exact"/>
        <w:rPr>
          <w:sz w:val="24"/>
        </w:rPr>
      </w:pPr>
      <w:r>
        <w:rPr>
          <w:sz w:val="24"/>
        </w:rPr>
      </w:r>
      <w:r/>
    </w:p>
    <w:p>
      <w:pPr>
        <w:pStyle w:val="1484"/>
        <w:ind w:right="-334"/>
        <w:spacing w:line="440" w:lineRule="exact"/>
        <w:rPr>
          <w:sz w:val="24"/>
        </w:rPr>
      </w:pPr>
      <w:r>
        <w:rPr>
          <w:sz w:val="24"/>
        </w:rPr>
      </w:r>
      <w:r/>
    </w:p>
    <w:p>
      <w:pPr>
        <w:pStyle w:val="1484"/>
        <w:ind w:right="-334"/>
        <w:spacing w:line="440" w:lineRule="exact"/>
        <w:rPr>
          <w:sz w:val="24"/>
        </w:rPr>
      </w:pPr>
      <w:r>
        <w:rPr>
          <w:sz w:val="24"/>
        </w:rPr>
      </w:r>
      <w:r/>
    </w:p>
    <w:p>
      <w:pPr>
        <w:pStyle w:val="1484"/>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84"/>
        <w:spacing w:after="156" w:line="440" w:lineRule="exact"/>
        <w:rPr>
          <w:b/>
          <w:bCs/>
          <w:sz w:val="24"/>
          <w:szCs w:val="22"/>
        </w:rPr>
        <w:outlineLvl w:val="1"/>
      </w:pPr>
      <w:r/>
      <w:bookmarkStart w:id="257" w:name="_Toc17448"/>
      <w:r/>
      <w:bookmarkStart w:id="258" w:name="_Toc18916"/>
      <w:r>
        <w:rPr>
          <w:b/>
          <w:bCs/>
          <w:sz w:val="24"/>
          <w:szCs w:val="22"/>
        </w:rPr>
        <w:t xml:space="preserve">附件五 技术条款偏离表</w:t>
      </w:r>
      <w:bookmarkEnd w:id="257"/>
      <w:r/>
      <w:bookmarkEnd w:id="258"/>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484"/>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484"/>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484"/>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484"/>
              <w:jc w:val="center"/>
              <w:spacing w:line="440" w:lineRule="exact"/>
              <w:rPr>
                <w:szCs w:val="21"/>
              </w:rPr>
            </w:pPr>
            <w:r>
              <w:rPr>
                <w:szCs w:val="21"/>
              </w:rPr>
            </w:r>
            <w:r/>
          </w:p>
          <w:p>
            <w:pPr>
              <w:pStyle w:val="1484"/>
              <w:jc w:val="center"/>
              <w:spacing w:line="440" w:lineRule="exact"/>
              <w:rPr>
                <w:szCs w:val="21"/>
              </w:rPr>
            </w:pPr>
            <w:r>
              <w:rPr>
                <w:szCs w:val="21"/>
              </w:rPr>
              <w:t xml:space="preserve">说明</w:t>
            </w:r>
            <w:r>
              <w:rPr>
                <w:szCs w:val="21"/>
              </w:rPr>
            </w:r>
            <w:r/>
          </w:p>
        </w:tc>
        <w:tc>
          <w:tcPr>
            <w:tcW w:w="2143" w:type="dxa"/>
            <w:vAlign w:val="top"/>
            <w:vMerge w:val="restart"/>
            <w:textDirection w:val="lrTb"/>
            <w:noWrap w:val="false"/>
          </w:tcPr>
          <w:p>
            <w:pPr>
              <w:pStyle w:val="1484"/>
              <w:jc w:val="center"/>
              <w:spacing w:line="440" w:lineRule="exact"/>
              <w:rPr>
                <w:szCs w:val="21"/>
              </w:rPr>
            </w:pPr>
            <w:r>
              <w:rPr>
                <w:szCs w:val="21"/>
              </w:rPr>
              <w:t xml:space="preserve">“★”技术规格响应证明文件的具体位置</w:t>
            </w:r>
            <w:r>
              <w:rPr>
                <w:szCs w:val="21"/>
              </w:rPr>
            </w:r>
            <w:r/>
          </w:p>
        </w:tc>
      </w:tr>
      <w:tr>
        <w:trPr>
          <w:cantSplit/>
        </w:trPr>
        <w:tc>
          <w:tcPr>
            <w:tcW w:w="675" w:type="dxa"/>
            <w:vAlign w:val="center"/>
            <w:vMerge w:val="continue"/>
            <w:textDirection w:val="lrTb"/>
            <w:noWrap w:val="false"/>
          </w:tcPr>
          <w:p>
            <w:pPr>
              <w:pStyle w:val="1484"/>
              <w:jc w:val="left"/>
              <w:spacing w:line="440" w:lineRule="exact"/>
              <w:widowControl/>
              <w:rPr>
                <w:szCs w:val="21"/>
              </w:rPr>
            </w:pPr>
            <w:r>
              <w:rPr>
                <w:szCs w:val="21"/>
              </w:rPr>
            </w:r>
            <w:r/>
          </w:p>
        </w:tc>
        <w:tc>
          <w:tcPr>
            <w:tcW w:w="1134" w:type="dxa"/>
            <w:vAlign w:val="center"/>
            <w:textDirection w:val="lrTb"/>
            <w:noWrap w:val="false"/>
          </w:tcPr>
          <w:p>
            <w:pPr>
              <w:pStyle w:val="1484"/>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484"/>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484"/>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484"/>
              <w:jc w:val="center"/>
              <w:spacing w:line="440" w:lineRule="exact"/>
              <w:rPr>
                <w:szCs w:val="21"/>
              </w:rPr>
            </w:pPr>
            <w:r>
              <w:rPr>
                <w:szCs w:val="21"/>
              </w:rPr>
            </w:r>
            <w:r/>
          </w:p>
        </w:tc>
        <w:tc>
          <w:tcPr>
            <w:tcW w:w="2143" w:type="dxa"/>
            <w:vAlign w:val="top"/>
            <w:vMerge w:val="continue"/>
            <w:textDirection w:val="lrTb"/>
            <w:noWrap w:val="false"/>
          </w:tcPr>
          <w:p>
            <w:pPr>
              <w:pStyle w:val="1484"/>
              <w:jc w:val="center"/>
              <w:spacing w:line="440" w:lineRule="exact"/>
              <w:rPr>
                <w:szCs w:val="21"/>
              </w:rPr>
            </w:pPr>
            <w:r>
              <w:rPr>
                <w:szCs w:val="21"/>
              </w:rPr>
            </w:r>
            <w:r/>
          </w:p>
        </w:tc>
      </w:tr>
      <w:tr>
        <w:trPr/>
        <w:tc>
          <w:tcPr>
            <w:tcW w:w="675" w:type="dxa"/>
            <w:vAlign w:val="top"/>
            <w:textDirection w:val="lrTb"/>
            <w:noWrap w:val="false"/>
          </w:tcPr>
          <w:p>
            <w:pPr>
              <w:pStyle w:val="1484"/>
              <w:spacing w:line="440" w:lineRule="exact"/>
              <w:rPr>
                <w:szCs w:val="21"/>
              </w:rPr>
            </w:pPr>
            <w:r>
              <w:rPr>
                <w:szCs w:val="21"/>
              </w:rPr>
            </w:r>
            <w:r/>
          </w:p>
        </w:tc>
        <w:tc>
          <w:tcPr>
            <w:tcW w:w="1134"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776" w:type="dxa"/>
            <w:vAlign w:val="top"/>
            <w:textDirection w:val="lrTb"/>
            <w:noWrap w:val="false"/>
          </w:tcPr>
          <w:p>
            <w:pPr>
              <w:pStyle w:val="1484"/>
              <w:spacing w:line="440" w:lineRule="exact"/>
              <w:rPr>
                <w:szCs w:val="21"/>
              </w:rPr>
            </w:pPr>
            <w:r>
              <w:rPr>
                <w:szCs w:val="21"/>
              </w:rPr>
            </w:r>
            <w:r/>
          </w:p>
        </w:tc>
        <w:tc>
          <w:tcPr>
            <w:tcW w:w="2143" w:type="dxa"/>
            <w:vAlign w:val="top"/>
            <w:textDirection w:val="lrTb"/>
            <w:noWrap w:val="false"/>
          </w:tcPr>
          <w:p>
            <w:pPr>
              <w:pStyle w:val="1484"/>
              <w:spacing w:line="440" w:lineRule="exact"/>
              <w:rPr>
                <w:szCs w:val="21"/>
              </w:rPr>
            </w:pPr>
            <w:r>
              <w:rPr>
                <w:szCs w:val="21"/>
              </w:rPr>
            </w:r>
            <w:r/>
          </w:p>
        </w:tc>
      </w:tr>
      <w:tr>
        <w:trPr/>
        <w:tc>
          <w:tcPr>
            <w:tcW w:w="675" w:type="dxa"/>
            <w:vAlign w:val="top"/>
            <w:textDirection w:val="lrTb"/>
            <w:noWrap w:val="false"/>
          </w:tcPr>
          <w:p>
            <w:pPr>
              <w:pStyle w:val="1484"/>
              <w:spacing w:line="440" w:lineRule="exact"/>
              <w:rPr>
                <w:szCs w:val="21"/>
              </w:rPr>
            </w:pPr>
            <w:r>
              <w:rPr>
                <w:szCs w:val="21"/>
              </w:rPr>
            </w:r>
            <w:r/>
          </w:p>
        </w:tc>
        <w:tc>
          <w:tcPr>
            <w:tcW w:w="1134"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776" w:type="dxa"/>
            <w:vAlign w:val="top"/>
            <w:textDirection w:val="lrTb"/>
            <w:noWrap w:val="false"/>
          </w:tcPr>
          <w:p>
            <w:pPr>
              <w:pStyle w:val="1484"/>
              <w:spacing w:line="440" w:lineRule="exact"/>
              <w:rPr>
                <w:szCs w:val="21"/>
              </w:rPr>
            </w:pPr>
            <w:r>
              <w:rPr>
                <w:szCs w:val="21"/>
              </w:rPr>
            </w:r>
            <w:r/>
          </w:p>
        </w:tc>
        <w:tc>
          <w:tcPr>
            <w:tcW w:w="2143" w:type="dxa"/>
            <w:vAlign w:val="top"/>
            <w:textDirection w:val="lrTb"/>
            <w:noWrap w:val="false"/>
          </w:tcPr>
          <w:p>
            <w:pPr>
              <w:pStyle w:val="1484"/>
              <w:spacing w:line="440" w:lineRule="exact"/>
              <w:rPr>
                <w:szCs w:val="21"/>
              </w:rPr>
            </w:pPr>
            <w:r>
              <w:rPr>
                <w:szCs w:val="21"/>
              </w:rPr>
            </w:r>
            <w:r/>
          </w:p>
        </w:tc>
      </w:tr>
      <w:tr>
        <w:trPr/>
        <w:tc>
          <w:tcPr>
            <w:tcW w:w="675" w:type="dxa"/>
            <w:vAlign w:val="top"/>
            <w:textDirection w:val="lrTb"/>
            <w:noWrap w:val="false"/>
          </w:tcPr>
          <w:p>
            <w:pPr>
              <w:pStyle w:val="1484"/>
              <w:spacing w:line="440" w:lineRule="exact"/>
              <w:rPr>
                <w:szCs w:val="21"/>
              </w:rPr>
            </w:pPr>
            <w:r>
              <w:rPr>
                <w:szCs w:val="21"/>
              </w:rPr>
            </w:r>
            <w:r/>
          </w:p>
        </w:tc>
        <w:tc>
          <w:tcPr>
            <w:tcW w:w="1134"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776" w:type="dxa"/>
            <w:vAlign w:val="top"/>
            <w:textDirection w:val="lrTb"/>
            <w:noWrap w:val="false"/>
          </w:tcPr>
          <w:p>
            <w:pPr>
              <w:pStyle w:val="1484"/>
              <w:spacing w:line="440" w:lineRule="exact"/>
              <w:rPr>
                <w:szCs w:val="21"/>
              </w:rPr>
            </w:pPr>
            <w:r>
              <w:rPr>
                <w:szCs w:val="21"/>
              </w:rPr>
            </w:r>
            <w:r/>
          </w:p>
        </w:tc>
        <w:tc>
          <w:tcPr>
            <w:tcW w:w="2143" w:type="dxa"/>
            <w:vAlign w:val="top"/>
            <w:textDirection w:val="lrTb"/>
            <w:noWrap w:val="false"/>
          </w:tcPr>
          <w:p>
            <w:pPr>
              <w:pStyle w:val="1484"/>
              <w:spacing w:line="440" w:lineRule="exact"/>
              <w:rPr>
                <w:szCs w:val="21"/>
              </w:rPr>
            </w:pPr>
            <w:r>
              <w:rPr>
                <w:szCs w:val="21"/>
              </w:rPr>
            </w:r>
            <w:r/>
          </w:p>
        </w:tc>
      </w:tr>
      <w:tr>
        <w:trPr/>
        <w:tc>
          <w:tcPr>
            <w:tcW w:w="675" w:type="dxa"/>
            <w:vAlign w:val="top"/>
            <w:textDirection w:val="lrTb"/>
            <w:noWrap w:val="false"/>
          </w:tcPr>
          <w:p>
            <w:pPr>
              <w:pStyle w:val="1484"/>
              <w:spacing w:line="440" w:lineRule="exact"/>
              <w:rPr>
                <w:szCs w:val="21"/>
              </w:rPr>
            </w:pPr>
            <w:r>
              <w:rPr>
                <w:szCs w:val="21"/>
              </w:rPr>
            </w:r>
            <w:r/>
          </w:p>
        </w:tc>
        <w:tc>
          <w:tcPr>
            <w:tcW w:w="1134"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776" w:type="dxa"/>
            <w:vAlign w:val="top"/>
            <w:textDirection w:val="lrTb"/>
            <w:noWrap w:val="false"/>
          </w:tcPr>
          <w:p>
            <w:pPr>
              <w:pStyle w:val="1484"/>
              <w:spacing w:line="440" w:lineRule="exact"/>
              <w:rPr>
                <w:szCs w:val="21"/>
              </w:rPr>
            </w:pPr>
            <w:r>
              <w:rPr>
                <w:szCs w:val="21"/>
              </w:rPr>
            </w:r>
            <w:r/>
          </w:p>
        </w:tc>
        <w:tc>
          <w:tcPr>
            <w:tcW w:w="2143" w:type="dxa"/>
            <w:vAlign w:val="top"/>
            <w:textDirection w:val="lrTb"/>
            <w:noWrap w:val="false"/>
          </w:tcPr>
          <w:p>
            <w:pPr>
              <w:pStyle w:val="1484"/>
              <w:spacing w:line="440" w:lineRule="exact"/>
              <w:rPr>
                <w:szCs w:val="21"/>
              </w:rPr>
            </w:pPr>
            <w:r>
              <w:rPr>
                <w:szCs w:val="21"/>
              </w:rPr>
            </w:r>
            <w:r/>
          </w:p>
        </w:tc>
      </w:tr>
      <w:tr>
        <w:trPr/>
        <w:tc>
          <w:tcPr>
            <w:tcW w:w="675" w:type="dxa"/>
            <w:vAlign w:val="top"/>
            <w:textDirection w:val="lrTb"/>
            <w:noWrap w:val="false"/>
          </w:tcPr>
          <w:p>
            <w:pPr>
              <w:pStyle w:val="1484"/>
              <w:spacing w:line="440" w:lineRule="exact"/>
              <w:rPr>
                <w:szCs w:val="21"/>
              </w:rPr>
            </w:pPr>
            <w:r>
              <w:rPr>
                <w:szCs w:val="21"/>
              </w:rPr>
            </w:r>
            <w:r/>
          </w:p>
        </w:tc>
        <w:tc>
          <w:tcPr>
            <w:tcW w:w="1134"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776" w:type="dxa"/>
            <w:vAlign w:val="top"/>
            <w:textDirection w:val="lrTb"/>
            <w:noWrap w:val="false"/>
          </w:tcPr>
          <w:p>
            <w:pPr>
              <w:pStyle w:val="1484"/>
              <w:spacing w:line="440" w:lineRule="exact"/>
              <w:rPr>
                <w:szCs w:val="21"/>
              </w:rPr>
            </w:pPr>
            <w:r>
              <w:rPr>
                <w:szCs w:val="21"/>
              </w:rPr>
            </w:r>
            <w:r/>
          </w:p>
        </w:tc>
        <w:tc>
          <w:tcPr>
            <w:tcW w:w="2143" w:type="dxa"/>
            <w:vAlign w:val="top"/>
            <w:textDirection w:val="lrTb"/>
            <w:noWrap w:val="false"/>
          </w:tcPr>
          <w:p>
            <w:pPr>
              <w:pStyle w:val="1484"/>
              <w:spacing w:line="440" w:lineRule="exact"/>
              <w:rPr>
                <w:szCs w:val="21"/>
              </w:rPr>
            </w:pPr>
            <w:r>
              <w:rPr>
                <w:szCs w:val="21"/>
              </w:rPr>
            </w:r>
            <w:r/>
          </w:p>
        </w:tc>
      </w:tr>
      <w:tr>
        <w:trPr/>
        <w:tc>
          <w:tcPr>
            <w:tcW w:w="675" w:type="dxa"/>
            <w:vAlign w:val="top"/>
            <w:textDirection w:val="lrTb"/>
            <w:noWrap w:val="false"/>
          </w:tcPr>
          <w:p>
            <w:pPr>
              <w:pStyle w:val="1484"/>
              <w:spacing w:line="440" w:lineRule="exact"/>
              <w:rPr>
                <w:szCs w:val="21"/>
              </w:rPr>
            </w:pPr>
            <w:r>
              <w:rPr>
                <w:szCs w:val="21"/>
              </w:rPr>
            </w:r>
            <w:r/>
          </w:p>
        </w:tc>
        <w:tc>
          <w:tcPr>
            <w:tcW w:w="1134"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776" w:type="dxa"/>
            <w:vAlign w:val="top"/>
            <w:textDirection w:val="lrTb"/>
            <w:noWrap w:val="false"/>
          </w:tcPr>
          <w:p>
            <w:pPr>
              <w:pStyle w:val="1484"/>
              <w:spacing w:line="440" w:lineRule="exact"/>
              <w:rPr>
                <w:szCs w:val="21"/>
              </w:rPr>
            </w:pPr>
            <w:r>
              <w:rPr>
                <w:szCs w:val="21"/>
              </w:rPr>
            </w:r>
            <w:r/>
          </w:p>
        </w:tc>
        <w:tc>
          <w:tcPr>
            <w:tcW w:w="2143" w:type="dxa"/>
            <w:vAlign w:val="top"/>
            <w:textDirection w:val="lrTb"/>
            <w:noWrap w:val="false"/>
          </w:tcPr>
          <w:p>
            <w:pPr>
              <w:pStyle w:val="1484"/>
              <w:spacing w:line="440" w:lineRule="exact"/>
              <w:rPr>
                <w:szCs w:val="21"/>
              </w:rPr>
            </w:pPr>
            <w:r>
              <w:rPr>
                <w:szCs w:val="21"/>
              </w:rPr>
            </w:r>
            <w:r/>
          </w:p>
        </w:tc>
      </w:tr>
      <w:tr>
        <w:trPr/>
        <w:tc>
          <w:tcPr>
            <w:tcW w:w="675" w:type="dxa"/>
            <w:vAlign w:val="top"/>
            <w:textDirection w:val="lrTb"/>
            <w:noWrap w:val="false"/>
          </w:tcPr>
          <w:p>
            <w:pPr>
              <w:pStyle w:val="1484"/>
              <w:spacing w:line="440" w:lineRule="exact"/>
              <w:rPr>
                <w:szCs w:val="21"/>
              </w:rPr>
            </w:pPr>
            <w:r>
              <w:rPr>
                <w:szCs w:val="21"/>
              </w:rPr>
            </w:r>
            <w:r/>
          </w:p>
        </w:tc>
        <w:tc>
          <w:tcPr>
            <w:tcW w:w="1134"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776" w:type="dxa"/>
            <w:vAlign w:val="top"/>
            <w:textDirection w:val="lrTb"/>
            <w:noWrap w:val="false"/>
          </w:tcPr>
          <w:p>
            <w:pPr>
              <w:pStyle w:val="1484"/>
              <w:spacing w:line="440" w:lineRule="exact"/>
              <w:rPr>
                <w:szCs w:val="21"/>
              </w:rPr>
            </w:pPr>
            <w:r>
              <w:rPr>
                <w:szCs w:val="21"/>
              </w:rPr>
            </w:r>
            <w:r/>
          </w:p>
        </w:tc>
        <w:tc>
          <w:tcPr>
            <w:tcW w:w="2143" w:type="dxa"/>
            <w:vAlign w:val="top"/>
            <w:textDirection w:val="lrTb"/>
            <w:noWrap w:val="false"/>
          </w:tcPr>
          <w:p>
            <w:pPr>
              <w:pStyle w:val="1484"/>
              <w:spacing w:line="440" w:lineRule="exact"/>
              <w:rPr>
                <w:szCs w:val="21"/>
              </w:rPr>
            </w:pPr>
            <w:r>
              <w:rPr>
                <w:szCs w:val="21"/>
              </w:rPr>
            </w:r>
            <w:r/>
          </w:p>
        </w:tc>
      </w:tr>
      <w:tr>
        <w:trPr/>
        <w:tc>
          <w:tcPr>
            <w:tcW w:w="675" w:type="dxa"/>
            <w:vAlign w:val="top"/>
            <w:textDirection w:val="lrTb"/>
            <w:noWrap w:val="false"/>
          </w:tcPr>
          <w:p>
            <w:pPr>
              <w:pStyle w:val="1484"/>
              <w:spacing w:line="440" w:lineRule="exact"/>
              <w:rPr>
                <w:szCs w:val="21"/>
              </w:rPr>
            </w:pPr>
            <w:r>
              <w:rPr>
                <w:szCs w:val="21"/>
              </w:rPr>
            </w:r>
            <w:r/>
          </w:p>
        </w:tc>
        <w:tc>
          <w:tcPr>
            <w:tcW w:w="1134"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776" w:type="dxa"/>
            <w:vAlign w:val="top"/>
            <w:textDirection w:val="lrTb"/>
            <w:noWrap w:val="false"/>
          </w:tcPr>
          <w:p>
            <w:pPr>
              <w:pStyle w:val="1484"/>
              <w:spacing w:line="440" w:lineRule="exact"/>
              <w:rPr>
                <w:szCs w:val="21"/>
              </w:rPr>
            </w:pPr>
            <w:r>
              <w:rPr>
                <w:szCs w:val="21"/>
              </w:rPr>
            </w:r>
            <w:r/>
          </w:p>
        </w:tc>
        <w:tc>
          <w:tcPr>
            <w:tcW w:w="2143" w:type="dxa"/>
            <w:vAlign w:val="top"/>
            <w:textDirection w:val="lrTb"/>
            <w:noWrap w:val="false"/>
          </w:tcPr>
          <w:p>
            <w:pPr>
              <w:pStyle w:val="1484"/>
              <w:spacing w:line="440" w:lineRule="exact"/>
              <w:rPr>
                <w:szCs w:val="21"/>
              </w:rPr>
            </w:pPr>
            <w:r>
              <w:rPr>
                <w:szCs w:val="21"/>
              </w:rPr>
            </w:r>
            <w:r/>
          </w:p>
        </w:tc>
      </w:tr>
      <w:tr>
        <w:trPr/>
        <w:tc>
          <w:tcPr>
            <w:tcW w:w="675" w:type="dxa"/>
            <w:vAlign w:val="top"/>
            <w:textDirection w:val="lrTb"/>
            <w:noWrap w:val="false"/>
          </w:tcPr>
          <w:p>
            <w:pPr>
              <w:pStyle w:val="1484"/>
              <w:spacing w:line="440" w:lineRule="exact"/>
              <w:rPr>
                <w:szCs w:val="21"/>
              </w:rPr>
            </w:pPr>
            <w:r>
              <w:rPr>
                <w:szCs w:val="21"/>
              </w:rPr>
            </w:r>
            <w:r/>
          </w:p>
        </w:tc>
        <w:tc>
          <w:tcPr>
            <w:tcW w:w="1134"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776" w:type="dxa"/>
            <w:vAlign w:val="top"/>
            <w:textDirection w:val="lrTb"/>
            <w:noWrap w:val="false"/>
          </w:tcPr>
          <w:p>
            <w:pPr>
              <w:pStyle w:val="1484"/>
              <w:spacing w:line="440" w:lineRule="exact"/>
              <w:rPr>
                <w:szCs w:val="21"/>
              </w:rPr>
            </w:pPr>
            <w:r>
              <w:rPr>
                <w:szCs w:val="21"/>
              </w:rPr>
            </w:r>
            <w:r/>
          </w:p>
        </w:tc>
        <w:tc>
          <w:tcPr>
            <w:tcW w:w="2143" w:type="dxa"/>
            <w:vAlign w:val="top"/>
            <w:textDirection w:val="lrTb"/>
            <w:noWrap w:val="false"/>
          </w:tcPr>
          <w:p>
            <w:pPr>
              <w:pStyle w:val="1484"/>
              <w:spacing w:line="440" w:lineRule="exact"/>
              <w:rPr>
                <w:szCs w:val="21"/>
              </w:rPr>
            </w:pPr>
            <w:r>
              <w:rPr>
                <w:szCs w:val="21"/>
              </w:rPr>
            </w:r>
            <w:r/>
          </w:p>
        </w:tc>
      </w:tr>
      <w:tr>
        <w:trPr/>
        <w:tc>
          <w:tcPr>
            <w:tcW w:w="675" w:type="dxa"/>
            <w:vAlign w:val="top"/>
            <w:textDirection w:val="lrTb"/>
            <w:noWrap w:val="false"/>
          </w:tcPr>
          <w:p>
            <w:pPr>
              <w:pStyle w:val="1484"/>
              <w:spacing w:line="440" w:lineRule="exact"/>
              <w:rPr>
                <w:szCs w:val="21"/>
              </w:rPr>
            </w:pPr>
            <w:r>
              <w:rPr>
                <w:szCs w:val="21"/>
              </w:rPr>
            </w:r>
            <w:r/>
          </w:p>
        </w:tc>
        <w:tc>
          <w:tcPr>
            <w:tcW w:w="1134"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843" w:type="dxa"/>
            <w:vAlign w:val="top"/>
            <w:textDirection w:val="lrTb"/>
            <w:noWrap w:val="false"/>
          </w:tcPr>
          <w:p>
            <w:pPr>
              <w:pStyle w:val="1484"/>
              <w:spacing w:line="440" w:lineRule="exact"/>
              <w:rPr>
                <w:szCs w:val="21"/>
              </w:rPr>
            </w:pPr>
            <w:r>
              <w:rPr>
                <w:szCs w:val="21"/>
              </w:rPr>
            </w:r>
            <w:r/>
          </w:p>
        </w:tc>
        <w:tc>
          <w:tcPr>
            <w:tcW w:w="1776" w:type="dxa"/>
            <w:vAlign w:val="top"/>
            <w:textDirection w:val="lrTb"/>
            <w:noWrap w:val="false"/>
          </w:tcPr>
          <w:p>
            <w:pPr>
              <w:pStyle w:val="1484"/>
              <w:spacing w:line="440" w:lineRule="exact"/>
              <w:rPr>
                <w:szCs w:val="21"/>
              </w:rPr>
            </w:pPr>
            <w:r>
              <w:rPr>
                <w:szCs w:val="21"/>
              </w:rPr>
            </w:r>
            <w:r/>
          </w:p>
        </w:tc>
        <w:tc>
          <w:tcPr>
            <w:tcW w:w="2143" w:type="dxa"/>
            <w:vAlign w:val="top"/>
            <w:textDirection w:val="lrTb"/>
            <w:noWrap w:val="false"/>
          </w:tcPr>
          <w:p>
            <w:pPr>
              <w:pStyle w:val="1484"/>
              <w:spacing w:line="440" w:lineRule="exact"/>
              <w:rPr>
                <w:szCs w:val="21"/>
              </w:rPr>
            </w:pPr>
            <w:r>
              <w:rPr>
                <w:szCs w:val="21"/>
              </w:rPr>
            </w:r>
            <w:r/>
          </w:p>
        </w:tc>
      </w:tr>
    </w:tbl>
    <w:p>
      <w:pPr>
        <w:pStyle w:val="1484"/>
        <w:spacing w:line="440" w:lineRule="exact"/>
        <w:rPr>
          <w:szCs w:val="21"/>
        </w:rPr>
      </w:pPr>
      <w:r>
        <w:rPr>
          <w:szCs w:val="21"/>
        </w:rPr>
        <w:t xml:space="preserve">投标人名称（公章）：</w:t>
      </w:r>
      <w:r>
        <w:rPr>
          <w:szCs w:val="21"/>
        </w:rPr>
      </w:r>
      <w:r/>
    </w:p>
    <w:p>
      <w:pPr>
        <w:pStyle w:val="1484"/>
        <w:spacing w:line="440" w:lineRule="exact"/>
        <w:rPr>
          <w:szCs w:val="21"/>
        </w:rPr>
      </w:pPr>
      <w:r>
        <w:rPr>
          <w:szCs w:val="21"/>
        </w:rPr>
        <w:t xml:space="preserve">授权代表（签字）：</w:t>
      </w:r>
      <w:r>
        <w:rPr>
          <w:szCs w:val="21"/>
        </w:rPr>
      </w:r>
      <w:r/>
    </w:p>
    <w:p>
      <w:pPr>
        <w:pStyle w:val="1484"/>
        <w:spacing w:line="440" w:lineRule="exact"/>
        <w:rPr>
          <w:szCs w:val="21"/>
        </w:rPr>
      </w:pPr>
      <w:r>
        <w:rPr>
          <w:szCs w:val="21"/>
        </w:rPr>
        <w:t xml:space="preserve">日期：</w:t>
      </w:r>
      <w:r>
        <w:rPr>
          <w:szCs w:val="21"/>
        </w:rPr>
      </w:r>
      <w:r/>
    </w:p>
    <w:p>
      <w:pPr>
        <w:pStyle w:val="1484"/>
        <w:spacing w:line="440" w:lineRule="exact"/>
        <w:rPr>
          <w:color w:val="000000"/>
          <w:szCs w:val="21"/>
        </w:rPr>
      </w:pPr>
      <w:r>
        <w:rPr>
          <w:color w:val="000000"/>
          <w:szCs w:val="21"/>
        </w:rPr>
      </w:r>
      <w:r/>
    </w:p>
    <w:p>
      <w:pPr>
        <w:pStyle w:val="1484"/>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rPr>
          <w:color w:val="000000"/>
          <w:szCs w:val="21"/>
        </w:rPr>
      </w:r>
      <w:r/>
    </w:p>
    <w:p>
      <w:pPr>
        <w:pStyle w:val="1484"/>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的技术应答情况。“说明”栏请注明“响应/正偏离/负偏离”，并且标注针对“★”技术规格响应的证明文件在投标文件中的页码及具体位置。</w:t>
      </w:r>
      <w:r>
        <w:rPr>
          <w:b/>
          <w:bCs/>
          <w:szCs w:val="21"/>
        </w:rPr>
      </w:r>
      <w:r/>
    </w:p>
    <w:p>
      <w:pPr>
        <w:pStyle w:val="1484"/>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484"/>
        <w:ind w:firstLine="420"/>
        <w:spacing w:line="440" w:lineRule="exact"/>
        <w:rPr>
          <w:szCs w:val="21"/>
        </w:rPr>
      </w:pPr>
      <w:r>
        <w:rPr>
          <w:szCs w:val="21"/>
        </w:rPr>
        <w:t xml:space="preserve">4、如果行数不够，请自行增加。</w:t>
      </w:r>
      <w:r>
        <w:rPr>
          <w:szCs w:val="21"/>
        </w:rPr>
      </w:r>
      <w:r/>
    </w:p>
    <w:p>
      <w:pPr>
        <w:pStyle w:val="1484"/>
        <w:ind w:firstLine="482"/>
        <w:spacing w:line="360" w:lineRule="auto"/>
        <w:tabs>
          <w:tab w:val="left" w:pos="960" w:leader="none"/>
        </w:tabs>
        <w:rPr>
          <w:color w:val="ff0000"/>
          <w:szCs w:val="21"/>
        </w:rPr>
      </w:pPr>
      <w:r>
        <w:rPr>
          <w:color w:val="ff0000"/>
          <w:szCs w:val="21"/>
        </w:rPr>
      </w:r>
      <w:r/>
    </w:p>
    <w:p>
      <w:pPr>
        <w:pStyle w:val="1484"/>
        <w:spacing w:after="156" w:line="440" w:lineRule="exact"/>
        <w:rPr>
          <w:b/>
          <w:bCs/>
          <w:sz w:val="24"/>
          <w:szCs w:val="22"/>
        </w:rPr>
        <w:outlineLvl w:val="1"/>
      </w:pPr>
      <w:r/>
      <w:bookmarkStart w:id="259" w:name="_Toc20842"/>
      <w:r>
        <w:rPr>
          <w:b/>
          <w:bCs/>
          <w:sz w:val="24"/>
          <w:szCs w:val="22"/>
        </w:rPr>
        <w:br w:type="page" w:clear="all"/>
      </w:r>
      <w:bookmarkStart w:id="260" w:name="_Toc18731"/>
      <w:r/>
      <w:bookmarkStart w:id="261" w:name="_Toc443"/>
      <w:r>
        <w:rPr>
          <w:b/>
          <w:bCs/>
          <w:sz w:val="24"/>
          <w:szCs w:val="22"/>
        </w:rPr>
        <w:t xml:space="preserve">附件六 政府采购政策</w:t>
      </w:r>
      <w:bookmarkEnd w:id="259"/>
      <w:r/>
      <w:bookmarkEnd w:id="260"/>
      <w:r/>
      <w:bookmarkEnd w:id="261"/>
      <w:r>
        <w:rPr>
          <w:b/>
          <w:bCs/>
          <w:sz w:val="24"/>
          <w:szCs w:val="22"/>
        </w:rPr>
      </w:r>
      <w:r/>
    </w:p>
    <w:p>
      <w:pPr>
        <w:pStyle w:val="1484"/>
        <w:numPr>
          <w:ilvl w:val="0"/>
          <w:numId w:val="2"/>
        </w:numPr>
        <w:jc w:val="center"/>
        <w:widowControl/>
        <w:rPr>
          <w:rFonts w:ascii="Arial" w:hAnsi="Arial" w:cs="Arial"/>
          <w:b/>
          <w:bCs/>
          <w:szCs w:val="21"/>
        </w:rPr>
        <w:outlineLvl w:val="2"/>
      </w:pPr>
      <w:r/>
      <w:bookmarkStart w:id="262" w:name="_Toc24699"/>
      <w:r/>
      <w:bookmarkStart w:id="263" w:name="_Toc14499"/>
      <w:r/>
      <w:bookmarkStart w:id="264" w:name="_Toc17125"/>
      <w:r/>
      <w:bookmarkStart w:id="265" w:name="_Toc16035"/>
      <w:r/>
      <w:bookmarkStart w:id="266" w:name="_Toc15908"/>
      <w:r/>
      <w:bookmarkStart w:id="267" w:name="_Toc21802"/>
      <w:r/>
      <w:bookmarkStart w:id="268" w:name="_Toc15638"/>
      <w:r/>
      <w:bookmarkStart w:id="269" w:name="_Toc32276"/>
      <w:r/>
      <w:bookmarkStart w:id="270" w:name="_Toc29025"/>
      <w:r>
        <w:rPr>
          <w:rFonts w:ascii="Arial" w:hAnsi="Arial" w:cs="Arial"/>
          <w:b/>
          <w:bCs/>
          <w:szCs w:val="21"/>
        </w:rPr>
        <w:t xml:space="preserve">《中小企业声明函》</w:t>
      </w:r>
      <w:bookmarkEnd w:id="262"/>
      <w:r/>
      <w:bookmarkEnd w:id="263"/>
      <w:r/>
      <w:bookmarkEnd w:id="264"/>
      <w:r/>
      <w:bookmarkEnd w:id="265"/>
      <w:r/>
      <w:bookmarkEnd w:id="266"/>
      <w:r/>
      <w:bookmarkEnd w:id="267"/>
      <w:r/>
      <w:bookmarkEnd w:id="268"/>
      <w:r/>
      <w:bookmarkEnd w:id="269"/>
      <w:r/>
      <w:bookmarkEnd w:id="270"/>
      <w:r>
        <w:rPr>
          <w:rFonts w:ascii="Arial" w:hAnsi="Arial" w:cs="Arial"/>
          <w:b/>
          <w:bCs/>
          <w:szCs w:val="21"/>
        </w:rPr>
      </w:r>
      <w:r/>
    </w:p>
    <w:p>
      <w:pPr>
        <w:pStyle w:val="1484"/>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484"/>
        <w:ind w:left="425"/>
        <w:jc w:val="center"/>
        <w:spacing w:line="360" w:lineRule="auto"/>
        <w:widowControl/>
        <w:rPr>
          <w:b/>
          <w:bCs/>
          <w:sz w:val="24"/>
          <w:szCs w:val="24"/>
        </w:rPr>
      </w:pPr>
      <w:r>
        <w:rPr>
          <w:b/>
          <w:bCs/>
          <w:sz w:val="24"/>
          <w:szCs w:val="24"/>
        </w:rPr>
      </w:r>
      <w:r/>
    </w:p>
    <w:p>
      <w:pPr>
        <w:pStyle w:val="1484"/>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484"/>
        <w:ind w:left="36" w:right="236" w:firstLine="640"/>
        <w:spacing w:before="199" w:line="360" w:lineRule="auto"/>
        <w:rPr>
          <w:spacing w:val="-4"/>
          <w:szCs w:val="21"/>
        </w:rPr>
      </w:pPr>
      <w:r/>
      <w:bookmarkStart w:id="271" w:name="_Toc5150"/>
      <w:r/>
      <w:bookmarkStart w:id="272" w:name="_Toc12269"/>
      <w:r/>
      <w:bookmarkStart w:id="273" w:name="_Toc22161"/>
      <w:r/>
      <w:bookmarkStart w:id="274" w:name="_Toc15594"/>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484"/>
        <w:ind w:left="36" w:right="236" w:firstLine="640"/>
        <w:spacing w:before="199" w:line="360" w:lineRule="auto"/>
        <w:rPr>
          <w:spacing w:val="-4"/>
          <w:szCs w:val="21"/>
        </w:rPr>
      </w:pPr>
      <w:r>
        <w:rPr>
          <w:spacing w:val="-4"/>
          <w:szCs w:val="21"/>
        </w:rPr>
        <w:t xml:space="preserve">1、</w:t>
      </w:r>
      <w:r>
        <w:rPr>
          <w:spacing w:val="-4"/>
          <w:szCs w:val="21"/>
          <w:u w:val="single"/>
        </w:rPr>
        <w:t xml:space="preserve">（</w:t>
      </w:r>
      <w:r>
        <w:rPr>
          <w:rFonts w:hint="eastAsia" w:ascii="宋体" w:hAnsi="宋体" w:cs="宋体"/>
          <w:iCs/>
          <w:spacing w:val="-12"/>
          <w:szCs w:val="21"/>
          <w:u w:val="single"/>
        </w:rPr>
        <w:t xml:space="preserve">标的名称</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484"/>
        <w:ind w:left="36" w:right="236" w:firstLine="640"/>
        <w:spacing w:before="199" w:line="360" w:lineRule="auto"/>
        <w:rPr>
          <w:spacing w:val="-4"/>
          <w:szCs w:val="21"/>
        </w:rPr>
      </w:pPr>
      <w:r>
        <w:rPr>
          <w:spacing w:val="-4"/>
          <w:szCs w:val="21"/>
        </w:rPr>
        <w:t xml:space="preserve">2、</w:t>
      </w:r>
      <w:r>
        <w:rPr>
          <w:spacing w:val="-4"/>
          <w:szCs w:val="21"/>
          <w:u w:val="single"/>
        </w:rPr>
        <w:t xml:space="preserve">（</w:t>
      </w:r>
      <w:r>
        <w:rPr>
          <w:rFonts w:hint="eastAsia" w:ascii="宋体" w:hAnsi="宋体" w:cs="宋体"/>
          <w:iCs/>
          <w:spacing w:val="-12"/>
          <w:szCs w:val="21"/>
          <w:u w:val="single"/>
        </w:rPr>
        <w:t xml:space="preserve">标的名称</w:t>
      </w:r>
      <w:r>
        <w:rPr>
          <w:spacing w:val="-4"/>
          <w:szCs w:val="21"/>
          <w:u w:val="single"/>
        </w:rPr>
        <w:t xml:space="preserve">）</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484"/>
        <w:ind w:firstLine="688"/>
        <w:spacing w:before="132" w:line="360" w:lineRule="auto"/>
        <w:rPr>
          <w:szCs w:val="21"/>
        </w:rPr>
      </w:pPr>
      <w:r>
        <w:rPr>
          <w:spacing w:val="-18"/>
          <w:position w:val="-7"/>
          <w:szCs w:val="21"/>
        </w:rPr>
        <w:t xml:space="preserve">……</w:t>
      </w:r>
      <w:r>
        <w:rPr>
          <w:szCs w:val="21"/>
        </w:rPr>
      </w:r>
      <w:r/>
    </w:p>
    <w:p>
      <w:pPr>
        <w:pStyle w:val="1484"/>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484"/>
        <w:ind w:firstLine="594"/>
        <w:spacing w:line="360" w:lineRule="auto"/>
        <w:rPr>
          <w:spacing w:val="-6"/>
          <w:szCs w:val="21"/>
        </w:rPr>
      </w:pPr>
      <w:r>
        <w:rPr>
          <w:spacing w:val="-6"/>
          <w:szCs w:val="21"/>
        </w:rPr>
      </w:r>
      <w:r/>
    </w:p>
    <w:p>
      <w:pPr>
        <w:pStyle w:val="1484"/>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484"/>
        <w:ind w:right="1560" w:firstLine="444"/>
        <w:jc w:val="center"/>
        <w:spacing w:line="360" w:lineRule="auto"/>
        <w:tabs>
          <w:tab w:val="left" w:pos="4860" w:leader="none"/>
        </w:tabs>
        <w:rPr>
          <w:spacing w:val="6"/>
          <w:szCs w:val="21"/>
        </w:rPr>
      </w:pPr>
      <w:r>
        <w:rPr>
          <w:spacing w:val="6"/>
          <w:szCs w:val="21"/>
        </w:rPr>
      </w:r>
      <w:r/>
    </w:p>
    <w:p>
      <w:pPr>
        <w:pStyle w:val="1484"/>
        <w:ind w:right="1560" w:firstLine="444"/>
        <w:jc w:val="center"/>
        <w:spacing w:line="360" w:lineRule="auto"/>
        <w:tabs>
          <w:tab w:val="left" w:pos="4860" w:leader="none"/>
        </w:tabs>
        <w:rPr>
          <w:spacing w:val="6"/>
          <w:szCs w:val="21"/>
        </w:rPr>
      </w:pPr>
      <w:r>
        <w:rPr>
          <w:spacing w:val="6"/>
          <w:szCs w:val="21"/>
        </w:rPr>
      </w:r>
      <w:r/>
    </w:p>
    <w:p>
      <w:pPr>
        <w:pStyle w:val="1484"/>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484"/>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484"/>
        <w:spacing w:line="360" w:lineRule="auto"/>
        <w:rPr>
          <w:b/>
          <w:bCs/>
          <w:szCs w:val="21"/>
        </w:rPr>
      </w:pPr>
      <w:r>
        <w:rPr>
          <w:b/>
          <w:bCs/>
          <w:szCs w:val="21"/>
        </w:rPr>
        <w:t xml:space="preserve">备注：</w:t>
      </w:r>
      <w:r>
        <w:rPr>
          <w:b/>
          <w:bCs/>
          <w:szCs w:val="21"/>
        </w:rPr>
      </w:r>
      <w:r/>
    </w:p>
    <w:p>
      <w:pPr>
        <w:pStyle w:val="1484"/>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484"/>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484"/>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484"/>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484"/>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484"/>
        <w:sectPr>
          <w:footnotePr/>
          <w:endnotePr/>
          <w:type w:val="nextPage"/>
          <w:pgSz w:w="11906" w:h="16838" w:orient="portrait"/>
          <w:pgMar w:top="1440" w:right="1080" w:bottom="1440" w:left="1080" w:header="851" w:footer="992" w:gutter="0"/>
          <w:cols w:num="1" w:sep="0" w:space="1701" w:equalWidth="1"/>
          <w:docGrid w:linePitch="360"/>
        </w:sectPr>
      </w:pPr>
      <w:r/>
      <w:r/>
    </w:p>
    <w:p>
      <w:pPr>
        <w:pStyle w:val="1484"/>
        <w:jc w:val="center"/>
        <w:spacing w:line="360" w:lineRule="auto"/>
        <w:rPr>
          <w:b/>
          <w:bCs/>
          <w:szCs w:val="21"/>
        </w:rPr>
        <w:outlineLvl w:val="2"/>
      </w:pPr>
      <w:r/>
      <w:bookmarkStart w:id="275" w:name="_Toc28701"/>
      <w:r>
        <w:rPr>
          <w:b/>
          <w:bCs/>
          <w:szCs w:val="21"/>
        </w:rPr>
        <w:t xml:space="preserve">（二）残疾人福利性单位声明函</w:t>
      </w:r>
      <w:bookmarkEnd w:id="271"/>
      <w:r/>
      <w:bookmarkEnd w:id="272"/>
      <w:r/>
      <w:bookmarkEnd w:id="273"/>
      <w:r/>
      <w:bookmarkEnd w:id="274"/>
      <w:r/>
      <w:bookmarkEnd w:id="275"/>
      <w:r>
        <w:rPr>
          <w:b/>
          <w:bCs/>
          <w:szCs w:val="21"/>
        </w:rPr>
      </w:r>
      <w:r/>
    </w:p>
    <w:p>
      <w:pPr>
        <w:pStyle w:val="1484"/>
        <w:ind w:firstLine="444"/>
        <w:jc w:val="left"/>
        <w:spacing w:line="360" w:lineRule="auto"/>
        <w:tabs>
          <w:tab w:val="left" w:pos="4860" w:leader="none"/>
        </w:tabs>
        <w:rPr>
          <w:spacing w:val="6"/>
          <w:szCs w:val="21"/>
        </w:rPr>
      </w:pPr>
      <w:r>
        <w:rPr>
          <w:spacing w:val="6"/>
          <w:szCs w:val="21"/>
        </w:rPr>
      </w:r>
      <w:r/>
    </w:p>
    <w:p>
      <w:pPr>
        <w:pStyle w:val="1484"/>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484"/>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484"/>
        <w:ind w:firstLine="444"/>
        <w:jc w:val="center"/>
        <w:spacing w:line="360" w:lineRule="auto"/>
        <w:tabs>
          <w:tab w:val="left" w:pos="4860" w:leader="none"/>
        </w:tabs>
        <w:rPr>
          <w:spacing w:val="6"/>
          <w:szCs w:val="21"/>
        </w:rPr>
      </w:pPr>
      <w:r>
        <w:rPr>
          <w:spacing w:val="6"/>
          <w:szCs w:val="21"/>
        </w:rPr>
      </w:r>
      <w:r/>
    </w:p>
    <w:p>
      <w:pPr>
        <w:pStyle w:val="1484"/>
        <w:ind w:firstLine="444"/>
        <w:jc w:val="center"/>
        <w:spacing w:line="360" w:lineRule="auto"/>
        <w:tabs>
          <w:tab w:val="left" w:pos="4860" w:leader="none"/>
        </w:tabs>
        <w:rPr>
          <w:spacing w:val="6"/>
          <w:szCs w:val="21"/>
        </w:rPr>
      </w:pPr>
      <w:r>
        <w:rPr>
          <w:spacing w:val="6"/>
          <w:szCs w:val="21"/>
        </w:rPr>
      </w:r>
      <w:r/>
    </w:p>
    <w:p>
      <w:pPr>
        <w:pStyle w:val="1484"/>
        <w:ind w:firstLine="444"/>
        <w:jc w:val="center"/>
        <w:spacing w:line="360" w:lineRule="auto"/>
        <w:tabs>
          <w:tab w:val="left" w:pos="4860" w:leader="none"/>
        </w:tabs>
        <w:rPr>
          <w:spacing w:val="6"/>
          <w:szCs w:val="21"/>
        </w:rPr>
      </w:pPr>
      <w:r>
        <w:rPr>
          <w:spacing w:val="6"/>
          <w:szCs w:val="21"/>
        </w:rPr>
      </w:r>
      <w:r/>
    </w:p>
    <w:p>
      <w:pPr>
        <w:pStyle w:val="1484"/>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484"/>
        <w:ind w:firstLine="444"/>
        <w:jc w:val="right"/>
        <w:spacing w:line="360" w:lineRule="auto"/>
        <w:tabs>
          <w:tab w:val="left" w:pos="4860" w:leader="none"/>
        </w:tabs>
        <w:rPr>
          <w:spacing w:val="6"/>
          <w:szCs w:val="21"/>
        </w:rPr>
        <w:sectPr>
          <w:footerReference w:type="first" r:id="rId24"/>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t xml:space="preserve">日 期： </w:t>
      </w:r>
      <w:r>
        <w:rPr>
          <w:spacing w:val="6"/>
          <w:szCs w:val="21"/>
        </w:rPr>
      </w:r>
      <w:r/>
    </w:p>
    <w:p>
      <w:pPr>
        <w:pStyle w:val="1484"/>
        <w:jc w:val="center"/>
        <w:spacing w:line="360" w:lineRule="auto"/>
        <w:rPr>
          <w:rFonts w:hint="eastAsia"/>
          <w:b/>
          <w:bCs/>
          <w:color w:val="000000"/>
          <w:szCs w:val="21"/>
        </w:rPr>
        <w:outlineLvl w:val="2"/>
      </w:pPr>
      <w:r/>
      <w:bookmarkStart w:id="276" w:name="_Toc24515"/>
      <w:r/>
      <w:bookmarkStart w:id="277" w:name="_Toc16464"/>
      <w:r/>
      <w:bookmarkStart w:id="278" w:name="_Toc4430"/>
      <w:r>
        <w:rPr>
          <w:rFonts w:hint="eastAsia"/>
          <w:b/>
          <w:bCs/>
          <w:color w:val="000000"/>
          <w:szCs w:val="21"/>
        </w:rPr>
        <w:t xml:space="preserve">（三）采购本国产品的支持政策</w:t>
      </w:r>
      <w:bookmarkEnd w:id="276"/>
      <w:r/>
      <w:bookmarkEnd w:id="277"/>
      <w:r/>
      <w:bookmarkEnd w:id="278"/>
      <w:r>
        <w:rPr>
          <w:rFonts w:hint="eastAsia"/>
          <w:b/>
          <w:bCs/>
          <w:color w:val="000000"/>
          <w:szCs w:val="21"/>
        </w:rPr>
      </w:r>
      <w:r/>
    </w:p>
    <w:p>
      <w:pPr>
        <w:pStyle w:val="1484"/>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484"/>
        <w:jc w:val="center"/>
        <w:keepLines/>
        <w:keepNext/>
        <w:spacing w:line="360" w:lineRule="auto"/>
        <w:rPr>
          <w:rFonts w:hint="eastAsia" w:ascii="宋体" w:hAnsi="宋体" w:cs="宋体"/>
          <w:b/>
          <w:sz w:val="24"/>
        </w:rPr>
        <w:outlineLvl w:val="2"/>
      </w:pPr>
      <w:r/>
      <w:bookmarkStart w:id="279" w:name="_Toc24678"/>
      <w:r/>
      <w:bookmarkStart w:id="280" w:name="_Toc3682"/>
      <w:r/>
      <w:bookmarkStart w:id="281" w:name="_Toc575"/>
      <w:r>
        <w:rPr>
          <w:rFonts w:hint="eastAsia" w:ascii="宋体" w:hAnsi="宋体" w:cs="宋体"/>
          <w:b/>
          <w:sz w:val="24"/>
        </w:rPr>
        <w:t xml:space="preserve">关于符合本国产品标准的声明函</w:t>
      </w:r>
      <w:bookmarkEnd w:id="279"/>
      <w:r/>
      <w:bookmarkEnd w:id="280"/>
      <w:r/>
      <w:bookmarkEnd w:id="281"/>
      <w:r>
        <w:rPr>
          <w:rFonts w:hint="eastAsia" w:ascii="宋体" w:hAnsi="宋体" w:cs="宋体"/>
          <w:b/>
          <w:sz w:val="24"/>
        </w:rPr>
      </w:r>
      <w:r/>
    </w:p>
    <w:p>
      <w:pPr>
        <w:pStyle w:val="1484"/>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48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1.</w:t>
      </w:r>
      <w:r>
        <w:rPr>
          <w:rStyle w:val="1558"/>
          <w:rFonts w:hint="eastAsia" w:ascii="宋体" w:hAnsi="宋体" w:cs="宋体"/>
          <w:i w:val="0"/>
          <w:szCs w:val="21"/>
          <w:u w:val="single"/>
          <w:shd w:val="clear" w:color="auto" w:fill="ffffff"/>
        </w:rPr>
        <w:t xml:space="preserve">（产品名称1）</w:t>
      </w:r>
      <w:r>
        <w:rPr>
          <w:rStyle w:val="1558"/>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558"/>
          <w:rFonts w:hint="eastAsia" w:ascii="宋体" w:hAnsi="宋体" w:cs="宋体"/>
          <w:i w:val="0"/>
          <w:szCs w:val="21"/>
          <w:u w:val="single"/>
          <w:shd w:val="clear" w:color="auto" w:fill="ffffff"/>
        </w:rPr>
        <w:t xml:space="preserve">（厂名）</w:t>
      </w:r>
      <w:r>
        <w:rPr>
          <w:rStyle w:val="1558"/>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55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trike/>
          <w:szCs w:val="21"/>
          <w:u w:val="single"/>
          <w:shd w:val="clear" w:color="auto" w:fill="ffffff"/>
        </w:rPr>
        <w:t xml:space="preserve"> </w:t>
      </w:r>
      <w:r>
        <w:rPr>
          <w:rStyle w:val="1558"/>
          <w:rFonts w:hint="eastAsia" w:ascii="宋体" w:hAnsi="宋体" w:cs="宋体"/>
          <w:i w:val="0"/>
          <w:strike/>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558"/>
          <w:rFonts w:hint="eastAsia" w:ascii="宋体" w:hAnsi="宋体" w:cs="宋体"/>
          <w:i w:val="0"/>
          <w:strike/>
          <w:szCs w:val="21"/>
          <w:u w:val="single"/>
          <w:shd w:val="clear" w:color="auto" w:fill="ffffff"/>
        </w:rPr>
        <w:t xml:space="preserve">（规定比例）</w:t>
      </w:r>
      <w:r>
        <w:rPr>
          <w:rStyle w:val="1558"/>
          <w:rFonts w:hint="eastAsia" w:ascii="宋体" w:hAnsi="宋体" w:cs="宋体"/>
          <w:i w:val="0"/>
          <w:strike/>
          <w:szCs w:val="21"/>
          <w:shd w:val="clear" w:color="auto" w:fill="ffffff"/>
          <w:vertAlign w:val="superscript"/>
        </w:rPr>
        <w:t xml:space="preserve">3</w:t>
      </w:r>
      <w:r>
        <w:rPr>
          <w:rFonts w:hint="eastAsia" w:ascii="宋体" w:hAnsi="宋体" w:cs="宋体"/>
          <w:szCs w:val="21"/>
          <w:shd w:val="clear" w:color="auto" w:fill="ffffff"/>
        </w:rPr>
        <w:t xml:space="preserve">。</w:t>
      </w:r>
      <w:r>
        <w:rPr>
          <w:rStyle w:val="1558"/>
          <w:rFonts w:hint="eastAsia" w:ascii="宋体" w:hAnsi="宋体" w:cs="宋体"/>
          <w:i w:val="0"/>
          <w:strike/>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58"/>
          <w:rFonts w:hint="eastAsia" w:ascii="宋体" w:hAnsi="宋体" w:cs="宋体"/>
          <w:i w:val="0"/>
          <w:strike/>
          <w:szCs w:val="21"/>
          <w:u w:val="single"/>
          <w:shd w:val="clear" w:color="auto" w:fill="ffffff"/>
        </w:rPr>
        <w:t xml:space="preserve">（关键组件）</w:t>
      </w:r>
      <w:r>
        <w:rPr>
          <w:rStyle w:val="1558"/>
          <w:rFonts w:hint="eastAsia" w:ascii="宋体" w:hAnsi="宋体" w:cs="宋体"/>
          <w:i w:val="0"/>
          <w:strike/>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558"/>
          <w:rFonts w:hint="eastAsia" w:ascii="宋体" w:hAnsi="宋体" w:cs="宋体"/>
          <w:i w:val="0"/>
          <w:strike/>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58"/>
          <w:rFonts w:hint="eastAsia" w:ascii="宋体" w:hAnsi="宋体" w:cs="宋体"/>
          <w:i w:val="0"/>
          <w:strike/>
          <w:szCs w:val="21"/>
          <w:u w:val="single"/>
          <w:shd w:val="clear" w:color="auto" w:fill="ffffff"/>
        </w:rPr>
        <w:t xml:space="preserve">（关键工序）</w:t>
      </w:r>
      <w:r>
        <w:rPr>
          <w:rStyle w:val="1558"/>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48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2.</w:t>
      </w:r>
      <w:r>
        <w:rPr>
          <w:rStyle w:val="1558"/>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，生产厂为</w:t>
      </w:r>
      <w:r>
        <w:rPr>
          <w:rStyle w:val="1558"/>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55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558"/>
          <w:rFonts w:hint="eastAsia" w:ascii="宋体" w:hAnsi="宋体" w:cs="宋体"/>
          <w:i w:val="0"/>
          <w:strike/>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558"/>
          <w:rFonts w:hint="eastAsia" w:ascii="宋体" w:hAnsi="宋体" w:cs="宋体"/>
          <w:i w:val="0"/>
          <w:strike/>
          <w:szCs w:val="21"/>
          <w:u w:val="single"/>
          <w:shd w:val="clear" w:color="auto" w:fill="ffffff"/>
        </w:rPr>
        <w:t xml:space="preserve">（规定比例）</w:t>
      </w:r>
      <w:r>
        <w:rPr>
          <w:rFonts w:hint="eastAsia" w:ascii="宋体" w:hAnsi="宋体" w:cs="宋体"/>
          <w:szCs w:val="21"/>
          <w:shd w:val="clear" w:color="auto" w:fill="ffffff"/>
        </w:rPr>
        <w:t xml:space="preserve">。</w:t>
      </w:r>
      <w:r>
        <w:rPr>
          <w:rStyle w:val="1558"/>
          <w:rFonts w:hint="eastAsia" w:ascii="宋体" w:hAnsi="宋体" w:cs="宋体"/>
          <w:i w:val="0"/>
          <w:strike/>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558"/>
          <w:rFonts w:hint="eastAsia" w:ascii="宋体" w:hAnsi="宋体" w:cs="宋体"/>
          <w:i w:val="0"/>
          <w:strike/>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558"/>
          <w:rFonts w:hint="eastAsia" w:ascii="宋体" w:hAnsi="宋体" w:cs="宋体"/>
          <w:i w:val="0"/>
          <w:strike/>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558"/>
          <w:rFonts w:hint="eastAsia" w:ascii="宋体" w:hAnsi="宋体" w:cs="宋体"/>
          <w:i w:val="0"/>
          <w:strike/>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48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48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484"/>
        <w:jc w:val="left"/>
        <w:spacing w:before="30" w:after="30" w:line="360" w:lineRule="auto"/>
        <w:widowControl/>
        <w:rPr>
          <w:rFonts w:hint="eastAsia" w:ascii="宋体" w:hAnsi="宋体" w:cs="宋体"/>
          <w:szCs w:val="21"/>
        </w:rPr>
      </w:pPr>
      <w:r>
        <w:rPr>
          <w:rFonts w:hint="eastAsia" w:ascii="宋体" w:hAnsi="宋体" w:cs="宋体"/>
          <w:szCs w:val="21"/>
        </w:rPr>
      </w:r>
      <w:r/>
    </w:p>
    <w:p>
      <w:pPr>
        <w:pStyle w:val="1484"/>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484"/>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484"/>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484"/>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484"/>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484"/>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484"/>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484"/>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484"/>
        <w:jc w:val="left"/>
        <w:spacing w:line="360" w:lineRule="auto"/>
        <w:widowControl/>
        <w:rPr>
          <w:szCs w:val="21"/>
          <w:shd w:val="clear" w:color="auto" w:fill="ffffff"/>
        </w:rPr>
      </w:pPr>
      <w:r>
        <w:rPr>
          <w:szCs w:val="21"/>
          <w:shd w:val="clear" w:color="auto" w:fill="ffffff"/>
        </w:rPr>
        <w:t xml:space="preserve">6.用</w:t>
      </w:r>
      <w:r>
        <w:rPr>
          <w:rFonts w:hint="eastAsia"/>
          <w:szCs w:val="21"/>
          <w:shd w:val="clear" w:color="auto" w:fill="ffffff"/>
        </w:rPr>
        <w:t xml:space="preserve">删除线</w:t>
      </w:r>
      <w:r>
        <w:rPr>
          <w:szCs w:val="21"/>
          <w:shd w:val="clear" w:color="auto" w:fill="ffffff"/>
        </w:rPr>
        <w:t xml:space="preserve">划除的地方无需填写。</w:t>
      </w:r>
      <w:r>
        <w:rPr>
          <w:szCs w:val="21"/>
          <w:shd w:val="clear" w:color="auto" w:fill="ffffff"/>
        </w:rPr>
      </w:r>
      <w:r/>
    </w:p>
    <w:p>
      <w:pPr>
        <w:pStyle w:val="1484"/>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484"/>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484"/>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484"/>
        <w:ind w:firstLine="444"/>
        <w:jc w:val="right"/>
        <w:spacing w:line="360" w:lineRule="auto"/>
        <w:tabs>
          <w:tab w:val="left" w:pos="4860" w:leader="none"/>
        </w:tabs>
        <w:rPr>
          <w:spacing w:val="6"/>
          <w:szCs w:val="21"/>
        </w:rPr>
      </w:pPr>
      <w:r>
        <w:rPr>
          <w:spacing w:val="6"/>
          <w:szCs w:val="21"/>
        </w:rPr>
        <w:t xml:space="preserve">   </w:t>
      </w:r>
      <w:r>
        <w:rPr>
          <w:spacing w:val="6"/>
          <w:szCs w:val="21"/>
        </w:rPr>
      </w:r>
      <w:r/>
    </w:p>
    <w:p>
      <w:pPr>
        <w:pStyle w:val="1484"/>
        <w:spacing w:after="156" w:line="440" w:lineRule="exact"/>
        <w:rPr>
          <w:rFonts w:hint="eastAsia"/>
          <w:b/>
          <w:bCs/>
          <w:color w:val="ff0000"/>
          <w:sz w:val="24"/>
          <w:szCs w:val="22"/>
          <w:lang w:val="zh-TW"/>
        </w:rPr>
        <w:outlineLvl w:val="1"/>
      </w:pPr>
      <w:r/>
      <w:bookmarkStart w:id="282" w:name="_Toc27595"/>
      <w:r/>
      <w:bookmarkStart w:id="283" w:name="_Toc509"/>
      <w:r>
        <w:rPr>
          <w:rFonts w:hint="eastAsia"/>
          <w:b/>
          <w:bCs/>
          <w:color w:val="ff0000"/>
          <w:sz w:val="24"/>
          <w:szCs w:val="22"/>
        </w:rPr>
        <w:t xml:space="preserve">附：</w:t>
      </w:r>
      <w:r>
        <w:rPr>
          <w:b/>
          <w:bCs/>
          <w:color w:val="ff0000"/>
          <w:sz w:val="24"/>
          <w:szCs w:val="22"/>
          <w:lang w:val="zh-TW"/>
        </w:rPr>
        <w:t xml:space="preserve">成本比例声明函（如适用）</w:t>
      </w:r>
      <w:bookmarkEnd w:id="282"/>
      <w:r>
        <w:rPr>
          <w:b/>
          <w:bCs/>
          <w:color w:val="ff0000"/>
          <w:sz w:val="24"/>
          <w:szCs w:val="22"/>
          <w:lang w:val="zh-TW"/>
        </w:rPr>
        <w:t xml:space="preserve"> </w:t>
      </w:r>
      <w:r>
        <w:rPr>
          <w:rFonts w:hint="eastAsia"/>
          <w:b/>
          <w:bCs/>
          <w:color w:val="ff0000"/>
          <w:sz w:val="24"/>
          <w:szCs w:val="22"/>
          <w:lang w:val="zh-TW"/>
        </w:rPr>
      </w:r>
      <w:r/>
    </w:p>
    <w:p>
      <w:pPr>
        <w:pStyle w:val="1484"/>
        <w:jc w:val="left"/>
        <w:spacing w:line="360" w:lineRule="auto"/>
        <w:rPr>
          <w:szCs w:val="21"/>
        </w:rPr>
      </w:pPr>
      <w:r>
        <w:rPr>
          <w:rFonts w:ascii="宋体" w:hAnsi="宋体" w:cs="宋体"/>
          <w:szCs w:val="21"/>
        </w:rPr>
        <w:t xml:space="preserve">（适用于</w:t>
      </w:r>
      <w:r>
        <w:rPr>
          <w:szCs w:val="21"/>
        </w:rPr>
        <w:t xml:space="preserve">采购项目或者采购包中含有多种产品时，不提供或者提供声明的比例达不到要求时，不享受价格扣除） </w:t>
      </w:r>
      <w:r>
        <w:rPr>
          <w:szCs w:val="21"/>
        </w:rPr>
      </w:r>
      <w:r/>
    </w:p>
    <w:p>
      <w:pPr>
        <w:pStyle w:val="1484"/>
        <w:jc w:val="center"/>
        <w:spacing w:line="360" w:lineRule="auto"/>
        <w:rPr>
          <w:sz w:val="24"/>
          <w:szCs w:val="24"/>
        </w:rPr>
      </w:pPr>
      <w:r>
        <w:rPr>
          <w:b/>
          <w:bCs/>
          <w:sz w:val="24"/>
          <w:szCs w:val="24"/>
        </w:rPr>
        <w:t xml:space="preserve">成本比例声明函</w:t>
      </w:r>
      <w:r>
        <w:rPr>
          <w:sz w:val="24"/>
          <w:szCs w:val="24"/>
        </w:rPr>
      </w:r>
      <w:r/>
    </w:p>
    <w:p>
      <w:pPr>
        <w:pStyle w:val="1484"/>
        <w:ind w:firstLine="420"/>
        <w:jc w:val="left"/>
        <w:spacing w:line="360" w:lineRule="auto"/>
        <w:rPr>
          <w:szCs w:val="21"/>
        </w:rPr>
      </w:pPr>
      <w:r>
        <w:rPr>
          <w:szCs w:val="21"/>
        </w:rPr>
      </w:r>
      <w:r/>
    </w:p>
    <w:p>
      <w:pPr>
        <w:pStyle w:val="1484"/>
        <w:ind w:firstLine="420"/>
        <w:jc w:val="left"/>
        <w:spacing w:line="360" w:lineRule="auto"/>
        <w:widowControl/>
        <w:rPr>
          <w:szCs w:val="21"/>
        </w:rPr>
      </w:pPr>
      <w:r>
        <w:rPr>
          <w:szCs w:val="21"/>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szCs w:val="21"/>
          <w:u w:val="single"/>
        </w:rPr>
        <w:t xml:space="preserve">       </w:t>
      </w:r>
      <w:r>
        <w:rPr>
          <w:szCs w:val="21"/>
        </w:rPr>
        <w:t xml:space="preserve">（填写具体百分比）。 </w:t>
      </w:r>
      <w:r>
        <w:rPr>
          <w:szCs w:val="21"/>
        </w:rPr>
      </w:r>
      <w:r/>
    </w:p>
    <w:p>
      <w:pPr>
        <w:pStyle w:val="1484"/>
        <w:ind w:firstLine="420"/>
        <w:jc w:val="left"/>
        <w:spacing w:line="360" w:lineRule="auto"/>
        <w:widowControl/>
        <w:rPr>
          <w:szCs w:val="21"/>
        </w:rPr>
      </w:pPr>
      <w:r>
        <w:rPr>
          <w:szCs w:val="21"/>
        </w:rPr>
        <w:t xml:space="preserve">本公司（单位）对上述声明内容的真实性负责。如有虚假，愿承担相应法律责任。 </w:t>
      </w:r>
      <w:r>
        <w:rPr>
          <w:szCs w:val="21"/>
        </w:rPr>
      </w:r>
      <w:r/>
    </w:p>
    <w:p>
      <w:pPr>
        <w:pStyle w:val="1484"/>
        <w:ind w:left="562" w:firstLine="420"/>
        <w:jc w:val="center"/>
        <w:spacing w:line="360" w:lineRule="auto"/>
        <w:widowControl/>
        <w:rPr>
          <w:szCs w:val="21"/>
        </w:rPr>
      </w:pPr>
      <w:r>
        <w:rPr>
          <w:szCs w:val="21"/>
        </w:rPr>
      </w:r>
      <w:r/>
    </w:p>
    <w:p>
      <w:pPr>
        <w:pStyle w:val="1484"/>
        <w:ind w:left="562" w:firstLine="420"/>
        <w:jc w:val="center"/>
        <w:spacing w:line="360" w:lineRule="auto"/>
        <w:widowControl/>
        <w:rPr>
          <w:szCs w:val="21"/>
        </w:rPr>
      </w:pPr>
      <w:r>
        <w:rPr>
          <w:szCs w:val="21"/>
        </w:rPr>
        <w:t xml:space="preserve">公司（单位）名称（盖章）：</w:t>
      </w:r>
      <w:r>
        <w:rPr>
          <w:szCs w:val="21"/>
        </w:rPr>
      </w:r>
      <w:r/>
    </w:p>
    <w:p>
      <w:pPr>
        <w:pStyle w:val="1484"/>
        <w:ind w:left="562" w:firstLine="420"/>
        <w:jc w:val="center"/>
        <w:spacing w:line="360" w:lineRule="auto"/>
        <w:widowControl/>
        <w:rPr>
          <w:szCs w:val="21"/>
        </w:rPr>
      </w:pPr>
      <w:r>
        <w:rPr>
          <w:szCs w:val="21"/>
        </w:rPr>
        <w:t xml:space="preserve">日期： 年 月 日</w:t>
      </w:r>
      <w:r>
        <w:rPr>
          <w:szCs w:val="21"/>
        </w:rPr>
      </w:r>
      <w:r/>
    </w:p>
    <w:p>
      <w:pPr>
        <w:pStyle w:val="1484"/>
        <w:ind w:left="562" w:firstLine="420"/>
        <w:jc w:val="left"/>
        <w:spacing w:line="360" w:lineRule="auto"/>
        <w:rPr>
          <w:szCs w:val="21"/>
        </w:rPr>
      </w:pPr>
      <w:r>
        <w:rPr>
          <w:szCs w:val="21"/>
        </w:rPr>
      </w:r>
      <w:r/>
    </w:p>
    <w:p>
      <w:pPr>
        <w:pStyle w:val="1484"/>
        <w:ind w:left="562" w:firstLine="420"/>
        <w:jc w:val="left"/>
        <w:spacing w:line="360" w:lineRule="auto"/>
        <w:rPr>
          <w:szCs w:val="21"/>
        </w:rPr>
      </w:pPr>
      <w:r>
        <w:rPr>
          <w:szCs w:val="21"/>
        </w:rPr>
      </w:r>
      <w:r/>
    </w:p>
    <w:p>
      <w:pPr>
        <w:pStyle w:val="1516"/>
        <w:ind w:firstLine="420"/>
        <w:jc w:val="left"/>
        <w:spacing w:before="229" w:line="360" w:lineRule="auto"/>
        <w:rPr>
          <w:rFonts w:ascii="Times New Roman"/>
          <w:sz w:val="21"/>
          <w:szCs w:val="21"/>
          <w:lang w:val="zh-TW"/>
        </w:rPr>
      </w:pPr>
      <w:r>
        <w:rPr>
          <w:rFonts w:ascii="Times New Roman"/>
          <w:sz w:val="21"/>
          <w:szCs w:val="21"/>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20%的价格扣除，用扣除后的价格参与评审。</w:t>
      </w:r>
      <w:r>
        <w:rPr>
          <w:rFonts w:ascii="Times New Roman"/>
          <w:sz w:val="21"/>
          <w:szCs w:val="21"/>
          <w:lang w:val="zh-TW"/>
        </w:rPr>
      </w:r>
      <w:r/>
    </w:p>
    <w:p>
      <w:pPr>
        <w:pStyle w:val="1484"/>
        <w:spacing w:after="156" w:line="440" w:lineRule="exact"/>
        <w:rPr>
          <w:b/>
          <w:bCs/>
          <w:color w:val="000000"/>
          <w:sz w:val="24"/>
          <w:szCs w:val="22"/>
        </w:rPr>
        <w:outlineLvl w:val="1"/>
      </w:pPr>
      <w:r>
        <w:rPr>
          <w:b/>
          <w:bCs/>
          <w:color w:val="000000"/>
          <w:sz w:val="24"/>
          <w:szCs w:val="22"/>
          <w:lang w:val="zh-CN"/>
        </w:rPr>
        <w:br w:type="page" w:clear="all"/>
      </w:r>
      <w:bookmarkStart w:id="284" w:name="_Toc3132"/>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bookmarkEnd w:id="284"/>
      <w:r>
        <w:rPr>
          <w:b/>
          <w:bCs/>
          <w:color w:val="000000"/>
          <w:sz w:val="24"/>
          <w:szCs w:val="22"/>
        </w:rPr>
      </w:r>
      <w:r/>
    </w:p>
    <w:p>
      <w:pPr>
        <w:pStyle w:val="1484"/>
        <w:ind w:firstLine="422"/>
        <w:jc w:val="center"/>
        <w:spacing w:line="360" w:lineRule="auto"/>
        <w:rPr>
          <w:b/>
          <w:bCs/>
          <w:szCs w:val="21"/>
        </w:rPr>
      </w:pPr>
      <w:r>
        <w:rPr>
          <w:b/>
          <w:bCs/>
          <w:szCs w:val="21"/>
        </w:rPr>
        <w:t xml:space="preserve">中小企业划型标准规定</w:t>
      </w:r>
      <w:r>
        <w:rPr>
          <w:b/>
          <w:bCs/>
          <w:szCs w:val="21"/>
        </w:rPr>
      </w:r>
      <w:r/>
    </w:p>
    <w:p>
      <w:pPr>
        <w:pStyle w:val="1484"/>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484"/>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484"/>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484"/>
        <w:ind w:firstLine="420"/>
        <w:jc w:val="left"/>
        <w:spacing w:line="360" w:lineRule="auto"/>
        <w:rPr>
          <w:szCs w:val="21"/>
        </w:rPr>
      </w:pPr>
      <w:r>
        <w:rPr>
          <w:szCs w:val="21"/>
        </w:rPr>
        <w:t xml:space="preserve">四、各行业划型标准为：</w:t>
      </w:r>
      <w:r>
        <w:rPr>
          <w:szCs w:val="21"/>
        </w:rPr>
      </w:r>
      <w:r/>
    </w:p>
    <w:p>
      <w:pPr>
        <w:pStyle w:val="1484"/>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484"/>
        <w:ind w:firstLine="420"/>
        <w:jc w:val="left"/>
        <w:spacing w:line="360" w:lineRule="auto"/>
        <w:rPr>
          <w:szCs w:val="21"/>
        </w:rPr>
      </w:pPr>
      <w:r>
        <w:rPr>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Cs w:val="21"/>
        </w:rPr>
      </w:r>
      <w:r/>
    </w:p>
    <w:p>
      <w:pPr>
        <w:pStyle w:val="1484"/>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484"/>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484"/>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484"/>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rPr>
      </w:r>
      <w:r/>
    </w:p>
    <w:p>
      <w:pPr>
        <w:pStyle w:val="1484"/>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484"/>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484"/>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84"/>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84"/>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484"/>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484"/>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484"/>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484"/>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484"/>
        <w:ind w:firstLine="422"/>
        <w:jc w:val="left"/>
        <w:spacing w:line="360" w:lineRule="auto"/>
        <w:rPr>
          <w:b/>
          <w:bCs/>
          <w:szCs w:val="21"/>
        </w:rPr>
      </w:pPr>
      <w:r>
        <w:rPr>
          <w:b/>
          <w:bCs/>
          <w:szCs w:val="21"/>
        </w:rPr>
        <w:t xml:space="preserve">（十六）其他未列明行业。从业人员300人以下的为中小微型企业。其中，从业人员100人及以上的为中型企业；从业人员10人及以上的为小型企业；从业人员10人以下的为微型企业。</w:t>
      </w:r>
      <w:r>
        <w:rPr>
          <w:b/>
          <w:bCs/>
          <w:szCs w:val="21"/>
        </w:rPr>
      </w:r>
      <w:r/>
    </w:p>
    <w:p>
      <w:pPr>
        <w:pStyle w:val="1484"/>
        <w:ind w:firstLine="420"/>
        <w:jc w:val="left"/>
        <w:spacing w:line="360" w:lineRule="auto"/>
        <w:rPr>
          <w:szCs w:val="21"/>
        </w:rPr>
      </w:pPr>
      <w:r>
        <w:rPr>
          <w:szCs w:val="21"/>
        </w:rPr>
        <w:t xml:space="preserve">五、企业类型的划分以统计部门的统计数据为依据。</w:t>
      </w:r>
      <w:r>
        <w:rPr>
          <w:szCs w:val="21"/>
        </w:rPr>
      </w:r>
      <w:r/>
    </w:p>
    <w:p>
      <w:pPr>
        <w:pStyle w:val="1484"/>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484"/>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484"/>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484"/>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484"/>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484"/>
        <w:spacing w:after="156" w:line="440" w:lineRule="exact"/>
        <w:rPr>
          <w:b/>
        </w:rPr>
        <w:outlineLvl w:val="1"/>
      </w:pPr>
      <w:r>
        <w:rPr>
          <w:b/>
          <w:bCs/>
          <w:sz w:val="24"/>
          <w:szCs w:val="22"/>
          <w:lang w:val="zh-CN"/>
        </w:rPr>
        <w:br w:type="page" w:clear="all"/>
      </w:r>
      <w:bookmarkEnd w:id="283"/>
      <w:r/>
      <w:bookmarkStart w:id="285" w:name="_Toc1006"/>
      <w:r/>
      <w:bookmarkStart w:id="286" w:name="_Toc3450"/>
      <w:r/>
      <w:bookmarkStart w:id="287" w:name="_Toc7454"/>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85"/>
      <w:r/>
      <w:bookmarkEnd w:id="286"/>
      <w:r/>
      <w:bookmarkEnd w:id="287"/>
      <w:r>
        <w:rPr>
          <w:b/>
        </w:rPr>
      </w:r>
      <w:r/>
    </w:p>
    <w:p>
      <w:pPr>
        <w:pStyle w:val="1484"/>
        <w:jc w:val="left"/>
        <w:spacing w:line="360" w:lineRule="auto"/>
        <w:rPr>
          <w:b/>
          <w:bCs/>
          <w:szCs w:val="21"/>
          <w:lang w:val="zh-CN"/>
        </w:rPr>
        <w:outlineLvl w:val="2"/>
      </w:pPr>
      <w:r/>
      <w:bookmarkStart w:id="288" w:name="_Toc27229"/>
      <w:r/>
      <w:bookmarkStart w:id="289" w:name="_Toc28163"/>
      <w:r/>
      <w:bookmarkStart w:id="290" w:name="_Toc14215"/>
      <w:r>
        <w:rPr>
          <w:b/>
          <w:bCs/>
          <w:szCs w:val="21"/>
          <w:lang w:val="zh-CN"/>
        </w:rPr>
        <w:t xml:space="preserve">1、法人或其他组织的营业执照等证明文件（复印件加盖公章）</w:t>
      </w:r>
      <w:bookmarkEnd w:id="288"/>
      <w:r/>
      <w:bookmarkEnd w:id="289"/>
      <w:r/>
      <w:bookmarkEnd w:id="290"/>
      <w:r>
        <w:rPr>
          <w:b/>
          <w:bCs/>
          <w:szCs w:val="21"/>
          <w:lang w:val="zh-CN"/>
        </w:rPr>
      </w:r>
      <w:r/>
    </w:p>
    <w:p>
      <w:pPr>
        <w:pStyle w:val="1484"/>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484"/>
        <w:spacing w:line="440" w:lineRule="exact"/>
        <w:rPr>
          <w:sz w:val="24"/>
          <w:szCs w:val="24"/>
        </w:rPr>
      </w:pPr>
      <w:r>
        <w:rPr>
          <w:sz w:val="24"/>
          <w:szCs w:val="24"/>
        </w:rPr>
      </w:r>
      <w:r/>
    </w:p>
    <w:p>
      <w:pPr>
        <w:pStyle w:val="1484"/>
        <w:spacing w:line="440" w:lineRule="exact"/>
        <w:rPr>
          <w:sz w:val="24"/>
          <w:szCs w:val="24"/>
        </w:rPr>
      </w:pPr>
      <w:r>
        <w:rPr>
          <w:sz w:val="24"/>
          <w:szCs w:val="24"/>
        </w:rPr>
      </w:r>
      <w:r/>
    </w:p>
    <w:p>
      <w:pPr>
        <w:pStyle w:val="1484"/>
        <w:spacing w:line="440" w:lineRule="exact"/>
        <w:rPr>
          <w:sz w:val="24"/>
          <w:szCs w:val="24"/>
        </w:rPr>
      </w:pPr>
      <w:r>
        <w:rPr>
          <w:sz w:val="24"/>
          <w:szCs w:val="24"/>
        </w:rPr>
      </w:r>
      <w:r/>
    </w:p>
    <w:p>
      <w:pPr>
        <w:pStyle w:val="1484"/>
        <w:spacing w:line="440" w:lineRule="exact"/>
        <w:rPr>
          <w:sz w:val="24"/>
          <w:szCs w:val="24"/>
        </w:rPr>
      </w:pPr>
      <w:r>
        <w:rPr>
          <w:sz w:val="24"/>
          <w:szCs w:val="24"/>
        </w:rPr>
      </w:r>
      <w:r/>
    </w:p>
    <w:p>
      <w:pPr>
        <w:pStyle w:val="1484"/>
        <w:spacing w:line="440" w:lineRule="exact"/>
        <w:rPr>
          <w:szCs w:val="21"/>
        </w:rPr>
      </w:pPr>
      <w:r>
        <w:rPr>
          <w:szCs w:val="21"/>
        </w:rPr>
        <w:t xml:space="preserve">投标人名称（公章）：</w:t>
      </w:r>
      <w:r>
        <w:rPr>
          <w:szCs w:val="21"/>
        </w:rPr>
      </w:r>
      <w:r/>
    </w:p>
    <w:p>
      <w:pPr>
        <w:pStyle w:val="1484"/>
        <w:spacing w:line="440" w:lineRule="exact"/>
        <w:rPr>
          <w:szCs w:val="21"/>
        </w:rPr>
      </w:pPr>
      <w:r>
        <w:rPr>
          <w:szCs w:val="21"/>
        </w:rPr>
        <w:t xml:space="preserve">授权代表（签字）：</w:t>
      </w:r>
      <w:r>
        <w:rPr>
          <w:szCs w:val="21"/>
        </w:rPr>
      </w:r>
      <w:r/>
    </w:p>
    <w:p>
      <w:pPr>
        <w:pStyle w:val="1484"/>
        <w:spacing w:line="440" w:lineRule="exact"/>
        <w:rPr>
          <w:szCs w:val="21"/>
        </w:rPr>
      </w:pPr>
      <w:r>
        <w:rPr>
          <w:szCs w:val="21"/>
        </w:rPr>
        <w:t xml:space="preserve">日期：</w:t>
      </w:r>
      <w:r>
        <w:rPr>
          <w:szCs w:val="21"/>
        </w:rPr>
      </w:r>
      <w:r/>
    </w:p>
    <w:p>
      <w:pPr>
        <w:pStyle w:val="1484"/>
        <w:spacing w:line="440" w:lineRule="exact"/>
        <w:rPr>
          <w:sz w:val="24"/>
          <w:szCs w:val="24"/>
        </w:rPr>
      </w:pPr>
      <w:r>
        <w:rPr>
          <w:sz w:val="24"/>
          <w:szCs w:val="24"/>
        </w:rPr>
      </w:r>
      <w:r/>
    </w:p>
    <w:p>
      <w:pPr>
        <w:pStyle w:val="1484"/>
        <w:spacing w:line="440" w:lineRule="exact"/>
        <w:rPr>
          <w:sz w:val="24"/>
          <w:szCs w:val="24"/>
        </w:rPr>
      </w:pPr>
      <w:r>
        <w:rPr>
          <w:sz w:val="24"/>
          <w:szCs w:val="24"/>
        </w:rPr>
      </w:r>
      <w:r/>
    </w:p>
    <w:p>
      <w:pPr>
        <w:pStyle w:val="1484"/>
        <w:spacing w:line="440" w:lineRule="exact"/>
        <w:rPr>
          <w:sz w:val="24"/>
          <w:szCs w:val="24"/>
        </w:rPr>
      </w:pPr>
      <w:r>
        <w:rPr>
          <w:sz w:val="24"/>
          <w:szCs w:val="24"/>
        </w:rPr>
      </w:r>
      <w:r/>
    </w:p>
    <w:p>
      <w:pPr>
        <w:pStyle w:val="1484"/>
        <w:spacing w:line="440" w:lineRule="exact"/>
        <w:rPr>
          <w:sz w:val="24"/>
          <w:szCs w:val="24"/>
        </w:rPr>
      </w:pPr>
      <w:r>
        <w:rPr>
          <w:sz w:val="24"/>
          <w:szCs w:val="24"/>
        </w:rPr>
      </w:r>
      <w:r/>
    </w:p>
    <w:p>
      <w:pPr>
        <w:pStyle w:val="1484"/>
        <w:spacing w:line="440" w:lineRule="exact"/>
        <w:rPr>
          <w:sz w:val="24"/>
          <w:szCs w:val="24"/>
        </w:rPr>
      </w:pPr>
      <w:r>
        <w:rPr>
          <w:sz w:val="24"/>
          <w:szCs w:val="24"/>
        </w:rPr>
      </w:r>
      <w:r/>
    </w:p>
    <w:p>
      <w:pPr>
        <w:pStyle w:val="1484"/>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484"/>
        <w:jc w:val="left"/>
        <w:spacing w:line="360" w:lineRule="auto"/>
        <w:rPr>
          <w:b/>
          <w:bCs/>
          <w:szCs w:val="21"/>
          <w:lang w:val="zh-CN"/>
        </w:rPr>
        <w:outlineLvl w:val="2"/>
      </w:pPr>
      <w:r/>
      <w:bookmarkStart w:id="291" w:name="_Toc3569"/>
      <w:r/>
      <w:bookmarkStart w:id="292" w:name="_Toc24024"/>
      <w:r/>
      <w:bookmarkStart w:id="293" w:name="_Toc22028"/>
      <w:r>
        <w:rPr>
          <w:b/>
          <w:bCs/>
          <w:szCs w:val="21"/>
          <w:lang w:val="zh-CN"/>
        </w:rPr>
        <w:t xml:space="preserve">2、法人代表授权书</w:t>
      </w:r>
      <w:bookmarkEnd w:id="291"/>
      <w:r/>
      <w:bookmarkEnd w:id="292"/>
      <w:r/>
      <w:bookmarkEnd w:id="293"/>
      <w:r>
        <w:rPr>
          <w:b/>
          <w:bCs/>
          <w:szCs w:val="21"/>
          <w:lang w:val="zh-CN"/>
        </w:rPr>
      </w:r>
      <w:r/>
    </w:p>
    <w:p>
      <w:pPr>
        <w:pStyle w:val="1484"/>
        <w:spacing w:line="360" w:lineRule="auto"/>
        <w:rPr>
          <w:b/>
        </w:rPr>
      </w:pPr>
      <w:r>
        <w:rPr>
          <w:b/>
        </w:rPr>
        <w:t xml:space="preserve">致江苏苏美达仪器设备有限公司：</w:t>
      </w:r>
      <w:r>
        <w:rPr>
          <w:b/>
        </w:rPr>
      </w:r>
      <w:r/>
    </w:p>
    <w:p>
      <w:pPr>
        <w:pStyle w:val="1484"/>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484"/>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484"/>
        <w:spacing w:line="360" w:lineRule="auto"/>
        <w:rPr>
          <w:szCs w:val="21"/>
        </w:rPr>
      </w:pPr>
      <w:r>
        <w:rPr>
          <w:szCs w:val="21"/>
        </w:rPr>
      </w:r>
      <w:r/>
    </w:p>
    <w:p>
      <w:pPr>
        <w:pStyle w:val="1484"/>
        <w:spacing w:line="360" w:lineRule="auto"/>
        <w:rPr>
          <w:szCs w:val="21"/>
        </w:rPr>
      </w:pPr>
      <w:r>
        <w:rPr>
          <w:szCs w:val="21"/>
        </w:rPr>
        <w:t xml:space="preserve">法定代表人（签字或盖章）： </w:t>
      </w:r>
      <w:r>
        <w:rPr>
          <w:szCs w:val="21"/>
        </w:rPr>
      </w:r>
      <w:r/>
    </w:p>
    <w:p>
      <w:pPr>
        <w:pStyle w:val="1484"/>
        <w:spacing w:line="360" w:lineRule="auto"/>
        <w:rPr>
          <w:szCs w:val="21"/>
        </w:rPr>
      </w:pPr>
      <w:r>
        <w:rPr>
          <w:szCs w:val="21"/>
        </w:rPr>
        <w:t xml:space="preserve">授权代表（签字）： </w:t>
      </w:r>
      <w:r>
        <w:rPr>
          <w:szCs w:val="21"/>
        </w:rPr>
      </w:r>
      <w:r/>
    </w:p>
    <w:p>
      <w:pPr>
        <w:pStyle w:val="1484"/>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484"/>
        <w:spacing w:line="440" w:lineRule="exact"/>
        <w:rPr>
          <w:szCs w:val="21"/>
        </w:rPr>
      </w:pPr>
      <w:r>
        <w:rPr>
          <w:szCs w:val="21"/>
        </w:rPr>
        <w:t xml:space="preserve">日期：</w:t>
      </w:r>
      <w:r>
        <w:rPr>
          <w:szCs w:val="21"/>
        </w:rPr>
      </w:r>
      <w:r/>
    </w:p>
    <w:p>
      <w:pPr>
        <w:pStyle w:val="1484"/>
        <w:spacing w:line="360" w:lineRule="auto"/>
        <w:rPr>
          <w:b/>
          <w:szCs w:val="21"/>
        </w:rPr>
      </w:pPr>
      <w:r>
        <w:rPr>
          <w:color w:val="000000"/>
          <w:sz w:val="23"/>
        </w:rPr>
        <w:t xml:space="preserve"> </w:t>
      </w:r>
      <w:r>
        <w:rPr>
          <w:b/>
          <w:szCs w:val="21"/>
        </w:rPr>
      </w:r>
      <w:r/>
    </w:p>
    <w:p>
      <w:pPr>
        <w:pStyle w:val="1484"/>
        <w:spacing w:line="360" w:lineRule="auto"/>
        <w:rPr>
          <w:b/>
          <w:bCs/>
          <w:szCs w:val="21"/>
        </w:rPr>
      </w:pPr>
      <w:r>
        <w:rPr>
          <w:b/>
          <w:bCs/>
          <w:szCs w:val="21"/>
        </w:rPr>
        <w:t xml:space="preserve">附：法定代表人、供应商授权代表的身份证复印件</w:t>
      </w:r>
      <w:r>
        <w:rPr>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84"/>
              <w:spacing w:line="440" w:lineRule="exact"/>
              <w:rPr>
                <w:b/>
              </w:rPr>
            </w:pPr>
            <w:r>
              <w:rPr>
                <w:b/>
              </w:rPr>
            </w:r>
            <w:r/>
          </w:p>
        </w:tc>
      </w:tr>
    </w:tbl>
    <w:p>
      <w:pPr>
        <w:pStyle w:val="1484"/>
        <w:spacing w:line="440" w:lineRule="exact"/>
        <w:rPr>
          <w:b/>
        </w:rPr>
      </w:pPr>
      <w:r>
        <w:rPr>
          <w:b/>
        </w:rPr>
      </w:r>
      <w:r/>
    </w:p>
    <w:p>
      <w:pPr>
        <w:pStyle w:val="1484"/>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484"/>
        <w:ind w:right="-5"/>
        <w:spacing w:line="360" w:lineRule="auto"/>
        <w:rPr>
          <w:b/>
          <w:bCs/>
          <w:szCs w:val="21"/>
          <w:lang w:val="zh-CN"/>
        </w:rPr>
        <w:outlineLvl w:val="2"/>
      </w:pPr>
      <w:r/>
      <w:bookmarkStart w:id="294" w:name="_Toc24273"/>
      <w:r/>
      <w:bookmarkStart w:id="295" w:name="_Toc5456"/>
      <w:r/>
      <w:bookmarkStart w:id="296" w:name="_Toc29297"/>
      <w:r>
        <w:rPr>
          <w:b/>
          <w:bCs/>
          <w:szCs w:val="21"/>
        </w:rPr>
        <w:t xml:space="preserve">3</w:t>
      </w:r>
      <w:r>
        <w:rPr>
          <w:b/>
          <w:bCs/>
          <w:szCs w:val="21"/>
          <w:lang w:val="zh-CN"/>
        </w:rPr>
        <w:t xml:space="preserve">、具有良好的商业信誉和健全的财务会计制度</w:t>
      </w:r>
      <w:bookmarkEnd w:id="294"/>
      <w:r/>
      <w:bookmarkEnd w:id="295"/>
      <w:r/>
      <w:bookmarkEnd w:id="296"/>
      <w:r>
        <w:rPr>
          <w:b/>
          <w:bCs/>
          <w:szCs w:val="21"/>
          <w:lang w:val="zh-CN"/>
        </w:rPr>
      </w:r>
      <w:r/>
    </w:p>
    <w:p>
      <w:pPr>
        <w:pStyle w:val="1484"/>
        <w:ind w:left="-2" w:right="-5"/>
        <w:spacing w:line="440" w:lineRule="exact"/>
        <w:rPr>
          <w:sz w:val="24"/>
        </w:rPr>
      </w:pPr>
      <w:r>
        <w:rPr>
          <w:sz w:val="24"/>
        </w:rPr>
      </w:r>
      <w:r/>
    </w:p>
    <w:p>
      <w:pPr>
        <w:pStyle w:val="1484"/>
        <w:ind w:left="-2" w:right="-5"/>
        <w:spacing w:line="440" w:lineRule="exact"/>
        <w:rPr>
          <w:sz w:val="24"/>
        </w:rPr>
      </w:pPr>
      <w:r>
        <w:rPr>
          <w:szCs w:val="21"/>
        </w:rPr>
        <w:t xml:space="preserve">提供</w:t>
      </w:r>
      <w:r>
        <w:t xml:space="preserve">距开标时间六个月内任意一月份的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2025</w:t>
      </w:r>
      <w:r>
        <w:rPr>
          <w:szCs w:val="21"/>
        </w:rPr>
        <w:t xml:space="preserve">年度经审计的财务报告复印件加盖公章</w:t>
      </w:r>
      <w:r>
        <w:rPr>
          <w:sz w:val="24"/>
        </w:rPr>
      </w:r>
      <w:r/>
    </w:p>
    <w:p>
      <w:pPr>
        <w:pStyle w:val="1484"/>
        <w:ind w:left="-2" w:right="-5"/>
        <w:spacing w:line="440" w:lineRule="exact"/>
        <w:rPr>
          <w:sz w:val="24"/>
        </w:rPr>
      </w:pPr>
      <w:r>
        <w:rPr>
          <w:sz w:val="24"/>
        </w:rPr>
      </w:r>
      <w:r/>
    </w:p>
    <w:p>
      <w:pPr>
        <w:pStyle w:val="1484"/>
        <w:spacing w:line="440" w:lineRule="exact"/>
        <w:rPr>
          <w:szCs w:val="21"/>
        </w:rPr>
      </w:pPr>
      <w:r>
        <w:rPr>
          <w:szCs w:val="21"/>
        </w:rPr>
        <w:t xml:space="preserve">投标人名称（公章）：</w:t>
      </w:r>
      <w:r>
        <w:rPr>
          <w:szCs w:val="21"/>
        </w:rPr>
      </w:r>
      <w:r/>
    </w:p>
    <w:p>
      <w:pPr>
        <w:pStyle w:val="1484"/>
        <w:spacing w:line="440" w:lineRule="exact"/>
        <w:rPr>
          <w:szCs w:val="21"/>
        </w:rPr>
      </w:pPr>
      <w:r>
        <w:rPr>
          <w:szCs w:val="21"/>
        </w:rPr>
        <w:t xml:space="preserve">授权代表（签字）：</w:t>
      </w:r>
      <w:r>
        <w:rPr>
          <w:szCs w:val="21"/>
        </w:rPr>
      </w:r>
      <w:r/>
    </w:p>
    <w:p>
      <w:pPr>
        <w:pStyle w:val="1484"/>
        <w:spacing w:line="440" w:lineRule="exact"/>
        <w:rPr>
          <w:szCs w:val="21"/>
        </w:rPr>
      </w:pPr>
      <w:r>
        <w:rPr>
          <w:szCs w:val="21"/>
        </w:rPr>
        <w:t xml:space="preserve">日期：</w:t>
      </w:r>
      <w:r>
        <w:rPr>
          <w:szCs w:val="21"/>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left="-2" w:right="-5"/>
        <w:spacing w:line="440" w:lineRule="exact"/>
        <w:rPr>
          <w:szCs w:val="21"/>
        </w:rPr>
      </w:pPr>
      <w:r>
        <w:rPr>
          <w:szCs w:val="21"/>
        </w:rPr>
        <w:t xml:space="preserve">说明： </w:t>
      </w:r>
      <w:r>
        <w:rPr>
          <w:szCs w:val="21"/>
        </w:rPr>
      </w:r>
      <w:r/>
    </w:p>
    <w:p>
      <w:pPr>
        <w:pStyle w:val="1484"/>
        <w:ind w:left="-2" w:right="-5"/>
        <w:spacing w:line="440" w:lineRule="exact"/>
        <w:rPr>
          <w:szCs w:val="21"/>
        </w:rPr>
      </w:pPr>
      <w:r>
        <w:rPr>
          <w:szCs w:val="21"/>
        </w:rPr>
        <w:t xml:space="preserve">1、审计报告复印件至少应包括资产负债表、利润表、现金流量表及其附注、</w:t>
      </w:r>
      <w:r>
        <w:rPr>
          <w:color w:val="ff0000"/>
          <w:szCs w:val="21"/>
        </w:rPr>
        <w:t xml:space="preserve">加盖会计师事务所公章页。</w:t>
      </w:r>
      <w:r>
        <w:rPr>
          <w:szCs w:val="21"/>
        </w:rPr>
        <w:t xml:space="preserve"> </w:t>
      </w:r>
      <w:r>
        <w:rPr>
          <w:szCs w:val="21"/>
        </w:rPr>
      </w:r>
      <w:r/>
    </w:p>
    <w:p>
      <w:pPr>
        <w:pStyle w:val="1484"/>
        <w:ind w:left="-2" w:right="-5"/>
        <w:spacing w:line="440" w:lineRule="exact"/>
        <w:rPr>
          <w:szCs w:val="21"/>
        </w:rPr>
      </w:pPr>
      <w:r>
        <w:rPr>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szCs w:val="21"/>
        </w:rPr>
      </w:r>
      <w:r/>
    </w:p>
    <w:p>
      <w:pPr>
        <w:pStyle w:val="1484"/>
        <w:ind w:left="-2" w:right="-5"/>
        <w:spacing w:line="440" w:lineRule="exact"/>
        <w:rPr>
          <w:szCs w:val="21"/>
        </w:rPr>
      </w:pPr>
      <w:r>
        <w:rPr>
          <w:szCs w:val="21"/>
        </w:rPr>
        <w:t xml:space="preserve">3、银行资信证明可以是复印件并加盖投标人公章，评标委员会保留审核原件的权利。 </w:t>
      </w:r>
      <w:r>
        <w:rPr>
          <w:szCs w:val="21"/>
        </w:rPr>
      </w:r>
      <w:r/>
    </w:p>
    <w:p>
      <w:pPr>
        <w:pStyle w:val="1484"/>
        <w:ind w:left="-2" w:right="-5"/>
        <w:spacing w:line="440" w:lineRule="exact"/>
        <w:rPr>
          <w:szCs w:val="21"/>
        </w:rPr>
      </w:pPr>
      <w:r>
        <w:rPr>
          <w:szCs w:val="21"/>
        </w:rPr>
        <w:t xml:space="preserve">4、银行资信证明应能说明该投标人与银行之间业务往来正常，无不良记录，企业信誉良好等。</w:t>
      </w:r>
      <w:r>
        <w:rPr>
          <w:color w:val="ff0000"/>
          <w:szCs w:val="21"/>
        </w:rPr>
        <w:t xml:space="preserve">银行出具的存款证明不能作为银行资信证明。 </w:t>
      </w:r>
      <w:r>
        <w:rPr>
          <w:szCs w:val="21"/>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right="-5"/>
        <w:spacing w:line="440" w:lineRule="exact"/>
        <w:rPr>
          <w:sz w:val="24"/>
        </w:rPr>
      </w:pPr>
      <w:r>
        <w:rPr>
          <w:sz w:val="24"/>
        </w:rPr>
      </w:r>
      <w:r/>
    </w:p>
    <w:p>
      <w:pPr>
        <w:pStyle w:val="1484"/>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84"/>
        <w:jc w:val="left"/>
        <w:spacing w:line="360" w:lineRule="auto"/>
        <w:rPr>
          <w:b/>
          <w:bCs/>
          <w:szCs w:val="21"/>
          <w:lang w:val="zh-CN"/>
        </w:rPr>
        <w:outlineLvl w:val="2"/>
      </w:pPr>
      <w:r/>
      <w:bookmarkStart w:id="297" w:name="_Toc15262"/>
      <w:r/>
      <w:bookmarkStart w:id="298" w:name="_Toc26222"/>
      <w:r/>
      <w:bookmarkStart w:id="299" w:name="_Toc12758"/>
      <w:r>
        <w:rPr>
          <w:b/>
          <w:bCs/>
          <w:szCs w:val="21"/>
        </w:rPr>
        <w:t xml:space="preserve">4、</w:t>
      </w:r>
      <w:r>
        <w:rPr>
          <w:b/>
          <w:bCs/>
          <w:szCs w:val="21"/>
          <w:lang w:val="zh-CN"/>
        </w:rPr>
        <w:t xml:space="preserve">具有履行合同所必需的设备和专业技术能力</w:t>
      </w:r>
      <w:bookmarkEnd w:id="297"/>
      <w:r/>
      <w:bookmarkEnd w:id="298"/>
      <w:r/>
      <w:bookmarkEnd w:id="299"/>
      <w:r>
        <w:rPr>
          <w:b/>
          <w:bCs/>
          <w:szCs w:val="21"/>
          <w:lang w:val="zh-CN"/>
        </w:rPr>
      </w:r>
      <w:r/>
    </w:p>
    <w:p>
      <w:pPr>
        <w:pStyle w:val="1484"/>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553"/>
        <w:ind w:firstLine="280"/>
      </w:pPr>
      <w:r/>
      <w:r/>
    </w:p>
    <w:p>
      <w:pPr>
        <w:pStyle w:val="1484"/>
        <w:jc w:val="left"/>
        <w:spacing w:line="440" w:lineRule="exact"/>
      </w:pPr>
      <w:r>
        <w:t xml:space="preserve">承诺函参考格式：</w:t>
      </w:r>
      <w:r/>
    </w:p>
    <w:p>
      <w:pPr>
        <w:pStyle w:val="1553"/>
        <w:ind w:firstLine="321"/>
        <w:jc w:val="center"/>
        <w:rPr>
          <w:b/>
          <w:sz w:val="32"/>
          <w:szCs w:val="32"/>
        </w:rPr>
      </w:pPr>
      <w:r>
        <w:rPr>
          <w:b/>
          <w:sz w:val="32"/>
          <w:szCs w:val="32"/>
        </w:rPr>
        <w:t xml:space="preserve">承  诺  函</w:t>
      </w:r>
      <w:r>
        <w:rPr>
          <w:b/>
          <w:sz w:val="32"/>
          <w:szCs w:val="32"/>
        </w:rPr>
      </w:r>
      <w:r/>
    </w:p>
    <w:p>
      <w:pPr>
        <w:pStyle w:val="1553"/>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484"/>
        <w:jc w:val="left"/>
        <w:spacing w:line="440" w:lineRule="exact"/>
        <w:rPr>
          <w:sz w:val="24"/>
          <w:szCs w:val="24"/>
        </w:rPr>
      </w:pPr>
      <w:r>
        <w:rPr>
          <w:sz w:val="24"/>
          <w:szCs w:val="24"/>
        </w:rPr>
      </w:r>
      <w:r/>
    </w:p>
    <w:p>
      <w:pPr>
        <w:pStyle w:val="1484"/>
        <w:jc w:val="left"/>
        <w:spacing w:line="440" w:lineRule="exact"/>
        <w:rPr>
          <w:sz w:val="24"/>
          <w:szCs w:val="24"/>
        </w:rPr>
      </w:pPr>
      <w:r>
        <w:rPr>
          <w:sz w:val="24"/>
          <w:szCs w:val="24"/>
        </w:rPr>
      </w:r>
      <w:r/>
    </w:p>
    <w:p>
      <w:pPr>
        <w:pStyle w:val="1484"/>
        <w:spacing w:line="440" w:lineRule="exact"/>
        <w:rPr>
          <w:szCs w:val="21"/>
        </w:rPr>
      </w:pPr>
      <w:r>
        <w:rPr>
          <w:szCs w:val="21"/>
        </w:rPr>
        <w:t xml:space="preserve">投标人名称（公章）：</w:t>
      </w:r>
      <w:r>
        <w:rPr>
          <w:szCs w:val="21"/>
        </w:rPr>
      </w:r>
      <w:r/>
    </w:p>
    <w:p>
      <w:pPr>
        <w:pStyle w:val="1484"/>
        <w:spacing w:line="440" w:lineRule="exact"/>
        <w:rPr>
          <w:szCs w:val="21"/>
        </w:rPr>
      </w:pPr>
      <w:r>
        <w:rPr>
          <w:szCs w:val="21"/>
        </w:rPr>
        <w:t xml:space="preserve">授权代表（签字）：</w:t>
      </w:r>
      <w:r>
        <w:rPr>
          <w:szCs w:val="21"/>
        </w:rPr>
      </w:r>
      <w:r/>
    </w:p>
    <w:p>
      <w:pPr>
        <w:pStyle w:val="1484"/>
        <w:spacing w:line="440" w:lineRule="exact"/>
        <w:rPr>
          <w:szCs w:val="21"/>
        </w:rPr>
      </w:pPr>
      <w:r>
        <w:rPr>
          <w:szCs w:val="21"/>
        </w:rPr>
        <w:t xml:space="preserve">日期：</w:t>
      </w:r>
      <w:r>
        <w:rPr>
          <w:szCs w:val="21"/>
        </w:rPr>
      </w:r>
      <w:r/>
    </w:p>
    <w:p>
      <w:pPr>
        <w:pStyle w:val="1484"/>
        <w:jc w:val="left"/>
        <w:spacing w:line="440" w:lineRule="exact"/>
        <w:rPr>
          <w:sz w:val="24"/>
          <w:szCs w:val="24"/>
        </w:rPr>
      </w:pPr>
      <w:r>
        <w:rPr>
          <w:sz w:val="24"/>
          <w:szCs w:val="24"/>
        </w:rPr>
      </w:r>
      <w:r/>
    </w:p>
    <w:p>
      <w:pPr>
        <w:pStyle w:val="1484"/>
        <w:jc w:val="left"/>
        <w:spacing w:line="440" w:lineRule="exact"/>
        <w:rPr>
          <w:sz w:val="24"/>
          <w:szCs w:val="24"/>
        </w:rPr>
      </w:pPr>
      <w:r>
        <w:rPr>
          <w:sz w:val="24"/>
          <w:szCs w:val="24"/>
        </w:rPr>
      </w:r>
      <w:r/>
    </w:p>
    <w:p>
      <w:pPr>
        <w:pStyle w:val="1484"/>
        <w:jc w:val="left"/>
        <w:spacing w:line="440" w:lineRule="exact"/>
        <w:rPr>
          <w:sz w:val="24"/>
          <w:szCs w:val="24"/>
        </w:rPr>
      </w:pPr>
      <w:r>
        <w:rPr>
          <w:sz w:val="24"/>
          <w:szCs w:val="24"/>
        </w:rPr>
      </w:r>
      <w:r/>
    </w:p>
    <w:p>
      <w:pPr>
        <w:pStyle w:val="1484"/>
        <w:jc w:val="left"/>
        <w:spacing w:line="440" w:lineRule="exact"/>
        <w:rPr>
          <w:sz w:val="24"/>
          <w:szCs w:val="24"/>
        </w:rPr>
      </w:pPr>
      <w:r>
        <w:rPr>
          <w:sz w:val="24"/>
          <w:szCs w:val="24"/>
        </w:rPr>
      </w:r>
      <w:r/>
    </w:p>
    <w:p>
      <w:pPr>
        <w:pStyle w:val="1484"/>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84"/>
        <w:jc w:val="left"/>
        <w:spacing w:line="360" w:lineRule="auto"/>
        <w:rPr>
          <w:b/>
          <w:bCs/>
          <w:szCs w:val="21"/>
        </w:rPr>
        <w:outlineLvl w:val="2"/>
      </w:pPr>
      <w:r/>
      <w:bookmarkStart w:id="300" w:name="_Toc1099"/>
      <w:r/>
      <w:bookmarkStart w:id="301" w:name="_Toc10033"/>
      <w:r/>
      <w:bookmarkStart w:id="302" w:name="_Toc156"/>
      <w:r>
        <w:rPr>
          <w:b/>
          <w:bCs/>
          <w:szCs w:val="21"/>
        </w:rPr>
        <w:t xml:space="preserve">5、</w:t>
      </w:r>
      <w:bookmarkEnd w:id="300"/>
      <w:r/>
      <w:bookmarkEnd w:id="301"/>
      <w:r>
        <w:rPr>
          <w:b/>
          <w:bCs/>
          <w:szCs w:val="21"/>
        </w:rPr>
        <w:t xml:space="preserve">参加政府采购活动近三年内（成立时间不足三年的、自成立时间起），在经营活动中没有重大违法记录</w:t>
      </w:r>
      <w:bookmarkEnd w:id="302"/>
      <w:r>
        <w:rPr>
          <w:b/>
          <w:bCs/>
          <w:szCs w:val="21"/>
        </w:rPr>
      </w:r>
      <w:r/>
    </w:p>
    <w:p>
      <w:pPr>
        <w:pStyle w:val="1484"/>
        <w:spacing w:line="440" w:lineRule="exact"/>
        <w:tabs>
          <w:tab w:val="left" w:pos="972" w:leader="none"/>
        </w:tabs>
        <w:rPr>
          <w:szCs w:val="21"/>
        </w:rPr>
      </w:pPr>
      <w:r>
        <w:rPr>
          <w:szCs w:val="21"/>
        </w:rPr>
        <w:t xml:space="preserve">参考格式：</w:t>
      </w:r>
      <w:r>
        <w:rPr>
          <w:szCs w:val="21"/>
        </w:rPr>
        <w:tab/>
      </w:r>
      <w:r>
        <w:rPr>
          <w:szCs w:val="21"/>
        </w:rPr>
      </w:r>
      <w:r/>
    </w:p>
    <w:p>
      <w:pPr>
        <w:pStyle w:val="1484"/>
        <w:jc w:val="center"/>
        <w:rPr>
          <w:b/>
          <w:sz w:val="32"/>
          <w:szCs w:val="32"/>
        </w:rPr>
      </w:pPr>
      <w:r>
        <w:rPr>
          <w:b/>
          <w:sz w:val="32"/>
          <w:szCs w:val="32"/>
        </w:rPr>
        <w:t xml:space="preserve">无重大违法记录声明</w:t>
      </w:r>
      <w:r>
        <w:rPr>
          <w:b/>
          <w:sz w:val="32"/>
          <w:szCs w:val="32"/>
        </w:rPr>
      </w:r>
      <w:r/>
    </w:p>
    <w:p>
      <w:pPr>
        <w:pStyle w:val="1484"/>
        <w:rPr>
          <w:sz w:val="30"/>
          <w:szCs w:val="30"/>
        </w:rPr>
      </w:pPr>
      <w:r>
        <w:rPr>
          <w:sz w:val="30"/>
          <w:szCs w:val="30"/>
        </w:rPr>
      </w:r>
      <w:r/>
    </w:p>
    <w:p>
      <w:pPr>
        <w:pStyle w:val="1484"/>
        <w:ind w:firstLine="420"/>
        <w:spacing w:line="360" w:lineRule="auto"/>
      </w:pPr>
      <w:r>
        <w:rPr>
          <w:szCs w:val="21"/>
        </w:rPr>
        <w:t xml:space="preserve">江苏苏美达仪器设备有限公司</w:t>
      </w:r>
      <w:r>
        <w:t xml:space="preserve">：</w:t>
      </w:r>
      <w:r/>
    </w:p>
    <w:p>
      <w:pPr>
        <w:pStyle w:val="1484"/>
        <w:ind w:firstLine="420"/>
        <w:spacing w:line="360" w:lineRule="auto"/>
      </w:pPr>
      <w:r/>
      <w:r/>
    </w:p>
    <w:p>
      <w:pPr>
        <w:pStyle w:val="1484"/>
        <w:ind w:firstLine="420"/>
        <w:spacing w:line="360" w:lineRule="auto"/>
      </w:pPr>
      <w:r>
        <w:t xml:space="preserve">我单位</w:t>
      </w:r>
      <w:r>
        <w:rPr>
          <w:u w:val="single"/>
        </w:rPr>
        <w:t xml:space="preserve">                </w:t>
      </w:r>
      <w:r>
        <w:t xml:space="preserve">（供应商名称）郑重声明：</w:t>
      </w:r>
      <w:r/>
    </w:p>
    <w:p>
      <w:pPr>
        <w:pStyle w:val="1484"/>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484"/>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484"/>
        <w:jc w:val="left"/>
        <w:spacing w:line="440" w:lineRule="exact"/>
        <w:rPr>
          <w:sz w:val="24"/>
          <w:szCs w:val="24"/>
        </w:rPr>
      </w:pPr>
      <w:r>
        <w:rPr>
          <w:sz w:val="24"/>
          <w:szCs w:val="24"/>
        </w:rPr>
      </w:r>
      <w:r/>
    </w:p>
    <w:p>
      <w:pPr>
        <w:pStyle w:val="1484"/>
        <w:jc w:val="left"/>
        <w:spacing w:line="440" w:lineRule="exact"/>
        <w:rPr>
          <w:sz w:val="24"/>
          <w:szCs w:val="24"/>
        </w:rPr>
      </w:pPr>
      <w:r>
        <w:rPr>
          <w:sz w:val="24"/>
          <w:szCs w:val="24"/>
        </w:rPr>
      </w:r>
      <w:r/>
    </w:p>
    <w:p>
      <w:pPr>
        <w:pStyle w:val="1484"/>
        <w:spacing w:line="440" w:lineRule="exact"/>
        <w:rPr>
          <w:szCs w:val="21"/>
        </w:rPr>
      </w:pPr>
      <w:r>
        <w:rPr>
          <w:szCs w:val="21"/>
        </w:rPr>
        <w:t xml:space="preserve">投标人名称（公章）：</w:t>
      </w:r>
      <w:r>
        <w:rPr>
          <w:szCs w:val="21"/>
        </w:rPr>
      </w:r>
      <w:r/>
    </w:p>
    <w:p>
      <w:pPr>
        <w:pStyle w:val="1484"/>
        <w:spacing w:line="440" w:lineRule="exact"/>
        <w:rPr>
          <w:szCs w:val="21"/>
        </w:rPr>
      </w:pPr>
      <w:r>
        <w:rPr>
          <w:szCs w:val="21"/>
        </w:rPr>
        <w:t xml:space="preserve">授权代表（签字）：</w:t>
      </w:r>
      <w:r>
        <w:rPr>
          <w:szCs w:val="21"/>
        </w:rPr>
      </w:r>
      <w:r/>
    </w:p>
    <w:p>
      <w:pPr>
        <w:pStyle w:val="1484"/>
        <w:spacing w:line="440" w:lineRule="exact"/>
        <w:rPr>
          <w:sz w:val="24"/>
          <w:szCs w:val="24"/>
        </w:rPr>
      </w:pPr>
      <w:r>
        <w:rPr>
          <w:szCs w:val="21"/>
        </w:rPr>
        <w:t xml:space="preserve">日期：</w:t>
      </w:r>
      <w:r>
        <w:rPr>
          <w:sz w:val="24"/>
          <w:szCs w:val="24"/>
        </w:rPr>
      </w:r>
      <w:r/>
    </w:p>
    <w:p>
      <w:pPr>
        <w:pStyle w:val="1484"/>
        <w:spacing w:line="440" w:lineRule="exact"/>
        <w:rPr>
          <w:sz w:val="24"/>
          <w:szCs w:val="24"/>
        </w:rPr>
      </w:pPr>
      <w:r>
        <w:rPr>
          <w:sz w:val="24"/>
          <w:szCs w:val="24"/>
        </w:rPr>
      </w:r>
      <w:r/>
    </w:p>
    <w:p>
      <w:pPr>
        <w:pStyle w:val="1484"/>
        <w:spacing w:line="440" w:lineRule="exact"/>
        <w:rPr>
          <w:szCs w:val="21"/>
        </w:rPr>
      </w:pPr>
      <w:r>
        <w:rPr>
          <w:szCs w:val="21"/>
        </w:rPr>
      </w:r>
      <w:r/>
    </w:p>
    <w:p>
      <w:pPr>
        <w:pStyle w:val="1484"/>
        <w:spacing w:line="440" w:lineRule="exact"/>
        <w:rPr>
          <w:szCs w:val="21"/>
        </w:rPr>
      </w:pPr>
      <w:r>
        <w:rPr>
          <w:szCs w:val="21"/>
        </w:rPr>
      </w:r>
      <w:r/>
    </w:p>
    <w:p>
      <w:pPr>
        <w:pStyle w:val="1484"/>
        <w:spacing w:line="440" w:lineRule="exact"/>
        <w:rPr>
          <w:szCs w:val="21"/>
        </w:rPr>
      </w:pPr>
      <w:r>
        <w:rPr>
          <w:szCs w:val="21"/>
        </w:rPr>
      </w:r>
      <w:r/>
    </w:p>
    <w:p>
      <w:pPr>
        <w:pStyle w:val="1484"/>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484"/>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484"/>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484"/>
        <w:spacing w:line="440" w:lineRule="exact"/>
        <w:rPr>
          <w:sz w:val="24"/>
          <w:szCs w:val="24"/>
        </w:rPr>
      </w:pPr>
      <w:r>
        <w:rPr>
          <w:sz w:val="24"/>
          <w:szCs w:val="24"/>
        </w:rPr>
      </w:r>
      <w:r/>
    </w:p>
    <w:p>
      <w:pPr>
        <w:pStyle w:val="1484"/>
        <w:spacing w:line="440" w:lineRule="exact"/>
        <w:rPr>
          <w:sz w:val="24"/>
          <w:szCs w:val="24"/>
        </w:rPr>
      </w:pPr>
      <w:r>
        <w:rPr>
          <w:sz w:val="24"/>
          <w:szCs w:val="24"/>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left="-2" w:right="-5"/>
        <w:spacing w:line="440" w:lineRule="exact"/>
        <w:rPr>
          <w:sz w:val="24"/>
        </w:rPr>
      </w:pPr>
      <w:r>
        <w:rPr>
          <w:sz w:val="24"/>
        </w:rPr>
      </w:r>
      <w:r/>
    </w:p>
    <w:p>
      <w:pPr>
        <w:pStyle w:val="1484"/>
        <w:ind w:right="-5"/>
        <w:spacing w:line="440" w:lineRule="exact"/>
        <w:rPr>
          <w:sz w:val="24"/>
        </w:rPr>
      </w:pPr>
      <w:r>
        <w:rPr>
          <w:sz w:val="24"/>
        </w:rPr>
      </w:r>
      <w:r/>
    </w:p>
    <w:p>
      <w:pPr>
        <w:pStyle w:val="1484"/>
        <w:jc w:val="left"/>
        <w:spacing w:line="360" w:lineRule="auto"/>
        <w:rPr>
          <w:b/>
          <w:bCs/>
          <w:szCs w:val="21"/>
        </w:rPr>
        <w:sectPr>
          <w:footerReference w:type="first" r:id="rId25"/>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03" w:name="_Toc13811"/>
      <w:r>
        <w:rPr>
          <w:b/>
          <w:bCs/>
          <w:szCs w:val="21"/>
        </w:rPr>
      </w:r>
      <w:r/>
    </w:p>
    <w:p>
      <w:pPr>
        <w:pStyle w:val="1484"/>
        <w:jc w:val="left"/>
        <w:spacing w:line="360" w:lineRule="auto"/>
        <w:rPr>
          <w:b/>
          <w:bCs/>
          <w:szCs w:val="21"/>
        </w:rPr>
        <w:outlineLvl w:val="2"/>
      </w:pPr>
      <w:r/>
      <w:bookmarkStart w:id="304" w:name="_Toc14470"/>
      <w:r/>
      <w:bookmarkStart w:id="305" w:name="_Toc19798"/>
      <w:r>
        <w:rPr>
          <w:b/>
          <w:bCs/>
          <w:szCs w:val="21"/>
        </w:rPr>
        <w:t xml:space="preserve">6、依法缴纳税收的记录</w:t>
      </w:r>
      <w:bookmarkEnd w:id="303"/>
      <w:r/>
      <w:bookmarkEnd w:id="304"/>
      <w:r/>
      <w:bookmarkEnd w:id="305"/>
      <w:r>
        <w:rPr>
          <w:b/>
          <w:bCs/>
          <w:szCs w:val="21"/>
        </w:rPr>
      </w:r>
      <w:r/>
    </w:p>
    <w:p>
      <w:pPr>
        <w:pStyle w:val="1484"/>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凭据复印件加盖公章（依法免税的应提供相应文件说明）</w:t>
      </w:r>
      <w:r>
        <w:rPr>
          <w:szCs w:val="21"/>
          <w:lang w:bidi="en-US"/>
        </w:rPr>
        <w:t xml:space="preserve">；</w:t>
      </w:r>
      <w:r>
        <w:rPr>
          <w:b/>
          <w:u w:val="single"/>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Cs w:val="21"/>
        </w:rPr>
      </w:pPr>
      <w:r>
        <w:rPr>
          <w:szCs w:val="21"/>
        </w:rPr>
        <w:t xml:space="preserve">投标人名称（公章）：</w:t>
      </w:r>
      <w:r>
        <w:rPr>
          <w:szCs w:val="21"/>
        </w:rPr>
      </w:r>
      <w:r/>
    </w:p>
    <w:p>
      <w:pPr>
        <w:pStyle w:val="1484"/>
        <w:spacing w:line="440" w:lineRule="exact"/>
        <w:rPr>
          <w:szCs w:val="21"/>
        </w:rPr>
      </w:pPr>
      <w:r>
        <w:rPr>
          <w:szCs w:val="21"/>
        </w:rPr>
        <w:t xml:space="preserve">授权代表（签字）：</w:t>
      </w:r>
      <w:r>
        <w:rPr>
          <w:szCs w:val="21"/>
        </w:rPr>
      </w:r>
      <w:r/>
    </w:p>
    <w:p>
      <w:pPr>
        <w:pStyle w:val="1484"/>
        <w:spacing w:line="440" w:lineRule="exact"/>
        <w:rPr>
          <w:sz w:val="24"/>
          <w:szCs w:val="24"/>
        </w:rPr>
      </w:pPr>
      <w:r>
        <w:rPr>
          <w:szCs w:val="21"/>
        </w:rPr>
        <w:t xml:space="preserve">日期：</w:t>
      </w:r>
      <w:r>
        <w:rPr>
          <w:sz w:val="24"/>
          <w:szCs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spacing w:line="440" w:lineRule="exact"/>
        <w:rPr>
          <w:sz w:val="24"/>
        </w:rPr>
      </w:pPr>
      <w:r>
        <w:rPr>
          <w:sz w:val="24"/>
        </w:rPr>
      </w:r>
      <w:r/>
    </w:p>
    <w:p>
      <w:pPr>
        <w:pStyle w:val="1484"/>
        <w:jc w:val="left"/>
        <w:spacing w:line="360" w:lineRule="auto"/>
        <w:rPr>
          <w:b/>
          <w:bCs/>
          <w:szCs w:val="21"/>
        </w:rPr>
        <w:outlineLvl w:val="2"/>
      </w:pPr>
      <w:r/>
      <w:bookmarkStart w:id="306" w:name="_Toc17181"/>
      <w:r>
        <w:rPr>
          <w:b/>
          <w:bCs/>
          <w:szCs w:val="21"/>
        </w:rPr>
        <w:br w:type="page" w:clear="all"/>
      </w:r>
      <w:bookmarkStart w:id="307" w:name="_Toc31194"/>
      <w:r/>
      <w:bookmarkStart w:id="308" w:name="_Toc23608"/>
      <w:r>
        <w:rPr>
          <w:b/>
          <w:bCs/>
          <w:szCs w:val="21"/>
        </w:rPr>
        <w:t xml:space="preserve">7、依法缴纳社会保障资金的记录</w:t>
      </w:r>
      <w:bookmarkEnd w:id="306"/>
      <w:r/>
      <w:bookmarkEnd w:id="307"/>
      <w:r/>
      <w:bookmarkEnd w:id="308"/>
      <w:r>
        <w:rPr>
          <w:b/>
          <w:bCs/>
          <w:szCs w:val="21"/>
        </w:rPr>
      </w:r>
      <w:r/>
    </w:p>
    <w:p>
      <w:pPr>
        <w:pStyle w:val="1484"/>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月份的依法缴纳社会保障资金的凭据复印件加盖公章（凭据可以是缴费的银行单据、专用收据、社会保险缴纳清单或者所在社保机构开具的证明等，自行编写无效）；</w:t>
      </w:r>
      <w:r>
        <w:rPr>
          <w:sz w:val="24"/>
          <w:szCs w:val="24"/>
        </w:rPr>
      </w:r>
      <w:r/>
    </w:p>
    <w:p>
      <w:pPr>
        <w:pStyle w:val="1484"/>
        <w:spacing w:after="120" w:line="440" w:lineRule="exact"/>
      </w:pPr>
      <w:r>
        <w:t xml:space="preserve">（2）依法不需要缴纳社会保障资金的，应提供相应的文件证明。 </w:t>
      </w:r>
      <w:r/>
    </w:p>
    <w:p>
      <w:pPr>
        <w:pStyle w:val="1484"/>
        <w:spacing w:line="440" w:lineRule="exact"/>
        <w:rPr>
          <w:sz w:val="24"/>
        </w:rPr>
      </w:pPr>
      <w:r>
        <w:rPr>
          <w:sz w:val="24"/>
        </w:rPr>
      </w:r>
      <w:r/>
    </w:p>
    <w:p>
      <w:pPr>
        <w:pStyle w:val="1484"/>
        <w:spacing w:line="440" w:lineRule="exact"/>
        <w:rPr>
          <w:b/>
        </w:rPr>
      </w:pPr>
      <w:r>
        <w:rPr>
          <w:b/>
        </w:rPr>
        <w:t xml:space="preserve">  </w:t>
      </w:r>
      <w:r>
        <w:rPr>
          <w:b/>
        </w:rPr>
      </w:r>
      <w:r/>
    </w:p>
    <w:p>
      <w:pPr>
        <w:pStyle w:val="1484"/>
        <w:spacing w:line="440" w:lineRule="exact"/>
        <w:rPr>
          <w:b/>
        </w:rPr>
      </w:pPr>
      <w:r>
        <w:rPr>
          <w:b/>
        </w:rPr>
      </w:r>
      <w:r/>
    </w:p>
    <w:p>
      <w:pPr>
        <w:pStyle w:val="1484"/>
        <w:spacing w:line="440" w:lineRule="exact"/>
        <w:rPr>
          <w:sz w:val="24"/>
        </w:rPr>
      </w:pPr>
      <w:r>
        <w:rPr>
          <w:sz w:val="24"/>
        </w:rPr>
      </w:r>
      <w:r/>
    </w:p>
    <w:p>
      <w:pPr>
        <w:pStyle w:val="1484"/>
        <w:spacing w:line="440" w:lineRule="exact"/>
        <w:rPr>
          <w:szCs w:val="21"/>
        </w:rPr>
      </w:pPr>
      <w:r>
        <w:rPr>
          <w:szCs w:val="21"/>
        </w:rPr>
        <w:t xml:space="preserve">投标人名称（公章）：</w:t>
      </w:r>
      <w:r>
        <w:rPr>
          <w:szCs w:val="21"/>
        </w:rPr>
      </w:r>
      <w:r/>
    </w:p>
    <w:p>
      <w:pPr>
        <w:pStyle w:val="1484"/>
        <w:spacing w:line="440" w:lineRule="exact"/>
        <w:rPr>
          <w:szCs w:val="21"/>
        </w:rPr>
      </w:pPr>
      <w:r>
        <w:rPr>
          <w:szCs w:val="21"/>
        </w:rPr>
        <w:t xml:space="preserve">授权代表（签字）：</w:t>
      </w:r>
      <w:r>
        <w:rPr>
          <w:szCs w:val="21"/>
        </w:rPr>
      </w:r>
      <w:r/>
    </w:p>
    <w:p>
      <w:pPr>
        <w:pStyle w:val="1484"/>
        <w:spacing w:line="440" w:lineRule="exact"/>
        <w:rPr>
          <w:sz w:val="24"/>
          <w:szCs w:val="24"/>
        </w:rPr>
      </w:pPr>
      <w:r>
        <w:rPr>
          <w:szCs w:val="21"/>
        </w:rPr>
        <w:t xml:space="preserve">日期：</w:t>
      </w:r>
      <w:r>
        <w:rPr>
          <w:sz w:val="24"/>
          <w:szCs w:val="24"/>
        </w:rPr>
      </w:r>
      <w:r/>
    </w:p>
    <w:p>
      <w:pPr>
        <w:pStyle w:val="1484"/>
        <w:spacing w:line="440" w:lineRule="exact"/>
        <w:rPr>
          <w:sz w:val="24"/>
        </w:rPr>
      </w:pPr>
      <w:r>
        <w:rPr>
          <w:sz w:val="24"/>
        </w:rPr>
      </w:r>
      <w:r/>
    </w:p>
    <w:p>
      <w:pPr>
        <w:pStyle w:val="1484"/>
        <w:spacing w:line="440" w:lineRule="exact"/>
        <w:rPr>
          <w:b/>
        </w:rPr>
      </w:pPr>
      <w:r>
        <w:rPr>
          <w:b/>
        </w:rPr>
      </w:r>
      <w:r/>
    </w:p>
    <w:p>
      <w:pPr>
        <w:pStyle w:val="1484"/>
        <w:jc w:val="center"/>
        <w:spacing w:line="440" w:lineRule="exact"/>
      </w:pPr>
      <w:r/>
      <w:r/>
    </w:p>
    <w:p>
      <w:pPr>
        <w:pStyle w:val="1484"/>
        <w:spacing w:line="440" w:lineRule="exact"/>
        <w:rPr>
          <w:b/>
        </w:rPr>
      </w:pPr>
      <w:r>
        <w:rPr>
          <w:b/>
        </w:rPr>
      </w:r>
      <w:r/>
    </w:p>
    <w:p>
      <w:pPr>
        <w:pStyle w:val="1484"/>
        <w:ind w:right="-5"/>
        <w:spacing w:line="440" w:lineRule="exact"/>
        <w:rPr>
          <w:b/>
        </w:rPr>
      </w:pPr>
      <w:r>
        <w:rPr>
          <w:b/>
        </w:rPr>
      </w:r>
      <w:r/>
    </w:p>
    <w:p>
      <w:pPr>
        <w:pStyle w:val="1484"/>
        <w:ind w:right="-5"/>
        <w:spacing w:line="440" w:lineRule="exact"/>
        <w:rPr>
          <w:b/>
        </w:rPr>
      </w:pPr>
      <w:r>
        <w:rPr>
          <w:b/>
        </w:rPr>
      </w:r>
      <w:r/>
    </w:p>
    <w:p>
      <w:pPr>
        <w:pStyle w:val="1484"/>
        <w:ind w:right="-5"/>
        <w:spacing w:line="440" w:lineRule="exact"/>
        <w:rPr>
          <w:b/>
        </w:rPr>
      </w:pPr>
      <w:r>
        <w:rPr>
          <w:b/>
        </w:rPr>
      </w:r>
      <w:r/>
    </w:p>
    <w:p>
      <w:pPr>
        <w:pStyle w:val="1484"/>
        <w:ind w:right="-5"/>
        <w:spacing w:line="440" w:lineRule="exact"/>
        <w:rPr>
          <w:b/>
        </w:rPr>
      </w:pPr>
      <w:r>
        <w:rPr>
          <w:b/>
        </w:rPr>
      </w:r>
      <w:r/>
    </w:p>
    <w:p>
      <w:pPr>
        <w:pStyle w:val="1484"/>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484"/>
        <w:jc w:val="left"/>
        <w:spacing w:line="360" w:lineRule="auto"/>
        <w:rPr>
          <w:b/>
          <w:bCs/>
          <w:szCs w:val="21"/>
        </w:rPr>
        <w:outlineLvl w:val="2"/>
      </w:pPr>
      <w:r/>
      <w:bookmarkStart w:id="309" w:name="_Toc9645"/>
      <w:r/>
      <w:bookmarkStart w:id="310" w:name="_Toc17743"/>
      <w:r/>
      <w:bookmarkStart w:id="311" w:name="_Toc12240"/>
      <w:r>
        <w:rPr>
          <w:b/>
          <w:bCs/>
          <w:szCs w:val="21"/>
        </w:rPr>
        <w:t xml:space="preserve">8、</w:t>
      </w:r>
      <w:bookmarkEnd w:id="309"/>
      <w:r>
        <w:rPr>
          <w:b/>
          <w:bCs/>
          <w:color w:val="000000"/>
          <w:szCs w:val="21"/>
        </w:rPr>
        <w:t xml:space="preserve">针对</w:t>
      </w:r>
      <w:r>
        <w:rPr>
          <w:b/>
          <w:bCs/>
          <w:szCs w:val="21"/>
        </w:rPr>
        <w:t xml:space="preserve">本项目的特定资格要求</w:t>
      </w:r>
      <w:bookmarkEnd w:id="310"/>
      <w:r/>
      <w:bookmarkEnd w:id="311"/>
      <w:r>
        <w:rPr>
          <w:b/>
          <w:bCs/>
          <w:szCs w:val="21"/>
        </w:rPr>
      </w:r>
      <w:r/>
    </w:p>
    <w:p>
      <w:pPr>
        <w:pStyle w:val="1484"/>
        <w:spacing w:line="440" w:lineRule="exact"/>
        <w:rPr>
          <w:szCs w:val="21"/>
        </w:rPr>
      </w:pPr>
      <w:r/>
      <w:bookmarkStart w:id="312" w:name="_Toc20105"/>
      <w:r/>
      <w:bookmarkStart w:id="313" w:name="_Toc9807"/>
      <w:r>
        <w:rPr>
          <w:rFonts w:hint="eastAsia"/>
          <w:szCs w:val="21"/>
        </w:rPr>
        <w:t xml:space="preserve">提供由国家药品监督管理局颁发的新型冠状病毒2019-nCov和甲型流感病毒/乙型流感病毒核酸检测试剂盒的《医疗器械注册证》，或者新型冠状病毒/甲型流感病毒/乙型流感病毒核酸检测试剂盒的《医疗器械注册证》。</w:t>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br w:type="textWrapping" w:clear="all"/>
      </w:r>
      <w:r>
        <w:rPr>
          <w:szCs w:val="21"/>
        </w:rPr>
        <w:t xml:space="preserve">投标人名称（公章）：</w:t>
      </w:r>
      <w:r>
        <w:rPr>
          <w:szCs w:val="21"/>
        </w:rPr>
      </w:r>
      <w:r/>
    </w:p>
    <w:p>
      <w:pPr>
        <w:pStyle w:val="1484"/>
        <w:spacing w:line="440" w:lineRule="exact"/>
        <w:rPr>
          <w:szCs w:val="21"/>
        </w:rPr>
      </w:pPr>
      <w:r>
        <w:rPr>
          <w:szCs w:val="21"/>
        </w:rPr>
        <w:t xml:space="preserve">授权代表（签字）：</w:t>
      </w:r>
      <w:r>
        <w:rPr>
          <w:szCs w:val="21"/>
        </w:rPr>
      </w:r>
      <w:r/>
    </w:p>
    <w:p>
      <w:pPr>
        <w:pStyle w:val="1484"/>
        <w:spacing w:line="440" w:lineRule="exact"/>
        <w:rPr>
          <w:sz w:val="24"/>
          <w:szCs w:val="24"/>
        </w:rPr>
      </w:pPr>
      <w:r>
        <w:rPr>
          <w:szCs w:val="21"/>
        </w:rPr>
        <w:t xml:space="preserve">日期：</w:t>
      </w:r>
      <w:r>
        <w:rPr>
          <w:sz w:val="24"/>
          <w:szCs w:val="24"/>
        </w:rPr>
      </w:r>
      <w:r/>
    </w:p>
    <w:p>
      <w:pPr>
        <w:pStyle w:val="1484"/>
        <w:spacing w:line="480" w:lineRule="exact"/>
        <w:widowControl/>
        <w:rPr>
          <w:rFonts w:ascii="宋体" w:hAnsi="宋体" w:cs="宋体"/>
          <w:b/>
          <w:bCs/>
          <w:szCs w:val="21"/>
        </w:rPr>
        <w:outlineLvl w:val="2"/>
      </w:pPr>
      <w:r>
        <w:rPr>
          <w:b/>
          <w:bCs/>
          <w:szCs w:val="21"/>
        </w:rPr>
        <w:br w:type="page" w:clear="all"/>
      </w:r>
      <w:bookmarkStart w:id="314" w:name="_Toc22019"/>
      <w:r>
        <w:rPr>
          <w:b/>
          <w:bCs/>
          <w:szCs w:val="21"/>
        </w:rPr>
        <w:t xml:space="preserve">9、</w:t>
      </w:r>
      <w:bookmarkEnd w:id="312"/>
      <w:r/>
      <w:bookmarkEnd w:id="313"/>
      <w:r/>
      <w:bookmarkStart w:id="315" w:name="_Toc20191"/>
      <w:r/>
      <w:bookmarkStart w:id="316" w:name="_Toc6517"/>
      <w:r>
        <w:rPr>
          <w:rFonts w:hint="eastAsia" w:ascii="宋体" w:hAnsi="宋体" w:cs="宋体"/>
          <w:b/>
          <w:bCs/>
          <w:szCs w:val="21"/>
        </w:rPr>
        <w:t xml:space="preserve">符合招标文件第一章“拒绝下述供应商参加本次采购活动的情形”中第 1）条的声明或证明材料（加盖单位公章）</w:t>
      </w:r>
      <w:bookmarkEnd w:id="314"/>
      <w:r/>
      <w:bookmarkEnd w:id="315"/>
      <w:r/>
      <w:bookmarkEnd w:id="316"/>
      <w:r>
        <w:rPr>
          <w:rFonts w:hint="eastAsia" w:ascii="宋体" w:hAnsi="宋体" w:cs="宋体"/>
          <w:b/>
          <w:bCs/>
          <w:szCs w:val="21"/>
        </w:rPr>
        <w:t xml:space="preserve"> </w:t>
      </w:r>
      <w:r>
        <w:rPr>
          <w:rFonts w:ascii="宋体" w:hAnsi="宋体" w:cs="宋体"/>
          <w:b/>
          <w:bCs/>
          <w:szCs w:val="21"/>
        </w:rPr>
      </w:r>
      <w:r/>
    </w:p>
    <w:p>
      <w:pPr>
        <w:pStyle w:val="1484"/>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rPr>
          <w:rFonts w:ascii="宋体" w:hAnsi="宋体" w:cs="宋体"/>
          <w:szCs w:val="21"/>
        </w:rPr>
      </w:r>
      <w:r/>
    </w:p>
    <w:p>
      <w:pPr>
        <w:pStyle w:val="1484"/>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rPr>
          <w:rFonts w:hint="eastAsia" w:ascii="宋体" w:hAnsi="宋体" w:cs="宋体"/>
          <w:szCs w:val="21"/>
        </w:rPr>
      </w:r>
      <w:r/>
    </w:p>
    <w:p>
      <w:pPr>
        <w:pStyle w:val="1484"/>
        <w:ind w:left="1260"/>
        <w:rPr>
          <w:rFonts w:hint="eastAsia"/>
        </w:rPr>
      </w:pPr>
      <w:r>
        <w:rPr>
          <w:rFonts w:hint="eastAsia"/>
        </w:rPr>
      </w:r>
      <w:r/>
    </w:p>
    <w:p>
      <w:pPr>
        <w:pStyle w:val="1484"/>
        <w:jc w:val="left"/>
        <w:spacing w:line="360" w:lineRule="auto"/>
        <w:rPr>
          <w:rFonts w:ascii="宋体" w:hAnsi="宋体" w:cs="宋体"/>
          <w:b/>
          <w:bCs/>
          <w:szCs w:val="21"/>
        </w:rPr>
      </w:pPr>
      <w:r>
        <w:rPr>
          <w:rFonts w:ascii="宋体" w:hAnsi="宋体" w:cs="宋体"/>
          <w:b/>
          <w:bCs/>
          <w:szCs w:val="21"/>
        </w:rPr>
        <w:t xml:space="preserve">（如不存在上述情况，请提供如下声明） </w:t>
      </w:r>
      <w:r>
        <w:rPr>
          <w:rFonts w:ascii="宋体" w:hAnsi="宋体" w:cs="宋体"/>
          <w:b/>
          <w:bCs/>
          <w:szCs w:val="21"/>
        </w:rPr>
      </w:r>
      <w:r/>
    </w:p>
    <w:p>
      <w:pPr>
        <w:pStyle w:val="1484"/>
        <w:jc w:val="left"/>
        <w:spacing w:line="360" w:lineRule="auto"/>
        <w:rPr>
          <w:rFonts w:hint="eastAsia" w:ascii="宋体" w:hAnsi="宋体" w:cs="宋体"/>
          <w:b/>
          <w:bCs/>
          <w:szCs w:val="21"/>
        </w:rPr>
      </w:pPr>
      <w:r>
        <w:rPr>
          <w:rFonts w:hint="eastAsia" w:ascii="宋体" w:hAnsi="宋体" w:cs="宋体"/>
          <w:b/>
          <w:bCs/>
          <w:szCs w:val="21"/>
        </w:rPr>
      </w:r>
      <w:r/>
    </w:p>
    <w:p>
      <w:pPr>
        <w:pStyle w:val="1484"/>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rPr>
          <w:rFonts w:ascii="宋体" w:hAnsi="宋体" w:cs="宋体"/>
          <w:b/>
          <w:bCs/>
          <w:szCs w:val="21"/>
        </w:rPr>
      </w:r>
      <w:r/>
    </w:p>
    <w:p>
      <w:pPr>
        <w:pStyle w:val="1484"/>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484"/>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rPr>
          <w:rFonts w:ascii="宋体" w:hAnsi="宋体" w:cs="宋体"/>
          <w:szCs w:val="21"/>
        </w:rPr>
      </w:r>
      <w:r/>
    </w:p>
    <w:p>
      <w:pPr>
        <w:pStyle w:val="1484"/>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rPr>
          <w:rFonts w:ascii="宋体" w:hAnsi="宋体" w:cs="宋体"/>
          <w:szCs w:val="21"/>
        </w:rPr>
      </w:r>
      <w:r/>
    </w:p>
    <w:p>
      <w:pPr>
        <w:pStyle w:val="1484"/>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484"/>
        <w:jc w:val="left"/>
        <w:spacing w:line="360" w:lineRule="auto"/>
        <w:rPr>
          <w:rFonts w:ascii="宋体" w:hAnsi="宋体" w:cs="宋体"/>
          <w:b/>
          <w:bCs/>
          <w:szCs w:val="21"/>
        </w:rPr>
      </w:pPr>
      <w:r>
        <w:rPr>
          <w:rFonts w:ascii="宋体" w:hAnsi="宋体" w:cs="宋体"/>
          <w:b/>
          <w:bCs/>
          <w:szCs w:val="21"/>
        </w:rPr>
        <w:t xml:space="preserve">特此声明。 </w:t>
      </w:r>
      <w:r>
        <w:rPr>
          <w:rFonts w:ascii="宋体" w:hAnsi="宋体" w:cs="宋体"/>
          <w:b/>
          <w:bCs/>
          <w:szCs w:val="21"/>
        </w:rPr>
      </w:r>
      <w:r/>
    </w:p>
    <w:p>
      <w:pPr>
        <w:pStyle w:val="1484"/>
        <w:spacing w:line="360" w:lineRule="auto"/>
        <w:rPr>
          <w:rFonts w:hint="eastAsia" w:ascii="宋体" w:hAnsi="宋体" w:cs="宋体"/>
          <w:szCs w:val="21"/>
        </w:rPr>
      </w:pPr>
      <w:r>
        <w:rPr>
          <w:rFonts w:hint="eastAsia" w:ascii="宋体" w:hAnsi="宋体" w:cs="宋体"/>
          <w:szCs w:val="21"/>
        </w:rPr>
      </w:r>
      <w:r/>
    </w:p>
    <w:p>
      <w:pPr>
        <w:pStyle w:val="1484"/>
        <w:spacing w:line="440" w:lineRule="exact"/>
        <w:rPr>
          <w:szCs w:val="21"/>
        </w:rPr>
      </w:pPr>
      <w:r>
        <w:rPr>
          <w:szCs w:val="21"/>
        </w:rPr>
        <w:t xml:space="preserve">投标人名称（公章）：</w:t>
      </w:r>
      <w:r>
        <w:rPr>
          <w:szCs w:val="21"/>
        </w:rPr>
      </w:r>
      <w:r/>
    </w:p>
    <w:p>
      <w:pPr>
        <w:pStyle w:val="1484"/>
        <w:spacing w:line="440" w:lineRule="exact"/>
        <w:rPr>
          <w:szCs w:val="21"/>
        </w:rPr>
      </w:pPr>
      <w:r>
        <w:rPr>
          <w:szCs w:val="21"/>
        </w:rPr>
        <w:t xml:space="preserve">授权代表（签字）：</w:t>
      </w:r>
      <w:r>
        <w:rPr>
          <w:szCs w:val="21"/>
        </w:rPr>
      </w:r>
      <w:r/>
    </w:p>
    <w:p>
      <w:pPr>
        <w:pStyle w:val="1484"/>
        <w:spacing w:line="440" w:lineRule="exact"/>
        <w:rPr>
          <w:sz w:val="24"/>
          <w:szCs w:val="24"/>
        </w:rPr>
      </w:pPr>
      <w:r>
        <w:rPr>
          <w:szCs w:val="21"/>
        </w:rPr>
        <w:t xml:space="preserve">日期：</w:t>
      </w:r>
      <w:r>
        <w:rPr>
          <w:sz w:val="24"/>
          <w:szCs w:val="24"/>
        </w:rPr>
      </w:r>
      <w:r/>
    </w:p>
    <w:p>
      <w:pPr>
        <w:pStyle w:val="1484"/>
        <w:ind w:firstLine="281"/>
        <w:rPr>
          <w:rFonts w:hint="eastAsia" w:ascii="宋体" w:hAnsi="宋体" w:cs="宋体"/>
          <w:b/>
          <w:bCs/>
          <w:sz w:val="28"/>
          <w:szCs w:val="21"/>
        </w:rPr>
      </w:pPr>
      <w:r>
        <w:rPr>
          <w:rFonts w:ascii="宋体" w:hAnsi="宋体" w:cs="宋体"/>
          <w:b/>
          <w:bCs/>
          <w:sz w:val="28"/>
          <w:szCs w:val="21"/>
        </w:rPr>
        <w:t xml:space="preserve"> </w:t>
      </w:r>
      <w:r>
        <w:rPr>
          <w:rFonts w:hint="eastAsia" w:ascii="宋体" w:hAnsi="宋体" w:cs="宋体"/>
          <w:b/>
          <w:bCs/>
          <w:sz w:val="28"/>
          <w:szCs w:val="21"/>
        </w:rPr>
      </w:r>
      <w:r/>
    </w:p>
    <w:p>
      <w:pPr>
        <w:pStyle w:val="1484"/>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484"/>
        <w:rPr>
          <w:rFonts w:hint="eastAsia" w:ascii="宋体" w:hAnsi="宋体" w:cs="宋体"/>
          <w:b/>
          <w:bCs/>
          <w:szCs w:val="21"/>
        </w:rPr>
        <w:outlineLvl w:val="2"/>
      </w:pPr>
      <w:r/>
      <w:bookmarkStart w:id="317" w:name="_Toc10766"/>
      <w:r/>
      <w:bookmarkStart w:id="318" w:name="_Toc30898"/>
      <w:r/>
      <w:bookmarkStart w:id="319" w:name="_Toc21934"/>
      <w:r/>
      <w:bookmarkStart w:id="320" w:name="_Toc24244"/>
      <w:r/>
      <w:bookmarkStart w:id="321" w:name="_Toc23403"/>
      <w:r>
        <w:rPr>
          <w:rFonts w:hint="eastAsia" w:ascii="宋体" w:hAnsi="宋体" w:cs="宋体"/>
          <w:b/>
          <w:bCs/>
          <w:szCs w:val="21"/>
        </w:rPr>
        <w:t xml:space="preserve">10、符合招标文件第一章“拒绝下述供应商参加本次采购活动的情形”中第 2）条的声明（加盖单位公章）</w:t>
      </w:r>
      <w:bookmarkEnd w:id="317"/>
      <w:r/>
      <w:bookmarkEnd w:id="318"/>
      <w:r/>
      <w:bookmarkEnd w:id="319"/>
      <w:r/>
      <w:bookmarkEnd w:id="320"/>
      <w:r/>
      <w:bookmarkEnd w:id="321"/>
      <w:r>
        <w:rPr>
          <w:rFonts w:hint="eastAsia" w:ascii="宋体" w:hAnsi="宋体" w:cs="宋体"/>
          <w:b/>
          <w:bCs/>
          <w:szCs w:val="21"/>
        </w:rPr>
      </w:r>
      <w:r/>
    </w:p>
    <w:p>
      <w:pPr>
        <w:pStyle w:val="1484"/>
        <w:ind w:firstLine="210"/>
        <w:rPr>
          <w:rFonts w:hint="eastAsia" w:ascii="宋体" w:hAnsi="宋体" w:cs="宋体"/>
          <w:szCs w:val="21"/>
        </w:rPr>
      </w:pPr>
      <w:r>
        <w:rPr>
          <w:rFonts w:hint="eastAsia" w:ascii="宋体" w:hAnsi="宋体" w:cs="宋体"/>
          <w:szCs w:val="21"/>
        </w:rPr>
      </w:r>
      <w:r/>
    </w:p>
    <w:p>
      <w:pPr>
        <w:pStyle w:val="1484"/>
        <w:rPr>
          <w:rFonts w:hint="eastAsia" w:ascii="宋体" w:hAnsi="宋体" w:cs="宋体"/>
          <w:szCs w:val="21"/>
        </w:rPr>
      </w:pPr>
      <w:r>
        <w:rPr>
          <w:rFonts w:hint="eastAsia" w:ascii="宋体" w:hAnsi="宋体" w:cs="宋体"/>
          <w:szCs w:val="21"/>
        </w:rPr>
        <w:t xml:space="preserve">参考格式：</w:t>
      </w:r>
      <w:r>
        <w:rPr>
          <w:rFonts w:hint="eastAsia" w:ascii="宋体" w:hAnsi="宋体" w:cs="宋体"/>
          <w:szCs w:val="21"/>
        </w:rPr>
      </w:r>
      <w:r/>
    </w:p>
    <w:p>
      <w:pPr>
        <w:pStyle w:val="1484"/>
        <w:rPr>
          <w:rFonts w:hint="eastAsia" w:ascii="宋体" w:hAnsi="宋体" w:cs="宋体"/>
          <w:szCs w:val="21"/>
        </w:rPr>
      </w:pPr>
      <w:r>
        <w:rPr>
          <w:rFonts w:hint="eastAsia" w:ascii="宋体" w:hAnsi="宋体" w:cs="宋体"/>
          <w:szCs w:val="21"/>
        </w:rPr>
      </w:r>
      <w:r/>
    </w:p>
    <w:p>
      <w:pPr>
        <w:pStyle w:val="1484"/>
        <w:ind w:firstLine="211"/>
        <w:rPr>
          <w:rFonts w:ascii="宋体" w:hAnsi="宋体" w:cs="宋体"/>
          <w:szCs w:val="21"/>
        </w:rPr>
      </w:pPr>
      <w:r>
        <w:rPr>
          <w:rFonts w:ascii="宋体" w:hAnsi="宋体" w:cs="宋体"/>
          <w:b/>
          <w:bCs/>
          <w:szCs w:val="21"/>
        </w:rPr>
        <w:t xml:space="preserve">江苏苏美达仪器设备有限公司：</w:t>
      </w:r>
      <w:r>
        <w:rPr>
          <w:rFonts w:ascii="宋体" w:hAnsi="宋体" w:cs="宋体"/>
          <w:szCs w:val="21"/>
        </w:rPr>
      </w:r>
      <w:r/>
    </w:p>
    <w:p>
      <w:pPr>
        <w:pStyle w:val="1484"/>
        <w:ind w:firstLine="420"/>
        <w:rPr>
          <w:rFonts w:ascii="宋体" w:hAnsi="宋体" w:cs="宋体"/>
          <w:szCs w:val="21"/>
        </w:rPr>
      </w:pPr>
      <w:r>
        <w:rPr>
          <w:rFonts w:ascii="宋体" w:hAnsi="宋体" w:cs="宋体"/>
          <w:szCs w:val="21"/>
        </w:rPr>
      </w:r>
      <w:r/>
    </w:p>
    <w:p>
      <w:pPr>
        <w:pStyle w:val="1484"/>
        <w:ind w:firstLine="420"/>
        <w:rPr>
          <w:rFonts w:hint="eastAsia" w:ascii="宋体" w:hAnsi="宋体" w:cs="宋体"/>
          <w:szCs w:val="21"/>
        </w:rPr>
      </w:pPr>
      <w:r>
        <w:rPr>
          <w:rFonts w:ascii="宋体" w:hAnsi="宋体" w:cs="宋体"/>
          <w:szCs w:val="21"/>
        </w:rPr>
        <w:t xml:space="preserve">我公司不是为本项目某包提供整体设计、规范编制或者项目管理、监理、检测等服务的供应商。 </w:t>
      </w:r>
      <w:r>
        <w:rPr>
          <w:rFonts w:hint="eastAsia" w:ascii="宋体" w:hAnsi="宋体" w:cs="宋体"/>
          <w:szCs w:val="21"/>
        </w:rPr>
      </w:r>
      <w:r/>
    </w:p>
    <w:p>
      <w:pPr>
        <w:pStyle w:val="1484"/>
        <w:ind w:firstLine="420"/>
        <w:rPr>
          <w:rFonts w:ascii="宋体" w:hAnsi="宋体" w:cs="宋体"/>
          <w:szCs w:val="21"/>
        </w:rPr>
      </w:pPr>
      <w:r>
        <w:rPr>
          <w:rFonts w:ascii="宋体" w:hAnsi="宋体" w:cs="宋体"/>
          <w:szCs w:val="21"/>
        </w:rPr>
        <w:t xml:space="preserve"> </w:t>
      </w:r>
      <w:r>
        <w:rPr>
          <w:rFonts w:ascii="宋体" w:hAnsi="宋体" w:cs="宋体"/>
          <w:szCs w:val="21"/>
        </w:rPr>
      </w:r>
      <w:r/>
    </w:p>
    <w:p>
      <w:pPr>
        <w:pStyle w:val="1484"/>
        <w:ind w:firstLine="211"/>
        <w:rPr>
          <w:rFonts w:hint="eastAsia" w:ascii="宋体" w:hAnsi="宋体" w:cs="宋体"/>
          <w:b/>
          <w:bCs/>
          <w:szCs w:val="21"/>
        </w:rPr>
      </w:pPr>
      <w:r>
        <w:rPr>
          <w:rFonts w:ascii="宋体" w:hAnsi="宋体" w:cs="宋体"/>
          <w:b/>
          <w:bCs/>
          <w:szCs w:val="21"/>
        </w:rPr>
        <w:t xml:space="preserve">特此声明。 </w:t>
      </w:r>
      <w:r>
        <w:rPr>
          <w:rFonts w:hint="eastAsia" w:ascii="宋体" w:hAnsi="宋体" w:cs="宋体"/>
          <w:b/>
          <w:bCs/>
          <w:szCs w:val="21"/>
        </w:rPr>
      </w:r>
      <w:r/>
    </w:p>
    <w:p>
      <w:pPr>
        <w:pStyle w:val="1484"/>
        <w:ind w:firstLine="211"/>
        <w:rPr>
          <w:rFonts w:hint="eastAsia" w:ascii="宋体" w:hAnsi="宋体" w:cs="宋体"/>
          <w:b/>
          <w:bCs/>
          <w:szCs w:val="21"/>
        </w:rPr>
      </w:pPr>
      <w:r>
        <w:rPr>
          <w:rFonts w:hint="eastAsia" w:ascii="宋体" w:hAnsi="宋体" w:cs="宋体"/>
          <w:b/>
          <w:bCs/>
          <w:szCs w:val="21"/>
        </w:rPr>
      </w:r>
      <w:r/>
    </w:p>
    <w:p>
      <w:pPr>
        <w:pStyle w:val="1484"/>
        <w:spacing w:line="440" w:lineRule="exact"/>
        <w:rPr>
          <w:szCs w:val="21"/>
        </w:rPr>
      </w:pPr>
      <w:r/>
      <w:bookmarkStart w:id="322" w:name="_Toc24775"/>
      <w:r/>
      <w:bookmarkStart w:id="323" w:name="_Toc27347"/>
      <w:r/>
      <w:bookmarkStart w:id="324" w:name="_Toc3794"/>
      <w:r/>
      <w:bookmarkStart w:id="325" w:name="_Toc25559"/>
      <w:r/>
      <w:bookmarkStart w:id="326" w:name="_Toc5579"/>
      <w:r>
        <w:rPr>
          <w:szCs w:val="21"/>
        </w:rPr>
        <w:t xml:space="preserve">投标人名称（公章）：</w:t>
      </w:r>
      <w:r>
        <w:rPr>
          <w:szCs w:val="21"/>
        </w:rPr>
      </w:r>
      <w:r/>
    </w:p>
    <w:p>
      <w:pPr>
        <w:pStyle w:val="1484"/>
        <w:spacing w:line="440" w:lineRule="exact"/>
        <w:rPr>
          <w:szCs w:val="21"/>
        </w:rPr>
      </w:pPr>
      <w:r>
        <w:rPr>
          <w:szCs w:val="21"/>
        </w:rPr>
        <w:t xml:space="preserve">授权代表（签字）：</w:t>
      </w:r>
      <w:r>
        <w:rPr>
          <w:szCs w:val="21"/>
        </w:rPr>
      </w:r>
      <w:r/>
    </w:p>
    <w:p>
      <w:pPr>
        <w:pStyle w:val="1484"/>
        <w:spacing w:line="440" w:lineRule="exact"/>
        <w:rPr>
          <w:sz w:val="24"/>
          <w:szCs w:val="24"/>
        </w:rPr>
      </w:pPr>
      <w:r>
        <w:rPr>
          <w:szCs w:val="21"/>
        </w:rPr>
        <w:t xml:space="preserve">日期：</w:t>
      </w:r>
      <w:r>
        <w:rPr>
          <w:sz w:val="24"/>
          <w:szCs w:val="24"/>
        </w:rPr>
      </w:r>
      <w:r/>
    </w:p>
    <w:p>
      <w:pPr>
        <w:pStyle w:val="1484"/>
        <w:jc w:val="left"/>
        <w:spacing w:line="440" w:lineRule="exact"/>
        <w:rPr>
          <w:rFonts w:hint="eastAsia" w:ascii="宋体" w:hAnsi="宋体" w:cs="宋体"/>
          <w:b/>
          <w:bCs/>
          <w:szCs w:val="21"/>
        </w:rPr>
        <w:outlineLvl w:val="2"/>
      </w:pPr>
      <w:r>
        <w:rPr>
          <w:rFonts w:hint="eastAsia" w:ascii="宋体" w:hAnsi="宋体" w:cs="宋体"/>
          <w:b/>
          <w:bCs/>
          <w:szCs w:val="21"/>
        </w:rPr>
        <w:br w:type="page" w:clear="all"/>
      </w:r>
      <w:bookmarkStart w:id="327" w:name="_Toc4699"/>
      <w:r>
        <w:rPr>
          <w:rFonts w:hint="eastAsia" w:ascii="宋体" w:hAnsi="宋体" w:cs="宋体"/>
          <w:b/>
          <w:bCs/>
          <w:szCs w:val="21"/>
        </w:rPr>
        <w:t xml:space="preserve">11、本项目不接受联合体投标，中标后不允许分包、转包。</w:t>
      </w:r>
      <w:bookmarkEnd w:id="322"/>
      <w:r/>
      <w:bookmarkEnd w:id="323"/>
      <w:r/>
      <w:bookmarkEnd w:id="324"/>
      <w:r/>
      <w:bookmarkEnd w:id="325"/>
      <w:r/>
      <w:bookmarkEnd w:id="327"/>
      <w:r>
        <w:rPr>
          <w:rFonts w:hint="eastAsia" w:ascii="宋体" w:hAnsi="宋体" w:cs="宋体"/>
          <w:b/>
          <w:bCs/>
          <w:szCs w:val="21"/>
        </w:rPr>
      </w:r>
      <w:r/>
    </w:p>
    <w:p>
      <w:pPr>
        <w:pStyle w:val="1484"/>
        <w:jc w:val="left"/>
        <w:spacing w:line="440" w:lineRule="exact"/>
        <w:rPr>
          <w:rFonts w:hint="eastAsia" w:ascii="宋体" w:hAnsi="宋体" w:cs="宋体"/>
          <w:szCs w:val="21"/>
        </w:rPr>
        <w:outlineLvl w:val="2"/>
      </w:pPr>
      <w:r/>
      <w:bookmarkStart w:id="328" w:name="_Toc6011"/>
      <w:r/>
      <w:bookmarkStart w:id="329" w:name="_Toc22262"/>
      <w:r/>
      <w:bookmarkStart w:id="330" w:name="_Toc10285"/>
      <w:r/>
      <w:bookmarkStart w:id="331" w:name="_Toc2936"/>
      <w:r/>
      <w:bookmarkStart w:id="332" w:name="_Toc19070"/>
      <w:r>
        <w:rPr>
          <w:rFonts w:hint="eastAsia" w:ascii="宋体" w:hAnsi="宋体" w:cs="宋体"/>
          <w:szCs w:val="21"/>
        </w:rPr>
        <w:t xml:space="preserve">参考格式：</w:t>
      </w:r>
      <w:bookmarkEnd w:id="326"/>
      <w:r/>
      <w:bookmarkEnd w:id="328"/>
      <w:r/>
      <w:bookmarkEnd w:id="329"/>
      <w:r/>
      <w:bookmarkEnd w:id="330"/>
      <w:r/>
      <w:bookmarkEnd w:id="331"/>
      <w:r/>
      <w:bookmarkEnd w:id="332"/>
      <w:r>
        <w:rPr>
          <w:rFonts w:hint="eastAsia" w:ascii="宋体" w:hAnsi="宋体" w:cs="宋体"/>
          <w:szCs w:val="21"/>
        </w:rPr>
      </w:r>
      <w:r/>
    </w:p>
    <w:p>
      <w:pPr>
        <w:pStyle w:val="1484"/>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rPr>
          <w:rFonts w:hint="eastAsia" w:ascii="宋体" w:hAnsi="宋体" w:cs="宋体"/>
          <w:b/>
          <w:bCs/>
          <w:color w:val="000000"/>
          <w:sz w:val="24"/>
          <w:szCs w:val="22"/>
        </w:rPr>
      </w:r>
      <w:r/>
    </w:p>
    <w:p>
      <w:pPr>
        <w:pStyle w:val="1484"/>
        <w:rPr>
          <w:rFonts w:hint="eastAsia" w:ascii="宋体" w:hAnsi="宋体" w:cs="宋体"/>
          <w:sz w:val="24"/>
          <w:szCs w:val="22"/>
        </w:rPr>
      </w:pPr>
      <w:r>
        <w:rPr>
          <w:rFonts w:hint="eastAsia" w:ascii="宋体" w:hAnsi="宋体" w:cs="宋体"/>
          <w:sz w:val="24"/>
          <w:szCs w:val="22"/>
        </w:rPr>
      </w:r>
      <w:r/>
    </w:p>
    <w:p>
      <w:pPr>
        <w:pStyle w:val="1484"/>
        <w:spacing w:line="360" w:lineRule="auto"/>
        <w:rPr>
          <w:rFonts w:hint="eastAsia" w:ascii="宋体" w:hAnsi="宋体" w:cs="宋体"/>
          <w:szCs w:val="21"/>
        </w:rPr>
      </w:pPr>
      <w:r>
        <w:rPr>
          <w:rFonts w:hint="eastAsia" w:ascii="宋体" w:hAnsi="宋体" w:cs="宋体"/>
          <w:szCs w:val="21"/>
        </w:rPr>
        <w:t xml:space="preserve">我单位承诺：</w:t>
      </w:r>
      <w:r>
        <w:rPr>
          <w:rFonts w:hint="eastAsia" w:ascii="宋体" w:hAnsi="宋体" w:cs="宋体"/>
          <w:szCs w:val="21"/>
        </w:rPr>
      </w:r>
      <w:r/>
    </w:p>
    <w:p>
      <w:pPr>
        <w:pStyle w:val="1484"/>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cs="宋体"/>
          <w:szCs w:val="21"/>
        </w:rPr>
      </w:r>
      <w:r/>
    </w:p>
    <w:p>
      <w:pPr>
        <w:pStyle w:val="1484"/>
        <w:rPr>
          <w:rFonts w:hint="eastAsia" w:ascii="宋体" w:hAnsi="宋体" w:cs="宋体"/>
          <w:sz w:val="24"/>
          <w:szCs w:val="22"/>
        </w:rPr>
      </w:pPr>
      <w:r>
        <w:rPr>
          <w:rFonts w:hint="eastAsia" w:ascii="宋体" w:hAnsi="宋体" w:cs="宋体"/>
          <w:sz w:val="24"/>
          <w:szCs w:val="22"/>
        </w:rPr>
      </w:r>
      <w:r/>
    </w:p>
    <w:p>
      <w:pPr>
        <w:pStyle w:val="1484"/>
        <w:ind w:left="-2" w:right="-5"/>
        <w:spacing w:line="360" w:lineRule="auto"/>
        <w:rPr>
          <w:rFonts w:hint="eastAsia" w:ascii="宋体" w:hAnsi="宋体" w:cs="宋体"/>
          <w:szCs w:val="21"/>
        </w:rPr>
      </w:pPr>
      <w:r>
        <w:rPr>
          <w:rFonts w:hint="eastAsia" w:ascii="宋体" w:hAnsi="宋体" w:cs="宋体"/>
          <w:szCs w:val="21"/>
        </w:rPr>
      </w:r>
      <w:r/>
    </w:p>
    <w:p>
      <w:pPr>
        <w:pStyle w:val="1484"/>
        <w:ind w:left="-2" w:right="-5"/>
        <w:spacing w:line="360" w:lineRule="auto"/>
        <w:rPr>
          <w:rFonts w:hint="eastAsia" w:ascii="宋体" w:hAnsi="宋体" w:cs="宋体"/>
          <w:szCs w:val="21"/>
        </w:rPr>
      </w:pP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484"/>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484"/>
        <w:jc w:val="left"/>
        <w:spacing w:line="360" w:lineRule="auto"/>
        <w:rPr>
          <w:rFonts w:hint="eastAsia" w:ascii="宋体" w:hAnsi="宋体" w:cs="宋体"/>
          <w:b/>
          <w:bCs/>
          <w:szCs w:val="21"/>
        </w:rPr>
      </w:pPr>
      <w:r>
        <w:rPr>
          <w:rFonts w:hint="eastAsia" w:ascii="宋体" w:hAnsi="宋体" w:cs="宋体"/>
          <w:szCs w:val="21"/>
        </w:rPr>
        <w:t xml:space="preserve">日期：</w:t>
      </w:r>
      <w:r>
        <w:rPr>
          <w:rFonts w:hint="eastAsia" w:ascii="宋体" w:hAnsi="宋体" w:cs="宋体"/>
          <w:b/>
          <w:bCs/>
          <w:szCs w:val="21"/>
        </w:rPr>
      </w:r>
      <w:r/>
    </w:p>
    <w:p>
      <w:pPr>
        <w:pStyle w:val="1484"/>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484"/>
        <w:spacing w:line="360" w:lineRule="auto"/>
        <w:rPr>
          <w:b/>
          <w:color w:val="000000"/>
          <w:sz w:val="24"/>
          <w:lang w:val="zh-CN"/>
        </w:rPr>
        <w:outlineLvl w:val="1"/>
      </w:pPr>
      <w:r/>
      <w:bookmarkStart w:id="333" w:name="_Toc22079"/>
      <w:r/>
      <w:bookmarkStart w:id="334" w:name="_Toc9255"/>
      <w:r/>
      <w:bookmarkStart w:id="335" w:name="_Toc13294"/>
      <w:r>
        <w:rPr>
          <w:b/>
          <w:bCs/>
          <w:sz w:val="24"/>
          <w:szCs w:val="22"/>
          <w:lang w:val="zh-CN"/>
        </w:rPr>
        <w:t xml:space="preserve">附件</w:t>
      </w:r>
      <w:r>
        <w:rPr>
          <w:rFonts w:hint="eastAsia"/>
          <w:b/>
          <w:bCs/>
          <w:sz w:val="24"/>
          <w:szCs w:val="22"/>
        </w:rPr>
        <w:t xml:space="preserve">九</w:t>
      </w:r>
      <w:r>
        <w:rPr>
          <w:b/>
          <w:bCs/>
          <w:sz w:val="24"/>
          <w:szCs w:val="22"/>
          <w:lang w:val="zh-CN"/>
        </w:rPr>
        <w:t xml:space="preserve"> 供应商认为应提供的其他材料</w:t>
      </w:r>
      <w:bookmarkEnd w:id="333"/>
      <w:r/>
      <w:bookmarkEnd w:id="334"/>
      <w:r/>
      <w:bookmarkEnd w:id="335"/>
      <w:r>
        <w:rPr>
          <w:b/>
          <w:color w:val="000000"/>
          <w:sz w:val="24"/>
          <w:lang w:val="zh-CN"/>
        </w:rPr>
      </w:r>
      <w:r/>
    </w:p>
    <w:p>
      <w:pPr>
        <w:pStyle w:val="1484"/>
        <w:ind w:right="-5"/>
        <w:spacing w:line="360" w:lineRule="auto"/>
        <w:rPr>
          <w:b/>
          <w:color w:val="000000"/>
          <w:szCs w:val="21"/>
          <w:lang w:val="zh-CN"/>
        </w:rPr>
      </w:pPr>
      <w:r>
        <w:rPr>
          <w:b/>
          <w:color w:val="000000"/>
          <w:szCs w:val="21"/>
          <w:lang w:val="zh-CN"/>
        </w:rPr>
        <w:t xml:space="preserve">（针对具体的评标标准提供相应其他材料）</w:t>
      </w:r>
      <w:r>
        <w:rPr>
          <w:b/>
          <w:color w:val="000000"/>
          <w:szCs w:val="21"/>
          <w:lang w:val="zh-CN"/>
        </w:rPr>
      </w:r>
      <w:r/>
    </w:p>
    <w:p>
      <w:pPr>
        <w:pStyle w:val="1484"/>
        <w:rPr>
          <w:b/>
          <w:color w:val="000000"/>
          <w:sz w:val="24"/>
          <w:lang w:val="zh-CN"/>
        </w:rPr>
      </w:pPr>
      <w:r>
        <w:rPr>
          <w:b/>
          <w:color w:val="000000"/>
          <w:sz w:val="24"/>
          <w:lang w:val="zh-CN"/>
        </w:rPr>
      </w:r>
      <w:r/>
    </w:p>
    <w:p>
      <w:pPr>
        <w:pStyle w:val="1484"/>
        <w:rPr>
          <w:rFonts w:hint="eastAsia" w:ascii="宋体"/>
          <w:szCs w:val="21"/>
        </w:rPr>
      </w:pPr>
      <w:r>
        <w:rPr>
          <w:rFonts w:hint="eastAsia" w:ascii="宋体"/>
          <w:szCs w:val="21"/>
        </w:rPr>
        <w:t xml:space="preserve">注：须授权代表签字或加盖投标单位公章</w:t>
      </w:r>
      <w:r>
        <w:rPr>
          <w:rFonts w:hint="eastAsia" w:ascii="宋体"/>
          <w:szCs w:val="21"/>
        </w:rPr>
      </w:r>
      <w:r/>
    </w:p>
    <w:p>
      <w:pPr>
        <w:pStyle w:val="1484"/>
        <w:spacing w:line="240" w:lineRule="atLeast"/>
        <w:rPr>
          <w:rFonts w:ascii="Arial" w:hAnsi="Arial" w:cs="Arial"/>
          <w:b/>
          <w:color w:val="000000"/>
          <w:sz w:val="24"/>
          <w:lang w:val="zh-CN"/>
        </w:rPr>
      </w:pPr>
      <w:r>
        <w:rPr>
          <w:rFonts w:ascii="Arial" w:hAnsi="Arial" w:cs="Arial"/>
          <w:b/>
          <w:color w:val="000000"/>
          <w:sz w:val="24"/>
          <w:lang w:val="zh-CN"/>
        </w:rPr>
      </w:r>
      <w:r/>
    </w:p>
    <w:p>
      <w:pPr>
        <w:pStyle w:val="1484"/>
        <w:spacing w:line="240" w:lineRule="atLeast"/>
        <w:rPr>
          <w:rFonts w:ascii="Arial" w:hAnsi="Arial" w:cs="Arial"/>
          <w:b/>
          <w:color w:val="000000"/>
          <w:sz w:val="24"/>
          <w:lang w:val="zh-CN"/>
        </w:rPr>
      </w:pPr>
      <w:r>
        <w:rPr>
          <w:rFonts w:ascii="Arial" w:hAnsi="Arial" w:cs="Arial"/>
          <w:b/>
          <w:color w:val="000000"/>
          <w:sz w:val="24"/>
          <w:lang w:val="zh-CN"/>
        </w:rPr>
      </w:r>
      <w:r/>
    </w:p>
    <w:p>
      <w:pPr>
        <w:pStyle w:val="1484"/>
        <w:spacing w:line="440" w:lineRule="exact"/>
        <w:rPr>
          <w:rFonts w:hint="eastAsia" w:ascii="宋体" w:hAnsi="宋体" w:cs="宋体"/>
          <w:szCs w:val="21"/>
        </w:rPr>
      </w:pPr>
      <w:r>
        <w:rPr>
          <w:rFonts w:hint="eastAsia" w:ascii="宋体" w:hAnsi="宋体" w:cs="宋体"/>
          <w:szCs w:val="21"/>
        </w:rPr>
        <w:t xml:space="preserve">1、投标产品配置清单及技术说明</w:t>
      </w:r>
      <w:r>
        <w:rPr>
          <w:rFonts w:hint="eastAsia" w:ascii="宋体" w:hAnsi="宋体" w:cs="宋体"/>
          <w:szCs w:val="21"/>
        </w:rPr>
      </w:r>
      <w:r/>
    </w:p>
    <w:p>
      <w:pPr>
        <w:pStyle w:val="1484"/>
        <w:spacing w:line="440" w:lineRule="exact"/>
        <w:rPr>
          <w:rFonts w:hint="eastAsia" w:ascii="宋体" w:hAnsi="宋体" w:cs="宋体"/>
          <w:szCs w:val="21"/>
        </w:rPr>
      </w:pPr>
      <w:r>
        <w:rPr>
          <w:rFonts w:hint="eastAsia" w:ascii="宋体" w:hAnsi="宋体" w:cs="宋体"/>
          <w:szCs w:val="21"/>
        </w:rPr>
      </w:r>
      <w:r/>
    </w:p>
    <w:p>
      <w:pPr>
        <w:pStyle w:val="1484"/>
        <w:ind w:right="-5"/>
        <w:spacing w:line="440" w:lineRule="exact"/>
        <w:rPr>
          <w:rFonts w:hint="eastAsia" w:ascii="宋体" w:hAnsi="宋体" w:cs="宋体"/>
          <w:szCs w:val="21"/>
        </w:rPr>
      </w:pPr>
      <w:r>
        <w:rPr>
          <w:rFonts w:hint="eastAsia" w:ascii="宋体" w:hAnsi="宋体" w:cs="宋体"/>
          <w:szCs w:val="21"/>
        </w:rPr>
        <w:t xml:space="preserve">2、公开招标设备质保期内的随机备品备件明细表</w:t>
      </w:r>
      <w:r>
        <w:rPr>
          <w:rFonts w:hint="eastAsia"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484"/>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35" w:type="dxa"/>
            <w:vAlign w:val="center"/>
            <w:textDirection w:val="lrTb"/>
            <w:noWrap w:val="false"/>
          </w:tcPr>
          <w:p>
            <w:pPr>
              <w:pStyle w:val="1484"/>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rPr>
                <w:rFonts w:hint="eastAsia" w:ascii="宋体" w:hAnsi="宋体" w:cs="宋体"/>
                <w:szCs w:val="21"/>
              </w:rPr>
            </w:r>
            <w:r/>
          </w:p>
        </w:tc>
        <w:tc>
          <w:tcPr>
            <w:tcW w:w="1407" w:type="dxa"/>
            <w:vAlign w:val="center"/>
            <w:textDirection w:val="lrTb"/>
            <w:noWrap w:val="false"/>
          </w:tcPr>
          <w:p>
            <w:pPr>
              <w:pStyle w:val="1484"/>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1200" w:type="dxa"/>
            <w:vAlign w:val="center"/>
            <w:textDirection w:val="lrTb"/>
            <w:noWrap w:val="false"/>
          </w:tcPr>
          <w:p>
            <w:pPr>
              <w:pStyle w:val="1484"/>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c>
          <w:tcPr>
            <w:tcW w:w="1650" w:type="dxa"/>
            <w:vAlign w:val="center"/>
            <w:textDirection w:val="lrTb"/>
            <w:noWrap w:val="false"/>
          </w:tcPr>
          <w:p>
            <w:pPr>
              <w:pStyle w:val="1484"/>
              <w:ind w:right="-5"/>
              <w:jc w:val="center"/>
              <w:spacing w:line="440" w:lineRule="exact"/>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p>
            <w:pPr>
              <w:pStyle w:val="1484"/>
              <w:ind w:right="-5"/>
              <w:jc w:val="center"/>
              <w:spacing w:line="44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c>
          <w:tcPr>
            <w:tcW w:w="2936" w:type="dxa"/>
            <w:vAlign w:val="center"/>
            <w:textDirection w:val="lrTb"/>
            <w:noWrap w:val="false"/>
          </w:tcPr>
          <w:p>
            <w:pPr>
              <w:pStyle w:val="1484"/>
              <w:ind w:right="-5"/>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484"/>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rPr>
                <w:rFonts w:hint="eastAsia" w:ascii="宋体" w:hAnsi="宋体" w:cs="宋体"/>
                <w:szCs w:val="21"/>
              </w:rPr>
            </w:r>
            <w:r/>
          </w:p>
        </w:tc>
      </w:tr>
      <w:tr>
        <w:trPr>
          <w:trHeight w:val="604"/>
        </w:trPr>
        <w:tc>
          <w:tcPr>
            <w:tcW w:w="762"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8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8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8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8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8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8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8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8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8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8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8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484"/>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484"/>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484"/>
              <w:ind w:right="-5"/>
              <w:spacing w:line="440" w:lineRule="exact"/>
              <w:rPr>
                <w:rFonts w:hint="eastAsia" w:ascii="宋体" w:hAnsi="宋体" w:cs="宋体"/>
                <w:b/>
                <w:szCs w:val="21"/>
              </w:rPr>
            </w:pPr>
            <w:r>
              <w:rPr>
                <w:rFonts w:hint="eastAsia" w:ascii="宋体" w:hAnsi="宋体" w:cs="宋体"/>
                <w:b/>
                <w:szCs w:val="21"/>
              </w:rPr>
            </w:r>
            <w:r/>
          </w:p>
          <w:p>
            <w:pPr>
              <w:pStyle w:val="1484"/>
              <w:ind w:right="-5"/>
              <w:spacing w:line="440" w:lineRule="exact"/>
              <w:rPr>
                <w:rFonts w:hint="eastAsia" w:ascii="宋体" w:hAnsi="宋体" w:cs="宋体"/>
                <w:b/>
                <w:szCs w:val="21"/>
              </w:rPr>
            </w:pPr>
            <w:r>
              <w:rPr>
                <w:rFonts w:hint="eastAsia" w:ascii="宋体" w:hAnsi="宋体" w:cs="宋体"/>
                <w:b/>
                <w:szCs w:val="21"/>
              </w:rPr>
            </w:r>
            <w:r/>
          </w:p>
        </w:tc>
      </w:tr>
    </w:tbl>
    <w:p>
      <w:pPr>
        <w:pStyle w:val="1484"/>
        <w:spacing w:line="440" w:lineRule="exact"/>
        <w:rPr>
          <w:rFonts w:hint="eastAsia" w:ascii="宋体" w:hAnsi="宋体" w:cs="宋体"/>
          <w:bCs/>
          <w:szCs w:val="21"/>
        </w:rPr>
      </w:pPr>
      <w:r>
        <w:rPr>
          <w:rFonts w:hint="eastAsia" w:ascii="宋体" w:hAnsi="宋体" w:cs="宋体"/>
          <w:bCs/>
          <w:szCs w:val="21"/>
        </w:rPr>
      </w:r>
      <w:r/>
    </w:p>
    <w:p>
      <w:pPr>
        <w:pStyle w:val="1484"/>
        <w:spacing w:line="440" w:lineRule="exact"/>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rPr>
          <w:rFonts w:hint="eastAsia" w:ascii="宋体" w:hAnsi="宋体" w:cs="宋体"/>
          <w:szCs w:val="21"/>
        </w:rPr>
      </w:r>
      <w:r/>
    </w:p>
    <w:p>
      <w:pPr>
        <w:pStyle w:val="1484"/>
        <w:spacing w:line="440" w:lineRule="exact"/>
        <w:rPr>
          <w:rFonts w:hint="eastAsia" w:ascii="宋体" w:hAnsi="宋体" w:cs="宋体"/>
          <w:b/>
          <w:szCs w:val="21"/>
        </w:rPr>
      </w:pPr>
      <w:r>
        <w:rPr>
          <w:rFonts w:hint="eastAsia" w:ascii="宋体" w:hAnsi="宋体" w:cs="宋体"/>
          <w:b/>
          <w:szCs w:val="21"/>
        </w:rPr>
      </w:r>
      <w:r/>
    </w:p>
    <w:p>
      <w:pPr>
        <w:pStyle w:val="1484"/>
        <w:ind w:right="-5"/>
        <w:spacing w:line="440" w:lineRule="exact"/>
        <w:rPr>
          <w:rFonts w:hint="eastAsia" w:ascii="宋体" w:hAnsi="宋体" w:cs="宋体"/>
          <w:b/>
          <w:szCs w:val="21"/>
        </w:rPr>
      </w:pPr>
      <w:r>
        <w:rPr>
          <w:rFonts w:hint="eastAsia" w:ascii="宋体" w:hAnsi="宋体" w:cs="宋体"/>
          <w:szCs w:val="21"/>
        </w:rPr>
        <w:t xml:space="preserve">4、培训计划及方案（人数、时间、内容、地点）</w:t>
      </w:r>
      <w:r>
        <w:rPr>
          <w:rFonts w:hint="eastAsia" w:ascii="宋体" w:hAnsi="宋体" w:cs="宋体"/>
          <w:b/>
          <w:szCs w:val="21"/>
        </w:rPr>
      </w:r>
      <w:r/>
    </w:p>
    <w:p>
      <w:pPr>
        <w:pStyle w:val="1484"/>
        <w:ind w:right="-5"/>
        <w:spacing w:line="440" w:lineRule="exact"/>
        <w:rPr>
          <w:rFonts w:hint="eastAsia" w:ascii="宋体" w:hAnsi="宋体" w:cs="宋体"/>
          <w:b/>
          <w:szCs w:val="21"/>
        </w:rPr>
      </w:pPr>
      <w:r>
        <w:rPr>
          <w:rFonts w:hint="eastAsia" w:ascii="宋体" w:hAnsi="宋体" w:cs="宋体"/>
          <w:b/>
          <w:szCs w:val="21"/>
        </w:rPr>
      </w:r>
      <w:r/>
    </w:p>
    <w:p>
      <w:pPr>
        <w:pStyle w:val="1484"/>
        <w:spacing w:line="440" w:lineRule="exact"/>
        <w:rPr>
          <w:rFonts w:hint="eastAsia" w:ascii="宋体" w:hAnsi="宋体" w:cs="宋体"/>
          <w:szCs w:val="21"/>
        </w:rPr>
      </w:pPr>
      <w:r>
        <w:rPr>
          <w:rFonts w:hint="eastAsia" w:ascii="宋体" w:hAnsi="宋体" w:cs="宋体"/>
          <w:szCs w:val="21"/>
        </w:rPr>
        <w:t xml:space="preserve">5、供货及安装日期和质量保证期及售后服务承诺</w:t>
      </w:r>
      <w:r>
        <w:rPr>
          <w:rFonts w:hint="eastAsia" w:ascii="宋体" w:hAnsi="宋体" w:cs="宋体"/>
          <w:szCs w:val="21"/>
        </w:rPr>
      </w:r>
      <w:r/>
    </w:p>
    <w:p>
      <w:pPr>
        <w:pStyle w:val="1484"/>
        <w:spacing w:line="440" w:lineRule="exact"/>
        <w:rPr>
          <w:rFonts w:hint="eastAsia" w:ascii="宋体" w:hAnsi="宋体" w:cs="宋体"/>
          <w:szCs w:val="21"/>
        </w:rPr>
      </w:pPr>
      <w:r>
        <w:rPr>
          <w:rFonts w:hint="eastAsia" w:ascii="宋体" w:hAnsi="宋体" w:cs="宋体"/>
          <w:bCs/>
          <w:color w:val="000000"/>
          <w:szCs w:val="21"/>
        </w:rPr>
        <w:t xml:space="preserve">6、业绩清单（参考格式）</w:t>
      </w:r>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tc>
          <w:tcPr>
            <w:tcW w:w="312"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1484"/>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1484"/>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1484"/>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1484"/>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1484"/>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84"/>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683" w:type="dxa"/>
            <w:vAlign w:val="top"/>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84"/>
              <w:jc w:val="center"/>
              <w:rPr>
                <w:rFonts w:hint="eastAsia" w:ascii="宋体" w:hAnsi="宋体" w:cs="宋体"/>
                <w:szCs w:val="21"/>
              </w:rPr>
            </w:pPr>
            <w:r>
              <w:rPr>
                <w:rFonts w:hint="eastAsia" w:ascii="宋体" w:hAnsi="宋体" w:cs="宋体"/>
                <w:szCs w:val="21"/>
              </w:rPr>
            </w:r>
            <w:r/>
          </w:p>
        </w:tc>
      </w:tr>
    </w:tbl>
    <w:p>
      <w:pPr>
        <w:pStyle w:val="1484"/>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484"/>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、供应商认为应提供的其他材料</w:t>
      </w:r>
      <w:r>
        <w:rPr>
          <w:rFonts w:hint="eastAsia" w:ascii="宋体" w:hAnsi="宋体" w:cs="宋体"/>
          <w:bCs/>
          <w:color w:val="000000"/>
          <w:szCs w:val="21"/>
          <w:lang w:val="zh-CN"/>
        </w:rPr>
      </w:r>
      <w:r/>
    </w:p>
    <w:p>
      <w:pPr>
        <w:pStyle w:val="1484"/>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（针对具体的评标标准提供相应其他材料）</w:t>
      </w:r>
      <w:r>
        <w:rPr>
          <w:rFonts w:hint="eastAsia" w:ascii="宋体" w:hAnsi="宋体" w:cs="宋体"/>
          <w:bCs/>
          <w:color w:val="000000"/>
          <w:szCs w:val="21"/>
          <w:lang w:val="zh-CN"/>
        </w:rPr>
      </w:r>
      <w:r/>
    </w:p>
    <w:p>
      <w:pPr>
        <w:pStyle w:val="1484"/>
        <w:spacing w:line="440" w:lineRule="exact"/>
        <w:rPr>
          <w:rFonts w:ascii="Arial" w:hAnsi="Arial" w:cs="Arial"/>
          <w:sz w:val="24"/>
          <w:szCs w:val="24"/>
        </w:rPr>
      </w:pPr>
      <w:r>
        <w:rPr>
          <w:rFonts w:ascii="Arial" w:hAnsi="Arial" w:cs="Arial"/>
          <w:sz w:val="24"/>
          <w:szCs w:val="24"/>
        </w:rPr>
      </w:r>
      <w:r/>
    </w:p>
    <w:p>
      <w:pPr>
        <w:pStyle w:val="1484"/>
        <w:spacing w:line="440" w:lineRule="exact"/>
        <w:rPr>
          <w:b/>
          <w:szCs w:val="21"/>
        </w:rPr>
      </w:pPr>
      <w:r>
        <w:rPr>
          <w:b/>
          <w:szCs w:val="21"/>
        </w:rPr>
      </w:r>
      <w:r/>
    </w:p>
    <w:p>
      <w:pPr>
        <w:pStyle w:val="1548"/>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headerReference w:type="first" r:id="rId11"/>
      <w:footerReference w:type="default" r:id="rId26"/>
      <w:footerReference w:type="first" r:id="rId27"/>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ambria">
    <w:panose1 w:val="02040503050406030204"/>
  </w:font>
  <w:font w:name="Gulim">
    <w:panose1 w:val="020B060000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tabs>
        <w:tab w:val="center" w:pos="4153" w:leader="none"/>
        <w:tab w:val="right" w:pos="8306" w:leader="none"/>
      </w:tabs>
      <w:rPr>
        <w:rStyle w:val="1557"/>
      </w:rPr>
    </w:pPr>
    <w:r>
      <w:rPr>
        <w:rStyle w:val="1557"/>
      </w:rPr>
    </w:r>
    <w:r/>
  </w:p>
  <w:p>
    <w:pPr>
      <w:pStyle w:val="1535"/>
      <w:tabs>
        <w:tab w:val="center" w:pos="4153" w:leader="none"/>
        <w:tab w:val="right" w:pos="8306" w:leader="none"/>
      </w:tabs>
      <w:rPr>
        <w:rStyle w:val="1557"/>
      </w:rPr>
      <w:framePr w:wrap="around" w:vAnchor="text" w:hAnchor="page" w:x="6104" w:y="52"/>
    </w:pPr>
    <w:r>
      <w:rPr>
        <w:rStyle w:val="1557"/>
      </w:rPr>
    </w:r>
    <w:r/>
  </w:p>
  <w:p>
    <w:pPr>
      <w:pStyle w:val="1535"/>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84"/>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8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tabs>
        <w:tab w:val="center" w:pos="4153" w:leader="none"/>
        <w:tab w:val="center" w:pos="4819" w:leader="none"/>
        <w:tab w:val="right" w:pos="8306" w:leader="none"/>
      </w:tabs>
      <w:rPr>
        <w:rStyle w:val="1557"/>
      </w:rPr>
    </w:pPr>
    <w:r>
      <w:rPr>
        <w:rStyle w:val="1557"/>
        <w:rFonts w:hint="eastAsia"/>
      </w:rPr>
      <w:tab/>
    </w:r>
    <w:r>
      <w:rPr>
        <w:rStyle w:val="1557"/>
      </w:rPr>
    </w:r>
    <w:r/>
  </w:p>
  <w:p>
    <w:pPr>
      <w:pStyle w:val="1535"/>
      <w:tabs>
        <w:tab w:val="center" w:pos="4153" w:leader="none"/>
        <w:tab w:val="right" w:pos="8306" w:leader="none"/>
      </w:tabs>
      <w:rPr>
        <w:rStyle w:val="1557"/>
      </w:rPr>
      <w:framePr w:wrap="around" w:vAnchor="text" w:hAnchor="page" w:x="6104" w:y="52"/>
    </w:pPr>
    <w:r>
      <w:rPr>
        <w:rStyle w:val="155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84"/>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84"/>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1484"/>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1484"/>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484"/>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48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16205" cy="1397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484"/>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484"/>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42</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4"/>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484"/>
                          </w:pPr>
                          <w:r/>
                          <w:r/>
                        </w:p>
                      </w:txbxContent>
                    </wps:txbx>
                    <wps:bodyPr wrap="none" lIns="0" tIns="0" rIns="0" bIns="0" upright="1">
                      <a:spAutoFit/>
                    </wps:bodyPr>
                  </wps:wsp>
                </a:graphicData>
              </a:graphic>
            </wp:anchor>
          </w:drawing>
        </mc:Choice>
        <mc:Fallback>
          <w:pict>
            <v:shape id="shape 8" o:spid="_x0000_s8"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pPr>
                      <w:pStyle w:val="1484"/>
                    </w:pPr>
                    <w:r/>
                    <w:r/>
                  </w:p>
                </w:txbxContent>
              </v:textbox>
            </v:shape>
          </w:pict>
        </mc:Fallback>
      </mc:AlternateContent>
    </w:r>
    <w:r>
      <w:rPr>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484"/>
                          </w:pPr>
                          <w:r/>
                          <w:r/>
                        </w:p>
                      </w:txbxContent>
                    </wps:txbx>
                    <wps:bodyPr wrap="none" lIns="0" tIns="0" rIns="0" bIns="0" upright="1">
                      <a:spAutoFit/>
                    </wps:bodyPr>
                  </wps:wsp>
                </a:graphicData>
              </a:graphic>
            </wp:anchor>
          </w:drawing>
        </mc:Choice>
        <mc:Fallback>
          <w:pict>
            <v:shape id="shape 9" o:spid="_x0000_s9"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48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35"/>
                            <w:tabs>
                              <w:tab w:val="clear" w:pos="4153" w:leader="none"/>
                              <w:tab w:val="clear" w:pos="8306" w:leader="none"/>
                            </w:tabs>
                            <w:rPr>
                              <w:rFonts w:hint="eastAsia"/>
                            </w:rPr>
                          </w:pPr>
                          <w:r>
                            <w:rPr>
                              <w:rFonts w:hint="eastAsia"/>
                            </w:rPr>
                          </w:r>
                          <w:r/>
                        </w:p>
                        <w:p>
                          <w:pPr>
                            <w:pStyle w:val="1484"/>
                          </w:pPr>
                          <w:r/>
                          <w:r/>
                        </w:p>
                      </w:txbxContent>
                    </wps:txbx>
                    <wps:bodyPr wrap="none" lIns="0" tIns="0" rIns="0" bIns="0" upright="1">
                      <a:spAutoFit/>
                    </wps:bodyPr>
                  </wps:wsp>
                </a:graphicData>
              </a:graphic>
            </wp:anchor>
          </w:drawing>
        </mc:Choice>
        <mc:Fallback>
          <w:pict>
            <v:shape id="shape 10" o:spid="_x0000_s1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35"/>
                      <w:tabs>
                        <w:tab w:val="clear" w:pos="4153" w:leader="none"/>
                        <w:tab w:val="clear" w:pos="8306" w:leader="none"/>
                      </w:tabs>
                      <w:rPr>
                        <w:rFonts w:hint="eastAsia"/>
                      </w:rPr>
                    </w:pPr>
                    <w:r>
                      <w:rPr>
                        <w:rFonts w:hint="eastAsia"/>
                      </w:rPr>
                    </w:r>
                    <w:r/>
                  </w:p>
                  <w:p>
                    <w:pPr>
                      <w:pStyle w:val="1484"/>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4"/>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484"/>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484"/>
                    </w:pPr>
                    <w:r/>
                    <w:r/>
                  </w:p>
                </w:txbxContent>
              </v:textbox>
            </v:shape>
          </w:pict>
        </mc:Fallback>
      </mc:AlternateContent>
    </w:r>
    <w:r>
      <w:rPr>
        <w:rFonts w:eastAsia="Times New Roman"/>
        <w:sz w:val="17"/>
        <w:szCs w:val="17"/>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484"/>
                          </w:pPr>
                          <w:r/>
                          <w:r/>
                        </w:p>
                      </w:txbxContent>
                    </wps:txbx>
                    <wps:bodyPr wrap="none" lIns="0" tIns="0" rIns="0" bIns="0" upright="1">
                      <a:spAutoFit/>
                    </wps:bodyPr>
                  </wps:wsp>
                </a:graphicData>
              </a:graphic>
            </wp:anchor>
          </w:drawing>
        </mc:Choice>
        <mc:Fallback>
          <w:pict>
            <v:shape id="shape 12" o:spid="_x0000_s12"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148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35"/>
                            <w:tabs>
                              <w:tab w:val="clear" w:pos="4153" w:leader="none"/>
                              <w:tab w:val="clear" w:pos="8306" w:leader="none"/>
                            </w:tabs>
                            <w:rPr>
                              <w:rFonts w:hint="eastAsia"/>
                            </w:rPr>
                          </w:pPr>
                          <w:r>
                            <w:rPr>
                              <w:rFonts w:hint="eastAsia"/>
                            </w:rPr>
                          </w:r>
                          <w:r/>
                        </w:p>
                        <w:p>
                          <w:pPr>
                            <w:pStyle w:val="1484"/>
                          </w:pPr>
                          <w:r/>
                          <w:r/>
                        </w:p>
                      </w:txbxContent>
                    </wps:txbx>
                    <wps:bodyPr wrap="none" lIns="0" tIns="0" rIns="0" bIns="0" upright="1">
                      <a:spAutoFit/>
                    </wps:bodyPr>
                  </wps:wsp>
                </a:graphicData>
              </a:graphic>
            </wp:anchor>
          </w:drawing>
        </mc:Choice>
        <mc:Fallback>
          <w:pict>
            <v:shape id="shape 13" o:spid="_x0000_s1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35"/>
                      <w:tabs>
                        <w:tab w:val="clear" w:pos="4153" w:leader="none"/>
                        <w:tab w:val="clear" w:pos="8306" w:leader="none"/>
                      </w:tabs>
                      <w:rPr>
                        <w:rFonts w:hint="eastAsia"/>
                      </w:rPr>
                    </w:pPr>
                    <w:r>
                      <w:rPr>
                        <w:rFonts w:hint="eastAsia"/>
                      </w:rPr>
                    </w:r>
                    <w:r/>
                  </w:p>
                  <w:p>
                    <w:pPr>
                      <w:pStyle w:val="1484"/>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484"/>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484"/>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1484"/>
                          </w:pPr>
                          <w:r/>
                          <w:r/>
                        </w:p>
                      </w:txbxContent>
                    </wps:txbx>
                    <wps:bodyPr wrap="none" lIns="0" tIns="0" rIns="0" bIns="0" upright="1">
                      <a:spAutoFit/>
                    </wps:bodyPr>
                  </wps:wsp>
                </a:graphicData>
              </a:graphic>
            </wp:anchor>
          </w:drawing>
        </mc:Choice>
        <mc:Fallback>
          <w:pict>
            <v:shape id="shape 15" o:spid="_x0000_s15"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1484"/>
                    </w:pPr>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pPr>
                            <w:pStyle w:val="1484"/>
                          </w:pPr>
                          <w:r/>
                          <w:r/>
                        </w:p>
                      </w:txbxContent>
                    </wps:txbx>
                    <wps:bodyPr wrap="none" lIns="0" tIns="0" rIns="0" bIns="0" upright="1">
                      <a:spAutoFit/>
                    </wps:bodyPr>
                  </wps:wsp>
                </a:graphicData>
              </a:graphic>
            </wp:anchor>
          </w:drawing>
        </mc:Choice>
        <mc:Fallback>
          <w:pict>
            <v:shape id="shape 16" o:spid="_x0000_s16"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73</w:t>
                    </w:r>
                    <w:r>
                      <w:fldChar w:fldCharType="end"/>
                    </w:r>
                    <w:r/>
                  </w:p>
                  <w:p>
                    <w:pPr>
                      <w:pStyle w:val="1484"/>
                    </w:pPr>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484"/>
                          </w:pPr>
                          <w:r/>
                          <w:r/>
                        </w:p>
                      </w:txbxContent>
                    </wps:txbx>
                    <wps:bodyPr wrap="none" lIns="0" tIns="0" rIns="0" bIns="0" upright="1">
                      <a:spAutoFit/>
                    </wps:bodyPr>
                  </wps:wsp>
                </a:graphicData>
              </a:graphic>
            </wp:anchor>
          </w:drawing>
        </mc:Choice>
        <mc:Fallback>
          <w:pict>
            <v:shape id="shape 17" o:spid="_x0000_s17"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5"/>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48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7"/>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7"/>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7"/>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4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4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06">
    <w:name w:val="Heading 1"/>
    <w:basedOn w:val="1484"/>
    <w:next w:val="1484"/>
    <w:link w:val="1307"/>
    <w:uiPriority w:val="9"/>
    <w:qFormat/>
    <w:pPr>
      <w:keepLines/>
      <w:keepNext/>
      <w:spacing w:before="480" w:after="200"/>
      <w:outlineLvl w:val="0"/>
    </w:pPr>
    <w:rPr>
      <w:rFonts w:ascii="Arial" w:hAnsi="Arial" w:eastAsia="Arial" w:cs="Arial"/>
      <w:sz w:val="40"/>
      <w:szCs w:val="40"/>
    </w:rPr>
  </w:style>
  <w:style w:type="character" w:styleId="1307">
    <w:name w:val="Heading 1 Char"/>
    <w:link w:val="1306"/>
    <w:uiPriority w:val="9"/>
    <w:rPr>
      <w:rFonts w:ascii="Arial" w:hAnsi="Arial" w:eastAsia="Arial" w:cs="Arial"/>
      <w:sz w:val="40"/>
      <w:szCs w:val="40"/>
    </w:rPr>
  </w:style>
  <w:style w:type="paragraph" w:styleId="1308">
    <w:name w:val="Heading 2"/>
    <w:basedOn w:val="1484"/>
    <w:next w:val="1484"/>
    <w:link w:val="1309"/>
    <w:uiPriority w:val="9"/>
    <w:unhideWhenUsed/>
    <w:qFormat/>
    <w:pPr>
      <w:keepLines/>
      <w:keepNext/>
      <w:spacing w:before="360" w:after="200"/>
      <w:outlineLvl w:val="1"/>
    </w:pPr>
    <w:rPr>
      <w:rFonts w:ascii="Arial" w:hAnsi="Arial" w:eastAsia="Arial" w:cs="Arial"/>
      <w:sz w:val="34"/>
    </w:rPr>
  </w:style>
  <w:style w:type="character" w:styleId="1309">
    <w:name w:val="Heading 2 Char"/>
    <w:link w:val="1308"/>
    <w:uiPriority w:val="9"/>
    <w:rPr>
      <w:rFonts w:ascii="Arial" w:hAnsi="Arial" w:eastAsia="Arial" w:cs="Arial"/>
      <w:sz w:val="34"/>
    </w:rPr>
  </w:style>
  <w:style w:type="paragraph" w:styleId="1310">
    <w:name w:val="Heading 3"/>
    <w:basedOn w:val="1484"/>
    <w:next w:val="1484"/>
    <w:link w:val="1311"/>
    <w:uiPriority w:val="9"/>
    <w:unhideWhenUsed/>
    <w:qFormat/>
    <w:pPr>
      <w:keepLines/>
      <w:keepNext/>
      <w:spacing w:before="320" w:after="200"/>
      <w:outlineLvl w:val="2"/>
    </w:pPr>
    <w:rPr>
      <w:rFonts w:ascii="Arial" w:hAnsi="Arial" w:eastAsia="Arial" w:cs="Arial"/>
      <w:sz w:val="30"/>
      <w:szCs w:val="30"/>
    </w:rPr>
  </w:style>
  <w:style w:type="character" w:styleId="1311">
    <w:name w:val="Heading 3 Char"/>
    <w:link w:val="1310"/>
    <w:uiPriority w:val="9"/>
    <w:rPr>
      <w:rFonts w:ascii="Arial" w:hAnsi="Arial" w:eastAsia="Arial" w:cs="Arial"/>
      <w:sz w:val="30"/>
      <w:szCs w:val="30"/>
    </w:rPr>
  </w:style>
  <w:style w:type="paragraph" w:styleId="1312">
    <w:name w:val="Heading 4"/>
    <w:basedOn w:val="1484"/>
    <w:next w:val="1484"/>
    <w:link w:val="1313"/>
    <w:uiPriority w:val="9"/>
    <w:unhideWhenUsed/>
    <w:qFormat/>
    <w:pPr>
      <w:keepLines/>
      <w:keepNext/>
      <w:spacing w:before="320" w:after="200"/>
      <w:outlineLvl w:val="3"/>
    </w:pPr>
    <w:rPr>
      <w:rFonts w:ascii="Arial" w:hAnsi="Arial" w:eastAsia="Arial" w:cs="Arial"/>
      <w:b/>
      <w:bCs/>
      <w:sz w:val="26"/>
      <w:szCs w:val="26"/>
    </w:rPr>
  </w:style>
  <w:style w:type="character" w:styleId="1313">
    <w:name w:val="Heading 4 Char"/>
    <w:link w:val="1312"/>
    <w:uiPriority w:val="9"/>
    <w:rPr>
      <w:rFonts w:ascii="Arial" w:hAnsi="Arial" w:eastAsia="Arial" w:cs="Arial"/>
      <w:b/>
      <w:bCs/>
      <w:sz w:val="26"/>
      <w:szCs w:val="26"/>
    </w:rPr>
  </w:style>
  <w:style w:type="paragraph" w:styleId="1314">
    <w:name w:val="Heading 5"/>
    <w:basedOn w:val="1484"/>
    <w:next w:val="1484"/>
    <w:link w:val="1315"/>
    <w:uiPriority w:val="9"/>
    <w:unhideWhenUsed/>
    <w:qFormat/>
    <w:pPr>
      <w:keepLines/>
      <w:keepNext/>
      <w:spacing w:before="320" w:after="200"/>
      <w:outlineLvl w:val="4"/>
    </w:pPr>
    <w:rPr>
      <w:rFonts w:ascii="Arial" w:hAnsi="Arial" w:eastAsia="Arial" w:cs="Arial"/>
      <w:b/>
      <w:bCs/>
      <w:sz w:val="24"/>
      <w:szCs w:val="24"/>
    </w:rPr>
  </w:style>
  <w:style w:type="character" w:styleId="1315">
    <w:name w:val="Heading 5 Char"/>
    <w:link w:val="1314"/>
    <w:uiPriority w:val="9"/>
    <w:rPr>
      <w:rFonts w:ascii="Arial" w:hAnsi="Arial" w:eastAsia="Arial" w:cs="Arial"/>
      <w:b/>
      <w:bCs/>
      <w:sz w:val="24"/>
      <w:szCs w:val="24"/>
    </w:rPr>
  </w:style>
  <w:style w:type="paragraph" w:styleId="1316">
    <w:name w:val="Heading 6"/>
    <w:basedOn w:val="1484"/>
    <w:next w:val="1484"/>
    <w:link w:val="1317"/>
    <w:uiPriority w:val="9"/>
    <w:unhideWhenUsed/>
    <w:qFormat/>
    <w:pPr>
      <w:keepLines/>
      <w:keepNext/>
      <w:spacing w:before="320" w:after="200"/>
      <w:outlineLvl w:val="5"/>
    </w:pPr>
    <w:rPr>
      <w:rFonts w:ascii="Arial" w:hAnsi="Arial" w:eastAsia="Arial" w:cs="Arial"/>
      <w:b/>
      <w:bCs/>
      <w:sz w:val="22"/>
      <w:szCs w:val="22"/>
    </w:rPr>
  </w:style>
  <w:style w:type="character" w:styleId="1317">
    <w:name w:val="Heading 6 Char"/>
    <w:link w:val="1316"/>
    <w:uiPriority w:val="9"/>
    <w:rPr>
      <w:rFonts w:ascii="Arial" w:hAnsi="Arial" w:eastAsia="Arial" w:cs="Arial"/>
      <w:b/>
      <w:bCs/>
      <w:sz w:val="22"/>
      <w:szCs w:val="22"/>
    </w:rPr>
  </w:style>
  <w:style w:type="paragraph" w:styleId="1318">
    <w:name w:val="Heading 7"/>
    <w:basedOn w:val="1484"/>
    <w:next w:val="1484"/>
    <w:link w:val="1319"/>
    <w:uiPriority w:val="9"/>
    <w:unhideWhenUsed/>
    <w:qFormat/>
    <w:pPr>
      <w:keepLines/>
      <w:keepNext/>
      <w:spacing w:before="320" w:after="200"/>
      <w:outlineLvl w:val="6"/>
    </w:pPr>
    <w:rPr>
      <w:rFonts w:ascii="Arial" w:hAnsi="Arial" w:eastAsia="Arial" w:cs="Arial"/>
      <w:b/>
      <w:bCs/>
      <w:i/>
      <w:iCs/>
      <w:sz w:val="22"/>
      <w:szCs w:val="22"/>
    </w:rPr>
  </w:style>
  <w:style w:type="character" w:styleId="1319">
    <w:name w:val="Heading 7 Char"/>
    <w:link w:val="1318"/>
    <w:uiPriority w:val="9"/>
    <w:rPr>
      <w:rFonts w:ascii="Arial" w:hAnsi="Arial" w:eastAsia="Arial" w:cs="Arial"/>
      <w:b/>
      <w:bCs/>
      <w:i/>
      <w:iCs/>
      <w:sz w:val="22"/>
      <w:szCs w:val="22"/>
    </w:rPr>
  </w:style>
  <w:style w:type="paragraph" w:styleId="1320">
    <w:name w:val="Heading 8"/>
    <w:basedOn w:val="1484"/>
    <w:next w:val="1484"/>
    <w:link w:val="1321"/>
    <w:uiPriority w:val="9"/>
    <w:unhideWhenUsed/>
    <w:qFormat/>
    <w:pPr>
      <w:keepLines/>
      <w:keepNext/>
      <w:spacing w:before="320" w:after="200"/>
      <w:outlineLvl w:val="7"/>
    </w:pPr>
    <w:rPr>
      <w:rFonts w:ascii="Arial" w:hAnsi="Arial" w:eastAsia="Arial" w:cs="Arial"/>
      <w:i/>
      <w:iCs/>
      <w:sz w:val="22"/>
      <w:szCs w:val="22"/>
    </w:rPr>
  </w:style>
  <w:style w:type="character" w:styleId="1321">
    <w:name w:val="Heading 8 Char"/>
    <w:link w:val="1320"/>
    <w:uiPriority w:val="9"/>
    <w:rPr>
      <w:rFonts w:ascii="Arial" w:hAnsi="Arial" w:eastAsia="Arial" w:cs="Arial"/>
      <w:i/>
      <w:iCs/>
      <w:sz w:val="22"/>
      <w:szCs w:val="22"/>
    </w:rPr>
  </w:style>
  <w:style w:type="paragraph" w:styleId="1322">
    <w:name w:val="Heading 9"/>
    <w:basedOn w:val="1484"/>
    <w:next w:val="1484"/>
    <w:link w:val="1323"/>
    <w:uiPriority w:val="9"/>
    <w:unhideWhenUsed/>
    <w:qFormat/>
    <w:pPr>
      <w:keepLines/>
      <w:keepNext/>
      <w:spacing w:before="320" w:after="200"/>
      <w:outlineLvl w:val="8"/>
    </w:pPr>
    <w:rPr>
      <w:rFonts w:ascii="Arial" w:hAnsi="Arial" w:eastAsia="Arial" w:cs="Arial"/>
      <w:i/>
      <w:iCs/>
      <w:sz w:val="21"/>
      <w:szCs w:val="21"/>
    </w:rPr>
  </w:style>
  <w:style w:type="character" w:styleId="1323">
    <w:name w:val="Heading 9 Char"/>
    <w:link w:val="1322"/>
    <w:uiPriority w:val="9"/>
    <w:rPr>
      <w:rFonts w:ascii="Arial" w:hAnsi="Arial" w:eastAsia="Arial" w:cs="Arial"/>
      <w:i/>
      <w:iCs/>
      <w:sz w:val="21"/>
      <w:szCs w:val="21"/>
    </w:rPr>
  </w:style>
  <w:style w:type="paragraph" w:styleId="1324">
    <w:name w:val="List Paragraph"/>
    <w:basedOn w:val="1484"/>
    <w:uiPriority w:val="34"/>
    <w:qFormat/>
    <w:pPr>
      <w:contextualSpacing/>
      <w:ind w:left="720"/>
    </w:pPr>
  </w:style>
  <w:style w:type="paragraph" w:styleId="1325">
    <w:name w:val="No Spacing"/>
    <w:uiPriority w:val="1"/>
    <w:qFormat/>
    <w:pPr>
      <w:spacing w:before="0" w:after="0" w:line="240" w:lineRule="auto"/>
    </w:pPr>
  </w:style>
  <w:style w:type="paragraph" w:styleId="1326">
    <w:name w:val="Title"/>
    <w:basedOn w:val="1484"/>
    <w:next w:val="1484"/>
    <w:link w:val="1327"/>
    <w:uiPriority w:val="10"/>
    <w:qFormat/>
    <w:pPr>
      <w:contextualSpacing/>
      <w:spacing w:before="300" w:after="200"/>
    </w:pPr>
    <w:rPr>
      <w:sz w:val="48"/>
      <w:szCs w:val="48"/>
    </w:rPr>
  </w:style>
  <w:style w:type="character" w:styleId="1327">
    <w:name w:val="Title Char"/>
    <w:link w:val="1326"/>
    <w:uiPriority w:val="10"/>
    <w:rPr>
      <w:sz w:val="48"/>
      <w:szCs w:val="48"/>
    </w:rPr>
  </w:style>
  <w:style w:type="paragraph" w:styleId="1328">
    <w:name w:val="Subtitle"/>
    <w:basedOn w:val="1484"/>
    <w:next w:val="1484"/>
    <w:link w:val="1329"/>
    <w:uiPriority w:val="11"/>
    <w:qFormat/>
    <w:pPr>
      <w:spacing w:before="200" w:after="200"/>
    </w:pPr>
    <w:rPr>
      <w:sz w:val="24"/>
      <w:szCs w:val="24"/>
    </w:rPr>
  </w:style>
  <w:style w:type="character" w:styleId="1329">
    <w:name w:val="Subtitle Char"/>
    <w:link w:val="1328"/>
    <w:uiPriority w:val="11"/>
    <w:rPr>
      <w:sz w:val="24"/>
      <w:szCs w:val="24"/>
    </w:rPr>
  </w:style>
  <w:style w:type="paragraph" w:styleId="1330">
    <w:name w:val="Quote"/>
    <w:basedOn w:val="1484"/>
    <w:next w:val="1484"/>
    <w:link w:val="1331"/>
    <w:uiPriority w:val="29"/>
    <w:qFormat/>
    <w:pPr>
      <w:ind w:left="720" w:right="720"/>
    </w:pPr>
    <w:rPr>
      <w:i/>
    </w:rPr>
  </w:style>
  <w:style w:type="character" w:styleId="1331">
    <w:name w:val="Quote Char"/>
    <w:link w:val="1330"/>
    <w:uiPriority w:val="29"/>
    <w:rPr>
      <w:i/>
    </w:rPr>
  </w:style>
  <w:style w:type="paragraph" w:styleId="1332">
    <w:name w:val="Intense Quote"/>
    <w:basedOn w:val="1484"/>
    <w:next w:val="1484"/>
    <w:link w:val="13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33">
    <w:name w:val="Intense Quote Char"/>
    <w:link w:val="1332"/>
    <w:uiPriority w:val="30"/>
    <w:rPr>
      <w:i/>
    </w:rPr>
  </w:style>
  <w:style w:type="paragraph" w:styleId="1334">
    <w:name w:val="Header"/>
    <w:basedOn w:val="1484"/>
    <w:link w:val="1335"/>
    <w:uiPriority w:val="99"/>
    <w:unhideWhenUsed/>
    <w:pPr>
      <w:spacing w:after="0" w:line="240" w:lineRule="auto"/>
      <w:tabs>
        <w:tab w:val="center" w:pos="7143" w:leader="none"/>
        <w:tab w:val="right" w:pos="14287" w:leader="none"/>
      </w:tabs>
    </w:pPr>
  </w:style>
  <w:style w:type="character" w:styleId="1335">
    <w:name w:val="Header Char"/>
    <w:link w:val="1334"/>
    <w:uiPriority w:val="99"/>
  </w:style>
  <w:style w:type="paragraph" w:styleId="1336">
    <w:name w:val="Footer"/>
    <w:basedOn w:val="1484"/>
    <w:link w:val="1339"/>
    <w:uiPriority w:val="99"/>
    <w:unhideWhenUsed/>
    <w:pPr>
      <w:spacing w:after="0" w:line="240" w:lineRule="auto"/>
      <w:tabs>
        <w:tab w:val="center" w:pos="7143" w:leader="none"/>
        <w:tab w:val="right" w:pos="14287" w:leader="none"/>
      </w:tabs>
    </w:pPr>
  </w:style>
  <w:style w:type="character" w:styleId="1337">
    <w:name w:val="Footer Char"/>
    <w:link w:val="1336"/>
    <w:uiPriority w:val="99"/>
  </w:style>
  <w:style w:type="paragraph" w:styleId="1338">
    <w:name w:val="Caption"/>
    <w:basedOn w:val="1484"/>
    <w:next w:val="1484"/>
    <w:uiPriority w:val="35"/>
    <w:semiHidden/>
    <w:unhideWhenUsed/>
    <w:qFormat/>
    <w:pPr>
      <w:spacing w:line="276" w:lineRule="auto"/>
    </w:pPr>
    <w:rPr>
      <w:b/>
      <w:bCs/>
      <w:color w:val="4f81bd" w:themeColor="accent1"/>
      <w:sz w:val="18"/>
      <w:szCs w:val="18"/>
    </w:rPr>
  </w:style>
  <w:style w:type="character" w:styleId="1339">
    <w:name w:val="Caption Char"/>
    <w:basedOn w:val="1338"/>
    <w:link w:val="1336"/>
    <w:uiPriority w:val="99"/>
  </w:style>
  <w:style w:type="table" w:styleId="134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4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4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4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4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4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4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4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4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4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5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5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5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5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5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5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5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5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5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6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6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6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6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7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7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7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7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7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7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7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7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7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7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8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8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8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8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8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8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8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8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8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8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9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9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9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9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9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9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9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9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9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9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0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0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0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0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0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0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0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0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0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0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1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1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1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1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1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1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1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1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1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1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2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2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2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2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2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2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3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3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3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3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3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3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3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4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4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4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4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4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4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4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4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4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4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5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5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5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5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5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5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5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5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5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5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6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6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6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6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6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6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66">
    <w:name w:val="Hyperlink"/>
    <w:uiPriority w:val="99"/>
    <w:unhideWhenUsed/>
    <w:rPr>
      <w:color w:val="0000ff" w:themeColor="hyperlink"/>
      <w:u w:val="single"/>
    </w:rPr>
  </w:style>
  <w:style w:type="paragraph" w:styleId="1467">
    <w:name w:val="footnote text"/>
    <w:basedOn w:val="1484"/>
    <w:link w:val="1468"/>
    <w:uiPriority w:val="99"/>
    <w:semiHidden/>
    <w:unhideWhenUsed/>
    <w:pPr>
      <w:spacing w:after="40" w:line="240" w:lineRule="auto"/>
    </w:pPr>
    <w:rPr>
      <w:sz w:val="18"/>
    </w:rPr>
  </w:style>
  <w:style w:type="character" w:styleId="1468">
    <w:name w:val="Footnote Text Char"/>
    <w:link w:val="1467"/>
    <w:uiPriority w:val="99"/>
    <w:rPr>
      <w:sz w:val="18"/>
    </w:rPr>
  </w:style>
  <w:style w:type="character" w:styleId="1469">
    <w:name w:val="footnote reference"/>
    <w:uiPriority w:val="99"/>
    <w:unhideWhenUsed/>
    <w:rPr>
      <w:vertAlign w:val="superscript"/>
    </w:rPr>
  </w:style>
  <w:style w:type="paragraph" w:styleId="1470">
    <w:name w:val="endnote text"/>
    <w:basedOn w:val="1484"/>
    <w:link w:val="1471"/>
    <w:uiPriority w:val="99"/>
    <w:semiHidden/>
    <w:unhideWhenUsed/>
    <w:pPr>
      <w:spacing w:after="0" w:line="240" w:lineRule="auto"/>
    </w:pPr>
    <w:rPr>
      <w:sz w:val="20"/>
    </w:rPr>
  </w:style>
  <w:style w:type="character" w:styleId="1471">
    <w:name w:val="Endnote Text Char"/>
    <w:link w:val="1470"/>
    <w:uiPriority w:val="99"/>
    <w:rPr>
      <w:sz w:val="20"/>
    </w:rPr>
  </w:style>
  <w:style w:type="character" w:styleId="1472">
    <w:name w:val="endnote reference"/>
    <w:uiPriority w:val="99"/>
    <w:semiHidden/>
    <w:unhideWhenUsed/>
    <w:rPr>
      <w:vertAlign w:val="superscript"/>
    </w:rPr>
  </w:style>
  <w:style w:type="paragraph" w:styleId="1473">
    <w:name w:val="toc 1"/>
    <w:basedOn w:val="1484"/>
    <w:next w:val="1484"/>
    <w:uiPriority w:val="39"/>
    <w:unhideWhenUsed/>
    <w:pPr>
      <w:ind w:left="0" w:right="0" w:firstLine="0"/>
      <w:spacing w:after="57"/>
    </w:pPr>
  </w:style>
  <w:style w:type="paragraph" w:styleId="1474">
    <w:name w:val="toc 2"/>
    <w:basedOn w:val="1484"/>
    <w:next w:val="1484"/>
    <w:uiPriority w:val="39"/>
    <w:unhideWhenUsed/>
    <w:pPr>
      <w:ind w:left="283" w:right="0" w:firstLine="0"/>
      <w:spacing w:after="57"/>
    </w:pPr>
  </w:style>
  <w:style w:type="paragraph" w:styleId="1475">
    <w:name w:val="toc 3"/>
    <w:basedOn w:val="1484"/>
    <w:next w:val="1484"/>
    <w:uiPriority w:val="39"/>
    <w:unhideWhenUsed/>
    <w:pPr>
      <w:ind w:left="567" w:right="0" w:firstLine="0"/>
      <w:spacing w:after="57"/>
    </w:pPr>
  </w:style>
  <w:style w:type="paragraph" w:styleId="1476">
    <w:name w:val="toc 4"/>
    <w:basedOn w:val="1484"/>
    <w:next w:val="1484"/>
    <w:uiPriority w:val="39"/>
    <w:unhideWhenUsed/>
    <w:pPr>
      <w:ind w:left="850" w:right="0" w:firstLine="0"/>
      <w:spacing w:after="57"/>
    </w:pPr>
  </w:style>
  <w:style w:type="paragraph" w:styleId="1477">
    <w:name w:val="toc 5"/>
    <w:basedOn w:val="1484"/>
    <w:next w:val="1484"/>
    <w:uiPriority w:val="39"/>
    <w:unhideWhenUsed/>
    <w:pPr>
      <w:ind w:left="1134" w:right="0" w:firstLine="0"/>
      <w:spacing w:after="57"/>
    </w:pPr>
  </w:style>
  <w:style w:type="paragraph" w:styleId="1478">
    <w:name w:val="toc 6"/>
    <w:basedOn w:val="1484"/>
    <w:next w:val="1484"/>
    <w:uiPriority w:val="39"/>
    <w:unhideWhenUsed/>
    <w:pPr>
      <w:ind w:left="1417" w:right="0" w:firstLine="0"/>
      <w:spacing w:after="57"/>
    </w:pPr>
  </w:style>
  <w:style w:type="paragraph" w:styleId="1479">
    <w:name w:val="toc 7"/>
    <w:basedOn w:val="1484"/>
    <w:next w:val="1484"/>
    <w:uiPriority w:val="39"/>
    <w:unhideWhenUsed/>
    <w:pPr>
      <w:ind w:left="1701" w:right="0" w:firstLine="0"/>
      <w:spacing w:after="57"/>
    </w:pPr>
  </w:style>
  <w:style w:type="paragraph" w:styleId="1480">
    <w:name w:val="toc 8"/>
    <w:basedOn w:val="1484"/>
    <w:next w:val="1484"/>
    <w:uiPriority w:val="39"/>
    <w:unhideWhenUsed/>
    <w:pPr>
      <w:ind w:left="1984" w:right="0" w:firstLine="0"/>
      <w:spacing w:after="57"/>
    </w:pPr>
  </w:style>
  <w:style w:type="paragraph" w:styleId="1481">
    <w:name w:val="toc 9"/>
    <w:basedOn w:val="1484"/>
    <w:next w:val="1484"/>
    <w:uiPriority w:val="39"/>
    <w:unhideWhenUsed/>
    <w:pPr>
      <w:ind w:left="2268" w:right="0" w:firstLine="0"/>
      <w:spacing w:after="57"/>
    </w:pPr>
  </w:style>
  <w:style w:type="paragraph" w:styleId="1482">
    <w:name w:val="TOC Heading"/>
    <w:uiPriority w:val="39"/>
    <w:unhideWhenUsed/>
  </w:style>
  <w:style w:type="paragraph" w:styleId="1483">
    <w:name w:val="table of figures"/>
    <w:basedOn w:val="1484"/>
    <w:next w:val="1484"/>
    <w:uiPriority w:val="99"/>
    <w:unhideWhenUsed/>
    <w:pPr>
      <w:spacing w:after="0" w:afterAutospacing="0"/>
    </w:pPr>
  </w:style>
  <w:style w:type="paragraph" w:styleId="1484" w:default="1">
    <w:name w:val="Normal"/>
    <w:next w:val="1495"/>
    <w:link w:val="1484"/>
    <w:qFormat/>
    <w:pPr>
      <w:jc w:val="both"/>
      <w:widowControl w:val="off"/>
    </w:pPr>
    <w:rPr>
      <w:sz w:val="21"/>
      <w:lang w:val="en-US" w:eastAsia="zh-CN" w:bidi="ar-SA"/>
    </w:rPr>
  </w:style>
  <w:style w:type="paragraph" w:styleId="1485">
    <w:name w:val="标题 1"/>
    <w:basedOn w:val="1484"/>
    <w:next w:val="1484"/>
    <w:link w:val="1497"/>
    <w:qFormat/>
    <w:pPr>
      <w:jc w:val="center"/>
      <w:keepNext/>
      <w:spacing w:line="440" w:lineRule="exact"/>
      <w:outlineLvl w:val="0"/>
    </w:pPr>
    <w:rPr>
      <w:rFonts w:ascii="宋体"/>
      <w:sz w:val="28"/>
    </w:rPr>
  </w:style>
  <w:style w:type="paragraph" w:styleId="1486">
    <w:name w:val="标题 2"/>
    <w:basedOn w:val="1484"/>
    <w:next w:val="1484"/>
    <w:link w:val="1498"/>
    <w:qFormat/>
    <w:pPr>
      <w:keepLines/>
      <w:keepNext/>
      <w:spacing w:before="260" w:after="260" w:line="416" w:lineRule="auto"/>
      <w:outlineLvl w:val="1"/>
    </w:pPr>
    <w:rPr>
      <w:rFonts w:ascii="Arial" w:hAnsi="Arial" w:eastAsia="黑体"/>
      <w:b/>
      <w:bCs/>
      <w:sz w:val="32"/>
      <w:szCs w:val="32"/>
    </w:rPr>
  </w:style>
  <w:style w:type="paragraph" w:styleId="1487">
    <w:name w:val="标题 3"/>
    <w:basedOn w:val="1484"/>
    <w:next w:val="1484"/>
    <w:link w:val="1499"/>
    <w:qFormat/>
    <w:pPr>
      <w:ind w:left="480" w:hanging="480"/>
      <w:jc w:val="center"/>
      <w:keepNext/>
      <w:spacing w:line="400" w:lineRule="exact"/>
      <w:tabs>
        <w:tab w:val="left" w:pos="480" w:leader="none"/>
      </w:tabs>
      <w:outlineLvl w:val="2"/>
    </w:pPr>
    <w:rPr>
      <w:rFonts w:ascii="仿宋_GB2312" w:eastAsia="仿宋_GB2312"/>
      <w:sz w:val="32"/>
    </w:rPr>
  </w:style>
  <w:style w:type="paragraph" w:styleId="1488">
    <w:name w:val="标题 4"/>
    <w:basedOn w:val="1484"/>
    <w:next w:val="1501"/>
    <w:link w:val="1500"/>
    <w:qFormat/>
    <w:pPr>
      <w:keepLines/>
      <w:keepNext/>
      <w:spacing w:before="280" w:after="290" w:line="372" w:lineRule="auto"/>
      <w:outlineLvl w:val="3"/>
    </w:pPr>
    <w:rPr>
      <w:rFonts w:ascii="Arial" w:hAnsi="Arial" w:eastAsia="黑体"/>
      <w:b/>
      <w:bCs/>
      <w:sz w:val="28"/>
      <w:szCs w:val="28"/>
    </w:rPr>
  </w:style>
  <w:style w:type="paragraph" w:styleId="1489">
    <w:name w:val="标题 5"/>
    <w:basedOn w:val="1484"/>
    <w:next w:val="1484"/>
    <w:link w:val="1503"/>
    <w:qFormat/>
    <w:pPr>
      <w:jc w:val="left"/>
      <w:keepLines/>
      <w:keepNext/>
      <w:spacing w:before="280" w:after="290" w:line="376" w:lineRule="auto"/>
      <w:outlineLvl w:val="4"/>
    </w:pPr>
    <w:rPr>
      <w:rFonts w:ascii="宋体"/>
      <w:b/>
      <w:bCs/>
      <w:sz w:val="28"/>
      <w:szCs w:val="28"/>
    </w:rPr>
  </w:style>
  <w:style w:type="paragraph" w:styleId="1490">
    <w:name w:val="标题 6"/>
    <w:basedOn w:val="1484"/>
    <w:next w:val="1484"/>
    <w:link w:val="1504"/>
    <w:qFormat/>
    <w:pPr>
      <w:jc w:val="left"/>
      <w:keepLines/>
      <w:keepNext/>
      <w:spacing w:before="240" w:after="64" w:line="320" w:lineRule="auto"/>
      <w:outlineLvl w:val="5"/>
    </w:pPr>
    <w:rPr>
      <w:rFonts w:ascii="Arial" w:hAnsi="Arial" w:eastAsia="黑体"/>
      <w:b/>
      <w:bCs/>
      <w:sz w:val="24"/>
      <w:szCs w:val="24"/>
    </w:rPr>
  </w:style>
  <w:style w:type="paragraph" w:styleId="1491">
    <w:name w:val="标题 8"/>
    <w:basedOn w:val="1484"/>
    <w:next w:val="1484"/>
    <w:link w:val="1505"/>
    <w:qFormat/>
    <w:pPr>
      <w:jc w:val="left"/>
      <w:keepLines/>
      <w:keepNext/>
      <w:spacing w:before="240" w:after="64" w:line="320" w:lineRule="auto"/>
      <w:outlineLvl w:val="7"/>
    </w:pPr>
    <w:rPr>
      <w:rFonts w:ascii="Arial" w:hAnsi="Arial" w:eastAsia="黑体"/>
      <w:sz w:val="24"/>
      <w:szCs w:val="24"/>
    </w:rPr>
  </w:style>
  <w:style w:type="paragraph" w:styleId="1492">
    <w:name w:val="标题 9"/>
    <w:basedOn w:val="1484"/>
    <w:next w:val="1484"/>
    <w:link w:val="1506"/>
    <w:qFormat/>
    <w:pPr>
      <w:jc w:val="left"/>
      <w:keepLines/>
      <w:keepNext/>
      <w:spacing w:before="240" w:after="64" w:line="320" w:lineRule="auto"/>
      <w:outlineLvl w:val="8"/>
    </w:pPr>
    <w:rPr>
      <w:rFonts w:ascii="Arial" w:hAnsi="Arial" w:eastAsia="黑体"/>
      <w:szCs w:val="21"/>
    </w:rPr>
  </w:style>
  <w:style w:type="character" w:styleId="1493">
    <w:name w:val="默认段落字体"/>
    <w:next w:val="1493"/>
    <w:link w:val="1484"/>
    <w:uiPriority w:val="1"/>
    <w:unhideWhenUsed/>
  </w:style>
  <w:style w:type="table" w:styleId="1494">
    <w:name w:val="普通表格"/>
    <w:next w:val="1494"/>
    <w:link w:val="1484"/>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495">
    <w:name w:val="HTML 预设格式"/>
    <w:basedOn w:val="1484"/>
    <w:next w:val="1495"/>
    <w:link w:val="149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96">
    <w:name w:val="HTML 预设格式 字符"/>
    <w:next w:val="1496"/>
    <w:link w:val="1495"/>
    <w:qFormat/>
    <w:rPr>
      <w:rFonts w:ascii="黑体" w:hAnsi="Courier New" w:eastAsia="黑体" w:cs="Courier New"/>
    </w:rPr>
  </w:style>
  <w:style w:type="character" w:styleId="1497">
    <w:name w:val="标题 1 字符"/>
    <w:next w:val="1497"/>
    <w:link w:val="1485"/>
    <w:qFormat/>
    <w:rPr>
      <w:rFonts w:ascii="宋体"/>
      <w:sz w:val="28"/>
    </w:rPr>
  </w:style>
  <w:style w:type="character" w:styleId="1498">
    <w:name w:val="标题 2 字符"/>
    <w:next w:val="1498"/>
    <w:link w:val="1486"/>
    <w:qFormat/>
    <w:rPr>
      <w:rFonts w:ascii="Arial" w:hAnsi="Arial" w:eastAsia="黑体"/>
      <w:b/>
      <w:bCs/>
      <w:sz w:val="32"/>
      <w:szCs w:val="32"/>
    </w:rPr>
  </w:style>
  <w:style w:type="character" w:styleId="1499">
    <w:name w:val="标题 3 字符"/>
    <w:next w:val="1499"/>
    <w:link w:val="1487"/>
    <w:qFormat/>
    <w:rPr>
      <w:rFonts w:ascii="仿宋_GB2312" w:eastAsia="仿宋_GB2312"/>
      <w:sz w:val="32"/>
    </w:rPr>
  </w:style>
  <w:style w:type="character" w:styleId="1500">
    <w:name w:val="标题 4 字符"/>
    <w:next w:val="1500"/>
    <w:link w:val="1488"/>
    <w:qFormat/>
    <w:rPr>
      <w:rFonts w:ascii="Arial" w:hAnsi="Arial" w:eastAsia="黑体" w:cs="Arial"/>
      <w:b/>
      <w:bCs/>
      <w:sz w:val="28"/>
      <w:szCs w:val="28"/>
    </w:rPr>
  </w:style>
  <w:style w:type="paragraph" w:styleId="1501">
    <w:name w:val="正文缩进"/>
    <w:basedOn w:val="1484"/>
    <w:next w:val="1501"/>
    <w:link w:val="1502"/>
    <w:qFormat/>
    <w:pPr>
      <w:ind w:firstLine="420"/>
    </w:pPr>
    <w:rPr>
      <w:b/>
      <w:sz w:val="24"/>
    </w:rPr>
  </w:style>
  <w:style w:type="character" w:styleId="1502">
    <w:name w:val="正文缩进 字符"/>
    <w:next w:val="1502"/>
    <w:link w:val="1501"/>
    <w:qFormat/>
    <w:rPr>
      <w:b/>
      <w:sz w:val="24"/>
    </w:rPr>
  </w:style>
  <w:style w:type="character" w:styleId="1503">
    <w:name w:val="标题 5 字符"/>
    <w:next w:val="1503"/>
    <w:link w:val="1489"/>
    <w:qFormat/>
    <w:rPr>
      <w:rFonts w:ascii="宋体"/>
      <w:b/>
      <w:bCs/>
      <w:sz w:val="28"/>
      <w:szCs w:val="28"/>
    </w:rPr>
  </w:style>
  <w:style w:type="character" w:styleId="1504">
    <w:name w:val="标题 6 字符"/>
    <w:next w:val="1504"/>
    <w:link w:val="1490"/>
    <w:qFormat/>
    <w:rPr>
      <w:rFonts w:ascii="Arial" w:hAnsi="Arial" w:eastAsia="黑体"/>
      <w:b/>
      <w:bCs/>
      <w:sz w:val="24"/>
      <w:szCs w:val="24"/>
    </w:rPr>
  </w:style>
  <w:style w:type="character" w:styleId="1505">
    <w:name w:val="标题 8 字符"/>
    <w:next w:val="1505"/>
    <w:link w:val="1491"/>
    <w:qFormat/>
    <w:rPr>
      <w:rFonts w:ascii="Arial" w:hAnsi="Arial" w:eastAsia="黑体"/>
      <w:sz w:val="24"/>
      <w:szCs w:val="24"/>
    </w:rPr>
  </w:style>
  <w:style w:type="character" w:styleId="1506">
    <w:name w:val="标题 9 字符"/>
    <w:next w:val="1506"/>
    <w:link w:val="1492"/>
    <w:qFormat/>
    <w:rPr>
      <w:rFonts w:ascii="Arial" w:hAnsi="Arial" w:eastAsia="黑体"/>
      <w:sz w:val="21"/>
      <w:szCs w:val="21"/>
    </w:rPr>
  </w:style>
  <w:style w:type="paragraph" w:styleId="1507">
    <w:name w:val="列表 3"/>
    <w:basedOn w:val="1484"/>
    <w:next w:val="1507"/>
    <w:link w:val="1484"/>
    <w:qFormat/>
    <w:pPr>
      <w:contextualSpacing/>
      <w:ind w:left="100" w:hanging="200"/>
    </w:pPr>
  </w:style>
  <w:style w:type="paragraph" w:styleId="1508">
    <w:name w:val="目录 7"/>
    <w:basedOn w:val="1484"/>
    <w:next w:val="1484"/>
    <w:link w:val="1484"/>
    <w:uiPriority w:val="39"/>
    <w:qFormat/>
    <w:pPr>
      <w:ind w:left="2520"/>
    </w:pPr>
  </w:style>
  <w:style w:type="paragraph" w:styleId="1509">
    <w:name w:val="题注"/>
    <w:basedOn w:val="1484"/>
    <w:next w:val="1484"/>
    <w:link w:val="1484"/>
    <w:qFormat/>
    <w:pPr>
      <w:ind w:firstLine="200"/>
      <w:spacing w:line="360" w:lineRule="auto"/>
    </w:pPr>
    <w:rPr>
      <w:rFonts w:ascii="Cambria" w:hAnsi="Cambria" w:eastAsia="黑体"/>
      <w:sz w:val="20"/>
    </w:rPr>
  </w:style>
  <w:style w:type="paragraph" w:styleId="1510">
    <w:name w:val="列表项目符号"/>
    <w:basedOn w:val="1484"/>
    <w:next w:val="1510"/>
    <w:link w:val="1484"/>
    <w:qFormat/>
    <w:pPr>
      <w:ind w:firstLine="288"/>
      <w:spacing w:line="360" w:lineRule="atLeast"/>
      <w:tabs>
        <w:tab w:val="left" w:pos="0" w:leader="none"/>
        <w:tab w:val="left" w:pos="360" w:leader="none"/>
      </w:tabs>
    </w:pPr>
    <w:rPr>
      <w:rFonts w:ascii="Arial" w:hAnsi="Arial"/>
      <w:szCs w:val="21"/>
    </w:rPr>
  </w:style>
  <w:style w:type="paragraph" w:styleId="1511">
    <w:name w:val="文档结构图"/>
    <w:basedOn w:val="1484"/>
    <w:next w:val="1511"/>
    <w:link w:val="1512"/>
    <w:qFormat/>
    <w:pPr>
      <w:jc w:val="left"/>
    </w:pPr>
    <w:rPr>
      <w:rFonts w:ascii="宋体" w:eastAsia="仿宋_GB2312"/>
      <w:sz w:val="18"/>
      <w:szCs w:val="18"/>
    </w:rPr>
  </w:style>
  <w:style w:type="character" w:styleId="1512">
    <w:name w:val="文档结构图 字符"/>
    <w:next w:val="1512"/>
    <w:link w:val="1511"/>
    <w:qFormat/>
    <w:rPr>
      <w:rFonts w:ascii="宋体" w:eastAsia="仿宋_GB2312"/>
      <w:sz w:val="18"/>
      <w:szCs w:val="18"/>
    </w:rPr>
  </w:style>
  <w:style w:type="paragraph" w:styleId="1513">
    <w:name w:val="引文目录标题"/>
    <w:basedOn w:val="1484"/>
    <w:next w:val="1484"/>
    <w:link w:val="1484"/>
    <w:qFormat/>
    <w:pPr>
      <w:spacing w:before="120"/>
    </w:pPr>
    <w:rPr>
      <w:rFonts w:ascii="Arial" w:hAnsi="Arial" w:cs="Arial"/>
      <w:sz w:val="24"/>
      <w:szCs w:val="24"/>
    </w:rPr>
  </w:style>
  <w:style w:type="paragraph" w:styleId="1514">
    <w:name w:val="批注文字"/>
    <w:basedOn w:val="1484"/>
    <w:next w:val="1514"/>
    <w:link w:val="1515"/>
    <w:qFormat/>
    <w:pPr>
      <w:jc w:val="left"/>
    </w:pPr>
  </w:style>
  <w:style w:type="character" w:styleId="1515">
    <w:name w:val="批注文字 字符"/>
    <w:next w:val="1515"/>
    <w:link w:val="1514"/>
    <w:qFormat/>
    <w:rPr>
      <w:sz w:val="21"/>
    </w:rPr>
  </w:style>
  <w:style w:type="paragraph" w:styleId="1516">
    <w:name w:val="正文文本"/>
    <w:basedOn w:val="1484"/>
    <w:next w:val="1516"/>
    <w:link w:val="1517"/>
    <w:qFormat/>
    <w:rPr>
      <w:rFonts w:ascii="宋体"/>
      <w:sz w:val="28"/>
    </w:rPr>
  </w:style>
  <w:style w:type="character" w:styleId="1517">
    <w:name w:val="正文文本 字符"/>
    <w:next w:val="1517"/>
    <w:link w:val="1516"/>
    <w:qFormat/>
    <w:rPr>
      <w:rFonts w:ascii="宋体" w:eastAsia="宋体"/>
      <w:sz w:val="28"/>
      <w:lang w:val="en-US" w:eastAsia="zh-CN" w:bidi="ar-SA"/>
    </w:rPr>
  </w:style>
  <w:style w:type="paragraph" w:styleId="1518">
    <w:name w:val="正文文本缩进"/>
    <w:basedOn w:val="1484"/>
    <w:next w:val="1520"/>
    <w:link w:val="1519"/>
    <w:qFormat/>
    <w:pPr>
      <w:ind w:firstLine="420"/>
      <w:spacing w:line="360" w:lineRule="auto"/>
    </w:pPr>
    <w:rPr>
      <w:rFonts w:ascii="宋体"/>
      <w:sz w:val="24"/>
    </w:rPr>
  </w:style>
  <w:style w:type="character" w:styleId="1519">
    <w:name w:val="正文文本缩进 字符"/>
    <w:next w:val="1519"/>
    <w:link w:val="1518"/>
    <w:qFormat/>
    <w:rPr>
      <w:rFonts w:ascii="宋体"/>
      <w:sz w:val="24"/>
    </w:rPr>
  </w:style>
  <w:style w:type="paragraph" w:styleId="1520">
    <w:name w:val="寄信人地址"/>
    <w:basedOn w:val="1484"/>
    <w:next w:val="1520"/>
    <w:link w:val="1484"/>
    <w:qFormat/>
    <w:rPr>
      <w:rFonts w:ascii="Arial" w:hAnsi="Arial"/>
    </w:rPr>
  </w:style>
  <w:style w:type="paragraph" w:styleId="1521">
    <w:name w:val="列表 2"/>
    <w:basedOn w:val="1484"/>
    <w:next w:val="1521"/>
    <w:link w:val="1484"/>
    <w:qFormat/>
    <w:pPr>
      <w:ind w:left="100" w:hanging="200"/>
    </w:pPr>
  </w:style>
  <w:style w:type="paragraph" w:styleId="1522">
    <w:name w:val="文本块"/>
    <w:basedOn w:val="1484"/>
    <w:next w:val="1522"/>
    <w:link w:val="1484"/>
    <w:uiPriority w:val="99"/>
    <w:unhideWhenUsed/>
    <w:qFormat/>
    <w:pPr>
      <w:ind w:left="1440" w:right="1440"/>
      <w:spacing w:after="120"/>
    </w:pPr>
  </w:style>
  <w:style w:type="paragraph" w:styleId="1523">
    <w:name w:val="索引 4"/>
    <w:basedOn w:val="1484"/>
    <w:next w:val="1484"/>
    <w:link w:val="1484"/>
    <w:uiPriority w:val="99"/>
    <w:unhideWhenUsed/>
    <w:qFormat/>
    <w:pPr>
      <w:ind w:left="600"/>
    </w:pPr>
    <w:rPr>
      <w:rFonts w:ascii="Verdana" w:hAnsi="Verdana"/>
      <w:szCs w:val="20"/>
    </w:rPr>
  </w:style>
  <w:style w:type="paragraph" w:styleId="1524">
    <w:name w:val="目录 5"/>
    <w:basedOn w:val="1484"/>
    <w:next w:val="1484"/>
    <w:link w:val="1484"/>
    <w:uiPriority w:val="39"/>
    <w:qFormat/>
    <w:pPr>
      <w:ind w:left="1680"/>
    </w:pPr>
  </w:style>
  <w:style w:type="paragraph" w:styleId="1525">
    <w:name w:val="目录 3"/>
    <w:basedOn w:val="1484"/>
    <w:next w:val="1484"/>
    <w:link w:val="1484"/>
    <w:uiPriority w:val="39"/>
    <w:qFormat/>
    <w:pPr>
      <w:ind w:left="840"/>
    </w:pPr>
  </w:style>
  <w:style w:type="paragraph" w:styleId="1526">
    <w:name w:val="纯文本"/>
    <w:basedOn w:val="1484"/>
    <w:next w:val="1526"/>
    <w:link w:val="1527"/>
    <w:qFormat/>
    <w:rPr>
      <w:rFonts w:ascii="宋体" w:hAnsi="Courier New"/>
    </w:rPr>
  </w:style>
  <w:style w:type="character" w:styleId="1527">
    <w:name w:val="纯文本 字符"/>
    <w:next w:val="1527"/>
    <w:link w:val="1526"/>
    <w:qFormat/>
    <w:rPr>
      <w:rFonts w:ascii="宋体" w:hAnsi="Courier New" w:eastAsia="宋体"/>
      <w:sz w:val="21"/>
      <w:lang w:val="en-US" w:eastAsia="zh-CN" w:bidi="ar-SA"/>
    </w:rPr>
  </w:style>
  <w:style w:type="paragraph" w:styleId="1528">
    <w:name w:val="目录 8"/>
    <w:basedOn w:val="1484"/>
    <w:next w:val="1484"/>
    <w:link w:val="1484"/>
    <w:uiPriority w:val="39"/>
    <w:qFormat/>
    <w:pPr>
      <w:ind w:left="2940"/>
    </w:pPr>
  </w:style>
  <w:style w:type="paragraph" w:styleId="1529">
    <w:name w:val="日期"/>
    <w:basedOn w:val="1484"/>
    <w:next w:val="1484"/>
    <w:link w:val="1530"/>
    <w:qFormat/>
    <w:rPr>
      <w:rFonts w:ascii="宋体"/>
    </w:rPr>
  </w:style>
  <w:style w:type="character" w:styleId="1530">
    <w:name w:val="日期 字符"/>
    <w:next w:val="1530"/>
    <w:link w:val="1529"/>
    <w:qFormat/>
    <w:rPr>
      <w:rFonts w:ascii="宋体"/>
      <w:sz w:val="21"/>
    </w:rPr>
  </w:style>
  <w:style w:type="paragraph" w:styleId="1531">
    <w:name w:val="正文文本缩进 2"/>
    <w:basedOn w:val="1484"/>
    <w:next w:val="1531"/>
    <w:link w:val="1532"/>
    <w:qFormat/>
    <w:pPr>
      <w:ind w:firstLine="525"/>
      <w:spacing w:line="420" w:lineRule="exact"/>
    </w:pPr>
    <w:rPr>
      <w:rFonts w:ascii="宋体"/>
    </w:rPr>
  </w:style>
  <w:style w:type="character" w:styleId="1532">
    <w:name w:val="正文文本缩进 2 字符"/>
    <w:next w:val="1532"/>
    <w:link w:val="1531"/>
    <w:qFormat/>
    <w:rPr>
      <w:rFonts w:ascii="宋体"/>
      <w:sz w:val="21"/>
    </w:rPr>
  </w:style>
  <w:style w:type="paragraph" w:styleId="1533">
    <w:name w:val="批注框文本"/>
    <w:basedOn w:val="1484"/>
    <w:next w:val="1533"/>
    <w:link w:val="1534"/>
    <w:uiPriority w:val="99"/>
    <w:qFormat/>
    <w:rPr>
      <w:sz w:val="18"/>
      <w:szCs w:val="18"/>
    </w:rPr>
  </w:style>
  <w:style w:type="character" w:styleId="1534">
    <w:name w:val="批注框文本 字符"/>
    <w:next w:val="1534"/>
    <w:link w:val="1533"/>
    <w:uiPriority w:val="99"/>
    <w:semiHidden/>
    <w:qFormat/>
    <w:rPr>
      <w:sz w:val="18"/>
      <w:szCs w:val="18"/>
    </w:rPr>
  </w:style>
  <w:style w:type="paragraph" w:styleId="1535">
    <w:name w:val="页脚"/>
    <w:basedOn w:val="1484"/>
    <w:next w:val="1535"/>
    <w:link w:val="1536"/>
    <w:uiPriority w:val="99"/>
    <w:qFormat/>
    <w:pPr>
      <w:jc w:val="left"/>
      <w:tabs>
        <w:tab w:val="center" w:pos="4153" w:leader="none"/>
        <w:tab w:val="right" w:pos="8306" w:leader="none"/>
      </w:tabs>
    </w:pPr>
    <w:rPr>
      <w:sz w:val="18"/>
    </w:rPr>
  </w:style>
  <w:style w:type="character" w:styleId="1536">
    <w:name w:val="页脚 字符"/>
    <w:next w:val="1536"/>
    <w:link w:val="1535"/>
    <w:uiPriority w:val="99"/>
    <w:qFormat/>
    <w:rPr>
      <w:sz w:val="18"/>
    </w:rPr>
  </w:style>
  <w:style w:type="paragraph" w:styleId="1537">
    <w:name w:val="页眉"/>
    <w:basedOn w:val="1484"/>
    <w:next w:val="1537"/>
    <w:link w:val="1538"/>
    <w:uiPriority w:val="99"/>
    <w:qFormat/>
    <w:pPr>
      <w:jc w:val="center"/>
      <w:tabs>
        <w:tab w:val="center" w:pos="4153" w:leader="none"/>
        <w:tab w:val="right" w:pos="8306" w:leader="none"/>
      </w:tabs>
      <w:pBdr>
        <w:bottom w:val="single" w:color="000000" w:sz="6" w:space="1"/>
      </w:pBdr>
    </w:pPr>
    <w:rPr>
      <w:sz w:val="18"/>
    </w:rPr>
  </w:style>
  <w:style w:type="character" w:styleId="1538">
    <w:name w:val="页眉 字符"/>
    <w:next w:val="1538"/>
    <w:link w:val="1537"/>
    <w:uiPriority w:val="99"/>
    <w:qFormat/>
    <w:rPr>
      <w:sz w:val="18"/>
    </w:rPr>
  </w:style>
  <w:style w:type="paragraph" w:styleId="1539">
    <w:name w:val="目录 1"/>
    <w:basedOn w:val="1484"/>
    <w:next w:val="1484"/>
    <w:link w:val="1484"/>
    <w:uiPriority w:val="39"/>
    <w:qFormat/>
  </w:style>
  <w:style w:type="paragraph" w:styleId="1540">
    <w:name w:val="目录 4"/>
    <w:basedOn w:val="1484"/>
    <w:next w:val="1484"/>
    <w:link w:val="1484"/>
    <w:uiPriority w:val="39"/>
    <w:qFormat/>
    <w:pPr>
      <w:ind w:left="1260"/>
    </w:pPr>
  </w:style>
  <w:style w:type="paragraph" w:styleId="1541">
    <w:name w:val="副标题"/>
    <w:basedOn w:val="1484"/>
    <w:next w:val="1484"/>
    <w:link w:val="1542"/>
    <w:qFormat/>
    <w:pPr>
      <w:jc w:val="center"/>
      <w:spacing w:before="240" w:after="60" w:line="312" w:lineRule="auto"/>
      <w:outlineLvl w:val="1"/>
    </w:pPr>
    <w:rPr>
      <w:rFonts w:ascii="Cambria" w:hAnsi="Cambria"/>
      <w:b/>
      <w:bCs/>
      <w:sz w:val="32"/>
      <w:szCs w:val="32"/>
    </w:rPr>
  </w:style>
  <w:style w:type="character" w:styleId="1542">
    <w:name w:val="副标题 字符"/>
    <w:next w:val="1542"/>
    <w:link w:val="1541"/>
    <w:qFormat/>
    <w:rPr>
      <w:rFonts w:ascii="Cambria" w:hAnsi="Cambria"/>
      <w:b/>
      <w:bCs/>
      <w:sz w:val="32"/>
      <w:szCs w:val="32"/>
    </w:rPr>
  </w:style>
  <w:style w:type="paragraph" w:styleId="1543">
    <w:name w:val="目录 6"/>
    <w:basedOn w:val="1484"/>
    <w:next w:val="1484"/>
    <w:link w:val="1484"/>
    <w:uiPriority w:val="39"/>
    <w:qFormat/>
    <w:pPr>
      <w:ind w:left="2100"/>
    </w:pPr>
  </w:style>
  <w:style w:type="paragraph" w:styleId="1544">
    <w:name w:val="正文文本缩进 3"/>
    <w:basedOn w:val="1484"/>
    <w:next w:val="1544"/>
    <w:link w:val="1545"/>
    <w:qFormat/>
    <w:pPr>
      <w:ind w:firstLine="841"/>
    </w:pPr>
    <w:rPr>
      <w:rFonts w:eastAsia="华文新魏"/>
      <w:b/>
      <w:bCs/>
      <w:sz w:val="84"/>
    </w:rPr>
  </w:style>
  <w:style w:type="character" w:styleId="1545">
    <w:name w:val="正文文本缩进 3 字符"/>
    <w:next w:val="1545"/>
    <w:link w:val="1544"/>
    <w:qFormat/>
    <w:rPr>
      <w:rFonts w:eastAsia="华文新魏"/>
      <w:b/>
      <w:bCs/>
      <w:sz w:val="84"/>
    </w:rPr>
  </w:style>
  <w:style w:type="paragraph" w:styleId="1546">
    <w:name w:val="目录 2"/>
    <w:basedOn w:val="1484"/>
    <w:next w:val="1484"/>
    <w:link w:val="1484"/>
    <w:uiPriority w:val="39"/>
    <w:qFormat/>
    <w:pPr>
      <w:ind w:left="420"/>
    </w:pPr>
  </w:style>
  <w:style w:type="paragraph" w:styleId="1547">
    <w:name w:val="目录 9"/>
    <w:basedOn w:val="1484"/>
    <w:next w:val="1484"/>
    <w:link w:val="1484"/>
    <w:uiPriority w:val="39"/>
    <w:qFormat/>
    <w:pPr>
      <w:ind w:left="3360"/>
    </w:pPr>
  </w:style>
  <w:style w:type="paragraph" w:styleId="1548">
    <w:name w:val="普通(网站)"/>
    <w:basedOn w:val="1484"/>
    <w:next w:val="1548"/>
    <w:link w:val="1484"/>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49">
    <w:name w:val="标题"/>
    <w:basedOn w:val="1484"/>
    <w:next w:val="1549"/>
    <w:link w:val="1550"/>
    <w:uiPriority w:val="10"/>
    <w:qFormat/>
    <w:pPr>
      <w:jc w:val="center"/>
    </w:pPr>
    <w:rPr>
      <w:sz w:val="30"/>
      <w:szCs w:val="24"/>
    </w:rPr>
  </w:style>
  <w:style w:type="character" w:styleId="1550">
    <w:name w:val="标题 字符"/>
    <w:next w:val="1550"/>
    <w:link w:val="1549"/>
    <w:uiPriority w:val="10"/>
    <w:qFormat/>
    <w:rPr>
      <w:sz w:val="30"/>
      <w:szCs w:val="24"/>
    </w:rPr>
  </w:style>
  <w:style w:type="paragraph" w:styleId="1551">
    <w:name w:val="批注主题"/>
    <w:basedOn w:val="1514"/>
    <w:next w:val="1514"/>
    <w:link w:val="1552"/>
    <w:qFormat/>
    <w:rPr>
      <w:b/>
      <w:bCs/>
    </w:rPr>
  </w:style>
  <w:style w:type="character" w:styleId="1552">
    <w:name w:val="批注主题 字符"/>
    <w:next w:val="1552"/>
    <w:link w:val="1551"/>
    <w:qFormat/>
    <w:rPr>
      <w:b/>
      <w:bCs/>
      <w:sz w:val="21"/>
    </w:rPr>
  </w:style>
  <w:style w:type="paragraph" w:styleId="1553">
    <w:name w:val="正文首行缩进"/>
    <w:basedOn w:val="1516"/>
    <w:next w:val="1553"/>
    <w:link w:val="1484"/>
    <w:qFormat/>
    <w:pPr>
      <w:ind w:firstLine="420"/>
      <w:spacing w:line="360" w:lineRule="auto"/>
    </w:pPr>
    <w:rPr>
      <w:rFonts w:ascii="Times New Roman"/>
      <w:szCs w:val="21"/>
    </w:rPr>
  </w:style>
  <w:style w:type="paragraph" w:styleId="1554">
    <w:name w:val="正文首行缩进 2"/>
    <w:basedOn w:val="1518"/>
    <w:next w:val="1484"/>
    <w:link w:val="1484"/>
    <w:qFormat/>
    <w:pPr>
      <w:ind w:firstLine="420"/>
    </w:pPr>
  </w:style>
  <w:style w:type="table" w:styleId="1555">
    <w:name w:val="网格型"/>
    <w:basedOn w:val="1494"/>
    <w:next w:val="1555"/>
    <w:link w:val="1484"/>
    <w:qFormat/>
    <w:rPr>
      <w:sz w:val="21"/>
      <w:szCs w:val="22"/>
    </w:rPr>
    <w:tblPr/>
  </w:style>
  <w:style w:type="character" w:styleId="1556">
    <w:name w:val="要点"/>
    <w:next w:val="1556"/>
    <w:link w:val="1484"/>
    <w:qFormat/>
    <w:rPr>
      <w:b/>
      <w:bCs/>
    </w:rPr>
  </w:style>
  <w:style w:type="character" w:styleId="1557">
    <w:name w:val="页码"/>
    <w:next w:val="1557"/>
    <w:link w:val="1484"/>
    <w:qFormat/>
  </w:style>
  <w:style w:type="character" w:styleId="1558">
    <w:name w:val="强调"/>
    <w:next w:val="1558"/>
    <w:link w:val="1484"/>
    <w:uiPriority w:val="20"/>
    <w:qFormat/>
    <w:rPr>
      <w:i/>
    </w:rPr>
  </w:style>
  <w:style w:type="character" w:styleId="1559">
    <w:name w:val="超链接"/>
    <w:next w:val="1559"/>
    <w:link w:val="1484"/>
    <w:uiPriority w:val="99"/>
    <w:qFormat/>
    <w:rPr>
      <w:color w:val="333333"/>
      <w:u w:val="none"/>
    </w:rPr>
  </w:style>
  <w:style w:type="character" w:styleId="1560">
    <w:name w:val="批注引用"/>
    <w:next w:val="1560"/>
    <w:link w:val="1484"/>
    <w:qFormat/>
    <w:rPr>
      <w:sz w:val="21"/>
      <w:szCs w:val="21"/>
    </w:rPr>
  </w:style>
  <w:style w:type="character" w:styleId="1561">
    <w:name w:val="标题 8 Char"/>
    <w:next w:val="1561"/>
    <w:link w:val="1484"/>
    <w:qFormat/>
    <w:rPr>
      <w:rFonts w:ascii="Arial" w:hAnsi="Arial" w:eastAsia="黑体"/>
      <w:sz w:val="24"/>
      <w:szCs w:val="24"/>
    </w:rPr>
  </w:style>
  <w:style w:type="character" w:styleId="1562">
    <w:name w:val="日期 Char"/>
    <w:next w:val="1562"/>
    <w:link w:val="1484"/>
    <w:qFormat/>
    <w:rPr>
      <w:rFonts w:ascii="宋体" w:hAnsi="Times New Roman" w:eastAsia="宋体" w:cs="Times New Roman"/>
      <w:sz w:val="20"/>
      <w:szCs w:val="20"/>
    </w:rPr>
  </w:style>
  <w:style w:type="character" w:styleId="1563">
    <w:name w:val="页脚 Char1"/>
    <w:next w:val="1563"/>
    <w:link w:val="1484"/>
    <w:uiPriority w:val="99"/>
    <w:qFormat/>
    <w:rPr>
      <w:sz w:val="18"/>
    </w:rPr>
  </w:style>
  <w:style w:type="character" w:styleId="1564">
    <w:name w:val="标题 6 Char"/>
    <w:next w:val="1564"/>
    <w:link w:val="1484"/>
    <w:qFormat/>
    <w:rPr>
      <w:rFonts w:ascii="Arial" w:hAnsi="Arial" w:eastAsia="黑体"/>
      <w:b/>
      <w:bCs/>
      <w:sz w:val="24"/>
      <w:szCs w:val="24"/>
    </w:rPr>
  </w:style>
  <w:style w:type="character" w:styleId="1565">
    <w:name w:val="apple-style-span"/>
    <w:next w:val="1565"/>
    <w:link w:val="1484"/>
    <w:qFormat/>
  </w:style>
  <w:style w:type="character" w:styleId="1566">
    <w:name w:val="页眉 Char"/>
    <w:next w:val="1566"/>
    <w:link w:val="1484"/>
    <w:qFormat/>
    <w:rPr>
      <w:rFonts w:ascii="宋体" w:hAnsi="Times New Roman" w:eastAsia="宋体" w:cs="Times New Roman"/>
      <w:sz w:val="18"/>
      <w:szCs w:val="18"/>
    </w:rPr>
  </w:style>
  <w:style w:type="character" w:styleId="1567">
    <w:name w:val="纯文本 Char"/>
    <w:next w:val="1567"/>
    <w:link w:val="1484"/>
    <w:qFormat/>
    <w:rPr>
      <w:rFonts w:ascii="宋体" w:hAnsi="Courier New" w:eastAsia="宋体" w:cs="Courier New"/>
      <w:szCs w:val="21"/>
    </w:rPr>
  </w:style>
  <w:style w:type="character" w:styleId="1568">
    <w:name w:val="批注框文本 Char"/>
    <w:next w:val="1568"/>
    <w:link w:val="1484"/>
    <w:uiPriority w:val="99"/>
    <w:semiHidden/>
    <w:qFormat/>
    <w:rPr>
      <w:rFonts w:ascii="宋体" w:hAnsi="Times New Roman" w:eastAsia="宋体" w:cs="Times New Roman"/>
      <w:sz w:val="18"/>
      <w:szCs w:val="18"/>
    </w:rPr>
  </w:style>
  <w:style w:type="character" w:styleId="1569">
    <w:name w:val="font21"/>
    <w:next w:val="1569"/>
    <w:link w:val="1484"/>
    <w:qFormat/>
    <w:rPr>
      <w:rFonts w:hint="eastAsia" w:ascii="新宋体" w:hAnsi="新宋体" w:eastAsia="新宋体" w:cs="新宋体"/>
      <w:color w:val="000000"/>
      <w:sz w:val="18"/>
      <w:szCs w:val="18"/>
      <w:u w:val="none"/>
    </w:rPr>
  </w:style>
  <w:style w:type="character" w:styleId="1570">
    <w:name w:val="style21"/>
    <w:next w:val="1570"/>
    <w:link w:val="1484"/>
    <w:qFormat/>
    <w:rPr>
      <w:sz w:val="18"/>
      <w:szCs w:val="18"/>
    </w:rPr>
  </w:style>
  <w:style w:type="character" w:styleId="1571">
    <w:name w:val="文档结构图 Char"/>
    <w:next w:val="1571"/>
    <w:link w:val="1484"/>
    <w:qFormat/>
    <w:rPr>
      <w:rFonts w:ascii="宋体" w:hAnsi="Times New Roman" w:eastAsia="宋体" w:cs="Times New Roman"/>
      <w:sz w:val="18"/>
      <w:szCs w:val="18"/>
    </w:rPr>
  </w:style>
  <w:style w:type="character" w:styleId="1572">
    <w:name w:val="标题 2 Char1"/>
    <w:next w:val="1572"/>
    <w:link w:val="1484"/>
    <w:qFormat/>
    <w:rPr>
      <w:rFonts w:ascii="Arial" w:hAnsi="Arial" w:eastAsia="黑体"/>
      <w:b/>
      <w:bCs/>
      <w:sz w:val="32"/>
      <w:szCs w:val="32"/>
    </w:rPr>
  </w:style>
  <w:style w:type="character" w:styleId="1573">
    <w:name w:val="批注框文本 Char1"/>
    <w:next w:val="1573"/>
    <w:link w:val="1484"/>
    <w:uiPriority w:val="99"/>
    <w:semiHidden/>
    <w:qFormat/>
    <w:rPr>
      <w:sz w:val="18"/>
      <w:szCs w:val="18"/>
    </w:rPr>
  </w:style>
  <w:style w:type="character" w:styleId="1574">
    <w:name w:val="yy1"/>
    <w:next w:val="1574"/>
    <w:link w:val="1484"/>
    <w:qFormat/>
    <w:rPr>
      <w:rFonts w:ascii="宋体" w:hAnsi="宋体" w:eastAsia="宋体"/>
      <w:b/>
      <w:bCs/>
      <w:sz w:val="28"/>
    </w:rPr>
  </w:style>
  <w:style w:type="character" w:styleId="1575">
    <w:name w:val="标题 Char"/>
    <w:next w:val="1575"/>
    <w:link w:val="1484"/>
    <w:qFormat/>
    <w:rPr>
      <w:rFonts w:ascii="Cambria" w:hAnsi="Cambria" w:eastAsia="宋体" w:cs="Times New Roman"/>
      <w:b/>
      <w:bCs/>
      <w:sz w:val="32"/>
      <w:szCs w:val="32"/>
    </w:rPr>
  </w:style>
  <w:style w:type="character" w:styleId="1576">
    <w:name w:val="c lh15"/>
    <w:next w:val="1576"/>
    <w:link w:val="1484"/>
    <w:qFormat/>
  </w:style>
  <w:style w:type="character" w:styleId="1577">
    <w:name w:val="ask-title2"/>
    <w:next w:val="1577"/>
    <w:link w:val="1484"/>
    <w:qFormat/>
  </w:style>
  <w:style w:type="character" w:styleId="1578">
    <w:name w:val="页脚 Char"/>
    <w:next w:val="1578"/>
    <w:link w:val="1484"/>
    <w:uiPriority w:val="99"/>
    <w:qFormat/>
    <w:rPr>
      <w:rFonts w:ascii="宋体" w:hAnsi="Times New Roman" w:eastAsia="宋体" w:cs="Times New Roman"/>
      <w:sz w:val="18"/>
      <w:szCs w:val="18"/>
    </w:rPr>
  </w:style>
  <w:style w:type="character" w:styleId="1579">
    <w:name w:val="正文文本缩进 Char"/>
    <w:next w:val="1579"/>
    <w:link w:val="1484"/>
    <w:uiPriority w:val="99"/>
    <w:semiHidden/>
    <w:qFormat/>
    <w:rPr>
      <w:rFonts w:ascii="宋体" w:hAnsi="Times New Roman" w:eastAsia="宋体" w:cs="Times New Roman"/>
      <w:sz w:val="20"/>
      <w:szCs w:val="20"/>
    </w:rPr>
  </w:style>
  <w:style w:type="character" w:styleId="1580">
    <w:name w:val="NormalCharacter1"/>
    <w:next w:val="1580"/>
    <w:link w:val="1484"/>
    <w:semiHidden/>
    <w:rPr>
      <w:sz w:val="21"/>
      <w:lang w:val="en-US" w:eastAsia="zh-CN" w:bidi="ar-SA"/>
    </w:rPr>
  </w:style>
  <w:style w:type="character" w:styleId="1581">
    <w:name w:val="font31"/>
    <w:next w:val="1581"/>
    <w:link w:val="1484"/>
    <w:qFormat/>
    <w:rPr>
      <w:rFonts w:hint="eastAsia" w:ascii="宋体" w:hAnsi="宋体" w:eastAsia="宋体" w:cs="宋体"/>
      <w:color w:val="000000"/>
      <w:sz w:val="22"/>
      <w:szCs w:val="22"/>
      <w:u w:val="none"/>
    </w:rPr>
  </w:style>
  <w:style w:type="character" w:styleId="1582">
    <w:name w:val="页眉 Char1"/>
    <w:next w:val="1582"/>
    <w:link w:val="1484"/>
    <w:uiPriority w:val="99"/>
    <w:qFormat/>
    <w:rPr>
      <w:sz w:val="18"/>
    </w:rPr>
  </w:style>
  <w:style w:type="character" w:styleId="1583">
    <w:name w:val="正文文本 (8)_"/>
    <w:next w:val="1583"/>
    <w:link w:val="1584"/>
    <w:qFormat/>
    <w:rPr>
      <w:rFonts w:ascii="Gulim" w:hAnsi="Gulim" w:eastAsia="Gulim" w:cs="Gulim"/>
      <w:b/>
      <w:sz w:val="15"/>
      <w:szCs w:val="15"/>
      <w:shd w:val="clear" w:color="auto" w:fill="ffffff"/>
      <w:lang w:eastAsia="en-US" w:bidi="en-US"/>
    </w:rPr>
  </w:style>
  <w:style w:type="paragraph" w:styleId="1584">
    <w:name w:val="正文文本 (8)"/>
    <w:basedOn w:val="1484"/>
    <w:next w:val="1584"/>
    <w:link w:val="1583"/>
    <w:qFormat/>
    <w:pPr>
      <w:jc w:val="left"/>
      <w:spacing w:line="0" w:lineRule="atLeast"/>
      <w:shd w:val="clear" w:color="auto" w:fill="ffffff"/>
    </w:pPr>
    <w:rPr>
      <w:rFonts w:ascii="Gulim" w:hAnsi="Gulim" w:eastAsia="Gulim" w:cs="Gulim"/>
      <w:b/>
      <w:sz w:val="15"/>
      <w:szCs w:val="15"/>
      <w:lang w:eastAsia="en-US" w:bidi="en-US"/>
    </w:rPr>
  </w:style>
  <w:style w:type="character" w:styleId="1585">
    <w:name w:val="标题 Char2"/>
    <w:next w:val="1585"/>
    <w:link w:val="1484"/>
    <w:uiPriority w:val="10"/>
    <w:qFormat/>
    <w:rPr>
      <w:sz w:val="30"/>
      <w:szCs w:val="24"/>
    </w:rPr>
  </w:style>
  <w:style w:type="character" w:styleId="1586">
    <w:name w:val="Andy_正文格式 Char"/>
    <w:next w:val="1586"/>
    <w:link w:val="1587"/>
    <w:qFormat/>
    <w:rPr>
      <w:rFonts w:ascii="仿宋_GB2312" w:eastAsia="仿宋_GB2312"/>
      <w:sz w:val="28"/>
      <w:szCs w:val="28"/>
    </w:rPr>
  </w:style>
  <w:style w:type="paragraph" w:styleId="1587">
    <w:name w:val="Andy_正文格式"/>
    <w:basedOn w:val="1484"/>
    <w:next w:val="1587"/>
    <w:link w:val="1586"/>
    <w:qFormat/>
    <w:pPr>
      <w:ind w:firstLine="560"/>
    </w:pPr>
    <w:rPr>
      <w:rFonts w:ascii="仿宋_GB2312" w:eastAsia="仿宋_GB2312"/>
      <w:sz w:val="28"/>
      <w:szCs w:val="28"/>
    </w:rPr>
  </w:style>
  <w:style w:type="character" w:styleId="1588">
    <w:name w:val="标题 1 Char1"/>
    <w:next w:val="1588"/>
    <w:link w:val="1484"/>
    <w:qFormat/>
    <w:rPr>
      <w:rFonts w:ascii="宋体"/>
      <w:sz w:val="28"/>
    </w:rPr>
  </w:style>
  <w:style w:type="character" w:styleId="1589">
    <w:name w:val="批注文字 Char"/>
    <w:next w:val="1589"/>
    <w:link w:val="1484"/>
    <w:qFormat/>
    <w:rPr>
      <w:sz w:val="21"/>
    </w:rPr>
  </w:style>
  <w:style w:type="character" w:styleId="1590">
    <w:name w:val="新正文 Char Char"/>
    <w:next w:val="1590"/>
    <w:link w:val="1591"/>
    <w:qFormat/>
    <w:rPr>
      <w:rFonts w:ascii="宋体" w:hAnsi="宋体" w:cs="宋体"/>
      <w:b/>
      <w:bCs/>
      <w:color w:val="000000"/>
      <w:sz w:val="24"/>
      <w:szCs w:val="21"/>
    </w:rPr>
  </w:style>
  <w:style w:type="paragraph" w:styleId="1591">
    <w:name w:val="新正文"/>
    <w:basedOn w:val="1484"/>
    <w:next w:val="1591"/>
    <w:link w:val="1590"/>
    <w:qFormat/>
    <w:pPr>
      <w:ind w:firstLine="200"/>
      <w:spacing w:line="480" w:lineRule="exact"/>
    </w:pPr>
    <w:rPr>
      <w:rFonts w:ascii="宋体" w:hAnsi="宋体"/>
      <w:b/>
      <w:bCs/>
      <w:color w:val="000000"/>
      <w:sz w:val="24"/>
      <w:szCs w:val="21"/>
    </w:rPr>
  </w:style>
  <w:style w:type="character" w:styleId="1592">
    <w:name w:val="Char Char3"/>
    <w:next w:val="1592"/>
    <w:link w:val="1484"/>
    <w:qFormat/>
    <w:rPr>
      <w:rFonts w:ascii="宋体" w:hAnsi="宋体" w:eastAsia="宋体"/>
      <w:sz w:val="24"/>
      <w:szCs w:val="24"/>
      <w:lang w:val="en-US" w:eastAsia="zh-CN" w:bidi="ar-SA"/>
    </w:rPr>
  </w:style>
  <w:style w:type="character" w:styleId="1593">
    <w:name w:val="font41"/>
    <w:next w:val="1593"/>
    <w:link w:val="1484"/>
    <w:qFormat/>
    <w:rPr>
      <w:rFonts w:hint="eastAsia" w:ascii="宋体" w:hAnsi="宋体" w:eastAsia="宋体" w:cs="宋体"/>
      <w:color w:val="000000"/>
      <w:sz w:val="22"/>
      <w:szCs w:val="22"/>
      <w:u w:val="none"/>
    </w:rPr>
  </w:style>
  <w:style w:type="character" w:styleId="1594">
    <w:name w:val="标题 3 Char Char Char Char Char Char Char Char Char"/>
    <w:next w:val="1594"/>
    <w:link w:val="1484"/>
    <w:qFormat/>
    <w:rPr>
      <w:rFonts w:eastAsia="宋体"/>
      <w:b/>
      <w:sz w:val="32"/>
      <w:lang w:val="en-US" w:eastAsia="zh-CN"/>
    </w:rPr>
  </w:style>
  <w:style w:type="character" w:styleId="1595">
    <w:name w:val="列出段落 Char1"/>
    <w:next w:val="1595"/>
    <w:link w:val="1596"/>
    <w:qFormat/>
    <w:rPr>
      <w:rFonts w:ascii="Calibri" w:hAnsi="Calibri"/>
      <w:sz w:val="21"/>
      <w:szCs w:val="22"/>
    </w:rPr>
  </w:style>
  <w:style w:type="paragraph" w:styleId="1596">
    <w:name w:val="列出段落1"/>
    <w:basedOn w:val="1484"/>
    <w:next w:val="1596"/>
    <w:link w:val="1595"/>
    <w:qFormat/>
    <w:pPr>
      <w:ind w:firstLine="420"/>
    </w:pPr>
    <w:rPr>
      <w:rFonts w:ascii="Calibri" w:hAnsi="Calibri"/>
      <w:szCs w:val="22"/>
    </w:rPr>
  </w:style>
  <w:style w:type="character" w:styleId="1597">
    <w:name w:val="正文文本缩进 Char1"/>
    <w:next w:val="1597"/>
    <w:link w:val="1484"/>
    <w:qFormat/>
    <w:rPr>
      <w:rFonts w:ascii="宋体"/>
      <w:sz w:val="24"/>
    </w:rPr>
  </w:style>
  <w:style w:type="character" w:styleId="1598">
    <w:name w:val="标题 2 Char Char Char"/>
    <w:next w:val="1598"/>
    <w:link w:val="1484"/>
    <w:qFormat/>
    <w:rPr>
      <w:rFonts w:ascii="Arial" w:hAnsi="Arial" w:eastAsia="黑体"/>
      <w:b/>
      <w:bCs/>
      <w:sz w:val="32"/>
      <w:szCs w:val="32"/>
      <w:lang w:val="en-US" w:eastAsia="zh-CN" w:bidi="ar-SA"/>
    </w:rPr>
  </w:style>
  <w:style w:type="character" w:styleId="1599">
    <w:name w:val="样式 样式 标题 3 + (中文) 黑体 Char + (中文) 宋体 小四 Char Char Char Char Char Char"/>
    <w:next w:val="1599"/>
    <w:link w:val="1484"/>
    <w:qFormat/>
    <w:rPr>
      <w:rFonts w:ascii="宋体" w:hAnsi="Courier New" w:eastAsia="宋体" w:cs="Courier New"/>
      <w:sz w:val="24"/>
      <w:szCs w:val="21"/>
      <w:lang w:val="en-US" w:eastAsia="zh-CN" w:bidi="ar-SA"/>
    </w:rPr>
  </w:style>
  <w:style w:type="character" w:styleId="1600">
    <w:name w:val="标题 2 Char"/>
    <w:next w:val="1600"/>
    <w:link w:val="1484"/>
    <w:uiPriority w:val="9"/>
    <w:semiHidden/>
    <w:qFormat/>
    <w:rPr>
      <w:rFonts w:ascii="Cambria" w:hAnsi="Cambria" w:eastAsia="宋体" w:cs="Times New Roman"/>
      <w:b/>
      <w:bCs/>
      <w:sz w:val="32"/>
      <w:szCs w:val="32"/>
    </w:rPr>
  </w:style>
  <w:style w:type="character" w:styleId="1601">
    <w:name w:val="identication Char"/>
    <w:next w:val="1601"/>
    <w:link w:val="1484"/>
    <w:qFormat/>
    <w:rPr>
      <w:rFonts w:eastAsia="宋体"/>
      <w:sz w:val="21"/>
      <w:szCs w:val="24"/>
      <w:lang w:val="en-US" w:eastAsia="zh-CN" w:bidi="ar-SA"/>
    </w:rPr>
  </w:style>
  <w:style w:type="character" w:styleId="1602">
    <w:name w:val="HTML 预设格式 Char"/>
    <w:next w:val="1602"/>
    <w:link w:val="1484"/>
    <w:qFormat/>
    <w:rPr>
      <w:rFonts w:ascii="黑体" w:hAnsi="Courier New" w:eastAsia="黑体" w:cs="Courier New"/>
    </w:rPr>
  </w:style>
  <w:style w:type="character" w:styleId="1603">
    <w:name w:val="表格标题 + SimSun"/>
    <w:next w:val="1603"/>
    <w:link w:val="1484"/>
    <w:qFormat/>
    <w:rPr>
      <w:rFonts w:ascii="宋体" w:hAnsi="宋体" w:eastAsia="宋体" w:cs="宋体"/>
      <w:b/>
      <w:color w:val="000000"/>
      <w:spacing w:val="0"/>
      <w:position w:val="0"/>
      <w:sz w:val="17"/>
      <w:szCs w:val="17"/>
      <w:shd w:val="clear" w:color="auto" w:fill="ffffff"/>
      <w:lang w:val="zh-CN" w:eastAsia="zh-CN" w:bidi="zh-CN"/>
    </w:rPr>
  </w:style>
  <w:style w:type="character" w:styleId="1604">
    <w:name w:val="批注主题 Char"/>
    <w:next w:val="1604"/>
    <w:link w:val="1484"/>
    <w:qFormat/>
    <w:rPr>
      <w:b/>
      <w:bCs/>
      <w:sz w:val="21"/>
    </w:rPr>
  </w:style>
  <w:style w:type="character" w:styleId="1605">
    <w:name w:val="批注文字 字符1"/>
    <w:next w:val="1605"/>
    <w:link w:val="1484"/>
    <w:uiPriority w:val="99"/>
    <w:semiHidden/>
    <w:qFormat/>
    <w:rPr>
      <w:rFonts w:ascii="宋体" w:hAnsi="Times New Roman" w:eastAsia="宋体" w:cs="Times New Roman"/>
      <w:sz w:val="20"/>
      <w:szCs w:val="20"/>
    </w:rPr>
  </w:style>
  <w:style w:type="character" w:styleId="1606">
    <w:name w:val="正文缩进 Char"/>
    <w:next w:val="1606"/>
    <w:link w:val="1484"/>
    <w:qFormat/>
    <w:rPr>
      <w:b/>
      <w:sz w:val="24"/>
    </w:rPr>
  </w:style>
  <w:style w:type="character" w:styleId="1607">
    <w:name w:val="font211"/>
    <w:next w:val="1607"/>
    <w:link w:val="1484"/>
    <w:qFormat/>
    <w:rPr>
      <w:rFonts w:hint="eastAsia" w:ascii="新宋体" w:hAnsi="新宋体" w:eastAsia="新宋体" w:cs="新宋体"/>
      <w:color w:val="000000"/>
      <w:sz w:val="18"/>
      <w:szCs w:val="18"/>
      <w:u w:val="none"/>
    </w:rPr>
  </w:style>
  <w:style w:type="character" w:styleId="1608">
    <w:name w:val="标题 4 Char1"/>
    <w:next w:val="1608"/>
    <w:link w:val="1484"/>
    <w:qFormat/>
    <w:rPr>
      <w:rFonts w:ascii="Arial" w:hAnsi="Arial" w:eastAsia="黑体" w:cs="Arial"/>
      <w:b/>
      <w:bCs/>
      <w:sz w:val="28"/>
      <w:szCs w:val="28"/>
    </w:rPr>
  </w:style>
  <w:style w:type="character" w:styleId="1609">
    <w:name w:val="正文文本 Char"/>
    <w:next w:val="1609"/>
    <w:link w:val="1484"/>
    <w:qFormat/>
    <w:rPr>
      <w:rFonts w:ascii="宋体" w:eastAsia="宋体"/>
      <w:sz w:val="28"/>
      <w:lang w:val="en-US" w:eastAsia="zh-CN" w:bidi="ar-SA"/>
    </w:rPr>
  </w:style>
  <w:style w:type="character" w:styleId="1610">
    <w:name w:val="标题 Char1"/>
    <w:next w:val="1610"/>
    <w:link w:val="1484"/>
    <w:qFormat/>
    <w:rPr>
      <w:rFonts w:ascii="Cambria" w:hAnsi="Cambria" w:eastAsia="仿宋_GB2312" w:cs="Times New Roman"/>
      <w:b/>
      <w:bCs/>
      <w:sz w:val="32"/>
      <w:szCs w:val="32"/>
      <w:lang w:val="en-US" w:eastAsia="zh-CN" w:bidi="ar-SA"/>
    </w:rPr>
  </w:style>
  <w:style w:type="character" w:styleId="1611">
    <w:name w:val="纯文本 Char2"/>
    <w:next w:val="1611"/>
    <w:link w:val="1484"/>
    <w:qFormat/>
    <w:rPr>
      <w:rFonts w:ascii="宋体" w:hAnsi="Courier New" w:eastAsia="宋体"/>
      <w:sz w:val="21"/>
      <w:lang w:val="en-US" w:eastAsia="zh-CN" w:bidi="ar-SA"/>
    </w:rPr>
  </w:style>
  <w:style w:type="character" w:styleId="1612">
    <w:name w:val="列出段落 Char"/>
    <w:next w:val="1612"/>
    <w:link w:val="1484"/>
    <w:qFormat/>
    <w:rPr>
      <w:rFonts w:ascii="Calibri" w:hAnsi="Calibri"/>
      <w:sz w:val="21"/>
      <w:szCs w:val="22"/>
    </w:rPr>
  </w:style>
  <w:style w:type="character" w:styleId="1613">
    <w:name w:val="文档结构图 字符1"/>
    <w:next w:val="1613"/>
    <w:link w:val="1484"/>
    <w:qFormat/>
    <w:rPr>
      <w:rFonts w:ascii="Microsoft YaHei UI" w:eastAsia="Microsoft YaHei UI"/>
      <w:sz w:val="18"/>
      <w:szCs w:val="18"/>
    </w:rPr>
  </w:style>
  <w:style w:type="character" w:styleId="1614">
    <w:name w:val="日期 Char1"/>
    <w:next w:val="1614"/>
    <w:link w:val="1484"/>
    <w:qFormat/>
    <w:rPr>
      <w:rFonts w:ascii="宋体"/>
      <w:sz w:val="21"/>
    </w:rPr>
  </w:style>
  <w:style w:type="character" w:styleId="1615">
    <w:name w:val="副标题 Char"/>
    <w:next w:val="1615"/>
    <w:link w:val="1484"/>
    <w:qFormat/>
    <w:rPr>
      <w:rFonts w:ascii="Cambria" w:hAnsi="Cambria"/>
      <w:b/>
      <w:bCs/>
      <w:sz w:val="32"/>
      <w:szCs w:val="32"/>
    </w:rPr>
  </w:style>
  <w:style w:type="character" w:styleId="1616">
    <w:name w:val="表格标题_"/>
    <w:next w:val="1616"/>
    <w:link w:val="1617"/>
    <w:qFormat/>
    <w:rPr>
      <w:rFonts w:ascii="Gulim" w:hAnsi="Gulim" w:eastAsia="Gulim" w:cs="Gulim"/>
      <w:b/>
      <w:sz w:val="15"/>
      <w:szCs w:val="15"/>
      <w:shd w:val="clear" w:color="auto" w:fill="ffffff"/>
      <w:lang w:eastAsia="en-US" w:bidi="en-US"/>
    </w:rPr>
  </w:style>
  <w:style w:type="paragraph" w:styleId="1617">
    <w:name w:val="表格标题"/>
    <w:basedOn w:val="1484"/>
    <w:next w:val="1617"/>
    <w:link w:val="1616"/>
    <w:qFormat/>
    <w:pPr>
      <w:jc w:val="left"/>
      <w:spacing w:line="0" w:lineRule="atLeast"/>
      <w:shd w:val="clear" w:color="auto" w:fill="ffffff"/>
    </w:pPr>
    <w:rPr>
      <w:rFonts w:ascii="Gulim" w:hAnsi="Gulim" w:eastAsia="Gulim" w:cs="Gulim"/>
      <w:b/>
      <w:sz w:val="15"/>
      <w:szCs w:val="15"/>
      <w:lang w:eastAsia="en-US" w:bidi="en-US"/>
    </w:rPr>
  </w:style>
  <w:style w:type="character" w:styleId="1618">
    <w:name w:val="正文文本 (2)_"/>
    <w:next w:val="1618"/>
    <w:link w:val="1484"/>
    <w:qFormat/>
    <w:rPr>
      <w:rFonts w:ascii="宋体" w:hAnsi="宋体" w:eastAsia="宋体" w:cs="宋体"/>
      <w:b/>
      <w:sz w:val="17"/>
      <w:szCs w:val="17"/>
      <w:u w:val="none"/>
      <w:lang w:val="en-US" w:eastAsia="zh-CN" w:bidi="ar-SA"/>
    </w:rPr>
  </w:style>
  <w:style w:type="character" w:styleId="1619">
    <w:name w:val="正文文本缩进 2 Char"/>
    <w:next w:val="1619"/>
    <w:link w:val="1484"/>
    <w:qFormat/>
    <w:rPr>
      <w:rFonts w:ascii="宋体"/>
      <w:sz w:val="21"/>
    </w:rPr>
  </w:style>
  <w:style w:type="character" w:styleId="1620">
    <w:name w:val="fontstyle01"/>
    <w:next w:val="1620"/>
    <w:link w:val="1484"/>
    <w:rPr>
      <w:rFonts w:hint="eastAsia" w:ascii="宋体" w:hAnsi="宋体" w:eastAsia="宋体"/>
      <w:color w:val="000000"/>
      <w:sz w:val="24"/>
      <w:szCs w:val="24"/>
    </w:rPr>
  </w:style>
  <w:style w:type="character" w:styleId="1621">
    <w:name w:val="标准文本 Char"/>
    <w:next w:val="1621"/>
    <w:link w:val="1622"/>
    <w:qFormat/>
    <w:rPr>
      <w:rFonts w:ascii="宋体" w:hAnsi="宋体" w:eastAsia="宋体" w:cs="宋体"/>
      <w:sz w:val="21"/>
      <w:szCs w:val="21"/>
      <w:lang w:val="en-US" w:eastAsia="zh-CN" w:bidi="ar-SA"/>
    </w:rPr>
  </w:style>
  <w:style w:type="paragraph" w:styleId="1622">
    <w:name w:val="标准文本"/>
    <w:basedOn w:val="1484"/>
    <w:next w:val="1622"/>
    <w:link w:val="1621"/>
    <w:qFormat/>
    <w:pPr>
      <w:ind w:firstLine="420"/>
      <w:spacing w:line="300" w:lineRule="auto"/>
    </w:pPr>
    <w:rPr>
      <w:rFonts w:ascii="宋体" w:hAnsi="宋体" w:cs="宋体"/>
      <w:szCs w:val="21"/>
    </w:rPr>
  </w:style>
  <w:style w:type="character" w:styleId="1623">
    <w:name w:val="news"/>
    <w:next w:val="1623"/>
    <w:link w:val="1484"/>
    <w:qFormat/>
    <w:rPr>
      <w:rFonts w:ascii="仿宋_GB2312" w:eastAsia="仿宋_GB2312"/>
      <w:sz w:val="24"/>
      <w:szCs w:val="24"/>
      <w:lang w:val="en-US" w:eastAsia="zh-CN" w:bidi="ar-SA"/>
    </w:rPr>
  </w:style>
  <w:style w:type="character" w:styleId="1624">
    <w:name w:val="font71"/>
    <w:next w:val="1624"/>
    <w:link w:val="1484"/>
    <w:qFormat/>
    <w:rPr>
      <w:rFonts w:hint="eastAsia" w:ascii="宋体" w:hAnsi="宋体" w:eastAsia="宋体" w:cs="宋体"/>
      <w:color w:val="000000"/>
      <w:sz w:val="18"/>
      <w:szCs w:val="18"/>
      <w:u w:val="none"/>
    </w:rPr>
  </w:style>
  <w:style w:type="character" w:styleId="1625">
    <w:name w:val="标题 4 Char"/>
    <w:next w:val="1625"/>
    <w:link w:val="1484"/>
    <w:qFormat/>
    <w:rPr>
      <w:rFonts w:ascii="Cambria" w:hAnsi="Cambria" w:eastAsia="宋体" w:cs="Times New Roman"/>
      <w:b/>
      <w:bCs/>
      <w:sz w:val="28"/>
      <w:szCs w:val="28"/>
    </w:rPr>
  </w:style>
  <w:style w:type="character" w:styleId="1626">
    <w:name w:val="报告正文 Char"/>
    <w:next w:val="1626"/>
    <w:link w:val="1627"/>
    <w:qFormat/>
    <w:rPr>
      <w:rFonts w:eastAsia="仿宋_GB2312"/>
      <w:sz w:val="24"/>
      <w:szCs w:val="24"/>
    </w:rPr>
  </w:style>
  <w:style w:type="paragraph" w:styleId="1627">
    <w:name w:val="报告正文"/>
    <w:basedOn w:val="1484"/>
    <w:next w:val="1627"/>
    <w:link w:val="1626"/>
    <w:qFormat/>
    <w:pPr>
      <w:ind w:firstLine="480"/>
      <w:spacing w:line="360" w:lineRule="auto"/>
    </w:pPr>
    <w:rPr>
      <w:rFonts w:eastAsia="仿宋_GB2312"/>
      <w:sz w:val="24"/>
      <w:szCs w:val="24"/>
    </w:rPr>
  </w:style>
  <w:style w:type="character" w:styleId="1628">
    <w:name w:val="标题 1 Char"/>
    <w:next w:val="1628"/>
    <w:link w:val="1484"/>
    <w:qFormat/>
    <w:rPr>
      <w:rFonts w:ascii="宋体" w:hAnsi="Times New Roman" w:eastAsia="宋体" w:cs="Times New Roman"/>
      <w:b/>
      <w:bCs/>
      <w:sz w:val="44"/>
      <w:szCs w:val="44"/>
    </w:rPr>
  </w:style>
  <w:style w:type="character" w:styleId="1629">
    <w:name w:val="访问过的超链接1"/>
    <w:next w:val="1629"/>
    <w:link w:val="1484"/>
    <w:uiPriority w:val="99"/>
    <w:qFormat/>
    <w:rPr>
      <w:color w:val="333333"/>
      <w:u w:val="none"/>
    </w:rPr>
  </w:style>
  <w:style w:type="character" w:styleId="1630">
    <w:name w:val="标题 9 Char"/>
    <w:next w:val="1630"/>
    <w:link w:val="1484"/>
    <w:qFormat/>
    <w:rPr>
      <w:rFonts w:ascii="Arial" w:hAnsi="Arial" w:eastAsia="黑体"/>
      <w:sz w:val="21"/>
      <w:szCs w:val="21"/>
    </w:rPr>
  </w:style>
  <w:style w:type="character" w:styleId="1631">
    <w:name w:val="font241"/>
    <w:next w:val="1631"/>
    <w:link w:val="1484"/>
    <w:qFormat/>
    <w:rPr>
      <w:rFonts w:hint="eastAsia" w:ascii="宋体" w:hAnsi="宋体" w:eastAsia="宋体" w:cs="宋体"/>
      <w:color w:val="000000"/>
      <w:sz w:val="18"/>
      <w:szCs w:val="18"/>
      <w:u w:val="none"/>
    </w:rPr>
  </w:style>
  <w:style w:type="character" w:styleId="1632">
    <w:name w:val="B正文 Char"/>
    <w:next w:val="1632"/>
    <w:link w:val="1633"/>
    <w:qFormat/>
    <w:rPr>
      <w:sz w:val="28"/>
      <w:szCs w:val="24"/>
    </w:rPr>
  </w:style>
  <w:style w:type="paragraph" w:styleId="1633">
    <w:name w:val="B正文"/>
    <w:basedOn w:val="1484"/>
    <w:next w:val="1633"/>
    <w:link w:val="1632"/>
    <w:qFormat/>
    <w:pPr>
      <w:ind w:firstLine="560"/>
      <w:spacing w:line="500" w:lineRule="exact"/>
    </w:pPr>
    <w:rPr>
      <w:sz w:val="28"/>
      <w:szCs w:val="24"/>
    </w:rPr>
  </w:style>
  <w:style w:type="character" w:styleId="1634">
    <w:name w:val="font01"/>
    <w:next w:val="1634"/>
    <w:link w:val="1484"/>
    <w:qFormat/>
    <w:rPr>
      <w:rFonts w:hint="eastAsia" w:ascii="宋体" w:hAnsi="宋体" w:eastAsia="宋体" w:cs="宋体"/>
      <w:color w:val="000000"/>
      <w:sz w:val="20"/>
      <w:szCs w:val="20"/>
      <w:u w:val="none"/>
    </w:rPr>
  </w:style>
  <w:style w:type="character" w:styleId="1635">
    <w:name w:val="apple-converted-space"/>
    <w:next w:val="1635"/>
    <w:link w:val="1484"/>
    <w:qFormat/>
  </w:style>
  <w:style w:type="character" w:styleId="1636">
    <w:name w:val="标题 3 Char"/>
    <w:next w:val="1636"/>
    <w:link w:val="1484"/>
    <w:qFormat/>
    <w:rPr>
      <w:rFonts w:ascii="仿宋_GB2312" w:eastAsia="仿宋_GB2312"/>
      <w:sz w:val="32"/>
    </w:rPr>
  </w:style>
  <w:style w:type="character" w:styleId="1637">
    <w:name w:val="纯文本 Char1"/>
    <w:next w:val="1637"/>
    <w:link w:val="1484"/>
    <w:qFormat/>
    <w:rPr>
      <w:rFonts w:ascii="宋体" w:hAnsi="Courier New" w:eastAsia="宋体" w:cs="Times New Roman"/>
      <w:sz w:val="21"/>
      <w:szCs w:val="20"/>
    </w:rPr>
  </w:style>
  <w:style w:type="character" w:styleId="1638">
    <w:name w:val="正文文本 (2)"/>
    <w:next w:val="1638"/>
    <w:link w:val="1484"/>
    <w:qFormat/>
    <w:rPr>
      <w:rFonts w:ascii="宋体" w:hAnsi="宋体" w:eastAsia="宋体" w:cs="宋体"/>
      <w:b/>
      <w:color w:val="000000"/>
      <w:spacing w:val="0"/>
      <w:position w:val="0"/>
      <w:sz w:val="17"/>
      <w:szCs w:val="17"/>
      <w:u w:val="none"/>
      <w:lang w:val="zh-CN" w:eastAsia="zh-CN" w:bidi="zh-CN"/>
    </w:rPr>
  </w:style>
  <w:style w:type="character" w:styleId="1639">
    <w:name w:val="正文文本 (2) + MingLiU"/>
    <w:next w:val="1639"/>
    <w:link w:val="1484"/>
    <w:qFormat/>
    <w:rPr>
      <w:rFonts w:ascii="MingLiU" w:hAnsi="MingLiU" w:eastAsia="MingLiU" w:cs="MingLiU"/>
      <w:b/>
      <w:color w:val="000000"/>
      <w:spacing w:val="-20"/>
      <w:position w:val="0"/>
      <w:sz w:val="14"/>
      <w:szCs w:val="14"/>
      <w:u w:val="none"/>
      <w:lang w:val="zh-CN" w:eastAsia="zh-CN" w:bidi="zh-CN"/>
    </w:rPr>
  </w:style>
  <w:style w:type="character" w:styleId="1640">
    <w:name w:val="正文文本缩进 3 Char"/>
    <w:next w:val="1640"/>
    <w:link w:val="1484"/>
    <w:qFormat/>
    <w:rPr>
      <w:rFonts w:eastAsia="华文新魏"/>
      <w:b/>
      <w:bCs/>
      <w:sz w:val="84"/>
    </w:rPr>
  </w:style>
  <w:style w:type="character" w:styleId="1641">
    <w:name w:val="文档结构图 Char1"/>
    <w:next w:val="1641"/>
    <w:link w:val="1484"/>
    <w:qFormat/>
    <w:rPr>
      <w:rFonts w:ascii="宋体" w:eastAsia="仿宋_GB2312"/>
      <w:sz w:val="18"/>
      <w:szCs w:val="18"/>
    </w:rPr>
  </w:style>
  <w:style w:type="character" w:styleId="1642">
    <w:name w:val="正文文本 (2) + Gulim"/>
    <w:next w:val="1642"/>
    <w:link w:val="1484"/>
    <w:qFormat/>
    <w:rPr>
      <w:rFonts w:ascii="Gulim" w:hAnsi="Gulim" w:eastAsia="Gulim" w:cs="Gulim"/>
      <w:b/>
      <w:color w:val="000000"/>
      <w:spacing w:val="0"/>
      <w:position w:val="0"/>
      <w:sz w:val="15"/>
      <w:szCs w:val="15"/>
      <w:u w:val="none"/>
      <w:lang w:val="en-US" w:eastAsia="en-US" w:bidi="en-US"/>
    </w:rPr>
  </w:style>
  <w:style w:type="character" w:styleId="1643">
    <w:name w:val="标题 5 Char"/>
    <w:next w:val="1643"/>
    <w:link w:val="1484"/>
    <w:qFormat/>
    <w:rPr>
      <w:rFonts w:ascii="宋体"/>
      <w:b/>
      <w:bCs/>
      <w:sz w:val="28"/>
      <w:szCs w:val="28"/>
    </w:rPr>
  </w:style>
  <w:style w:type="character" w:styleId="1644">
    <w:name w:val="样式 仿宋_GB2312 小四 加粗 黑色"/>
    <w:next w:val="1644"/>
    <w:link w:val="1484"/>
    <w:qFormat/>
    <w:rPr>
      <w:rFonts w:ascii="仿宋_GB2312" w:eastAsia="仿宋_GB2312"/>
      <w:b/>
      <w:bCs/>
      <w:color w:val="000000"/>
      <w:sz w:val="24"/>
      <w:szCs w:val="24"/>
      <w:lang w:val="en-US" w:eastAsia="zh-CN" w:bidi="ar-SA"/>
    </w:rPr>
  </w:style>
  <w:style w:type="character" w:styleId="1645">
    <w:name w:val="fontstyle11"/>
    <w:next w:val="1645"/>
    <w:link w:val="1484"/>
    <w:rPr>
      <w:rFonts w:ascii="Times New Roman" w:hAnsi="Times New Roman" w:cs="Times New Roman"/>
      <w:color w:val="000000"/>
      <w:sz w:val="24"/>
      <w:szCs w:val="24"/>
    </w:rPr>
  </w:style>
  <w:style w:type="character" w:styleId="1646">
    <w:name w:val="Char Char4"/>
    <w:next w:val="1646"/>
    <w:link w:val="1484"/>
    <w:qFormat/>
    <w:rPr>
      <w:rFonts w:eastAsia="宋体"/>
      <w:sz w:val="18"/>
      <w:szCs w:val="18"/>
      <w:lang w:val="en-US" w:eastAsia="zh-CN" w:bidi="ar-SA"/>
    </w:rPr>
  </w:style>
  <w:style w:type="paragraph" w:styleId="1647">
    <w:name w:val="此正文"/>
    <w:basedOn w:val="1484"/>
    <w:next w:val="1647"/>
    <w:link w:val="1484"/>
    <w:qFormat/>
    <w:pPr>
      <w:ind w:firstLine="200"/>
      <w:spacing w:line="360" w:lineRule="auto"/>
    </w:pPr>
    <w:rPr>
      <w:sz w:val="24"/>
    </w:rPr>
  </w:style>
  <w:style w:type="paragraph" w:styleId="1648">
    <w:name w:val="flName"/>
    <w:basedOn w:val="1484"/>
    <w:next w:val="1648"/>
    <w:link w:val="1484"/>
    <w:qFormat/>
    <w:pPr>
      <w:jc w:val="center"/>
      <w:spacing w:before="320" w:after="160" w:line="360" w:lineRule="atLeast"/>
    </w:pPr>
    <w:rPr>
      <w:rFonts w:ascii="Arial" w:eastAsia="黑体"/>
      <w:sz w:val="32"/>
      <w:szCs w:val="24"/>
    </w:rPr>
  </w:style>
  <w:style w:type="paragraph" w:styleId="1649">
    <w:name w:val="xl75"/>
    <w:basedOn w:val="1484"/>
    <w:next w:val="1649"/>
    <w:link w:val="14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50">
    <w:name w:val="xl101"/>
    <w:basedOn w:val="1484"/>
    <w:next w:val="1650"/>
    <w:link w:val="148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51">
    <w:name w:val="无格式无间隔"/>
    <w:next w:val="1651"/>
    <w:link w:val="1484"/>
    <w:qFormat/>
    <w:rPr>
      <w:rFonts w:ascii="Calibri" w:hAnsi="Calibri"/>
      <w:sz w:val="21"/>
      <w:szCs w:val="21"/>
      <w:lang w:val="en-US" w:eastAsia="zh-CN" w:bidi="ar-SA"/>
    </w:rPr>
  </w:style>
  <w:style w:type="paragraph" w:styleId="1652">
    <w:name w:val="正文_1_0"/>
    <w:basedOn w:val="1653"/>
    <w:next w:val="1656"/>
    <w:link w:val="1484"/>
    <w:qFormat/>
    <w:rPr>
      <w:rFonts w:cs="Times New Roman"/>
      <w:szCs w:val="22"/>
    </w:rPr>
  </w:style>
  <w:style w:type="paragraph" w:styleId="1653">
    <w:name w:val="正文_1"/>
    <w:next w:val="1654"/>
    <w:link w:val="1484"/>
    <w:qFormat/>
    <w:pPr>
      <w:jc w:val="both"/>
      <w:widowControl w:val="off"/>
    </w:pPr>
    <w:rPr>
      <w:rFonts w:cs="Calibri"/>
      <w:sz w:val="21"/>
      <w:szCs w:val="21"/>
      <w:lang w:val="en-US" w:eastAsia="zh-CN" w:bidi="ar-SA"/>
    </w:rPr>
  </w:style>
  <w:style w:type="paragraph" w:styleId="1654">
    <w:name w:val="Plain Text1"/>
    <w:basedOn w:val="1655"/>
    <w:next w:val="1654"/>
    <w:link w:val="1484"/>
    <w:qFormat/>
    <w:rPr>
      <w:rFonts w:ascii="宋体" w:hAnsi="Courier New" w:cs="Courier New"/>
      <w:szCs w:val="21"/>
    </w:rPr>
  </w:style>
  <w:style w:type="paragraph" w:styleId="1655">
    <w:name w:val="正文_1_0_0"/>
    <w:basedOn w:val="1652"/>
    <w:next w:val="1656"/>
    <w:link w:val="1484"/>
    <w:qFormat/>
  </w:style>
  <w:style w:type="paragraph" w:styleId="1656">
    <w:name w:val="Plain Text2"/>
    <w:basedOn w:val="1655"/>
    <w:next w:val="1656"/>
    <w:link w:val="1484"/>
    <w:qFormat/>
    <w:rPr>
      <w:rFonts w:ascii="宋体" w:hAnsi="Courier New" w:cs="Courier New"/>
      <w:szCs w:val="21"/>
    </w:rPr>
  </w:style>
  <w:style w:type="paragraph" w:styleId="1657">
    <w:name w:val="修订1"/>
    <w:next w:val="1657"/>
    <w:link w:val="1484"/>
    <w:uiPriority w:val="99"/>
    <w:unhideWhenUsed/>
    <w:qFormat/>
    <w:rPr>
      <w:sz w:val="21"/>
      <w:lang w:val="en-US" w:eastAsia="zh-CN" w:bidi="ar-SA"/>
    </w:rPr>
  </w:style>
  <w:style w:type="paragraph" w:styleId="1658">
    <w:name w:val="Char"/>
    <w:basedOn w:val="1484"/>
    <w:next w:val="1658"/>
    <w:link w:val="1484"/>
    <w:qFormat/>
    <w:pPr>
      <w:tabs>
        <w:tab w:val="left" w:pos="360" w:leader="none"/>
      </w:tabs>
    </w:pPr>
    <w:rPr>
      <w:rFonts w:ascii="仿宋_GB2312" w:eastAsia="仿宋_GB2312"/>
      <w:b/>
      <w:sz w:val="24"/>
      <w:szCs w:val="24"/>
    </w:rPr>
  </w:style>
  <w:style w:type="paragraph" w:styleId="1659">
    <w:name w:val="Default"/>
    <w:basedOn w:val="1660"/>
    <w:next w:val="1659"/>
    <w:link w:val="1484"/>
    <w:qFormat/>
    <w:pPr>
      <w:widowControl w:val="off"/>
    </w:pPr>
    <w:rPr>
      <w:rFonts w:ascii="微软雅黑" w:eastAsia="微软雅黑" w:cs="微软雅黑"/>
      <w:color w:val="000000"/>
      <w:sz w:val="24"/>
      <w:szCs w:val="24"/>
      <w:lang w:val="en-US" w:eastAsia="zh-CN" w:bidi="ar-SA"/>
    </w:rPr>
  </w:style>
  <w:style w:type="paragraph" w:styleId="1660">
    <w:name w:val="正文_2"/>
    <w:next w:val="1656"/>
    <w:link w:val="1484"/>
    <w:qFormat/>
    <w:pPr>
      <w:jc w:val="both"/>
      <w:widowControl w:val="off"/>
    </w:pPr>
    <w:rPr>
      <w:sz w:val="21"/>
      <w:szCs w:val="22"/>
      <w:lang w:val="en-US" w:eastAsia="zh-CN" w:bidi="ar-SA"/>
    </w:rPr>
  </w:style>
  <w:style w:type="paragraph" w:styleId="1661">
    <w:name w:val="列出段落11"/>
    <w:basedOn w:val="1484"/>
    <w:next w:val="1661"/>
    <w:link w:val="1484"/>
    <w:uiPriority w:val="34"/>
    <w:qFormat/>
    <w:pPr>
      <w:ind w:firstLine="420"/>
    </w:pPr>
    <w:rPr>
      <w:rFonts w:ascii="Calibri" w:hAnsi="Calibri"/>
      <w:szCs w:val="22"/>
    </w:rPr>
  </w:style>
  <w:style w:type="paragraph" w:styleId="1662">
    <w:name w:val="xl72"/>
    <w:basedOn w:val="1484"/>
    <w:next w:val="1662"/>
    <w:link w:val="14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63">
    <w:name w:val="标题5"/>
    <w:basedOn w:val="1489"/>
    <w:next w:val="1663"/>
    <w:link w:val="1484"/>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64">
    <w:name w:val="Char Char"/>
    <w:basedOn w:val="1484"/>
    <w:next w:val="1664"/>
    <w:link w:val="1484"/>
    <w:qFormat/>
    <w:pPr>
      <w:tabs>
        <w:tab w:val="left" w:pos="360" w:leader="none"/>
      </w:tabs>
    </w:pPr>
    <w:rPr>
      <w:sz w:val="24"/>
      <w:szCs w:val="24"/>
    </w:rPr>
  </w:style>
  <w:style w:type="paragraph" w:styleId="1665">
    <w:name w:val="默认段落字体 Para Char Char Char Char"/>
    <w:basedOn w:val="1484"/>
    <w:next w:val="1665"/>
    <w:link w:val="1484"/>
    <w:qFormat/>
  </w:style>
  <w:style w:type="paragraph" w:styleId="1666">
    <w:name w:val="p0"/>
    <w:basedOn w:val="1484"/>
    <w:next w:val="1666"/>
    <w:link w:val="1484"/>
    <w:qFormat/>
    <w:pPr>
      <w:jc w:val="left"/>
      <w:spacing w:before="100" w:beforeAutospacing="1" w:after="100" w:afterAutospacing="1"/>
      <w:widowControl/>
    </w:pPr>
    <w:rPr>
      <w:rFonts w:ascii="宋体" w:hAnsi="宋体" w:cs="宋体"/>
      <w:sz w:val="24"/>
      <w:szCs w:val="24"/>
    </w:rPr>
  </w:style>
  <w:style w:type="paragraph" w:styleId="1667">
    <w:name w:val="xl79"/>
    <w:basedOn w:val="1484"/>
    <w:next w:val="1667"/>
    <w:link w:val="1484"/>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68">
    <w:name w:val="font10"/>
    <w:basedOn w:val="1484"/>
    <w:next w:val="1668"/>
    <w:link w:val="1484"/>
    <w:qFormat/>
    <w:pPr>
      <w:jc w:val="left"/>
      <w:spacing w:before="100" w:beforeAutospacing="1" w:after="100" w:afterAutospacing="1"/>
      <w:widowControl/>
    </w:pPr>
    <w:rPr>
      <w:rFonts w:ascii="宋体" w:hAnsi="宋体" w:cs="宋体"/>
      <w:color w:val="000000"/>
      <w:sz w:val="22"/>
      <w:szCs w:val="22"/>
    </w:rPr>
  </w:style>
  <w:style w:type="paragraph" w:styleId="1669">
    <w:name w:val="Char Char Char"/>
    <w:basedOn w:val="1484"/>
    <w:next w:val="1669"/>
    <w:link w:val="1484"/>
    <w:qFormat/>
    <w:pPr>
      <w:jc w:val="center"/>
      <w:spacing w:line="400" w:lineRule="exact"/>
      <w:widowControl/>
    </w:pPr>
    <w:rPr>
      <w:szCs w:val="24"/>
    </w:rPr>
  </w:style>
  <w:style w:type="paragraph" w:styleId="1670">
    <w:name w:val="_Style 2"/>
    <w:basedOn w:val="1484"/>
    <w:next w:val="1670"/>
    <w:link w:val="1484"/>
    <w:uiPriority w:val="34"/>
    <w:qFormat/>
    <w:pPr>
      <w:ind w:firstLine="420"/>
    </w:pPr>
    <w:rPr>
      <w:szCs w:val="24"/>
    </w:rPr>
  </w:style>
  <w:style w:type="paragraph" w:styleId="1671">
    <w:name w:val="xl100"/>
    <w:basedOn w:val="1484"/>
    <w:next w:val="1671"/>
    <w:link w:val="148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72">
    <w:name w:val="标题3"/>
    <w:basedOn w:val="1487"/>
    <w:next w:val="1672"/>
    <w:link w:val="1484"/>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73">
    <w:name w:val="Char Char Char Char"/>
    <w:basedOn w:val="1511"/>
    <w:next w:val="1673"/>
    <w:link w:val="1484"/>
    <w:qFormat/>
    <w:pPr>
      <w:jc w:val="both"/>
      <w:spacing w:line="360" w:lineRule="auto"/>
      <w:shd w:val="clear" w:color="auto" w:fill="000080"/>
    </w:pPr>
    <w:rPr>
      <w:rFonts w:ascii="Tahoma" w:hAnsi="Tahoma"/>
      <w:sz w:val="24"/>
      <w:szCs w:val="24"/>
    </w:rPr>
  </w:style>
  <w:style w:type="paragraph" w:styleId="1674">
    <w:name w:val="样式 首行缩进:  2 字符"/>
    <w:basedOn w:val="1484"/>
    <w:next w:val="1674"/>
    <w:link w:val="1484"/>
    <w:qFormat/>
    <w:pPr>
      <w:ind w:firstLine="200"/>
      <w:spacing w:line="400" w:lineRule="exact"/>
    </w:pPr>
    <w:rPr>
      <w:rFonts w:cs="宋体"/>
      <w:sz w:val="24"/>
      <w:szCs w:val="24"/>
    </w:rPr>
  </w:style>
  <w:style w:type="paragraph" w:styleId="1675">
    <w:name w:val="xl66"/>
    <w:basedOn w:val="1484"/>
    <w:next w:val="1675"/>
    <w:link w:val="14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76">
    <w:name w:val="样式 样式 标题1 + 行距: 单倍行距 + 段前: 7.8 磅 段后: 7.8 磅"/>
    <w:basedOn w:val="1484"/>
    <w:next w:val="1676"/>
    <w:link w:val="1484"/>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77">
    <w:name w:val="列出段落3"/>
    <w:basedOn w:val="1484"/>
    <w:next w:val="1677"/>
    <w:link w:val="1484"/>
    <w:qFormat/>
    <w:pPr>
      <w:ind w:firstLine="420"/>
    </w:pPr>
    <w:rPr>
      <w:rFonts w:ascii="Calibri" w:hAnsi="Calibri"/>
      <w:szCs w:val="22"/>
    </w:rPr>
  </w:style>
  <w:style w:type="paragraph" w:styleId="1678">
    <w:name w:val="xl69"/>
    <w:basedOn w:val="1484"/>
    <w:next w:val="1678"/>
    <w:link w:val="14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79">
    <w:name w:val="font6"/>
    <w:basedOn w:val="1484"/>
    <w:next w:val="1679"/>
    <w:link w:val="1484"/>
    <w:qFormat/>
    <w:pPr>
      <w:jc w:val="left"/>
      <w:spacing w:before="100" w:beforeAutospacing="1" w:after="100" w:afterAutospacing="1"/>
      <w:widowControl/>
    </w:pPr>
    <w:rPr>
      <w:color w:val="000000"/>
      <w:szCs w:val="21"/>
    </w:rPr>
  </w:style>
  <w:style w:type="paragraph" w:styleId="1680">
    <w:name w:val="列出段落2"/>
    <w:basedOn w:val="1484"/>
    <w:next w:val="1680"/>
    <w:link w:val="1484"/>
    <w:uiPriority w:val="34"/>
    <w:qFormat/>
    <w:pPr>
      <w:ind w:firstLine="420"/>
    </w:pPr>
    <w:rPr>
      <w:rFonts w:ascii="Calibri" w:hAnsi="Calibri"/>
      <w:szCs w:val="21"/>
    </w:rPr>
  </w:style>
  <w:style w:type="paragraph" w:styleId="1681">
    <w:name w:val="格式1"/>
    <w:basedOn w:val="1484"/>
    <w:next w:val="1681"/>
    <w:link w:val="1484"/>
    <w:qFormat/>
    <w:pPr>
      <w:jc w:val="center"/>
    </w:pPr>
    <w:rPr>
      <w:rFonts w:ascii="黑体" w:hAnsi="宋体" w:eastAsia="黑体"/>
      <w:b/>
      <w:bCs/>
      <w:color w:val="000000"/>
      <w:sz w:val="32"/>
    </w:rPr>
  </w:style>
  <w:style w:type="paragraph" w:styleId="1682">
    <w:name w:val="修订"/>
    <w:next w:val="1682"/>
    <w:link w:val="1484"/>
    <w:uiPriority w:val="99"/>
    <w:unhideWhenUsed/>
    <w:rPr>
      <w:sz w:val="21"/>
      <w:lang w:val="en-US" w:eastAsia="zh-CN" w:bidi="ar-SA"/>
    </w:rPr>
  </w:style>
  <w:style w:type="paragraph" w:styleId="1683">
    <w:name w:val="正文宋体4"/>
    <w:basedOn w:val="1484"/>
    <w:next w:val="1683"/>
    <w:link w:val="1484"/>
    <w:qFormat/>
    <w:pPr>
      <w:ind w:firstLine="359"/>
      <w:tabs>
        <w:tab w:val="left" w:pos="0" w:leader="none"/>
      </w:tabs>
    </w:pPr>
    <w:rPr>
      <w:rFonts w:ascii="仿宋_GB2312" w:eastAsia="仿宋_GB2312"/>
      <w:b/>
      <w:color w:val="000000"/>
      <w:sz w:val="24"/>
      <w:szCs w:val="24"/>
    </w:rPr>
  </w:style>
  <w:style w:type="paragraph" w:styleId="1684">
    <w:name w:val="正文1"/>
    <w:next w:val="1684"/>
    <w:link w:val="1484"/>
    <w:qFormat/>
    <w:pPr>
      <w:jc w:val="both"/>
    </w:pPr>
    <w:rPr>
      <w:rFonts w:cs="宋体"/>
      <w:sz w:val="21"/>
      <w:szCs w:val="21"/>
      <w:lang w:val="en-US" w:eastAsia="zh-CN" w:bidi="ar-SA"/>
    </w:rPr>
  </w:style>
  <w:style w:type="paragraph" w:styleId="1685">
    <w:name w:val="简单回函地址"/>
    <w:basedOn w:val="1484"/>
    <w:next w:val="1685"/>
    <w:link w:val="1484"/>
    <w:qFormat/>
    <w:rPr>
      <w:szCs w:val="24"/>
    </w:rPr>
  </w:style>
  <w:style w:type="paragraph" w:styleId="1686">
    <w:name w:val="font11"/>
    <w:basedOn w:val="1484"/>
    <w:next w:val="1686"/>
    <w:link w:val="1484"/>
    <w:qFormat/>
    <w:pPr>
      <w:jc w:val="left"/>
      <w:spacing w:before="100" w:beforeAutospacing="1" w:after="100" w:afterAutospacing="1"/>
      <w:widowControl/>
    </w:pPr>
    <w:rPr>
      <w:rFonts w:ascii="宋体" w:hAnsi="宋体" w:cs="宋体"/>
      <w:color w:val="000000"/>
      <w:sz w:val="18"/>
      <w:szCs w:val="18"/>
    </w:rPr>
  </w:style>
  <w:style w:type="paragraph" w:styleId="1687">
    <w:name w:val="xl105"/>
    <w:basedOn w:val="1484"/>
    <w:next w:val="1687"/>
    <w:link w:val="1484"/>
    <w:qFormat/>
    <w:pPr>
      <w:jc w:val="left"/>
      <w:spacing w:before="100" w:beforeAutospacing="1" w:after="100" w:afterAutospacing="1"/>
      <w:widowControl/>
    </w:pPr>
    <w:rPr>
      <w:rFonts w:ascii="宋体" w:hAnsi="宋体" w:cs="宋体"/>
      <w:sz w:val="20"/>
    </w:rPr>
  </w:style>
  <w:style w:type="paragraph" w:styleId="1688">
    <w:name w:val="xl86"/>
    <w:basedOn w:val="1484"/>
    <w:next w:val="1688"/>
    <w:link w:val="14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89">
    <w:name w:val="xl109"/>
    <w:basedOn w:val="1484"/>
    <w:next w:val="1689"/>
    <w:link w:val="1484"/>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90">
    <w:name w:val="节标题"/>
    <w:basedOn w:val="1484"/>
    <w:next w:val="1484"/>
    <w:link w:val="1484"/>
    <w:qFormat/>
    <w:pPr>
      <w:jc w:val="center"/>
      <w:spacing w:line="289" w:lineRule="atLeast"/>
    </w:pPr>
    <w:rPr>
      <w:sz w:val="28"/>
      <w:szCs w:val="24"/>
    </w:rPr>
  </w:style>
  <w:style w:type="paragraph" w:styleId="1691">
    <w:name w:val="xl103"/>
    <w:basedOn w:val="1484"/>
    <w:next w:val="1691"/>
    <w:link w:val="148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692">
    <w:name w:val="xl112"/>
    <w:basedOn w:val="1484"/>
    <w:next w:val="1692"/>
    <w:link w:val="1484"/>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93">
    <w:name w:val="2"/>
    <w:basedOn w:val="1484"/>
    <w:next w:val="1693"/>
    <w:link w:val="1484"/>
    <w:qFormat/>
    <w:pPr>
      <w:spacing w:line="360" w:lineRule="auto"/>
    </w:pPr>
    <w:rPr>
      <w:rFonts w:ascii="宋体" w:hAnsi="宋体"/>
      <w:b/>
      <w:sz w:val="24"/>
    </w:rPr>
  </w:style>
  <w:style w:type="paragraph" w:styleId="1694">
    <w:name w:val="BodyText1I1"/>
    <w:basedOn w:val="1695"/>
    <w:next w:val="1694"/>
    <w:link w:val="1484"/>
    <w:qFormat/>
    <w:pPr>
      <w:ind w:left="120" w:firstLine="420"/>
      <w:jc w:val="both"/>
      <w:spacing w:before="36"/>
    </w:pPr>
  </w:style>
  <w:style w:type="paragraph" w:styleId="1695">
    <w:name w:val="BodyText1"/>
    <w:basedOn w:val="1484"/>
    <w:next w:val="1484"/>
    <w:link w:val="1484"/>
    <w:qFormat/>
    <w:pPr>
      <w:ind w:left="120"/>
      <w:jc w:val="both"/>
      <w:spacing w:before="36"/>
    </w:pPr>
    <w:rPr>
      <w:rFonts w:ascii="宋体" w:hAnsi="宋体" w:eastAsia="宋体"/>
      <w:sz w:val="24"/>
      <w:szCs w:val="24"/>
      <w:lang w:val="en-US" w:eastAsia="zh-CN" w:bidi="ar-SA"/>
    </w:rPr>
  </w:style>
  <w:style w:type="paragraph" w:styleId="1696">
    <w:name w:val="font14"/>
    <w:basedOn w:val="1484"/>
    <w:next w:val="1696"/>
    <w:link w:val="1484"/>
    <w:qFormat/>
    <w:pPr>
      <w:jc w:val="left"/>
      <w:spacing w:before="100" w:beforeAutospacing="1" w:after="100" w:afterAutospacing="1"/>
      <w:widowControl/>
    </w:pPr>
    <w:rPr>
      <w:rFonts w:ascii="宋体" w:hAnsi="宋体" w:cs="宋体"/>
      <w:color w:val="000000"/>
      <w:szCs w:val="21"/>
    </w:rPr>
  </w:style>
  <w:style w:type="paragraph" w:styleId="1697">
    <w:name w:val="xl65"/>
    <w:basedOn w:val="1484"/>
    <w:next w:val="1697"/>
    <w:link w:val="14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98">
    <w:name w:val="Char Char Char Char Char Char Char1"/>
    <w:basedOn w:val="1484"/>
    <w:next w:val="1698"/>
    <w:link w:val="1484"/>
    <w:qFormat/>
    <w:pPr>
      <w:ind w:left="432" w:hanging="432"/>
      <w:jc w:val="center"/>
      <w:tabs>
        <w:tab w:val="left" w:pos="432" w:leader="none"/>
      </w:tabs>
    </w:pPr>
    <w:rPr>
      <w:rFonts w:ascii="仿宋_GB2312" w:hAnsi="Tahoma" w:eastAsia="仿宋_GB2312"/>
      <w:sz w:val="24"/>
      <w:szCs w:val="24"/>
    </w:rPr>
  </w:style>
  <w:style w:type="paragraph" w:styleId="1699">
    <w:name w:val="xl99"/>
    <w:basedOn w:val="1484"/>
    <w:next w:val="1699"/>
    <w:link w:val="148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00">
    <w:name w:val="xl80"/>
    <w:basedOn w:val="1484"/>
    <w:next w:val="1700"/>
    <w:link w:val="1484"/>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01">
    <w:name w:val="xl94"/>
    <w:basedOn w:val="1484"/>
    <w:next w:val="1701"/>
    <w:link w:val="1484"/>
    <w:qFormat/>
    <w:pPr>
      <w:jc w:val="center"/>
      <w:spacing w:before="100" w:beforeAutospacing="1" w:after="100" w:afterAutospacing="1"/>
      <w:widowControl/>
      <w:pBdr>
        <w:left w:val="single" w:color="000000" w:sz="4" w:space="0"/>
        <w:right w:val="single" w:color="000000" w:sz="4" w:space="0"/>
      </w:pBdr>
    </w:pPr>
    <w:rPr>
      <w:szCs w:val="21"/>
    </w:rPr>
  </w:style>
  <w:style w:type="paragraph" w:styleId="1702">
    <w:name w:val="标题9"/>
    <w:basedOn w:val="1492"/>
    <w:next w:val="1702"/>
    <w:link w:val="1484"/>
    <w:qFormat/>
    <w:pPr>
      <w:jc w:val="both"/>
      <w:keepLines w:val="0"/>
      <w:keepNext w:val="0"/>
      <w:spacing w:before="0" w:after="0" w:line="360" w:lineRule="auto"/>
      <w:tabs>
        <w:tab w:val="left" w:pos="0" w:leader="none"/>
      </w:tabs>
    </w:pPr>
    <w:rPr>
      <w:rFonts w:eastAsia="仿宋_GB2312"/>
      <w:sz w:val="30"/>
    </w:rPr>
  </w:style>
  <w:style w:type="paragraph" w:styleId="1703">
    <w:name w:val="正文缩进1"/>
    <w:basedOn w:val="1484"/>
    <w:next w:val="1703"/>
    <w:link w:val="1484"/>
    <w:qFormat/>
    <w:pPr>
      <w:ind w:firstLine="482"/>
      <w:spacing w:line="360" w:lineRule="atLeast"/>
    </w:pPr>
    <w:rPr>
      <w:sz w:val="24"/>
      <w:szCs w:val="24"/>
    </w:rPr>
  </w:style>
  <w:style w:type="paragraph" w:styleId="1704">
    <w:name w:val="_Style 53"/>
    <w:next w:val="1484"/>
    <w:link w:val="1484"/>
    <w:uiPriority w:val="99"/>
    <w:unhideWhenUsed/>
    <w:qFormat/>
    <w:pPr>
      <w:widowControl w:val="off"/>
    </w:pPr>
    <w:rPr>
      <w:rFonts w:ascii="宋体"/>
      <w:lang w:val="en-US" w:eastAsia="zh-CN" w:bidi="ar-SA"/>
    </w:rPr>
  </w:style>
  <w:style w:type="paragraph" w:styleId="1705">
    <w:name w:val="Char Char Char1"/>
    <w:basedOn w:val="1484"/>
    <w:next w:val="1705"/>
    <w:link w:val="1484"/>
    <w:qFormat/>
    <w:rPr>
      <w:szCs w:val="24"/>
    </w:rPr>
  </w:style>
  <w:style w:type="paragraph" w:styleId="1706">
    <w:name w:val="三级条我的分类标题"/>
    <w:basedOn w:val="1484"/>
    <w:next w:val="1706"/>
    <w:link w:val="1484"/>
    <w:uiPriority w:val="99"/>
    <w:qFormat/>
    <w:pPr>
      <w:ind w:left="992" w:hanging="567"/>
    </w:pPr>
    <w:rPr>
      <w:rFonts w:ascii="黑体" w:hAnsi="黑体" w:eastAsia="黑体"/>
      <w:b/>
      <w:sz w:val="28"/>
      <w:szCs w:val="28"/>
    </w:rPr>
  </w:style>
  <w:style w:type="paragraph" w:styleId="1707">
    <w:name w:val="yy一级标题"/>
    <w:basedOn w:val="1484"/>
    <w:next w:val="1707"/>
    <w:link w:val="1484"/>
    <w:qFormat/>
    <w:rPr>
      <w:rFonts w:ascii="宋体" w:hAnsi="宋体"/>
      <w:sz w:val="24"/>
      <w:szCs w:val="24"/>
    </w:rPr>
  </w:style>
  <w:style w:type="paragraph" w:styleId="1708">
    <w:name w:val="_Style 20"/>
    <w:basedOn w:val="1484"/>
    <w:next w:val="1709"/>
    <w:link w:val="1484"/>
    <w:uiPriority w:val="34"/>
    <w:qFormat/>
    <w:pPr>
      <w:ind w:firstLine="420"/>
    </w:pPr>
    <w:rPr>
      <w:szCs w:val="24"/>
    </w:rPr>
  </w:style>
  <w:style w:type="paragraph" w:styleId="1709">
    <w:name w:val="列表段落"/>
    <w:basedOn w:val="1484"/>
    <w:next w:val="1709"/>
    <w:link w:val="1484"/>
    <w:uiPriority w:val="34"/>
    <w:qFormat/>
    <w:pPr>
      <w:ind w:firstLine="420"/>
    </w:pPr>
  </w:style>
  <w:style w:type="paragraph" w:styleId="1710">
    <w:name w:val="标题8"/>
    <w:basedOn w:val="1491"/>
    <w:next w:val="1710"/>
    <w:link w:val="1484"/>
    <w:qFormat/>
    <w:pPr>
      <w:jc w:val="both"/>
      <w:keepLines w:val="0"/>
      <w:keepNext w:val="0"/>
      <w:spacing w:before="0" w:after="0" w:line="360" w:lineRule="auto"/>
      <w:tabs>
        <w:tab w:val="left" w:pos="0" w:leader="none"/>
      </w:tabs>
    </w:pPr>
    <w:rPr>
      <w:rFonts w:eastAsia="仿宋_GB2312"/>
      <w:sz w:val="30"/>
    </w:rPr>
  </w:style>
  <w:style w:type="paragraph" w:styleId="1711">
    <w:name w:val="xl93"/>
    <w:basedOn w:val="1484"/>
    <w:next w:val="1711"/>
    <w:link w:val="1484"/>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712">
    <w:name w:val="标题4"/>
    <w:basedOn w:val="1488"/>
    <w:next w:val="1712"/>
    <w:link w:val="1484"/>
    <w:qFormat/>
    <w:pPr>
      <w:keepLines w:val="0"/>
      <w:keepNext w:val="0"/>
      <w:spacing w:before="0" w:after="0" w:line="360" w:lineRule="auto"/>
      <w:tabs>
        <w:tab w:val="left" w:pos="0" w:leader="none"/>
      </w:tabs>
    </w:pPr>
    <w:rPr>
      <w:rFonts w:eastAsia="仿宋_GB2312"/>
      <w:b w:val="0"/>
      <w:sz w:val="30"/>
      <w:szCs w:val="30"/>
    </w:rPr>
  </w:style>
  <w:style w:type="paragraph" w:styleId="1713">
    <w:name w:val="标题6"/>
    <w:basedOn w:val="1490"/>
    <w:next w:val="1713"/>
    <w:link w:val="1484"/>
    <w:qFormat/>
    <w:pPr>
      <w:jc w:val="both"/>
      <w:keepLines w:val="0"/>
      <w:keepNext w:val="0"/>
      <w:spacing w:before="0" w:after="0" w:line="360" w:lineRule="auto"/>
      <w:tabs>
        <w:tab w:val="left" w:pos="0" w:leader="none"/>
      </w:tabs>
    </w:pPr>
    <w:rPr>
      <w:rFonts w:eastAsia="仿宋_GB2312"/>
      <w:b w:val="0"/>
      <w:sz w:val="30"/>
    </w:rPr>
  </w:style>
  <w:style w:type="paragraph" w:styleId="1714">
    <w:name w:val="xl97"/>
    <w:basedOn w:val="1484"/>
    <w:next w:val="1714"/>
    <w:link w:val="1484"/>
    <w:qFormat/>
    <w:pPr>
      <w:jc w:val="left"/>
      <w:spacing w:before="100" w:beforeAutospacing="1" w:after="100" w:afterAutospacing="1"/>
      <w:widowControl/>
    </w:pPr>
    <w:rPr>
      <w:rFonts w:ascii="宋体" w:hAnsi="宋体" w:cs="宋体"/>
      <w:szCs w:val="21"/>
    </w:rPr>
  </w:style>
  <w:style w:type="paragraph" w:styleId="1715">
    <w:name w:val="xl76"/>
    <w:basedOn w:val="1484"/>
    <w:next w:val="1715"/>
    <w:link w:val="14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16">
    <w:name w:val="yy标题"/>
    <w:basedOn w:val="1717"/>
    <w:next w:val="1716"/>
    <w:link w:val="1484"/>
    <w:qFormat/>
    <w:rPr>
      <w:sz w:val="24"/>
    </w:rPr>
  </w:style>
  <w:style w:type="paragraph" w:styleId="1717">
    <w:name w:val="yy目录"/>
    <w:basedOn w:val="1484"/>
    <w:next w:val="1717"/>
    <w:link w:val="1484"/>
    <w:qFormat/>
    <w:pPr>
      <w:spacing w:line="360" w:lineRule="auto"/>
    </w:pPr>
    <w:rPr>
      <w:rFonts w:ascii="楷体_GB2312"/>
      <w:bCs/>
      <w:sz w:val="28"/>
      <w:szCs w:val="72"/>
    </w:rPr>
  </w:style>
  <w:style w:type="paragraph" w:styleId="1718">
    <w:name w:val="xl70"/>
    <w:basedOn w:val="1484"/>
    <w:next w:val="1718"/>
    <w:link w:val="14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19">
    <w:name w:val="_Style 4"/>
    <w:basedOn w:val="1484"/>
    <w:next w:val="1719"/>
    <w:link w:val="1484"/>
    <w:uiPriority w:val="99"/>
    <w:qFormat/>
    <w:pPr>
      <w:ind w:firstLine="420"/>
    </w:pPr>
  </w:style>
  <w:style w:type="paragraph" w:styleId="1720">
    <w:name w:val="Char1"/>
    <w:basedOn w:val="1484"/>
    <w:next w:val="1720"/>
    <w:link w:val="1484"/>
    <w:qFormat/>
    <w:pPr>
      <w:ind w:left="840" w:hanging="420"/>
      <w:tabs>
        <w:tab w:val="left" w:pos="840" w:leader="none"/>
      </w:tabs>
    </w:pPr>
    <w:rPr>
      <w:sz w:val="24"/>
      <w:szCs w:val="24"/>
    </w:rPr>
  </w:style>
  <w:style w:type="paragraph" w:styleId="1721">
    <w:name w:val="xl71"/>
    <w:basedOn w:val="1484"/>
    <w:next w:val="1721"/>
    <w:link w:val="14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22">
    <w:name w:val="三级条带序号我的标题"/>
    <w:basedOn w:val="1484"/>
    <w:next w:val="1722"/>
    <w:link w:val="1484"/>
    <w:uiPriority w:val="99"/>
    <w:qFormat/>
    <w:pPr>
      <w:ind w:left="420" w:hanging="420"/>
      <w:outlineLvl w:val="2"/>
    </w:pPr>
    <w:rPr>
      <w:rFonts w:ascii="黑体" w:hAnsi="黑体" w:eastAsia="黑体"/>
      <w:b/>
      <w:sz w:val="28"/>
      <w:szCs w:val="28"/>
    </w:rPr>
  </w:style>
  <w:style w:type="paragraph" w:styleId="1723">
    <w:name w:val="TOC 标题1"/>
    <w:basedOn w:val="1485"/>
    <w:next w:val="1484"/>
    <w:link w:val="1484"/>
    <w:uiPriority w:val="39"/>
    <w:qFormat/>
    <w:pPr>
      <w:jc w:val="left"/>
      <w:keepLines/>
      <w:spacing w:before="480" w:line="276" w:lineRule="auto"/>
      <w:widowControl/>
      <w:outlineLvl w:val="9"/>
    </w:pPr>
    <w:rPr>
      <w:rFonts w:ascii="Cambria" w:hAnsi="Cambria"/>
      <w:b/>
      <w:bCs/>
      <w:color w:val="365f91"/>
      <w:szCs w:val="28"/>
    </w:rPr>
  </w:style>
  <w:style w:type="paragraph" w:styleId="1724">
    <w:name w:val="xl96"/>
    <w:basedOn w:val="1484"/>
    <w:next w:val="1724"/>
    <w:link w:val="14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25">
    <w:name w:val="xl102"/>
    <w:basedOn w:val="1484"/>
    <w:next w:val="1725"/>
    <w:link w:val="148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26">
    <w:name w:val="xl91"/>
    <w:basedOn w:val="1484"/>
    <w:next w:val="1726"/>
    <w:link w:val="1484"/>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27">
    <w:name w:val="xl67"/>
    <w:basedOn w:val="1484"/>
    <w:next w:val="1727"/>
    <w:link w:val="14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28">
    <w:name w:val="默认段落字体 Para Char Char Char Char Char Char Char"/>
    <w:basedOn w:val="1484"/>
    <w:next w:val="1728"/>
    <w:link w:val="1484"/>
    <w:qFormat/>
    <w:pPr>
      <w:spacing w:line="360" w:lineRule="auto"/>
    </w:pPr>
    <w:rPr>
      <w:rFonts w:ascii="Arial" w:hAnsi="Arial" w:eastAsia="黑体" w:cs="Verdana"/>
      <w:b/>
      <w:sz w:val="30"/>
      <w:szCs w:val="24"/>
      <w:lang w:eastAsia="en-US"/>
    </w:rPr>
  </w:style>
  <w:style w:type="paragraph" w:styleId="1729">
    <w:name w:val="列出段落5"/>
    <w:basedOn w:val="1484"/>
    <w:next w:val="1729"/>
    <w:link w:val="1484"/>
    <w:uiPriority w:val="99"/>
    <w:unhideWhenUsed/>
    <w:qFormat/>
    <w:pPr>
      <w:ind w:firstLine="420"/>
    </w:pPr>
  </w:style>
  <w:style w:type="paragraph" w:styleId="1730">
    <w:name w:val="列出段落4"/>
    <w:basedOn w:val="1484"/>
    <w:next w:val="1730"/>
    <w:link w:val="1484"/>
    <w:uiPriority w:val="34"/>
    <w:qFormat/>
    <w:pPr>
      <w:ind w:firstLine="420"/>
    </w:pPr>
  </w:style>
  <w:style w:type="paragraph" w:styleId="1731">
    <w:name w:val="xl81"/>
    <w:basedOn w:val="1484"/>
    <w:next w:val="1731"/>
    <w:link w:val="1484"/>
    <w:qFormat/>
    <w:pPr>
      <w:jc w:val="left"/>
      <w:spacing w:before="100" w:beforeAutospacing="1" w:after="100" w:afterAutospacing="1"/>
      <w:widowControl/>
      <w:pBdr>
        <w:left w:val="single" w:color="000000" w:sz="4" w:space="0"/>
        <w:right w:val="single" w:color="000000" w:sz="4" w:space="0"/>
      </w:pBdr>
    </w:pPr>
    <w:rPr>
      <w:sz w:val="20"/>
    </w:rPr>
  </w:style>
  <w:style w:type="paragraph" w:styleId="1732">
    <w:name w:val="_Style 231"/>
    <w:next w:val="1732"/>
    <w:link w:val="1484"/>
    <w:uiPriority w:val="99"/>
    <w:qFormat/>
    <w:pPr>
      <w:jc w:val="both"/>
      <w:widowControl w:val="off"/>
    </w:pPr>
    <w:rPr>
      <w:sz w:val="21"/>
      <w:lang w:val="en-US" w:eastAsia="zh-CN" w:bidi="ar-SA"/>
    </w:rPr>
  </w:style>
  <w:style w:type="paragraph" w:styleId="1733">
    <w:name w:val="Table Paragraph"/>
    <w:basedOn w:val="1484"/>
    <w:next w:val="1733"/>
    <w:link w:val="1484"/>
    <w:uiPriority w:val="1"/>
    <w:qFormat/>
    <w:pPr>
      <w:spacing w:before="2"/>
    </w:pPr>
    <w:rPr>
      <w:rFonts w:ascii="宋体" w:hAnsi="宋体" w:eastAsia="宋体" w:cs="宋体"/>
      <w:lang w:val="zh-CN" w:eastAsia="zh-CN" w:bidi="zh-CN"/>
    </w:rPr>
  </w:style>
  <w:style w:type="paragraph" w:styleId="1734">
    <w:name w:val="xl68"/>
    <w:basedOn w:val="1484"/>
    <w:next w:val="1734"/>
    <w:link w:val="148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35">
    <w:name w:val="Body Text First Indent1"/>
    <w:basedOn w:val="1516"/>
    <w:next w:val="1735"/>
    <w:link w:val="1484"/>
    <w:qFormat/>
    <w:pPr>
      <w:ind w:firstLine="420"/>
    </w:pPr>
  </w:style>
  <w:style w:type="paragraph" w:styleId="1736">
    <w:name w:val="yy标题2"/>
    <w:basedOn w:val="1717"/>
    <w:next w:val="1736"/>
    <w:link w:val="1484"/>
    <w:qFormat/>
    <w:rPr>
      <w:bCs w:val="0"/>
      <w:color w:val="000000"/>
      <w:sz w:val="24"/>
    </w:rPr>
  </w:style>
  <w:style w:type="paragraph" w:styleId="1737">
    <w:name w:val="xl90"/>
    <w:basedOn w:val="1484"/>
    <w:next w:val="1737"/>
    <w:link w:val="148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38">
    <w:name w:val="xl108"/>
    <w:basedOn w:val="1484"/>
    <w:next w:val="1738"/>
    <w:link w:val="148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39">
    <w:name w:val="xl74"/>
    <w:basedOn w:val="1484"/>
    <w:next w:val="1739"/>
    <w:link w:val="14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40">
    <w:name w:val="xl83"/>
    <w:basedOn w:val="1484"/>
    <w:next w:val="1740"/>
    <w:link w:val="1484"/>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741">
    <w:name w:val="彩色列表 - 强调文字颜色 11"/>
    <w:basedOn w:val="1484"/>
    <w:next w:val="1741"/>
    <w:link w:val="1484"/>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42">
    <w:name w:val="xl111"/>
    <w:basedOn w:val="1484"/>
    <w:next w:val="1742"/>
    <w:link w:val="1484"/>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43">
    <w:name w:val="xl77"/>
    <w:basedOn w:val="1484"/>
    <w:next w:val="1743"/>
    <w:link w:val="14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44">
    <w:name w:val="标题2"/>
    <w:basedOn w:val="1486"/>
    <w:next w:val="1744"/>
    <w:link w:val="1484"/>
    <w:qFormat/>
    <w:pPr>
      <w:keepLines w:val="0"/>
      <w:keepNext w:val="0"/>
      <w:spacing w:before="0" w:after="0" w:line="360" w:lineRule="auto"/>
      <w:tabs>
        <w:tab w:val="left" w:pos="0" w:leader="none"/>
      </w:tabs>
    </w:pPr>
    <w:rPr>
      <w:rFonts w:eastAsia="仿宋_GB2312"/>
      <w:b w:val="0"/>
      <w:sz w:val="30"/>
    </w:rPr>
  </w:style>
  <w:style w:type="paragraph" w:styleId="1745">
    <w:name w:val="正文2"/>
    <w:basedOn w:val="1484"/>
    <w:next w:val="1745"/>
    <w:link w:val="1484"/>
    <w:qFormat/>
    <w:pPr>
      <w:ind w:firstLine="200"/>
      <w:jc w:val="left"/>
      <w:spacing w:after="160" w:line="360" w:lineRule="auto"/>
      <w:widowControl/>
    </w:pPr>
    <w:rPr>
      <w:rFonts w:ascii="Verdana" w:hAnsi="Verdana" w:eastAsia="黑体"/>
      <w:lang w:eastAsia="en-US"/>
    </w:rPr>
  </w:style>
  <w:style w:type="paragraph" w:styleId="1746">
    <w:name w:val="xl107"/>
    <w:basedOn w:val="1484"/>
    <w:next w:val="1746"/>
    <w:link w:val="1484"/>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47">
    <w:name w:val="xl104"/>
    <w:basedOn w:val="1484"/>
    <w:next w:val="1747"/>
    <w:link w:val="1484"/>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48">
    <w:name w:val="xl95"/>
    <w:basedOn w:val="1484"/>
    <w:next w:val="1748"/>
    <w:link w:val="1484"/>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749">
    <w:name w:val="font13"/>
    <w:basedOn w:val="1484"/>
    <w:next w:val="1749"/>
    <w:link w:val="1484"/>
    <w:qFormat/>
    <w:pPr>
      <w:jc w:val="left"/>
      <w:spacing w:before="100" w:beforeAutospacing="1" w:after="100" w:afterAutospacing="1"/>
      <w:widowControl/>
    </w:pPr>
    <w:rPr>
      <w:rFonts w:ascii="宋体" w:hAnsi="宋体" w:cs="宋体"/>
      <w:sz w:val="18"/>
      <w:szCs w:val="18"/>
    </w:rPr>
  </w:style>
  <w:style w:type="paragraph" w:styleId="1750">
    <w:name w:val="font5"/>
    <w:basedOn w:val="1484"/>
    <w:next w:val="1750"/>
    <w:link w:val="1484"/>
    <w:qFormat/>
    <w:pPr>
      <w:jc w:val="left"/>
      <w:spacing w:before="100" w:beforeAutospacing="1" w:after="100" w:afterAutospacing="1"/>
      <w:widowControl/>
    </w:pPr>
    <w:rPr>
      <w:color w:val="000000"/>
      <w:sz w:val="20"/>
    </w:rPr>
  </w:style>
  <w:style w:type="paragraph" w:styleId="1751">
    <w:name w:val="xl98"/>
    <w:basedOn w:val="1484"/>
    <w:next w:val="1751"/>
    <w:link w:val="1484"/>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52">
    <w:name w:val="xl87"/>
    <w:basedOn w:val="1484"/>
    <w:next w:val="1752"/>
    <w:link w:val="1484"/>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53">
    <w:name w:val="xl110"/>
    <w:basedOn w:val="1484"/>
    <w:next w:val="1753"/>
    <w:link w:val="1484"/>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54">
    <w:name w:val="a"/>
    <w:basedOn w:val="1484"/>
    <w:next w:val="1754"/>
    <w:link w:val="1484"/>
    <w:qFormat/>
    <w:pPr>
      <w:jc w:val="left"/>
      <w:spacing w:before="100" w:beforeAutospacing="1" w:after="100" w:afterAutospacing="1"/>
    </w:pPr>
    <w:rPr>
      <w:rFonts w:ascii="宋体" w:hAnsi="宋体" w:cs="宋体"/>
      <w:sz w:val="24"/>
      <w:szCs w:val="24"/>
    </w:rPr>
  </w:style>
  <w:style w:type="paragraph" w:styleId="1755">
    <w:name w:val="font8"/>
    <w:basedOn w:val="1484"/>
    <w:next w:val="1755"/>
    <w:link w:val="1484"/>
    <w:qFormat/>
    <w:pPr>
      <w:jc w:val="left"/>
      <w:spacing w:before="100" w:beforeAutospacing="1" w:after="100" w:afterAutospacing="1"/>
      <w:widowControl/>
    </w:pPr>
    <w:rPr>
      <w:rFonts w:ascii="宋体" w:hAnsi="宋体" w:cs="宋体"/>
      <w:b/>
      <w:bCs/>
      <w:color w:val="000000"/>
      <w:szCs w:val="21"/>
    </w:rPr>
  </w:style>
  <w:style w:type="paragraph" w:styleId="1756">
    <w:name w:val="Char Char Char Char Char Char Char"/>
    <w:basedOn w:val="1484"/>
    <w:next w:val="1756"/>
    <w:link w:val="1484"/>
    <w:semiHidden/>
    <w:qFormat/>
    <w:rPr>
      <w:rFonts w:ascii="Tahoma" w:hAnsi="Tahoma" w:cs="仿宋_GB2312"/>
      <w:sz w:val="24"/>
      <w:szCs w:val="28"/>
    </w:rPr>
  </w:style>
  <w:style w:type="paragraph" w:styleId="1757">
    <w:name w:val="xl106"/>
    <w:basedOn w:val="1484"/>
    <w:next w:val="1757"/>
    <w:link w:val="1484"/>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58">
    <w:name w:val="_Style 1"/>
    <w:basedOn w:val="1484"/>
    <w:next w:val="1758"/>
    <w:link w:val="1484"/>
    <w:uiPriority w:val="99"/>
    <w:qFormat/>
    <w:pPr>
      <w:ind w:firstLine="420"/>
    </w:pPr>
    <w:rPr>
      <w:rFonts w:ascii="Calibri" w:hAnsi="Calibri"/>
      <w:szCs w:val="22"/>
    </w:rPr>
  </w:style>
  <w:style w:type="paragraph" w:styleId="1759">
    <w:name w:val="yy正文"/>
    <w:basedOn w:val="1717"/>
    <w:next w:val="1759"/>
    <w:link w:val="1484"/>
    <w:qFormat/>
    <w:pPr>
      <w:spacing w:line="300" w:lineRule="auto"/>
    </w:pPr>
    <w:rPr>
      <w:sz w:val="21"/>
    </w:rPr>
  </w:style>
  <w:style w:type="paragraph" w:styleId="1760">
    <w:name w:val="正文 A"/>
    <w:next w:val="1760"/>
    <w:link w:val="1484"/>
    <w:qFormat/>
    <w:pPr>
      <w:jc w:val="both"/>
      <w:widowControl w:val="off"/>
    </w:pPr>
    <w:rPr>
      <w:rFonts w:eastAsia="Times New Roman"/>
      <w:color w:val="000000"/>
      <w:sz w:val="21"/>
      <w:szCs w:val="21"/>
      <w:lang w:val="en-US" w:eastAsia="zh-CN" w:bidi="ar-SA"/>
    </w:rPr>
  </w:style>
  <w:style w:type="paragraph" w:styleId="1761">
    <w:name w:val="首行缩进"/>
    <w:basedOn w:val="1484"/>
    <w:next w:val="1761"/>
    <w:link w:val="1484"/>
    <w:qFormat/>
    <w:pPr>
      <w:ind w:firstLine="480"/>
    </w:pPr>
    <w:rPr>
      <w:lang w:val="zh-CN"/>
    </w:rPr>
  </w:style>
  <w:style w:type="paragraph" w:styleId="1762">
    <w:name w:val="font12"/>
    <w:basedOn w:val="1484"/>
    <w:next w:val="1762"/>
    <w:link w:val="1484"/>
    <w:qFormat/>
    <w:pPr>
      <w:jc w:val="left"/>
      <w:spacing w:before="100" w:beforeAutospacing="1" w:after="100" w:afterAutospacing="1"/>
      <w:widowControl/>
    </w:pPr>
    <w:rPr>
      <w:rFonts w:ascii="宋体" w:hAnsi="宋体" w:cs="宋体"/>
      <w:color w:val="000000"/>
      <w:sz w:val="20"/>
    </w:rPr>
  </w:style>
  <w:style w:type="paragraph" w:styleId="1763">
    <w:name w:val="Char Char2 Char"/>
    <w:basedOn w:val="1484"/>
    <w:next w:val="1763"/>
    <w:link w:val="1484"/>
    <w:qFormat/>
    <w:pPr>
      <w:ind w:left="390" w:hanging="390"/>
      <w:keepLines/>
      <w:keepNext/>
      <w:pageBreakBefore/>
      <w:tabs>
        <w:tab w:val="left" w:pos="390" w:leader="none"/>
      </w:tabs>
    </w:pPr>
    <w:rPr>
      <w:szCs w:val="24"/>
    </w:rPr>
  </w:style>
  <w:style w:type="paragraph" w:styleId="1764">
    <w:name w:val="xl88"/>
    <w:basedOn w:val="1484"/>
    <w:next w:val="1764"/>
    <w:link w:val="1484"/>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65">
    <w:name w:val="xl89"/>
    <w:basedOn w:val="1484"/>
    <w:next w:val="1765"/>
    <w:link w:val="1484"/>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66">
    <w:name w:val="font7"/>
    <w:basedOn w:val="1484"/>
    <w:next w:val="1766"/>
    <w:link w:val="1484"/>
    <w:qFormat/>
    <w:pPr>
      <w:jc w:val="left"/>
      <w:spacing w:before="100" w:beforeAutospacing="1" w:after="100" w:afterAutospacing="1"/>
      <w:widowControl/>
    </w:pPr>
    <w:rPr>
      <w:b/>
      <w:bCs/>
      <w:color w:val="000000"/>
      <w:szCs w:val="21"/>
    </w:rPr>
  </w:style>
  <w:style w:type="paragraph" w:styleId="1767">
    <w:name w:val="font9"/>
    <w:basedOn w:val="1484"/>
    <w:next w:val="1767"/>
    <w:link w:val="1484"/>
    <w:qFormat/>
    <w:pPr>
      <w:jc w:val="left"/>
      <w:spacing w:before="100" w:beforeAutospacing="1" w:after="100" w:afterAutospacing="1"/>
      <w:widowControl/>
    </w:pPr>
    <w:rPr>
      <w:rFonts w:ascii="宋体" w:hAnsi="宋体" w:cs="宋体"/>
      <w:color w:val="000000"/>
      <w:szCs w:val="21"/>
    </w:rPr>
  </w:style>
  <w:style w:type="paragraph" w:styleId="1768">
    <w:name w:val="xl92"/>
    <w:basedOn w:val="1484"/>
    <w:next w:val="1768"/>
    <w:link w:val="148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69">
    <w:name w:val="xl78"/>
    <w:basedOn w:val="1484"/>
    <w:next w:val="1769"/>
    <w:link w:val="14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70">
    <w:name w:val="xl82"/>
    <w:basedOn w:val="1484"/>
    <w:next w:val="1770"/>
    <w:link w:val="148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71">
    <w:name w:val="xl84"/>
    <w:basedOn w:val="1484"/>
    <w:next w:val="1771"/>
    <w:link w:val="148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72">
    <w:name w:val="缺省文本"/>
    <w:basedOn w:val="1484"/>
    <w:next w:val="1772"/>
    <w:link w:val="1484"/>
    <w:qFormat/>
    <w:pPr>
      <w:ind w:firstLine="504"/>
      <w:jc w:val="left"/>
      <w:spacing w:before="20" w:after="20" w:line="400" w:lineRule="exact"/>
    </w:pPr>
    <w:rPr>
      <w:sz w:val="24"/>
    </w:rPr>
  </w:style>
  <w:style w:type="paragraph" w:styleId="1773">
    <w:name w:val="xl85"/>
    <w:basedOn w:val="1484"/>
    <w:next w:val="1773"/>
    <w:link w:val="1484"/>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74">
    <w:name w:val="yy标题3"/>
    <w:basedOn w:val="1736"/>
    <w:next w:val="1774"/>
    <w:link w:val="1484"/>
    <w:qFormat/>
  </w:style>
  <w:style w:type="paragraph" w:styleId="1775">
    <w:name w:val="xl73"/>
    <w:basedOn w:val="1484"/>
    <w:next w:val="1775"/>
    <w:link w:val="14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76">
    <w:name w:val="列表段落1"/>
    <w:basedOn w:val="1484"/>
    <w:next w:val="1776"/>
    <w:link w:val="1484"/>
    <w:uiPriority w:val="34"/>
    <w:qFormat/>
  </w:style>
  <w:style w:type="paragraph" w:styleId="1777">
    <w:name w:val="Table Text"/>
    <w:basedOn w:val="1484"/>
    <w:next w:val="1777"/>
    <w:link w:val="1484"/>
    <w:semiHidden/>
    <w:qFormat/>
    <w:rPr>
      <w:rFonts w:ascii="宋体" w:hAnsi="宋体" w:eastAsia="宋体" w:cs="宋体"/>
      <w:sz w:val="20"/>
      <w:szCs w:val="20"/>
      <w:lang w:val="en-US" w:eastAsia="en-US" w:bidi="ar-SA"/>
    </w:rPr>
  </w:style>
  <w:style w:type="table" w:styleId="1778">
    <w:name w:val="Table Normal"/>
    <w:next w:val="1778"/>
    <w:link w:val="1484"/>
    <w:unhideWhenUsed/>
    <w:qFormat/>
    <w:rPr>
      <w:lang w:val="en-US" w:eastAsia="zh-CN" w:bidi="ar-SA"/>
    </w:rPr>
    <w:tblPr/>
  </w:style>
  <w:style w:type="paragraph" w:styleId="1779">
    <w:name w:val="正文首行缩进2"/>
    <w:basedOn w:val="1484"/>
    <w:next w:val="1779"/>
    <w:link w:val="1484"/>
    <w:qFormat/>
    <w:pPr>
      <w:ind w:firstLine="200"/>
    </w:pPr>
  </w:style>
  <w:style w:type="character" w:styleId="1780">
    <w:name w:val="font51"/>
    <w:next w:val="1780"/>
    <w:link w:val="1484"/>
    <w:rPr>
      <w:rFonts w:ascii="Times New Roman" w:hAnsi="Times New Roman" w:cs="Times New Roman"/>
      <w:i w:val="0"/>
      <w:iCs w:val="0"/>
      <w:color w:val="000000"/>
      <w:sz w:val="24"/>
      <w:szCs w:val="24"/>
      <w:u w:val="none"/>
    </w:rPr>
  </w:style>
  <w:style w:type="character" w:styleId="1781">
    <w:name w:val="font61"/>
    <w:next w:val="1781"/>
    <w:link w:val="1484"/>
    <w:rPr>
      <w:rFonts w:ascii="等线" w:hAnsi="等线" w:eastAsia="等线" w:cs="等线"/>
      <w:i w:val="0"/>
      <w:iCs w:val="0"/>
      <w:color w:val="000000"/>
      <w:sz w:val="24"/>
      <w:szCs w:val="24"/>
      <w:u w:val="none"/>
    </w:rPr>
  </w:style>
  <w:style w:type="character" w:styleId="1782">
    <w:name w:val="font81"/>
    <w:next w:val="1782"/>
    <w:link w:val="1484"/>
    <w:rPr>
      <w:rFonts w:ascii="Times New Roman" w:hAnsi="Times New Roman" w:cs="Times New Roman"/>
      <w:i w:val="0"/>
      <w:iCs w:val="0"/>
      <w:color w:val="000000"/>
      <w:sz w:val="24"/>
      <w:szCs w:val="24"/>
      <w:u w:val="none"/>
    </w:rPr>
  </w:style>
  <w:style w:type="character" w:styleId="1783">
    <w:name w:val="font91"/>
    <w:next w:val="1783"/>
    <w:link w:val="1484"/>
    <w:rPr>
      <w:rFonts w:ascii="等线" w:hAnsi="等线" w:eastAsia="等线" w:cs="等线"/>
      <w:i w:val="0"/>
      <w:iCs w:val="0"/>
      <w:color w:val="000000"/>
      <w:sz w:val="24"/>
      <w:szCs w:val="24"/>
      <w:u w:val="none"/>
    </w:rPr>
  </w:style>
  <w:style w:type="character" w:styleId="1784">
    <w:name w:val="font101"/>
    <w:next w:val="1784"/>
    <w:link w:val="1484"/>
    <w:rPr>
      <w:rFonts w:hint="eastAsia" w:ascii="宋体" w:hAnsi="宋体" w:eastAsia="宋体" w:cs="宋体"/>
      <w:i w:val="0"/>
      <w:iCs w:val="0"/>
      <w:color w:val="000000"/>
      <w:sz w:val="24"/>
      <w:szCs w:val="24"/>
      <w:u w:val="none"/>
    </w:rPr>
  </w:style>
  <w:style w:type="character" w:styleId="1785">
    <w:name w:val="font112"/>
    <w:next w:val="1785"/>
    <w:link w:val="1484"/>
    <w:rPr>
      <w:rFonts w:hint="eastAsia" w:ascii="宋体" w:hAnsi="宋体" w:eastAsia="宋体" w:cs="宋体"/>
      <w:i w:val="0"/>
      <w:iCs w:val="0"/>
      <w:color w:val="000000"/>
      <w:sz w:val="24"/>
      <w:szCs w:val="24"/>
      <w:u w:val="none"/>
    </w:rPr>
  </w:style>
  <w:style w:type="paragraph" w:styleId="1786">
    <w:name w:val="标题 41"/>
    <w:basedOn w:val="1484"/>
    <w:next w:val="1703"/>
    <w:link w:val="1484"/>
    <w:uiPriority w:val="9"/>
    <w:qFormat/>
    <w:pPr>
      <w:keepLines/>
      <w:keepNext/>
      <w:spacing w:before="280" w:after="290" w:line="374" w:lineRule="auto"/>
      <w:outlineLvl w:val="3"/>
    </w:pPr>
    <w:rPr>
      <w:rFonts w:ascii="Arial" w:hAnsi="Arial" w:eastAsia="黑体" w:cs="Arial"/>
      <w:b/>
      <w:bCs/>
      <w:sz w:val="28"/>
      <w:szCs w:val="28"/>
    </w:rPr>
  </w:style>
  <w:style w:type="paragraph" w:styleId="1787">
    <w:name w:val="无间隔1"/>
    <w:next w:val="1787"/>
    <w:link w:val="1484"/>
    <w:uiPriority w:val="99"/>
    <w:qFormat/>
    <w:pPr>
      <w:jc w:val="both"/>
      <w:widowControl w:val="off"/>
    </w:pPr>
    <w:rPr>
      <w:sz w:val="21"/>
      <w:szCs w:val="21"/>
      <w:lang w:val="en-US" w:eastAsia="zh-CN" w:bidi="ar-SA"/>
    </w:rPr>
  </w:style>
  <w:style w:type="character" w:styleId="1788" w:default="1">
    <w:name w:val="Default Paragraph Font"/>
    <w:uiPriority w:val="1"/>
    <w:semiHidden/>
    <w:unhideWhenUsed/>
  </w:style>
  <w:style w:type="numbering" w:styleId="1789" w:default="1">
    <w:name w:val="No List"/>
    <w:uiPriority w:val="99"/>
    <w:semiHidden/>
    <w:unhideWhenUsed/>
  </w:style>
  <w:style w:type="table" w:styleId="17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footer" Target="footer15.xml" /><Relationship Id="rId27" Type="http://schemas.openxmlformats.org/officeDocument/2006/relationships/footer" Target="footer1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王嘉卉</cp:lastModifiedBy>
  <cp:revision>3</cp:revision>
  <dcterms:created xsi:type="dcterms:W3CDTF">2026-07-08T01:26:00Z</dcterms:created>
  <dcterms:modified xsi:type="dcterms:W3CDTF">2026-08-31T03:05:38Z</dcterms:modified>
</cp:coreProperties>
</file>