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仿宋" w:hAnsi="仿宋" w:eastAsia="仿宋" w:cs="仿宋"/>
          <w:b/>
          <w:bCs/>
          <w:color w:val="000000" w:themeColor="text1"/>
          <w:sz w:val="56"/>
          <w:szCs w:val="20"/>
          <w14:textFill>
            <w14:solidFill>
              <w14:schemeClr w14:val="tx1"/>
            </w14:solidFill>
          </w14:textFill>
        </w:rPr>
      </w:pPr>
      <w:r>
        <w:rPr>
          <w:rFonts w:hint="eastAsia" w:ascii="仿宋" w:hAnsi="仿宋" w:eastAsia="仿宋" w:cs="仿宋"/>
          <w:b/>
          <w:bCs/>
          <w:color w:val="000000" w:themeColor="text1"/>
          <w:sz w:val="56"/>
          <w:szCs w:val="20"/>
          <w14:textFill>
            <w14:solidFill>
              <w14:schemeClr w14:val="tx1"/>
            </w14:solidFill>
          </w14:textFill>
        </w:rPr>
        <w:t xml:space="preserve">政府采购</w:t>
      </w:r>
      <w:r/>
    </w:p>
    <w:p>
      <w:pPr>
        <w:jc w:val="center"/>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t xml:space="preserve">竞争性磋商文件</w:t>
      </w:r>
      <w:r/>
    </w:p>
    <w:tbl>
      <w:tblPr>
        <w:tblStyle w:val="723"/>
        <w:tblW w:w="78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5931"/>
      </w:tblGrid>
      <w:tr>
        <w:trPr>
          <w:jc w:val="center"/>
          <w:tblHeader/>
        </w:trPr>
        <w:tc>
          <w:tcPr>
            <w:tcW w:w="1910" w:type="dxa"/>
            <w:textDirection w:val="lrTb"/>
            <w:noWrap w:val="false"/>
          </w:tcPr>
          <w:p>
            <w:pPr>
              <w:jc w:val="left"/>
              <w:spacing w:before="120" w:after="120" w:line="360" w:lineRule="auto"/>
              <w:rPr>
                <w:rFonts w:hint="eastAsia" w:ascii="仿宋" w:hAnsi="仿宋" w:eastAsia="仿宋" w:cs="仿宋"/>
                <w:b/>
                <w:bCs/>
                <w:color w:val="000000" w:themeColor="text1"/>
                <w:sz w:val="32"/>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项目名称：</w:t>
            </w:r>
            <w:r/>
          </w:p>
        </w:tc>
        <w:tc>
          <w:tcPr>
            <w:tcW w:w="5931" w:type="dxa"/>
            <w:textDirection w:val="lrTb"/>
            <w:noWrap w:val="false"/>
          </w:tcPr>
          <w:p>
            <w:pPr>
              <w:jc w:val="left"/>
              <w:spacing w:before="120" w:after="120" w:line="360" w:lineRule="auto"/>
              <w:rPr>
                <w:rFonts w:hint="eastAsia" w:ascii="仿宋" w:hAnsi="仿宋" w:eastAsia="仿宋" w:cs="仿宋"/>
                <w:b/>
                <w:bCs/>
                <w:color w:val="000000" w:themeColor="text1"/>
                <w:sz w:val="32"/>
                <w:szCs w:val="24"/>
                <w:lang w:eastAsia="zh-CN"/>
                <w14:textFill>
                  <w14:solidFill>
                    <w14:schemeClr w14:val="tx1"/>
                  </w14:solidFill>
                </w14:textFill>
              </w:rPr>
            </w:pPr>
            <w:r>
              <w:rPr>
                <w:rFonts w:hint="eastAsia" w:ascii="仿宋" w:hAnsi="仿宋" w:eastAsia="仿宋" w:cs="仿宋"/>
                <w:b/>
                <w:bCs/>
                <w:color w:val="000000" w:themeColor="text1"/>
                <w:sz w:val="32"/>
                <w:szCs w:val="24"/>
                <w:lang w:eastAsia="zh-CN"/>
                <w14:textFill>
                  <w14:solidFill>
                    <w14:schemeClr w14:val="tx1"/>
                  </w14:solidFill>
                </w14:textFill>
              </w:rPr>
              <w:t xml:space="preserve">沙集站变电所高压开关柜改造（10台）</w:t>
            </w:r>
            <w:r/>
          </w:p>
        </w:tc>
      </w:tr>
      <w:tr>
        <w:trPr>
          <w:jc w:val="center"/>
          <w:tblHeader/>
        </w:trPr>
        <w:tc>
          <w:tcPr>
            <w:tcW w:w="1910" w:type="dxa"/>
            <w:textDirection w:val="lrTb"/>
            <w:noWrap w:val="false"/>
          </w:tcPr>
          <w:p>
            <w:pPr>
              <w:jc w:val="left"/>
              <w:spacing w:before="120" w:after="120" w:line="360" w:lineRule="auto"/>
              <w:rPr>
                <w:rFonts w:hint="eastAsia" w:ascii="仿宋" w:hAnsi="仿宋" w:eastAsia="仿宋" w:cs="仿宋"/>
                <w:b/>
                <w:bCs/>
                <w:color w:val="000000" w:themeColor="text1"/>
                <w:sz w:val="32"/>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项目编号：</w:t>
            </w:r>
            <w:r/>
          </w:p>
        </w:tc>
        <w:tc>
          <w:tcPr>
            <w:tcW w:w="5931" w:type="dxa"/>
            <w:textDirection w:val="lrTb"/>
            <w:noWrap w:val="false"/>
          </w:tcPr>
          <w:p>
            <w:pPr>
              <w:jc w:val="left"/>
              <w:spacing w:before="120" w:after="120" w:line="360" w:lineRule="auto"/>
              <w:rPr>
                <w:rFonts w:hint="eastAsia" w:ascii="仿宋" w:hAnsi="仿宋" w:eastAsia="仿宋" w:cs="仿宋"/>
                <w:b/>
                <w:bCs/>
                <w:color w:val="000000" w:themeColor="text1"/>
                <w:sz w:val="32"/>
                <w:szCs w:val="24"/>
                <w:lang w:eastAsia="zh-CN"/>
                <w14:textFill>
                  <w14:solidFill>
                    <w14:schemeClr w14:val="tx1"/>
                  </w14:solidFill>
                </w14:textFill>
              </w:rPr>
            </w:pPr>
            <w:r>
              <w:rPr>
                <w:rFonts w:hint="eastAsia" w:ascii="仿宋" w:hAnsi="仿宋" w:eastAsia="仿宋" w:cs="仿宋"/>
                <w:b/>
                <w:bCs/>
                <w:color w:val="000000" w:themeColor="text1"/>
                <w:sz w:val="32"/>
                <w:szCs w:val="24"/>
                <w:lang w:eastAsia="zh-CN"/>
                <w14:textFill>
                  <w14:solidFill>
                    <w14:schemeClr w14:val="tx1"/>
                  </w14:solidFill>
                </w14:textFill>
              </w:rPr>
              <w:t xml:space="preserve">JSZC-320000-SQHS-C2026-0005</w:t>
            </w:r>
            <w:r/>
          </w:p>
        </w:tc>
      </w:tr>
    </w:tbl>
    <w:p>
      <w:pPr>
        <w:jc w:val="center"/>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r>
      <w:r/>
    </w:p>
    <w:p>
      <w:pPr>
        <w:ind w:firstLine="1285"/>
        <w:jc w:val="left"/>
        <w:spacing w:before="120" w:after="120" w:line="360" w:lineRule="auto"/>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rPr>
          <w:rFonts w:hint="eastAsia" w:ascii="仿宋" w:hAnsi="仿宋" w:eastAsia="仿宋" w:cs="仿宋"/>
          <w:b/>
          <w:bCs/>
          <w:color w:val="000000" w:themeColor="text1"/>
          <w:sz w:val="32"/>
          <w:szCs w:val="24"/>
          <w:u w:val="single"/>
          <w14:textFill>
            <w14:solidFill>
              <w14:schemeClr w14:val="tx1"/>
            </w14:solidFill>
          </w14:textFill>
        </w:rPr>
        <w:t xml:space="preserve"> 工程 </w:t>
      </w:r>
      <w:r>
        <w:rPr>
          <w:rFonts w:hint="eastAsia" w:ascii="仿宋" w:hAnsi="仿宋" w:eastAsia="仿宋" w:cs="仿宋"/>
          <w:b/>
          <w:bCs/>
          <w:color w:val="000000" w:themeColor="text1"/>
          <w:sz w:val="32"/>
          <w:szCs w:val="24"/>
          <w14:textFill>
            <w14:solidFill>
              <w14:schemeClr w14:val="tx1"/>
            </w14:solidFill>
          </w14:textFill>
        </w:rPr>
        <w:t xml:space="preserve">类项目，本项目</w:t>
      </w:r>
      <w:r>
        <w:rPr>
          <w:rFonts w:hint="eastAsia" w:ascii="仿宋" w:hAnsi="仿宋" w:eastAsia="仿宋" w:cs="仿宋"/>
          <w:b/>
          <w:bCs/>
          <w:color w:val="000000" w:themeColor="text1"/>
          <w:sz w:val="32"/>
          <w:szCs w:val="24"/>
          <w:u w:val="single"/>
          <w14:textFill>
            <w14:solidFill>
              <w14:schemeClr w14:val="tx1"/>
            </w14:solidFill>
          </w14:textFill>
        </w:rPr>
        <w:t xml:space="preserve">专门</w:t>
      </w:r>
      <w:r>
        <w:rPr>
          <w:rFonts w:hint="eastAsia" w:ascii="仿宋" w:hAnsi="仿宋" w:eastAsia="仿宋" w:cs="仿宋"/>
          <w:b/>
          <w:bCs/>
          <w:color w:val="000000" w:themeColor="text1"/>
          <w:sz w:val="32"/>
          <w:szCs w:val="24"/>
          <w14:textFill>
            <w14:solidFill>
              <w14:schemeClr w14:val="tx1"/>
            </w14:solidFill>
          </w14:textFill>
        </w:rPr>
        <w:t xml:space="preserve">面向中小企业）</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73"/>
        <w:jc w:val="center"/>
        <w:rPr>
          <w:rFonts w:hint="eastAsia" w:ascii="仿宋" w:hAnsi="仿宋" w:eastAsia="仿宋" w:cs="仿宋"/>
          <w:b/>
          <w:bCs/>
          <w:color w:val="000000" w:themeColor="text1"/>
          <w:sz w:val="32"/>
          <w:u w:val="single"/>
          <w14:textFill>
            <w14:solidFill>
              <w14:schemeClr w14:val="tx1"/>
            </w14:solidFill>
          </w14:textFill>
        </w:rPr>
      </w:pPr>
      <w:r>
        <w:rPr>
          <w:rFonts w:hint="eastAsia" w:ascii="仿宋" w:hAnsi="仿宋" w:eastAsia="仿宋" w:cs="仿宋"/>
          <w:b/>
          <w:bCs/>
          <w:color w:val="000000" w:themeColor="text1"/>
          <w:sz w:val="32"/>
          <w14:textFill>
            <w14:solidFill>
              <w14:schemeClr w14:val="tx1"/>
            </w14:solidFill>
          </w14:textFill>
        </w:rPr>
        <w:t xml:space="preserve">采购人：</w:t>
      </w:r>
      <w:r>
        <w:rPr>
          <w:rFonts w:hint="eastAsia" w:ascii="仿宋" w:hAnsi="仿宋" w:eastAsia="仿宋" w:cs="仿宋"/>
          <w:b/>
          <w:bCs/>
          <w:color w:val="000000" w:themeColor="text1"/>
          <w:sz w:val="32"/>
          <w:u w:val="single"/>
          <w14:textFill>
            <w14:solidFill>
              <w14:schemeClr w14:val="tx1"/>
            </w14:solidFill>
          </w14:textFill>
        </w:rPr>
        <w:t xml:space="preserve">江苏省沙集闸站管理所</w:t>
      </w:r>
      <w:r/>
    </w:p>
    <w:p>
      <w:pPr>
        <w:pStyle w:val="973"/>
        <w:jc w:val="center"/>
        <w:rPr>
          <w:rFonts w:hint="eastAsia" w:ascii="仿宋" w:hAnsi="仿宋" w:eastAsia="仿宋" w:cs="仿宋"/>
          <w:b/>
          <w:bCs/>
          <w:color w:val="000000" w:themeColor="text1"/>
          <w:sz w:val="32"/>
          <w:u w:val="single"/>
          <w14:textFill>
            <w14:solidFill>
              <w14:schemeClr w14:val="tx1"/>
            </w14:solidFill>
          </w14:textFill>
        </w:rPr>
      </w:pPr>
      <w:r>
        <w:rPr>
          <w:rFonts w:hint="eastAsia" w:ascii="仿宋" w:hAnsi="仿宋" w:eastAsia="仿宋" w:cs="仿宋"/>
          <w:b/>
          <w:bCs/>
          <w:color w:val="000000" w:themeColor="text1"/>
          <w:sz w:val="32"/>
          <w14:textFill>
            <w14:solidFill>
              <w14:schemeClr w14:val="tx1"/>
            </w14:solidFill>
          </w14:textFill>
        </w:rPr>
        <w:t xml:space="preserve">采购代理机构：</w:t>
      </w:r>
      <w:r>
        <w:rPr>
          <w:rFonts w:hint="eastAsia" w:ascii="仿宋" w:hAnsi="仿宋" w:eastAsia="仿宋" w:cs="仿宋"/>
          <w:b/>
          <w:bCs/>
          <w:color w:val="000000" w:themeColor="text1"/>
          <w:sz w:val="32"/>
          <w:u w:val="single"/>
          <w14:textFill>
            <w14:solidFill>
              <w14:schemeClr w14:val="tx1"/>
            </w14:solidFill>
          </w14:textFill>
        </w:rPr>
        <w:t xml:space="preserve">宿迁市宏晟项目管理有限公司</w:t>
      </w:r>
      <w:r/>
    </w:p>
    <w:p>
      <w:pPr>
        <w:pStyle w:val="973"/>
        <w:ind w:firstLine="0"/>
        <w:jc w:val="center"/>
        <w:rPr>
          <w:rFonts w:hint="eastAsia" w:ascii="仿宋" w:hAnsi="仿宋" w:eastAsia="仿宋" w:cs="仿宋"/>
          <w:b/>
          <w:bCs/>
          <w:color w:val="000000" w:themeColor="text1"/>
          <w:sz w:val="32"/>
          <w14:textFill>
            <w14:solidFill>
              <w14:schemeClr w14:val="tx1"/>
            </w14:solidFill>
          </w14:textFill>
        </w:rPr>
      </w:pPr>
      <w:r>
        <w:rPr>
          <w:rFonts w:hint="eastAsia" w:ascii="仿宋" w:hAnsi="仿宋" w:eastAsia="仿宋" w:cs="仿宋"/>
          <w:b/>
          <w:bCs/>
          <w:color w:val="000000" w:themeColor="text1"/>
          <w:sz w:val="32"/>
          <w14:textFill>
            <w14:solidFill>
              <w14:schemeClr w14:val="tx1"/>
            </w14:solidFill>
          </w14:textFill>
        </w:rPr>
        <w:t xml:space="preserve">2026年</w:t>
      </w:r>
      <w:r>
        <w:rPr>
          <w:rFonts w:hint="eastAsia" w:ascii="仿宋" w:hAnsi="仿宋" w:eastAsia="仿宋" w:cs="仿宋"/>
          <w:b/>
          <w:bCs/>
          <w:color w:val="000000" w:themeColor="text1"/>
          <w:sz w:val="32"/>
          <w:lang w:val="en-US" w:eastAsia="zh-CN"/>
          <w14:textFill>
            <w14:solidFill>
              <w14:schemeClr w14:val="tx1"/>
            </w14:solidFill>
          </w14:textFill>
        </w:rPr>
        <w:t xml:space="preserve">08</w:t>
      </w:r>
      <w:r>
        <w:rPr>
          <w:rFonts w:hint="eastAsia" w:ascii="仿宋" w:hAnsi="仿宋" w:eastAsia="仿宋" w:cs="仿宋"/>
          <w:b/>
          <w:bCs/>
          <w:color w:val="000000" w:themeColor="text1"/>
          <w:sz w:val="32"/>
          <w14:textFill>
            <w14:solidFill>
              <w14:schemeClr w14:val="tx1"/>
            </w14:solidFill>
          </w14:textFill>
        </w:rPr>
        <w:t xml:space="preserve">月</w:t>
      </w:r>
      <w:r>
        <w:rPr>
          <w:rFonts w:hint="eastAsia" w:ascii="仿宋" w:hAnsi="仿宋" w:eastAsia="仿宋" w:cs="仿宋"/>
          <w:b/>
          <w:bCs/>
          <w:color w:val="000000" w:themeColor="text1"/>
          <w:sz w:val="32"/>
          <w:lang w:val="en-US" w:eastAsia="zh-CN"/>
          <w14:textFill>
            <w14:solidFill>
              <w14:schemeClr w14:val="tx1"/>
            </w14:solidFill>
          </w14:textFill>
        </w:rPr>
        <w:t xml:space="preserve">03</w:t>
      </w:r>
      <w:r>
        <w:rPr>
          <w:rFonts w:hint="eastAsia" w:ascii="仿宋" w:hAnsi="仿宋" w:eastAsia="仿宋" w:cs="仿宋"/>
          <w:b/>
          <w:bCs/>
          <w:color w:val="000000" w:themeColor="text1"/>
          <w:sz w:val="32"/>
          <w14:textFill>
            <w14:solidFill>
              <w14:schemeClr w14:val="tx1"/>
            </w14:solidFill>
          </w14:textFill>
        </w:rPr>
        <w:t xml:space="preserve">日</w:t>
      </w:r>
      <w:r/>
    </w:p>
    <w:p>
      <w:pPr>
        <w:rPr>
          <w:rFonts w:hint="eastAsia" w:ascii="仿宋" w:hAnsi="仿宋" w:eastAsia="仿宋" w:cs="仿宋"/>
          <w:b/>
          <w:bCs/>
          <w:color w:val="000000" w:themeColor="text1"/>
          <w:sz w:val="32"/>
          <w14:textFill>
            <w14:solidFill>
              <w14:schemeClr w14:val="tx1"/>
            </w14:solidFill>
          </w14:textFill>
        </w:rPr>
      </w:pPr>
      <w:r>
        <w:rPr>
          <w:rFonts w:hint="eastAsia" w:ascii="仿宋" w:hAnsi="仿宋" w:eastAsia="仿宋" w:cs="仿宋"/>
          <w:b/>
          <w:bCs/>
          <w:color w:val="000000" w:themeColor="text1"/>
          <w:sz w:val="32"/>
          <w14:textFill>
            <w14:solidFill>
              <w14:schemeClr w14:val="tx1"/>
            </w14:solidFill>
          </w14:textFill>
        </w:rPr>
        <w:br w:type="page" w:clear="all"/>
      </w:r>
      <w:r/>
    </w:p>
    <w:p>
      <w:pPr>
        <w:pStyle w:val="973"/>
        <w:ind w:firstLine="1262"/>
        <w:jc w:val="center"/>
        <w:rPr>
          <w:rFonts w:hint="eastAsia" w:ascii="仿宋" w:hAnsi="仿宋" w:eastAsia="仿宋" w:cs="仿宋"/>
          <w:b/>
          <w:bCs/>
          <w:color w:val="000000" w:themeColor="text1"/>
          <w:sz w:val="32"/>
          <w14:textFill>
            <w14:solidFill>
              <w14:schemeClr w14:val="tx1"/>
            </w14:solidFill>
          </w14:textFill>
        </w:rPr>
      </w:pPr>
      <w:r/>
      <w:bookmarkStart w:id="0" w:name="_Toc120614210"/>
      <w:r/>
      <w:bookmarkStart w:id="1" w:name="_Toc16938516"/>
      <w:r/>
      <w:bookmarkStart w:id="2" w:name="_Toc479757206"/>
      <w:r/>
      <w:bookmarkStart w:id="3" w:name="_Toc523127445"/>
      <w:r/>
      <w:bookmarkStart w:id="4" w:name="_Toc513029200"/>
      <w:r/>
      <w:bookmarkStart w:id="5" w:name="_Toc20823272"/>
      <w:r>
        <w:rPr>
          <w:rFonts w:hint="eastAsia" w:ascii="仿宋" w:hAnsi="仿宋" w:eastAsia="仿宋" w:cs="仿宋"/>
          <w:b/>
          <w:bCs/>
          <w:color w:val="000000" w:themeColor="text1"/>
          <w:sz w:val="32"/>
          <w14:textFill>
            <w14:solidFill>
              <w14:schemeClr w14:val="tx1"/>
            </w14:solidFill>
          </w14:textFill>
        </w:rPr>
        <w:t xml:space="preserve">目  录</w:t>
      </w:r>
      <w:r/>
    </w:p>
    <w:p>
      <w:pPr>
        <w:pStyle w:val="708"/>
        <w:rPr>
          <w:rFonts w:hint="eastAsia" w:ascii="仿宋" w:hAnsi="仿宋" w:eastAsia="仿宋" w:cs="仿宋"/>
          <w:caps w:val="0"/>
          <w:color w:val="000000" w:themeColor="text1"/>
          <w:szCs w:val="22"/>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TOC \o "1-3" \h \z \u </w:instrText>
      </w:r>
      <w:r>
        <w:rPr>
          <w:rFonts w:hint="eastAsia" w:ascii="仿宋" w:hAnsi="仿宋" w:eastAsia="仿宋" w:cs="仿宋"/>
          <w:color w:val="000000" w:themeColor="text1"/>
          <w14:textFill>
            <w14:solidFill>
              <w14:schemeClr w14:val="tx1"/>
            </w14:solidFill>
          </w14:textFill>
        </w:rPr>
        <w:fldChar w:fldCharType="separate"/>
      </w:r>
      <w:r>
        <w:fldChar w:fldCharType="begin"/>
      </w:r>
      <w:r>
        <w:instrText xml:space="preserve"> HYPERLINK \l "_Toc169207378" \o "#_Toc169207378"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第一章  磋商邀请</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_Toc169207378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"_Toc169207379" \o "#_Toc169207379"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一、项目基本情况</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_Toc169207379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"_Toc169207380" \o "#_Toc169207380"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二、申请人的资格要求：</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_Toc169207380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"_Toc169207381" \o "#_Toc169207381"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三、获取磋商文件</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_Toc169207381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"_Toc169207382" \o "#_Toc169207382"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四、提交响应文件截止时间</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_Toc169207382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"_Toc169207383" \o "#_Toc169207383"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五、公告期限</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_Toc169207383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"_Toc169207384" \o "#_Toc169207384"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六、其他补充事宜</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_Toc169207384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"_Toc169207385" \o "#_Toc169207385"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七、本次磋商联系方式</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_Toc169207385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708"/>
        <w:rPr>
          <w:rFonts w:hint="eastAsia" w:ascii="仿宋" w:hAnsi="仿宋" w:eastAsia="仿宋" w:cs="仿宋"/>
          <w:caps w:val="0"/>
          <w:color w:val="000000" w:themeColor="text1"/>
          <w:szCs w:val="22"/>
          <w14:textFill>
            <w14:solidFill>
              <w14:schemeClr w14:val="tx1"/>
            </w14:solidFill>
          </w14:textFill>
          <w14:ligatures w14:val="standardContextual"/>
        </w:rPr>
      </w:pPr>
      <w:r>
        <w:fldChar w:fldCharType="begin"/>
      </w:r>
      <w:r>
        <w:instrText xml:space="preserve"> HYPERLINK \l "_Toc169207387" \o "#_Toc169207387"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第二章  供应商须知</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_Toc169207387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"_Toc169207388" \o "#_Toc169207388"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一、总则</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_Toc169207388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"_Toc169207389" \o "#_Toc169207389"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二、磋商文件</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_Toc169207389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"_Toc169207390" \o "#_Toc169207390"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三、响应文件的编制</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_Toc169207390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10</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"_Toc169207391" \o "#_Toc169207391"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四、响应文件的递交</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_Toc169207391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13</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"_Toc169207392" \o "#_Toc169207392"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五、响应文件的解密与评审</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_Toc169207392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14</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"_Toc169207393" \o "#_Toc169207393"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六、成交</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_Toc169207393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19</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fldChar w:fldCharType="begin"/>
      </w:r>
      <w:r>
        <w:instrText xml:space="preserve"> HYPERLINK \l "_Toc169207394" \o "#_Toc169207394"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七、授予合同</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_Toc169207394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22</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708"/>
        <w:rPr>
          <w:rFonts w:hint="eastAsia" w:ascii="仿宋" w:hAnsi="仿宋" w:eastAsia="仿宋" w:cs="仿宋"/>
          <w:caps w:val="0"/>
          <w:color w:val="000000" w:themeColor="text1"/>
          <w:szCs w:val="22"/>
          <w14:textFill>
            <w14:solidFill>
              <w14:schemeClr w14:val="tx1"/>
            </w14:solidFill>
          </w14:textFill>
          <w14:ligatures w14:val="standardContextual"/>
        </w:rPr>
      </w:pPr>
      <w:r>
        <w:fldChar w:fldCharType="begin"/>
      </w:r>
      <w:r>
        <w:instrText xml:space="preserve"> HYPERLINK \l "_Toc169207395" \o "#_Toc169207395"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第三章  合同文本</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_Toc169207395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27</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708"/>
        <w:rPr>
          <w:rFonts w:hint="eastAsia" w:ascii="仿宋" w:hAnsi="仿宋" w:eastAsia="仿宋" w:cs="仿宋"/>
          <w:caps w:val="0"/>
          <w:color w:val="000000" w:themeColor="text1"/>
          <w:szCs w:val="22"/>
          <w14:textFill>
            <w14:solidFill>
              <w14:schemeClr w14:val="tx1"/>
            </w14:solidFill>
          </w14:textFill>
          <w14:ligatures w14:val="standardContextual"/>
        </w:rPr>
      </w:pPr>
      <w:r>
        <w:fldChar w:fldCharType="begin"/>
      </w:r>
      <w:r>
        <w:instrText xml:space="preserve"> HYPERLINK \l "_Toc169207396" \o "#_Toc169207396"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第四章  采购需求</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_Toc169207396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27</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708"/>
        <w:rPr>
          <w:rFonts w:hint="eastAsia" w:ascii="仿宋" w:hAnsi="仿宋" w:eastAsia="仿宋" w:cs="仿宋"/>
          <w:caps w:val="0"/>
          <w:color w:val="000000" w:themeColor="text1"/>
          <w:szCs w:val="22"/>
          <w14:textFill>
            <w14:solidFill>
              <w14:schemeClr w14:val="tx1"/>
            </w14:solidFill>
          </w14:textFill>
          <w14:ligatures w14:val="standardContextual"/>
        </w:rPr>
      </w:pPr>
      <w:r>
        <w:fldChar w:fldCharType="begin"/>
      </w:r>
      <w:r>
        <w:instrText xml:space="preserve"> HYPERLINK \l "_Toc169207397" \o "#_Toc169207397"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第五章  评审方法与评审标准</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_Toc169207397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79</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708"/>
        <w:rPr>
          <w:rFonts w:hint="eastAsia" w:ascii="仿宋" w:hAnsi="仿宋" w:eastAsia="仿宋" w:cs="仿宋"/>
          <w:caps w:val="0"/>
          <w:color w:val="000000" w:themeColor="text1"/>
          <w:szCs w:val="22"/>
          <w14:textFill>
            <w14:solidFill>
              <w14:schemeClr w14:val="tx1"/>
            </w14:solidFill>
          </w14:textFill>
          <w14:ligatures w14:val="standardContextual"/>
        </w:rPr>
      </w:pPr>
      <w:r>
        <w:fldChar w:fldCharType="begin"/>
      </w:r>
      <w:r>
        <w:instrText xml:space="preserve"> HYPERLINK \l "_Toc169207398" \o "#_Toc169207398" </w:instrText>
      </w:r>
      <w:r>
        <w:fldChar w:fldCharType="separate"/>
      </w:r>
      <w:r>
        <w:rPr>
          <w:rStyle w:val="733"/>
          <w:rFonts w:hint="eastAsia" w:ascii="仿宋" w:hAnsi="仿宋" w:eastAsia="仿宋" w:cs="仿宋"/>
          <w:color w:val="000000" w:themeColor="text1"/>
          <w14:textFill>
            <w14:solidFill>
              <w14:schemeClr w14:val="tx1"/>
            </w14:solidFill>
          </w14:textFill>
        </w:rPr>
        <w:t xml:space="preserve">第六章  响应文件格式</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PAGEREF _Toc169207398 \h </w:instrText>
      </w:r>
      <w:r>
        <w:rPr>
          <w:rFonts w:hint="eastAsia" w:ascii="仿宋" w:hAnsi="仿宋" w:eastAsia="仿宋" w:cs="仿宋"/>
          <w:color w:val="000000" w:themeColor="text1"/>
          <w14:textFill>
            <w14:solidFill>
              <w14:schemeClr w14:val="tx1"/>
            </w14:solidFill>
          </w14:textFill>
        </w:rPr>
        <w:fldChar w:fldCharType="separate"/>
      </w:r>
      <w:r>
        <w:rPr>
          <w:rFonts w:hint="eastAsia" w:ascii="仿宋" w:hAnsi="仿宋" w:eastAsia="仿宋" w:cs="仿宋"/>
          <w:color w:val="000000" w:themeColor="text1"/>
          <w14:textFill>
            <w14:solidFill>
              <w14:schemeClr w14:val="tx1"/>
            </w14:solidFill>
          </w14:textFill>
        </w:rPr>
        <w:t xml:space="preserve">91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fldChar w:fldCharType="end"/>
      </w:r>
      <w:r/>
    </w:p>
    <w:p>
      <w:pPr>
        <w:pStyle w:val="699"/>
        <w:rPr>
          <w:rFonts w:hint="eastAsia" w:ascii="仿宋" w:hAnsi="仿宋" w:eastAsia="仿宋" w:cs="仿宋"/>
          <w:iCs w:val="0"/>
          <w:color w:val="000000" w:themeColor="text1"/>
          <w:szCs w:val="22"/>
          <w14:textFill>
            <w14:solidFill>
              <w14:schemeClr w14:val="tx1"/>
            </w14:solidFill>
          </w14:textFill>
          <w14:ligatures w14:val="standardContextual"/>
        </w:rPr>
      </w:pPr>
      <w:r>
        <w:rPr>
          <w:rFonts w:hint="eastAsia" w:ascii="仿宋" w:hAnsi="仿宋" w:eastAsia="仿宋" w:cs="仿宋"/>
          <w:iCs w:val="0"/>
          <w:color w:val="000000" w:themeColor="text1"/>
          <w:szCs w:val="22"/>
          <w14:textFill>
            <w14:solidFill>
              <w14:schemeClr w14:val="tx1"/>
            </w14:solidFill>
          </w14:textFill>
          <w14:ligatures w14:val="standardContextua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fldChar w:fldCharType="end"/>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jc w:val="center"/>
        <w:keepNext/>
        <w:rPr>
          <w:rFonts w:hint="eastAsia" w:ascii="仿宋" w:hAnsi="仿宋" w:eastAsia="仿宋" w:cs="仿宋"/>
          <w:color w:val="000000" w:themeColor="text1"/>
          <w:sz w:val="44"/>
          <w:szCs w:val="44"/>
          <w14:textFill>
            <w14:solidFill>
              <w14:schemeClr w14:val="tx1"/>
            </w14:solidFill>
          </w14:textFill>
        </w:rPr>
        <w:outlineLvl w:val="0"/>
      </w:pPr>
      <w:r>
        <w:rPr>
          <w:rFonts w:hint="eastAsia" w:ascii="仿宋" w:hAnsi="仿宋" w:eastAsia="仿宋" w:cs="仿宋"/>
          <w:color w:val="000000" w:themeColor="text1"/>
          <w:sz w:val="44"/>
          <w:szCs w:val="44"/>
          <w14:textFill>
            <w14:solidFill>
              <w14:schemeClr w14:val="tx1"/>
            </w14:solidFill>
          </w14:textFill>
        </w:rPr>
      </w:r>
      <w:r/>
    </w:p>
    <w:p>
      <w:pPr>
        <w:jc w:val="center"/>
        <w:keepNext/>
        <w:rPr>
          <w:rFonts w:hint="eastAsia" w:ascii="仿宋" w:hAnsi="仿宋" w:eastAsia="仿宋" w:cs="仿宋"/>
          <w:color w:val="000000" w:themeColor="text1"/>
          <w:sz w:val="44"/>
          <w:szCs w:val="44"/>
          <w14:textFill>
            <w14:solidFill>
              <w14:schemeClr w14:val="tx1"/>
            </w14:solidFill>
          </w14:textFill>
        </w:rPr>
        <w:outlineLvl w:val="0"/>
      </w:pPr>
      <w:r>
        <w:rPr>
          <w:rFonts w:hint="eastAsia" w:ascii="仿宋" w:hAnsi="仿宋" w:eastAsia="仿宋" w:cs="仿宋"/>
          <w:color w:val="000000" w:themeColor="text1"/>
          <w:sz w:val="44"/>
          <w:szCs w:val="44"/>
          <w14:textFill>
            <w14:solidFill>
              <w14:schemeClr w14:val="tx1"/>
            </w14:solidFill>
          </w14:textFill>
        </w:rPr>
      </w:r>
      <w:r/>
    </w:p>
    <w:p>
      <w:pP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br w:type="page" w:clear="all"/>
      </w:r>
      <w:r/>
    </w:p>
    <w:p>
      <w:pPr>
        <w:jc w:val="center"/>
        <w:keepNext/>
        <w:rPr>
          <w:rFonts w:hint="eastAsia" w:ascii="仿宋" w:hAnsi="仿宋" w:eastAsia="仿宋" w:cs="仿宋"/>
          <w:color w:val="000000" w:themeColor="text1"/>
          <w:sz w:val="44"/>
          <w:szCs w:val="44"/>
          <w14:textFill>
            <w14:solidFill>
              <w14:schemeClr w14:val="tx1"/>
            </w14:solidFill>
          </w14:textFill>
        </w:rPr>
        <w:outlineLvl w:val="0"/>
      </w:pPr>
      <w:r/>
      <w:bookmarkStart w:id="6" w:name="_Toc169207378"/>
      <w:r>
        <w:rPr>
          <w:rFonts w:hint="eastAsia" w:ascii="仿宋" w:hAnsi="仿宋" w:eastAsia="仿宋" w:cs="仿宋"/>
          <w:color w:val="000000" w:themeColor="text1"/>
          <w:sz w:val="44"/>
          <w:szCs w:val="44"/>
          <w14:textFill>
            <w14:solidFill>
              <w14:schemeClr w14:val="tx1"/>
            </w14:solidFill>
          </w14:textFill>
        </w:rPr>
        <w:t xml:space="preserve">第一章  </w:t>
      </w:r>
      <w:bookmarkEnd w:id="0"/>
      <w:r>
        <w:rPr>
          <w:rFonts w:hint="eastAsia" w:ascii="仿宋" w:hAnsi="仿宋" w:eastAsia="仿宋" w:cs="仿宋"/>
          <w:color w:val="000000" w:themeColor="text1"/>
          <w:sz w:val="44"/>
          <w:szCs w:val="44"/>
          <w14:textFill>
            <w14:solidFill>
              <w14:schemeClr w14:val="tx1"/>
            </w14:solidFill>
          </w14:textFill>
        </w:rPr>
        <w:t xml:space="preserve">磋商邀请</w:t>
      </w:r>
      <w:bookmarkEnd w:id="6"/>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受江苏省沙集闸站管理所的委托，宿迁市宏晟项目管理有限公司就</w:t>
      </w:r>
      <w:r>
        <w:rPr>
          <w:rFonts w:hint="eastAsia" w:ascii="仿宋" w:hAnsi="仿宋" w:eastAsia="仿宋" w:cs="仿宋"/>
          <w:color w:val="000000" w:themeColor="text1"/>
          <w:sz w:val="24"/>
          <w:szCs w:val="24"/>
          <w:lang w:eastAsia="zh-CN"/>
          <w14:textFill>
            <w14:solidFill>
              <w14:schemeClr w14:val="tx1"/>
            </w14:solidFill>
          </w14:textFill>
        </w:rPr>
        <w:t xml:space="preserve">沙集站变电所高压开关柜改造（10台）</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eastAsia="zh-CN"/>
          <w14:textFill>
            <w14:solidFill>
              <w14:schemeClr w14:val="tx1"/>
            </w14:solidFill>
          </w14:textFill>
        </w:rPr>
        <w:t xml:space="preserve">JSZC-320000-SQHS-C2026-0005</w:t>
      </w:r>
      <w:r>
        <w:rPr>
          <w:rFonts w:hint="eastAsia" w:ascii="仿宋" w:hAnsi="仿宋" w:eastAsia="仿宋" w:cs="仿宋"/>
          <w:color w:val="000000" w:themeColor="text1"/>
          <w:sz w:val="24"/>
          <w:szCs w:val="24"/>
          <w14:textFill>
            <w14:solidFill>
              <w14:schemeClr w14:val="tx1"/>
            </w14:solidFill>
          </w14:textFill>
        </w:rPr>
        <w:t xml:space="preserve">）进行竞争性磋商采购，欢迎符合条件的供应商参加磋商。</w:t>
      </w:r>
      <w:r/>
    </w:p>
    <w:p>
      <w:pPr>
        <w:spacing w:line="500" w:lineRule="exact"/>
        <w:rPr>
          <w:rFonts w:hint="eastAsia" w:ascii="仿宋" w:hAnsi="仿宋" w:eastAsia="仿宋" w:cs="仿宋"/>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themeColor="text1"/>
          <w:sz w:val="24"/>
          <w:szCs w:val="24"/>
          <w14:textFill>
            <w14:solidFill>
              <w14:schemeClr w14:val="tx1"/>
            </w14:solidFill>
          </w14:textFill>
        </w:rPr>
        <w:t xml:space="preserve">项目概况</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themeColor="text1"/>
          <w:sz w:val="24"/>
          <w:szCs w:val="24"/>
          <w:u w:val="single"/>
          <w:lang w:eastAsia="zh-CN"/>
          <w14:textFill>
            <w14:solidFill>
              <w14:schemeClr w14:val="tx1"/>
            </w14:solidFill>
          </w14:textFill>
        </w:rPr>
        <w:t xml:space="preserve">沙集站变电所高压开关柜改造（10台）</w:t>
      </w:r>
      <w:r>
        <w:rPr>
          <w:rFonts w:hint="eastAsia" w:ascii="仿宋" w:hAnsi="仿宋" w:eastAsia="仿宋" w:cs="仿宋"/>
          <w:color w:val="000000" w:themeColor="text1"/>
          <w:sz w:val="24"/>
          <w:szCs w:val="24"/>
          <w14:textFill>
            <w14:solidFill>
              <w14:schemeClr w14:val="tx1"/>
            </w14:solidFill>
          </w14:textFill>
        </w:rPr>
        <w:t xml:space="preserve">的潜在供应商应在苏采云系统获取采购文件，并于</w:t>
      </w:r>
      <w:r>
        <w:rPr>
          <w:rFonts w:hint="eastAsia" w:ascii="仿宋" w:hAnsi="仿宋" w:eastAsia="仿宋" w:cs="仿宋"/>
          <w:color w:val="000000" w:themeColor="text1"/>
          <w:sz w:val="24"/>
          <w:szCs w:val="24"/>
          <w:u w:val="single"/>
          <w14:textFill>
            <w14:solidFill>
              <w14:schemeClr w14:val="tx1"/>
            </w14:solidFill>
          </w14:textFill>
        </w:rPr>
        <w:t xml:space="preserve">2026年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08</w:t>
      </w:r>
      <w:r>
        <w:rPr>
          <w:rFonts w:hint="eastAsia" w:ascii="仿宋" w:hAnsi="仿宋" w:eastAsia="仿宋" w:cs="仿宋"/>
          <w:bCs/>
          <w:color w:val="000000" w:themeColor="text1"/>
          <w:sz w:val="24"/>
          <w:szCs w:val="24"/>
          <w:u w:val="single"/>
          <w14:textFill>
            <w14:solidFill>
              <w14:schemeClr w14:val="tx1"/>
            </w14:solidFill>
          </w14:textFill>
        </w:rPr>
        <w:t xml:space="preserve">月</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14</w:t>
      </w:r>
      <w:r>
        <w:rPr>
          <w:rFonts w:hint="eastAsia" w:ascii="仿宋" w:hAnsi="仿宋" w:eastAsia="仿宋" w:cs="仿宋"/>
          <w:bCs/>
          <w:color w:val="000000" w:themeColor="text1"/>
          <w:sz w:val="24"/>
          <w:szCs w:val="24"/>
          <w:u w:val="single"/>
          <w14:textFill>
            <w14:solidFill>
              <w14:schemeClr w14:val="tx1"/>
            </w14:solidFill>
          </w14:textFill>
        </w:rPr>
        <w:t xml:space="preserve">日</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15</w:t>
      </w:r>
      <w:r>
        <w:rPr>
          <w:rFonts w:hint="eastAsia" w:ascii="仿宋" w:hAnsi="仿宋" w:eastAsia="仿宋" w:cs="仿宋"/>
          <w:bCs/>
          <w:color w:val="000000" w:themeColor="text1"/>
          <w:sz w:val="24"/>
          <w:szCs w:val="24"/>
          <w:u w:val="single"/>
          <w14:textFill>
            <w14:solidFill>
              <w14:schemeClr w14:val="tx1"/>
            </w14:solidFill>
          </w14:textFill>
        </w:rPr>
        <w:t xml:space="preserve">点</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0</w:t>
      </w:r>
      <w:r>
        <w:rPr>
          <w:rFonts w:hint="eastAsia" w:ascii="仿宋" w:hAnsi="仿宋" w:eastAsia="仿宋" w:cs="仿宋"/>
          <w:bCs/>
          <w:color w:val="000000" w:themeColor="text1"/>
          <w:sz w:val="24"/>
          <w:szCs w:val="24"/>
          <w:u w:val="single"/>
          <w14:textFill>
            <w14:solidFill>
              <w14:schemeClr w14:val="tx1"/>
            </w14:solidFill>
          </w14:textFill>
        </w:rPr>
        <w:t xml:space="preserve">0分（</w:t>
      </w:r>
      <w:r>
        <w:rPr>
          <w:rFonts w:hint="eastAsia" w:ascii="仿宋" w:hAnsi="仿宋" w:eastAsia="仿宋" w:cs="仿宋"/>
          <w:bCs/>
          <w:color w:val="000000" w:themeColor="text1"/>
          <w:sz w:val="24"/>
          <w:szCs w:val="24"/>
          <w14:textFill>
            <w14:solidFill>
              <w14:schemeClr w14:val="tx1"/>
            </w14:solidFill>
          </w14:textFill>
        </w:rPr>
        <w:t xml:space="preserve">北京时间）前递交响应文件</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98"/>
        <w:keepLines/>
        <w:keepNext/>
        <w:spacing w:line="50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7" w:name="_Toc28359079"/>
      <w:r/>
      <w:bookmarkStart w:id="8" w:name="_Toc35393790"/>
      <w:r/>
      <w:bookmarkStart w:id="9" w:name="_Toc169207379"/>
      <w:r/>
      <w:bookmarkStart w:id="10" w:name="_Toc38985263"/>
      <w:r/>
      <w:bookmarkStart w:id="11" w:name="_Toc35393621"/>
      <w:r/>
      <w:bookmarkStart w:id="12" w:name="_Toc28359002"/>
      <w:r/>
      <w:bookmarkStart w:id="13" w:name="_Hlk24379207"/>
      <w:r>
        <w:rPr>
          <w:rFonts w:hint="eastAsia" w:ascii="仿宋" w:hAnsi="仿宋" w:eastAsia="仿宋" w:cs="仿宋"/>
          <w:b/>
          <w:bCs/>
          <w:color w:val="000000" w:themeColor="text1"/>
          <w:sz w:val="32"/>
          <w:szCs w:val="32"/>
          <w14:textFill>
            <w14:solidFill>
              <w14:schemeClr w14:val="tx1"/>
            </w14:solidFill>
          </w14:textFill>
        </w:rPr>
        <w:t xml:space="preserve">一、项目基本情况</w:t>
      </w:r>
      <w:bookmarkEnd w:id="7"/>
      <w:r/>
      <w:bookmarkEnd w:id="8"/>
      <w:r/>
      <w:bookmarkEnd w:id="9"/>
      <w:r/>
      <w:bookmarkEnd w:id="10"/>
      <w:r/>
      <w:bookmarkEnd w:id="11"/>
      <w:r/>
      <w:bookmarkEnd w:id="12"/>
      <w:r/>
      <w:r/>
    </w:p>
    <w:p>
      <w:pPr>
        <w:ind w:firstLine="480"/>
        <w:spacing w:line="50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1.项目编号：</w:t>
      </w:r>
      <w:r>
        <w:rPr>
          <w:rFonts w:hint="eastAsia" w:ascii="仿宋" w:hAnsi="仿宋" w:eastAsia="仿宋" w:cs="仿宋"/>
          <w:color w:val="000000" w:themeColor="text1"/>
          <w:sz w:val="24"/>
          <w:szCs w:val="24"/>
          <w:lang w:eastAsia="zh-CN"/>
          <w14:textFill>
            <w14:solidFill>
              <w14:schemeClr w14:val="tx1"/>
            </w14:solidFill>
          </w14:textFill>
        </w:rPr>
        <w:t xml:space="preserve">JSZC-320000-SQHS-C2026-0005</w:t>
      </w:r>
      <w:r/>
    </w:p>
    <w:p>
      <w:pPr>
        <w:ind w:firstLine="480"/>
        <w:spacing w:line="50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2.项目名称：</w:t>
      </w:r>
      <w:bookmarkEnd w:id="13"/>
      <w:r>
        <w:rPr>
          <w:rFonts w:hint="eastAsia" w:ascii="仿宋" w:hAnsi="仿宋" w:eastAsia="仿宋" w:cs="仿宋"/>
          <w:color w:val="000000" w:themeColor="text1"/>
          <w:sz w:val="24"/>
          <w:szCs w:val="24"/>
          <w:lang w:eastAsia="zh-CN"/>
          <w14:textFill>
            <w14:solidFill>
              <w14:schemeClr w14:val="tx1"/>
            </w14:solidFill>
          </w14:textFill>
        </w:rPr>
        <w:t xml:space="preserve">沙集站变电所高压开关柜改造（10台）</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3.预算金额：100万元</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4.最高限价：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96.03</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p>
    <w:p>
      <w:pPr>
        <w:ind w:firstLine="480"/>
        <w:spacing w:line="360" w:lineRule="auto"/>
        <w:rPr>
          <w:rFonts w:hint="eastAsia" w:ascii="仿宋" w:hAnsi="仿宋" w:eastAsia="仿宋" w:cs="仿宋"/>
          <w:sz w:val="24"/>
          <w:szCs w:val="28"/>
        </w:rPr>
      </w:pPr>
      <w:r>
        <w:rPr>
          <w:rFonts w:hint="eastAsia" w:ascii="仿宋" w:hAnsi="仿宋" w:eastAsia="仿宋" w:cs="仿宋"/>
          <w:color w:val="000000" w:themeColor="text1"/>
          <w:sz w:val="24"/>
          <w:szCs w:val="24"/>
          <w14:textFill>
            <w14:solidFill>
              <w14:schemeClr w14:val="tx1"/>
            </w14:solidFill>
          </w14:textFill>
        </w:rPr>
        <w:t xml:space="preserve">5.采购需求：</w:t>
      </w:r>
      <w:r>
        <w:rPr>
          <w:rFonts w:hint="eastAsia" w:ascii="仿宋" w:hAnsi="仿宋" w:eastAsia="仿宋" w:cs="仿宋"/>
          <w:sz w:val="24"/>
          <w:szCs w:val="28"/>
        </w:rPr>
        <w:t xml:space="preserve">江苏省沙集闸站工程位于睢宁县沙集镇南约2公里处的徐洪河上，距下游洪泽湖约72公里，是南水北调东线工程第五梯级泵站、江水北调第四梯级泵站，具有灌溉、供水、防洪、排涝及丰水期反向发电等多重功能。工程采用闸站结合的布置型式，中间为设计抽水流量50m3/s的泵站，安装1800HLQ10-9.5型立式混流泵配同步电动机TL1600-24共5台套，总装机容量8000kW；同时配备一套变频发电机组用于丰水季节反向发电。</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沙集闸站工程于2022-2023年加固改造中已对6kV第Ⅱ段完成智能化改造，而6kV第I段及35kV侧设备仍为老旧设备，通信协议、接口标准、监控方式与第Ⅱ段不统一，影响全站智能化整体水平提升，现就沙集站变电所高压开关柜进行改造，详细内容见采购需求。 </w:t>
      </w:r>
      <w:r/>
    </w:p>
    <w:p>
      <w:pPr>
        <w:ind w:firstLine="480"/>
        <w:spacing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6.工期：60日历天，质保期：2年。</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7.本项目不接受联合体参与磋商。</w:t>
      </w:r>
      <w:bookmarkStart w:id="14" w:name="_Toc169207380"/>
      <w:r/>
      <w:bookmarkStart w:id="15" w:name="_Toc28359003"/>
      <w:r/>
      <w:bookmarkStart w:id="16" w:name="_Toc35393791"/>
      <w:r/>
      <w:bookmarkStart w:id="17" w:name="_Toc38985264"/>
      <w:r/>
      <w:bookmarkStart w:id="18" w:name="_Toc35393622"/>
      <w:r/>
      <w:bookmarkStart w:id="19" w:name="_Toc28359080"/>
      <w:r/>
      <w:r/>
    </w:p>
    <w:p>
      <w:pPr>
        <w:ind w:firstLine="480"/>
        <w:spacing w:line="500" w:lineRule="exact"/>
        <w:rPr>
          <w:rFonts w:hint="eastAsia" w:ascii="仿宋" w:hAnsi="仿宋" w:eastAsia="仿宋" w:cs="仿宋"/>
          <w:b/>
          <w:bCs/>
          <w:color w:val="000000" w:themeColor="text1"/>
          <w:sz w:val="32"/>
          <w:szCs w:val="32"/>
          <w14:textFill>
            <w14:solidFill>
              <w14:schemeClr w14:val="tx1"/>
            </w14:solidFill>
          </w14:textFill>
        </w:rPr>
      </w:pPr>
      <w:r/>
      <w:bookmarkStart w:id="20" w:name="OLE_LINK73"/>
      <w:r>
        <w:rPr>
          <w:rFonts w:hint="eastAsia" w:ascii="仿宋" w:hAnsi="仿宋" w:eastAsia="仿宋" w:cs="仿宋"/>
          <w:b/>
          <w:bCs/>
          <w:color w:val="000000" w:themeColor="text1"/>
          <w:sz w:val="32"/>
          <w:szCs w:val="32"/>
          <w14:textFill>
            <w14:solidFill>
              <w14:schemeClr w14:val="tx1"/>
            </w14:solidFill>
          </w14:textFill>
        </w:rPr>
        <w:t xml:space="preserve">二、申请人的资格要求：</w:t>
      </w:r>
      <w:bookmarkEnd w:id="14"/>
      <w:r/>
      <w:bookmarkEnd w:id="15"/>
      <w:r/>
      <w:bookmarkEnd w:id="16"/>
      <w:r/>
      <w:bookmarkEnd w:id="17"/>
      <w:r/>
      <w:bookmarkEnd w:id="18"/>
      <w:r/>
      <w:bookmarkEnd w:id="19"/>
      <w:r/>
      <w:bookmarkStart w:id="21" w:name="_Toc35393792"/>
      <w:r/>
      <w:bookmarkStart w:id="22" w:name="_Toc38985265"/>
      <w:r/>
      <w:bookmarkStart w:id="23" w:name="_Toc28359081"/>
      <w:r/>
      <w:bookmarkStart w:id="24" w:name="_Toc28359004"/>
      <w:r/>
      <w:bookmarkStart w:id="25" w:name="_Toc35393623"/>
      <w:r/>
      <w:bookmarkStart w:id="26" w:name="_Toc169207381"/>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（一）供应商参加本次政府采购活动应当符合《中华人民共和国政府采购法》第二十二条、《中华人民共和国政府采购法实施条例》第十七条的规定，并提供下列材料：</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（1）法人或者其他组织的营业执照、税务登记证等证明文件(或“三证合一”的营业执照或事业单位法人证书）；</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（2）2025年度的财务状况报告（指经审计的财务报告或银行出具的资信证明，供应商成立不满一年的不需提供）；</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（3）2026年01月份以来任意一月依法缴纳税收和社会保障资金的相关材料（指投标人依法缴纳税收和社会保障资金的完税凭据）；</w:t>
      </w:r>
      <w:r/>
    </w:p>
    <w:p>
      <w:pPr>
        <w:numPr>
          <w:ilvl w:val="0"/>
          <w:numId w:val="7"/>
        </w:num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具备履行合同所必需的设备和专业技术能力的声明；</w:t>
      </w:r>
      <w:r/>
    </w:p>
    <w:p>
      <w:pPr>
        <w:numPr>
          <w:ilvl w:val="0"/>
          <w:numId w:val="7"/>
        </w:num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参加政府采购活动前3年内（自招标文件发出之日起计算）在经营活动中没有重大违法记录的书面声明；</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（二）落实政府采购政策需满足的资格要求：本项目为专门面向中小企业采购的项目</w:t>
      </w:r>
      <w:r>
        <w:rPr>
          <w:rFonts w:hint="eastAsia" w:ascii="仿宋" w:hAnsi="仿宋" w:eastAsia="仿宋" w:cs="仿宋"/>
          <w:color w:val="000000" w:themeColor="text1"/>
          <w:sz w:val="24"/>
          <w:szCs w:val="24"/>
          <w:highlight w:val="none"/>
          <w14:textFill>
            <w14:solidFill>
              <w14:schemeClr w14:val="tx1"/>
            </w14:solidFill>
          </w14:textFill>
        </w:rPr>
        <w:t xml:space="preserve">（按要求提供中小企业声明函</w:t>
      </w:r>
      <w:r>
        <w:rPr>
          <w:rFonts w:hint="eastAsia" w:ascii="仿宋" w:hAnsi="仿宋" w:eastAsia="仿宋" w:cs="仿宋"/>
          <w:color w:val="000000" w:themeColor="text1"/>
          <w:sz w:val="24"/>
          <w:szCs w:val="24"/>
          <w14:textFill>
            <w14:solidFill>
              <w14:schemeClr w14:val="tx1"/>
            </w14:solidFill>
          </w14:textFill>
        </w:rPr>
        <w:t xml:space="preserve">或残疾人福利性单位声明函或监狱企业证明文件）。</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（三）本项目的特定资格要求：</w:t>
      </w:r>
      <w:r/>
    </w:p>
    <w:p>
      <w:pPr>
        <w:ind w:firstLine="480"/>
        <w:spacing w:line="360" w:lineRule="auto"/>
        <w:rPr>
          <w:rFonts w:hint="eastAsia" w:ascii="仿宋" w:hAnsi="仿宋" w:eastAsia="仿宋" w:cs="仿宋"/>
          <w:sz w:val="24"/>
          <w:szCs w:val="28"/>
          <w:highlight w:val="none"/>
        </w:rPr>
      </w:pPr>
      <w:r>
        <w:rPr>
          <w:rFonts w:hint="eastAsia" w:ascii="仿宋" w:hAnsi="仿宋" w:eastAsia="仿宋" w:cs="仿宋"/>
          <w:color w:val="000000" w:themeColor="text1"/>
          <w:sz w:val="24"/>
          <w:szCs w:val="24"/>
          <w14:textFill>
            <w14:solidFill>
              <w14:schemeClr w14:val="tx1"/>
            </w14:solidFill>
          </w14:textFill>
        </w:rPr>
        <w:t xml:space="preserve">1.供应商须具备施工总承包电力工程三级（含）以上或者专业承包输变电工程三级（含）以上资质。且在响应文件递交截止时间当日，登</w:t>
      </w:r>
      <w:r>
        <w:rPr>
          <w:rFonts w:hint="eastAsia" w:ascii="仿宋" w:hAnsi="仿宋" w:eastAsia="仿宋" w:cs="仿宋"/>
          <w:sz w:val="24"/>
          <w:szCs w:val="28"/>
          <w:highlight w:val="none"/>
        </w:rPr>
        <w:t xml:space="preserve">录“江苏省建筑市场监管与诚信信息一体化平台”查询，该资质动态监管结果不处于不合格状态；</w:t>
      </w:r>
      <w:r/>
    </w:p>
    <w:p>
      <w:pPr>
        <w:ind w:firstLine="480"/>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2.供应商须具有国家电力监管部门颁发的承装（修、试）电力设施许可证，许可类别和等级：承装（修、试）类三级（含）及以上资质。</w:t>
      </w:r>
      <w:r/>
    </w:p>
    <w:p>
      <w:pPr>
        <w:ind w:firstLine="480"/>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拟选派项目负责人资格：具备机电工程专业二级及以上注册建造师资格，且同时具备建筑施工企业项目负责人安全生产考核合格证书（B类证）。供应商拟选派的项目负责人必须为本单位人员，提供投标前6个月内本单位为其办理的任意一个月社会养老保险或医疗保险缴纳证明材料（以社保部门出具的为准）。</w:t>
      </w:r>
      <w:r/>
    </w:p>
    <w:p>
      <w:pPr>
        <w:ind w:firstLine="480"/>
        <w:spacing w:line="360"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4.供应商具备安全生产条件，并取得有效的安全生产许可证；</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5.授权代理人材料要求：</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1）供应商委托授权代理人参与项目时，响应文件中需提供供应商为授权代理人缴纳的近6个月内任意1个月的养老保险或医疗保险官方缴费记录（需包含可实时验证的二维码，时间以投标截止日为基准，倒推6个月内，含截止日当月）。</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（2）若法定代表人亲自参与项目投标，则无需提供相关缴费记录。</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注：上述所有材料（缴费记录、资质证书等）均需在投标现场接受真伪查验。现场若无法查验真伪，且供应商未能及时进一步提供合法有效的佐证材料，其投标文件无效。</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四）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单位负责人为同一人或者存在直接控股、管理关系的不同投标人，不得参加同一合同项下的政府采购活动。否则，相关投标均无效。</w:t>
      </w:r>
      <w:bookmarkEnd w:id="20"/>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（五）投标人不得存在下列情形之一：</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1.为招标人不具有独立法人资格的附属机构（单位）；</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2.为本招标项目的监理人、代建人、项目管理人，以及为本招标项目提供招标代理、设计服务的；</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3.与本招标项目的监理人、代建人、招标代理机构同为一个法定代表人的，或者相互控股、参股的；</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4.与招标人存在利害关系可能影响招标公正性的；</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5.单位负责人为同一人或者存在控股、管理关系的不同单位；</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6.处于被责令停业、财产被接管、冻结和破产状态，以及投标资格被取消或者被暂停且在暂停期内；</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7.因拖欠工人工资或者因发生质量安全事故被有关部门限制在招标项目所在地承接工程的；</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8.投标人近3 年内有行贿犯罪行为且被记录，或者法定代表人有行贿犯罪记录且自记录之日起未超过5年的。</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9.项目负责人不得同时在两个或者两个以上单位受聘或者执业；</w:t>
      </w:r>
      <w:r/>
    </w:p>
    <w:p>
      <w:pPr>
        <w:ind w:firstLine="480"/>
        <w:spacing w:line="360" w:lineRule="auto"/>
        <w:rPr>
          <w:rFonts w:hint="eastAsia" w:ascii="仿宋" w:hAnsi="仿宋" w:eastAsia="仿宋" w:cs="仿宋"/>
          <w:sz w:val="24"/>
          <w:szCs w:val="28"/>
        </w:rPr>
      </w:pPr>
      <w:r>
        <w:rPr>
          <w:rFonts w:hint="eastAsia" w:ascii="仿宋" w:hAnsi="仿宋" w:eastAsia="仿宋" w:cs="仿宋"/>
          <w:sz w:val="24"/>
          <w:szCs w:val="28"/>
        </w:rPr>
        <w:t xml:space="preserve">10.项目负责人无行贿犯罪行为记录；或者有行贿犯罪行为记录，但自记录之日起已超过5年的。</w:t>
      </w:r>
      <w:r/>
    </w:p>
    <w:p>
      <w:pPr>
        <w:ind w:firstLine="498"/>
        <w:keepLines/>
        <w:keepNext/>
        <w:spacing w:line="50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三、获取</w:t>
      </w:r>
      <w:bookmarkEnd w:id="21"/>
      <w:r/>
      <w:bookmarkEnd w:id="22"/>
      <w:r/>
      <w:bookmarkEnd w:id="23"/>
      <w:r/>
      <w:bookmarkEnd w:id="24"/>
      <w:r/>
      <w:bookmarkEnd w:id="25"/>
      <w:r>
        <w:rPr>
          <w:rFonts w:hint="eastAsia" w:ascii="仿宋" w:hAnsi="仿宋" w:eastAsia="仿宋" w:cs="仿宋"/>
          <w:b/>
          <w:bCs/>
          <w:color w:val="000000" w:themeColor="text1"/>
          <w:sz w:val="32"/>
          <w:szCs w:val="32"/>
          <w14:textFill>
            <w14:solidFill>
              <w14:schemeClr w14:val="tx1"/>
            </w14:solidFill>
          </w14:textFill>
        </w:rPr>
        <w:t xml:space="preserve">磋商文件</w:t>
      </w:r>
      <w:bookmarkEnd w:id="26"/>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bookmarkStart w:id="27" w:name="_Toc28359005"/>
      <w:r/>
      <w:bookmarkStart w:id="28" w:name="_Toc28359082"/>
      <w:r/>
      <w:bookmarkStart w:id="29" w:name="_Toc38985266"/>
      <w:r/>
      <w:bookmarkStart w:id="30" w:name="_Toc35393624"/>
      <w:r/>
      <w:bookmarkStart w:id="31" w:name="_Toc35393793"/>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sz w:val="24"/>
          <w:szCs w:val="24"/>
        </w:rPr>
        <w:t xml:space="preserve">时间：2026年</w:t>
      </w:r>
      <w:r>
        <w:rPr>
          <w:rFonts w:hint="eastAsia" w:ascii="仿宋" w:hAnsi="仿宋" w:eastAsia="仿宋" w:cs="仿宋"/>
          <w:sz w:val="24"/>
          <w:szCs w:val="24"/>
          <w:lang w:val="en-US" w:eastAsia="zh-CN"/>
        </w:rPr>
        <w:t xml:space="preserve">08</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04</w:t>
      </w:r>
      <w:r>
        <w:rPr>
          <w:rFonts w:hint="eastAsia" w:ascii="仿宋" w:hAnsi="仿宋" w:eastAsia="仿宋" w:cs="仿宋"/>
          <w:sz w:val="24"/>
          <w:szCs w:val="24"/>
        </w:rPr>
        <w:t xml:space="preserve">日09:00至2026年</w:t>
      </w:r>
      <w:r>
        <w:rPr>
          <w:rFonts w:hint="eastAsia" w:ascii="仿宋" w:hAnsi="仿宋" w:eastAsia="仿宋" w:cs="仿宋"/>
          <w:sz w:val="24"/>
          <w:szCs w:val="24"/>
          <w:lang w:val="en-US" w:eastAsia="zh-CN"/>
        </w:rPr>
        <w:t xml:space="preserve">08</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日18:00。（周末、节假日除外）</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2.地点：“苏采云“系统 (网址: </w:t>
      </w:r>
      <w:r>
        <w:fldChar w:fldCharType="begin"/>
      </w:r>
      <w:r>
        <w:instrText xml:space="preserve"> HYPERLINK "http://jszfcg.jsczt.cn/)" </w:instrText>
      </w:r>
      <w:r>
        <w:fldChar w:fldCharType="separate"/>
      </w:r>
      <w:r>
        <w:rPr>
          <w:rStyle w:val="733"/>
          <w:rFonts w:hint="eastAsia" w:ascii="仿宋" w:hAnsi="仿宋" w:eastAsia="仿宋" w:cs="仿宋"/>
          <w:sz w:val="24"/>
          <w:szCs w:val="24"/>
        </w:rPr>
        <w:t xml:space="preserve">http://jszfcg.jsczt.cn/)</w:t>
      </w:r>
      <w:r>
        <w:rPr>
          <w:rStyle w:val="733"/>
          <w:rFonts w:hint="eastAsia" w:ascii="仿宋" w:hAnsi="仿宋" w:eastAsia="仿宋" w:cs="仿宋"/>
          <w:sz w:val="24"/>
          <w:szCs w:val="24"/>
        </w:rPr>
        <w:fldChar w:fldCharType="end"/>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3.方式：供应商应在磋商文件提供的时间内，通过“苏采云”系统（网址： http://jszfcg.jsczt.cn/），使用CA锁登录系统后，找到本项目获取磋商文件（后缀名为“.kedt”）。</w:t>
      </w:r>
      <w:r/>
    </w:p>
    <w:p>
      <w:pPr>
        <w:ind w:firstLine="540"/>
        <w:spacing w:line="500" w:lineRule="exact"/>
        <w:rPr>
          <w:rFonts w:hint="eastAsia" w:ascii="仿宋" w:hAnsi="仿宋" w:eastAsia="仿宋" w:cs="仿宋"/>
          <w:color w:val="000000" w:themeColor="text1"/>
          <w:sz w:val="24"/>
          <w:szCs w:val="24"/>
          <w:u w:val="single"/>
          <w14:textFill>
            <w14:solidFill>
              <w14:schemeClr w14:val="tx1"/>
            </w14:solidFill>
          </w14:textFill>
        </w:rPr>
      </w:pPr>
      <w:r/>
      <w:bookmarkStart w:id="32" w:name="EB0c44ff4da61f4af989d119fe214be450"/>
      <w:r>
        <w:rPr>
          <w:rFonts w:hint="eastAsia" w:ascii="仿宋" w:hAnsi="仿宋" w:eastAsia="仿宋" w:cs="仿宋"/>
          <w:color w:val="000000" w:themeColor="text1"/>
          <w:sz w:val="24"/>
          <w:szCs w:val="28"/>
          <w14:textFill>
            <w14:solidFill>
              <w14:schemeClr w14:val="tx1"/>
            </w14:solidFill>
          </w14:textFill>
        </w:rPr>
        <w:t xml:space="preserve">4.售价：0.00元。</w:t>
      </w:r>
      <w:bookmarkEnd w:id="32"/>
      <w:r/>
      <w:r/>
    </w:p>
    <w:p>
      <w:pPr>
        <w:ind w:firstLine="498"/>
        <w:keepLines/>
        <w:keepNext/>
        <w:spacing w:line="50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33" w:name="_Toc169207382"/>
      <w:r>
        <w:rPr>
          <w:rFonts w:hint="eastAsia" w:ascii="仿宋" w:hAnsi="仿宋" w:eastAsia="仿宋" w:cs="仿宋"/>
          <w:b/>
          <w:bCs/>
          <w:color w:val="000000" w:themeColor="text1"/>
          <w:sz w:val="32"/>
          <w:szCs w:val="32"/>
          <w14:textFill>
            <w14:solidFill>
              <w14:schemeClr w14:val="tx1"/>
            </w14:solidFill>
          </w14:textFill>
        </w:rPr>
        <w:t xml:space="preserve">四、提交</w:t>
      </w:r>
      <w:bookmarkEnd w:id="27"/>
      <w:r/>
      <w:bookmarkEnd w:id="28"/>
      <w:r>
        <w:rPr>
          <w:rFonts w:hint="eastAsia" w:ascii="仿宋" w:hAnsi="仿宋" w:eastAsia="仿宋" w:cs="仿宋"/>
          <w:b/>
          <w:bCs/>
          <w:color w:val="000000" w:themeColor="text1"/>
          <w:sz w:val="32"/>
          <w:szCs w:val="32"/>
          <w14:textFill>
            <w14:solidFill>
              <w14:schemeClr w14:val="tx1"/>
            </w14:solidFill>
          </w14:textFill>
        </w:rPr>
        <w:t xml:space="preserve">响应文件截止时间</w:t>
      </w:r>
      <w:bookmarkEnd w:id="29"/>
      <w:r/>
      <w:bookmarkEnd w:id="30"/>
      <w:r/>
      <w:bookmarkEnd w:id="31"/>
      <w:r/>
      <w:bookmarkEnd w:id="33"/>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1.提交响应文件截止时间、磋商时间：</w:t>
      </w:r>
      <w:r>
        <w:rPr>
          <w:rFonts w:hint="eastAsia" w:ascii="仿宋" w:hAnsi="仿宋" w:eastAsia="仿宋" w:cs="仿宋"/>
          <w:bCs/>
          <w:color w:val="000000" w:themeColor="text1"/>
          <w:sz w:val="24"/>
          <w:szCs w:val="24"/>
          <w:u w:val="single"/>
          <w14:textFill>
            <w14:solidFill>
              <w14:schemeClr w14:val="tx1"/>
            </w14:solidFill>
          </w14:textFill>
        </w:rPr>
        <w:t xml:space="preserve">2026年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08</w:t>
      </w:r>
      <w:r>
        <w:rPr>
          <w:rFonts w:hint="eastAsia" w:ascii="仿宋" w:hAnsi="仿宋" w:eastAsia="仿宋" w:cs="仿宋"/>
          <w:bCs/>
          <w:color w:val="000000" w:themeColor="text1"/>
          <w:sz w:val="24"/>
          <w:szCs w:val="24"/>
          <w:u w:val="single"/>
          <w14:textFill>
            <w14:solidFill>
              <w14:schemeClr w14:val="tx1"/>
            </w14:solidFill>
          </w14:textFill>
        </w:rPr>
        <w:t xml:space="preserve">月</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14</w:t>
      </w:r>
      <w:r>
        <w:rPr>
          <w:rFonts w:hint="eastAsia" w:ascii="仿宋" w:hAnsi="仿宋" w:eastAsia="仿宋" w:cs="仿宋"/>
          <w:bCs/>
          <w:color w:val="000000" w:themeColor="text1"/>
          <w:sz w:val="24"/>
          <w:szCs w:val="24"/>
          <w:u w:val="single"/>
          <w14:textFill>
            <w14:solidFill>
              <w14:schemeClr w14:val="tx1"/>
            </w14:solidFill>
          </w14:textFill>
        </w:rPr>
        <w:t xml:space="preserve">日</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15</w:t>
      </w:r>
      <w:r>
        <w:rPr>
          <w:rFonts w:hint="eastAsia" w:ascii="仿宋" w:hAnsi="仿宋" w:eastAsia="仿宋" w:cs="仿宋"/>
          <w:bCs/>
          <w:color w:val="000000" w:themeColor="text1"/>
          <w:sz w:val="24"/>
          <w:szCs w:val="24"/>
          <w:u w:val="single"/>
          <w14:textFill>
            <w14:solidFill>
              <w14:schemeClr w14:val="tx1"/>
            </w14:solidFill>
          </w14:textFill>
        </w:rPr>
        <w:t xml:space="preserve">点</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00</w:t>
      </w:r>
      <w:r>
        <w:rPr>
          <w:rFonts w:hint="eastAsia" w:ascii="仿宋" w:hAnsi="仿宋" w:eastAsia="仿宋" w:cs="仿宋"/>
          <w:bCs/>
          <w:color w:val="000000" w:themeColor="text1"/>
          <w:sz w:val="24"/>
          <w:szCs w:val="24"/>
          <w:u w:val="single"/>
          <w14:textFill>
            <w14:solidFill>
              <w14:schemeClr w14:val="tx1"/>
            </w14:solidFill>
          </w14:textFill>
        </w:rPr>
        <w:t xml:space="preserve">分</w:t>
      </w:r>
      <w:r>
        <w:rPr>
          <w:rFonts w:hint="eastAsia" w:ascii="仿宋" w:hAnsi="仿宋" w:eastAsia="仿宋" w:cs="仿宋"/>
          <w:bCs/>
          <w:color w:val="000000" w:themeColor="text1"/>
          <w:sz w:val="24"/>
          <w:szCs w:val="24"/>
          <w14:textFill>
            <w14:solidFill>
              <w14:schemeClr w14:val="tx1"/>
            </w14:solidFill>
          </w14:textFill>
        </w:rPr>
        <w:t xml:space="preserve">（北京时间）。</w:t>
      </w:r>
      <w:r/>
    </w:p>
    <w:p>
      <w:pPr>
        <w:ind w:firstLine="540"/>
        <w:spacing w:line="500" w:lineRule="exact"/>
        <w:rPr>
          <w:rFonts w:hint="eastAsia" w:ascii="仿宋" w:hAnsi="仿宋" w:eastAsia="仿宋" w:cs="仿宋"/>
          <w:color w:val="000000" w:themeColor="text1"/>
          <w:sz w:val="24"/>
          <w:szCs w:val="28"/>
          <w14:textFill>
            <w14:solidFill>
              <w14:schemeClr w14:val="tx1"/>
            </w14:solidFill>
          </w14:textFill>
        </w:rPr>
      </w:pPr>
      <w:r>
        <w:rPr>
          <w:rFonts w:hint="eastAsia" w:ascii="仿宋" w:hAnsi="仿宋" w:eastAsia="仿宋" w:cs="仿宋"/>
          <w:color w:val="000000" w:themeColor="text1"/>
          <w:sz w:val="24"/>
          <w:szCs w:val="28"/>
          <w14:textFill>
            <w14:solidFill>
              <w14:schemeClr w14:val="tx1"/>
            </w14:solidFill>
          </w14:textFill>
        </w:rPr>
        <w:t xml:space="preserve">2.地点：“苏采云“系统 (网址: http://jszfcg.jsczt.cn/)。</w:t>
      </w:r>
      <w:r/>
    </w:p>
    <w:p>
      <w:pPr>
        <w:ind w:firstLine="498"/>
        <w:keepLines/>
        <w:keepNext/>
        <w:spacing w:line="50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34" w:name="_Toc28359084"/>
      <w:r/>
      <w:bookmarkStart w:id="35" w:name="_Toc35393625"/>
      <w:r/>
      <w:bookmarkStart w:id="36" w:name="_Toc169207383"/>
      <w:r/>
      <w:bookmarkStart w:id="37" w:name="_Toc38985267"/>
      <w:r/>
      <w:bookmarkStart w:id="38" w:name="_Toc28359007"/>
      <w:r/>
      <w:bookmarkStart w:id="39" w:name="_Toc35393794"/>
      <w:r>
        <w:rPr>
          <w:rFonts w:hint="eastAsia" w:ascii="仿宋" w:hAnsi="仿宋" w:eastAsia="仿宋" w:cs="仿宋"/>
          <w:b/>
          <w:bCs/>
          <w:color w:val="000000" w:themeColor="text1"/>
          <w:sz w:val="32"/>
          <w:szCs w:val="32"/>
          <w14:textFill>
            <w14:solidFill>
              <w14:schemeClr w14:val="tx1"/>
            </w14:solidFill>
          </w14:textFill>
        </w:rPr>
        <w:t xml:space="preserve">五、公告期限</w:t>
      </w:r>
      <w:bookmarkEnd w:id="34"/>
      <w:r/>
      <w:bookmarkEnd w:id="35"/>
      <w:r/>
      <w:bookmarkEnd w:id="36"/>
      <w:r/>
      <w:bookmarkEnd w:id="37"/>
      <w:r/>
      <w:bookmarkEnd w:id="38"/>
      <w:r/>
      <w:bookmarkEnd w:id="39"/>
      <w:r/>
      <w:r/>
    </w:p>
    <w:p>
      <w:pPr>
        <w:ind w:firstLine="540"/>
        <w:spacing w:line="500" w:lineRule="exact"/>
        <w:rPr>
          <w:rFonts w:hint="eastAsia" w:ascii="仿宋" w:hAnsi="仿宋" w:eastAsia="仿宋" w:cs="仿宋"/>
          <w:sz w:val="24"/>
          <w:szCs w:val="28"/>
        </w:rPr>
      </w:pPr>
      <w:r/>
      <w:bookmarkStart w:id="40" w:name="_Toc35393795"/>
      <w:r/>
      <w:bookmarkStart w:id="41" w:name="_Toc38985268"/>
      <w:r/>
      <w:bookmarkStart w:id="42" w:name="_Toc35393626"/>
      <w:r>
        <w:rPr>
          <w:rFonts w:hint="eastAsia" w:ascii="仿宋" w:hAnsi="仿宋" w:eastAsia="仿宋" w:cs="仿宋"/>
          <w:color w:val="000000" w:themeColor="text1"/>
          <w:sz w:val="24"/>
          <w:szCs w:val="28"/>
          <w14:textFill>
            <w14:solidFill>
              <w14:schemeClr w14:val="tx1"/>
            </w14:solidFill>
          </w14:textFill>
        </w:rPr>
        <w:t xml:space="preserve">磋商公告及磋商文件公告期限为自本公告发布之日起5个工作日。</w:t>
      </w:r>
      <w:r/>
    </w:p>
    <w:p>
      <w:pPr>
        <w:ind w:firstLine="498"/>
        <w:keepLines/>
        <w:keepNext/>
        <w:spacing w:line="50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43" w:name="_Toc169207384"/>
      <w:r>
        <w:rPr>
          <w:rFonts w:hint="eastAsia" w:ascii="仿宋" w:hAnsi="仿宋" w:eastAsia="仿宋" w:cs="仿宋"/>
          <w:b/>
          <w:bCs/>
          <w:color w:val="000000" w:themeColor="text1"/>
          <w:sz w:val="32"/>
          <w:szCs w:val="32"/>
          <w14:textFill>
            <w14:solidFill>
              <w14:schemeClr w14:val="tx1"/>
            </w14:solidFill>
          </w14:textFill>
        </w:rPr>
        <w:t xml:space="preserve">六、其他补充事宜</w:t>
      </w:r>
      <w:bookmarkEnd w:id="40"/>
      <w:r/>
      <w:bookmarkEnd w:id="41"/>
      <w:r/>
      <w:bookmarkEnd w:id="42"/>
      <w:r/>
      <w:bookmarkEnd w:id="43"/>
      <w:r/>
      <w:r/>
    </w:p>
    <w:p>
      <w:pPr>
        <w:ind w:firstLine="480"/>
        <w:spacing w:line="500" w:lineRule="exact"/>
        <w:rPr>
          <w:rFonts w:hint="eastAsia" w:ascii="仿宋" w:hAnsi="仿宋" w:eastAsia="仿宋" w:cs="仿宋"/>
          <w:color w:val="000000" w:themeColor="text1"/>
          <w:sz w:val="24"/>
          <w14:textFill>
            <w14:solidFill>
              <w14:schemeClr w14:val="tx1"/>
            </w14:solidFill>
          </w14:textFill>
        </w:rPr>
      </w:pPr>
      <w:r/>
      <w:bookmarkStart w:id="44" w:name="EB64e1f522fd8c43fcb4d3ba471386b3e7"/>
      <w:r>
        <w:rPr>
          <w:rFonts w:hint="eastAsia" w:ascii="仿宋" w:hAnsi="仿宋" w:eastAsia="仿宋" w:cs="仿宋"/>
          <w:color w:val="000000" w:themeColor="text1"/>
          <w:sz w:val="24"/>
          <w14:textFill>
            <w14:solidFill>
              <w14:schemeClr w14:val="tx1"/>
            </w14:solidFill>
          </w14:textFill>
        </w:rPr>
        <w:t xml:space="preserve">1.磋商公告发布</w:t>
      </w:r>
      <w:r>
        <w:rPr>
          <w:rFonts w:hint="eastAsia" w:ascii="仿宋" w:hAnsi="仿宋" w:eastAsia="仿宋" w:cs="仿宋"/>
          <w:color w:val="000000" w:themeColor="text1"/>
          <w:sz w:val="24"/>
          <w:highlight w:val="none"/>
          <w14:textFill>
            <w14:solidFill>
              <w14:schemeClr w14:val="tx1"/>
            </w14:solidFill>
          </w14:textFill>
        </w:rPr>
        <w:t xml:space="preserve">媒体：江苏政府采购网、</w:t>
      </w:r>
      <w:r>
        <w:rPr>
          <w:rFonts w:hint="eastAsia" w:ascii="仿宋" w:hAnsi="仿宋" w:eastAsia="仿宋" w:cs="仿宋"/>
          <w:color w:val="000000" w:themeColor="text1"/>
          <w:sz w:val="24"/>
          <w:highlight w:val="none"/>
          <w:lang w:eastAsia="zh-CN"/>
          <w14:textFill>
            <w14:solidFill>
              <w14:schemeClr w14:val="tx1"/>
            </w14:solidFill>
          </w14:textFill>
        </w:rPr>
        <w:t xml:space="preserve">宿迁市政府采购网、</w:t>
      </w:r>
      <w:r>
        <w:rPr>
          <w:rFonts w:hint="eastAsia" w:ascii="仿宋" w:hAnsi="仿宋" w:eastAsia="仿宋" w:cs="仿宋"/>
          <w:color w:val="000000" w:themeColor="text1"/>
          <w:sz w:val="24"/>
          <w14:textFill>
            <w14:solidFill>
              <w14:schemeClr w14:val="tx1"/>
            </w14:solidFill>
          </w14:textFill>
        </w:rPr>
        <w:t xml:space="preserve">江苏省骆运水利工程管理处网站。</w:t>
      </w:r>
      <w:r/>
    </w:p>
    <w:p>
      <w:pPr>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2.“CA”数字证书办理：“苏采云”系统目前仅支持“苏采云”系统下的意源CA。省内各地区办理的“苏采云”系统下的意源CA全省通用。宿</w:t>
      </w:r>
      <w:bookmarkStart w:id="283" w:name="_GoBack"/>
      <w:r/>
      <w:bookmarkEnd w:id="283"/>
      <w:r>
        <w:rPr>
          <w:rFonts w:hint="eastAsia" w:ascii="仿宋" w:hAnsi="仿宋" w:eastAsia="仿宋" w:cs="仿宋"/>
          <w:color w:val="000000" w:themeColor="text1"/>
          <w:sz w:val="24"/>
          <w14:textFill>
            <w14:solidFill>
              <w14:schemeClr w14:val="tx1"/>
            </w14:solidFill>
          </w14:textFill>
        </w:rPr>
        <w:t xml:space="preserve">迁地区CA数字证书办理联系方式：18351098172。</w:t>
      </w:r>
      <w:r/>
    </w:p>
    <w:p>
      <w:pPr>
        <w:pStyle w:val="1006"/>
        <w:ind w:firstLine="480"/>
        <w:spacing w:line="500" w:lineRule="exact"/>
        <w:rPr>
          <w:rFonts w:hint="eastAsia" w:ascii="仿宋" w:hAnsi="仿宋" w:eastAsia="仿宋" w:cs="仿宋"/>
          <w:color w:val="000000" w:themeColor="text1"/>
          <w:sz w:val="24"/>
          <w:szCs w:val="21"/>
          <w:lang w:val="en-US"/>
          <w14:textFill>
            <w14:solidFill>
              <w14:schemeClr w14:val="tx1"/>
            </w14:solidFill>
          </w14:textFill>
        </w:rPr>
      </w:pPr>
      <w:r>
        <w:rPr>
          <w:rFonts w:hint="eastAsia" w:ascii="仿宋" w:hAnsi="仿宋" w:eastAsia="仿宋" w:cs="仿宋"/>
          <w:color w:val="000000" w:themeColor="text1"/>
          <w:sz w:val="24"/>
          <w:szCs w:val="21"/>
          <w:lang w:val="en-US"/>
          <w14:textFill>
            <w14:solidFill>
              <w14:schemeClr w14:val="tx1"/>
            </w14:solidFill>
          </w14:textFill>
        </w:rPr>
        <w:t xml:space="preserve">3.宿迁地区“苏采云”系统技术支持客服电话：0527-84363067、0519-86722806。</w:t>
      </w:r>
      <w:r/>
    </w:p>
    <w:p>
      <w:pPr>
        <w:pStyle w:val="1006"/>
        <w:ind w:firstLine="480"/>
        <w:spacing w:line="500" w:lineRule="exact"/>
        <w:rPr>
          <w:rFonts w:hint="eastAsia" w:ascii="仿宋" w:hAnsi="仿宋" w:eastAsia="仿宋" w:cs="仿宋"/>
          <w:color w:val="000000" w:themeColor="text1"/>
          <w:sz w:val="24"/>
          <w:szCs w:val="21"/>
          <w:lang w:val="en-US"/>
          <w14:textFill>
            <w14:solidFill>
              <w14:schemeClr w14:val="tx1"/>
            </w14:solidFill>
          </w14:textFill>
        </w:rPr>
      </w:pPr>
      <w:r>
        <w:rPr>
          <w:rFonts w:hint="eastAsia" w:ascii="仿宋" w:hAnsi="仿宋" w:eastAsia="仿宋" w:cs="仿宋"/>
          <w:color w:val="000000" w:themeColor="text1"/>
          <w:sz w:val="24"/>
          <w:szCs w:val="21"/>
          <w:lang w:val="en-US"/>
          <w14:textFill>
            <w14:solidFill>
              <w14:schemeClr w14:val="tx1"/>
            </w14:solidFill>
          </w14:textFill>
        </w:rPr>
        <w:t xml:space="preserve">4.</w:t>
      </w:r>
      <w:bookmarkEnd w:id="44"/>
      <w:r>
        <w:rPr>
          <w:rFonts w:hint="eastAsia" w:ascii="仿宋" w:hAnsi="仿宋" w:eastAsia="仿宋" w:cs="仿宋"/>
          <w:color w:val="000000" w:themeColor="text1"/>
          <w:sz w:val="24"/>
          <w:szCs w:val="21"/>
          <w:lang w:val="en-US"/>
          <w14:textFill>
            <w14:solidFill>
              <w14:schemeClr w14:val="tx1"/>
            </w14:solidFill>
          </w14:textFill>
        </w:rPr>
        <w:t xml:space="preserve">质疑渠道：供应商登录“苏采云”系统“项目质疑申请”模块向采购人提出，质疑处理联系方式详见“采购人信息”。</w:t>
      </w:r>
      <w:r/>
    </w:p>
    <w:p>
      <w:pPr>
        <w:ind w:firstLine="498"/>
        <w:keepLines/>
        <w:keepNext/>
        <w:spacing w:line="50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45" w:name="_Toc28359008"/>
      <w:r/>
      <w:bookmarkStart w:id="46" w:name="_Toc35393627"/>
      <w:r/>
      <w:bookmarkStart w:id="47" w:name="_Toc169207385"/>
      <w:r/>
      <w:bookmarkStart w:id="48" w:name="_Toc28359085"/>
      <w:r/>
      <w:bookmarkStart w:id="49" w:name="_Toc35393796"/>
      <w:r/>
      <w:bookmarkStart w:id="50" w:name="_Toc38985269"/>
      <w:r>
        <w:rPr>
          <w:rFonts w:hint="eastAsia" w:ascii="仿宋" w:hAnsi="仿宋" w:eastAsia="仿宋" w:cs="仿宋"/>
          <w:b/>
          <w:bCs/>
          <w:color w:val="000000" w:themeColor="text1"/>
          <w:sz w:val="32"/>
          <w:szCs w:val="32"/>
          <w14:textFill>
            <w14:solidFill>
              <w14:schemeClr w14:val="tx1"/>
            </w14:solidFill>
          </w14:textFill>
        </w:rPr>
        <w:t xml:space="preserve">七、本次磋商联系方式</w:t>
      </w:r>
      <w:bookmarkEnd w:id="45"/>
      <w:r/>
      <w:bookmarkEnd w:id="46"/>
      <w:r/>
      <w:bookmarkEnd w:id="47"/>
      <w:r/>
      <w:bookmarkEnd w:id="48"/>
      <w:r/>
      <w:bookmarkEnd w:id="49"/>
      <w:r/>
      <w:bookmarkEnd w:id="50"/>
      <w:r/>
      <w:r/>
    </w:p>
    <w:p>
      <w:pPr>
        <w:ind w:firstLine="560"/>
        <w:jc w:val="left"/>
        <w:spacing w:line="500" w:lineRule="exact"/>
        <w:widowControl/>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1.采购人信息</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名称：江苏省沙集闸站管理所</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地址：江苏省徐州市睢宁县沙集镇南2公里‌‌ </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联系人：崔晓远 </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联系方式：</w:t>
      </w:r>
      <w:bookmarkStart w:id="51" w:name="_Toc28359086"/>
      <w:r/>
      <w:bookmarkStart w:id="52" w:name="_Toc28359009"/>
      <w:r>
        <w:rPr>
          <w:rFonts w:hint="eastAsia" w:ascii="仿宋" w:hAnsi="仿宋" w:eastAsia="仿宋" w:cs="仿宋"/>
          <w:color w:val="000000" w:themeColor="text1"/>
          <w:sz w:val="24"/>
          <w:szCs w:val="21"/>
          <w14:textFill>
            <w14:solidFill>
              <w14:schemeClr w14:val="tx1"/>
            </w14:solidFill>
          </w14:textFill>
        </w:rPr>
        <w:t xml:space="preserve">18052297521 </w:t>
      </w:r>
      <w:r/>
    </w:p>
    <w:p>
      <w:pPr>
        <w:ind w:firstLine="560"/>
        <w:jc w:val="left"/>
        <w:spacing w:line="500" w:lineRule="exact"/>
        <w:widowControl/>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2.采购代理机构信息</w:t>
      </w:r>
      <w:bookmarkEnd w:id="51"/>
      <w:r/>
      <w:bookmarkEnd w:id="52"/>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bookmarkStart w:id="53" w:name="_Toc28359087"/>
      <w:r/>
      <w:bookmarkStart w:id="54" w:name="_Toc28359010"/>
      <w:r>
        <w:rPr>
          <w:rFonts w:hint="eastAsia" w:ascii="仿宋" w:hAnsi="仿宋" w:eastAsia="仿宋" w:cs="仿宋"/>
          <w:color w:val="000000" w:themeColor="text1"/>
          <w:sz w:val="24"/>
          <w:szCs w:val="21"/>
          <w14:textFill>
            <w14:solidFill>
              <w14:schemeClr w14:val="tx1"/>
            </w14:solidFill>
          </w14:textFill>
        </w:rPr>
        <w:t xml:space="preserve">名称：宿迁市宏晟项目管理有限公司</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地址：宿迁市宿城区河滨街道观澜路恒大悦澜湾南门办公楼301室</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联系人：梁璇</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联系方式：</w:t>
      </w:r>
      <w:bookmarkEnd w:id="53"/>
      <w:r/>
      <w:bookmarkEnd w:id="54"/>
      <w:r>
        <w:rPr>
          <w:rFonts w:hint="eastAsia" w:ascii="仿宋" w:hAnsi="仿宋" w:eastAsia="仿宋" w:cs="仿宋"/>
          <w:color w:val="000000" w:themeColor="text1"/>
          <w:sz w:val="24"/>
          <w:szCs w:val="21"/>
          <w14:textFill>
            <w14:solidFill>
              <w14:schemeClr w14:val="tx1"/>
            </w14:solidFill>
          </w14:textFill>
        </w:rPr>
        <w:t xml:space="preserve">0527-88818669</w:t>
      </w:r>
      <w:r/>
    </w:p>
    <w:p>
      <w:pPr>
        <w:ind w:left="1079" w:hanging="300"/>
        <w:jc w:val="left"/>
        <w:spacing w:line="50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3.项目联系方式</w:t>
      </w:r>
      <w:r/>
    </w:p>
    <w:p>
      <w:pPr>
        <w:ind w:left="1079" w:hanging="30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项目联系人：梁璇</w:t>
      </w:r>
      <w:r/>
    </w:p>
    <w:p>
      <w:pPr>
        <w:ind w:left="1079" w:hanging="30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电话：19905245633</w:t>
      </w:r>
      <w:r/>
    </w:p>
    <w:p>
      <w:pPr>
        <w:rPr>
          <w:rFonts w:hint="eastAsia" w:ascii="仿宋" w:hAnsi="仿宋" w:eastAsia="仿宋" w:cs="仿宋"/>
          <w:color w:val="000000" w:themeColor="text1"/>
          <w:sz w:val="44"/>
          <w:szCs w:val="44"/>
          <w14:textFill>
            <w14:solidFill>
              <w14:schemeClr w14:val="tx1"/>
            </w14:solidFill>
          </w14:textFill>
        </w:rPr>
      </w:pPr>
      <w:r/>
      <w:bookmarkStart w:id="55" w:name="_Toc120614211"/>
      <w:r/>
      <w:bookmarkStart w:id="56" w:name="_Toc169207387"/>
      <w:r>
        <w:rPr>
          <w:rFonts w:hint="eastAsia" w:ascii="仿宋" w:hAnsi="仿宋" w:eastAsia="仿宋" w:cs="仿宋"/>
          <w:color w:val="000000" w:themeColor="text1"/>
          <w:sz w:val="44"/>
          <w:szCs w:val="44"/>
          <w14:textFill>
            <w14:solidFill>
              <w14:schemeClr w14:val="tx1"/>
            </w14:solidFill>
          </w14:textFill>
        </w:rPr>
        <w:br w:type="page" w:clear="all"/>
      </w:r>
      <w:r/>
    </w:p>
    <w:p>
      <w:pPr>
        <w:jc w:val="center"/>
        <w:keepNext/>
        <w:rPr>
          <w:rFonts w:hint="eastAsia" w:ascii="仿宋" w:hAnsi="仿宋" w:eastAsia="仿宋" w:cs="仿宋"/>
          <w:color w:val="000000" w:themeColor="text1"/>
          <w:sz w:val="44"/>
          <w:szCs w:val="44"/>
          <w14:textFill>
            <w14:solidFill>
              <w14:schemeClr w14:val="tx1"/>
            </w14:solidFill>
          </w14:textFill>
        </w:rPr>
        <w:outlineLvl w:val="0"/>
      </w:pPr>
      <w:r>
        <w:rPr>
          <w:rFonts w:hint="eastAsia" w:ascii="仿宋" w:hAnsi="仿宋" w:eastAsia="仿宋" w:cs="仿宋"/>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5"/>
      <w:r>
        <w:rPr>
          <w:rFonts w:hint="eastAsia" w:ascii="仿宋" w:hAnsi="仿宋" w:eastAsia="仿宋" w:cs="仿宋"/>
          <w:color w:val="000000" w:themeColor="text1"/>
          <w:sz w:val="44"/>
          <w:szCs w:val="44"/>
          <w14:textFill>
            <w14:solidFill>
              <w14:schemeClr w14:val="tx1"/>
            </w14:solidFill>
          </w14:textFill>
        </w:rPr>
        <w:t xml:space="preserve">供应商须知</w:t>
      </w:r>
      <w:bookmarkEnd w:id="56"/>
      <w:r/>
      <w:r/>
    </w:p>
    <w:p>
      <w:pPr>
        <w:ind w:firstLine="498"/>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57" w:name="_Toc120614214"/>
      <w:r/>
      <w:bookmarkStart w:id="58" w:name="_Toc20823275"/>
      <w:r/>
      <w:bookmarkStart w:id="59" w:name="_Toc16938519"/>
      <w:r/>
      <w:bookmarkStart w:id="60" w:name="_Toc169207388"/>
      <w:r/>
      <w:bookmarkStart w:id="61" w:name="_Toc513029203"/>
      <w:r>
        <w:rPr>
          <w:rFonts w:hint="eastAsia" w:ascii="仿宋" w:hAnsi="仿宋" w:eastAsia="仿宋" w:cs="仿宋"/>
          <w:b/>
          <w:bCs/>
          <w:color w:val="000000" w:themeColor="text1"/>
          <w:sz w:val="32"/>
          <w:szCs w:val="32"/>
          <w14:textFill>
            <w14:solidFill>
              <w14:schemeClr w14:val="tx1"/>
            </w14:solidFill>
          </w14:textFill>
        </w:rPr>
        <w:t xml:space="preserve">一、总则</w:t>
      </w:r>
      <w:bookmarkEnd w:id="57"/>
      <w:r/>
      <w:bookmarkEnd w:id="58"/>
      <w:r/>
      <w:bookmarkEnd w:id="59"/>
      <w:r/>
      <w:bookmarkEnd w:id="60"/>
      <w:r/>
      <w:bookmarkEnd w:id="61"/>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62" w:name="_Hlt16619475"/>
      <w:r/>
      <w:bookmarkEnd w:id="62"/>
      <w:r/>
      <w:bookmarkStart w:id="63" w:name="_Toc458694821"/>
      <w:r/>
      <w:bookmarkStart w:id="64" w:name="_Toc20823276"/>
      <w:r/>
      <w:bookmarkStart w:id="65" w:name="_Toc16938520"/>
      <w:r/>
      <w:bookmarkStart w:id="66" w:name="_Toc513029204"/>
      <w:r>
        <w:rPr>
          <w:rFonts w:hint="eastAsia" w:ascii="仿宋" w:hAnsi="仿宋" w:eastAsia="仿宋" w:cs="仿宋"/>
          <w:color w:val="000000" w:themeColor="text1"/>
          <w:sz w:val="28"/>
          <w:szCs w:val="28"/>
          <w14:textFill>
            <w14:solidFill>
              <w14:schemeClr w14:val="tx1"/>
            </w14:solidFill>
          </w14:textFill>
        </w:rPr>
        <w:t xml:space="preserve">1</w:t>
      </w:r>
      <w:bookmarkEnd w:id="63"/>
      <w:r>
        <w:rPr>
          <w:rFonts w:hint="eastAsia" w:ascii="仿宋" w:hAnsi="仿宋" w:eastAsia="仿宋" w:cs="仿宋"/>
          <w:color w:val="000000" w:themeColor="text1"/>
          <w:sz w:val="28"/>
          <w:szCs w:val="28"/>
          <w14:textFill>
            <w14:solidFill>
              <w14:schemeClr w14:val="tx1"/>
            </w14:solidFill>
          </w14:textFill>
        </w:rPr>
        <w:t xml:space="preserve">、采购方式</w:t>
      </w:r>
      <w:bookmarkEnd w:id="64"/>
      <w:r/>
      <w:bookmarkEnd w:id="65"/>
      <w:r/>
      <w:bookmarkEnd w:id="66"/>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1.1 本次政府采购活动采取竞争性磋商（以下简称磋商）方式，本磋商文件仅适用于磋商公告中所述项目。</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67" w:name="_Toc513029205"/>
      <w:r/>
      <w:bookmarkStart w:id="68" w:name="_Toc16938521"/>
      <w:r/>
      <w:bookmarkStart w:id="69" w:name="_Toc20823277"/>
      <w:r>
        <w:rPr>
          <w:rFonts w:hint="eastAsia" w:ascii="仿宋" w:hAnsi="仿宋" w:eastAsia="仿宋" w:cs="仿宋"/>
          <w:color w:val="000000" w:themeColor="text1"/>
          <w:sz w:val="28"/>
          <w:szCs w:val="28"/>
          <w14:textFill>
            <w14:solidFill>
              <w14:schemeClr w14:val="tx1"/>
            </w14:solidFill>
          </w14:textFill>
        </w:rPr>
        <w:t xml:space="preserve">2、合格的</w:t>
      </w:r>
      <w:bookmarkEnd w:id="67"/>
      <w:r/>
      <w:bookmarkEnd w:id="68"/>
      <w:r/>
      <w:bookmarkEnd w:id="69"/>
      <w:r>
        <w:rPr>
          <w:rFonts w:hint="eastAsia" w:ascii="仿宋" w:hAnsi="仿宋" w:eastAsia="仿宋" w:cs="仿宋"/>
          <w:color w:val="000000" w:themeColor="text1"/>
          <w:sz w:val="28"/>
          <w:szCs w:val="28"/>
          <w14:textFill>
            <w14:solidFill>
              <w14:schemeClr w14:val="tx1"/>
            </w14:solidFill>
          </w14:textFill>
        </w:rPr>
        <w:t xml:space="preserve">供应商</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2.1满足磋商公告中供应商资格要求的规定。</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2.2 满足本磋商文件实质性要求和条件的规定。</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70" w:name="_Toc20823278"/>
      <w:r/>
      <w:bookmarkStart w:id="71" w:name="_Toc513029206"/>
      <w:r/>
      <w:bookmarkStart w:id="72" w:name="_Toc16938522"/>
      <w:r>
        <w:rPr>
          <w:rFonts w:hint="eastAsia" w:ascii="仿宋" w:hAnsi="仿宋" w:eastAsia="仿宋" w:cs="仿宋"/>
          <w:color w:val="000000" w:themeColor="text1"/>
          <w:sz w:val="28"/>
          <w:szCs w:val="28"/>
          <w14:textFill>
            <w14:solidFill>
              <w14:schemeClr w14:val="tx1"/>
            </w14:solidFill>
          </w14:textFill>
        </w:rPr>
        <w:t xml:space="preserve">3、适用法律</w:t>
      </w:r>
      <w:bookmarkEnd w:id="70"/>
      <w:r/>
      <w:bookmarkEnd w:id="71"/>
      <w:r/>
      <w:bookmarkEnd w:id="72"/>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3.1 本次磋商及由此产生的合同受中华人民共和国有关的法律法规制约和保护。</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73" w:name="_Toc20823279"/>
      <w:r/>
      <w:bookmarkStart w:id="74" w:name="_Toc16938523"/>
      <w:r/>
      <w:bookmarkStart w:id="75" w:name="_Toc513029207"/>
      <w:r/>
      <w:bookmarkStart w:id="76" w:name="_Toc462564067"/>
      <w:r>
        <w:rPr>
          <w:rFonts w:hint="eastAsia" w:ascii="仿宋" w:hAnsi="仿宋" w:eastAsia="仿宋" w:cs="仿宋"/>
          <w:color w:val="000000" w:themeColor="text1"/>
          <w:sz w:val="28"/>
          <w:szCs w:val="28"/>
          <w14:textFill>
            <w14:solidFill>
              <w14:schemeClr w14:val="tx1"/>
            </w14:solidFill>
          </w14:textFill>
        </w:rPr>
        <w:t xml:space="preserve">4、磋商费用</w:t>
      </w:r>
      <w:bookmarkEnd w:id="73"/>
      <w:r/>
      <w:bookmarkEnd w:id="74"/>
      <w:r/>
      <w:bookmarkEnd w:id="75"/>
      <w:r/>
      <w:bookmarkEnd w:id="76"/>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4.2代理费用收取方式及标准：按以下第</w:t>
      </w:r>
      <w:r>
        <w:rPr>
          <w:rFonts w:hint="eastAsia" w:ascii="仿宋" w:hAnsi="仿宋" w:eastAsia="仿宋" w:cs="仿宋"/>
          <w:color w:val="000000" w:themeColor="text1"/>
          <w:sz w:val="24"/>
          <w:szCs w:val="21"/>
          <w:u w:val="single"/>
          <w14:textFill>
            <w14:solidFill>
              <w14:schemeClr w14:val="tx1"/>
            </w14:solidFill>
          </w14:textFill>
        </w:rPr>
        <w:t xml:space="preserve">4.2.2</w:t>
      </w:r>
      <w:r>
        <w:rPr>
          <w:rFonts w:hint="eastAsia" w:ascii="仿宋" w:hAnsi="仿宋" w:eastAsia="仿宋" w:cs="仿宋"/>
          <w:color w:val="000000" w:themeColor="text1"/>
          <w:sz w:val="24"/>
          <w:szCs w:val="21"/>
          <w14:textFill>
            <w14:solidFill>
              <w14:schemeClr w14:val="tx1"/>
            </w14:solidFill>
          </w14:textFill>
        </w:rPr>
        <w:t xml:space="preserve"> 种方式执行。</w:t>
      </w:r>
      <w:r/>
    </w:p>
    <w:p>
      <w:pPr>
        <w:ind w:firstLine="480"/>
        <w:spacing w:line="560" w:lineRule="exact"/>
        <w:rPr>
          <w:rFonts w:hint="eastAsia" w:ascii="仿宋" w:hAnsi="仿宋" w:eastAsia="仿宋" w:cs="仿宋"/>
          <w:color w:val="000000" w:themeColor="text1"/>
          <w:sz w:val="24"/>
          <w:szCs w:val="21"/>
          <w:lang w:val="zh-CN"/>
          <w14:textFill>
            <w14:solidFill>
              <w14:schemeClr w14:val="tx1"/>
            </w14:solidFill>
          </w14:textFill>
        </w:rPr>
      </w:pPr>
      <w:r>
        <w:rPr>
          <w:rFonts w:hint="eastAsia" w:ascii="仿宋" w:hAnsi="仿宋" w:eastAsia="仿宋" w:cs="仿宋"/>
          <w:color w:val="000000" w:themeColor="text1"/>
          <w:sz w:val="24"/>
          <w:szCs w:val="21"/>
          <w:lang w:val="zh-CN"/>
          <w14:textFill>
            <w14:solidFill>
              <w14:schemeClr w14:val="tx1"/>
            </w14:solidFill>
          </w14:textFill>
        </w:rPr>
        <w:t xml:space="preserve">4.2.1无需支付；</w:t>
      </w:r>
      <w:r/>
    </w:p>
    <w:p>
      <w:pPr>
        <w:ind w:firstLine="480"/>
        <w:spacing w:line="560" w:lineRule="exact"/>
        <w:rPr>
          <w:rFonts w:hint="eastAsia" w:ascii="仿宋" w:hAnsi="仿宋" w:eastAsia="仿宋" w:cs="仿宋"/>
          <w:color w:val="000000" w:themeColor="text1"/>
          <w:sz w:val="24"/>
          <w:szCs w:val="21"/>
          <w:lang w:val="zh-CN"/>
          <w14:textFill>
            <w14:solidFill>
              <w14:schemeClr w14:val="tx1"/>
            </w14:solidFill>
          </w14:textFill>
        </w:rPr>
      </w:pPr>
      <w:r>
        <w:rPr>
          <w:rFonts w:hint="eastAsia" w:ascii="仿宋" w:hAnsi="仿宋" w:eastAsia="仿宋" w:cs="仿宋"/>
          <w:color w:val="000000" w:themeColor="text1"/>
          <w:sz w:val="24"/>
          <w:szCs w:val="21"/>
          <w:lang w:val="zh-CN"/>
          <w14:textFill>
            <w14:solidFill>
              <w14:schemeClr w14:val="tx1"/>
            </w14:solidFill>
          </w14:textFill>
        </w:rPr>
        <w:t xml:space="preserve">4.2.2具体方式及标准为</w:t>
      </w:r>
      <w:bookmarkStart w:id="77" w:name="EB494c0bc35e674ba8ba0c8d892ff35fa5"/>
      <w:r>
        <w:rPr>
          <w:rFonts w:hint="eastAsia" w:ascii="仿宋" w:hAnsi="仿宋" w:eastAsia="仿宋" w:cs="仿宋"/>
          <w:color w:val="000000" w:themeColor="text1"/>
          <w:sz w:val="24"/>
          <w:szCs w:val="21"/>
          <w:lang w:val="zh-CN"/>
          <w14:textFill>
            <w14:solidFill>
              <w14:schemeClr w14:val="tx1"/>
            </w14:solidFill>
          </w14:textFill>
        </w:rPr>
        <w:t xml:space="preserve">：</w:t>
      </w:r>
      <w:bookmarkEnd w:id="77"/>
      <w:r>
        <w:rPr>
          <w:rFonts w:hint="eastAsia" w:ascii="仿宋" w:hAnsi="仿宋" w:eastAsia="仿宋" w:cs="仿宋"/>
          <w:color w:val="000000" w:themeColor="text1"/>
          <w:sz w:val="24"/>
          <w:szCs w:val="21"/>
          <w:lang w:val="zh-CN"/>
          <w14:textFill>
            <w14:solidFill>
              <w14:schemeClr w14:val="tx1"/>
            </w14:solidFill>
          </w14:textFill>
        </w:rPr>
        <w:t xml:space="preserve">按《国家计委关于印发招标代理服务收费管理暂行办法的通知》【计价格〔2002〕1980号】标准，由采购人支付</w:t>
      </w:r>
      <w:r>
        <w:rPr>
          <w:rFonts w:hint="eastAsia" w:ascii="仿宋" w:hAnsi="仿宋" w:eastAsia="仿宋" w:cs="仿宋"/>
          <w:sz w:val="24"/>
          <w:szCs w:val="21"/>
          <w:lang w:val="zh-CN"/>
        </w:rPr>
        <w:t xml:space="preserve">。</w:t>
      </w:r>
      <w:r/>
    </w:p>
    <w:p>
      <w:pPr>
        <w:ind w:firstLine="602"/>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b/>
          <w:bCs/>
          <w:color w:val="000000" w:themeColor="text1"/>
          <w:sz w:val="30"/>
          <w:szCs w:val="28"/>
          <w14:textFill>
            <w14:solidFill>
              <w14:schemeClr w14:val="tx1"/>
            </w14:solidFill>
          </w14:textFill>
        </w:rPr>
        <w:t xml:space="preserve">5、</w:t>
      </w:r>
      <w:r>
        <w:rPr>
          <w:rFonts w:hint="eastAsia" w:ascii="仿宋" w:hAnsi="仿宋" w:eastAsia="仿宋" w:cs="仿宋"/>
          <w:color w:val="000000" w:themeColor="text1"/>
          <w:sz w:val="28"/>
          <w:szCs w:val="28"/>
          <w14:textFill>
            <w14:solidFill>
              <w14:schemeClr w14:val="tx1"/>
            </w14:solidFill>
          </w14:textFill>
        </w:rPr>
        <w:t xml:space="preserve">磋商文件的约束力</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5.1</w:t>
      </w:r>
      <w:r>
        <w:rPr>
          <w:rFonts w:hint="eastAsia" w:ascii="仿宋" w:hAnsi="仿宋" w:eastAsia="仿宋" w:cs="仿宋"/>
          <w:color w:val="000000" w:themeColor="text1"/>
          <w:sz w:val="24"/>
          <w:szCs w:val="24"/>
          <w14:textFill>
            <w14:solidFill>
              <w14:schemeClr w14:val="tx1"/>
            </w14:solidFill>
          </w14:textFill>
        </w:rPr>
        <w:t xml:space="preserve">供应商一旦参加本项目采购活动，即被认为接受了本磋商文件的规定和约束。</w:t>
      </w:r>
      <w:r/>
    </w:p>
    <w:p>
      <w:pPr>
        <w:ind w:firstLine="321"/>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78" w:name="_Toc16938525"/>
      <w:r/>
      <w:bookmarkStart w:id="79" w:name="_Toc513029209"/>
      <w:r/>
      <w:bookmarkStart w:id="80" w:name="_Toc120614215"/>
      <w:r/>
      <w:bookmarkStart w:id="81" w:name="_Toc20823281"/>
      <w:r/>
      <w:bookmarkStart w:id="82" w:name="_Toc169207389"/>
      <w:r>
        <w:rPr>
          <w:rFonts w:hint="eastAsia" w:ascii="仿宋" w:hAnsi="仿宋" w:eastAsia="仿宋" w:cs="仿宋"/>
          <w:b/>
          <w:bCs/>
          <w:color w:val="000000" w:themeColor="text1"/>
          <w:sz w:val="32"/>
          <w:szCs w:val="32"/>
          <w14:textFill>
            <w14:solidFill>
              <w14:schemeClr w14:val="tx1"/>
            </w14:solidFill>
          </w14:textFill>
        </w:rPr>
        <w:t xml:space="preserve">二、</w:t>
      </w:r>
      <w:bookmarkEnd w:id="78"/>
      <w:r/>
      <w:bookmarkEnd w:id="79"/>
      <w:r/>
      <w:bookmarkEnd w:id="80"/>
      <w:r/>
      <w:bookmarkEnd w:id="81"/>
      <w:r>
        <w:rPr>
          <w:rFonts w:hint="eastAsia" w:ascii="仿宋" w:hAnsi="仿宋" w:eastAsia="仿宋" w:cs="仿宋"/>
          <w:b/>
          <w:bCs/>
          <w:color w:val="000000" w:themeColor="text1"/>
          <w:sz w:val="32"/>
          <w:szCs w:val="32"/>
          <w14:textFill>
            <w14:solidFill>
              <w14:schemeClr w14:val="tx1"/>
            </w14:solidFill>
          </w14:textFill>
        </w:rPr>
        <w:t xml:space="preserve">磋商文件</w:t>
      </w:r>
      <w:bookmarkEnd w:id="82"/>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83" w:name="_Toc16938526"/>
      <w:r/>
      <w:bookmarkStart w:id="84" w:name="_Toc513029210"/>
      <w:r/>
      <w:bookmarkStart w:id="85" w:name="_Toc20823282"/>
      <w:r>
        <w:rPr>
          <w:rFonts w:hint="eastAsia" w:ascii="仿宋" w:hAnsi="仿宋" w:eastAsia="仿宋" w:cs="仿宋"/>
          <w:color w:val="000000" w:themeColor="text1"/>
          <w:sz w:val="28"/>
          <w:szCs w:val="28"/>
          <w14:textFill>
            <w14:solidFill>
              <w14:schemeClr w14:val="tx1"/>
            </w14:solidFill>
          </w14:textFill>
        </w:rPr>
        <w:t xml:space="preserve">6、磋商文件构成</w:t>
      </w:r>
      <w:bookmarkEnd w:id="83"/>
      <w:r/>
      <w:bookmarkEnd w:id="84"/>
      <w:r/>
      <w:bookmarkEnd w:id="85"/>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6.1磋商文件由以下部分组成：</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（1）磋商邀请</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（2）供应商须知</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（3）合同文本</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（4）采购需求</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（5）评审方法与评审标准</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（6）响应文件格式</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请仔细检查磋商文件是否齐全，如有缺漏请立即与采购代理机构联系解决。</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6.2</w:t>
      </w:r>
      <w:r>
        <w:rPr>
          <w:rFonts w:hint="eastAsia" w:ascii="仿宋" w:hAnsi="仿宋" w:eastAsia="仿宋" w:cs="仿宋"/>
          <w:color w:val="000000" w:themeColor="text1"/>
          <w:sz w:val="24"/>
          <w:szCs w:val="21"/>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86" w:name="_Toc20823283"/>
      <w:r/>
      <w:bookmarkStart w:id="87" w:name="_Toc462564070"/>
      <w:r/>
      <w:bookmarkStart w:id="88" w:name="_Toc513029211"/>
      <w:r/>
      <w:bookmarkStart w:id="89" w:name="_Toc16938527"/>
      <w:r>
        <w:rPr>
          <w:rFonts w:hint="eastAsia" w:ascii="仿宋" w:hAnsi="仿宋" w:eastAsia="仿宋" w:cs="仿宋"/>
          <w:color w:val="000000" w:themeColor="text1"/>
          <w:sz w:val="28"/>
          <w:szCs w:val="28"/>
          <w14:textFill>
            <w14:solidFill>
              <w14:schemeClr w14:val="tx1"/>
            </w14:solidFill>
          </w14:textFill>
        </w:rPr>
        <w:t xml:space="preserve">7、磋商文件的澄清</w:t>
      </w:r>
      <w:bookmarkEnd w:id="86"/>
      <w:r/>
      <w:bookmarkEnd w:id="87"/>
      <w:r/>
      <w:bookmarkEnd w:id="88"/>
      <w:r/>
      <w:bookmarkEnd w:id="89"/>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7.1</w:t>
      </w:r>
      <w:r>
        <w:rPr>
          <w:rFonts w:hint="eastAsia" w:ascii="仿宋" w:hAnsi="仿宋" w:eastAsia="仿宋" w:cs="仿宋"/>
          <w:color w:val="000000" w:themeColor="text1"/>
          <w:sz w:val="24"/>
          <w:szCs w:val="21"/>
          <w14:textFill>
            <w14:solidFill>
              <w14:schemeClr w14:val="tx1"/>
            </w14:solidFill>
          </w14:textFill>
        </w:rPr>
        <w:t xml:space="preserve">任何要求对磋商文件进行澄清的供应商，应在磋商截止期5日</w:t>
      </w:r>
      <w:r>
        <w:rPr>
          <w:rFonts w:hint="eastAsia" w:ascii="仿宋" w:hAnsi="仿宋" w:eastAsia="仿宋" w:cs="仿宋"/>
          <w:color w:val="000000" w:themeColor="text1"/>
          <w:sz w:val="24"/>
          <w:szCs w:val="24"/>
          <w14:textFill>
            <w14:solidFill>
              <w14:schemeClr w14:val="tx1"/>
            </w14:solidFill>
          </w14:textFill>
        </w:rPr>
        <w:t xml:space="preserve">前</w:t>
      </w:r>
      <w:r>
        <w:rPr>
          <w:rFonts w:hint="eastAsia" w:ascii="仿宋" w:hAnsi="仿宋" w:eastAsia="仿宋" w:cs="仿宋"/>
          <w:color w:val="000000" w:themeColor="text1"/>
          <w:sz w:val="24"/>
          <w:szCs w:val="21"/>
          <w14:textFill>
            <w14:solidFill>
              <w14:schemeClr w14:val="tx1"/>
            </w14:solidFill>
          </w14:textFill>
        </w:rPr>
        <w:t xml:space="preserve">按磋商公告中的通讯地址，以书面形式通知采购代理机构。</w:t>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90" w:name="_Toc16938528"/>
      <w:r/>
      <w:bookmarkStart w:id="91" w:name="_Toc20823284"/>
      <w:r/>
      <w:bookmarkStart w:id="92" w:name="_Toc513029212"/>
      <w:r/>
      <w:bookmarkStart w:id="93" w:name="_Toc462564071"/>
      <w:r>
        <w:rPr>
          <w:rFonts w:hint="eastAsia" w:ascii="仿宋" w:hAnsi="仿宋" w:eastAsia="仿宋" w:cs="仿宋"/>
          <w:color w:val="000000" w:themeColor="text1"/>
          <w:sz w:val="28"/>
          <w:szCs w:val="28"/>
          <w14:textFill>
            <w14:solidFill>
              <w14:schemeClr w14:val="tx1"/>
            </w14:solidFill>
          </w14:textFill>
        </w:rPr>
        <w:t xml:space="preserve">8、磋商文件的澄清和修改</w:t>
      </w:r>
      <w:bookmarkEnd w:id="90"/>
      <w:r/>
      <w:bookmarkEnd w:id="91"/>
      <w:r/>
      <w:bookmarkEnd w:id="92"/>
      <w:r/>
      <w:bookmarkEnd w:id="93"/>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themeColor="text1"/>
          <w:sz w:val="24"/>
          <w:szCs w:val="21"/>
          <w14:textFill>
            <w14:solidFill>
              <w14:schemeClr w14:val="tx1"/>
            </w14:solidFill>
          </w14:textFill>
        </w:rPr>
        <w:t xml:space="preserve">提交首次响应文件截止时间</w:t>
      </w:r>
      <w:r>
        <w:rPr>
          <w:rFonts w:hint="eastAsia" w:ascii="仿宋" w:hAnsi="仿宋" w:eastAsia="仿宋" w:cs="仿宋"/>
          <w:bCs/>
          <w:color w:val="000000" w:themeColor="text1"/>
          <w:sz w:val="24"/>
          <w14:textFill>
            <w14:solidFill>
              <w14:schemeClr w14:val="tx1"/>
            </w14:solidFill>
          </w14:textFill>
        </w:rPr>
        <w:t xml:space="preserve">至少5日前发出；不足5日的，采购代理机构应当顺延</w:t>
      </w:r>
      <w:r>
        <w:rPr>
          <w:rFonts w:hint="eastAsia" w:ascii="仿宋" w:hAnsi="仿宋" w:eastAsia="仿宋" w:cs="仿宋"/>
          <w:color w:val="000000" w:themeColor="text1"/>
          <w:sz w:val="24"/>
          <w:szCs w:val="21"/>
          <w14:textFill>
            <w14:solidFill>
              <w14:schemeClr w14:val="tx1"/>
            </w14:solidFill>
          </w14:textFill>
        </w:rPr>
        <w:t xml:space="preserve">提交首次响应文件截止时间</w:t>
      </w:r>
      <w:r>
        <w:rPr>
          <w:rFonts w:hint="eastAsia" w:ascii="仿宋" w:hAnsi="仿宋" w:eastAsia="仿宋" w:cs="仿宋"/>
          <w:bCs/>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8.2</w:t>
      </w:r>
      <w:r>
        <w:rPr>
          <w:rFonts w:hint="eastAsia" w:ascii="仿宋" w:hAnsi="仿宋" w:eastAsia="仿宋" w:cs="仿宋"/>
          <w:color w:val="000000" w:themeColor="text1"/>
          <w:sz w:val="24"/>
          <w:szCs w:val="21"/>
          <w14:textFill>
            <w14:solidFill>
              <w14:schemeClr w14:val="tx1"/>
            </w14:solidFill>
          </w14:textFill>
        </w:rPr>
        <w:t xml:space="preserve">在响应文件提交截止时间前</w:t>
      </w:r>
      <w:r>
        <w:rPr>
          <w:rFonts w:hint="eastAsia" w:ascii="仿宋" w:hAnsi="仿宋" w:eastAsia="仿宋" w:cs="仿宋"/>
          <w:bCs/>
          <w:color w:val="000000" w:themeColor="text1"/>
          <w:sz w:val="24"/>
          <w14:textFill>
            <w14:solidFill>
              <w14:schemeClr w14:val="tx1"/>
            </w14:solidFill>
          </w14:textFill>
        </w:rPr>
        <w:t xml:space="preserve">，采购代理机构可以对磋商文件进行修改。</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8.3采购代理机构有权按照法定的要求推迟响应文件递交截止日期和磋商日期。</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8.4磋商文件的修改将在原公告媒体上发布更正公告，</w:t>
      </w:r>
      <w:r>
        <w:rPr>
          <w:rFonts w:hint="eastAsia" w:ascii="仿宋" w:hAnsi="仿宋" w:eastAsia="仿宋" w:cs="仿宋"/>
          <w:color w:val="000000" w:themeColor="text1"/>
          <w:sz w:val="24"/>
          <w:szCs w:val="21"/>
          <w14:textFill>
            <w14:solidFill>
              <w14:schemeClr w14:val="tx1"/>
            </w14:solidFill>
          </w14:textFill>
        </w:rPr>
        <w:t xml:space="preserve">更正公告内容将作为磋商文件的组成部分</w:t>
      </w:r>
      <w:r>
        <w:rPr>
          <w:rFonts w:hint="eastAsia" w:ascii="仿宋" w:hAnsi="仿宋" w:eastAsia="仿宋" w:cs="仿宋"/>
          <w:bCs/>
          <w:color w:val="000000" w:themeColor="text1"/>
          <w:sz w:val="24"/>
          <w14:textFill>
            <w14:solidFill>
              <w14:schemeClr w14:val="tx1"/>
            </w14:solidFill>
          </w14:textFill>
        </w:rPr>
        <w:t xml:space="preserve">，并对供应商具有约束力，发布的更正公告视同为以书面形式通知所有获取招标文件的潜在投标人。</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94" w:name="_Toc16938529"/>
      <w:r/>
      <w:bookmarkStart w:id="95" w:name="_Toc462564072"/>
      <w:r/>
      <w:bookmarkStart w:id="96" w:name="_Toc169207390"/>
      <w:r/>
      <w:bookmarkStart w:id="97" w:name="_Toc513029213"/>
      <w:r/>
      <w:bookmarkStart w:id="98" w:name="_Toc20823285"/>
      <w:r/>
      <w:bookmarkStart w:id="99" w:name="_Toc120614216"/>
      <w:r>
        <w:rPr>
          <w:rFonts w:hint="eastAsia" w:ascii="仿宋" w:hAnsi="仿宋" w:eastAsia="仿宋" w:cs="仿宋"/>
          <w:b/>
          <w:bCs/>
          <w:color w:val="000000" w:themeColor="text1"/>
          <w:sz w:val="32"/>
          <w:szCs w:val="32"/>
          <w14:textFill>
            <w14:solidFill>
              <w14:schemeClr w14:val="tx1"/>
            </w14:solidFill>
          </w14:textFill>
        </w:rPr>
        <w:t xml:space="preserve">三、响应文件的编制</w:t>
      </w:r>
      <w:bookmarkEnd w:id="94"/>
      <w:r/>
      <w:bookmarkEnd w:id="95"/>
      <w:r/>
      <w:bookmarkEnd w:id="96"/>
      <w:r/>
      <w:bookmarkEnd w:id="97"/>
      <w:r/>
      <w:bookmarkEnd w:id="98"/>
      <w:r/>
      <w:bookmarkEnd w:id="99"/>
      <w:r/>
      <w:r/>
    </w:p>
    <w:p>
      <w:pPr>
        <w:ind w:firstLine="560"/>
        <w:keepLines/>
        <w:keepNext/>
        <w:spacing w:line="560" w:lineRule="exact"/>
        <w:rPr>
          <w:rFonts w:hint="eastAsia" w:ascii="仿宋" w:hAnsi="仿宋" w:eastAsia="仿宋" w:cs="仿宋"/>
          <w:b/>
          <w:color w:val="000000" w:themeColor="text1"/>
          <w:sz w:val="28"/>
          <w:szCs w:val="28"/>
          <w14:textFill>
            <w14:solidFill>
              <w14:schemeClr w14:val="tx1"/>
            </w14:solidFill>
          </w14:textFill>
        </w:rPr>
        <w:outlineLvl w:val="3"/>
      </w:pPr>
      <w:r/>
      <w:bookmarkStart w:id="100" w:name="_Toc513029214"/>
      <w:r/>
      <w:bookmarkStart w:id="101" w:name="_Toc462564073"/>
      <w:r/>
      <w:bookmarkStart w:id="102" w:name="_Toc16938530"/>
      <w:r/>
      <w:bookmarkStart w:id="103" w:name="_Toc20823286"/>
      <w:r>
        <w:rPr>
          <w:rFonts w:hint="eastAsia" w:ascii="仿宋" w:hAnsi="仿宋" w:eastAsia="仿宋" w:cs="仿宋"/>
          <w:color w:val="000000" w:themeColor="text1"/>
          <w:sz w:val="28"/>
          <w:szCs w:val="28"/>
          <w14:textFill>
            <w14:solidFill>
              <w14:schemeClr w14:val="tx1"/>
            </w14:solidFill>
          </w14:textFill>
        </w:rPr>
        <w:t xml:space="preserve">9、响应文件的语言及度量衡单位</w:t>
      </w:r>
      <w:bookmarkEnd w:id="100"/>
      <w:r/>
      <w:bookmarkEnd w:id="101"/>
      <w:r/>
      <w:bookmarkEnd w:id="102"/>
      <w:r/>
      <w:bookmarkEnd w:id="103"/>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9.1</w:t>
      </w:r>
      <w:r>
        <w:rPr>
          <w:rFonts w:hint="eastAsia" w:ascii="仿宋" w:hAnsi="仿宋" w:eastAsia="仿宋" w:cs="仿宋"/>
          <w:color w:val="000000" w:themeColor="text1"/>
          <w:sz w:val="24"/>
          <w:szCs w:val="21"/>
          <w14:textFill>
            <w14:solidFill>
              <w14:schemeClr w14:val="tx1"/>
            </w14:solidFill>
          </w14:textFill>
        </w:rPr>
        <w:t xml:space="preserve">供应商提交的响应文件以及供应商与采购代理机构就有关磋商的所有来往通知、函件和文件均应使用</w:t>
      </w:r>
      <w:r>
        <w:rPr>
          <w:rFonts w:hint="eastAsia" w:ascii="仿宋" w:hAnsi="仿宋" w:eastAsia="仿宋" w:cs="仿宋"/>
          <w:b/>
          <w:bCs/>
          <w:color w:val="000000" w:themeColor="text1"/>
          <w:sz w:val="24"/>
          <w:szCs w:val="21"/>
          <w14:textFill>
            <w14:solidFill>
              <w14:schemeClr w14:val="tx1"/>
            </w14:solidFill>
          </w14:textFill>
        </w:rPr>
        <w:t xml:space="preserve">简体中文</w:t>
      </w:r>
      <w:r>
        <w:rPr>
          <w:rFonts w:hint="eastAsia" w:ascii="仿宋" w:hAnsi="仿宋" w:eastAsia="仿宋" w:cs="仿宋"/>
          <w:color w:val="000000" w:themeColor="text1"/>
          <w:sz w:val="24"/>
          <w:szCs w:val="21"/>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9.2</w:t>
      </w:r>
      <w:r>
        <w:rPr>
          <w:rFonts w:hint="eastAsia" w:ascii="仿宋" w:hAnsi="仿宋" w:eastAsia="仿宋" w:cs="仿宋"/>
          <w:color w:val="000000" w:themeColor="text1"/>
          <w:sz w:val="24"/>
          <w:szCs w:val="21"/>
          <w14:textFill>
            <w14:solidFill>
              <w14:schemeClr w14:val="tx1"/>
            </w14:solidFill>
          </w14:textFill>
        </w:rPr>
        <w:t xml:space="preserve"> 除技术性能另有规定外，响应文件所使用的度量衡单位，均须采用国家法定计量单位。</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04" w:name="_Toc20823287"/>
      <w:r/>
      <w:bookmarkStart w:id="105" w:name="_Toc16938531"/>
      <w:r/>
      <w:bookmarkStart w:id="106" w:name="_Toc462564074"/>
      <w:r/>
      <w:bookmarkStart w:id="107" w:name="_Toc513029215"/>
      <w:r>
        <w:rPr>
          <w:rFonts w:hint="eastAsia" w:ascii="仿宋" w:hAnsi="仿宋" w:eastAsia="仿宋" w:cs="仿宋"/>
          <w:color w:val="000000" w:themeColor="text1"/>
          <w:sz w:val="28"/>
          <w:szCs w:val="28"/>
          <w14:textFill>
            <w14:solidFill>
              <w14:schemeClr w14:val="tx1"/>
            </w14:solidFill>
          </w14:textFill>
        </w:rPr>
        <w:t xml:space="preserve">10、响应文件构成</w:t>
      </w:r>
      <w:bookmarkEnd w:id="104"/>
      <w:r/>
      <w:bookmarkEnd w:id="105"/>
      <w:r/>
      <w:bookmarkEnd w:id="106"/>
      <w:r/>
      <w:bookmarkEnd w:id="107"/>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10.1</w:t>
      </w:r>
      <w:r>
        <w:rPr>
          <w:rFonts w:hint="eastAsia" w:ascii="仿宋" w:hAnsi="仿宋" w:eastAsia="仿宋" w:cs="仿宋"/>
          <w:bCs/>
          <w:color w:val="000000" w:themeColor="text1"/>
          <w:sz w:val="24"/>
          <w14:textFill>
            <w14:solidFill>
              <w14:schemeClr w14:val="tx1"/>
            </w14:solidFill>
          </w14:textFill>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各供应商在编制</w:t>
      </w:r>
      <w:r>
        <w:rPr>
          <w:rFonts w:hint="eastAsia" w:ascii="仿宋" w:hAnsi="仿宋" w:eastAsia="仿宋" w:cs="仿宋"/>
          <w:bCs/>
          <w:color w:val="000000" w:themeColor="text1"/>
          <w:sz w:val="24"/>
          <w14:textFill>
            <w14:solidFill>
              <w14:schemeClr w14:val="tx1"/>
            </w14:solidFill>
          </w14:textFill>
        </w:rPr>
        <w:t xml:space="preserve">响应文件</w:t>
      </w:r>
      <w:r>
        <w:rPr>
          <w:rFonts w:hint="eastAsia" w:ascii="仿宋" w:hAnsi="仿宋" w:eastAsia="仿宋" w:cs="仿宋"/>
          <w:bCs/>
          <w:color w:val="000000" w:themeColor="text1"/>
          <w:sz w:val="24"/>
          <w:lang w:val="zh-CN"/>
          <w14:textFill>
            <w14:solidFill>
              <w14:schemeClr w14:val="tx1"/>
            </w14:solidFill>
          </w14:textFill>
        </w:rPr>
        <w:t xml:space="preserve">时请按照磋商文件第六</w:t>
      </w:r>
      <w:r>
        <w:rPr>
          <w:rFonts w:hint="eastAsia" w:ascii="仿宋" w:hAnsi="仿宋" w:eastAsia="仿宋" w:cs="仿宋"/>
          <w:bCs/>
          <w:color w:val="000000" w:themeColor="text1"/>
          <w:sz w:val="24"/>
          <w14:textFill>
            <w14:solidFill>
              <w14:schemeClr w14:val="tx1"/>
            </w14:solidFill>
          </w14:textFill>
        </w:rPr>
        <w:t xml:space="preserve">章</w:t>
      </w:r>
      <w:r>
        <w:rPr>
          <w:rFonts w:hint="eastAsia" w:ascii="仿宋" w:hAnsi="仿宋" w:eastAsia="仿宋" w:cs="仿宋"/>
          <w:bCs/>
          <w:color w:val="000000" w:themeColor="text1"/>
          <w:sz w:val="24"/>
          <w:lang w:val="zh-CN"/>
          <w14:textFill>
            <w14:solidFill>
              <w14:schemeClr w14:val="tx1"/>
            </w14:solidFill>
          </w14:textFill>
        </w:rPr>
        <w:t xml:space="preserve">规定的格式进行，混乱的编排导致</w:t>
      </w:r>
      <w:r>
        <w:rPr>
          <w:rFonts w:hint="eastAsia" w:ascii="仿宋" w:hAnsi="仿宋" w:eastAsia="仿宋" w:cs="仿宋"/>
          <w:bCs/>
          <w:color w:val="000000" w:themeColor="text1"/>
          <w:sz w:val="24"/>
          <w14:textFill>
            <w14:solidFill>
              <w14:schemeClr w14:val="tx1"/>
            </w14:solidFill>
          </w14:textFill>
        </w:rPr>
        <w:t xml:space="preserve">响应</w:t>
      </w:r>
      <w:r>
        <w:rPr>
          <w:rFonts w:hint="eastAsia" w:ascii="仿宋" w:hAnsi="仿宋" w:eastAsia="仿宋" w:cs="仿宋"/>
          <w:bCs/>
          <w:color w:val="000000" w:themeColor="text1"/>
          <w:sz w:val="24"/>
          <w:lang w:val="zh-CN"/>
          <w14:textFill>
            <w14:solidFill>
              <w14:schemeClr w14:val="tx1"/>
            </w14:solidFill>
          </w14:textFill>
        </w:rPr>
        <w:t xml:space="preserve">文件被误读或磋商小组查找不到有效文件是供应商的风险。</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10.2</w:t>
      </w:r>
      <w:r>
        <w:rPr>
          <w:rFonts w:hint="eastAsia" w:ascii="仿宋" w:hAnsi="仿宋" w:eastAsia="仿宋" w:cs="仿宋"/>
          <w:color w:val="000000" w:themeColor="text1"/>
          <w:sz w:val="24"/>
          <w14:textFill>
            <w14:solidFill>
              <w14:schemeClr w14:val="tx1"/>
            </w14:solidFill>
          </w14:textFill>
        </w:rPr>
        <w:t xml:space="preserve">供应商编写的响应文件应包括资格证明文件、已标价的工程量清单、其他证明文件、磋商申请及声明函、开标一览表等部分。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10.3响应文件须加盖电子签章之处，应按要求加盖</w:t>
      </w:r>
      <w:r>
        <w:rPr>
          <w:rFonts w:hint="eastAsia" w:ascii="仿宋" w:hAnsi="仿宋" w:eastAsia="仿宋" w:cs="仿宋"/>
          <w:bCs/>
          <w:color w:val="000000" w:themeColor="text1"/>
          <w:sz w:val="24"/>
          <w:lang w:val="zh-CN"/>
          <w14:textFill>
            <w14:solidFill>
              <w14:schemeClr w14:val="tx1"/>
            </w14:solidFill>
          </w14:textFill>
        </w:rPr>
        <w:t xml:space="preserve">供应商</w:t>
      </w:r>
      <w:r>
        <w:rPr>
          <w:rFonts w:hint="eastAsia" w:ascii="仿宋" w:hAnsi="仿宋" w:eastAsia="仿宋" w:cs="仿宋"/>
          <w:bCs/>
          <w:color w:val="000000" w:themeColor="text1"/>
          <w:sz w:val="24"/>
          <w14:textFill>
            <w14:solidFill>
              <w14:schemeClr w14:val="tx1"/>
            </w14:solidFill>
          </w14:textFill>
        </w:rPr>
        <w:t xml:space="preserve">数字证书的电子签章。其他需要盖章但未明确要求电子签章的，</w:t>
      </w:r>
      <w:r>
        <w:rPr>
          <w:rFonts w:hint="eastAsia" w:ascii="仿宋" w:hAnsi="仿宋" w:eastAsia="仿宋" w:cs="仿宋"/>
          <w:bCs/>
          <w:color w:val="000000" w:themeColor="text1"/>
          <w:sz w:val="24"/>
          <w:lang w:val="zh-CN"/>
          <w14:textFill>
            <w14:solidFill>
              <w14:schemeClr w14:val="tx1"/>
            </w14:solidFill>
          </w14:textFill>
        </w:rPr>
        <w:t xml:space="preserve">供应商</w:t>
      </w:r>
      <w:r>
        <w:rPr>
          <w:rFonts w:hint="eastAsia" w:ascii="仿宋" w:hAnsi="仿宋" w:eastAsia="仿宋" w:cs="仿宋"/>
          <w:bCs/>
          <w:color w:val="000000" w:themeColor="text1"/>
          <w:sz w:val="24"/>
          <w14:textFill>
            <w14:solidFill>
              <w14:schemeClr w14:val="tx1"/>
            </w14:solidFill>
          </w14:textFill>
        </w:rPr>
        <w:t xml:space="preserve">可按要求加盖公章后上传材料电子件或直接加盖电子签章。</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10.4本项目通过“苏采云”系统进行电子招标投标，即</w:t>
      </w:r>
      <w:r>
        <w:rPr>
          <w:rFonts w:hint="eastAsia" w:ascii="仿宋" w:hAnsi="仿宋" w:eastAsia="仿宋" w:cs="仿宋"/>
          <w:bCs/>
          <w:color w:val="000000" w:themeColor="text1"/>
          <w:sz w:val="24"/>
          <w:lang w:val="zh-CN"/>
          <w14:textFill>
            <w14:solidFill>
              <w14:schemeClr w14:val="tx1"/>
            </w14:solidFill>
          </w14:textFill>
        </w:rPr>
        <w:t xml:space="preserve">供应商</w:t>
      </w:r>
      <w:r>
        <w:rPr>
          <w:rFonts w:hint="eastAsia" w:ascii="仿宋" w:hAnsi="仿宋" w:eastAsia="仿宋" w:cs="仿宋"/>
          <w:bCs/>
          <w:color w:val="000000" w:themeColor="text1"/>
          <w:sz w:val="24"/>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themeColor="text1"/>
          <w:sz w:val="24"/>
          <w:lang w:val="zh-CN"/>
          <w14:textFill>
            <w14:solidFill>
              <w14:schemeClr w14:val="tx1"/>
            </w14:solidFill>
          </w14:textFill>
        </w:rPr>
        <w:t xml:space="preserve">供应商</w:t>
      </w:r>
      <w:r>
        <w:rPr>
          <w:rFonts w:hint="eastAsia" w:ascii="仿宋" w:hAnsi="仿宋" w:eastAsia="仿宋" w:cs="仿宋"/>
          <w:bCs/>
          <w:color w:val="000000" w:themeColor="text1"/>
          <w:sz w:val="24"/>
          <w14:textFill>
            <w14:solidFill>
              <w14:schemeClr w14:val="tx1"/>
            </w14:solidFill>
          </w14:textFill>
        </w:rPr>
        <w:t xml:space="preserve">，按照无效响应处理（因“苏采云”系统导致解密失败的除外）。</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10.5如标书制作工具中格式和内容与“江苏省政府采购网”发布的磋商文件不一致，请以“江苏省政府采购网”发布的磋商文件为准。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10.6成交后按相关要求提供与电子响应文件一致的纸质打印响应文件3份。 </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bookmarkStart w:id="108" w:name="EBc50e2bb832bb43068403b10c1cce6141"/>
      <w:r>
        <w:rPr>
          <w:rFonts w:hint="eastAsia" w:ascii="仿宋" w:hAnsi="仿宋" w:eastAsia="仿宋" w:cs="仿宋"/>
          <w:bCs/>
          <w:color w:val="000000" w:themeColor="text1"/>
          <w:sz w:val="24"/>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8"/>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09" w:name="_Hlt26670360"/>
      <w:r/>
      <w:bookmarkEnd w:id="109"/>
      <w:r/>
      <w:bookmarkStart w:id="110" w:name="_Hlt26954838"/>
      <w:r/>
      <w:bookmarkEnd w:id="110"/>
      <w:r/>
      <w:bookmarkStart w:id="111" w:name="_Hlt26668975"/>
      <w:r/>
      <w:bookmarkEnd w:id="111"/>
      <w:r/>
      <w:bookmarkStart w:id="112" w:name="_Toc14577357"/>
      <w:r/>
      <w:bookmarkStart w:id="113" w:name="_Toc49090509"/>
      <w:r/>
      <w:bookmarkStart w:id="114" w:name="_Toc49090507"/>
      <w:r/>
      <w:bookmarkStart w:id="115" w:name="_Toc513029219"/>
      <w:r/>
      <w:bookmarkStart w:id="116" w:name="_Toc14577354"/>
      <w:r/>
      <w:bookmarkStart w:id="117" w:name="_Toc513029216"/>
      <w:r/>
      <w:bookmarkStart w:id="118" w:name="_Toc14577355"/>
      <w:r/>
      <w:bookmarkStart w:id="119" w:name="_Toc49090508"/>
      <w:r>
        <w:rPr>
          <w:rFonts w:hint="eastAsia" w:ascii="仿宋" w:hAnsi="仿宋" w:eastAsia="仿宋" w:cs="仿宋"/>
          <w:color w:val="000000" w:themeColor="text1"/>
          <w:sz w:val="28"/>
          <w:szCs w:val="28"/>
          <w14:textFill>
            <w14:solidFill>
              <w14:schemeClr w14:val="tx1"/>
            </w14:solidFill>
          </w14:textFill>
        </w:rPr>
        <w:t xml:space="preserve">11、证明磋商响应标的符合磋商文件规定的文件</w:t>
      </w:r>
      <w:bookmarkEnd w:id="112"/>
      <w:r/>
      <w:bookmarkEnd w:id="113"/>
      <w:r/>
      <w:bookmarkEnd w:id="114"/>
      <w:r/>
      <w:bookmarkEnd w:id="115"/>
      <w:r/>
      <w:bookmarkEnd w:id="116"/>
      <w:r/>
      <w:bookmarkEnd w:id="117"/>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11.1供应商应按照磋商文件要求提交证明文件，证明其及磋商响应标的符合磋商文件规定。</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11.2磋商文件对证明文件无明确形式要求的，证明文件可以以文字资料、图纸和数据等形式提交。</w:t>
      </w:r>
      <w:bookmarkEnd w:id="118"/>
      <w:r/>
      <w:bookmarkEnd w:id="119"/>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12、已标价的工程量清单</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12.1供应商应按照磋商文件规定格式填报已标价的工程量清单。</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他有价款的单价或合价内。</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12.1.2报价编制的参考依据：①《建设工程工程量清单计价规范》（GB50500-2013）及其配套的计算规范；②2014版《江苏省建筑与装饰工程计价定额》、2014版《江苏省市政工程计价定额》、2014版《江苏省安装工程计价定额》等；③招标文件、招标答疑、工程量清单、施工规范等；④2014年《江苏省建设工程费用定额》、苏建价〔2016〕154号文；⑤其他相关文件规定。</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12.1.3供应商不得改变不可竞争费用。</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12.2</w:t>
      </w:r>
      <w:r>
        <w:rPr>
          <w:rFonts w:hint="eastAsia" w:ascii="仿宋" w:hAnsi="仿宋" w:eastAsia="仿宋" w:cs="仿宋"/>
          <w:bCs/>
          <w:color w:val="000000" w:themeColor="text1"/>
          <w:sz w:val="24"/>
          <w:szCs w:val="21"/>
          <w14:textFill>
            <w14:solidFill>
              <w14:schemeClr w14:val="tx1"/>
            </w14:solidFill>
          </w14:textFill>
        </w:rPr>
        <w:t xml:space="preserve">磋商货币。响应文件中的单价和总价无特殊规定的采用人民币报价，以元为单位标注。</w:t>
      </w:r>
      <w:r>
        <w:rPr>
          <w:rFonts w:hint="eastAsia" w:ascii="仿宋" w:hAnsi="仿宋" w:eastAsia="仿宋" w:cs="仿宋"/>
          <w:color w:val="000000" w:themeColor="text1"/>
          <w:sz w:val="24"/>
          <w:szCs w:val="21"/>
          <w14:textFill>
            <w14:solidFill>
              <w14:schemeClr w14:val="tx1"/>
            </w14:solidFill>
          </w14:textFill>
        </w:rPr>
        <w:t xml:space="preserve">磋商文件中另有规定的按规定执行。</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12.3本项目不接受备选的投标方案或有选择的报价，只允许有一个报价。供应商响应文件中的报价作为首次报价，不公开；以最后报价作为评审价。投标报价内容包括：</w:t>
      </w:r>
      <w:bookmarkStart w:id="120" w:name="EB75f48e9561ee41d4955ed4174c5e92e6"/>
      <w:r>
        <w:rPr>
          <w:rFonts w:hint="eastAsia" w:ascii="仿宋" w:hAnsi="仿宋" w:eastAsia="仿宋" w:cs="仿宋"/>
          <w:bCs/>
          <w:color w:val="000000" w:themeColor="text1"/>
          <w:sz w:val="24"/>
          <w:u w:val="single"/>
          <w14:textFill>
            <w14:solidFill>
              <w14:schemeClr w14:val="tx1"/>
            </w14:solidFill>
          </w14:textFill>
        </w:rPr>
        <w:t xml:space="preserve">磋商文件所确定的范围内全部内容，包括工程量清单和相应的内容的价格体现，人工费、材料费、机械费、管理费、利润、税金以及政策性文件规定的各项应有费用等为完成本项目所需一切费用</w:t>
      </w:r>
      <w:r>
        <w:rPr>
          <w:rFonts w:hint="eastAsia" w:ascii="仿宋" w:hAnsi="仿宋" w:eastAsia="仿宋" w:cs="仿宋"/>
          <w:bCs/>
          <w:color w:val="000000" w:themeColor="text1"/>
          <w:sz w:val="24"/>
          <w14:textFill>
            <w14:solidFill>
              <w14:schemeClr w14:val="tx1"/>
            </w14:solidFill>
          </w14:textFill>
        </w:rPr>
        <w:t xml:space="preserve">。</w:t>
      </w:r>
      <w:bookmarkEnd w:id="120"/>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21" w:name="_Hlt26954848"/>
      <w:r/>
      <w:bookmarkEnd w:id="121"/>
      <w:r/>
      <w:bookmarkStart w:id="122" w:name="_Hlt26954731"/>
      <w:r/>
      <w:bookmarkEnd w:id="122"/>
      <w:r/>
      <w:bookmarkStart w:id="123" w:name="_Hlt26954846"/>
      <w:r/>
      <w:bookmarkEnd w:id="123"/>
      <w:r/>
      <w:bookmarkStart w:id="124" w:name="_Hlt26670486"/>
      <w:r/>
      <w:bookmarkEnd w:id="124"/>
      <w:r/>
      <w:bookmarkStart w:id="125" w:name="_Hlt26670482"/>
      <w:r/>
      <w:bookmarkEnd w:id="125"/>
      <w:r>
        <w:rPr>
          <w:rFonts w:hint="eastAsia" w:ascii="仿宋" w:hAnsi="仿宋" w:eastAsia="仿宋" w:cs="仿宋"/>
          <w:color w:val="000000" w:themeColor="text1"/>
          <w:sz w:val="28"/>
          <w:szCs w:val="28"/>
          <w14:textFill>
            <w14:solidFill>
              <w14:schemeClr w14:val="tx1"/>
            </w14:solidFill>
          </w14:textFill>
        </w:rPr>
        <w:t xml:space="preserve">13、技术要求响应及偏离表、商务要求响应及偏离表</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13.2供应商可在响应文件中提供认为需要的其他技术文件或说明。</w:t>
      </w:r>
      <w:r/>
    </w:p>
    <w:p>
      <w:pPr>
        <w:ind w:firstLine="482"/>
        <w:keepLines/>
        <w:keepNext/>
        <w:spacing w:line="40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14、服务承诺、</w:t>
      </w:r>
      <w:bookmarkStart w:id="126" w:name="_Toc14577359"/>
      <w:r/>
      <w:bookmarkStart w:id="127" w:name="_Toc49090510"/>
      <w:r>
        <w:rPr>
          <w:rFonts w:hint="eastAsia" w:ascii="仿宋" w:hAnsi="仿宋" w:eastAsia="仿宋" w:cs="仿宋"/>
          <w:color w:val="000000" w:themeColor="text1"/>
          <w:sz w:val="28"/>
          <w:szCs w:val="28"/>
          <w14:textFill>
            <w14:solidFill>
              <w14:schemeClr w14:val="tx1"/>
            </w14:solidFill>
          </w14:textFill>
        </w:rPr>
        <w:t xml:space="preserve">项目实施方案、人员安排及其他</w:t>
      </w:r>
      <w:r/>
    </w:p>
    <w:p>
      <w:pPr>
        <w:ind w:firstLine="480"/>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14.1供应商需根据磋商文件要求提供有关项目实施方案总体概述，施工现场布置方案，施工进度计划和各阶段进度的保证措施方案，安全措施、施工过程重点难点分析、质量安全的保证措施方案、文明及环保措施，劳动力、机械设备和材料投入计划方案。</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15、磋商响应函</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15.1</w:t>
      </w:r>
      <w:r>
        <w:rPr>
          <w:rFonts w:hint="eastAsia" w:ascii="仿宋" w:hAnsi="仿宋" w:eastAsia="仿宋" w:cs="仿宋"/>
          <w:color w:val="000000" w:themeColor="text1"/>
          <w:sz w:val="24"/>
          <w:szCs w:val="21"/>
          <w14:textFill>
            <w14:solidFill>
              <w14:schemeClr w14:val="tx1"/>
            </w14:solidFill>
          </w14:textFill>
        </w:rPr>
        <w:t xml:space="preserve">供应商应按照磋商文件中提供的格式完整、正确填写磋商响应函。</w:t>
      </w:r>
      <w:bookmarkEnd w:id="126"/>
      <w:r/>
      <w:bookmarkEnd w:id="127"/>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28" w:name="_Toc14577360"/>
      <w:r/>
      <w:bookmarkStart w:id="129" w:name="_Toc49090511"/>
      <w:r>
        <w:rPr>
          <w:rFonts w:hint="eastAsia" w:ascii="仿宋" w:hAnsi="仿宋" w:eastAsia="仿宋" w:cs="仿宋"/>
          <w:color w:val="000000" w:themeColor="text1"/>
          <w:sz w:val="28"/>
          <w:szCs w:val="28"/>
          <w14:textFill>
            <w14:solidFill>
              <w14:schemeClr w14:val="tx1"/>
            </w14:solidFill>
          </w14:textFill>
        </w:rPr>
        <w:t xml:space="preserve">16、磋商有效期</w:t>
      </w:r>
      <w:bookmarkEnd w:id="128"/>
      <w:r/>
      <w:bookmarkEnd w:id="129"/>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16.1磋商有效期为提交响应文件截止之日后</w:t>
      </w:r>
      <w:r>
        <w:rPr>
          <w:rFonts w:hint="eastAsia" w:ascii="仿宋" w:hAnsi="仿宋" w:eastAsia="仿宋" w:cs="仿宋"/>
          <w:b/>
          <w:color w:val="000000" w:themeColor="text1"/>
          <w:sz w:val="24"/>
          <w:szCs w:val="21"/>
          <w:u w:val="single"/>
          <w14:textFill>
            <w14:solidFill>
              <w14:schemeClr w14:val="tx1"/>
            </w14:solidFill>
          </w14:textFill>
        </w:rPr>
        <w:t xml:space="preserve">六十（60）天</w:t>
      </w:r>
      <w:r>
        <w:rPr>
          <w:rFonts w:hint="eastAsia" w:ascii="仿宋" w:hAnsi="仿宋" w:eastAsia="仿宋" w:cs="仿宋"/>
          <w:bCs/>
          <w:color w:val="000000" w:themeColor="text1"/>
          <w:sz w:val="24"/>
          <w:szCs w:val="21"/>
          <w14:textFill>
            <w14:solidFill>
              <w14:schemeClr w14:val="tx1"/>
            </w14:solidFill>
          </w14:textFill>
        </w:rPr>
        <w:t xml:space="preserve">。磋商有效期比规定短的将被视为非实质性响应磋商文件而予以拒绝。</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17、磋商有效期的延长</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17.1在特殊情况下，</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bCs/>
          <w:color w:val="000000" w:themeColor="text1"/>
          <w:sz w:val="24"/>
          <w:szCs w:val="21"/>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bCs/>
          <w:color w:val="000000" w:themeColor="text1"/>
          <w:sz w:val="24"/>
          <w:szCs w:val="21"/>
          <w14:textFill>
            <w14:solidFill>
              <w14:schemeClr w14:val="tx1"/>
            </w14:solidFill>
          </w14:textFill>
        </w:rPr>
        <w:t xml:space="preserve">的这一要求而放弃磋商，同意延长磋商有效期的供应商既不能要求也不允许修改其响应文件。</w:t>
      </w:r>
      <w:r>
        <w:rPr>
          <w:rFonts w:hint="eastAsia" w:ascii="仿宋" w:hAnsi="仿宋" w:eastAsia="仿宋" w:cs="仿宋"/>
          <w:color w:val="000000" w:themeColor="text1"/>
          <w:sz w:val="24"/>
          <w:szCs w:val="24"/>
          <w14:textFill>
            <w14:solidFill>
              <w14:schemeClr w14:val="tx1"/>
            </w14:solidFill>
          </w14:textFill>
        </w:rPr>
        <w:t xml:space="preserve">受磋商有效期约束的所有权利与义务均延长至新的有效期</w:t>
      </w:r>
      <w:r>
        <w:rPr>
          <w:rFonts w:hint="eastAsia" w:ascii="仿宋" w:hAnsi="仿宋" w:eastAsia="仿宋" w:cs="仿宋"/>
          <w:bCs/>
          <w:color w:val="000000" w:themeColor="text1"/>
          <w:sz w:val="24"/>
          <w:szCs w:val="21"/>
          <w14:textFill>
            <w14:solidFill>
              <w14:schemeClr w14:val="tx1"/>
            </w14:solidFill>
          </w14:textFill>
        </w:rPr>
        <w:t xml:space="preserve">。</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17.2</w:t>
      </w:r>
      <w:r>
        <w:rPr>
          <w:rFonts w:hint="eastAsia" w:ascii="仿宋" w:hAnsi="仿宋" w:eastAsia="仿宋" w:cs="仿宋"/>
          <w:color w:val="000000" w:themeColor="text1"/>
          <w:sz w:val="24"/>
          <w14:textFill>
            <w14:solidFill>
              <w14:schemeClr w14:val="tx1"/>
            </w14:solidFill>
          </w14:textFill>
        </w:rPr>
        <w:t xml:space="preserve">成交人的响应文件作为项目合同的附件，其有效期至成交人全部合同义务履行完毕为止。</w:t>
      </w:r>
      <w:r/>
    </w:p>
    <w:p>
      <w:pPr>
        <w:ind w:firstLine="482"/>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30" w:name="_Hlt26954739"/>
      <w:r/>
      <w:bookmarkEnd w:id="130"/>
      <w:r/>
      <w:bookmarkStart w:id="131" w:name="_Hlt26954852"/>
      <w:r/>
      <w:bookmarkEnd w:id="131"/>
      <w:r/>
      <w:bookmarkStart w:id="132" w:name="_Toc16938540"/>
      <w:r/>
      <w:bookmarkStart w:id="133" w:name="_Toc513029224"/>
      <w:r/>
      <w:bookmarkStart w:id="134" w:name="_Toc169207391"/>
      <w:r/>
      <w:bookmarkStart w:id="135" w:name="_Toc120614217"/>
      <w:r/>
      <w:bookmarkStart w:id="136" w:name="_Toc20823296"/>
      <w:r>
        <w:rPr>
          <w:rFonts w:hint="eastAsia" w:ascii="仿宋" w:hAnsi="仿宋" w:eastAsia="仿宋" w:cs="仿宋"/>
          <w:b/>
          <w:bCs/>
          <w:color w:val="000000" w:themeColor="text1"/>
          <w:sz w:val="32"/>
          <w:szCs w:val="32"/>
          <w14:textFill>
            <w14:solidFill>
              <w14:schemeClr w14:val="tx1"/>
            </w14:solidFill>
          </w14:textFill>
        </w:rPr>
        <w:t xml:space="preserve">四、响应文件的递交</w:t>
      </w:r>
      <w:bookmarkEnd w:id="132"/>
      <w:r/>
      <w:bookmarkEnd w:id="133"/>
      <w:r/>
      <w:bookmarkEnd w:id="134"/>
      <w:r/>
      <w:bookmarkEnd w:id="135"/>
      <w:r/>
      <w:bookmarkEnd w:id="136"/>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37" w:name="_Toc20823297"/>
      <w:r/>
      <w:bookmarkStart w:id="138" w:name="_Toc462564084"/>
      <w:r/>
      <w:bookmarkStart w:id="139" w:name="_Toc513029225"/>
      <w:r/>
      <w:bookmarkStart w:id="140" w:name="_Toc16938541"/>
      <w:r>
        <w:rPr>
          <w:rFonts w:hint="eastAsia" w:ascii="仿宋" w:hAnsi="仿宋" w:eastAsia="仿宋" w:cs="仿宋"/>
          <w:color w:val="000000" w:themeColor="text1"/>
          <w:sz w:val="28"/>
          <w:szCs w:val="28"/>
          <w14:textFill>
            <w14:solidFill>
              <w14:schemeClr w14:val="tx1"/>
            </w14:solidFill>
          </w14:textFill>
        </w:rPr>
        <w:t xml:space="preserve">18、电子磋商</w:t>
      </w:r>
      <w:bookmarkEnd w:id="137"/>
      <w:r/>
      <w:bookmarkEnd w:id="138"/>
      <w:r/>
      <w:bookmarkEnd w:id="139"/>
      <w:r/>
      <w:bookmarkEnd w:id="140"/>
      <w:r>
        <w:rPr>
          <w:rFonts w:hint="eastAsia" w:ascii="仿宋" w:hAnsi="仿宋" w:eastAsia="仿宋" w:cs="仿宋"/>
          <w:color w:val="000000" w:themeColor="text1"/>
          <w:sz w:val="28"/>
          <w:szCs w:val="28"/>
          <w14:textFill>
            <w14:solidFill>
              <w14:schemeClr w14:val="tx1"/>
            </w14:solidFill>
          </w14:textFill>
        </w:rPr>
        <w:t xml:space="preserve">响应文件的递交</w:t>
      </w:r>
      <w:r/>
    </w:p>
    <w:p>
      <w:pPr>
        <w:ind w:firstLine="60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18.1供应商应当按照《操作手册》规定，在提交响应文件截止时间前制作并上传电子响应文件。</w:t>
      </w:r>
      <w:bookmarkStart w:id="141" w:name="_Toc16938542"/>
      <w:r/>
      <w:bookmarkStart w:id="142" w:name="_Toc513029226"/>
      <w:r/>
      <w:bookmarkStart w:id="143" w:name="_Toc20823298"/>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18.2投标人通过“苏采云”系统不见面开标大厅在线参与开标活动。（具体操作详见《“苏采云”系统投标人操作手册》。</w:t>
      </w:r>
      <w:r/>
    </w:p>
    <w:p>
      <w:pPr>
        <w:ind w:firstLine="560"/>
        <w:keepLines/>
        <w:keepNext/>
        <w:spacing w:line="560" w:lineRule="exact"/>
        <w:rPr>
          <w:rFonts w:hint="eastAsia" w:ascii="仿宋" w:hAnsi="仿宋" w:eastAsia="仿宋" w:cs="仿宋"/>
          <w:bCs/>
          <w:color w:val="000000" w:themeColor="text1"/>
          <w:sz w:val="24"/>
          <w:szCs w:val="28"/>
          <w14:textFill>
            <w14:solidFill>
              <w14:schemeClr w14:val="tx1"/>
            </w14:solidFill>
          </w14:textFill>
        </w:rPr>
        <w:outlineLvl w:val="3"/>
      </w:pPr>
      <w:r>
        <w:rPr>
          <w:rFonts w:hint="eastAsia" w:ascii="仿宋" w:hAnsi="仿宋" w:eastAsia="仿宋" w:cs="仿宋"/>
          <w:bCs/>
          <w:color w:val="000000" w:themeColor="text1"/>
          <w:sz w:val="28"/>
          <w:szCs w:val="28"/>
          <w14:textFill>
            <w14:solidFill>
              <w14:schemeClr w14:val="tx1"/>
            </w14:solidFill>
          </w14:textFill>
        </w:rPr>
        <w:t xml:space="preserve">19、提交响应文件截止时间</w:t>
      </w:r>
      <w:bookmarkEnd w:id="141"/>
      <w:r/>
      <w:bookmarkEnd w:id="142"/>
      <w:r/>
      <w:bookmarkEnd w:id="143"/>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19.1供应商上传电子响应文件的时间不得迟于磋商公告中规定的提交响应文件截止时间。</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19.2采购代理机构</w:t>
      </w:r>
      <w:r>
        <w:rPr>
          <w:rFonts w:hint="eastAsia" w:ascii="仿宋" w:hAnsi="仿宋" w:eastAsia="仿宋" w:cs="仿宋"/>
          <w:bCs/>
          <w:color w:val="000000" w:themeColor="text1"/>
          <w:sz w:val="24"/>
          <w:szCs w:val="21"/>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44" w:name="_Toc16938543"/>
      <w:r/>
      <w:bookmarkStart w:id="145" w:name="_Toc20823299"/>
      <w:r/>
      <w:bookmarkStart w:id="146" w:name="_Toc513029227"/>
      <w:r>
        <w:rPr>
          <w:rFonts w:hint="eastAsia" w:ascii="仿宋" w:hAnsi="仿宋" w:eastAsia="仿宋" w:cs="仿宋"/>
          <w:color w:val="000000" w:themeColor="text1"/>
          <w:sz w:val="28"/>
          <w:szCs w:val="28"/>
          <w14:textFill>
            <w14:solidFill>
              <w14:schemeClr w14:val="tx1"/>
            </w14:solidFill>
          </w14:textFill>
        </w:rPr>
        <w:t xml:space="preserve">20、响应文件</w:t>
      </w:r>
      <w:bookmarkEnd w:id="144"/>
      <w:r/>
      <w:bookmarkEnd w:id="145"/>
      <w:r/>
      <w:bookmarkEnd w:id="146"/>
      <w:r>
        <w:rPr>
          <w:rFonts w:hint="eastAsia" w:ascii="仿宋" w:hAnsi="仿宋" w:eastAsia="仿宋" w:cs="仿宋"/>
          <w:color w:val="000000" w:themeColor="text1"/>
          <w:sz w:val="28"/>
          <w:szCs w:val="28"/>
          <w14:textFill>
            <w14:solidFill>
              <w14:schemeClr w14:val="tx1"/>
            </w14:solidFill>
          </w14:textFill>
        </w:rPr>
        <w:t xml:space="preserve">的拒收</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20.1 </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bCs/>
          <w:color w:val="000000" w:themeColor="text1"/>
          <w:sz w:val="24"/>
          <w:szCs w:val="21"/>
          <w14:textFill>
            <w14:solidFill>
              <w14:schemeClr w14:val="tx1"/>
            </w14:solidFill>
          </w14:textFill>
        </w:rPr>
        <w:t xml:space="preserve">拒绝接收在其规定的提交响应文件截止时间后上传的任何电子响应文件。</w:t>
      </w:r>
      <w:r>
        <w:rPr>
          <w:rFonts w:hint="eastAsia" w:ascii="仿宋" w:hAnsi="仿宋" w:eastAsia="仿宋" w:cs="仿宋"/>
          <w:bCs/>
          <w:color w:val="000000" w:themeColor="text1"/>
          <w:sz w:val="24"/>
          <w14:textFill>
            <w14:solidFill>
              <w14:schemeClr w14:val="tx1"/>
            </w14:solidFill>
          </w14:textFill>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47" w:name="_Toc20823300"/>
      <w:r/>
      <w:bookmarkStart w:id="148" w:name="_Toc513029228"/>
      <w:r/>
      <w:bookmarkStart w:id="149" w:name="_Toc16938544"/>
      <w:r>
        <w:rPr>
          <w:rFonts w:hint="eastAsia" w:ascii="仿宋" w:hAnsi="仿宋" w:eastAsia="仿宋" w:cs="仿宋"/>
          <w:color w:val="000000" w:themeColor="text1"/>
          <w:sz w:val="28"/>
          <w:szCs w:val="28"/>
          <w14:textFill>
            <w14:solidFill>
              <w14:schemeClr w14:val="tx1"/>
            </w14:solidFill>
          </w14:textFill>
        </w:rPr>
        <w:t xml:space="preserve">21、响应文件的撤回和修改</w:t>
      </w:r>
      <w:bookmarkEnd w:id="147"/>
      <w:r/>
      <w:bookmarkEnd w:id="148"/>
      <w:r/>
      <w:bookmarkEnd w:id="149"/>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21.1响应文件的撤回</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21.1.1电子响应文件的撤回</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供应商可在</w:t>
      </w:r>
      <w:r>
        <w:rPr>
          <w:rFonts w:hint="eastAsia" w:ascii="仿宋" w:hAnsi="仿宋" w:eastAsia="仿宋" w:cs="仿宋"/>
          <w:bCs/>
          <w:color w:val="000000" w:themeColor="text1"/>
          <w:sz w:val="24"/>
          <w:szCs w:val="21"/>
          <w14:textFill>
            <w14:solidFill>
              <w14:schemeClr w14:val="tx1"/>
            </w14:solidFill>
          </w14:textFill>
        </w:rPr>
        <w:t xml:space="preserve">提交响应文件</w:t>
      </w:r>
      <w:r>
        <w:rPr>
          <w:rFonts w:hint="eastAsia" w:ascii="仿宋" w:hAnsi="仿宋" w:eastAsia="仿宋" w:cs="仿宋"/>
          <w:color w:val="000000" w:themeColor="text1"/>
          <w:sz w:val="24"/>
          <w:szCs w:val="21"/>
          <w14:textFill>
            <w14:solidFill>
              <w14:schemeClr w14:val="tx1"/>
            </w14:solidFill>
          </w14:textFill>
        </w:rPr>
        <w:t xml:space="preserve">截止时间前，撤回其电子响应文件，具体操作方法见《操作手册》。</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21.1.2供应商撤回电子响应文件，则认为其不再参与本项目磋商活动。</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21.2响应文件的修改</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21.2.1供应商可在</w:t>
      </w:r>
      <w:r>
        <w:rPr>
          <w:rFonts w:hint="eastAsia" w:ascii="仿宋" w:hAnsi="仿宋" w:eastAsia="仿宋" w:cs="仿宋"/>
          <w:bCs/>
          <w:color w:val="000000" w:themeColor="text1"/>
          <w:sz w:val="24"/>
          <w:szCs w:val="21"/>
          <w14:textFill>
            <w14:solidFill>
              <w14:schemeClr w14:val="tx1"/>
            </w14:solidFill>
          </w14:textFill>
        </w:rPr>
        <w:t xml:space="preserve">提交响应文件</w:t>
      </w:r>
      <w:r>
        <w:rPr>
          <w:rFonts w:hint="eastAsia" w:ascii="仿宋" w:hAnsi="仿宋" w:eastAsia="仿宋" w:cs="仿宋"/>
          <w:color w:val="000000" w:themeColor="text1"/>
          <w:sz w:val="24"/>
          <w:szCs w:val="21"/>
          <w14:textFill>
            <w14:solidFill>
              <w14:schemeClr w14:val="tx1"/>
            </w14:solidFill>
          </w14:textFill>
        </w:rPr>
        <w:t xml:space="preserve">截止时间前，对其电子响应文件进行修改，具体操作方法见《操作手册》。</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21.2.2</w:t>
      </w:r>
      <w:r>
        <w:rPr>
          <w:rFonts w:hint="eastAsia" w:ascii="仿宋" w:hAnsi="仿宋" w:eastAsia="仿宋" w:cs="仿宋"/>
          <w:bCs/>
          <w:color w:val="000000" w:themeColor="text1"/>
          <w:sz w:val="24"/>
          <w:szCs w:val="21"/>
          <w14:textFill>
            <w14:solidFill>
              <w14:schemeClr w14:val="tx1"/>
            </w14:solidFill>
          </w14:textFill>
        </w:rPr>
        <w:t xml:space="preserve">在提交响应文件截止时间之后，供应商不得对其电子响应文件作任何修改。</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21.3</w:t>
      </w:r>
      <w:r>
        <w:rPr>
          <w:rFonts w:hint="eastAsia" w:ascii="仿宋" w:hAnsi="仿宋" w:eastAsia="仿宋" w:cs="仿宋"/>
          <w:bCs/>
          <w:color w:val="000000" w:themeColor="text1"/>
          <w:sz w:val="24"/>
          <w:szCs w:val="21"/>
          <w14:textFill>
            <w14:solidFill>
              <w14:schemeClr w14:val="tx1"/>
            </w14:solidFill>
          </w14:textFill>
        </w:rPr>
        <w:t xml:space="preserve">在提交响应文件截止时间至磋商文件中规定的磋商有效期满之间的这段时间内，供应商不得撤回其响应文件。</w:t>
      </w:r>
      <w:r/>
    </w:p>
    <w:p>
      <w:pPr>
        <w:ind w:firstLine="482"/>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50" w:name="_Toc513029229"/>
      <w:r/>
      <w:bookmarkStart w:id="151" w:name="_Toc169207392"/>
      <w:r/>
      <w:bookmarkStart w:id="152" w:name="_Toc120614218"/>
      <w:r/>
      <w:bookmarkStart w:id="153" w:name="_Toc20823301"/>
      <w:r/>
      <w:bookmarkStart w:id="154" w:name="_Toc16938545"/>
      <w:r>
        <w:rPr>
          <w:rFonts w:hint="eastAsia" w:ascii="仿宋" w:hAnsi="仿宋" w:eastAsia="仿宋" w:cs="仿宋"/>
          <w:b/>
          <w:bCs/>
          <w:color w:val="000000" w:themeColor="text1"/>
          <w:sz w:val="32"/>
          <w:szCs w:val="32"/>
          <w14:textFill>
            <w14:solidFill>
              <w14:schemeClr w14:val="tx1"/>
            </w14:solidFill>
          </w14:textFill>
        </w:rPr>
        <w:t xml:space="preserve">五、响应文件的解密与评审</w:t>
      </w:r>
      <w:bookmarkEnd w:id="150"/>
      <w:r/>
      <w:bookmarkEnd w:id="151"/>
      <w:r/>
      <w:bookmarkEnd w:id="152"/>
      <w:r/>
      <w:bookmarkEnd w:id="153"/>
      <w:r/>
      <w:bookmarkEnd w:id="154"/>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55" w:name="_Toc16938546"/>
      <w:r/>
      <w:bookmarkStart w:id="156" w:name="_Toc20823302"/>
      <w:r/>
      <w:bookmarkStart w:id="157" w:name="_Toc513029230"/>
      <w:r>
        <w:rPr>
          <w:rFonts w:hint="eastAsia" w:ascii="仿宋" w:hAnsi="仿宋" w:eastAsia="仿宋" w:cs="仿宋"/>
          <w:color w:val="000000" w:themeColor="text1"/>
          <w:sz w:val="28"/>
          <w:szCs w:val="28"/>
          <w14:textFill>
            <w14:solidFill>
              <w14:schemeClr w14:val="tx1"/>
            </w14:solidFill>
          </w14:textFill>
        </w:rPr>
        <w:t xml:space="preserve">22、</w:t>
      </w:r>
      <w:bookmarkEnd w:id="155"/>
      <w:r/>
      <w:bookmarkEnd w:id="156"/>
      <w:r/>
      <w:bookmarkEnd w:id="157"/>
      <w:r>
        <w:rPr>
          <w:rFonts w:hint="eastAsia" w:ascii="仿宋" w:hAnsi="仿宋" w:eastAsia="仿宋" w:cs="仿宋"/>
          <w:color w:val="000000" w:themeColor="text1"/>
          <w:sz w:val="28"/>
          <w:szCs w:val="28"/>
          <w14:textFill>
            <w14:solidFill>
              <w14:schemeClr w14:val="tx1"/>
            </w14:solidFill>
          </w14:textFill>
        </w:rPr>
        <w:t xml:space="preserve">响应文件解密</w:t>
      </w:r>
      <w:r/>
    </w:p>
    <w:p>
      <w:pPr>
        <w:ind w:firstLine="360"/>
        <w:spacing w:line="56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22.1</w:t>
      </w:r>
      <w:r>
        <w:rPr>
          <w:rFonts w:hint="eastAsia" w:ascii="仿宋" w:hAnsi="仿宋" w:eastAsia="仿宋" w:cs="仿宋"/>
          <w:color w:val="000000" w:themeColor="text1"/>
          <w:sz w:val="24"/>
          <w:szCs w:val="24"/>
          <w14:textFill>
            <w14:solidFill>
              <w14:schemeClr w14:val="tx1"/>
            </w14:solidFill>
          </w14:textFill>
        </w:rPr>
        <w:t xml:space="preserve">供应商应当</w:t>
      </w:r>
      <w:r>
        <w:rPr>
          <w:rFonts w:hint="eastAsia" w:ascii="仿宋" w:hAnsi="仿宋" w:eastAsia="仿宋" w:cs="仿宋"/>
          <w:color w:val="000000" w:themeColor="text1"/>
          <w:sz w:val="24"/>
          <w:szCs w:val="21"/>
          <w14:textFill>
            <w14:solidFill>
              <w14:schemeClr w14:val="tx1"/>
            </w14:solidFill>
          </w14:textFill>
        </w:rPr>
        <w:t xml:space="preserve">按照《“苏采云”系统供应商操作手册》规定</w:t>
      </w:r>
      <w:r>
        <w:rPr>
          <w:rFonts w:hint="eastAsia" w:ascii="仿宋" w:hAnsi="仿宋" w:eastAsia="仿宋" w:cs="仿宋"/>
          <w:color w:val="000000" w:themeColor="text1"/>
          <w:sz w:val="24"/>
          <w:szCs w:val="24"/>
          <w14:textFill>
            <w14:solidFill>
              <w14:schemeClr w14:val="tx1"/>
            </w14:solidFill>
          </w14:textFill>
        </w:rPr>
        <w:t xml:space="preserve">，参加磋商活动和在苏采云系统规定的时间内对磋商响应文件进行解密。</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58" w:name="_Toc16938547"/>
      <w:r/>
      <w:bookmarkStart w:id="159" w:name="_Toc20823303"/>
      <w:r/>
      <w:bookmarkStart w:id="160" w:name="_Toc513029231"/>
      <w:r>
        <w:rPr>
          <w:rFonts w:hint="eastAsia" w:ascii="仿宋" w:hAnsi="仿宋" w:eastAsia="仿宋" w:cs="仿宋"/>
          <w:color w:val="000000" w:themeColor="text1"/>
          <w:sz w:val="28"/>
          <w:szCs w:val="28"/>
          <w14:textFill>
            <w14:solidFill>
              <w14:schemeClr w14:val="tx1"/>
            </w14:solidFill>
          </w14:textFill>
        </w:rPr>
        <w:t xml:space="preserve">23、磋商小组</w:t>
      </w:r>
      <w:r/>
    </w:p>
    <w:p>
      <w:pPr>
        <w:ind w:firstLine="480"/>
        <w:spacing w:line="56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23.1</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color w:val="000000" w:themeColor="text1"/>
          <w:sz w:val="24"/>
          <w:szCs w:val="24"/>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23.2磋商小组独立工作，负责评审所有响应文件并确定成交候选人。</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24、评审过程的保密与公正</w:t>
      </w:r>
      <w:bookmarkEnd w:id="158"/>
      <w:r/>
      <w:bookmarkEnd w:id="159"/>
      <w:r/>
      <w:bookmarkEnd w:id="160"/>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24.1</w:t>
      </w:r>
      <w:r>
        <w:rPr>
          <w:rFonts w:hint="eastAsia" w:ascii="仿宋" w:hAnsi="仿宋" w:eastAsia="仿宋" w:cs="仿宋"/>
          <w:bCs/>
          <w:color w:val="000000" w:themeColor="text1"/>
          <w:sz w:val="24"/>
          <w:szCs w:val="21"/>
          <w14:textFill>
            <w14:solidFill>
              <w14:schemeClr w14:val="tx1"/>
            </w14:solidFill>
          </w14:textFill>
        </w:rPr>
        <w:t xml:space="preserve">磋商小组、采购人和</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bCs/>
          <w:color w:val="000000" w:themeColor="text1"/>
          <w:sz w:val="24"/>
          <w:szCs w:val="21"/>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24.2</w:t>
      </w:r>
      <w:r>
        <w:rPr>
          <w:rFonts w:hint="eastAsia" w:ascii="仿宋" w:hAnsi="仿宋" w:eastAsia="仿宋" w:cs="仿宋"/>
          <w:color w:val="000000" w:themeColor="text1"/>
          <w:sz w:val="24"/>
          <w:szCs w:val="24"/>
          <w14:textFill>
            <w14:solidFill>
              <w14:schemeClr w14:val="tx1"/>
            </w14:solidFill>
          </w14:textFill>
        </w:rPr>
        <w:t xml:space="preserve">在评审过程中，供应商不得以任何行为影响磋商评审过程，否则其响应文件将被作为无效响应文件。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24.3</w:t>
      </w:r>
      <w:r>
        <w:rPr>
          <w:rFonts w:hint="eastAsia" w:ascii="仿宋" w:hAnsi="仿宋" w:eastAsia="仿宋" w:cs="仿宋"/>
          <w:color w:val="000000" w:themeColor="text1"/>
          <w:sz w:val="24"/>
          <w:szCs w:val="24"/>
          <w14:textFill>
            <w14:solidFill>
              <w14:schemeClr w14:val="tx1"/>
            </w14:solidFill>
          </w14:textFill>
        </w:rPr>
        <w:t xml:space="preserve">在项目评审期间，</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color w:val="000000" w:themeColor="text1"/>
          <w:sz w:val="24"/>
          <w:szCs w:val="24"/>
          <w14:textFill>
            <w14:solidFill>
              <w14:schemeClr w14:val="tx1"/>
            </w14:solidFill>
          </w14:textFill>
        </w:rPr>
        <w:t xml:space="preserve">将设专门人员与供应商联系。</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24.4 </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color w:val="000000" w:themeColor="text1"/>
          <w:sz w:val="24"/>
          <w:szCs w:val="24"/>
          <w14:textFill>
            <w14:solidFill>
              <w14:schemeClr w14:val="tx1"/>
            </w14:solidFill>
          </w14:textFill>
        </w:rPr>
        <w:t xml:space="preserve">和磋商小组不向未成交的供应商解释未成交原因，也不公布评审过程中的相关细节。</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61" w:name="_Toc513029232"/>
      <w:r/>
      <w:bookmarkStart w:id="162" w:name="_Toc16938548"/>
      <w:r/>
      <w:bookmarkStart w:id="163" w:name="_Toc20823304"/>
      <w:r>
        <w:rPr>
          <w:rFonts w:hint="eastAsia" w:ascii="仿宋" w:hAnsi="仿宋" w:eastAsia="仿宋" w:cs="仿宋"/>
          <w:color w:val="000000" w:themeColor="text1"/>
          <w:sz w:val="28"/>
          <w:szCs w:val="28"/>
          <w14:textFill>
            <w14:solidFill>
              <w14:schemeClr w14:val="tx1"/>
            </w14:solidFill>
          </w14:textFill>
        </w:rPr>
        <w:t xml:space="preserve">25、评审过程中的澄清</w:t>
      </w:r>
      <w:bookmarkEnd w:id="161"/>
      <w:r/>
      <w:bookmarkEnd w:id="162"/>
      <w:r/>
      <w:bookmarkEnd w:id="163"/>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磋商小组并非对每个供应商都做澄清要求。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提交“澄清响应函”并加盖CA电子公章。澄清、说明和更正的内容作为响应文件的补充部分，具体操作方式见《操作手册》。</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25.3 接到磋商小组澄清、说明和更正要求的供应商如未按规定作出澄清、说明和 更正，其风险由供应商自行承担。</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bookmarkStart w:id="164" w:name="_Toc16938549"/>
      <w:r/>
      <w:bookmarkStart w:id="165" w:name="_Toc513029233"/>
      <w:r/>
      <w:bookmarkStart w:id="166" w:name="_Toc20823305"/>
      <w:r>
        <w:rPr>
          <w:rFonts w:hint="eastAsia" w:ascii="仿宋" w:hAnsi="仿宋" w:eastAsia="仿宋" w:cs="仿宋"/>
          <w:color w:val="000000" w:themeColor="text1"/>
          <w:sz w:val="28"/>
          <w:szCs w:val="28"/>
          <w14:textFill>
            <w14:solidFill>
              <w14:schemeClr w14:val="tx1"/>
            </w14:solidFill>
          </w14:textFill>
        </w:rPr>
        <w:t xml:space="preserve">26、对响应文件的审</w:t>
      </w:r>
      <w:bookmarkEnd w:id="164"/>
      <w:r/>
      <w:bookmarkEnd w:id="165"/>
      <w:r/>
      <w:bookmarkEnd w:id="166"/>
      <w:r>
        <w:rPr>
          <w:rFonts w:hint="eastAsia" w:ascii="仿宋" w:hAnsi="仿宋" w:eastAsia="仿宋" w:cs="仿宋"/>
          <w:color w:val="000000" w:themeColor="text1"/>
          <w:sz w:val="28"/>
          <w:szCs w:val="28"/>
          <w14:textFill>
            <w14:solidFill>
              <w14:schemeClr w14:val="tx1"/>
            </w14:solidFill>
          </w14:textFill>
        </w:rPr>
        <w:t xml:space="preserve">查</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26.1</w:t>
      </w:r>
      <w:r>
        <w:rPr>
          <w:rFonts w:hint="eastAsia" w:ascii="仿宋" w:hAnsi="仿宋" w:eastAsia="仿宋" w:cs="仿宋"/>
          <w:bCs/>
          <w:color w:val="000000" w:themeColor="text1"/>
          <w:sz w:val="24"/>
          <w:szCs w:val="21"/>
          <w14:textFill>
            <w14:solidFill>
              <w14:schemeClr w14:val="tx1"/>
            </w14:solidFill>
          </w14:textFill>
        </w:rPr>
        <w:t xml:space="preserve">响应文件审查分为资格审查和符合性审查。</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26.1.3未通过资格审查或符合性审查的供应商，磋商小组将在</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szCs w:val="21"/>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26.2</w:t>
      </w:r>
      <w:r>
        <w:rPr>
          <w:rFonts w:hint="eastAsia" w:ascii="仿宋" w:hAnsi="仿宋" w:eastAsia="仿宋" w:cs="仿宋"/>
          <w:color w:val="000000" w:themeColor="text1"/>
          <w:sz w:val="24"/>
          <w:szCs w:val="24"/>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color w:val="000000" w:themeColor="text1"/>
          <w:sz w:val="24"/>
          <w:szCs w:val="24"/>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26.3未实质性响应磋商文件的情形</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26.3.1供应商在</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szCs w:val="21"/>
          <w14:textFill>
            <w14:solidFill>
              <w14:schemeClr w14:val="tx1"/>
            </w14:solidFill>
          </w14:textFill>
        </w:rPr>
        <w:t xml:space="preserve">规定的时间内未成功解密电子响应文件的。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26.3.2供应商未按照磋商文件要求上传电子响应文件的。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26.3.3同一供应商提交两个（含两个）以上不同的响应文件或者最后报价的。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26.3.4供应商不具备磋商文件中规定资格要求的。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26.3.5供应商的最后报价超过了最高限价。</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26.3.6不符合磋商文件中规定的实质性要求和条件的（本磋商文件中加★项为实质性要求和条件）。</w:t>
      </w:r>
      <w:r/>
    </w:p>
    <w:p>
      <w:pPr>
        <w:ind w:firstLine="480"/>
        <w:spacing w:line="560" w:lineRule="exact"/>
        <w:rPr>
          <w:rFonts w:hint="eastAsia" w:ascii="仿宋" w:hAnsi="仿宋" w:eastAsia="仿宋" w:cs="仿宋"/>
          <w:bCs/>
          <w:sz w:val="24"/>
          <w:szCs w:val="21"/>
        </w:rPr>
      </w:pPr>
      <w:r>
        <w:rPr>
          <w:rFonts w:hint="eastAsia" w:ascii="仿宋" w:hAnsi="仿宋" w:eastAsia="仿宋" w:cs="仿宋"/>
          <w:bCs/>
          <w:color w:val="000000" w:themeColor="text1"/>
          <w:sz w:val="24"/>
          <w:szCs w:val="21"/>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26.3.8磋商小组启动异常低价响应审查后，投标（响应）供应商不提供书面说明、证明材料，或者磋商小组认为投标（响应）供应商提供的书面说明、证明材料不能证明其最后报价合理性的；</w:t>
      </w:r>
      <w:r/>
    </w:p>
    <w:p>
      <w:pPr>
        <w:ind w:firstLine="480"/>
        <w:spacing w:line="560" w:lineRule="exact"/>
        <w:rPr>
          <w:rFonts w:hint="eastAsia" w:ascii="仿宋" w:hAnsi="仿宋" w:eastAsia="仿宋" w:cs="仿宋"/>
          <w:bCs/>
          <w:sz w:val="24"/>
          <w:szCs w:val="21"/>
        </w:rPr>
      </w:pPr>
      <w:r>
        <w:rPr>
          <w:rFonts w:hint="eastAsia" w:ascii="仿宋" w:hAnsi="仿宋" w:eastAsia="仿宋" w:cs="仿宋"/>
          <w:bCs/>
          <w:sz w:val="24"/>
          <w:szCs w:val="21"/>
        </w:rPr>
        <w:t xml:space="preserve">26.3.9响应文件含有采购人不能接受的附加条件的。</w:t>
      </w:r>
      <w:r/>
    </w:p>
    <w:p>
      <w:pPr>
        <w:ind w:firstLine="480"/>
        <w:spacing w:line="560" w:lineRule="exact"/>
        <w:rPr>
          <w:rFonts w:hint="eastAsia" w:ascii="仿宋" w:hAnsi="仿宋" w:eastAsia="仿宋" w:cs="仿宋"/>
          <w:bCs/>
          <w:sz w:val="24"/>
          <w:szCs w:val="21"/>
        </w:rPr>
      </w:pPr>
      <w:r>
        <w:rPr>
          <w:rFonts w:hint="eastAsia" w:ascii="仿宋" w:hAnsi="仿宋" w:eastAsia="仿宋" w:cs="仿宋"/>
          <w:bCs/>
          <w:sz w:val="24"/>
          <w:szCs w:val="21"/>
        </w:rPr>
        <w:t xml:space="preserve">26.3.10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sz w:val="24"/>
          <w:szCs w:val="21"/>
        </w:rPr>
        <w:t xml:space="preserve">26.3.11响应文件未按照磋商文件要求加盖CA电</w:t>
      </w:r>
      <w:r>
        <w:rPr>
          <w:rFonts w:hint="eastAsia" w:ascii="仿宋" w:hAnsi="仿宋" w:eastAsia="仿宋" w:cs="仿宋"/>
          <w:bCs/>
          <w:color w:val="000000" w:themeColor="text1"/>
          <w:sz w:val="24"/>
          <w:szCs w:val="21"/>
          <w14:textFill>
            <w14:solidFill>
              <w14:schemeClr w14:val="tx1"/>
            </w14:solidFill>
          </w14:textFill>
        </w:rPr>
        <w:t xml:space="preserve">子公章的。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26.3.12响应文件中已标价工程量清单与竞争性磋商文件规定的暂估价、暂列金额及甲供材料价格不一致的；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26.3.13响应文件中已标价工程量清单与竞争性磋商文件明确列出的不可竞争费用项目或费率或计算基础不一致的；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26.3.14响应文件的已标价工程量清单与竞争性磋商文件提供的工程量清单中的项目编码、项目名称、项目特征、计量单位、工程量不一致的；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26.3.15本项目专门面向中小企业（含监狱企业、残疾人福利企业）采购，非中小企业参与本项目磋商的。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26.4未实质性响应磋商文件的响应文件按无效响应处理。</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26.5</w:t>
      </w:r>
      <w:r>
        <w:rPr>
          <w:rFonts w:hint="eastAsia" w:ascii="仿宋" w:hAnsi="仿宋" w:eastAsia="仿宋" w:cs="仿宋"/>
          <w:bCs/>
          <w:color w:val="000000" w:themeColor="text1"/>
          <w:sz w:val="24"/>
          <w:szCs w:val="21"/>
          <w14:textFill>
            <w14:solidFill>
              <w14:schemeClr w14:val="tx1"/>
            </w14:solidFill>
          </w14:textFill>
        </w:rPr>
        <w:t xml:space="preserve">如果响应文件实质上没有响应磋商文件的要求，磋商小组将予以拒绝，供应商不得通过修改或撤销不符合要求的偏离或保留而使其成为实质性响应的文件。</w:t>
      </w:r>
      <w:r/>
    </w:p>
    <w:p>
      <w:pPr>
        <w:ind w:firstLine="480"/>
        <w:spacing w:line="560" w:lineRule="exact"/>
        <w:rPr>
          <w:rFonts w:hint="eastAsia" w:ascii="仿宋" w:hAnsi="仿宋" w:eastAsia="仿宋" w:cs="仿宋"/>
          <w:color w:val="000000" w:themeColor="text1"/>
          <w:sz w:val="24"/>
          <w:szCs w:val="21"/>
          <w14:textFill>
            <w14:solidFill>
              <w14:schemeClr w14:val="tx1"/>
            </w14:solidFill>
          </w14:textFill>
        </w:rPr>
      </w:pPr>
      <w:r/>
      <w:bookmarkStart w:id="167" w:name="_Toc20823306"/>
      <w:r/>
      <w:bookmarkStart w:id="168" w:name="_Toc513029234"/>
      <w:r/>
      <w:bookmarkStart w:id="169" w:name="_Toc16938550"/>
      <w:r>
        <w:rPr>
          <w:rFonts w:hint="eastAsia" w:ascii="仿宋" w:hAnsi="仿宋" w:eastAsia="仿宋" w:cs="仿宋"/>
          <w:color w:val="000000" w:themeColor="text1"/>
          <w:sz w:val="24"/>
          <w:szCs w:val="21"/>
          <w14:textFill>
            <w14:solidFill>
              <w14:schemeClr w14:val="tx1"/>
            </w14:solidFill>
          </w14:textFill>
        </w:rPr>
        <w:t xml:space="preserve">26.6供应商在项目评审全过程中应保持通讯畅通，并安排专人与采购代理机构及磋商小组联系。</w:t>
      </w:r>
      <w:r/>
    </w:p>
    <w:p>
      <w:pPr>
        <w:ind w:firstLine="42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27、</w:t>
      </w:r>
      <w:bookmarkEnd w:id="167"/>
      <w:r/>
      <w:bookmarkEnd w:id="168"/>
      <w:r/>
      <w:bookmarkEnd w:id="169"/>
      <w:r>
        <w:rPr>
          <w:rFonts w:hint="eastAsia" w:ascii="仿宋" w:hAnsi="仿宋" w:eastAsia="仿宋" w:cs="仿宋"/>
          <w:color w:val="000000" w:themeColor="text1"/>
          <w:sz w:val="28"/>
          <w:szCs w:val="28"/>
          <w14:textFill>
            <w14:solidFill>
              <w14:schemeClr w14:val="tx1"/>
            </w14:solidFill>
          </w14:textFill>
        </w:rPr>
        <w:t xml:space="preserve">磋商程序及评审方法和评审标准</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27.1磋商程序</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line="560" w:lineRule="exact"/>
        <w:tabs>
          <w:tab w:val="left" w:pos="900" w:leader="none"/>
        </w:tabs>
        <w:rPr>
          <w:rFonts w:hint="eastAsia" w:ascii="仿宋" w:hAnsi="仿宋" w:eastAsia="仿宋" w:cs="仿宋"/>
          <w:color w:val="0000ff"/>
          <w:sz w:val="24"/>
          <w:szCs w:val="24"/>
        </w:rPr>
      </w:pPr>
      <w:r>
        <w:rPr>
          <w:rFonts w:hint="eastAsia" w:ascii="仿宋" w:hAnsi="仿宋" w:eastAsia="仿宋" w:cs="仿宋"/>
          <w:color w:val="000000" w:themeColor="text1"/>
          <w:sz w:val="24"/>
          <w:szCs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27.2异常低价响应审查</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27.2.1评审过程中出现下列情形之一的，磋商小组应当启动异常低价响应审查程序：</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（3）响应报价低于采购项目最高限价45%的，即响应报价&lt;采购项目最高限价×45%；</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27.2.2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27.2.3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27.3 评审方法和评审标准</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27.3.1评审方法。经磋商确定最终采购需求和提交最后报价的供应商后，由磋商小组采用综合评分法对提交最后报价的供应商的响应文件和最后报价进行综合评分。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27.3.2评审标准</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见本磋商文件第五章规定。</w:t>
      </w:r>
      <w:r/>
    </w:p>
    <w:p>
      <w:pPr>
        <w:ind w:firstLine="478"/>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27.4采购活动终止的情况</w:t>
      </w:r>
      <w:r/>
    </w:p>
    <w:p>
      <w:pPr>
        <w:ind w:firstLine="360"/>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出现下列情形之一的，本次竞争性磋商采购活动将被终止：</w:t>
      </w:r>
      <w:r/>
    </w:p>
    <w:p>
      <w:pPr>
        <w:ind w:firstLine="360"/>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27.4.1因情况变化，不再符合规定的竞争性磋商采购方式适用情形的。</w:t>
      </w:r>
      <w:r/>
    </w:p>
    <w:p>
      <w:pPr>
        <w:ind w:firstLine="360"/>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27.4.2出现影响采购公正的违法、违规行为的。</w:t>
      </w:r>
      <w:r/>
    </w:p>
    <w:p>
      <w:pPr>
        <w:ind w:firstLine="360"/>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27.4.3除本磋商文件第二章第27.1.2条第三款规定的情形外，在采购过程中符合要求的供应商或者最后报价未超过采购预算的供应商不足3家的。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27.4.4在苏采云系统规定时间内成功解密电子响应文件的供应商不足3家的。</w:t>
      </w:r>
      <w:r/>
    </w:p>
    <w:p>
      <w:pPr>
        <w:ind w:firstLine="482"/>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70" w:name="_Toc513029235"/>
      <w:r/>
      <w:bookmarkStart w:id="171" w:name="_Toc16938551"/>
      <w:r/>
      <w:bookmarkStart w:id="172" w:name="_Toc20823307"/>
      <w:r/>
      <w:bookmarkStart w:id="173" w:name="_Toc120614219"/>
      <w:r/>
      <w:bookmarkStart w:id="174" w:name="_Toc169207393"/>
      <w:r>
        <w:rPr>
          <w:rFonts w:hint="eastAsia" w:ascii="仿宋" w:hAnsi="仿宋" w:eastAsia="仿宋" w:cs="仿宋"/>
          <w:b/>
          <w:bCs/>
          <w:color w:val="000000" w:themeColor="text1"/>
          <w:sz w:val="32"/>
          <w:szCs w:val="32"/>
          <w14:textFill>
            <w14:solidFill>
              <w14:schemeClr w14:val="tx1"/>
            </w14:solidFill>
          </w14:textFill>
        </w:rPr>
        <w:t xml:space="preserve">六、</w:t>
      </w:r>
      <w:bookmarkEnd w:id="170"/>
      <w:r/>
      <w:bookmarkEnd w:id="171"/>
      <w:r/>
      <w:bookmarkEnd w:id="172"/>
      <w:r/>
      <w:bookmarkEnd w:id="173"/>
      <w:r>
        <w:rPr>
          <w:rFonts w:hint="eastAsia" w:ascii="仿宋" w:hAnsi="仿宋" w:eastAsia="仿宋" w:cs="仿宋"/>
          <w:b/>
          <w:bCs/>
          <w:color w:val="000000" w:themeColor="text1"/>
          <w:sz w:val="32"/>
          <w:szCs w:val="32"/>
          <w14:textFill>
            <w14:solidFill>
              <w14:schemeClr w14:val="tx1"/>
            </w14:solidFill>
          </w14:textFill>
        </w:rPr>
        <w:t xml:space="preserve">成交</w:t>
      </w:r>
      <w:bookmarkEnd w:id="174"/>
      <w:r/>
      <w:r/>
    </w:p>
    <w:p>
      <w:pPr>
        <w:ind w:firstLine="600"/>
        <w:keepLines/>
        <w:keepNext/>
        <w:spacing w:line="560" w:lineRule="exact"/>
        <w:rPr>
          <w:rFonts w:hint="eastAsia" w:ascii="仿宋" w:hAnsi="仿宋" w:eastAsia="仿宋" w:cs="仿宋"/>
          <w:bCs/>
          <w:color w:val="000000" w:themeColor="text1"/>
          <w:sz w:val="30"/>
          <w:szCs w:val="30"/>
          <w14:textFill>
            <w14:solidFill>
              <w14:schemeClr w14:val="tx1"/>
            </w14:solidFill>
          </w14:textFill>
        </w:rPr>
        <w:outlineLvl w:val="3"/>
      </w:pPr>
      <w:r/>
      <w:bookmarkStart w:id="175" w:name="_Toc513029238"/>
      <w:r/>
      <w:bookmarkStart w:id="176" w:name="_Toc20823310"/>
      <w:r/>
      <w:bookmarkStart w:id="177" w:name="_Toc16938554"/>
      <w:r>
        <w:rPr>
          <w:rFonts w:hint="eastAsia" w:ascii="仿宋" w:hAnsi="仿宋" w:eastAsia="仿宋" w:cs="仿宋"/>
          <w:bCs/>
          <w:color w:val="000000" w:themeColor="text1"/>
          <w:sz w:val="30"/>
          <w:szCs w:val="30"/>
          <w14:textFill>
            <w14:solidFill>
              <w14:schemeClr w14:val="tx1"/>
            </w14:solidFill>
          </w14:textFill>
        </w:rPr>
        <w:t xml:space="preserve">28、</w:t>
      </w:r>
      <w:bookmarkEnd w:id="175"/>
      <w:r>
        <w:rPr>
          <w:rFonts w:hint="eastAsia" w:ascii="仿宋" w:hAnsi="仿宋" w:eastAsia="仿宋" w:cs="仿宋"/>
          <w:bCs/>
          <w:color w:val="000000" w:themeColor="text1"/>
          <w:sz w:val="30"/>
          <w:szCs w:val="30"/>
          <w14:textFill>
            <w14:solidFill>
              <w14:schemeClr w14:val="tx1"/>
            </w14:solidFill>
          </w14:textFill>
        </w:rPr>
        <w:t xml:space="preserve">确定</w:t>
      </w:r>
      <w:bookmarkEnd w:id="176"/>
      <w:r/>
      <w:bookmarkEnd w:id="177"/>
      <w:r>
        <w:rPr>
          <w:rFonts w:hint="eastAsia" w:ascii="仿宋" w:hAnsi="仿宋" w:eastAsia="仿宋" w:cs="仿宋"/>
          <w:bCs/>
          <w:color w:val="000000" w:themeColor="text1"/>
          <w:sz w:val="30"/>
          <w:szCs w:val="30"/>
          <w14:textFill>
            <w14:solidFill>
              <w14:schemeClr w14:val="tx1"/>
            </w14:solidFill>
          </w14:textFill>
        </w:rPr>
        <w:t xml:space="preserve">成交单位</w:t>
      </w:r>
      <w:r/>
    </w:p>
    <w:p>
      <w:pPr>
        <w:ind w:firstLine="478"/>
        <w:spacing w:line="560" w:lineRule="exact"/>
        <w:tabs>
          <w:tab w:val="left" w:pos="900" w:leader="none"/>
        </w:tabs>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28.1</w:t>
      </w:r>
      <w:r>
        <w:rPr>
          <w:rFonts w:hint="eastAsia" w:ascii="仿宋" w:hAnsi="仿宋" w:eastAsia="仿宋" w:cs="仿宋"/>
          <w:color w:val="000000" w:themeColor="text1"/>
          <w:sz w:val="24"/>
          <w:szCs w:val="21"/>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28.2采购人从评审报告提出的成交候选供应商中，按照排序由高到低的原则确定成交供应商。</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按以下第</w:t>
      </w:r>
      <w:r>
        <w:rPr>
          <w:rFonts w:hint="eastAsia" w:ascii="仿宋" w:hAnsi="仿宋" w:eastAsia="仿宋" w:cs="仿宋"/>
          <w:bCs/>
          <w:color w:val="000000" w:themeColor="text1"/>
          <w:sz w:val="24"/>
          <w:u w:val="single"/>
          <w:lang w:val="zh-CN"/>
          <w14:textFill>
            <w14:solidFill>
              <w14:schemeClr w14:val="tx1"/>
            </w14:solidFill>
          </w14:textFill>
        </w:rPr>
        <w:t xml:space="preserve">（</w:t>
      </w:r>
      <w:r>
        <w:rPr>
          <w:rFonts w:hint="eastAsia" w:ascii="仿宋" w:hAnsi="仿宋" w:eastAsia="仿宋" w:cs="仿宋"/>
          <w:bCs/>
          <w:color w:val="000000" w:themeColor="text1"/>
          <w:sz w:val="24"/>
          <w:u w:val="single"/>
          <w14:textFill>
            <w14:solidFill>
              <w14:schemeClr w14:val="tx1"/>
            </w14:solidFill>
          </w14:textFill>
        </w:rPr>
        <w:t xml:space="preserve">2</w:t>
      </w:r>
      <w:r>
        <w:rPr>
          <w:rFonts w:hint="eastAsia" w:ascii="仿宋" w:hAnsi="仿宋" w:eastAsia="仿宋" w:cs="仿宋"/>
          <w:bCs/>
          <w:color w:val="000000" w:themeColor="text1"/>
          <w:sz w:val="24"/>
          <w:u w:val="single"/>
          <w:lang w:val="zh-CN"/>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种方式确定成交供应商</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（1）磋商小组直接确定排名第一的</w:t>
      </w:r>
      <w:r>
        <w:rPr>
          <w:rFonts w:hint="eastAsia" w:ascii="仿宋" w:hAnsi="仿宋" w:eastAsia="仿宋" w:cs="仿宋"/>
          <w:bCs/>
          <w:color w:val="000000" w:themeColor="text1"/>
          <w:sz w:val="24"/>
          <w:szCs w:val="21"/>
          <w14:textFill>
            <w14:solidFill>
              <w14:schemeClr w14:val="tx1"/>
            </w14:solidFill>
          </w14:textFill>
        </w:rPr>
        <w:t xml:space="preserve">成交候选供应商</w:t>
      </w:r>
      <w:r>
        <w:rPr>
          <w:rFonts w:hint="eastAsia" w:ascii="仿宋" w:hAnsi="仿宋" w:eastAsia="仿宋" w:cs="仿宋"/>
          <w:bCs/>
          <w:color w:val="000000" w:themeColor="text1"/>
          <w:sz w:val="24"/>
          <w:lang w:val="zh-CN"/>
          <w14:textFill>
            <w14:solidFill>
              <w14:schemeClr w14:val="tx1"/>
            </w14:solidFill>
          </w14:textFill>
        </w:rPr>
        <w:t xml:space="preserve">为成交供应商；</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（2）采购人</w:t>
      </w:r>
      <w:r>
        <w:rPr>
          <w:rFonts w:hint="eastAsia" w:ascii="仿宋" w:hAnsi="仿宋" w:eastAsia="仿宋" w:cs="仿宋"/>
          <w:bCs/>
          <w:color w:val="000000" w:themeColor="text1"/>
          <w:sz w:val="24"/>
          <w:szCs w:val="21"/>
          <w14:textFill>
            <w14:solidFill>
              <w14:schemeClr w14:val="tx1"/>
            </w14:solidFill>
          </w14:textFill>
        </w:rPr>
        <w:t xml:space="preserve">从评审报告提出</w:t>
      </w:r>
      <w:r>
        <w:rPr>
          <w:rFonts w:hint="eastAsia" w:ascii="仿宋" w:hAnsi="仿宋" w:eastAsia="仿宋" w:cs="仿宋"/>
          <w:bCs/>
          <w:color w:val="000000" w:themeColor="text1"/>
          <w:sz w:val="24"/>
          <w:lang w:val="zh-CN"/>
          <w14:textFill>
            <w14:solidFill>
              <w14:schemeClr w14:val="tx1"/>
            </w14:solidFill>
          </w14:textFill>
        </w:rPr>
        <w:t xml:space="preserve">的</w:t>
      </w:r>
      <w:r>
        <w:rPr>
          <w:rFonts w:hint="eastAsia" w:ascii="仿宋" w:hAnsi="仿宋" w:eastAsia="仿宋" w:cs="仿宋"/>
          <w:bCs/>
          <w:color w:val="000000" w:themeColor="text1"/>
          <w:sz w:val="24"/>
          <w:szCs w:val="21"/>
          <w14:textFill>
            <w14:solidFill>
              <w14:schemeClr w14:val="tx1"/>
            </w14:solidFill>
          </w14:textFill>
        </w:rPr>
        <w:t xml:space="preserve">成交候选供应商</w:t>
      </w:r>
      <w:r>
        <w:rPr>
          <w:rFonts w:hint="eastAsia" w:ascii="仿宋" w:hAnsi="仿宋" w:eastAsia="仿宋" w:cs="仿宋"/>
          <w:bCs/>
          <w:color w:val="000000" w:themeColor="text1"/>
          <w:sz w:val="24"/>
          <w:lang w:val="zh-CN"/>
          <w14:textFill>
            <w14:solidFill>
              <w14:schemeClr w14:val="tx1"/>
            </w14:solidFill>
          </w14:textFill>
        </w:rPr>
        <w:t xml:space="preserve">中按顺序确定成交供应商。</w:t>
      </w:r>
      <w:r/>
    </w:p>
    <w:p>
      <w:pPr>
        <w:ind w:firstLine="478"/>
        <w:spacing w:line="560" w:lineRule="exact"/>
        <w:tabs>
          <w:tab w:val="left" w:pos="900" w:leader="none"/>
        </w:tabs>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按第</w:t>
      </w:r>
      <w:r>
        <w:rPr>
          <w:rFonts w:hint="eastAsia" w:ascii="仿宋" w:hAnsi="仿宋" w:eastAsia="仿宋" w:cs="仿宋"/>
          <w:bCs/>
          <w:color w:val="000000" w:themeColor="text1"/>
          <w:sz w:val="24"/>
          <w14:textFill>
            <w14:solidFill>
              <w14:schemeClr w14:val="tx1"/>
            </w14:solidFill>
          </w14:textFill>
        </w:rPr>
        <w:t xml:space="preserve">2</w:t>
      </w:r>
      <w:r>
        <w:rPr>
          <w:rFonts w:hint="eastAsia" w:ascii="仿宋" w:hAnsi="仿宋" w:eastAsia="仿宋" w:cs="仿宋"/>
          <w:bCs/>
          <w:color w:val="000000" w:themeColor="text1"/>
          <w:sz w:val="24"/>
          <w:lang w:val="zh-CN"/>
          <w14:textFill>
            <w14:solidFill>
              <w14:schemeClr w14:val="tx1"/>
            </w14:solidFill>
          </w14:textFill>
        </w:rPr>
        <w:t xml:space="preserve">种方式确定成交供应商的，</w:t>
      </w:r>
      <w:r>
        <w:rPr>
          <w:rFonts w:hint="eastAsia" w:ascii="仿宋" w:hAnsi="仿宋" w:eastAsia="仿宋" w:cs="仿宋"/>
          <w:bCs/>
          <w:color w:val="000000" w:themeColor="text1"/>
          <w:sz w:val="24"/>
          <w14:textFill>
            <w14:solidFill>
              <w14:schemeClr w14:val="tx1"/>
            </w14:solidFill>
          </w14:textFill>
        </w:rPr>
        <w:t xml:space="preserve">采购代理机构</w:t>
      </w:r>
      <w:r>
        <w:rPr>
          <w:rFonts w:hint="eastAsia" w:ascii="仿宋" w:hAnsi="仿宋" w:eastAsia="仿宋" w:cs="仿宋"/>
          <w:bCs/>
          <w:color w:val="000000" w:themeColor="text1"/>
          <w:sz w:val="24"/>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themeColor="text1"/>
          <w:sz w:val="24"/>
          <w:szCs w:val="21"/>
          <w14:textFill>
            <w14:solidFill>
              <w14:schemeClr w14:val="tx1"/>
            </w14:solidFill>
          </w14:textFill>
        </w:rPr>
        <w:t xml:space="preserve">成交候选供应商</w:t>
      </w:r>
      <w:r>
        <w:rPr>
          <w:rFonts w:hint="eastAsia" w:ascii="仿宋" w:hAnsi="仿宋" w:eastAsia="仿宋" w:cs="仿宋"/>
          <w:bCs/>
          <w:color w:val="000000" w:themeColor="text1"/>
          <w:sz w:val="24"/>
          <w:lang w:val="zh-CN"/>
          <w14:textFill>
            <w14:solidFill>
              <w14:schemeClr w14:val="tx1"/>
            </w14:solidFill>
          </w14:textFill>
        </w:rPr>
        <w:t xml:space="preserve">中按顺序确定成交供应商。</w:t>
      </w:r>
      <w:r/>
    </w:p>
    <w:p>
      <w:pPr>
        <w:ind w:firstLine="478"/>
        <w:spacing w:line="560" w:lineRule="exact"/>
        <w:tabs>
          <w:tab w:val="left" w:pos="900" w:leader="none"/>
        </w:tabs>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28.3成交供应商确定后，采购代理机构将在“江苏省政府采购网”发布成交结果公告，公告期限为1个工作日。</w:t>
      </w:r>
      <w:r/>
    </w:p>
    <w:p>
      <w:pPr>
        <w:ind w:firstLine="478"/>
        <w:spacing w:line="560" w:lineRule="exact"/>
        <w:tabs>
          <w:tab w:val="left" w:pos="900" w:leader="none"/>
        </w:tabs>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28.4若有充分证据证明，成交供应商出现下列情况之一的，一经查实，将被取消成交资格：</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28.4.1提供虚假材料谋取成交的。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28.4.2与评审专家、采购人、其他供应商或者</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bCs/>
          <w:color w:val="000000" w:themeColor="text1"/>
          <w:sz w:val="24"/>
          <w:szCs w:val="21"/>
          <w14:textFill>
            <w14:solidFill>
              <w14:schemeClr w14:val="tx1"/>
            </w14:solidFill>
          </w14:textFill>
        </w:rPr>
        <w:t xml:space="preserve">工作人员恶意串通的。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28.4.3向评审专家、采购人或</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bCs/>
          <w:color w:val="000000" w:themeColor="text1"/>
          <w:sz w:val="24"/>
          <w:szCs w:val="21"/>
          <w14:textFill>
            <w14:solidFill>
              <w14:schemeClr w14:val="tx1"/>
            </w14:solidFill>
          </w14:textFill>
        </w:rPr>
        <w:t xml:space="preserve">工作人员行贿或者提供其他不正当利益的。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28.4.4恶意竞争，最后报价明显低于其自身合理成本且又无法提供证明的。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28.4.5不满足本磋商文件规定的实质性要求，但在评审过程中又未被磋商小组发现的。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28.4.6成交后无正当理由拒不与采购人签订政府采购合同或者未按照磋商文件确定的事项签订政府采购合同的。</w:t>
      </w:r>
      <w:r/>
    </w:p>
    <w:p>
      <w:pPr>
        <w:ind w:firstLine="480"/>
        <w:spacing w:line="560" w:lineRule="exact"/>
        <w:rPr>
          <w:rFonts w:hint="eastAsia" w:ascii="仿宋" w:hAnsi="仿宋" w:eastAsia="仿宋" w:cs="仿宋"/>
          <w:bCs/>
          <w:color w:val="000000" w:themeColor="text1"/>
          <w:sz w:val="24"/>
          <w:szCs w:val="21"/>
          <w14:textFill>
            <w14:solidFill>
              <w14:schemeClr w14:val="tx1"/>
            </w14:solidFill>
          </w14:textFill>
        </w:rPr>
      </w:pPr>
      <w:r>
        <w:rPr>
          <w:rFonts w:hint="eastAsia" w:ascii="仿宋" w:hAnsi="仿宋" w:eastAsia="仿宋" w:cs="仿宋"/>
          <w:bCs/>
          <w:color w:val="000000" w:themeColor="text1"/>
          <w:sz w:val="24"/>
          <w:szCs w:val="21"/>
          <w14:textFill>
            <w14:solidFill>
              <w14:schemeClr w14:val="tx1"/>
            </w14:solidFill>
          </w14:textFill>
        </w:rPr>
        <w:t xml:space="preserve">28.4.7将政府采购合同转包的。</w:t>
      </w:r>
      <w:r/>
    </w:p>
    <w:p>
      <w:pPr>
        <w:ind w:firstLine="600"/>
        <w:keepLines/>
        <w:keepNext/>
        <w:spacing w:line="560" w:lineRule="exact"/>
        <w:rPr>
          <w:rFonts w:hint="eastAsia" w:ascii="仿宋" w:hAnsi="仿宋" w:eastAsia="仿宋" w:cs="仿宋"/>
          <w:bCs/>
          <w:color w:val="000000" w:themeColor="text1"/>
          <w:sz w:val="30"/>
          <w:szCs w:val="30"/>
          <w14:textFill>
            <w14:solidFill>
              <w14:schemeClr w14:val="tx1"/>
            </w14:solidFill>
          </w14:textFill>
        </w:rPr>
        <w:outlineLvl w:val="3"/>
      </w:pPr>
      <w:r/>
      <w:bookmarkStart w:id="178" w:name="_Toc200451960"/>
      <w:r>
        <w:rPr>
          <w:rFonts w:hint="eastAsia" w:ascii="仿宋" w:hAnsi="仿宋" w:eastAsia="仿宋" w:cs="仿宋"/>
          <w:bCs/>
          <w:color w:val="000000" w:themeColor="text1"/>
          <w:sz w:val="30"/>
          <w:szCs w:val="30"/>
          <w14:textFill>
            <w14:solidFill>
              <w14:schemeClr w14:val="tx1"/>
            </w14:solidFill>
          </w14:textFill>
        </w:rPr>
        <w:t xml:space="preserve">29、质疑处理</w:t>
      </w:r>
      <w:bookmarkEnd w:id="178"/>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29.2.2对采购过程提出质疑的，为各采购程序环节结束之日。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29.2.3对成交结果提出质疑的，为成交结果公告期限届满之日。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color w:val="000000" w:themeColor="text1"/>
          <w:sz w:val="24"/>
          <w:szCs w:val="24"/>
          <w14:textFill>
            <w14:solidFill>
              <w14:schemeClr w14:val="tx1"/>
            </w14:solidFill>
          </w14:textFill>
        </w:rPr>
        <w:t xml:space="preserve">、采购人将只对供应商第一次质疑作出答复。</w:t>
      </w:r>
      <w:r/>
    </w:p>
    <w:p>
      <w:pPr>
        <w:ind w:left="479"/>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29.3质疑函必须按照本磋商文件中《质疑函范本》要求的格式和内容进行</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29.4供应商应以书面形式向采购人或者其委托的采购代理机构提出质疑。质疑超出采购机构代理范围的，供应商应当向采购人提出。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接收质疑函的方式：现场接收或邮寄接收。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联系部门：江苏省沙集闸站管理所、宿迁市宏晟项目管理有限公司</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联系电话：19905245633</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通讯地址：</w:t>
      </w:r>
      <w:bookmarkStart w:id="179" w:name="EBbc4de356f0dc436eb73023cf20f4397b"/>
      <w:r>
        <w:rPr>
          <w:rFonts w:hint="eastAsia" w:ascii="仿宋" w:hAnsi="仿宋" w:eastAsia="仿宋" w:cs="仿宋"/>
          <w:color w:val="000000" w:themeColor="text1"/>
          <w:sz w:val="24"/>
          <w:szCs w:val="24"/>
          <w14:textFill>
            <w14:solidFill>
              <w14:schemeClr w14:val="tx1"/>
            </w14:solidFill>
          </w14:textFill>
        </w:rPr>
        <w:t xml:space="preserve">江苏省徐州市睢宁县沙集镇南2公里、</w:t>
      </w:r>
      <w:bookmarkEnd w:id="179"/>
      <w:r>
        <w:rPr>
          <w:rFonts w:hint="eastAsia" w:ascii="仿宋" w:hAnsi="仿宋" w:eastAsia="仿宋" w:cs="仿宋"/>
          <w:color w:val="000000" w:themeColor="text1"/>
          <w:sz w:val="24"/>
          <w:szCs w:val="24"/>
          <w14:textFill>
            <w14:solidFill>
              <w14:schemeClr w14:val="tx1"/>
            </w14:solidFill>
          </w14:textFill>
        </w:rPr>
        <w:t xml:space="preserve">宿迁市宿城区河滨街道观澜路恒大悦澜湾南门办公楼301室</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 以下情形的质疑不予受理</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29.5.1 内容不符合《政府采购质疑和投诉办法》第十二条规定的质疑。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29.5.2 超出政府采购法定期限的质疑。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29.5.3 以传真、电子邮件等方式递交的非原件形式的质疑。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29.5.4 未参加磋商活动的供应商或在磋商活动中自身权益未受到损害的供应商所提出的质疑。</w:t>
      </w:r>
      <w:r/>
    </w:p>
    <w:p>
      <w:pPr>
        <w:ind w:firstLine="468"/>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29.6 供应商提出书面质疑必须有理、有据，不得捏造事实、提供虚假材料进行恶意质疑。否则，一经查实，</w:t>
      </w:r>
      <w:r>
        <w:rPr>
          <w:rFonts w:hint="eastAsia" w:ascii="仿宋" w:hAnsi="仿宋" w:eastAsia="仿宋" w:cs="仿宋"/>
          <w:color w:val="000000" w:themeColor="text1"/>
          <w:sz w:val="24"/>
          <w:szCs w:val="21"/>
          <w14:textFill>
            <w14:solidFill>
              <w14:schemeClr w14:val="tx1"/>
            </w14:solidFill>
          </w14:textFill>
        </w:rPr>
        <w:t xml:space="preserve">采购代理机构</w:t>
      </w:r>
      <w:r>
        <w:rPr>
          <w:rFonts w:hint="eastAsia" w:ascii="仿宋" w:hAnsi="仿宋" w:eastAsia="仿宋" w:cs="仿宋"/>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468"/>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29.7质疑供应商对采购人、采购代理机构的答复不满意，或者采购人、采购代理机构未在规定时间内作出答复的，可以在答复期满后15个工作日内向同级财政部门提起投诉。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hint="eastAsia" w:ascii="仿宋" w:hAnsi="仿宋" w:eastAsia="仿宋" w:cs="仿宋"/>
          <w:bCs/>
          <w:color w:val="000000" w:themeColor="text1"/>
          <w:sz w:val="30"/>
          <w:szCs w:val="30"/>
          <w14:textFill>
            <w14:solidFill>
              <w14:schemeClr w14:val="tx1"/>
            </w14:solidFill>
          </w14:textFill>
        </w:rPr>
        <w:outlineLvl w:val="3"/>
      </w:pPr>
      <w:r>
        <w:rPr>
          <w:rFonts w:hint="eastAsia" w:ascii="仿宋" w:hAnsi="仿宋" w:eastAsia="仿宋" w:cs="仿宋"/>
          <w:bCs/>
          <w:color w:val="000000" w:themeColor="text1"/>
          <w:sz w:val="30"/>
          <w:szCs w:val="30"/>
          <w14:textFill>
            <w14:solidFill>
              <w14:schemeClr w14:val="tx1"/>
            </w14:solidFill>
          </w14:textFill>
        </w:rPr>
        <w:t xml:space="preserve">30、成交通知书</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80" w:name="_Toc169207394"/>
      <w:r/>
      <w:bookmarkStart w:id="181" w:name="_Toc513029236"/>
      <w:r/>
      <w:bookmarkStart w:id="182" w:name="_Toc20823308"/>
      <w:r/>
      <w:bookmarkStart w:id="183" w:name="_Toc120614220"/>
      <w:r/>
      <w:bookmarkStart w:id="184" w:name="_Toc16938552"/>
      <w:r>
        <w:rPr>
          <w:rFonts w:hint="eastAsia" w:ascii="仿宋" w:hAnsi="仿宋" w:eastAsia="仿宋" w:cs="仿宋"/>
          <w:b/>
          <w:bCs/>
          <w:color w:val="000000" w:themeColor="text1"/>
          <w:sz w:val="32"/>
          <w:szCs w:val="32"/>
          <w14:textFill>
            <w14:solidFill>
              <w14:schemeClr w14:val="tx1"/>
            </w14:solidFill>
          </w14:textFill>
        </w:rPr>
        <w:t xml:space="preserve">七、授予合同</w:t>
      </w:r>
      <w:bookmarkEnd w:id="180"/>
      <w:r/>
      <w:bookmarkEnd w:id="181"/>
      <w:r/>
      <w:bookmarkEnd w:id="182"/>
      <w:r/>
      <w:bookmarkEnd w:id="183"/>
      <w:r/>
      <w:bookmarkEnd w:id="184"/>
      <w:r/>
      <w:r/>
    </w:p>
    <w:p>
      <w:pPr>
        <w:ind w:firstLine="600"/>
        <w:keepLines/>
        <w:keepNext/>
        <w:spacing w:line="560" w:lineRule="exact"/>
        <w:rPr>
          <w:rFonts w:hint="eastAsia" w:ascii="仿宋" w:hAnsi="仿宋" w:eastAsia="仿宋" w:cs="仿宋"/>
          <w:bCs/>
          <w:color w:val="000000" w:themeColor="text1"/>
          <w:sz w:val="30"/>
          <w:szCs w:val="30"/>
          <w14:textFill>
            <w14:solidFill>
              <w14:schemeClr w14:val="tx1"/>
            </w14:solidFill>
          </w14:textFill>
        </w:rPr>
        <w:outlineLvl w:val="3"/>
      </w:pPr>
      <w:r/>
      <w:bookmarkStart w:id="185" w:name="_Toc513029237"/>
      <w:r/>
      <w:bookmarkStart w:id="186" w:name="_Toc16938553"/>
      <w:r/>
      <w:bookmarkStart w:id="187" w:name="_Toc20823309"/>
      <w:r>
        <w:rPr>
          <w:rFonts w:hint="eastAsia" w:ascii="仿宋" w:hAnsi="仿宋" w:eastAsia="仿宋" w:cs="仿宋"/>
          <w:bCs/>
          <w:color w:val="000000" w:themeColor="text1"/>
          <w:sz w:val="30"/>
          <w:szCs w:val="30"/>
          <w14:textFill>
            <w14:solidFill>
              <w14:schemeClr w14:val="tx1"/>
            </w14:solidFill>
          </w14:textFill>
        </w:rPr>
        <w:t xml:space="preserve">31. 签订合同</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.l成交供应商应当在成交通知书发出之日起15日内，按照磋商文件确定的事项与采购人签订政府采购合同。</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31.2磋商文件、成交供应商的响应文件及磋商过程中有关澄清、承诺文件均应作为合同附件。</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31.4根据《中华人民共和国政府采购法》第七十七条和《中华人民共和国政府采购法实施条例》第七十二条规定，供应商无故弃标的处罚办法如下 ：</w:t>
      </w:r>
      <w:r/>
    </w:p>
    <w:p>
      <w:pPr>
        <w:numPr>
          <w:ilvl w:val="0"/>
          <w:numId w:val="8"/>
        </w:num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罚款：处以采购金额千分之五以上千分之十以下的罚款，</w:t>
      </w:r>
      <w:r/>
    </w:p>
    <w:p>
      <w:pPr>
        <w:numPr>
          <w:ilvl w:val="0"/>
          <w:numId w:val="8"/>
        </w:num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列入不良行为记录名单：将供应商列入不良行为记录名单，对其信誉产生负面影响。 </w:t>
      </w:r>
      <w:r/>
    </w:p>
    <w:p>
      <w:pPr>
        <w:numPr>
          <w:ilvl w:val="0"/>
          <w:numId w:val="8"/>
        </w:num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禁止参加政府采购活动：在一至三年内禁止参加政府采购活动。</w:t>
      </w:r>
      <w:r/>
    </w:p>
    <w:p>
      <w:pPr>
        <w:numPr>
          <w:ilvl w:val="0"/>
          <w:numId w:val="8"/>
        </w:num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没收违法所得：若供应商有违法所得，将并处没收违法所得。 吊销营业执照：情节严重的，由工商行政管理机关吊销营业执照。 </w:t>
      </w:r>
      <w:r/>
    </w:p>
    <w:p>
      <w:pPr>
        <w:numPr>
          <w:ilvl w:val="0"/>
          <w:numId w:val="8"/>
        </w:num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追究刑事责任：构成犯罪的，依法追究刑事责任。</w:t>
      </w:r>
      <w:r/>
    </w:p>
    <w:p>
      <w:pPr>
        <w:ind w:firstLine="60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31.5本项目的非主体、非关键性工作是否允许分包按以下第</w:t>
      </w:r>
      <w:r>
        <w:rPr>
          <w:rFonts w:hint="eastAsia" w:ascii="仿宋" w:hAnsi="仿宋" w:eastAsia="仿宋" w:cs="仿宋"/>
          <w:color w:val="000000" w:themeColor="text1"/>
          <w:sz w:val="24"/>
          <w:szCs w:val="24"/>
          <w:u w:val="single"/>
          <w14:textFill>
            <w14:solidFill>
              <w14:schemeClr w14:val="tx1"/>
            </w14:solidFill>
          </w14:textFill>
        </w:rPr>
        <w:t xml:space="preserve"> 2 </w:t>
      </w:r>
      <w:r>
        <w:rPr>
          <w:rFonts w:hint="eastAsia" w:ascii="仿宋" w:hAnsi="仿宋" w:eastAsia="仿宋" w:cs="仿宋"/>
          <w:color w:val="000000" w:themeColor="text1"/>
          <w:sz w:val="24"/>
          <w:szCs w:val="24"/>
          <w14:textFill>
            <w14:solidFill>
              <w14:schemeClr w14:val="tx1"/>
            </w14:solidFill>
          </w14:textFill>
        </w:rPr>
        <w:t xml:space="preserve">种方式确定：</w:t>
      </w:r>
      <w:r/>
    </w:p>
    <w:p>
      <w:pPr>
        <w:ind w:firstLine="72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1.允许分包，允许大中型企业向一家或者多家小微企业分包，分包具体内容、金额或比例：</w:t>
      </w:r>
      <w:r>
        <w:rPr>
          <w:rFonts w:hint="eastAsia" w:ascii="仿宋" w:hAnsi="仿宋" w:eastAsia="仿宋" w:cs="仿宋"/>
          <w:color w:val="000000" w:themeColor="text1"/>
          <w:sz w:val="24"/>
          <w:szCs w:val="24"/>
          <w:u w:val="single"/>
          <w14:textFill>
            <w14:solidFill>
              <w14:schemeClr w14:val="tx1"/>
            </w14:solidFill>
          </w14:textFill>
        </w:rPr>
        <w:t xml:space="preserve">/</w:t>
      </w:r>
      <w:r/>
    </w:p>
    <w:p>
      <w:pPr>
        <w:ind w:firstLine="72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31.6履约保证金</w:t>
      </w:r>
      <w:r/>
    </w:p>
    <w:p>
      <w:pPr>
        <w:ind w:firstLine="600"/>
        <w:spacing w:line="56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按照以下第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(1)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方式确定履约保证收取方式。</w:t>
      </w:r>
      <w:r/>
    </w:p>
    <w:p>
      <w:pPr>
        <w:ind w:firstLine="480"/>
        <w:spacing w:line="56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（1）不收取履约保证金。</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（2）履约保证金应在采购合同签订前提交，按采购合同总价的</w:t>
      </w:r>
      <w:r>
        <w:rPr>
          <w:rFonts w:hint="eastAsia" w:ascii="仿宋" w:hAnsi="仿宋" w:eastAsia="仿宋" w:cs="仿宋"/>
          <w:color w:val="000000" w:themeColor="text1"/>
          <w:sz w:val="24"/>
          <w:szCs w:val="24"/>
          <w:u w:val="single"/>
          <w14:textFill>
            <w14:solidFill>
              <w14:schemeClr w14:val="tx1"/>
            </w14:solidFill>
          </w14:textFill>
        </w:rPr>
        <w:t xml:space="preserve"> / </w:t>
      </w:r>
      <w:r>
        <w:rPr>
          <w:rFonts w:hint="eastAsia" w:ascii="仿宋" w:hAnsi="仿宋" w:eastAsia="仿宋" w:cs="仿宋"/>
          <w:color w:val="000000" w:themeColor="text1"/>
          <w:sz w:val="24"/>
          <w:szCs w:val="24"/>
          <w:lang w:val="zh-CN"/>
          <w14:textFill>
            <w14:solidFill>
              <w14:schemeClr w14:val="tx1"/>
            </w14:solidFill>
          </w14:textFill>
        </w:rPr>
        <w:t xml:space="preserve">%(如使用江苏政府采购电子履约保函(保险)代缴纳履约保证金，按采购合同价的</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%)计取。</w:t>
      </w:r>
      <w:r>
        <w:rPr>
          <w:rFonts w:hint="eastAsia" w:ascii="仿宋" w:hAnsi="仿宋" w:eastAsia="仿宋" w:cs="仿宋"/>
          <w:bCs/>
          <w:color w:val="000000" w:themeColor="text1"/>
          <w:sz w:val="24"/>
          <w:lang w:val="zh-CN"/>
          <w14:textFill>
            <w14:solidFill>
              <w14:schemeClr w14:val="tx1"/>
            </w14:solidFill>
          </w14:textFill>
        </w:rPr>
        <w:t xml:space="preserve">除银行电汇、网上银行、数字人民币外，供应商还可选用银行保函、担保公司的保证担保或保险公司的保证保险等多种形式向采购人缴纳；</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履约保证金退还的条件：按以下第</w:t>
      </w:r>
      <w:r>
        <w:rPr>
          <w:rFonts w:hint="eastAsia" w:ascii="仿宋" w:hAnsi="仿宋" w:eastAsia="仿宋" w:cs="仿宋"/>
          <w:bCs/>
          <w:color w:val="000000" w:themeColor="text1"/>
          <w:sz w:val="24"/>
          <w:u w:val="single"/>
          <w:lang w:val="zh-CN"/>
          <w14:textFill>
            <w14:solidFill>
              <w14:schemeClr w14:val="tx1"/>
            </w14:solidFill>
          </w14:textFill>
        </w:rPr>
        <w:t xml:space="preserve"> </w:t>
      </w:r>
      <w:r>
        <w:rPr>
          <w:rFonts w:hint="eastAsia" w:ascii="仿宋" w:hAnsi="仿宋" w:eastAsia="仿宋" w:cs="仿宋"/>
          <w:bCs/>
          <w:color w:val="000000" w:themeColor="text1"/>
          <w:sz w:val="24"/>
          <w:u w:val="single"/>
          <w14:textFill>
            <w14:solidFill>
              <w14:schemeClr w14:val="tx1"/>
            </w14:solidFill>
          </w14:textFill>
        </w:rPr>
        <w:t xml:space="preserve">c</w:t>
      </w:r>
      <w:r>
        <w:rPr>
          <w:rFonts w:hint="eastAsia" w:ascii="仿宋" w:hAnsi="仿宋" w:eastAsia="仿宋" w:cs="仿宋"/>
          <w:bCs/>
          <w:color w:val="000000" w:themeColor="text1"/>
          <w:sz w:val="24"/>
          <w:u w:val="single"/>
          <w:lang w:val="zh-CN"/>
          <w14:textFill>
            <w14:solidFill>
              <w14:schemeClr w14:val="tx1"/>
            </w14:solidFill>
          </w14:textFill>
        </w:rPr>
        <w:t xml:space="preserve"> </w:t>
      </w:r>
      <w:r>
        <w:rPr>
          <w:rFonts w:hint="eastAsia" w:ascii="仿宋" w:hAnsi="仿宋" w:eastAsia="仿宋" w:cs="仿宋"/>
          <w:bCs/>
          <w:color w:val="000000" w:themeColor="text1"/>
          <w:sz w:val="24"/>
          <w:lang w:val="zh-CN"/>
          <w14:textFill>
            <w14:solidFill>
              <w14:schemeClr w14:val="tx1"/>
            </w14:solidFill>
          </w14:textFill>
        </w:rPr>
        <w:t xml:space="preserve">种方式实行：</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a、货物类项目，项目验收合格，出具验收报告及履约保证金收据申请退付；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b、服务类项目，项目履约期满评价合格，出具履约评价报告及履约保证金收据申请退付；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c、工程类项目，项目竣工验收合格，出具完工证明及履约保证金收据申请退付；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履约保证金退还时间：采购单位收到供应商退付申请后5个工作日内退还；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p>
    <w:p>
      <w:pPr>
        <w:ind w:firstLine="300"/>
        <w:keepLines/>
        <w:keepNext/>
        <w:spacing w:line="560" w:lineRule="exact"/>
        <w:rPr>
          <w:rFonts w:hint="eastAsia" w:ascii="仿宋" w:hAnsi="仿宋" w:eastAsia="仿宋" w:cs="仿宋"/>
          <w:bCs/>
          <w:color w:val="000000" w:themeColor="text1"/>
          <w:sz w:val="30"/>
          <w:szCs w:val="30"/>
          <w14:textFill>
            <w14:solidFill>
              <w14:schemeClr w14:val="tx1"/>
            </w14:solidFill>
          </w14:textFill>
        </w:rPr>
        <w:outlineLvl w:val="3"/>
      </w:pPr>
      <w:r>
        <w:rPr>
          <w:rFonts w:hint="eastAsia" w:ascii="仿宋" w:hAnsi="仿宋" w:eastAsia="仿宋" w:cs="仿宋"/>
          <w:bCs/>
          <w:color w:val="000000" w:themeColor="text1"/>
          <w:sz w:val="30"/>
          <w:szCs w:val="30"/>
          <w14:textFill>
            <w14:solidFill>
              <w14:schemeClr w14:val="tx1"/>
            </w14:solidFill>
          </w14:textFill>
        </w:rPr>
        <w:t xml:space="preserve">32、标的物的追加</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bookmarkEnd w:id="185"/>
      <w:r/>
      <w:bookmarkEnd w:id="186"/>
      <w:r/>
      <w:bookmarkEnd w:id="187"/>
      <w:r/>
      <w:r/>
    </w:p>
    <w:p>
      <w:pPr>
        <w:ind w:firstLine="600"/>
        <w:keepLines/>
        <w:keepNext/>
        <w:spacing w:line="560" w:lineRule="exact"/>
        <w:rPr>
          <w:rFonts w:hint="eastAsia" w:ascii="仿宋" w:hAnsi="仿宋" w:eastAsia="仿宋" w:cs="仿宋"/>
          <w:bCs/>
          <w:color w:val="000000" w:themeColor="text1"/>
          <w:sz w:val="30"/>
          <w:szCs w:val="30"/>
          <w14:textFill>
            <w14:solidFill>
              <w14:schemeClr w14:val="tx1"/>
            </w14:solidFill>
          </w14:textFill>
        </w:rPr>
        <w:outlineLvl w:val="3"/>
      </w:pPr>
      <w:r/>
      <w:bookmarkStart w:id="188" w:name="_Toc120614221"/>
      <w:r/>
      <w:bookmarkStart w:id="189" w:name="_Toc20823314"/>
      <w:r/>
      <w:bookmarkStart w:id="190" w:name="_Toc513029242"/>
      <w:r/>
      <w:bookmarkStart w:id="191" w:name="_Toc479757207"/>
      <w:r/>
      <w:bookmarkStart w:id="192" w:name="_Toc16938558"/>
      <w:r>
        <w:rPr>
          <w:rFonts w:hint="eastAsia" w:ascii="仿宋" w:hAnsi="仿宋" w:eastAsia="仿宋" w:cs="仿宋"/>
          <w:bCs/>
          <w:color w:val="000000" w:themeColor="text1"/>
          <w:sz w:val="30"/>
          <w:szCs w:val="30"/>
          <w14:textFill>
            <w14:solidFill>
              <w14:schemeClr w14:val="tx1"/>
            </w14:solidFill>
          </w14:textFill>
        </w:rPr>
        <w:t xml:space="preserve">33、政府采购履约资金扶持政策</w:t>
      </w:r>
      <w:r/>
    </w:p>
    <w:p>
      <w:pPr>
        <w:ind w:firstLine="420"/>
        <w:spacing w:line="56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33.1依</w:t>
      </w:r>
      <w:r>
        <w:rPr>
          <w:rFonts w:hint="eastAsia" w:ascii="仿宋" w:hAnsi="仿宋" w:eastAsia="仿宋" w:cs="仿宋"/>
          <w:bCs/>
          <w:color w:val="000000" w:themeColor="text1"/>
          <w:sz w:val="24"/>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01"/>
        <w:ind w:firstLine="602"/>
        <w:spacing w:before="0" w:after="0" w:line="560" w:lineRule="exact"/>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 xml:space="preserve">34、验收及付款</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34.2采购人可以邀请参加本项目的其他供应商或者第三方机构参与验收。参与验收的供应商或者第三方机构的意见作为验收书的参考资料一并存档。</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35、付款</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 </w:t>
      </w:r>
      <w:bookmarkStart w:id="193" w:name="EBec7f529f50594afd871ea9378869e456"/>
      <w:r>
        <w:rPr>
          <w:rFonts w:hint="eastAsia" w:ascii="仿宋" w:hAnsi="仿宋" w:eastAsia="仿宋" w:cs="仿宋"/>
          <w:bCs/>
          <w:color w:val="000000" w:themeColor="text1"/>
          <w:sz w:val="24"/>
          <w14:textFill>
            <w14:solidFill>
              <w14:schemeClr w14:val="tx1"/>
            </w14:solidFill>
          </w14:textFill>
        </w:rPr>
        <w:t xml:space="preserve">按照以下</w:t>
      </w:r>
      <w:r>
        <w:rPr>
          <w:rFonts w:hint="eastAsia" w:ascii="仿宋" w:hAnsi="仿宋" w:eastAsia="仿宋" w:cs="仿宋"/>
          <w:bCs/>
          <w:color w:val="000000" w:themeColor="text1"/>
          <w:sz w:val="24"/>
          <w:u w:val="single"/>
          <w14:textFill>
            <w14:solidFill>
              <w14:schemeClr w14:val="tx1"/>
            </w14:solidFill>
          </w14:textFill>
        </w:rPr>
        <w:t xml:space="preserve">（3）</w:t>
      </w:r>
      <w:r>
        <w:rPr>
          <w:rFonts w:hint="eastAsia" w:ascii="仿宋" w:hAnsi="仿宋" w:eastAsia="仿宋" w:cs="仿宋"/>
          <w:bCs/>
          <w:color w:val="000000" w:themeColor="text1"/>
          <w:sz w:val="24"/>
          <w14:textFill>
            <w14:solidFill>
              <w14:schemeClr w14:val="tx1"/>
            </w14:solidFill>
          </w14:textFill>
        </w:rPr>
        <w:t xml:space="preserve">类项目确定的付款方式，采购人及时办理付款手续。对于满足合同约定支付条件的，自收到发票后10个工作日内将资金支付到合同约定的供应商账户或供应商数字人民币账户。</w:t>
      </w:r>
      <w:bookmarkEnd w:id="193"/>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（1）货物类项目</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    </w:t>
      </w:r>
      <w:r>
        <w:rPr>
          <w:rFonts w:hint="eastAsia" w:ascii="仿宋" w:hAnsi="仿宋" w:eastAsia="仿宋" w:cs="仿宋"/>
          <w:bCs/>
          <w:color w:val="000000" w:themeColor="text1"/>
          <w:sz w:val="24"/>
          <w14:textFill>
            <w14:solidFill>
              <w14:schemeClr w14:val="tx1"/>
            </w14:solidFill>
          </w14:textFill>
        </w:rPr>
        <w:t xml:space="preserve">%，合同签订后按规定支付； </w:t>
      </w:r>
      <w:r/>
    </w:p>
    <w:p>
      <w:pPr>
        <w:ind w:firstLine="482"/>
        <w:spacing w:line="560" w:lineRule="exact"/>
        <w:rPr>
          <w:rFonts w:hint="eastAsia" w:ascii="仿宋" w:hAnsi="仿宋" w:eastAsia="仿宋" w:cs="仿宋"/>
          <w:bCs/>
          <w:color w:val="000000" w:themeColor="text1"/>
          <w:sz w:val="24"/>
          <w:u w:val="single"/>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进度款：</w:t>
      </w:r>
      <w:bookmarkStart w:id="194" w:name="EBf1f8b954f7504a2cb44cef25707c76a6"/>
      <w:r/>
      <w:bookmarkEnd w:id="194"/>
      <w:r>
        <w:rPr>
          <w:rFonts w:hint="eastAsia" w:ascii="仿宋" w:hAnsi="仿宋" w:eastAsia="仿宋" w:cs="仿宋"/>
          <w:bCs/>
          <w:color w:val="000000" w:themeColor="text1"/>
          <w:sz w:val="24"/>
          <w:u w:val="single"/>
          <w14:textFill>
            <w14:solidFill>
              <w14:schemeClr w14:val="tx1"/>
            </w14:solidFill>
          </w14:textFill>
        </w:rPr>
        <w:t xml:space="preserve">                /                 </w:t>
      </w:r>
      <w:r>
        <w:rPr>
          <w:rFonts w:hint="eastAsia" w:ascii="仿宋" w:hAnsi="仿宋" w:eastAsia="仿宋" w:cs="仿宋"/>
          <w:bCs/>
          <w:color w:val="000000" w:themeColor="text1"/>
          <w:sz w:val="24"/>
          <w14:textFill>
            <w14:solidFill>
              <w14:schemeClr w14:val="tx1"/>
            </w14:solidFill>
          </w14:textFill>
        </w:rPr>
        <w:t xml:space="preserve">。</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（2）服务类项目</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bookmarkStart w:id="195" w:name="EBe373fd05aa034cc3a1a41aadf8509e01"/>
      <w:r>
        <w:rPr>
          <w:rFonts w:hint="eastAsia" w:ascii="仿宋" w:hAnsi="仿宋" w:eastAsia="仿宋" w:cs="仿宋"/>
          <w:bCs/>
          <w:color w:val="000000" w:themeColor="text1"/>
          <w:sz w:val="24"/>
          <w:u w:val="single"/>
          <w14:textFill>
            <w14:solidFill>
              <w14:schemeClr w14:val="tx1"/>
            </w14:solidFill>
          </w14:textFill>
        </w:rPr>
        <w:t xml:space="preserve">   </w:t>
      </w:r>
      <w:r>
        <w:rPr>
          <w:rFonts w:hint="eastAsia" w:ascii="仿宋" w:hAnsi="仿宋" w:eastAsia="仿宋" w:cs="仿宋"/>
          <w:bCs/>
          <w:color w:val="000000" w:themeColor="text1"/>
          <w:sz w:val="24"/>
          <w14:textFill>
            <w14:solidFill>
              <w14:schemeClr w14:val="tx1"/>
            </w14:solidFill>
          </w14:textFill>
        </w:rPr>
        <w:t xml:space="preserve">%</w:t>
      </w:r>
      <w:bookmarkEnd w:id="195"/>
      <w:r>
        <w:rPr>
          <w:rFonts w:hint="eastAsia" w:ascii="仿宋" w:hAnsi="仿宋" w:eastAsia="仿宋" w:cs="仿宋"/>
          <w:bCs/>
          <w:color w:val="000000" w:themeColor="text1"/>
          <w:sz w:val="24"/>
          <w14:textFill>
            <w14:solidFill>
              <w14:schemeClr w14:val="tx1"/>
            </w14:solidFill>
          </w14:textFill>
        </w:rPr>
        <w:t xml:space="preserve">，合同签订后按规定支付；</w:t>
      </w:r>
      <w:r>
        <w:rPr>
          <w:rFonts w:hint="eastAsia" w:ascii="仿宋" w:hAnsi="仿宋" w:eastAsia="仿宋" w:cs="仿宋"/>
          <w:color w:val="000000" w:themeColor="text1"/>
          <w:sz w:val="24"/>
          <w14:textFill>
            <w14:solidFill>
              <w14:schemeClr w14:val="tx1"/>
            </w14:solidFill>
          </w14:textFill>
        </w:rPr>
        <w:t xml:space="preserve"> </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进度款：</w:t>
      </w:r>
      <w:bookmarkStart w:id="196" w:name="EB5e42c1c1be704ecfa15d9f8f317e8f12"/>
      <w:r/>
      <w:bookmarkEnd w:id="196"/>
      <w:r>
        <w:rPr>
          <w:rFonts w:hint="eastAsia" w:ascii="仿宋" w:hAnsi="仿宋" w:eastAsia="仿宋" w:cs="仿宋"/>
          <w:bCs/>
          <w:color w:val="000000" w:themeColor="text1"/>
          <w:sz w:val="24"/>
          <w:u w:val="single"/>
          <w14:textFill>
            <w14:solidFill>
              <w14:schemeClr w14:val="tx1"/>
            </w14:solidFill>
          </w14:textFill>
        </w:rPr>
        <w:t xml:space="preserve">                /                   </w:t>
      </w:r>
      <w:r>
        <w:rPr>
          <w:rFonts w:hint="eastAsia" w:ascii="仿宋" w:hAnsi="仿宋" w:eastAsia="仿宋" w:cs="仿宋"/>
          <w:bCs/>
          <w:color w:val="000000" w:themeColor="text1"/>
          <w:sz w:val="24"/>
          <w14:textFill>
            <w14:solidFill>
              <w14:schemeClr w14:val="tx1"/>
            </w14:solidFill>
          </w14:textFill>
        </w:rPr>
        <w:t xml:space="preserve">。</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（3）工</w:t>
      </w:r>
      <w:r>
        <w:rPr>
          <w:rFonts w:hint="eastAsia" w:ascii="仿宋" w:hAnsi="仿宋" w:eastAsia="仿宋" w:cs="仿宋"/>
          <w:bCs/>
          <w:color w:val="000000" w:themeColor="text1"/>
          <w:sz w:val="24"/>
          <w14:textFill>
            <w14:solidFill>
              <w14:schemeClr w14:val="tx1"/>
            </w14:solidFill>
          </w14:textFill>
        </w:rPr>
        <w:t xml:space="preserve">程类项目</w:t>
      </w:r>
      <w:r/>
    </w:p>
    <w:p>
      <w:pPr>
        <w:ind w:firstLine="482"/>
        <w:spacing w:line="560" w:lineRule="exact"/>
        <w:rPr>
          <w:rFonts w:hint="eastAsia" w:ascii="仿宋" w:hAnsi="仿宋" w:eastAsia="仿宋" w:cs="仿宋"/>
          <w:bCs/>
          <w:color w:val="000000" w:themeColor="text1"/>
          <w:sz w:val="24"/>
          <w:lang w:eastAsia="zh-CN"/>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进度款：项目施工完毕经验收合格，乙方将3%质量保证金汇到采购人指定账户，甲方支付完工程结算价</w:t>
      </w:r>
      <w:r>
        <w:rPr>
          <w:rFonts w:hint="eastAsia" w:ascii="仿宋" w:hAnsi="仿宋" w:eastAsia="仿宋" w:cs="仿宋"/>
          <w:bCs/>
          <w:color w:val="000000" w:themeColor="text1"/>
          <w:sz w:val="24"/>
          <w:lang w:eastAsia="zh-CN"/>
          <w14:textFill>
            <w14:solidFill>
              <w14:schemeClr w14:val="tx1"/>
            </w14:solidFill>
          </w14:textFill>
        </w:rPr>
        <w:t xml:space="preserve">的</w:t>
      </w:r>
      <w:r>
        <w:rPr>
          <w:rFonts w:hint="eastAsia" w:ascii="仿宋" w:hAnsi="仿宋" w:eastAsia="仿宋" w:cs="仿宋"/>
          <w:bCs/>
          <w:color w:val="000000" w:themeColor="text1"/>
          <w:sz w:val="24"/>
          <w:lang w:val="en-US" w:eastAsia="zh-CN"/>
          <w14:textFill>
            <w14:solidFill>
              <w14:schemeClr w14:val="tx1"/>
            </w14:solidFill>
          </w14:textFill>
        </w:rPr>
        <w:t xml:space="preserve">100%</w:t>
      </w:r>
      <w:r>
        <w:rPr>
          <w:rFonts w:hint="eastAsia" w:ascii="仿宋" w:hAnsi="仿宋" w:eastAsia="仿宋" w:cs="仿宋"/>
          <w:bCs/>
          <w:color w:val="000000" w:themeColor="text1"/>
          <w:sz w:val="24"/>
          <w14:textFill>
            <w14:solidFill>
              <w14:schemeClr w14:val="tx1"/>
            </w14:solidFill>
          </w14:textFill>
        </w:rPr>
        <w:t xml:space="preserve">，质量保证金待质保期满后无问题一次性付清（无息）</w:t>
      </w:r>
      <w:r>
        <w:rPr>
          <w:rFonts w:hint="eastAsia" w:ascii="仿宋" w:hAnsi="仿宋" w:eastAsia="仿宋" w:cs="仿宋"/>
          <w:bCs/>
          <w:color w:val="000000" w:themeColor="text1"/>
          <w:sz w:val="24"/>
          <w:lang w:eastAsia="zh-CN"/>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关于采购供应商合法权益补偿救济机制：在履约过程中，因政策变化、规划调整而无法履行合同约定、造成企业合法权益受损的，采购人依据实际情况对供应商进行补偿救济。</w:t>
      </w:r>
      <w:r/>
    </w:p>
    <w:p>
      <w:pPr>
        <w:ind w:firstLine="482"/>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keepNext/>
        <w:rPr>
          <w:rFonts w:hint="eastAsia" w:ascii="仿宋" w:hAnsi="仿宋" w:eastAsia="仿宋" w:cs="仿宋"/>
          <w:color w:val="000000" w:themeColor="text1"/>
          <w:sz w:val="44"/>
          <w:szCs w:val="44"/>
          <w14:textFill>
            <w14:solidFill>
              <w14:schemeClr w14:val="tx1"/>
            </w14:solidFill>
          </w14:textFill>
        </w:rPr>
        <w:outlineLvl w:val="0"/>
      </w:pPr>
      <w:r>
        <w:rPr>
          <w:rFonts w:hint="eastAsia" w:ascii="仿宋" w:hAnsi="仿宋" w:eastAsia="仿宋" w:cs="仿宋"/>
          <w:bCs/>
          <w:color w:val="000000" w:themeColor="text1"/>
          <w:sz w:val="44"/>
          <w:szCs w:val="28"/>
          <w14:textFill>
            <w14:solidFill>
              <w14:schemeClr w14:val="tx1"/>
            </w14:solidFill>
          </w14:textFill>
        </w:rPr>
        <w:br w:type="page" w:clear="all"/>
      </w:r>
      <w:bookmarkStart w:id="197" w:name="_Toc169207395"/>
      <w:r>
        <w:rPr>
          <w:rFonts w:hint="eastAsia" w:ascii="仿宋" w:hAnsi="仿宋" w:eastAsia="仿宋" w:cs="仿宋"/>
          <w:color w:val="000000" w:themeColor="text1"/>
          <w:sz w:val="44"/>
          <w:szCs w:val="44"/>
          <w14:textFill>
            <w14:solidFill>
              <w14:schemeClr w14:val="tx1"/>
            </w14:solidFill>
          </w14:textFill>
        </w:rPr>
        <w:t xml:space="preserve">第三章  合同</w:t>
      </w:r>
      <w:bookmarkEnd w:id="188"/>
      <w:r/>
      <w:bookmarkEnd w:id="189"/>
      <w:r/>
      <w:bookmarkEnd w:id="190"/>
      <w:r/>
      <w:bookmarkEnd w:id="191"/>
      <w:r/>
      <w:bookmarkEnd w:id="192"/>
      <w:r>
        <w:rPr>
          <w:rFonts w:hint="eastAsia" w:ascii="仿宋" w:hAnsi="仿宋" w:eastAsia="仿宋" w:cs="仿宋"/>
          <w:color w:val="000000" w:themeColor="text1"/>
          <w:sz w:val="44"/>
          <w:szCs w:val="44"/>
          <w14:textFill>
            <w14:solidFill>
              <w14:schemeClr w14:val="tx1"/>
            </w14:solidFill>
          </w14:textFill>
        </w:rPr>
        <w:t xml:space="preserve">文本</w:t>
      </w:r>
      <w:bookmarkEnd w:id="197"/>
      <w:r/>
      <w:r/>
    </w:p>
    <w:p>
      <w:pPr>
        <w:ind w:firstLine="480"/>
        <w:spacing w:line="500" w:lineRule="exact"/>
        <w:rPr>
          <w:rFonts w:hint="eastAsia" w:ascii="仿宋" w:hAnsi="仿宋" w:eastAsia="仿宋" w:cs="仿宋"/>
          <w:bCs/>
          <w:sz w:val="24"/>
          <w:szCs w:val="24"/>
        </w:rPr>
      </w:pPr>
      <w:r/>
      <w:bookmarkStart w:id="198" w:name="_Hlt16619350"/>
      <w:r/>
      <w:bookmarkStart w:id="199" w:name="_Toc20823346"/>
      <w:r/>
      <w:bookmarkStart w:id="200" w:name="_Toc169207396"/>
      <w:r/>
      <w:bookmarkStart w:id="201" w:name="_Toc120614244"/>
      <w:r/>
      <w:bookmarkStart w:id="202" w:name="_Toc16938590"/>
      <w:r/>
      <w:bookmarkStart w:id="203" w:name="_Toc462564139"/>
      <w:r/>
      <w:bookmarkStart w:id="204" w:name="_Toc479757211"/>
      <w:r>
        <w:rPr>
          <w:rFonts w:hint="eastAsia" w:ascii="仿宋" w:hAnsi="仿宋" w:eastAsia="仿宋" w:cs="仿宋"/>
          <w:bCs/>
          <w:sz w:val="24"/>
          <w:szCs w:val="24"/>
          <w:lang w:bidi="ar"/>
        </w:rPr>
        <w:t xml:space="preserve">以下为成交后签定本项目合同的通用条款，成交供应商不得提出实质性的修改。</w:t>
      </w:r>
      <w:r/>
    </w:p>
    <w:p>
      <w:pPr>
        <w:rPr>
          <w:rFonts w:hint="eastAsia" w:ascii="仿宋" w:hAnsi="仿宋" w:eastAsia="仿宋" w:cs="仿宋"/>
          <w:sz w:val="32"/>
          <w:szCs w:val="32"/>
        </w:rPr>
      </w:pPr>
      <w:r>
        <w:rPr>
          <w:rStyle w:val="1373"/>
          <w:rFonts w:hint="eastAsia" w:ascii="仿宋" w:hAnsi="仿宋" w:eastAsia="仿宋" w:cs="仿宋"/>
          <w:sz w:val="32"/>
          <w:szCs w:val="32"/>
          <w:lang w:bidi="ar"/>
        </w:rPr>
        <w:t xml:space="preserve">（GF-2017-0201）</w:t>
      </w:r>
      <w:r/>
    </w:p>
    <w:p>
      <w:pPr>
        <w:jc w:val="left"/>
        <w:widowControl/>
        <w:rPr>
          <w:rFonts w:hint="eastAsia" w:ascii="仿宋" w:hAnsi="仿宋" w:eastAsia="仿宋" w:cs="仿宋"/>
          <w:b/>
          <w:bCs/>
          <w:sz w:val="72"/>
          <w:szCs w:val="72"/>
        </w:rPr>
      </w:pPr>
      <w:r>
        <w:rPr>
          <w:rStyle w:val="1373"/>
          <w:rFonts w:hint="eastAsia" w:ascii="仿宋" w:hAnsi="仿宋" w:eastAsia="仿宋" w:cs="仿宋"/>
          <w:sz w:val="32"/>
          <w:szCs w:val="32"/>
          <w:lang w:bidi="ar"/>
        </w:rPr>
        <w:t xml:space="preserve"> </w:t>
      </w:r>
      <w:r>
        <w:rPr>
          <w:rStyle w:val="1373"/>
          <w:rFonts w:hint="eastAsia" w:ascii="仿宋" w:hAnsi="仿宋" w:eastAsia="仿宋" w:cs="仿宋"/>
          <w:b/>
          <w:bCs/>
          <w:sz w:val="72"/>
          <w:szCs w:val="72"/>
          <w:lang w:bidi="ar"/>
        </w:rPr>
        <w:t xml:space="preserve"> </w:t>
      </w:r>
      <w:r/>
    </w:p>
    <w:p>
      <w:pPr>
        <w:jc w:val="center"/>
        <w:widowControl/>
        <w:rPr>
          <w:rFonts w:hint="eastAsia" w:ascii="仿宋" w:hAnsi="仿宋" w:eastAsia="仿宋" w:cs="仿宋"/>
          <w:b/>
          <w:bCs/>
          <w:sz w:val="72"/>
          <w:szCs w:val="72"/>
        </w:rPr>
      </w:pPr>
      <w:r>
        <w:rPr>
          <w:rStyle w:val="1373"/>
          <w:rFonts w:hint="eastAsia" w:ascii="仿宋" w:hAnsi="仿宋" w:eastAsia="仿宋" w:cs="仿宋"/>
          <w:b/>
          <w:bCs/>
          <w:sz w:val="72"/>
          <w:szCs w:val="72"/>
          <w:lang w:bidi="ar"/>
        </w:rPr>
        <w:t xml:space="preserve"> </w:t>
      </w:r>
      <w:r/>
    </w:p>
    <w:p>
      <w:pPr>
        <w:jc w:val="center"/>
        <w:widowControl/>
        <w:rPr>
          <w:rFonts w:hint="eastAsia" w:ascii="仿宋" w:hAnsi="仿宋" w:eastAsia="仿宋" w:cs="仿宋"/>
          <w:sz w:val="22"/>
        </w:rPr>
      </w:pPr>
      <w:r>
        <w:rPr>
          <w:rStyle w:val="1373"/>
          <w:rFonts w:hint="eastAsia" w:ascii="仿宋" w:hAnsi="仿宋" w:eastAsia="仿宋" w:cs="仿宋"/>
          <w:b/>
          <w:bCs/>
          <w:sz w:val="56"/>
          <w:szCs w:val="56"/>
          <w:lang w:bidi="ar"/>
        </w:rPr>
        <w:t xml:space="preserve">建设工程施工合同</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p>
      <w:pPr>
        <w:jc w:val="left"/>
        <w:widowControl/>
        <w:rPr>
          <w:rFonts w:hint="eastAsia" w:ascii="仿宋" w:hAnsi="仿宋" w:eastAsia="仿宋" w:cs="仿宋"/>
          <w:b/>
          <w:bCs/>
          <w:sz w:val="32"/>
          <w:szCs w:val="32"/>
        </w:rPr>
      </w:pPr>
      <w:r>
        <w:rPr>
          <w:rStyle w:val="1373"/>
          <w:rFonts w:hint="eastAsia" w:ascii="仿宋" w:hAnsi="仿宋" w:eastAsia="仿宋" w:cs="仿宋"/>
          <w:b/>
          <w:bCs/>
          <w:sz w:val="32"/>
          <w:szCs w:val="32"/>
          <w:lang w:bidi="ar"/>
        </w:rPr>
        <w:t xml:space="preserve"> </w:t>
      </w:r>
      <w:r/>
    </w:p>
    <w:tbl>
      <w:tblPr>
        <w:tblStyle w:val="685"/>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3518" w:type="dxa"/>
            <w:textDirection w:val="lrTb"/>
            <w:noWrap w:val="false"/>
          </w:tcPr>
          <w:p>
            <w:pPr>
              <w:jc w:val="center"/>
              <w:rPr>
                <w:rFonts w:hint="eastAsia" w:ascii="仿宋" w:hAnsi="仿宋" w:eastAsia="仿宋" w:cs="仿宋"/>
                <w:b/>
                <w:sz w:val="30"/>
                <w:szCs w:val="30"/>
              </w:rPr>
            </w:pPr>
            <w:r>
              <w:rPr>
                <w:rStyle w:val="1373"/>
                <w:rFonts w:hint="eastAsia" w:ascii="仿宋" w:hAnsi="仿宋" w:eastAsia="仿宋" w:cs="仿宋"/>
                <w:b/>
                <w:sz w:val="30"/>
                <w:szCs w:val="30"/>
                <w:lang w:bidi="ar"/>
              </w:rPr>
              <w:t xml:space="preserve">住 房 城 乡 建 设 部</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jc w:val="center"/>
              <w:rPr>
                <w:rFonts w:hint="eastAsia" w:ascii="仿宋" w:hAnsi="仿宋" w:eastAsia="仿宋" w:cs="仿宋"/>
                <w:b/>
                <w:sz w:val="30"/>
                <w:szCs w:val="30"/>
              </w:rPr>
            </w:pPr>
            <w:r>
              <w:rPr>
                <w:rStyle w:val="1373"/>
                <w:rFonts w:hint="eastAsia" w:ascii="仿宋" w:hAnsi="仿宋" w:eastAsia="仿宋" w:cs="仿宋"/>
                <w:b/>
                <w:sz w:val="30"/>
                <w:szCs w:val="30"/>
                <w:lang w:bidi="ar"/>
              </w:rPr>
              <w:t xml:space="preserve">制定</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3518" w:type="dxa"/>
            <w:textDirection w:val="lrTb"/>
            <w:noWrap w:val="false"/>
          </w:tcPr>
          <w:p>
            <w:pPr>
              <w:jc w:val="center"/>
              <w:rPr>
                <w:rFonts w:hint="eastAsia" w:ascii="仿宋" w:hAnsi="仿宋" w:eastAsia="仿宋" w:cs="仿宋"/>
                <w:b/>
                <w:sz w:val="30"/>
                <w:szCs w:val="30"/>
              </w:rPr>
            </w:pPr>
            <w:r>
              <w:rPr>
                <w:rStyle w:val="1373"/>
                <w:rFonts w:hint="eastAsia" w:ascii="仿宋" w:hAnsi="仿宋" w:eastAsia="仿宋" w:cs="仿宋"/>
                <w:b/>
                <w:sz w:val="30"/>
                <w:szCs w:val="30"/>
                <w:lang w:bidi="ar"/>
              </w:rPr>
              <w:t xml:space="preserve">国家工商行政管理总局</w:t>
            </w:r>
            <w:r/>
          </w:p>
        </w:tc>
        <w:tc>
          <w:tcPr>
            <w:shd w:val="clear" w:color="auto" w:fill="auto"/>
            <w:tcBorders>
              <w:top w:val="none" w:color="000000" w:sz="4" w:space="0"/>
              <w:left w:val="none" w:color="000000" w:sz="4" w:space="0"/>
              <w:bottom w:val="none" w:color="000000" w:sz="4" w:space="0"/>
              <w:right w:val="none" w:color="000000" w:sz="4" w:space="0"/>
            </w:tcBorders>
            <w:tcW w:w="1276" w:type="dxa"/>
            <w:vAlign w:val="center"/>
            <w:vMerge w:val="continue"/>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r>
    </w:tbl>
    <w:p>
      <w:pPr>
        <w:jc w:val="center"/>
        <w:rPr>
          <w:rFonts w:hint="eastAsia" w:ascii="仿宋" w:hAnsi="仿宋" w:eastAsia="仿宋" w:cs="仿宋"/>
          <w:b/>
          <w:sz w:val="30"/>
          <w:szCs w:val="30"/>
        </w:rPr>
      </w:pPr>
      <w:r>
        <w:rPr>
          <w:rStyle w:val="1373"/>
          <w:rFonts w:hint="eastAsia" w:ascii="仿宋" w:hAnsi="仿宋" w:eastAsia="仿宋" w:cs="仿宋"/>
          <w:b/>
          <w:sz w:val="30"/>
          <w:szCs w:val="30"/>
          <w:lang w:bidi="ar"/>
        </w:rPr>
        <w:t xml:space="preserve"> </w:t>
      </w:r>
      <w:r/>
    </w:p>
    <w:p>
      <w:pPr>
        <w:jc w:val="center"/>
        <w:widowControl/>
        <w:rPr>
          <w:rFonts w:hint="eastAsia" w:ascii="仿宋" w:hAnsi="仿宋" w:eastAsia="仿宋" w:cs="仿宋"/>
          <w:b/>
          <w:sz w:val="28"/>
          <w:szCs w:val="28"/>
        </w:rPr>
      </w:pPr>
      <w:r>
        <w:rPr>
          <w:rStyle w:val="1373"/>
          <w:rFonts w:hint="eastAsia" w:ascii="仿宋" w:hAnsi="仿宋" w:eastAsia="仿宋" w:cs="仿宋"/>
          <w:b/>
          <w:sz w:val="28"/>
          <w:szCs w:val="28"/>
          <w:lang w:bidi="ar"/>
        </w:rPr>
        <w:br w:type="page" w:clear="all"/>
      </w:r>
      <w:r>
        <w:rPr>
          <w:rStyle w:val="1373"/>
          <w:rFonts w:hint="eastAsia" w:ascii="仿宋" w:hAnsi="仿宋" w:eastAsia="仿宋" w:cs="仿宋"/>
          <w:b/>
          <w:sz w:val="28"/>
          <w:szCs w:val="28"/>
          <w:lang w:bidi="ar"/>
        </w:rPr>
        <w:t xml:space="preserve">第一部分 合同协议书</w:t>
      </w:r>
      <w:r/>
    </w:p>
    <w:p>
      <w:pPr>
        <w:ind w:left="420"/>
        <w:spacing w:line="360" w:lineRule="exact"/>
        <w:widowControl/>
        <w:rPr>
          <w:rFonts w:hint="eastAsia" w:ascii="仿宋" w:hAnsi="仿宋" w:eastAsia="仿宋" w:cs="仿宋"/>
          <w:sz w:val="24"/>
          <w:szCs w:val="24"/>
          <w:u w:val="single"/>
        </w:rPr>
      </w:pPr>
      <w:r>
        <w:rPr>
          <w:rStyle w:val="1373"/>
          <w:rFonts w:hint="eastAsia" w:ascii="仿宋" w:hAnsi="仿宋" w:eastAsia="仿宋" w:cs="仿宋"/>
          <w:b/>
          <w:sz w:val="24"/>
          <w:szCs w:val="24"/>
          <w:lang w:bidi="ar"/>
        </w:rPr>
        <w:t xml:space="preserve">发包人（全称）：</w:t>
      </w:r>
      <w:r>
        <w:rPr>
          <w:rStyle w:val="1373"/>
          <w:rFonts w:hint="eastAsia" w:ascii="仿宋" w:hAnsi="仿宋" w:eastAsia="仿宋" w:cs="仿宋"/>
          <w:sz w:val="24"/>
          <w:szCs w:val="24"/>
          <w:u w:val="single"/>
          <w:lang w:bidi="ar"/>
        </w:rPr>
        <w:t xml:space="preserve">江苏省沙集闸站管理所 </w:t>
      </w:r>
      <w:r/>
    </w:p>
    <w:p>
      <w:pPr>
        <w:ind w:left="420"/>
        <w:spacing w:line="360" w:lineRule="exact"/>
        <w:widowControl/>
        <w:rPr>
          <w:rFonts w:hint="eastAsia" w:ascii="仿宋" w:hAnsi="仿宋" w:eastAsia="仿宋" w:cs="仿宋"/>
          <w:b/>
          <w:sz w:val="24"/>
          <w:szCs w:val="24"/>
          <w:u w:val="single"/>
        </w:rPr>
      </w:pPr>
      <w:r>
        <w:rPr>
          <w:rStyle w:val="1373"/>
          <w:rFonts w:hint="eastAsia" w:ascii="仿宋" w:hAnsi="仿宋" w:eastAsia="仿宋" w:cs="仿宋"/>
          <w:b/>
          <w:sz w:val="24"/>
          <w:szCs w:val="24"/>
          <w:lang w:bidi="ar"/>
        </w:rPr>
        <w:t xml:space="preserve">承包人（全称）：</w:t>
      </w:r>
      <w:r>
        <w:rPr>
          <w:rStyle w:val="1373"/>
          <w:rFonts w:hint="eastAsia" w:ascii="仿宋" w:hAnsi="仿宋" w:eastAsia="仿宋" w:cs="仿宋"/>
          <w:sz w:val="24"/>
          <w:szCs w:val="24"/>
          <w:u w:val="single"/>
          <w:lang w:bidi="ar"/>
        </w:rPr>
        <w:t xml:space="preserve">                         </w:t>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根据《中华人民共和国民法典》、《中华人民共和国建筑法》及有关法律规定，遵循平等、自愿、公平和诚实信用的原则，双方就</w:t>
      </w:r>
      <w:r>
        <w:rPr>
          <w:rStyle w:val="1373"/>
          <w:rFonts w:hint="eastAsia" w:ascii="仿宋" w:hAnsi="仿宋" w:eastAsia="仿宋" w:cs="仿宋"/>
          <w:sz w:val="24"/>
          <w:szCs w:val="24"/>
          <w:u w:val="single"/>
          <w:lang w:eastAsia="zh-CN" w:bidi="ar"/>
        </w:rPr>
        <w:t xml:space="preserve">沙集站变电所高压开关柜改造（10台）</w:t>
      </w:r>
      <w:r>
        <w:rPr>
          <w:rStyle w:val="1373"/>
          <w:rFonts w:hint="eastAsia" w:ascii="仿宋" w:hAnsi="仿宋" w:eastAsia="仿宋" w:cs="仿宋"/>
          <w:sz w:val="24"/>
          <w:szCs w:val="24"/>
          <w:lang w:bidi="ar"/>
        </w:rPr>
        <w:t xml:space="preserve">及有关事项协商一致，共同达成如下协议：</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 一、工程概况</w:t>
      </w:r>
      <w:r/>
    </w:p>
    <w:p>
      <w:pPr>
        <w:ind w:firstLine="470"/>
        <w:spacing w:line="300" w:lineRule="exact"/>
        <w:widowControl/>
        <w:rPr>
          <w:rFonts w:hint="eastAsia" w:ascii="仿宋" w:hAnsi="仿宋" w:eastAsia="仿宋" w:cs="仿宋"/>
          <w:sz w:val="24"/>
          <w:szCs w:val="24"/>
          <w:u w:val="single"/>
          <w:lang w:eastAsia="zh-CN"/>
        </w:rPr>
      </w:pPr>
      <w:r>
        <w:rPr>
          <w:rStyle w:val="1373"/>
          <w:rFonts w:hint="eastAsia" w:ascii="仿宋" w:hAnsi="仿宋" w:eastAsia="仿宋" w:cs="仿宋"/>
          <w:bCs/>
          <w:sz w:val="24"/>
          <w:szCs w:val="24"/>
          <w:lang w:bidi="ar"/>
        </w:rPr>
        <w:t xml:space="preserve">1.工程名称</w:t>
      </w:r>
      <w:r>
        <w:rPr>
          <w:rStyle w:val="1373"/>
          <w:rFonts w:hint="eastAsia" w:ascii="仿宋" w:hAnsi="仿宋" w:eastAsia="仿宋" w:cs="仿宋"/>
          <w:sz w:val="24"/>
          <w:szCs w:val="24"/>
          <w:lang w:bidi="ar"/>
        </w:rPr>
        <w:t xml:space="preserve">：</w:t>
      </w:r>
      <w:r>
        <w:rPr>
          <w:rStyle w:val="1373"/>
          <w:rFonts w:hint="eastAsia" w:ascii="仿宋" w:hAnsi="仿宋" w:eastAsia="仿宋" w:cs="仿宋"/>
          <w:sz w:val="24"/>
          <w:szCs w:val="24"/>
          <w:u w:val="single"/>
          <w:lang w:eastAsia="zh-CN" w:bidi="ar"/>
        </w:rPr>
        <w:t xml:space="preserve">沙集站变电所高压开关柜改造（10台）</w:t>
      </w:r>
      <w:r/>
    </w:p>
    <w:p>
      <w:pPr>
        <w:ind w:firstLine="470"/>
        <w:spacing w:line="300" w:lineRule="exact"/>
        <w:widowControl/>
        <w:rPr>
          <w:rStyle w:val="1373"/>
          <w:rFonts w:hint="eastAsia" w:ascii="仿宋" w:hAnsi="仿宋" w:eastAsia="仿宋" w:cs="仿宋"/>
          <w:bCs/>
          <w:sz w:val="24"/>
          <w:szCs w:val="24"/>
          <w:u w:val="single"/>
          <w:lang w:bidi="ar"/>
        </w:rPr>
      </w:pPr>
      <w:r>
        <w:rPr>
          <w:rStyle w:val="1373"/>
          <w:rFonts w:hint="eastAsia" w:ascii="仿宋" w:hAnsi="仿宋" w:eastAsia="仿宋" w:cs="仿宋"/>
          <w:bCs/>
          <w:sz w:val="24"/>
          <w:szCs w:val="24"/>
          <w:lang w:bidi="ar"/>
        </w:rPr>
        <w:t xml:space="preserve">2.工程地点：</w:t>
      </w:r>
      <w:r>
        <w:rPr>
          <w:rStyle w:val="1373"/>
          <w:rFonts w:hint="eastAsia" w:ascii="仿宋" w:hAnsi="仿宋" w:eastAsia="仿宋" w:cs="仿宋"/>
          <w:bCs/>
          <w:sz w:val="24"/>
          <w:szCs w:val="24"/>
          <w:u w:val="single"/>
          <w:lang w:bidi="ar"/>
        </w:rPr>
        <w:t xml:space="preserve">江苏省徐州市睢宁县沙集镇南2公里</w:t>
      </w:r>
      <w:r/>
    </w:p>
    <w:p>
      <w:pPr>
        <w:ind w:firstLine="470"/>
        <w:spacing w:line="300" w:lineRule="exact"/>
        <w:widowControl/>
        <w:rPr>
          <w:rFonts w:hint="eastAsia" w:ascii="仿宋" w:hAnsi="仿宋" w:eastAsia="仿宋" w:cs="仿宋"/>
          <w:bCs/>
          <w:sz w:val="24"/>
          <w:szCs w:val="24"/>
          <w:u w:val="single"/>
        </w:rPr>
      </w:pPr>
      <w:r>
        <w:rPr>
          <w:rStyle w:val="1373"/>
          <w:rFonts w:hint="eastAsia" w:ascii="仿宋" w:hAnsi="仿宋" w:eastAsia="仿宋" w:cs="仿宋"/>
          <w:bCs/>
          <w:sz w:val="24"/>
          <w:szCs w:val="24"/>
          <w:lang w:bidi="ar"/>
        </w:rPr>
        <w:t xml:space="preserve">3.工程立项批准文号：</w:t>
      </w:r>
      <w:r>
        <w:rPr>
          <w:rStyle w:val="1373"/>
          <w:rFonts w:hint="eastAsia" w:ascii="仿宋" w:hAnsi="仿宋" w:eastAsia="仿宋" w:cs="仿宋"/>
          <w:bCs/>
          <w:sz w:val="24"/>
          <w:szCs w:val="24"/>
          <w:u w:val="single"/>
          <w:lang w:bidi="ar"/>
        </w:rPr>
        <w:t xml:space="preserve">     /     </w:t>
      </w:r>
      <w:r/>
    </w:p>
    <w:p>
      <w:pPr>
        <w:ind w:firstLine="470"/>
        <w:spacing w:line="300" w:lineRule="exact"/>
        <w:widowControl/>
        <w:rPr>
          <w:rFonts w:hint="eastAsia" w:ascii="仿宋" w:hAnsi="仿宋" w:eastAsia="仿宋" w:cs="仿宋"/>
          <w:bCs/>
          <w:sz w:val="24"/>
          <w:szCs w:val="24"/>
          <w:u w:val="single"/>
        </w:rPr>
      </w:pPr>
      <w:r>
        <w:rPr>
          <w:rStyle w:val="1373"/>
          <w:rFonts w:hint="eastAsia" w:ascii="仿宋" w:hAnsi="仿宋" w:eastAsia="仿宋" w:cs="仿宋"/>
          <w:bCs/>
          <w:sz w:val="24"/>
          <w:szCs w:val="24"/>
          <w:lang w:bidi="ar"/>
        </w:rPr>
        <w:t xml:space="preserve">4.资金来源：</w:t>
      </w:r>
      <w:r>
        <w:rPr>
          <w:rStyle w:val="1373"/>
          <w:rFonts w:hint="eastAsia" w:ascii="仿宋" w:hAnsi="仿宋" w:eastAsia="仿宋" w:cs="仿宋"/>
          <w:bCs/>
          <w:sz w:val="24"/>
          <w:szCs w:val="24"/>
          <w:u w:val="single"/>
          <w:lang w:bidi="ar"/>
        </w:rPr>
        <w:t xml:space="preserve">财政资金</w:t>
      </w:r>
      <w:r/>
    </w:p>
    <w:p>
      <w:pPr>
        <w:ind w:firstLine="47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5.工程内容：</w:t>
      </w:r>
      <w:r>
        <w:rPr>
          <w:rStyle w:val="1373"/>
          <w:rFonts w:hint="eastAsia" w:ascii="仿宋" w:hAnsi="仿宋" w:eastAsia="仿宋" w:cs="仿宋"/>
          <w:sz w:val="24"/>
          <w:szCs w:val="24"/>
          <w:u w:val="single"/>
          <w:lang w:eastAsia="zh-CN" w:bidi="ar"/>
        </w:rPr>
        <w:t xml:space="preserve">沙集站变电所高压开关柜改造（10台）</w:t>
      </w:r>
      <w:r>
        <w:rPr>
          <w:rStyle w:val="1373"/>
          <w:rFonts w:hint="eastAsia" w:ascii="仿宋" w:hAnsi="仿宋" w:eastAsia="仿宋" w:cs="仿宋"/>
          <w:sz w:val="24"/>
          <w:szCs w:val="24"/>
          <w:u w:val="single"/>
          <w:lang w:bidi="ar"/>
        </w:rPr>
        <w:t xml:space="preserve">施工</w:t>
      </w:r>
      <w:r/>
    </w:p>
    <w:p>
      <w:pPr>
        <w:ind w:firstLine="470"/>
        <w:spacing w:line="300" w:lineRule="exact"/>
        <w:widowControl/>
        <w:rPr>
          <w:rFonts w:hint="eastAsia" w:ascii="仿宋" w:hAnsi="仿宋" w:eastAsia="仿宋" w:cs="仿宋"/>
          <w:sz w:val="24"/>
          <w:szCs w:val="24"/>
          <w:u w:val="single"/>
        </w:rPr>
      </w:pPr>
      <w:r>
        <w:rPr>
          <w:rStyle w:val="1373"/>
          <w:rFonts w:hint="eastAsia" w:ascii="仿宋" w:hAnsi="仿宋" w:eastAsia="仿宋" w:cs="仿宋"/>
          <w:bCs/>
          <w:sz w:val="24"/>
          <w:szCs w:val="24"/>
          <w:lang w:bidi="ar"/>
        </w:rPr>
        <w:t xml:space="preserve">6.工程承包范围：</w:t>
      </w:r>
      <w:r>
        <w:rPr>
          <w:rStyle w:val="1373"/>
          <w:rFonts w:hint="eastAsia" w:ascii="仿宋" w:hAnsi="仿宋" w:eastAsia="仿宋" w:cs="仿宋"/>
          <w:sz w:val="24"/>
          <w:szCs w:val="24"/>
          <w:u w:val="single"/>
          <w:lang w:eastAsia="zh-CN" w:bidi="ar"/>
        </w:rPr>
        <w:t xml:space="preserve">沙集站变电所高压开关柜改造（10台）</w:t>
      </w:r>
      <w:r>
        <w:rPr>
          <w:rStyle w:val="1373"/>
          <w:rFonts w:hint="eastAsia" w:ascii="仿宋" w:hAnsi="仿宋" w:eastAsia="仿宋" w:cs="仿宋"/>
          <w:sz w:val="24"/>
          <w:szCs w:val="24"/>
          <w:u w:val="single"/>
          <w:lang w:bidi="ar"/>
        </w:rPr>
        <w:t xml:space="preserve">，详见图纸及工程量清单</w:t>
      </w:r>
      <w:r/>
    </w:p>
    <w:p>
      <w:pPr>
        <w:keepLines/>
        <w:keepNext/>
        <w:spacing w:before="120" w:after="120" w:line="30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    二、合同</w:t>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工期总日历天</w:t>
      </w:r>
      <w:r>
        <w:rPr>
          <w:rStyle w:val="1373"/>
          <w:rFonts w:hint="eastAsia" w:ascii="仿宋" w:hAnsi="仿宋" w:eastAsia="仿宋" w:cs="仿宋"/>
          <w:sz w:val="24"/>
          <w:szCs w:val="24"/>
          <w:highlight w:val="none"/>
          <w:lang w:bidi="ar"/>
        </w:rPr>
        <w:t xml:space="preserve">数：</w:t>
      </w:r>
      <w:r>
        <w:rPr>
          <w:rStyle w:val="1373"/>
          <w:rFonts w:hint="eastAsia" w:ascii="仿宋" w:hAnsi="仿宋" w:eastAsia="仿宋" w:cs="仿宋"/>
          <w:sz w:val="24"/>
          <w:szCs w:val="24"/>
          <w:highlight w:val="none"/>
          <w:u w:val="single"/>
          <w:lang w:bidi="ar"/>
        </w:rPr>
        <w:t xml:space="preserve">60日历天</w:t>
      </w:r>
      <w:r>
        <w:rPr>
          <w:rStyle w:val="1373"/>
          <w:rFonts w:hint="eastAsia" w:ascii="仿宋" w:hAnsi="仿宋" w:eastAsia="仿宋" w:cs="仿宋"/>
          <w:sz w:val="24"/>
          <w:szCs w:val="24"/>
          <w:highlight w:val="none"/>
          <w:lang w:bidi="ar"/>
        </w:rPr>
        <w:t xml:space="preserve">。</w:t>
      </w:r>
      <w:r>
        <w:rPr>
          <w:rStyle w:val="1373"/>
          <w:rFonts w:hint="eastAsia" w:ascii="仿宋" w:hAnsi="仿宋" w:eastAsia="仿宋" w:cs="仿宋"/>
          <w:sz w:val="24"/>
          <w:szCs w:val="24"/>
          <w:lang w:bidi="ar"/>
        </w:rPr>
        <w:t xml:space="preserve">工期总日历天数与计划开竣工日期计算的工期天数不一致的，以工程总日历天数为准。质保期：2年</w:t>
      </w:r>
      <w:r/>
    </w:p>
    <w:p>
      <w:pPr>
        <w:ind w:firstLine="480"/>
        <w:spacing w:line="30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计划开工日期：</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年</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月</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日</w:t>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计划竣工日期：</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年</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月</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日</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三、质量标准</w:t>
      </w:r>
      <w:r/>
    </w:p>
    <w:p>
      <w:pPr>
        <w:ind w:firstLine="459"/>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工程质量符合</w:t>
      </w:r>
      <w:r>
        <w:rPr>
          <w:rStyle w:val="1373"/>
          <w:rFonts w:hint="eastAsia" w:ascii="仿宋" w:hAnsi="仿宋" w:eastAsia="仿宋" w:cs="仿宋"/>
          <w:sz w:val="24"/>
          <w:szCs w:val="24"/>
          <w:u w:val="single"/>
          <w:lang w:bidi="ar"/>
        </w:rPr>
        <w:t xml:space="preserve">  合格  </w:t>
      </w:r>
      <w:r>
        <w:rPr>
          <w:rStyle w:val="1373"/>
          <w:rFonts w:hint="eastAsia" w:ascii="仿宋" w:hAnsi="仿宋" w:eastAsia="仿宋" w:cs="仿宋"/>
          <w:sz w:val="24"/>
          <w:szCs w:val="24"/>
          <w:lang w:bidi="ar"/>
        </w:rPr>
        <w:t xml:space="preserve">标准</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 四、签约合同价与合同价格形式</w:t>
      </w:r>
      <w:r>
        <w:rPr>
          <w:rStyle w:val="1373"/>
          <w:rFonts w:hint="eastAsia" w:ascii="仿宋" w:hAnsi="仿宋" w:eastAsia="仿宋" w:cs="仿宋"/>
          <w:sz w:val="24"/>
          <w:szCs w:val="24"/>
          <w:lang w:bidi="ar"/>
        </w:rPr>
        <w:tab/>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1.签约合同价为：</w:t>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人民币（大写）</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元)；</w:t>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2.合同价格形式：</w:t>
      </w:r>
      <w:r>
        <w:rPr>
          <w:rStyle w:val="1373"/>
          <w:rFonts w:hint="eastAsia" w:ascii="仿宋" w:hAnsi="仿宋" w:eastAsia="仿宋" w:cs="仿宋"/>
          <w:sz w:val="24"/>
          <w:szCs w:val="24"/>
          <w:u w:val="single"/>
          <w:lang w:bidi="ar"/>
        </w:rPr>
        <w:t xml:space="preserve">单价合同</w:t>
      </w:r>
      <w:r/>
    </w:p>
    <w:p>
      <w:pPr>
        <w:keepLines/>
        <w:keepNext/>
        <w:spacing w:before="120" w:after="120" w:line="300" w:lineRule="exact"/>
        <w:widowControl/>
        <w:rPr>
          <w:rFonts w:hint="eastAsia" w:ascii="仿宋" w:hAnsi="仿宋" w:eastAsia="仿宋" w:cs="仿宋"/>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 五、项目经理</w:t>
      </w:r>
      <w:r/>
    </w:p>
    <w:p>
      <w:pPr>
        <w:ind w:firstLine="480"/>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承包人项目经理：</w:t>
      </w:r>
      <w:r>
        <w:rPr>
          <w:rStyle w:val="1373"/>
          <w:rFonts w:hint="eastAsia" w:ascii="仿宋" w:hAnsi="仿宋" w:eastAsia="仿宋" w:cs="仿宋"/>
          <w:sz w:val="24"/>
          <w:szCs w:val="24"/>
          <w:u w:val="single"/>
          <w:lang w:bidi="ar"/>
        </w:rPr>
        <w:t xml:space="preserve">              </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 六、合同文件构成</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本协议书与下列文件一起构成合同文件：</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（1）中标通知书；</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（2）投标函及其附录； </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（3）专用合同条款及其附件；</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（4）通用合同条款；</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（5）技术标准和要求；</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（6）图纸；</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（7）已标价工程量清单或预算书；</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（8）其他合同文件。</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在合同订立及履行过程中形成的与合同有关的文件均构成合同文件组成部分。</w:t>
      </w:r>
      <w:r/>
    </w:p>
    <w:p>
      <w:pPr>
        <w:ind w:firstLine="480"/>
        <w:jc w:val="left"/>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00" w:lineRule="exact"/>
        <w:widowControl/>
        <w:rPr>
          <w:rFonts w:hint="eastAsia" w:ascii="仿宋" w:hAnsi="仿宋" w:eastAsia="仿宋" w:cs="仿宋"/>
          <w:bCs/>
          <w:sz w:val="24"/>
          <w:szCs w:val="24"/>
        </w:rPr>
        <w:outlineLvl w:val="3"/>
      </w:pPr>
      <w:r>
        <w:rPr>
          <w:rStyle w:val="1373"/>
          <w:rFonts w:hint="eastAsia" w:ascii="仿宋" w:hAnsi="仿宋" w:eastAsia="仿宋" w:cs="仿宋"/>
          <w:sz w:val="24"/>
          <w:szCs w:val="24"/>
          <w:lang w:bidi="ar"/>
        </w:rPr>
        <w:t xml:space="preserve">    七、承诺</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1.发包人承诺按照法律规定履行项目审批手续、筹集工程建设资金并按照合同约定的期限和方式支付合同价款。</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3.发包人和承包人通过招投标形式签订合同的，双方理解并承诺不再就同一工程另行签订与合同实质性内容相背离的协议。</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4.发包人在施工和项目管理过程中制定的管理制度、管理流程等相关文件是合同的组成部分和重要补充，与本合同具有同等法律效力，总承包单位应无条件接受并受其约束。</w:t>
      </w:r>
      <w:r/>
    </w:p>
    <w:p>
      <w:pPr>
        <w:spacing w:line="300" w:lineRule="exact"/>
        <w:widowControl/>
        <w:rPr>
          <w:rFonts w:hint="eastAsia" w:ascii="仿宋" w:hAnsi="仿宋" w:eastAsia="仿宋" w:cs="仿宋"/>
          <w:bCs/>
          <w:sz w:val="24"/>
          <w:szCs w:val="24"/>
        </w:rPr>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八、词语含义</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本协议书中词语含义与第二部分通用合同条款中赋予的含义相同。</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  九、签订时间</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本合同于</w:t>
      </w:r>
      <w:r>
        <w:rPr>
          <w:rStyle w:val="1373"/>
          <w:rFonts w:hint="eastAsia" w:ascii="仿宋" w:hAnsi="仿宋" w:eastAsia="仿宋" w:cs="仿宋"/>
          <w:bCs/>
          <w:sz w:val="24"/>
          <w:szCs w:val="24"/>
          <w:u w:val="single"/>
          <w:lang w:bidi="ar"/>
        </w:rPr>
        <w:t xml:space="preserve">        </w:t>
      </w:r>
      <w:r>
        <w:rPr>
          <w:rStyle w:val="1373"/>
          <w:rFonts w:hint="eastAsia" w:ascii="仿宋" w:hAnsi="仿宋" w:eastAsia="仿宋" w:cs="仿宋"/>
          <w:bCs/>
          <w:sz w:val="24"/>
          <w:szCs w:val="24"/>
          <w:lang w:bidi="ar"/>
        </w:rPr>
        <w:t xml:space="preserve">年</w:t>
      </w:r>
      <w:r>
        <w:rPr>
          <w:rStyle w:val="1373"/>
          <w:rFonts w:hint="eastAsia" w:ascii="仿宋" w:hAnsi="仿宋" w:eastAsia="仿宋" w:cs="仿宋"/>
          <w:bCs/>
          <w:sz w:val="24"/>
          <w:szCs w:val="24"/>
          <w:u w:val="single"/>
          <w:lang w:bidi="ar"/>
        </w:rPr>
        <w:t xml:space="preserve">      </w:t>
      </w:r>
      <w:r>
        <w:rPr>
          <w:rStyle w:val="1373"/>
          <w:rFonts w:hint="eastAsia" w:ascii="仿宋" w:hAnsi="仿宋" w:eastAsia="仿宋" w:cs="仿宋"/>
          <w:bCs/>
          <w:sz w:val="24"/>
          <w:szCs w:val="24"/>
          <w:lang w:bidi="ar"/>
        </w:rPr>
        <w:t xml:space="preserve">月</w:t>
      </w:r>
      <w:r>
        <w:rPr>
          <w:rStyle w:val="1373"/>
          <w:rFonts w:hint="eastAsia" w:ascii="仿宋" w:hAnsi="仿宋" w:eastAsia="仿宋" w:cs="仿宋"/>
          <w:bCs/>
          <w:sz w:val="24"/>
          <w:szCs w:val="24"/>
          <w:u w:val="single"/>
          <w:lang w:bidi="ar"/>
        </w:rPr>
        <w:t xml:space="preserve">     </w:t>
      </w:r>
      <w:r>
        <w:rPr>
          <w:rStyle w:val="1373"/>
          <w:rFonts w:hint="eastAsia" w:ascii="仿宋" w:hAnsi="仿宋" w:eastAsia="仿宋" w:cs="仿宋"/>
          <w:bCs/>
          <w:sz w:val="24"/>
          <w:szCs w:val="24"/>
          <w:lang w:bidi="ar"/>
        </w:rPr>
        <w:t xml:space="preserve">日签订。</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十、签订地点</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本合同在</w:t>
      </w:r>
      <w:r>
        <w:rPr>
          <w:rStyle w:val="1373"/>
          <w:rFonts w:hint="eastAsia" w:ascii="仿宋" w:hAnsi="仿宋" w:eastAsia="仿宋" w:cs="仿宋"/>
          <w:bCs/>
          <w:sz w:val="24"/>
          <w:szCs w:val="24"/>
          <w:u w:val="single"/>
          <w:lang w:bidi="ar"/>
        </w:rPr>
        <w:t xml:space="preserve">宿迁市</w:t>
      </w:r>
      <w:r>
        <w:rPr>
          <w:rStyle w:val="1373"/>
          <w:rFonts w:hint="eastAsia" w:ascii="仿宋" w:hAnsi="仿宋" w:eastAsia="仿宋" w:cs="仿宋"/>
          <w:bCs/>
          <w:sz w:val="24"/>
          <w:szCs w:val="24"/>
          <w:lang w:bidi="ar"/>
        </w:rPr>
        <w:t xml:space="preserve">签订。</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十一、补充协议</w:t>
      </w:r>
      <w:r/>
    </w:p>
    <w:p>
      <w:pPr>
        <w:ind w:firstLine="480"/>
        <w:spacing w:line="300" w:lineRule="exact"/>
        <w:widowControl/>
        <w:rPr>
          <w:rFonts w:hint="eastAsia" w:ascii="仿宋" w:hAnsi="仿宋" w:eastAsia="仿宋" w:cs="仿宋"/>
          <w:b/>
          <w:bCs/>
          <w:sz w:val="24"/>
          <w:szCs w:val="24"/>
        </w:rPr>
      </w:pPr>
      <w:r>
        <w:rPr>
          <w:rStyle w:val="1373"/>
          <w:rFonts w:hint="eastAsia" w:ascii="仿宋" w:hAnsi="仿宋" w:eastAsia="仿宋" w:cs="仿宋"/>
          <w:bCs/>
          <w:sz w:val="24"/>
          <w:szCs w:val="24"/>
          <w:lang w:bidi="ar"/>
        </w:rPr>
        <w:t xml:space="preserve">合同未尽事宜，合同当事人另行签订补充协议，补充协议是合同的组成部分。</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十二、合同生效</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本合同自</w:t>
      </w:r>
      <w:r>
        <w:rPr>
          <w:rStyle w:val="1373"/>
          <w:rFonts w:hint="eastAsia" w:ascii="仿宋" w:hAnsi="仿宋" w:eastAsia="仿宋" w:cs="仿宋"/>
          <w:bCs/>
          <w:sz w:val="24"/>
          <w:szCs w:val="24"/>
          <w:u w:val="single"/>
          <w:lang w:bidi="ar"/>
        </w:rPr>
        <w:t xml:space="preserve">  双方签字并盖章时  </w:t>
      </w:r>
      <w:r>
        <w:rPr>
          <w:rStyle w:val="1373"/>
          <w:rFonts w:hint="eastAsia" w:ascii="仿宋" w:hAnsi="仿宋" w:eastAsia="仿宋" w:cs="仿宋"/>
          <w:bCs/>
          <w:sz w:val="24"/>
          <w:szCs w:val="24"/>
          <w:lang w:bidi="ar"/>
        </w:rPr>
        <w:t xml:space="preserve">生效。</w:t>
      </w:r>
      <w:r/>
    </w:p>
    <w:p>
      <w:pPr>
        <w:keepLines/>
        <w:keepNext/>
        <w:spacing w:before="120" w:after="120" w:line="300" w:lineRule="exact"/>
        <w:widowControl/>
        <w:rPr>
          <w:rFonts w:hint="eastAsia" w:ascii="仿宋" w:hAnsi="仿宋" w:eastAsia="仿宋" w:cs="仿宋"/>
          <w:b/>
          <w:bCs/>
          <w:sz w:val="24"/>
          <w:szCs w:val="24"/>
        </w:rPr>
        <w:outlineLvl w:val="3"/>
      </w:pPr>
      <w:r>
        <w:rPr>
          <w:rStyle w:val="1373"/>
          <w:rFonts w:hint="eastAsia" w:ascii="仿宋" w:hAnsi="仿宋" w:eastAsia="仿宋" w:cs="仿宋"/>
          <w:b/>
          <w:sz w:val="24"/>
          <w:szCs w:val="24"/>
          <w:lang w:bidi="ar"/>
        </w:rPr>
        <w:t xml:space="preserve">    </w:t>
      </w:r>
      <w:r>
        <w:rPr>
          <w:rStyle w:val="1373"/>
          <w:rFonts w:hint="eastAsia" w:ascii="仿宋" w:hAnsi="仿宋" w:eastAsia="仿宋" w:cs="仿宋"/>
          <w:sz w:val="24"/>
          <w:szCs w:val="24"/>
          <w:lang w:bidi="ar"/>
        </w:rPr>
        <w:t xml:space="preserve">十三、合同份数</w:t>
      </w:r>
      <w:r/>
    </w:p>
    <w:p>
      <w:pPr>
        <w:ind w:firstLine="480"/>
        <w:spacing w:line="30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本合同一式</w:t>
      </w:r>
      <w:r>
        <w:rPr>
          <w:rStyle w:val="1373"/>
          <w:rFonts w:hint="eastAsia" w:ascii="仿宋" w:hAnsi="仿宋" w:eastAsia="仿宋" w:cs="仿宋"/>
          <w:bCs/>
          <w:sz w:val="24"/>
          <w:szCs w:val="24"/>
          <w:u w:val="single"/>
          <w:lang w:bidi="ar"/>
        </w:rPr>
        <w:t xml:space="preserve"> 陆 </w:t>
      </w:r>
      <w:r>
        <w:rPr>
          <w:rStyle w:val="1373"/>
          <w:rFonts w:hint="eastAsia" w:ascii="仿宋" w:hAnsi="仿宋" w:eastAsia="仿宋" w:cs="仿宋"/>
          <w:bCs/>
          <w:sz w:val="24"/>
          <w:szCs w:val="24"/>
          <w:lang w:bidi="ar"/>
        </w:rPr>
        <w:t xml:space="preserve">份，均具有同等法律效力，发包人执</w:t>
      </w:r>
      <w:r>
        <w:rPr>
          <w:rStyle w:val="1373"/>
          <w:rFonts w:hint="eastAsia" w:ascii="仿宋" w:hAnsi="仿宋" w:eastAsia="仿宋" w:cs="仿宋"/>
          <w:bCs/>
          <w:sz w:val="24"/>
          <w:szCs w:val="24"/>
          <w:u w:val="single"/>
          <w:lang w:bidi="ar"/>
        </w:rPr>
        <w:t xml:space="preserve"> 叁 </w:t>
      </w:r>
      <w:r>
        <w:rPr>
          <w:rStyle w:val="1373"/>
          <w:rFonts w:hint="eastAsia" w:ascii="仿宋" w:hAnsi="仿宋" w:eastAsia="仿宋" w:cs="仿宋"/>
          <w:bCs/>
          <w:sz w:val="24"/>
          <w:szCs w:val="24"/>
          <w:lang w:bidi="ar"/>
        </w:rPr>
        <w:t xml:space="preserve">份，承包人执</w:t>
      </w:r>
      <w:r>
        <w:rPr>
          <w:rStyle w:val="1373"/>
          <w:rFonts w:hint="eastAsia" w:ascii="仿宋" w:hAnsi="仿宋" w:eastAsia="仿宋" w:cs="仿宋"/>
          <w:bCs/>
          <w:sz w:val="24"/>
          <w:szCs w:val="24"/>
          <w:u w:val="single"/>
          <w:lang w:bidi="ar"/>
        </w:rPr>
        <w:t xml:space="preserve"> 叁 </w:t>
      </w:r>
      <w:r>
        <w:rPr>
          <w:rStyle w:val="1373"/>
          <w:rFonts w:hint="eastAsia" w:ascii="仿宋" w:hAnsi="仿宋" w:eastAsia="仿宋" w:cs="仿宋"/>
          <w:bCs/>
          <w:sz w:val="24"/>
          <w:szCs w:val="24"/>
          <w:lang w:bidi="ar"/>
        </w:rPr>
        <w:t xml:space="preserve">份。</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(公章)        承包人：</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(公章)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法定代表人或其委托代理人：               法定代表人或其委托代理人：</w:t>
      </w:r>
      <w:r/>
    </w:p>
    <w:p>
      <w:pPr>
        <w:spacing w:line="30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（签字）</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（签字）</w:t>
      </w:r>
      <w:r>
        <w:rPr>
          <w:rStyle w:val="1373"/>
          <w:rFonts w:hint="eastAsia" w:ascii="仿宋" w:hAnsi="仿宋" w:eastAsia="仿宋" w:cs="仿宋"/>
          <w:sz w:val="24"/>
          <w:szCs w:val="24"/>
          <w:u w:val="single"/>
          <w:lang w:bidi="ar"/>
        </w:rPr>
        <w:t xml:space="preserve">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组织机构代码：</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组织机构代码：</w:t>
      </w:r>
      <w:r>
        <w:rPr>
          <w:rStyle w:val="1373"/>
          <w:rFonts w:hint="eastAsia" w:ascii="仿宋" w:hAnsi="仿宋" w:eastAsia="仿宋" w:cs="仿宋"/>
          <w:sz w:val="24"/>
          <w:szCs w:val="24"/>
          <w:u w:val="single"/>
          <w:lang w:bidi="ar"/>
        </w:rPr>
        <w:t xml:space="preserve">                </w:t>
      </w:r>
      <w:r/>
    </w:p>
    <w:p>
      <w:pPr>
        <w:spacing w:line="30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地址：</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地址：</w:t>
      </w:r>
      <w:r>
        <w:rPr>
          <w:rStyle w:val="1373"/>
          <w:rFonts w:hint="eastAsia" w:ascii="仿宋" w:hAnsi="仿宋" w:eastAsia="仿宋" w:cs="仿宋"/>
          <w:sz w:val="24"/>
          <w:szCs w:val="24"/>
          <w:u w:val="single"/>
          <w:lang w:bidi="ar"/>
        </w:rPr>
        <w:t xml:space="preserve">                   </w:t>
      </w:r>
      <w:r/>
    </w:p>
    <w:p>
      <w:pPr>
        <w:spacing w:line="30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邮政编码：</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邮政编码：</w:t>
      </w:r>
      <w:r>
        <w:rPr>
          <w:rStyle w:val="1373"/>
          <w:rFonts w:hint="eastAsia" w:ascii="仿宋" w:hAnsi="仿宋" w:eastAsia="仿宋" w:cs="仿宋"/>
          <w:sz w:val="24"/>
          <w:szCs w:val="24"/>
          <w:u w:val="single"/>
          <w:lang w:bidi="ar"/>
        </w:rPr>
        <w:t xml:space="preserve">                    </w:t>
      </w:r>
      <w:r/>
    </w:p>
    <w:p>
      <w:pPr>
        <w:spacing w:line="300" w:lineRule="exact"/>
        <w:widowControl/>
        <w:tabs>
          <w:tab w:val="left" w:pos="4200" w:leader="none"/>
        </w:tabs>
        <w:rPr>
          <w:rFonts w:hint="eastAsia" w:ascii="仿宋" w:hAnsi="仿宋" w:eastAsia="仿宋" w:cs="仿宋"/>
          <w:sz w:val="24"/>
          <w:szCs w:val="24"/>
        </w:rPr>
      </w:pPr>
      <w:r>
        <w:rPr>
          <w:rStyle w:val="1373"/>
          <w:rFonts w:hint="eastAsia" w:ascii="仿宋" w:hAnsi="仿宋" w:eastAsia="仿宋" w:cs="仿宋"/>
          <w:sz w:val="24"/>
          <w:szCs w:val="24"/>
          <w:lang w:bidi="ar"/>
        </w:rPr>
        <w:t xml:space="preserve">法定代表人：</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法定代表人：</w:t>
      </w:r>
      <w:r>
        <w:rPr>
          <w:rStyle w:val="1373"/>
          <w:rFonts w:hint="eastAsia" w:ascii="仿宋" w:hAnsi="仿宋" w:eastAsia="仿宋" w:cs="仿宋"/>
          <w:sz w:val="24"/>
          <w:szCs w:val="24"/>
          <w:u w:val="single"/>
          <w:lang w:bidi="ar"/>
        </w:rPr>
        <w:t xml:space="preserve">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委托代理人：</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委托代理人：</w:t>
      </w:r>
      <w:r>
        <w:rPr>
          <w:rStyle w:val="1373"/>
          <w:rFonts w:hint="eastAsia" w:ascii="仿宋" w:hAnsi="仿宋" w:eastAsia="仿宋" w:cs="仿宋"/>
          <w:sz w:val="24"/>
          <w:szCs w:val="24"/>
          <w:u w:val="single"/>
          <w:lang w:bidi="ar"/>
        </w:rPr>
        <w:t xml:space="preserve">     /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  话：</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电  话：</w:t>
      </w:r>
      <w:r>
        <w:rPr>
          <w:rStyle w:val="1373"/>
          <w:rFonts w:hint="eastAsia" w:ascii="仿宋" w:hAnsi="仿宋" w:eastAsia="仿宋" w:cs="仿宋"/>
          <w:sz w:val="24"/>
          <w:szCs w:val="24"/>
          <w:u w:val="single"/>
          <w:lang w:bidi="ar"/>
        </w:rPr>
        <w:t xml:space="preserve">         /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传  真：</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传  真：</w:t>
      </w:r>
      <w:r>
        <w:rPr>
          <w:rStyle w:val="1373"/>
          <w:rFonts w:hint="eastAsia" w:ascii="仿宋" w:hAnsi="仿宋" w:eastAsia="仿宋" w:cs="仿宋"/>
          <w:sz w:val="24"/>
          <w:szCs w:val="24"/>
          <w:u w:val="single"/>
          <w:lang w:bidi="ar"/>
        </w:rPr>
        <w:t xml:space="preserve">         /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电子信箱：</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电子信箱：</w:t>
      </w:r>
      <w:r>
        <w:rPr>
          <w:rStyle w:val="1373"/>
          <w:rFonts w:hint="eastAsia" w:ascii="仿宋" w:hAnsi="仿宋" w:eastAsia="仿宋" w:cs="仿宋"/>
          <w:sz w:val="24"/>
          <w:szCs w:val="24"/>
          <w:u w:val="single"/>
          <w:lang w:bidi="ar"/>
        </w:rPr>
        <w:t xml:space="preserve">       /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开户银行：</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开户银行：</w:t>
      </w:r>
      <w:r>
        <w:rPr>
          <w:rStyle w:val="1373"/>
          <w:rFonts w:hint="eastAsia" w:ascii="仿宋" w:hAnsi="仿宋" w:eastAsia="仿宋" w:cs="仿宋"/>
          <w:sz w:val="24"/>
          <w:szCs w:val="24"/>
          <w:u w:val="single"/>
          <w:lang w:bidi="ar"/>
        </w:rPr>
        <w:t xml:space="preserve">       /         </w:t>
      </w:r>
      <w:r/>
    </w:p>
    <w:p>
      <w:pPr>
        <w:spacing w:line="30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账  号：</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账  号：</w:t>
      </w:r>
      <w:r>
        <w:rPr>
          <w:rStyle w:val="1373"/>
          <w:rFonts w:hint="eastAsia" w:ascii="仿宋" w:hAnsi="仿宋" w:eastAsia="仿宋" w:cs="仿宋"/>
          <w:sz w:val="24"/>
          <w:szCs w:val="24"/>
          <w:u w:val="single"/>
          <w:lang w:bidi="ar"/>
        </w:rPr>
        <w:t xml:space="preserve">         /         </w:t>
      </w:r>
      <w:r/>
    </w:p>
    <w:p>
      <w:pPr>
        <w:jc w:val="center"/>
        <w:spacing w:line="360" w:lineRule="exact"/>
        <w:widowControl/>
        <w:rPr>
          <w:rFonts w:hint="eastAsia" w:ascii="仿宋" w:hAnsi="仿宋" w:eastAsia="仿宋" w:cs="仿宋"/>
          <w:b/>
          <w:sz w:val="24"/>
          <w:szCs w:val="24"/>
        </w:rPr>
      </w:pPr>
      <w:r>
        <w:rPr>
          <w:rStyle w:val="1373"/>
          <w:rFonts w:hint="eastAsia" w:ascii="仿宋" w:hAnsi="仿宋" w:eastAsia="仿宋" w:cs="仿宋"/>
          <w:sz w:val="24"/>
          <w:szCs w:val="24"/>
          <w:lang w:bidi="ar"/>
        </w:rPr>
        <w:br w:type="page" w:clear="all"/>
      </w:r>
      <w:r>
        <w:rPr>
          <w:rStyle w:val="1373"/>
          <w:rFonts w:hint="eastAsia" w:ascii="仿宋" w:hAnsi="仿宋" w:eastAsia="仿宋" w:cs="仿宋"/>
          <w:b/>
          <w:sz w:val="24"/>
          <w:szCs w:val="24"/>
          <w:lang w:bidi="ar"/>
        </w:rPr>
        <w:t xml:space="preserve">第二部分 通用合同条款</w:t>
      </w:r>
      <w:r/>
    </w:p>
    <w:p>
      <w:pPr>
        <w:ind w:left="1470" w:hanging="1680"/>
        <w:jc w:val="center"/>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ind w:left="1470" w:hanging="1680"/>
        <w:jc w:val="center"/>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执行《建设工程施工合同（示范文本）》（GF-2017-0201）第二部分通用合同条款</w:t>
      </w:r>
      <w:r/>
    </w:p>
    <w:p>
      <w:pPr>
        <w:jc w:val="center"/>
        <w:spacing w:line="360" w:lineRule="exact"/>
        <w:widowControl/>
        <w:rPr>
          <w:rFonts w:hint="eastAsia" w:ascii="仿宋" w:hAnsi="仿宋" w:eastAsia="仿宋" w:cs="仿宋"/>
          <w:b/>
          <w:sz w:val="24"/>
          <w:szCs w:val="24"/>
        </w:rPr>
      </w:pPr>
      <w:r>
        <w:rPr>
          <w:rStyle w:val="1373"/>
          <w:rFonts w:hint="eastAsia" w:ascii="仿宋" w:hAnsi="仿宋" w:eastAsia="仿宋" w:cs="仿宋"/>
          <w:b/>
          <w:sz w:val="24"/>
          <w:szCs w:val="24"/>
          <w:lang w:bidi="ar"/>
        </w:rPr>
        <w:t xml:space="preserve"> </w:t>
      </w:r>
      <w:r/>
    </w:p>
    <w:p>
      <w:pPr>
        <w:jc w:val="center"/>
        <w:spacing w:line="360" w:lineRule="exact"/>
        <w:widowControl/>
        <w:rPr>
          <w:rFonts w:hint="eastAsia" w:ascii="仿宋" w:hAnsi="仿宋" w:eastAsia="仿宋" w:cs="仿宋"/>
          <w:b/>
          <w:sz w:val="24"/>
          <w:szCs w:val="24"/>
        </w:rPr>
      </w:pPr>
      <w:r>
        <w:rPr>
          <w:rStyle w:val="1373"/>
          <w:rFonts w:hint="eastAsia" w:ascii="仿宋" w:hAnsi="仿宋" w:eastAsia="仿宋" w:cs="仿宋"/>
          <w:b/>
          <w:sz w:val="24"/>
          <w:szCs w:val="24"/>
          <w:lang w:bidi="ar"/>
        </w:rPr>
        <w:t xml:space="preserve">第三部分 专用合同条款</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 一般约定</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 词语定义</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1.1.1合同</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1.1.1.10其他合同文件包括：</w:t>
      </w:r>
      <w:r>
        <w:rPr>
          <w:rStyle w:val="1373"/>
          <w:rFonts w:hint="eastAsia" w:ascii="仿宋" w:hAnsi="仿宋" w:eastAsia="仿宋" w:cs="仿宋"/>
          <w:sz w:val="24"/>
          <w:szCs w:val="24"/>
          <w:u w:val="single"/>
          <w:lang w:bidi="ar"/>
        </w:rPr>
        <w:t xml:space="preserve">(1)施工招标文件（包括修改澄清通知）及答疑、投标文件及附件；(2)明确双方权利、义务的纪要、协议；（3）双方有关工程的合同洽商、变更等书面协议或文件等。</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1.1.2 合同当事人及其他相关方</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1.1.2.4监理人：（如有）</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名    称：</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资质类别和等级：</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联系电话：</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电子信箱：</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通信地址：</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1.1.2.5 设计人：</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名    称：</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资质类别和等级：</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联系电话：</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电子信箱：</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通信地址：</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1.1.3 工程和设备</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1.1.3.7 作为施工现场组成部分的其他场所包括：</w:t>
      </w:r>
      <w:r>
        <w:rPr>
          <w:rStyle w:val="1373"/>
          <w:rFonts w:hint="eastAsia" w:ascii="仿宋" w:hAnsi="仿宋" w:eastAsia="仿宋" w:cs="仿宋"/>
          <w:sz w:val="24"/>
          <w:szCs w:val="24"/>
          <w:u w:val="single"/>
          <w:lang w:bidi="ar"/>
        </w:rPr>
        <w:t xml:space="preserve">执行通用条款。</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1.1.3.9 永久占地包括：</w:t>
      </w:r>
      <w:r>
        <w:rPr>
          <w:rStyle w:val="1373"/>
          <w:rFonts w:hint="eastAsia" w:ascii="仿宋" w:hAnsi="仿宋" w:eastAsia="仿宋" w:cs="仿宋"/>
          <w:sz w:val="24"/>
          <w:szCs w:val="24"/>
          <w:u w:val="single"/>
          <w:lang w:bidi="ar"/>
        </w:rPr>
        <w:t xml:space="preserve">详见规划红线图。</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1.1.3.10 临时占地包括：</w:t>
      </w:r>
      <w:r>
        <w:rPr>
          <w:rStyle w:val="1373"/>
          <w:rFonts w:hint="eastAsia" w:ascii="仿宋" w:hAnsi="仿宋" w:eastAsia="仿宋" w:cs="仿宋"/>
          <w:sz w:val="24"/>
          <w:szCs w:val="24"/>
          <w:u w:val="single"/>
          <w:lang w:bidi="ar"/>
        </w:rPr>
        <w:t xml:space="preserve">发承包双方在合同履行过程中确认。</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1.2法律 </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适用于合同的其他规范性文件：</w:t>
      </w:r>
      <w:r>
        <w:rPr>
          <w:rStyle w:val="1373"/>
          <w:rFonts w:hint="eastAsia" w:ascii="仿宋" w:hAnsi="仿宋" w:eastAsia="仿宋" w:cs="仿宋"/>
          <w:sz w:val="24"/>
          <w:szCs w:val="24"/>
          <w:u w:val="single"/>
          <w:lang w:bidi="ar"/>
        </w:rPr>
        <w:t xml:space="preserve">中华人民共和国法律、行政法规、部门规章，以及工程所在地的地方性法规、自治条例、单行条例和地方政府规章等，如《中华人民共和国民法典》、《中华人民共和国建筑法》、《中华人民共和国招标投标法》、《中华人民共和国招标投标法实施条例》《建设工程质量管理条例》、《中华人民共和国增值税条例及实施细则》等。</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 标准和规范</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1.3.1适用于工程的标准规范包括：</w:t>
      </w:r>
      <w:r>
        <w:rPr>
          <w:rStyle w:val="1373"/>
          <w:rFonts w:hint="eastAsia" w:ascii="仿宋" w:hAnsi="仿宋" w:eastAsia="仿宋" w:cs="仿宋"/>
          <w:sz w:val="24"/>
          <w:szCs w:val="24"/>
          <w:u w:val="single"/>
          <w:lang w:bidi="ar"/>
        </w:rPr>
        <w:t xml:space="preserve">适用于本工程的国家标准、行业标准、工程所在地的地方性标准，以及相应的规范、规程等。设计文件列明的相关规范，标准、图集、规程及本工程涉及的验收规范，标准等。</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1.3.2 发包人提供国外标准、规范的名称：</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发包人提供国外标准、规范的份数：</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1.3.3发包人对工程的技术标准和功能要求的特殊要求：</w:t>
      </w:r>
      <w:r>
        <w:rPr>
          <w:rStyle w:val="1373"/>
          <w:rFonts w:hint="eastAsia" w:ascii="仿宋" w:hAnsi="仿宋" w:eastAsia="仿宋" w:cs="仿宋"/>
          <w:sz w:val="24"/>
          <w:szCs w:val="24"/>
          <w:u w:val="single"/>
          <w:lang w:bidi="ar"/>
        </w:rPr>
        <w:t xml:space="preserve">    无     </w:t>
      </w:r>
      <w:r>
        <w:rPr>
          <w:rStyle w:val="1373"/>
          <w:rFonts w:hint="eastAsia" w:ascii="仿宋" w:hAnsi="仿宋" w:eastAsia="仿宋" w:cs="仿宋"/>
          <w:sz w:val="24"/>
          <w:szCs w:val="24"/>
          <w:lang w:bidi="ar"/>
        </w:rPr>
        <w:t xml:space="preserve">。</w:t>
      </w:r>
      <w:r/>
    </w:p>
    <w:p>
      <w:pPr>
        <w:ind w:firstLine="480"/>
        <w:spacing w:after="120"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1.4 合同文件组成及优先顺序为：</w:t>
      </w:r>
      <w:r>
        <w:rPr>
          <w:rStyle w:val="1373"/>
          <w:rFonts w:hint="eastAsia" w:ascii="仿宋" w:hAnsi="仿宋" w:eastAsia="仿宋" w:cs="仿宋"/>
          <w:sz w:val="24"/>
          <w:szCs w:val="24"/>
          <w:u w:val="single"/>
          <w:lang w:bidi="ar"/>
        </w:rPr>
        <w:t xml:space="preserve">（1）合同协议书；（2）中标通知书；（3）投标函及投标函附录；（4）施工合同专用条款；（5）施工合同通用条款；（6）标准、规范及有关技术文件；（7）图纸；（8）已标价工程量清单或预算书；（9）其他合同文件。</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1.5图纸和承包人文件</w:t>
      </w:r>
      <w:r>
        <w:rPr>
          <w:rStyle w:val="1373"/>
          <w:rFonts w:hint="eastAsia" w:ascii="仿宋" w:hAnsi="仿宋" w:eastAsia="仿宋" w:cs="仿宋"/>
          <w:sz w:val="24"/>
          <w:szCs w:val="24"/>
          <w:lang w:bidi="ar"/>
        </w:rPr>
        <w:tab/>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1.5.1 图纸的提供</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发包人向承包人提供图纸的期限：</w:t>
      </w:r>
      <w:r>
        <w:rPr>
          <w:rStyle w:val="1373"/>
          <w:rFonts w:hint="eastAsia" w:ascii="仿宋" w:hAnsi="仿宋" w:eastAsia="仿宋" w:cs="仿宋"/>
          <w:sz w:val="24"/>
          <w:szCs w:val="24"/>
          <w:u w:val="single"/>
          <w:lang w:bidi="ar"/>
        </w:rPr>
        <w:t xml:space="preserve">开工前7日内</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发包人向承包人提供图纸的数量：</w:t>
      </w:r>
      <w:r>
        <w:rPr>
          <w:rStyle w:val="1373"/>
          <w:rFonts w:hint="eastAsia" w:ascii="仿宋" w:hAnsi="仿宋" w:eastAsia="仿宋" w:cs="仿宋"/>
          <w:sz w:val="24"/>
          <w:szCs w:val="24"/>
          <w:u w:val="single"/>
          <w:lang w:bidi="ar"/>
        </w:rPr>
        <w:t xml:space="preserve">招标图贰套，如承包人需增加图纸份数，可自行复制，复制费用由承包人承担</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发包人向承包人提供图纸的内容：</w:t>
      </w:r>
      <w:r>
        <w:rPr>
          <w:rStyle w:val="1373"/>
          <w:rFonts w:hint="eastAsia" w:ascii="仿宋" w:hAnsi="仿宋" w:eastAsia="仿宋" w:cs="仿宋"/>
          <w:sz w:val="24"/>
          <w:szCs w:val="24"/>
          <w:u w:val="single"/>
          <w:lang w:bidi="ar"/>
        </w:rPr>
        <w:t xml:space="preserve">本合同工程内容相关的图纸，承包人收到图纸后应认真核对，如发现有明显错误或遗漏，应立即以书面形式报告发包人，否则应承担全部责任</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1.5.4 承包人文件</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需要由承包人提供的文件，包括：</w:t>
      </w:r>
      <w:r>
        <w:rPr>
          <w:rStyle w:val="1373"/>
          <w:rFonts w:hint="eastAsia" w:ascii="仿宋" w:hAnsi="仿宋" w:eastAsia="仿宋" w:cs="仿宋"/>
          <w:sz w:val="24"/>
          <w:szCs w:val="24"/>
          <w:u w:val="single"/>
          <w:lang w:bidi="ar"/>
        </w:rPr>
        <w:t xml:space="preserve">（1）用于办理备案的企业及项目部相关人员资质证书、设备的合格证等；（2）按发包人及监理人要求提供已完工程量报表（含工程变更及签证预算），按项目部要求报周进度计划，以上计划及报表必须经监理工程师签字认可后报发包人；（3）按发包人要求必须提供的已购材料清单等其他文件。未经发包人同意，其施工方案不允许做与投标方案有实质性不同的修改。如有修改，必须经发包人及监理人批准后方可实施，否则不予认可。</w:t>
      </w:r>
      <w:r/>
    </w:p>
    <w:p>
      <w:pPr>
        <w:ind w:firstLine="480"/>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承包人提供的文件的数量为：</w:t>
      </w:r>
      <w:r>
        <w:rPr>
          <w:rStyle w:val="1373"/>
          <w:rFonts w:hint="eastAsia" w:ascii="仿宋" w:hAnsi="仿宋" w:eastAsia="仿宋" w:cs="仿宋"/>
          <w:sz w:val="24"/>
          <w:szCs w:val="24"/>
          <w:u w:val="single"/>
          <w:lang w:bidi="ar"/>
        </w:rPr>
        <w:t xml:space="preserve">一式陆份，如提供的份数无法满足需求，承包人需无偿另行提供，承包人需一并提供上述资料的电子版文件。</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承包人提供的文件的形式为：</w:t>
      </w:r>
      <w:r>
        <w:rPr>
          <w:rStyle w:val="1373"/>
          <w:rFonts w:hint="eastAsia" w:ascii="仿宋" w:hAnsi="仿宋" w:eastAsia="仿宋" w:cs="仿宋"/>
          <w:sz w:val="24"/>
          <w:szCs w:val="24"/>
          <w:u w:val="single"/>
          <w:lang w:bidi="ar"/>
        </w:rPr>
        <w:t xml:space="preserve">以书面形式提交（按要求签字、盖章）和电子文件。</w:t>
      </w:r>
      <w:r/>
    </w:p>
    <w:p>
      <w:pPr>
        <w:ind w:firstLine="480"/>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发包人审批承包人文件的期限：</w:t>
      </w:r>
      <w:r>
        <w:rPr>
          <w:rStyle w:val="1373"/>
          <w:rFonts w:hint="eastAsia" w:ascii="仿宋" w:hAnsi="仿宋" w:eastAsia="仿宋" w:cs="仿宋"/>
          <w:sz w:val="24"/>
          <w:szCs w:val="24"/>
          <w:u w:val="single"/>
          <w:lang w:bidi="ar"/>
        </w:rPr>
        <w:t xml:space="preserve">承包人提交文件（文件需齐全、有效），经监理人上报发包人后7日内。</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1.5.5 现场图纸准备</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关于现场图纸准备的约定：</w:t>
      </w:r>
      <w:r>
        <w:rPr>
          <w:rStyle w:val="1373"/>
          <w:rFonts w:hint="eastAsia" w:ascii="仿宋" w:hAnsi="仿宋" w:eastAsia="仿宋" w:cs="仿宋"/>
          <w:sz w:val="24"/>
          <w:szCs w:val="24"/>
          <w:u w:val="single"/>
          <w:lang w:bidi="ar"/>
        </w:rPr>
        <w:t xml:space="preserve">由监理人在现场保管一套完整的施工图，供发包人、监理人及有关人员进行工程检查等活动使用</w:t>
      </w:r>
      <w:r>
        <w:rPr>
          <w:rStyle w:val="1373"/>
          <w:rFonts w:hint="eastAsia" w:ascii="仿宋" w:hAnsi="仿宋" w:eastAsia="仿宋" w:cs="仿宋"/>
          <w:sz w:val="24"/>
          <w:szCs w:val="24"/>
          <w:lang w:bidi="ar"/>
        </w:rPr>
        <w:t xml:space="preserve">。</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 联络</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1.6.1发包人和承包人应当在</w:t>
      </w:r>
      <w:r>
        <w:rPr>
          <w:rStyle w:val="1373"/>
          <w:rFonts w:hint="eastAsia" w:ascii="仿宋" w:hAnsi="仿宋" w:eastAsia="仿宋" w:cs="仿宋"/>
          <w:sz w:val="24"/>
          <w:szCs w:val="24"/>
          <w:u w:val="single"/>
          <w:lang w:bidi="ar"/>
        </w:rPr>
        <w:t xml:space="preserve">7  </w:t>
      </w:r>
      <w:r>
        <w:rPr>
          <w:rStyle w:val="1373"/>
          <w:rFonts w:hint="eastAsia" w:ascii="仿宋" w:hAnsi="仿宋" w:eastAsia="仿宋" w:cs="仿宋"/>
          <w:sz w:val="24"/>
          <w:szCs w:val="24"/>
          <w:lang w:bidi="ar"/>
        </w:rPr>
        <w:t xml:space="preserve">天内将与合同有关的通知、批准、证明、证书、指示、指令、要求、请求、同意、意见、确定和决定等书面函件送达对方当事人。</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1.6.2 发包人接收文件的地点：</w:t>
      </w:r>
      <w:r>
        <w:rPr>
          <w:rStyle w:val="1373"/>
          <w:rFonts w:hint="eastAsia" w:ascii="仿宋" w:hAnsi="仿宋" w:eastAsia="仿宋" w:cs="仿宋"/>
          <w:sz w:val="24"/>
          <w:szCs w:val="24"/>
          <w:u w:val="single"/>
          <w:lang w:bidi="ar"/>
        </w:rPr>
        <w:t xml:space="preserve">江苏省沙集闸站管理所</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发包人指定的接收人为：</w:t>
      </w:r>
      <w:r>
        <w:rPr>
          <w:rStyle w:val="1373"/>
          <w:rFonts w:hint="eastAsia" w:ascii="仿宋" w:hAnsi="仿宋" w:eastAsia="仿宋" w:cs="仿宋"/>
          <w:sz w:val="24"/>
          <w:szCs w:val="24"/>
          <w:u w:val="single"/>
          <w:lang w:bidi="ar"/>
        </w:rPr>
        <w:t xml:space="preserve">发包人代表及其授权人</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承包人接收文件的地点：</w:t>
      </w:r>
      <w:r>
        <w:rPr>
          <w:rStyle w:val="1373"/>
          <w:rFonts w:hint="eastAsia" w:ascii="仿宋" w:hAnsi="仿宋" w:eastAsia="仿宋" w:cs="仿宋"/>
          <w:sz w:val="24"/>
          <w:szCs w:val="24"/>
          <w:u w:val="single"/>
          <w:lang w:bidi="ar"/>
        </w:rPr>
        <w:t xml:space="preserve">承包人项目负责人或项目部主要人员办公室</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承包人指定的接收人为：</w:t>
      </w:r>
      <w:r>
        <w:rPr>
          <w:rStyle w:val="1373"/>
          <w:rFonts w:hint="eastAsia" w:ascii="仿宋" w:hAnsi="仿宋" w:eastAsia="仿宋" w:cs="仿宋"/>
          <w:sz w:val="24"/>
          <w:szCs w:val="24"/>
          <w:u w:val="single"/>
          <w:lang w:bidi="ar"/>
        </w:rPr>
        <w:t xml:space="preserve">承包人项目负责人或其授权人</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监理人接收文件的地点：</w:t>
      </w:r>
      <w:r>
        <w:rPr>
          <w:rStyle w:val="1373"/>
          <w:rFonts w:hint="eastAsia" w:ascii="仿宋" w:hAnsi="仿宋" w:eastAsia="仿宋" w:cs="仿宋"/>
          <w:sz w:val="24"/>
          <w:szCs w:val="24"/>
          <w:u w:val="single"/>
          <w:lang w:bidi="ar"/>
        </w:rPr>
        <w:t xml:space="preserve">监理人现场办公室</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监理人指定的接收人为：</w:t>
      </w:r>
      <w:r>
        <w:rPr>
          <w:rStyle w:val="1373"/>
          <w:rFonts w:hint="eastAsia" w:ascii="仿宋" w:hAnsi="仿宋" w:eastAsia="仿宋" w:cs="仿宋"/>
          <w:sz w:val="24"/>
          <w:szCs w:val="24"/>
          <w:u w:val="single"/>
          <w:lang w:bidi="ar"/>
        </w:rPr>
        <w:t xml:space="preserve">总监理工程师或其授权人</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 交通运输</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1.7.1 出入现场的权利</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关于出入现场的权利的约定：</w:t>
      </w:r>
      <w:r>
        <w:rPr>
          <w:rStyle w:val="1373"/>
          <w:rFonts w:hint="eastAsia" w:ascii="仿宋" w:hAnsi="仿宋" w:eastAsia="仿宋" w:cs="仿宋"/>
          <w:sz w:val="24"/>
          <w:szCs w:val="24"/>
          <w:u w:val="single"/>
          <w:lang w:bidi="ar"/>
        </w:rPr>
        <w:t xml:space="preserve">只有项目施工人员办理许可证才能进入施工现场，其他无关人员一律不能进入施工现场，如果擅自进入现场，由此而产生的后果由承包人自行负责。出入施工现场所需的许可证手续批准权利属于发包人，承办人无条件配合。</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1.7.3 场内交通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关于场外交通和场内交通的边界的约定：</w:t>
      </w:r>
      <w:r>
        <w:rPr>
          <w:rStyle w:val="1373"/>
          <w:rFonts w:hint="eastAsia" w:ascii="仿宋" w:hAnsi="仿宋" w:eastAsia="仿宋" w:cs="仿宋"/>
          <w:sz w:val="24"/>
          <w:szCs w:val="24"/>
          <w:u w:val="single"/>
          <w:lang w:bidi="ar"/>
        </w:rPr>
        <w:t xml:space="preserve">发包人在承包人进场施工前负责场外公共道路的畅通，场内交通由承包人负责</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关于发包人向承包人免费提供满足工程施工需要的场内道路和交通设施的约定：</w:t>
      </w:r>
      <w:r>
        <w:rPr>
          <w:rStyle w:val="1373"/>
          <w:rFonts w:hint="eastAsia" w:ascii="仿宋" w:hAnsi="仿宋" w:eastAsia="仿宋" w:cs="仿宋"/>
          <w:sz w:val="24"/>
          <w:szCs w:val="24"/>
          <w:u w:val="single"/>
          <w:lang w:bidi="ar"/>
        </w:rPr>
        <w:t xml:space="preserve">所有需要使用的场内道路和交通设施由承包人负责修建和拆除，且所有发生的费用已经包含在投标总价中，后期不予调整。</w:t>
      </w:r>
      <w:r>
        <w:rPr>
          <w:rStyle w:val="1373"/>
          <w:rFonts w:hint="eastAsia" w:ascii="仿宋" w:hAnsi="仿宋" w:eastAsia="仿宋" w:cs="仿宋"/>
          <w:sz w:val="24"/>
          <w:szCs w:val="24"/>
          <w:lang w:bidi="ar"/>
        </w:rPr>
        <w:t xml:space="preserve">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1.7.4超大件和超重件的运输</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运输超大件或超重件所需的道路和桥梁临时加固改造费用和其他有关费用由</w:t>
      </w:r>
      <w:r>
        <w:rPr>
          <w:rStyle w:val="1373"/>
          <w:rFonts w:hint="eastAsia" w:ascii="仿宋" w:hAnsi="仿宋" w:eastAsia="仿宋" w:cs="仿宋"/>
          <w:sz w:val="24"/>
          <w:szCs w:val="24"/>
          <w:u w:val="single"/>
          <w:lang w:bidi="ar"/>
        </w:rPr>
        <w:t xml:space="preserve"> 承包人 </w:t>
      </w:r>
      <w:r>
        <w:rPr>
          <w:rStyle w:val="1373"/>
          <w:rFonts w:hint="eastAsia" w:ascii="仿宋" w:hAnsi="仿宋" w:eastAsia="仿宋" w:cs="仿宋"/>
          <w:sz w:val="24"/>
          <w:szCs w:val="24"/>
          <w:lang w:bidi="ar"/>
        </w:rPr>
        <w:t xml:space="preserve">承担。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 知识产权</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1.8.1关于发包人提供给承包人的图纸、发包人为实施工程自行编制或委托编制的技术规范以及反映发包人关于合同要求或其他类似性质的文件的著作权的归属：</w:t>
      </w:r>
      <w:r>
        <w:rPr>
          <w:rStyle w:val="1373"/>
          <w:rFonts w:hint="eastAsia" w:ascii="仿宋" w:hAnsi="仿宋" w:eastAsia="仿宋" w:cs="仿宋"/>
          <w:sz w:val="24"/>
          <w:szCs w:val="24"/>
          <w:u w:val="single"/>
          <w:lang w:bidi="ar"/>
        </w:rPr>
        <w:t xml:space="preserve">归发包人所有</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关于发包人提供的上述文件的使用限制的要求：</w:t>
      </w:r>
      <w:r>
        <w:rPr>
          <w:rStyle w:val="1373"/>
          <w:rFonts w:hint="eastAsia" w:ascii="仿宋" w:hAnsi="仿宋" w:eastAsia="仿宋" w:cs="仿宋"/>
          <w:sz w:val="24"/>
          <w:szCs w:val="24"/>
          <w:u w:val="single"/>
          <w:lang w:bidi="ar"/>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1.8.2 关于承包人为实施工程所编制文件的著作权的归属：</w:t>
      </w:r>
      <w:r>
        <w:rPr>
          <w:rStyle w:val="1373"/>
          <w:rFonts w:hint="eastAsia" w:ascii="仿宋" w:hAnsi="仿宋" w:eastAsia="仿宋" w:cs="仿宋"/>
          <w:sz w:val="24"/>
          <w:szCs w:val="24"/>
          <w:u w:val="single"/>
          <w:lang w:bidi="ar"/>
        </w:rPr>
        <w:t xml:space="preserve">属于发包人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关于承包人提供的上述文件的使用限制的要求：</w:t>
      </w:r>
      <w:r>
        <w:rPr>
          <w:rStyle w:val="1373"/>
          <w:rFonts w:hint="eastAsia" w:ascii="仿宋" w:hAnsi="仿宋" w:eastAsia="仿宋" w:cs="仿宋"/>
          <w:sz w:val="24"/>
          <w:szCs w:val="24"/>
          <w:u w:val="single"/>
          <w:lang w:bidi="ar"/>
        </w:rPr>
        <w:t xml:space="preserve">不得用于与本工程无关的一切事宜</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1.8.4 承包人在施工过程中所采用的专利、专有技术、技术秘密的使用费的承担方式：</w:t>
      </w:r>
      <w:r>
        <w:rPr>
          <w:rStyle w:val="1373"/>
          <w:rFonts w:hint="eastAsia" w:ascii="仿宋" w:hAnsi="仿宋" w:eastAsia="仿宋" w:cs="仿宋"/>
          <w:sz w:val="24"/>
          <w:szCs w:val="24"/>
          <w:u w:val="single"/>
          <w:lang w:bidi="ar"/>
        </w:rPr>
        <w:t xml:space="preserve">由承包人承担，已含在签约合同价中，结算时不予调整</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1.9工程量清单错误的修正</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出现工程量清单错误时，是否调整合同价格：</w:t>
      </w:r>
      <w:r>
        <w:rPr>
          <w:rStyle w:val="1373"/>
          <w:rFonts w:hint="eastAsia" w:ascii="仿宋" w:hAnsi="仿宋" w:eastAsia="仿宋" w:cs="仿宋"/>
          <w:sz w:val="24"/>
          <w:szCs w:val="24"/>
          <w:u w:val="single"/>
          <w:lang w:bidi="ar"/>
        </w:rPr>
        <w:t xml:space="preserve">   是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允许调整合同价格的工程量偏差范围：</w:t>
      </w:r>
      <w:r>
        <w:rPr>
          <w:rStyle w:val="1373"/>
          <w:rFonts w:hint="eastAsia" w:ascii="仿宋" w:hAnsi="仿宋" w:eastAsia="仿宋" w:cs="仿宋"/>
          <w:sz w:val="24"/>
          <w:szCs w:val="24"/>
          <w:u w:val="single"/>
          <w:lang w:bidi="ar"/>
        </w:rPr>
        <w:t xml:space="preserve">（1）工程量清单存在缺项、漏项的；（2）工程量清单偏差超出约定的工程量偏差范围的；（3）未按照国家现行计量规范强制性规定计量的。  </w:t>
      </w:r>
      <w:r/>
    </w:p>
    <w:p>
      <w:pPr>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 发包人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2.2 发包人代表</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发包人代表：</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姓    名：</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身份证号：</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职    务：</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联系电话：</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电子信箱：</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通信地址：</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b/>
          <w:sz w:val="24"/>
          <w:szCs w:val="24"/>
        </w:rPr>
      </w:pPr>
      <w:r>
        <w:rPr>
          <w:rStyle w:val="1373"/>
          <w:rFonts w:hint="eastAsia" w:ascii="仿宋" w:hAnsi="仿宋" w:eastAsia="仿宋" w:cs="仿宋"/>
          <w:sz w:val="24"/>
          <w:szCs w:val="24"/>
          <w:lang w:bidi="ar"/>
        </w:rPr>
        <w:t xml:space="preserve">发包人对发包人代表的授权范围如下：</w:t>
      </w:r>
      <w:r>
        <w:rPr>
          <w:rStyle w:val="1373"/>
          <w:rFonts w:hint="eastAsia" w:ascii="仿宋" w:hAnsi="仿宋" w:eastAsia="仿宋" w:cs="仿宋"/>
          <w:sz w:val="24"/>
          <w:szCs w:val="24"/>
          <w:u w:val="single"/>
          <w:lang w:bidi="ar"/>
        </w:rPr>
        <w:t xml:space="preserve">施工组织设计和总进度计划的审批权、工程变更、签证的确认权、发布开工令、停工令、复工令权、工程款的审查权和支付权、特殊及重要施工工艺和材料发包、参与建筑材料价格的确认、合同的解释等。</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2.4 施工现场、施工条件和基础资料的提供</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2.4.1 提供施工现场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关于发包人移交施工现场的期限要求：</w:t>
      </w:r>
      <w:r>
        <w:rPr>
          <w:rStyle w:val="1373"/>
          <w:rFonts w:hint="eastAsia" w:ascii="仿宋" w:hAnsi="仿宋" w:eastAsia="仿宋" w:cs="仿宋"/>
          <w:sz w:val="24"/>
          <w:szCs w:val="24"/>
          <w:u w:val="single"/>
          <w:lang w:bidi="ar"/>
        </w:rPr>
        <w:t xml:space="preserve">根据工程进展实际需求，按发包人通知要求执行。</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2.4.2 提供施工条件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关于发包人应负责提供施工所需要的条件，包括：</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（1）发包人提供现有施工场地条件，承包人自行现场踏勘，根据实际施工条件自行负责，工作条件自行解决，所需费用由承包人承担。</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（2）施工所需临时用电、临时用水已接入现场，现场临时通讯线路承包人负责审批、接入，费用由承包人承担，发包人不再另行支付。</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（3）关于材料场地及办公用地由承包人根据现场条件自行负责。</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（4）如现场现有施工用电源不能满足现场施工要求，须增加的电源供应负荷由承包人自行解决，所需费用由承包人承担。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u w:val="single"/>
          <w:lang w:bidi="ar"/>
        </w:rPr>
        <w:t xml:space="preserve">（5）发包人提供现有的施工场内交通条件，不额外提供正常施工所需要的进入施工现场的交通条件，由承包人自行解决，承包人应在投标报价中综合考虑本条款所述费用，发包人不再另行支付。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2.5 资金来源证明及支付担保</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发包人提供资金来源证明的期限要求：</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发包人是否提供支付担保：</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发包人提供支付担保的形式：</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 承包人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3.1 承包人的一般义务</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承包人提交的竣工资料的内容：</w:t>
      </w:r>
      <w:r>
        <w:rPr>
          <w:rStyle w:val="1373"/>
          <w:rFonts w:hint="eastAsia" w:ascii="仿宋" w:hAnsi="仿宋" w:eastAsia="仿宋" w:cs="仿宋"/>
          <w:sz w:val="24"/>
          <w:szCs w:val="24"/>
          <w:u w:val="single"/>
          <w:lang w:bidi="ar"/>
        </w:rPr>
        <w:t xml:space="preserve">工程建设项目竣工验收前，承包人应根据合同工作内容及发包人要求，整理竣工验收资料（含竣工图以及</w:t>
      </w:r>
      <w:r>
        <w:rPr>
          <w:rStyle w:val="1373"/>
          <w:rFonts w:hint="eastAsia" w:ascii="仿宋" w:hAnsi="仿宋" w:eastAsia="仿宋" w:cs="仿宋"/>
          <w:sz w:val="24"/>
          <w:szCs w:val="24"/>
          <w:lang w:bidi="ar"/>
        </w:rPr>
        <w:t xml:space="preserve">提供施工前原状和隐蔽工程360全景图片</w:t>
      </w:r>
      <w:r>
        <w:rPr>
          <w:rStyle w:val="1373"/>
          <w:rFonts w:hint="eastAsia" w:ascii="仿宋" w:hAnsi="仿宋" w:eastAsia="仿宋" w:cs="仿宋"/>
          <w:sz w:val="24"/>
          <w:szCs w:val="24"/>
          <w:u w:val="single"/>
          <w:lang w:bidi="ar"/>
        </w:rPr>
        <w:t xml:space="preserve">），竣工图纸和资料必须符合城建备案、相关法律规范和发包人要求，汇总为完整的建设项目竣工资料一式陆套报发包人。并配合总承包人及发包人完成城建备案，并按发包人要求移交相关过程管理资料。否则每迟一天向发包人支付合同价款千分之一的违约金。</w:t>
      </w:r>
      <w:r>
        <w:rPr>
          <w:rStyle w:val="1373"/>
          <w:rFonts w:hint="eastAsia" w:ascii="仿宋" w:hAnsi="仿宋" w:eastAsia="仿宋" w:cs="仿宋"/>
          <w:sz w:val="24"/>
          <w:szCs w:val="24"/>
          <w:lang w:bidi="ar"/>
        </w:rPr>
        <w:t xml:space="preserve"> </w:t>
      </w:r>
      <w:r/>
    </w:p>
    <w:p>
      <w:pPr>
        <w:ind w:firstLine="480"/>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承包人需要提交的竣工资料套数：</w:t>
      </w:r>
      <w:r>
        <w:rPr>
          <w:rStyle w:val="1373"/>
          <w:rFonts w:hint="eastAsia" w:ascii="仿宋" w:hAnsi="仿宋" w:eastAsia="仿宋" w:cs="仿宋"/>
          <w:sz w:val="24"/>
          <w:szCs w:val="24"/>
          <w:u w:val="single"/>
          <w:lang w:bidi="ar"/>
        </w:rPr>
        <w:t xml:space="preserve">一式陆套。</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承包人提交的竣工资料的费用承担：</w:t>
      </w:r>
      <w:r>
        <w:rPr>
          <w:rStyle w:val="1373"/>
          <w:rFonts w:hint="eastAsia" w:ascii="仿宋" w:hAnsi="仿宋" w:eastAsia="仿宋" w:cs="仿宋"/>
          <w:sz w:val="24"/>
          <w:szCs w:val="24"/>
          <w:u w:val="single"/>
          <w:lang w:bidi="ar"/>
        </w:rPr>
        <w:t xml:space="preserve">承包人自身承担</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承包人提交的竣工资料移交时间：</w:t>
      </w:r>
      <w:r>
        <w:rPr>
          <w:rStyle w:val="1373"/>
          <w:rFonts w:hint="eastAsia" w:ascii="仿宋" w:hAnsi="仿宋" w:eastAsia="仿宋" w:cs="仿宋"/>
          <w:sz w:val="24"/>
          <w:szCs w:val="24"/>
          <w:u w:val="single"/>
          <w:lang w:bidi="ar"/>
        </w:rPr>
        <w:t xml:space="preserve"> 竣工验收合格后30日历天内</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承包人提交的竣工资料形式要求：</w:t>
      </w:r>
      <w:r>
        <w:rPr>
          <w:rStyle w:val="1373"/>
          <w:rFonts w:hint="eastAsia" w:ascii="仿宋" w:hAnsi="仿宋" w:eastAsia="仿宋" w:cs="仿宋"/>
          <w:sz w:val="24"/>
          <w:szCs w:val="24"/>
          <w:u w:val="single"/>
          <w:lang w:bidi="ar"/>
        </w:rPr>
        <w:t xml:space="preserve">书面形式及电子形式（均有）</w:t>
      </w:r>
      <w:r>
        <w:rPr>
          <w:rStyle w:val="1373"/>
          <w:rFonts w:hint="eastAsia" w:ascii="仿宋" w:hAnsi="仿宋" w:eastAsia="仿宋" w:cs="仿宋"/>
          <w:sz w:val="24"/>
          <w:szCs w:val="24"/>
          <w:lang w:bidi="ar"/>
        </w:rPr>
        <w:t xml:space="preserve">。</w:t>
      </w:r>
      <w:r/>
    </w:p>
    <w:p>
      <w:pPr>
        <w:numPr>
          <w:ilvl w:val="0"/>
          <w:numId w:val="9"/>
        </w:num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承包人应履行的其他义务：</w:t>
      </w:r>
      <w:r>
        <w:rPr>
          <w:rStyle w:val="1373"/>
          <w:rFonts w:hint="eastAsia" w:ascii="仿宋" w:hAnsi="仿宋" w:eastAsia="仿宋" w:cs="仿宋"/>
          <w:sz w:val="24"/>
          <w:szCs w:val="24"/>
          <w:u w:val="single"/>
          <w:lang w:bidi="ar"/>
        </w:rPr>
        <w:t xml:space="preserve">承包人除应履行按通用条款义务外，还须履行的其他义务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1、承包人在中标公告发布之日起</w:t>
      </w:r>
      <w:r>
        <w:rPr>
          <w:rStyle w:val="1373"/>
          <w:rFonts w:hint="eastAsia" w:ascii="仿宋" w:hAnsi="仿宋" w:eastAsia="仿宋" w:cs="仿宋"/>
          <w:sz w:val="24"/>
          <w:szCs w:val="24"/>
          <w:lang w:val="en-US" w:eastAsia="zh-CN" w:bidi="ar"/>
        </w:rPr>
        <w:t xml:space="preserve">30</w:t>
      </w:r>
      <w:r>
        <w:rPr>
          <w:rStyle w:val="1373"/>
          <w:rFonts w:hint="eastAsia" w:ascii="仿宋" w:hAnsi="仿宋" w:eastAsia="仿宋" w:cs="仿宋"/>
          <w:sz w:val="24"/>
          <w:szCs w:val="24"/>
          <w:lang w:bidi="ar"/>
        </w:rPr>
        <w:t xml:space="preserve">日历天内完成施工准备工作，包括参与配合完成设计交底和图纸会审；整理好图纸会审资料；施工组织设计/施工方案；施工进度计划：材料进场计划；施工质量、安全生产管理体系；进场道路及水、电、通信、临设等，并提交工程开工报审表。因承包人原因使开工日期延误，逾期开工15(含)日历天内，发包人除按5万元/日历天收取逾期开工违约金外，由此造成的工期延误和损失由承包人负责。逾期开工超过15日历天，发包人有权解除合同，由此造成的工期延误和损失由承包人负责；中标通知书发出十日内协助发包人办理施工许可证等相关行政许可。</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2</w:t>
      </w:r>
      <w:r>
        <w:rPr>
          <w:rStyle w:val="1373"/>
          <w:rFonts w:hint="eastAsia" w:ascii="仿宋" w:hAnsi="仿宋" w:eastAsia="仿宋" w:cs="仿宋"/>
          <w:sz w:val="24"/>
          <w:szCs w:val="24"/>
          <w:lang w:bidi="ar"/>
        </w:rPr>
        <w:t xml:space="preserve">、承包人进场使用的材料、设备等必须经发包人和监理单位同意后方可进场并施工，否则发包人有权不予支付相关工程款。未经发包人和监理单位同意擅自进场或使用的，承包人应当向发包人支付违约金2万元/次，由此造成的工期延误和损失由承包人负责。</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3</w:t>
      </w:r>
      <w:r>
        <w:rPr>
          <w:rStyle w:val="1373"/>
          <w:rFonts w:hint="eastAsia" w:ascii="仿宋" w:hAnsi="仿宋" w:eastAsia="仿宋" w:cs="仿宋"/>
          <w:sz w:val="24"/>
          <w:szCs w:val="24"/>
          <w:lang w:bidi="ar"/>
        </w:rPr>
        <w:t xml:space="preserve">、需承包人办理的有关施工场地交通、环卫和施工噪音管理等手续，按有关规定办理，费用由承包人负责。施工中垃圾</w:t>
      </w:r>
      <w:r>
        <w:rPr>
          <w:rStyle w:val="1373"/>
          <w:rFonts w:hint="eastAsia" w:ascii="仿宋" w:hAnsi="仿宋" w:eastAsia="仿宋" w:cs="仿宋"/>
          <w:sz w:val="24"/>
          <w:szCs w:val="24"/>
          <w:lang w:bidi="ar"/>
        </w:rPr>
        <w:t xml:space="preserve">需运出施工现场外时，承包人需到相关主管部门办理相关手续并按相关主管部门指定地点放置，费用由承包人负责(包括因承包人责任所引起的处罚)：施工现场按照施工扬尘治理标准设置围墙封闭施工，围墙张贴文明标语，施工入口设置大门、车辆自动冲洗台、雾炮机、道路喷淋系统、电子显示屏等扬尘治理设施设备，达到建设工地施工扬尘、大气污染防治治理要求、《宿迁市市区扬尘污染防治标准化管理有关规定》、《宿迁市建设工地扬尘防治和指导意见》、《关于印发2022年宿迁市扬尘污染专项整治工作方案的通知》要求，以上所有费用包含在合同价款内不另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4</w:t>
      </w:r>
      <w:r>
        <w:rPr>
          <w:rStyle w:val="1373"/>
          <w:rFonts w:hint="eastAsia" w:ascii="仿宋" w:hAnsi="仿宋" w:eastAsia="仿宋" w:cs="仿宋"/>
          <w:sz w:val="24"/>
          <w:szCs w:val="24"/>
          <w:lang w:bidi="ar"/>
        </w:rPr>
        <w:t xml:space="preserve">、施工过程中应釆用样板引路，采取挂牌标识，严格质量责任，建立健全质量管理体系。否则，承包人应向发包人支付人民币1万元/次的违约金。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5</w:t>
      </w:r>
      <w:r>
        <w:rPr>
          <w:rStyle w:val="1373"/>
          <w:rFonts w:hint="eastAsia" w:ascii="仿宋" w:hAnsi="仿宋" w:eastAsia="仿宋" w:cs="仿宋"/>
          <w:sz w:val="24"/>
          <w:szCs w:val="24"/>
          <w:lang w:bidi="ar"/>
        </w:rPr>
        <w:t xml:space="preserve">、自觉接受发包人及委托管理、监理单位的监督管理，参加发包人和监理组织的工地例会，及时报告工程情况，并接受整改要求。否则，承包人应向发包人支付人民币1万元/次的违约金。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6</w:t>
      </w:r>
      <w:r>
        <w:rPr>
          <w:rStyle w:val="1373"/>
          <w:rFonts w:hint="eastAsia" w:ascii="仿宋" w:hAnsi="仿宋" w:eastAsia="仿宋" w:cs="仿宋"/>
          <w:sz w:val="24"/>
          <w:szCs w:val="24"/>
          <w:lang w:bidi="ar"/>
        </w:rPr>
        <w:t xml:space="preserve">、协调处理好各种公共关系，承担因承包人责任引发的民事纠纷的损失和处理工作，包括因承包人违反有关规定而导致政府相关部门的处罚，另承包人应向发包人支付人民币1万元/次的违约金。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7</w:t>
      </w:r>
      <w:r>
        <w:rPr>
          <w:rStyle w:val="1373"/>
          <w:rFonts w:hint="eastAsia" w:ascii="仿宋" w:hAnsi="仿宋" w:eastAsia="仿宋" w:cs="仿宋"/>
          <w:sz w:val="24"/>
          <w:szCs w:val="24"/>
          <w:lang w:bidi="ar"/>
        </w:rPr>
        <w:t xml:space="preserve">、承包人需配合完成竣工验收备案和整体项目移交、档案移交及工程保修期内缺陷修复和保修工作，完成并配合发包人办理相关部门结(决)算审计等工作。档案按照省标整理、收集、归档。否则，承包人应向发包人支付人民币1万元/次的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8</w:t>
      </w:r>
      <w:r>
        <w:rPr>
          <w:rStyle w:val="1373"/>
          <w:rFonts w:hint="eastAsia" w:ascii="仿宋" w:hAnsi="仿宋" w:eastAsia="仿宋" w:cs="仿宋"/>
          <w:sz w:val="24"/>
          <w:szCs w:val="24"/>
          <w:lang w:bidi="ar"/>
        </w:rPr>
        <w:t xml:space="preserve">、承包人负责釆取措施保护承包范围内已完工程(包含现场其他工程)的现场保护工作，如有因施工而损毁、污损其他工程等，由承包人按实赔偿，另承包人应向发包人支付人民币10万元的违约金。如交付后，发包人要求承包人继续保护，费用另行商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val="en-US" w:eastAsia="zh-CN" w:bidi="ar"/>
        </w:rPr>
        <w:t xml:space="preserve">9</w:t>
      </w:r>
      <w:r>
        <w:rPr>
          <w:rStyle w:val="1373"/>
          <w:rFonts w:hint="eastAsia" w:ascii="仿宋" w:hAnsi="仿宋" w:eastAsia="仿宋" w:cs="仿宋"/>
          <w:sz w:val="24"/>
          <w:szCs w:val="24"/>
          <w:lang w:bidi="ar"/>
        </w:rPr>
        <w:t xml:space="preserve">、工程施工期间及工程竣工后及时清理现场，做到工完场清。否则，承包人应向发包人支付人民币1万元/次的违约金。清理现场的费用由承包人承担，包含在合同价款内，不另计。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w:t>
      </w:r>
      <w:r>
        <w:rPr>
          <w:rStyle w:val="1373"/>
          <w:rFonts w:hint="eastAsia" w:ascii="仿宋" w:hAnsi="仿宋" w:eastAsia="仿宋" w:cs="仿宋"/>
          <w:sz w:val="24"/>
          <w:szCs w:val="24"/>
          <w:lang w:val="en-US" w:eastAsia="zh-CN" w:bidi="ar"/>
        </w:rPr>
        <w:t xml:space="preserve">0</w:t>
      </w:r>
      <w:r>
        <w:rPr>
          <w:rStyle w:val="1373"/>
          <w:rFonts w:hint="eastAsia" w:ascii="仿宋" w:hAnsi="仿宋" w:eastAsia="仿宋" w:cs="仿宋"/>
          <w:sz w:val="24"/>
          <w:szCs w:val="24"/>
          <w:lang w:bidi="ar"/>
        </w:rPr>
        <w:t xml:space="preserve">、承包人应积极参与发包人组织的各种活动，并执行工地各类会议决议要求。否则，承包人应向发包人支付人民币1万元/次的违约金。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w:t>
      </w:r>
      <w:r>
        <w:rPr>
          <w:rStyle w:val="1373"/>
          <w:rFonts w:hint="eastAsia" w:ascii="仿宋" w:hAnsi="仿宋" w:eastAsia="仿宋" w:cs="仿宋"/>
          <w:sz w:val="24"/>
          <w:szCs w:val="24"/>
          <w:lang w:val="en-US" w:eastAsia="zh-CN" w:bidi="ar"/>
        </w:rPr>
        <w:t xml:space="preserve">1</w:t>
      </w:r>
      <w:r>
        <w:rPr>
          <w:rStyle w:val="1373"/>
          <w:rFonts w:hint="eastAsia" w:ascii="仿宋" w:hAnsi="仿宋" w:eastAsia="仿宋" w:cs="仿宋"/>
          <w:sz w:val="24"/>
          <w:szCs w:val="24"/>
          <w:lang w:bidi="ar"/>
        </w:rPr>
        <w:t xml:space="preserve">、遇危大、重大工程，承包人需提前考虑经专家审核通过后将相关完整合格资料提交给发包人及监理方。否则，承包人应向发包人支付人民币10万元/次的违约金。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w:t>
      </w:r>
      <w:r>
        <w:rPr>
          <w:rStyle w:val="1373"/>
          <w:rFonts w:hint="eastAsia" w:ascii="仿宋" w:hAnsi="仿宋" w:eastAsia="仿宋" w:cs="仿宋"/>
          <w:sz w:val="24"/>
          <w:szCs w:val="24"/>
          <w:lang w:val="en-US" w:eastAsia="zh-CN" w:bidi="ar"/>
        </w:rPr>
        <w:t xml:space="preserve">2</w:t>
      </w:r>
      <w:r>
        <w:rPr>
          <w:rStyle w:val="1373"/>
          <w:rFonts w:hint="eastAsia" w:ascii="仿宋" w:hAnsi="仿宋" w:eastAsia="仿宋" w:cs="仿宋"/>
          <w:sz w:val="24"/>
          <w:szCs w:val="24"/>
          <w:lang w:bidi="ar"/>
        </w:rPr>
        <w:t xml:space="preserve">、对发包人和监理人交办的合理事项或者问题整改，不能在合理规定的期限内完成，延期向发包人支付违约金1000元/天/项。</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14、发包人出具的工程联系单必须在规定的时间内给予回复，延期向发包人支付违约金1000元/天/份。</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15、承包人应按图纸施工，如与别的参建单位有配合的施工内容，承包人须确保配合内容合格且满足下道工序施工要求，否则由此一切后果由承包人自行承担。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16、各级政府相关管理部门对施工现场进行的有关建筑工程安全防护、文明施工的各种检查而发生的费用，无论在投标报价中是否单独列出均由承包人承担。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17、承包人应严格按照《保障农民工工资支付条例》、建市〔2019〕18 号文《建筑工人实名制管理办法（试行）》、苏建规字〔2019〕4 号关于印发《江苏省建筑工人实名制管理和工资支付保障实施办法（试行）》的通知。落实实名制管理的专项责任人，落实相关设备和资金，服从主管部门的监督检查。建立农民工工资（劳务费）专用账户，实行农民工实名制管理，按月足额支付农民工工资，如果发生拖欠民工工资的现象，发包人有权直接从工程进度款或未结清的工程款中直接扣除予以补全，但并不免除承包人应承担的责任和义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18、出现工程量清单描述不全或招标图纸、技术规格书与工程量清单描述不一致的，默认为承包人的报价已按标准更高或要求更高的进行了报价，承包人已在投标报价中予以考虑，相应子目单价均不作调整。</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19、投标报价已经综合考虑了停电、停水、二次搬运、施工场地不足、发包人现场约束、成品保护等所需措施和维护产生一切费用, 并已考虑了各种可能影响施工的因素及其所增加的费用。</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20、承包人不得造成水、电浪费，否则发包人支付违约金1000元/次。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21、凡是承包人因农民工工资问题造成的到区、市、省、国家等政府主管部门上访、集访的，所有接访费用由承包人负责，包括发包人的接访费用，凡是拉横幅，堵大门等不文明讨薪行为的影像，图片被发布到网络等新媒体，由承包人负责删除，所有费用由承包人负责，承包人拒不支付的，由发包人根据实际产生的费用从工程款中直接抵扣。并且每发生一次区级及以上政府部门上访，处罚违约金1万元，发布网络，新媒体的，每一条信息处罚违约金2万元。</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22、其他未尽事宜另订协议。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3.2 项目经理</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3.2.1 项目经理：</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姓    名：</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75" w:lineRule="atLeas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身份证号：</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建造师执业资格等级：</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建造师注册证书号：</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建造师执业印章号：</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安全生产考核合格证书号：</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联系电话：</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电子信箱：</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通信地址：</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承包人对项目经理的授权范围如下：</w:t>
      </w:r>
      <w:r>
        <w:rPr>
          <w:rStyle w:val="1373"/>
          <w:rFonts w:hint="eastAsia" w:ascii="仿宋" w:hAnsi="仿宋" w:eastAsia="仿宋" w:cs="仿宋"/>
          <w:sz w:val="24"/>
          <w:szCs w:val="24"/>
          <w:u w:val="single"/>
          <w:lang w:bidi="ar"/>
        </w:rPr>
        <w:t xml:space="preserve">受承包人委托全面负责工程安全、质量、进度、投资四大控制要素，完善合同、信息、组织管理体系，做好安全监督，文明标准化现场工作。代表承包人行使合同约定的承包人权利和义务，履行合同约定的承包人职责，包含不限于以下：负责统筹协调项目总体施工进度；协助全程做好驻场服务工作；负责施工过程中工程材料的调度、釆购等一系列工作；保证工程进度并保证建设质量；对工程施工的质量和标准负责；参加设计交底、询价定价、工程验收；协调与项目施工有关的内、外部关系；有关工程施工过程中一切问题的提出、解释、签字等均由施工项目负责人本人承办</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关于项目经理在施工现场的时间要求：</w:t>
      </w:r>
      <w:r>
        <w:rPr>
          <w:rStyle w:val="1373"/>
          <w:rFonts w:hint="eastAsia" w:ascii="仿宋" w:hAnsi="仿宋" w:eastAsia="仿宋" w:cs="仿宋"/>
          <w:sz w:val="24"/>
          <w:szCs w:val="24"/>
          <w:u w:val="single"/>
          <w:lang w:bidi="ar"/>
        </w:rPr>
        <w:t xml:space="preserve">投标文件中明确的</w:t>
      </w:r>
      <w:r>
        <w:rPr>
          <w:rStyle w:val="1373"/>
          <w:rFonts w:hint="eastAsia" w:ascii="仿宋" w:hAnsi="仿宋" w:eastAsia="仿宋" w:cs="仿宋"/>
          <w:sz w:val="24"/>
          <w:szCs w:val="24"/>
          <w:u w:val="single"/>
          <w:lang w:eastAsia="zh-CN" w:bidi="ar"/>
        </w:rPr>
        <w:t xml:space="preserve">项目经理</w:t>
      </w:r>
      <w:r>
        <w:rPr>
          <w:rStyle w:val="1373"/>
          <w:rFonts w:hint="eastAsia" w:ascii="仿宋" w:hAnsi="仿宋" w:eastAsia="仿宋" w:cs="仿宋"/>
          <w:sz w:val="24"/>
          <w:szCs w:val="24"/>
          <w:u w:val="single"/>
          <w:lang w:bidi="ar"/>
        </w:rPr>
        <w:t xml:space="preserve">必须常驻施工现场，要求</w:t>
      </w:r>
      <w:r>
        <w:rPr>
          <w:rStyle w:val="1373"/>
          <w:rFonts w:hint="eastAsia" w:ascii="仿宋" w:hAnsi="仿宋" w:eastAsia="仿宋" w:cs="仿宋"/>
          <w:sz w:val="24"/>
          <w:szCs w:val="24"/>
          <w:u w:val="single"/>
          <w:lang w:eastAsia="zh-CN" w:bidi="ar"/>
        </w:rPr>
        <w:t xml:space="preserve">项目经理于项目安装期间</w:t>
      </w:r>
      <w:r>
        <w:rPr>
          <w:rStyle w:val="1373"/>
          <w:rFonts w:hint="eastAsia" w:ascii="仿宋" w:hAnsi="仿宋" w:eastAsia="仿宋" w:cs="仿宋"/>
          <w:sz w:val="24"/>
          <w:szCs w:val="24"/>
          <w:u w:val="single"/>
          <w:lang w:bidi="ar"/>
        </w:rPr>
        <w:t xml:space="preserve">在本工程现场工作</w:t>
      </w:r>
      <w:r>
        <w:rPr>
          <w:rStyle w:val="1373"/>
          <w:rFonts w:hint="eastAsia" w:ascii="仿宋" w:hAnsi="仿宋" w:eastAsia="仿宋" w:cs="仿宋"/>
          <w:sz w:val="24"/>
          <w:szCs w:val="24"/>
          <w:u w:val="single"/>
          <w:lang w:eastAsia="zh-CN" w:bidi="ar"/>
        </w:rPr>
        <w:t xml:space="preserve">不得少于总安装工日的</w:t>
      </w:r>
      <w:r>
        <w:rPr>
          <w:rStyle w:val="1373"/>
          <w:rFonts w:hint="eastAsia" w:ascii="仿宋" w:hAnsi="仿宋" w:eastAsia="仿宋" w:cs="仿宋"/>
          <w:sz w:val="24"/>
          <w:szCs w:val="24"/>
          <w:u w:val="single"/>
          <w:lang w:val="en-US" w:eastAsia="zh-CN" w:bidi="ar"/>
        </w:rPr>
        <w:t xml:space="preserve">50%，</w:t>
      </w:r>
      <w:r>
        <w:rPr>
          <w:rStyle w:val="1373"/>
          <w:rFonts w:hint="eastAsia" w:ascii="仿宋" w:hAnsi="仿宋" w:eastAsia="仿宋" w:cs="仿宋"/>
          <w:sz w:val="24"/>
          <w:szCs w:val="24"/>
          <w:u w:val="single"/>
          <w:lang w:bidi="ar"/>
        </w:rPr>
        <w:t xml:space="preserve">特殊情况下离开现场需事先书面征得发包人同意。</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承包人未提交劳动合同，以及没有为项目经理缴纳社会保险证明的违约责任：</w:t>
      </w:r>
      <w:r>
        <w:rPr>
          <w:rStyle w:val="1373"/>
          <w:rFonts w:hint="eastAsia" w:ascii="仿宋" w:hAnsi="仿宋" w:eastAsia="仿宋" w:cs="仿宋"/>
          <w:sz w:val="24"/>
          <w:szCs w:val="24"/>
          <w:u w:val="single"/>
          <w:lang w:bidi="ar"/>
        </w:rPr>
        <w:t xml:space="preserve">承包人应向发包人支付违约金</w:t>
      </w:r>
      <w:r>
        <w:rPr>
          <w:rStyle w:val="1373"/>
          <w:rFonts w:hint="eastAsia" w:ascii="仿宋" w:hAnsi="仿宋" w:eastAsia="仿宋" w:cs="仿宋"/>
          <w:sz w:val="24"/>
          <w:szCs w:val="24"/>
          <w:u w:val="single"/>
          <w:lang w:val="en-US" w:eastAsia="zh-CN" w:bidi="ar"/>
        </w:rPr>
        <w:t xml:space="preserve">1</w:t>
      </w:r>
      <w:r>
        <w:rPr>
          <w:rStyle w:val="1373"/>
          <w:rFonts w:hint="eastAsia" w:ascii="仿宋" w:hAnsi="仿宋" w:eastAsia="仿宋" w:cs="仿宋"/>
          <w:sz w:val="24"/>
          <w:szCs w:val="24"/>
          <w:u w:val="single"/>
          <w:lang w:bidi="ar"/>
        </w:rPr>
        <w:t xml:space="preserve">万元/次</w:t>
      </w:r>
      <w:r>
        <w:rPr>
          <w:rStyle w:val="1373"/>
          <w:rFonts w:hint="eastAsia" w:ascii="仿宋" w:hAnsi="仿宋" w:eastAsia="仿宋" w:cs="仿宋"/>
          <w:sz w:val="24"/>
          <w:szCs w:val="24"/>
          <w:lang w:bidi="ar"/>
        </w:rPr>
        <w:t xml:space="preserve">。</w:t>
      </w:r>
      <w:r/>
    </w:p>
    <w:p>
      <w:pPr>
        <w:ind w:firstLine="480"/>
        <w:spacing w:line="360" w:lineRule="exact"/>
        <w:widowControl/>
        <w:rPr>
          <w:rStyle w:val="1373"/>
          <w:rFonts w:hint="eastAsia" w:ascii="仿宋" w:hAnsi="仿宋" w:eastAsia="仿宋" w:cs="仿宋"/>
          <w:sz w:val="24"/>
          <w:szCs w:val="24"/>
          <w:u w:val="single"/>
          <w:lang w:bidi="ar"/>
        </w:rPr>
      </w:pPr>
      <w:r>
        <w:rPr>
          <w:rStyle w:val="1373"/>
          <w:rFonts w:hint="eastAsia" w:ascii="仿宋" w:hAnsi="仿宋" w:eastAsia="仿宋" w:cs="仿宋"/>
          <w:sz w:val="24"/>
          <w:szCs w:val="24"/>
          <w:lang w:eastAsia="zh-CN" w:bidi="ar"/>
        </w:rPr>
        <w:t xml:space="preserve">项目负责人</w:t>
      </w:r>
      <w:r>
        <w:rPr>
          <w:rStyle w:val="1373"/>
          <w:rFonts w:hint="eastAsia" w:ascii="仿宋" w:hAnsi="仿宋" w:eastAsia="仿宋" w:cs="仿宋"/>
          <w:sz w:val="24"/>
          <w:szCs w:val="24"/>
          <w:lang w:bidi="ar"/>
        </w:rPr>
        <w:t xml:space="preserve">未经批准，擅自离开施工现场的违约责任：</w:t>
      </w:r>
      <w:r>
        <w:rPr>
          <w:rStyle w:val="1373"/>
          <w:rFonts w:hint="eastAsia" w:ascii="仿宋" w:hAnsi="仿宋" w:eastAsia="仿宋" w:cs="仿宋"/>
          <w:sz w:val="24"/>
          <w:szCs w:val="24"/>
          <w:u w:val="single"/>
          <w:lang w:eastAsia="zh-CN" w:bidi="ar"/>
        </w:rPr>
        <w:t xml:space="preserve">项目负责人</w:t>
      </w:r>
      <w:r>
        <w:rPr>
          <w:rStyle w:val="1373"/>
          <w:rFonts w:hint="eastAsia" w:ascii="仿宋" w:hAnsi="仿宋" w:eastAsia="仿宋" w:cs="仿宋"/>
          <w:sz w:val="24"/>
          <w:szCs w:val="24"/>
          <w:u w:val="single"/>
          <w:lang w:bidi="ar"/>
        </w:rPr>
        <w:t xml:space="preserve">擅自离开现场按每天</w:t>
      </w:r>
      <w:r>
        <w:rPr>
          <w:rStyle w:val="1373"/>
          <w:rFonts w:hint="eastAsia" w:ascii="仿宋" w:hAnsi="仿宋" w:eastAsia="仿宋" w:cs="仿宋"/>
          <w:sz w:val="24"/>
          <w:szCs w:val="24"/>
          <w:u w:val="single"/>
          <w:lang w:val="en-US" w:eastAsia="zh-CN" w:bidi="ar"/>
        </w:rPr>
        <w:t xml:space="preserve">1000</w:t>
      </w:r>
      <w:r>
        <w:rPr>
          <w:rStyle w:val="1373"/>
          <w:rFonts w:hint="eastAsia" w:ascii="仿宋" w:hAnsi="仿宋" w:eastAsia="仿宋" w:cs="仿宋"/>
          <w:sz w:val="24"/>
          <w:szCs w:val="24"/>
          <w:u w:val="single"/>
          <w:lang w:bidi="ar"/>
        </w:rPr>
        <w:t xml:space="preserve">元交纳违约金，从第六天起按每天</w:t>
      </w:r>
      <w:r>
        <w:rPr>
          <w:rStyle w:val="1373"/>
          <w:rFonts w:hint="eastAsia" w:ascii="仿宋" w:hAnsi="仿宋" w:eastAsia="仿宋" w:cs="仿宋"/>
          <w:sz w:val="24"/>
          <w:szCs w:val="24"/>
          <w:u w:val="single"/>
          <w:lang w:val="en-US" w:eastAsia="zh-CN" w:bidi="ar"/>
        </w:rPr>
        <w:t xml:space="preserve">3000</w:t>
      </w:r>
      <w:r>
        <w:rPr>
          <w:rStyle w:val="1373"/>
          <w:rFonts w:hint="eastAsia" w:ascii="仿宋" w:hAnsi="仿宋" w:eastAsia="仿宋" w:cs="仿宋"/>
          <w:sz w:val="24"/>
          <w:szCs w:val="24"/>
          <w:u w:val="single"/>
          <w:lang w:bidi="ar"/>
        </w:rPr>
        <w:t xml:space="preserve">元交纳违约金。</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3.2.2 承包人擅自更换项目经理的违约责任：</w:t>
      </w:r>
      <w:r>
        <w:rPr>
          <w:rStyle w:val="1373"/>
          <w:rFonts w:hint="eastAsia" w:ascii="仿宋" w:hAnsi="仿宋" w:eastAsia="仿宋" w:cs="仿宋"/>
          <w:sz w:val="24"/>
          <w:szCs w:val="24"/>
          <w:u w:val="single"/>
          <w:lang w:bidi="ar"/>
        </w:rPr>
        <w:t xml:space="preserve">除出现江苏省建设厅苏建招〔2005〕580号文件中所列情形之外不予变更。承包人未经发包人书面同意自行更换项目经理的，处以合同价的5%违约金额。并追究由此带来的发包人的一切损失；如有变更，也必须执行江苏省建设厅苏建招〔2005〕580 号文件中规定的变更程序。</w:t>
      </w:r>
      <w:r/>
    </w:p>
    <w:p>
      <w:pPr>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3.2.3 承包人无正当理由拒绝更换项目经理的违约责任：</w:t>
      </w:r>
      <w:r>
        <w:rPr>
          <w:rStyle w:val="1373"/>
          <w:rFonts w:hint="eastAsia" w:ascii="仿宋" w:hAnsi="仿宋" w:eastAsia="仿宋" w:cs="仿宋"/>
          <w:sz w:val="24"/>
          <w:szCs w:val="24"/>
          <w:u w:val="single"/>
          <w:lang w:bidi="ar"/>
        </w:rPr>
        <w:t xml:space="preserve">发包人有权书面通知承包人更换其认为不称职的项目经理。承包人在接到更换通知后必须更换新的资质符合要求的项目经理，超过10天仍未更换的，每延长一天处以罚款2万元人民币，同时发包人有权解除合同，并追究由此带来的发包人的一切损失。</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3.3 承包人人员</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3.3.1 承包人提交项目管理机构及施工现场管理人员安排报告的期限：</w:t>
      </w:r>
      <w:r>
        <w:rPr>
          <w:rStyle w:val="1373"/>
          <w:rFonts w:hint="eastAsia" w:ascii="仿宋" w:hAnsi="仿宋" w:eastAsia="仿宋" w:cs="仿宋"/>
          <w:sz w:val="24"/>
          <w:szCs w:val="24"/>
          <w:u w:val="single"/>
          <w:lang w:bidi="ar"/>
        </w:rPr>
        <w:t xml:space="preserve">中标通知书发出后3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3.3.3 承包人无正当理由拒绝撤换主要施工管理人员的违约责任：</w:t>
      </w:r>
      <w:r>
        <w:rPr>
          <w:rStyle w:val="1373"/>
          <w:rFonts w:hint="eastAsia" w:ascii="仿宋" w:hAnsi="仿宋" w:eastAsia="仿宋" w:cs="仿宋"/>
          <w:sz w:val="24"/>
          <w:szCs w:val="24"/>
          <w:u w:val="single"/>
          <w:lang w:bidi="ar"/>
        </w:rPr>
        <w:t xml:space="preserve">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万元/人的违约金，直至将主要施工管理人员按照招标文件及本合同要求的称职人员之日止。承包人无正当理由拒绝更换的，发包人有权终止合同，并追究由此给发包人造成的一切损失。 </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3.3.4 承包人主要施工管理人员离开施工现场的批准要求：</w:t>
      </w:r>
      <w:r>
        <w:rPr>
          <w:rStyle w:val="1373"/>
          <w:rFonts w:hint="eastAsia" w:ascii="仿宋" w:hAnsi="仿宋" w:eastAsia="仿宋" w:cs="仿宋"/>
          <w:sz w:val="24"/>
          <w:szCs w:val="24"/>
          <w:u w:val="single"/>
          <w:lang w:bidi="ar"/>
        </w:rPr>
        <w:t xml:space="preserve">由发包人和总监理工程师书面批准。</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3.3.5承包人擅自更换主要施工管理人员的违约责任：</w:t>
      </w:r>
      <w:r>
        <w:rPr>
          <w:rStyle w:val="1373"/>
          <w:rFonts w:hint="eastAsia" w:ascii="仿宋" w:hAnsi="仿宋" w:eastAsia="仿宋" w:cs="仿宋"/>
          <w:sz w:val="24"/>
          <w:szCs w:val="24"/>
          <w:u w:val="single"/>
          <w:lang w:bidi="ar"/>
        </w:rPr>
        <w:t xml:space="preserve">承包人未经发包人同意，擅自更换主要施工管理人员，将视为承包人将工程转包或挂靠，发包人可单方面终止合同，没收承包人履约保证金，并将上报建设行政主管部门，对承包人作不良行为记录。</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承包人主要施工管理人员擅自离开施工现场的违约责任：</w:t>
      </w:r>
      <w:r>
        <w:rPr>
          <w:rStyle w:val="1373"/>
          <w:rFonts w:hint="eastAsia" w:ascii="仿宋" w:hAnsi="仿宋" w:eastAsia="仿宋" w:cs="仿宋"/>
          <w:sz w:val="24"/>
          <w:szCs w:val="24"/>
          <w:u w:val="single"/>
          <w:lang w:bidi="ar"/>
        </w:rPr>
        <w:t xml:space="preserve">发包人将对主要施工管理人员</w:t>
      </w:r>
      <w:r>
        <w:rPr>
          <w:rStyle w:val="1373"/>
          <w:rFonts w:hint="eastAsia" w:ascii="仿宋" w:hAnsi="仿宋" w:eastAsia="仿宋" w:cs="仿宋"/>
          <w:sz w:val="24"/>
          <w:szCs w:val="24"/>
          <w:u w:val="single"/>
          <w:lang w:eastAsia="zh-CN" w:bidi="ar"/>
        </w:rPr>
        <w:t xml:space="preserve">（技术负责人）</w:t>
      </w:r>
      <w:r>
        <w:rPr>
          <w:rStyle w:val="1373"/>
          <w:rFonts w:hint="eastAsia" w:ascii="仿宋" w:hAnsi="仿宋" w:eastAsia="仿宋" w:cs="仿宋"/>
          <w:sz w:val="24"/>
          <w:szCs w:val="24"/>
          <w:u w:val="single"/>
          <w:lang w:bidi="ar"/>
        </w:rPr>
        <w:t xml:space="preserve">在施工现场的时间进行考勤，如主要管理人员</w:t>
      </w:r>
      <w:r>
        <w:rPr>
          <w:rStyle w:val="1373"/>
          <w:rFonts w:hint="eastAsia" w:ascii="仿宋" w:hAnsi="仿宋" w:eastAsia="仿宋" w:cs="仿宋"/>
          <w:sz w:val="24"/>
          <w:szCs w:val="24"/>
          <w:u w:val="single"/>
          <w:lang w:eastAsia="zh-CN" w:bidi="ar"/>
        </w:rPr>
        <w:t xml:space="preserve">（技术负责人）</w:t>
      </w:r>
      <w:r>
        <w:rPr>
          <w:rStyle w:val="1373"/>
          <w:rFonts w:hint="eastAsia" w:ascii="仿宋" w:hAnsi="仿宋" w:eastAsia="仿宋" w:cs="仿宋"/>
          <w:sz w:val="24"/>
          <w:szCs w:val="24"/>
          <w:u w:val="single"/>
          <w:lang w:bidi="ar"/>
        </w:rPr>
        <w:t xml:space="preserve">未经发包人同意，擅自离开施工现场，每人每天扣罚承包人违约金3000元，累计达7天及以上，将视为该主要施工管理人员不能履行职责，要求承包人更换相应施工管理人员。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3.4 分包和总承包配合服务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3.4.1 分包的一般约定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禁止分包的工程包括：</w:t>
      </w:r>
      <w:r>
        <w:rPr>
          <w:rStyle w:val="1373"/>
          <w:rFonts w:hint="eastAsia" w:ascii="仿宋" w:hAnsi="仿宋" w:eastAsia="仿宋" w:cs="仿宋"/>
          <w:sz w:val="24"/>
          <w:szCs w:val="24"/>
          <w:u w:val="single"/>
          <w:lang w:bidi="ar"/>
        </w:rPr>
        <w:t xml:space="preserve">禁止分包。如擅自分包，无论工程质量是否合格，发包人有权不予支付相应工程价款</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主体结构、关键性工作的范围：</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3.4.2分包的确定</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允许分包的专业工程包括：</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其他关于分包的约定：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3.4.3 分包合同价款</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关于分包合同价款支付的约定：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3.4.4总承包配合服务约定：</w:t>
      </w:r>
      <w:r>
        <w:rPr>
          <w:rStyle w:val="1373"/>
          <w:rFonts w:hint="eastAsia" w:ascii="仿宋" w:hAnsi="仿宋" w:eastAsia="仿宋" w:cs="仿宋"/>
          <w:sz w:val="24"/>
          <w:szCs w:val="24"/>
          <w:u w:val="single"/>
          <w:lang w:bidi="ar"/>
        </w:rPr>
        <w:t xml:space="preserve">如遇工程交叉情况，无条件服从甲方的协调与配合</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3.5 工程照管与成品、半成品保护</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承包人负责照管工程及工程相关的材料、工程设备的起始时间：</w:t>
      </w:r>
      <w:r>
        <w:rPr>
          <w:rStyle w:val="1373"/>
          <w:rFonts w:hint="eastAsia" w:ascii="仿宋" w:hAnsi="仿宋" w:eastAsia="仿宋" w:cs="仿宋"/>
          <w:sz w:val="24"/>
          <w:szCs w:val="24"/>
          <w:u w:val="single"/>
          <w:lang w:bidi="ar"/>
        </w:rPr>
        <w:t xml:space="preserve">设备、材料、构配件等，人员进场至验收交付使用前由承包人负责照管与成品、半成品保护，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不再另行计取，投标报价时综合考虑，包含在合同价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3.6 履约担保</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承包人是否提供履约担保：</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u w:val="single"/>
          <w:lang w:eastAsia="zh-CN" w:bidi="ar"/>
        </w:rPr>
        <w:t xml:space="preserve">否</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4. 监理人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4.1监理人的一般规定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关于监理人的监理内容：</w:t>
      </w:r>
      <w:r>
        <w:rPr>
          <w:rStyle w:val="1373"/>
          <w:rFonts w:hint="eastAsia" w:ascii="仿宋" w:hAnsi="仿宋" w:eastAsia="仿宋" w:cs="仿宋"/>
          <w:sz w:val="24"/>
          <w:szCs w:val="24"/>
          <w:u w:val="single"/>
          <w:lang w:bidi="ar"/>
        </w:rPr>
        <w:t xml:space="preserve">对承包人的质量保证体系，三检制度（自检、互检、交接班检），三按制度（按图纸、按工艺，按标准施工）进行监督。</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关于监理人的监理权限：1.施工组织设计审核认可，施工进度计划审查；2.监督承包人现场管理人员操作；3.工程原材料、半成品、成品的数量和设备的质量监督；4.参与工程验收，要求工程质量达到合同标准；5.工程款支付、工程签证复核监督；6.严格要求承包人按图纸施工操作规程、验收规范规定进行施工，提出书面通知整改等等。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关于监理人在施工现场的办公场所、生活场所的提供和费用承担的约定：</w:t>
      </w:r>
      <w:r>
        <w:rPr>
          <w:rStyle w:val="1373"/>
          <w:rFonts w:hint="eastAsia" w:ascii="仿宋" w:hAnsi="仿宋" w:eastAsia="仿宋" w:cs="仿宋"/>
          <w:sz w:val="24"/>
          <w:szCs w:val="24"/>
          <w:u w:val="single"/>
          <w:lang w:bidi="ar"/>
        </w:rPr>
        <w:t xml:space="preserve">由发包人与承包人协商。未经发包人同意，监理人不得向承包人提出此类要求</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4.2 监理人员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总监理工程师：</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姓    名：</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职    务：</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监理工程师执业资格证书号：</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联系电话：</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电子信箱：</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通信地址：</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关于监理人的其他约定：</w:t>
      </w:r>
      <w:r>
        <w:rPr>
          <w:rStyle w:val="1373"/>
          <w:rFonts w:hint="eastAsia" w:ascii="仿宋" w:hAnsi="仿宋" w:eastAsia="仿宋" w:cs="仿宋"/>
          <w:sz w:val="24"/>
          <w:szCs w:val="24"/>
          <w:u w:val="single"/>
          <w:lang w:bidi="ar"/>
        </w:rPr>
        <w:t xml:space="preserve"> 按通用条款执行 </w:t>
      </w:r>
      <w:r>
        <w:rPr>
          <w:rStyle w:val="1373"/>
          <w:rFonts w:hint="eastAsia" w:ascii="仿宋" w:hAnsi="仿宋" w:eastAsia="仿宋" w:cs="仿宋"/>
          <w:sz w:val="24"/>
          <w:szCs w:val="24"/>
          <w:lang w:bidi="ar"/>
        </w:rPr>
        <w:t xml:space="preserve">。</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4.4 商定或确定</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在发包人和承包人不能通过协商达成一致意见时，发包人授权监理人对以下事项进行确定：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w:t>
      </w:r>
      <w:r>
        <w:rPr>
          <w:rStyle w:val="1373"/>
          <w:rFonts w:hint="eastAsia" w:ascii="仿宋" w:hAnsi="仿宋" w:eastAsia="仿宋" w:cs="仿宋"/>
          <w:sz w:val="24"/>
          <w:szCs w:val="24"/>
          <w:u w:val="single"/>
          <w:lang w:bidi="ar"/>
        </w:rPr>
        <w:t xml:space="preserve">工程变更的确认权按通用条款执行</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w:t>
      </w:r>
      <w:r>
        <w:rPr>
          <w:rStyle w:val="1373"/>
          <w:rFonts w:hint="eastAsia" w:ascii="仿宋" w:hAnsi="仿宋" w:eastAsia="仿宋" w:cs="仿宋"/>
          <w:sz w:val="24"/>
          <w:szCs w:val="24"/>
          <w:u w:val="single"/>
          <w:lang w:bidi="ar"/>
        </w:rPr>
        <w:t xml:space="preserve">签证权按通用条款执行</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w:t>
      </w:r>
      <w:r>
        <w:rPr>
          <w:rStyle w:val="1373"/>
          <w:rFonts w:hint="eastAsia" w:ascii="仿宋" w:hAnsi="仿宋" w:eastAsia="仿宋" w:cs="仿宋"/>
          <w:sz w:val="24"/>
          <w:szCs w:val="24"/>
          <w:u w:val="single"/>
          <w:lang w:bidi="ar"/>
        </w:rPr>
        <w:t xml:space="preserve">发布开工令、停工令、复工令权按通用条款执行，并提供主要管理技术人员清单及进退场时间</w:t>
      </w:r>
      <w:r>
        <w:rPr>
          <w:rStyle w:val="1373"/>
          <w:rFonts w:hint="eastAsia" w:ascii="仿宋" w:hAnsi="仿宋" w:eastAsia="仿宋" w:cs="仿宋"/>
          <w:sz w:val="24"/>
          <w:szCs w:val="24"/>
          <w:lang w:bidi="ar"/>
        </w:rPr>
        <w:t xml:space="preserve">。</w:t>
      </w:r>
      <w:r/>
    </w:p>
    <w:p>
      <w:pPr>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5. 工程质量</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5.1 质量要求</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5.1.1 特殊质量标准和要求：</w:t>
      </w:r>
      <w:r>
        <w:rPr>
          <w:rStyle w:val="1373"/>
          <w:rFonts w:hint="eastAsia" w:ascii="仿宋" w:hAnsi="仿宋" w:eastAsia="仿宋" w:cs="仿宋"/>
          <w:sz w:val="24"/>
          <w:szCs w:val="24"/>
          <w:u w:val="single"/>
          <w:lang w:bidi="ar"/>
        </w:rPr>
        <w:t xml:space="preserve">1、符合现行国家有关验收标准，并达到招标要求的质量等级标准。2、材料质量要求：投标时有限定品牌、参数要求的采用投标文件中承诺的品牌和参数，投标时未限定品牌及参数要求的按照国标现行产品标准采用，若国家参数要求为区间范围时均采用上限标准。同时附有出厂合格证明，严禁使用不合格、过期材料</w:t>
      </w:r>
      <w:r>
        <w:rPr>
          <w:rStyle w:val="1373"/>
          <w:rFonts w:hint="eastAsia" w:ascii="仿宋" w:hAnsi="仿宋" w:eastAsia="仿宋" w:cs="仿宋"/>
          <w:sz w:val="24"/>
          <w:szCs w:val="24"/>
          <w:u w:val="single"/>
          <w:lang w:bidi="ar"/>
        </w:rPr>
        <w:t xml:space="preserve">和附件。无论总监理工程师是否进行并通过了各项检验，均不解除承包人对自己承包的工程的质量所负责任，除非质量问题是由于设计原因引起，而此类质量问题承包人须及时通知总监及发包人。在采用承包人设计的施工图纸及深化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3、招标文件和有关规范规定</w:t>
      </w:r>
      <w:r>
        <w:rPr>
          <w:rStyle w:val="1373"/>
          <w:rFonts w:hint="eastAsia" w:ascii="仿宋" w:hAnsi="仿宋" w:eastAsia="仿宋" w:cs="仿宋"/>
          <w:sz w:val="24"/>
          <w:szCs w:val="24"/>
          <w:u w:val="single"/>
          <w:lang w:bidi="ar"/>
        </w:rPr>
        <w:t xml:space="preserve">的各种材料检验、工艺试验等必须按规定实施，由承包人提供法定检测机构出具的试验合格证书，所需费用包含在合同价中。4、检验试验费：是指施工企业按照有关标准规定，对建筑以及材料、构件和建筑安装物进行一般鉴定、检查所发生的费用，包括自设试验室进行试验所耗用的材料等费用，包括新结构、新材料的试验费、对构件做破坏性试验及其他特殊要求检验试验的费用。所有进场材料检测试验由建设单位委托检测机构进行检测，对此类检测发生的费用，由承包单位支付。对施工企业提供的具有合格证明的材料进行检测试验不合格的，造成在一切费用由承包人支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5.1.2 质量违约责任：</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1、承包方应保证每</w:t>
      </w:r>
      <w:r>
        <w:rPr>
          <w:rStyle w:val="1373"/>
          <w:rFonts w:hint="eastAsia" w:ascii="仿宋" w:hAnsi="仿宋" w:eastAsia="仿宋" w:cs="仿宋"/>
          <w:sz w:val="24"/>
          <w:szCs w:val="24"/>
          <w:u w:val="single"/>
          <w:lang w:bidi="ar"/>
        </w:rPr>
        <w:t xml:space="preserve">次自检资料完整、规范，数据真实、准备，检查频率必须符合规范设计和相关要求。达不到要求的，视同承包人违约，承包方应按500元/次的标准向发包方支付违约金。2、承包方应及</w:t>
      </w:r>
      <w:r>
        <w:rPr>
          <w:rStyle w:val="1373"/>
          <w:rFonts w:hint="eastAsia" w:ascii="仿宋" w:hAnsi="仿宋" w:eastAsia="仿宋" w:cs="仿宋"/>
          <w:sz w:val="24"/>
          <w:szCs w:val="24"/>
          <w:u w:val="single"/>
          <w:lang w:bidi="ar"/>
        </w:rPr>
        <w:t xml:space="preserve">时、准确对分项工程质量进行自验评定。监理方和指挥部定期抽查，每次抽查合格率达不到100%的，视同承包人违约，承包方应按1000元/次的标准向发包方支付违约金。3、施工抽查中需确保无质量问题。如存在质量问题，每发现一处，承包方按相关要求整改外并按500元/处的标准向发包方支付违约金；造成局部返工时，承包方应按2000元/处的标准向发包方支付违约金；问题较严重且因返工影响工程整体进度时，根据实际情况，承包方应按2000-5000元/处的标准向发包方支付违约金。4、原材料进场前应经监理工程师检查认可，同意后方可进</w:t>
      </w:r>
      <w:r>
        <w:rPr>
          <w:rStyle w:val="1373"/>
          <w:rFonts w:hint="eastAsia" w:ascii="仿宋" w:hAnsi="仿宋" w:eastAsia="仿宋" w:cs="仿宋"/>
          <w:sz w:val="24"/>
          <w:szCs w:val="24"/>
          <w:u w:val="single"/>
          <w:lang w:bidi="ar"/>
        </w:rPr>
        <w:t xml:space="preserve">场，检测频率应符合要求，不合格的材料不得用于工程施工。违反上述规定的，发包人将责令清退出场，承包方应按10000元/批次的标准向发包方支付违约金。5、工程相关实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6、承包方因工程质量和规范管理问题，受到质量监督等行政主管部门查处和通报的，承包方应按10000元/次的标准向发包方支付违约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关于工程奖项的约定：</w:t>
      </w:r>
      <w:r>
        <w:rPr>
          <w:rStyle w:val="1373"/>
          <w:rFonts w:hint="eastAsia" w:ascii="仿宋" w:hAnsi="仿宋" w:eastAsia="仿宋" w:cs="仿宋"/>
          <w:sz w:val="24"/>
          <w:szCs w:val="24"/>
          <w:u w:val="single"/>
          <w:lang w:bidi="ar"/>
        </w:rPr>
        <w:t xml:space="preserve">无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5.3 隐蔽工程检查</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5.3.2承包人提前通知监理人隐蔽工程检查的期限的约定：</w:t>
      </w:r>
      <w:r>
        <w:rPr>
          <w:rStyle w:val="1373"/>
          <w:rFonts w:hint="eastAsia" w:ascii="仿宋" w:hAnsi="仿宋" w:eastAsia="仿宋" w:cs="仿宋"/>
          <w:sz w:val="24"/>
          <w:szCs w:val="24"/>
          <w:u w:val="single"/>
          <w:lang w:bidi="ar"/>
        </w:rPr>
        <w:t xml:space="preserve">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监理人不能按时进行检查时，应提前</w:t>
      </w:r>
      <w:r>
        <w:rPr>
          <w:rStyle w:val="1373"/>
          <w:rFonts w:hint="eastAsia" w:ascii="仿宋" w:hAnsi="仿宋" w:eastAsia="仿宋" w:cs="仿宋"/>
          <w:sz w:val="24"/>
          <w:szCs w:val="24"/>
          <w:u w:val="single"/>
          <w:lang w:bidi="ar"/>
        </w:rPr>
        <w:t xml:space="preserve">  24  </w:t>
      </w:r>
      <w:r>
        <w:rPr>
          <w:rStyle w:val="1373"/>
          <w:rFonts w:hint="eastAsia" w:ascii="仿宋" w:hAnsi="仿宋" w:eastAsia="仿宋" w:cs="仿宋"/>
          <w:sz w:val="24"/>
          <w:szCs w:val="24"/>
          <w:lang w:bidi="ar"/>
        </w:rPr>
        <w:t xml:space="preserve">小时提交书面延期要求。</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关于延期最长不得超过：</w:t>
      </w:r>
      <w:r>
        <w:rPr>
          <w:rStyle w:val="1373"/>
          <w:rFonts w:hint="eastAsia" w:ascii="仿宋" w:hAnsi="仿宋" w:eastAsia="仿宋" w:cs="仿宋"/>
          <w:sz w:val="24"/>
          <w:szCs w:val="24"/>
          <w:u w:val="single"/>
          <w:lang w:bidi="ar"/>
        </w:rPr>
        <w:t xml:space="preserve">  48  </w:t>
      </w:r>
      <w:r>
        <w:rPr>
          <w:rStyle w:val="1373"/>
          <w:rFonts w:hint="eastAsia" w:ascii="仿宋" w:hAnsi="仿宋" w:eastAsia="仿宋" w:cs="仿宋"/>
          <w:sz w:val="24"/>
          <w:szCs w:val="24"/>
          <w:lang w:bidi="ar"/>
        </w:rPr>
        <w:t xml:space="preserve">小时。</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6. 安全文明施工与环境保护</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6.1安全文明施工</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6.1.1 项目安全生产的达标目标及相应事项的约定：</w:t>
      </w:r>
      <w:r>
        <w:rPr>
          <w:rStyle w:val="1373"/>
          <w:rFonts w:hint="eastAsia" w:ascii="仿宋" w:hAnsi="仿宋" w:eastAsia="仿宋" w:cs="仿宋"/>
          <w:sz w:val="24"/>
          <w:szCs w:val="24"/>
          <w:u w:val="single"/>
          <w:lang w:bidi="ar"/>
        </w:rPr>
        <w:t xml:space="preserve">1、进入施工现场的各类安全防护由承包人统一协调管理，安全责任由承包人承担，费用含在报价中；2、承包人负责进入施工现场所有人员及财物安全，发生任何伤亡事故与发包人无关，承包人自行解决；3、承包人应合理安排、安全使用水、电设施，否则引起的一切责任由承包人承担。承包人应负责保管水、电设施，若发生丢失或损坏，由承包人赔偿。4、严</w:t>
      </w:r>
      <w:r>
        <w:rPr>
          <w:rStyle w:val="1373"/>
          <w:rFonts w:hint="eastAsia" w:ascii="仿宋" w:hAnsi="仿宋" w:eastAsia="仿宋" w:cs="仿宋"/>
          <w:sz w:val="24"/>
          <w:szCs w:val="24"/>
          <w:u w:val="single"/>
          <w:lang w:bidi="ar"/>
        </w:rPr>
        <w:t xml:space="preserve">格执行《中华人民共和国安全生产法》、《建设工程安全生产管理条例》（国务院第 393 号令）等相关法律法规、双方签定的《安全施工协议》。承包人应当遵守工程建设安全生产有关管理规定，严格按安全标准组织施工，并随时接受发包人及行业安全检查人员依法实施的监督检查，采取必要的安全防护措施，消除事故隐患。、承包人在施工现场的安全管理、教育和施工范围内发生或因承包人施工活动有关的安全事故由承包人负责处理并承担责任，以上所发生的费用均由承包方承担。5、由承包人按规范施工并对安全生产负全责，除执行通用条款的相关规定外，承包人</w:t>
      </w:r>
      <w:r>
        <w:rPr>
          <w:rStyle w:val="1373"/>
          <w:rFonts w:hint="eastAsia" w:ascii="仿宋" w:hAnsi="仿宋" w:eastAsia="仿宋" w:cs="仿宋"/>
          <w:sz w:val="24"/>
          <w:szCs w:val="24"/>
          <w:u w:val="single"/>
          <w:lang w:bidi="ar"/>
        </w:rPr>
        <w:t xml:space="preserve">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该规定承包人在投标时必须充分考虑，在投标前需根据工程实际和施工时拟釆用的施工方案进行报价，上述内容无论承包人投标时是否在投标报价中单独列支或包含在其他内容中，发包人均认为此项费用已包含在承包人的投标报价和合同价中，在结算时发包人对此项费用不再另行支付。</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6.1.4 关于治安保卫的特别约定：</w:t>
      </w:r>
      <w:r>
        <w:rPr>
          <w:rStyle w:val="1373"/>
          <w:rFonts w:hint="eastAsia" w:ascii="仿宋" w:hAnsi="仿宋" w:eastAsia="仿宋" w:cs="仿宋"/>
          <w:sz w:val="24"/>
          <w:szCs w:val="24"/>
          <w:u w:val="single"/>
          <w:lang w:bidi="ar"/>
        </w:rPr>
        <w:t xml:space="preserve">满足发包人、城管、卫生防疫、环保及有关部门的相关要求。 </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关于编制施工场地治安管理计划的约定：</w:t>
      </w:r>
      <w:r>
        <w:rPr>
          <w:rStyle w:val="1373"/>
          <w:rFonts w:hint="eastAsia" w:ascii="仿宋" w:hAnsi="仿宋" w:eastAsia="仿宋" w:cs="仿宋"/>
          <w:sz w:val="24"/>
          <w:szCs w:val="24"/>
          <w:u w:val="single"/>
          <w:lang w:bidi="ar"/>
        </w:rPr>
        <w:t xml:space="preserve">施工组织设计中必须含有此部分。</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6.1.5 文明施工</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合同当事人对文明施工的要求：</w:t>
      </w:r>
      <w:r>
        <w:rPr>
          <w:rStyle w:val="1373"/>
          <w:rFonts w:hint="eastAsia" w:ascii="仿宋" w:hAnsi="仿宋" w:eastAsia="仿宋" w:cs="仿宋"/>
          <w:sz w:val="24"/>
          <w:szCs w:val="24"/>
          <w:u w:val="single"/>
          <w:lang w:bidi="ar"/>
        </w:rPr>
        <w:t xml:space="preserve">合同当事人对文明施工的要求：一、施工安全：⑴承包人报请监理工程师和发包人代表审批的施工组织设计中应有安全施工方案，要有安全施工管理系统，配备安全</w:t>
      </w:r>
      <w:r>
        <w:rPr>
          <w:rStyle w:val="1373"/>
          <w:rFonts w:hint="eastAsia" w:ascii="仿宋" w:hAnsi="仿宋" w:eastAsia="仿宋" w:cs="仿宋"/>
          <w:sz w:val="24"/>
          <w:szCs w:val="24"/>
          <w:u w:val="single"/>
          <w:lang w:bidi="ar"/>
        </w:rPr>
        <w:t xml:space="preserve">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 三、污水排放：</w:t>
      </w:r>
      <w:r>
        <w:rPr>
          <w:rStyle w:val="1373"/>
          <w:rFonts w:hint="eastAsia" w:ascii="仿宋" w:hAnsi="仿宋" w:eastAsia="仿宋" w:cs="仿宋"/>
          <w:sz w:val="24"/>
          <w:szCs w:val="24"/>
          <w:u w:val="single"/>
          <w:lang w:bidi="ar"/>
        </w:rPr>
        <w:t xml:space="preserve">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文明工地按照相关文件执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6.1.6 关于安全文明施工费支付比例和支付期限的约定：</w:t>
      </w:r>
      <w:r>
        <w:rPr>
          <w:rStyle w:val="1373"/>
          <w:rFonts w:hint="eastAsia" w:ascii="仿宋" w:hAnsi="仿宋" w:eastAsia="仿宋" w:cs="仿宋"/>
          <w:sz w:val="24"/>
          <w:szCs w:val="24"/>
          <w:u w:val="single"/>
          <w:lang w:bidi="ar"/>
        </w:rPr>
        <w:t xml:space="preserve">按进度支付工程款，安全文明施工费不单独支付。在合同履行期间，承包人应采取合理措施保护施工现场环境。对施工作业过程中可能引起的大气、水、噪音以及固体废物污染采取具体可行的防范措施承包人应当承担因其原因引起的环境污染侵权损害赔偿责任，因上述环境污染引起纠纷而导致暂停施工的，由此增加的费用和(或)延误的工期由承包人承担</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7. 工期和进度</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7.1 施工组织设计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7.1.1 合同当事人约定的施工组织设计应包括的其他内容：</w:t>
      </w:r>
      <w:r>
        <w:rPr>
          <w:rStyle w:val="1373"/>
          <w:rFonts w:hint="eastAsia" w:ascii="仿宋" w:hAnsi="仿宋" w:eastAsia="仿宋" w:cs="仿宋"/>
          <w:sz w:val="24"/>
          <w:szCs w:val="24"/>
          <w:u w:val="single"/>
          <w:lang w:bidi="ar"/>
        </w:rPr>
        <w:t xml:space="preserve">承包人应在中标公告发布后7天内编制详细的施工组织设计、总进度计划、材料、设备、人员进场计划、提交发包人及监理工程师审批，总进度计划应满足招标文件和合同对工期的要求，如有违反支1万元人民币违约金，违约金发包人有权优先从工程款中直接扣除</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7.1.2 施工组织设计的提交和修改</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承包人提交详细施工组织设计的期限的约定：</w:t>
      </w:r>
      <w:r>
        <w:rPr>
          <w:rStyle w:val="1373"/>
          <w:rFonts w:hint="eastAsia" w:ascii="仿宋" w:hAnsi="仿宋" w:eastAsia="仿宋" w:cs="仿宋"/>
          <w:sz w:val="24"/>
          <w:szCs w:val="24"/>
          <w:u w:val="single"/>
          <w:lang w:bidi="ar"/>
        </w:rPr>
        <w:t xml:space="preserve">收到资料后7天内。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发包人和监理人在收到详细的施工组织设计后确认或提出修改意见的期限：</w:t>
      </w:r>
      <w:r>
        <w:rPr>
          <w:rStyle w:val="1373"/>
          <w:rFonts w:hint="eastAsia" w:ascii="仿宋" w:hAnsi="仿宋" w:eastAsia="仿宋" w:cs="仿宋"/>
          <w:sz w:val="24"/>
          <w:szCs w:val="24"/>
          <w:u w:val="single"/>
          <w:lang w:bidi="ar"/>
        </w:rPr>
        <w:t xml:space="preserve">收到资料后3天内。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7.2 施工进度计划</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7.2.2 施工进度计划的修订</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发包人和监理人在收到修订的施工进度计划后确认或提出修改意见的期限：</w:t>
      </w:r>
      <w:r>
        <w:rPr>
          <w:rStyle w:val="1373"/>
          <w:rFonts w:hint="eastAsia" w:ascii="仿宋" w:hAnsi="仿宋" w:eastAsia="仿宋" w:cs="仿宋"/>
          <w:sz w:val="24"/>
          <w:szCs w:val="24"/>
          <w:u w:val="single"/>
          <w:lang w:bidi="ar"/>
        </w:rPr>
        <w:t xml:space="preserve">收到资料后3天内。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7.3 开工</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7.3.1 开工准备</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关于承包人提交工程开工报审表的期限：</w:t>
      </w:r>
      <w:r>
        <w:rPr>
          <w:rStyle w:val="1373"/>
          <w:rFonts w:hint="eastAsia" w:ascii="仿宋" w:hAnsi="仿宋" w:eastAsia="仿宋" w:cs="仿宋"/>
          <w:sz w:val="24"/>
          <w:szCs w:val="24"/>
          <w:u w:val="single"/>
          <w:lang w:bidi="ar"/>
        </w:rPr>
        <w:t xml:space="preserve">按通用条款执行。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关于发包人应完成的其他开工准备工作及期限：</w:t>
      </w:r>
      <w:r>
        <w:rPr>
          <w:rStyle w:val="1373"/>
          <w:rFonts w:hint="eastAsia" w:ascii="仿宋" w:hAnsi="仿宋" w:eastAsia="仿宋" w:cs="仿宋"/>
          <w:sz w:val="24"/>
          <w:szCs w:val="24"/>
          <w:u w:val="single"/>
          <w:lang w:bidi="ar"/>
        </w:rPr>
        <w:t xml:space="preserve">按通用条款执行。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关于承包人应完成的其他开工准备工作及期限：</w:t>
      </w:r>
      <w:r>
        <w:rPr>
          <w:rStyle w:val="1373"/>
          <w:rFonts w:hint="eastAsia" w:ascii="仿宋" w:hAnsi="仿宋" w:eastAsia="仿宋" w:cs="仿宋"/>
          <w:sz w:val="24"/>
          <w:szCs w:val="24"/>
          <w:u w:val="single"/>
          <w:lang w:bidi="ar"/>
        </w:rPr>
        <w:t xml:space="preserve">按通用条款执行。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7.3.2开工通知</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因发包人原因造成监理人未能在计划开工日期之日起</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天内发出开工通知的，承包人有权提出价格调整要求，或者解除合同。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7.4 测量放线</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7.4.1发包人通过监理人向承包人提供测量基准点、基准线和水准点及其书面资料的期限：</w:t>
      </w:r>
      <w:r>
        <w:rPr>
          <w:rStyle w:val="1373"/>
          <w:rFonts w:hint="eastAsia" w:ascii="仿宋" w:hAnsi="仿宋" w:eastAsia="仿宋" w:cs="仿宋"/>
          <w:sz w:val="24"/>
          <w:szCs w:val="24"/>
          <w:u w:val="single"/>
          <w:lang w:bidi="ar"/>
        </w:rPr>
        <w:t xml:space="preserve">发出开工通知后7天内。在开始施工之前，承包人应核查、复测本工程的各种基准标志。承包人应及时将上述基准标志中存在的错误、不完整或其他缺陷通知发包人，以便发包人核实后重新确认。</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7.5 工期延误</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7.5.1 因发包人原因导致工期延误</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（1）因发包人原因导致工期延误的其他情形：</w:t>
      </w:r>
      <w:r>
        <w:rPr>
          <w:rStyle w:val="1373"/>
          <w:rFonts w:hint="eastAsia" w:ascii="仿宋" w:hAnsi="仿宋" w:eastAsia="仿宋" w:cs="仿宋"/>
          <w:sz w:val="24"/>
          <w:szCs w:val="24"/>
          <w:u w:val="single"/>
          <w:lang w:bidi="ar"/>
        </w:rPr>
        <w:t xml:space="preserve">由于发包人的原因和非承包人的责任停工的，工期顺延，因遇雨雪天气但不足以影响施工的工期不顺延。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7.5.2 因承包人原因导致工期延误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因承包人原因造成工期延误，逾期竣工违约金的计算方法为：</w:t>
      </w:r>
      <w:r>
        <w:rPr>
          <w:rStyle w:val="1373"/>
          <w:rFonts w:hint="eastAsia" w:ascii="仿宋" w:hAnsi="仿宋" w:eastAsia="仿宋" w:cs="仿宋"/>
          <w:sz w:val="24"/>
          <w:szCs w:val="24"/>
          <w:u w:val="single"/>
          <w:lang w:bidi="ar"/>
        </w:rPr>
        <w:t xml:space="preserve">当承包人施工进度明显无法达到原定计划标准时，发包人有权提出更换项目负责人，且每延误一天支付违约金50000元，延误五天（含）以上支付合同价的10%作为违约金，同时发包人有权终止合同，并要求承包人赔偿损失，违约金上限不超过合同价款的20%。合同解除后，发包人可派员进驻施工场地，另行组织人员或委托其他承包人施工。</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7.6 不利物质条件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不利物质条件的其他情形和有关约定：</w:t>
      </w:r>
      <w:r>
        <w:rPr>
          <w:rStyle w:val="1373"/>
          <w:rFonts w:hint="eastAsia" w:ascii="仿宋" w:hAnsi="仿宋" w:eastAsia="仿宋" w:cs="仿宋"/>
          <w:sz w:val="24"/>
          <w:szCs w:val="24"/>
          <w:u w:val="single"/>
          <w:lang w:bidi="ar"/>
        </w:rPr>
        <w:t xml:space="preserve"> 按通用条款执行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7.7异常恶劣的气候条件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发包人和承包人同意以下情形视为异常恶劣的气候条件：</w:t>
      </w:r>
      <w:r/>
    </w:p>
    <w:p>
      <w:pPr>
        <w:numPr>
          <w:ilvl w:val="0"/>
          <w:numId w:val="10"/>
        </w:num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风力达到或超过8级的天气现象；地震震级达到5级及以上的自然现象等；</w:t>
      </w:r>
      <w:r/>
    </w:p>
    <w:p>
      <w:pPr>
        <w:numPr>
          <w:ilvl w:val="0"/>
          <w:numId w:val="10"/>
        </w:num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日降水量大于80mm且降水持续三日的天气现象；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是否发生上述气候条件情形，以宿迁市市级权威部门发布的最新资料为准。</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7.8提前竣工的奖励</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7.8.2提前竣工的奖励：</w:t>
      </w:r>
      <w:r>
        <w:rPr>
          <w:rStyle w:val="1373"/>
          <w:rFonts w:hint="eastAsia" w:ascii="仿宋" w:hAnsi="仿宋" w:eastAsia="仿宋" w:cs="仿宋"/>
          <w:sz w:val="24"/>
          <w:szCs w:val="24"/>
          <w:u w:val="single"/>
          <w:lang w:bidi="ar"/>
        </w:rPr>
        <w:t xml:space="preserve">无奖励</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8. 材料与设备</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8.1材料与工程设备的保管与使用</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8.1.1发包人供应的材料设备的保管费用的承担：</w:t>
      </w:r>
      <w:r>
        <w:rPr>
          <w:rStyle w:val="1373"/>
          <w:rFonts w:hint="eastAsia" w:ascii="仿宋" w:hAnsi="仿宋" w:eastAsia="仿宋" w:cs="仿宋"/>
          <w:sz w:val="24"/>
          <w:szCs w:val="24"/>
          <w:u w:val="single"/>
          <w:lang w:bidi="ar"/>
        </w:rPr>
        <w:t xml:space="preserve">由承包人承担</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8.2 样品</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8.2.1 样品的报送与封存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需要承包人报送样品的材料或工程设备，样品的种类、名称、规格、数量要求：</w:t>
      </w:r>
      <w:r>
        <w:rPr>
          <w:rStyle w:val="1373"/>
          <w:rFonts w:hint="eastAsia" w:ascii="仿宋" w:hAnsi="仿宋" w:eastAsia="仿宋" w:cs="仿宋"/>
          <w:sz w:val="24"/>
          <w:szCs w:val="24"/>
          <w:u w:val="single"/>
          <w:lang w:bidi="ar"/>
        </w:rPr>
        <w:t xml:space="preserve">符合图纸设计、工程量清单等相关规范要求，所有材料使用前必须经过发包人和监理单位共同确认，封样留样。凡是不留样封存的，每一种材料向发包人支付违约金2万元整。承包人应保证进场材料与样品一致。承包人按合同约定和发包人指示，进行材料的抽样检验和设备的检验测试，检验和测试结果应提交发包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8.3施工设备和临时设施</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8.3.1 承包人提供的施工设备和临时设施</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关于修建临时设施费用承担的约定：</w:t>
      </w:r>
      <w:r>
        <w:rPr>
          <w:rStyle w:val="1373"/>
          <w:rFonts w:hint="eastAsia" w:ascii="仿宋" w:hAnsi="仿宋" w:eastAsia="仿宋" w:cs="仿宋"/>
          <w:sz w:val="24"/>
          <w:szCs w:val="24"/>
          <w:u w:val="single"/>
          <w:lang w:bidi="ar"/>
        </w:rPr>
        <w:t xml:space="preserve">由承包人自行承担。</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9. 试验与检验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9.1试验设备与试验人员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9.1.1 试验设备</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施工现场需要配置的试验场所：</w:t>
      </w:r>
      <w:r>
        <w:rPr>
          <w:rStyle w:val="1373"/>
          <w:rFonts w:hint="eastAsia" w:ascii="仿宋" w:hAnsi="仿宋" w:eastAsia="仿宋" w:cs="仿宋"/>
          <w:sz w:val="24"/>
          <w:szCs w:val="24"/>
          <w:u w:val="single"/>
          <w:lang w:bidi="ar"/>
        </w:rPr>
        <w:t xml:space="preserve">执行通用条款，施工项目部现场</w:t>
      </w:r>
      <w:r>
        <w:rPr>
          <w:rStyle w:val="1373"/>
          <w:rFonts w:hint="eastAsia" w:ascii="仿宋" w:hAnsi="仿宋" w:eastAsia="仿宋" w:cs="仿宋"/>
          <w:sz w:val="24"/>
          <w:szCs w:val="24"/>
          <w:lang w:bidi="ar"/>
        </w:rPr>
        <w:t xml:space="preserve">。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施工现场需要配备的试验设备：</w:t>
      </w:r>
      <w:r>
        <w:rPr>
          <w:rStyle w:val="1373"/>
          <w:rFonts w:hint="eastAsia" w:ascii="仿宋" w:hAnsi="仿宋" w:eastAsia="仿宋" w:cs="仿宋"/>
          <w:sz w:val="24"/>
          <w:szCs w:val="24"/>
          <w:u w:val="single"/>
          <w:lang w:bidi="ar"/>
        </w:rPr>
        <w:t xml:space="preserve">执行通用条款</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施工现场需要具备的其他试验条件：</w:t>
      </w:r>
      <w:r>
        <w:rPr>
          <w:rStyle w:val="1373"/>
          <w:rFonts w:hint="eastAsia" w:ascii="仿宋" w:hAnsi="仿宋" w:eastAsia="仿宋" w:cs="仿宋"/>
          <w:sz w:val="24"/>
          <w:szCs w:val="24"/>
          <w:u w:val="single"/>
          <w:lang w:bidi="ar"/>
        </w:rPr>
        <w:t xml:space="preserve">执行通用条款，满足现场工程需要</w:t>
      </w:r>
      <w:r>
        <w:rPr>
          <w:rStyle w:val="1373"/>
          <w:rFonts w:hint="eastAsia" w:ascii="仿宋" w:hAnsi="仿宋" w:eastAsia="仿宋" w:cs="仿宋"/>
          <w:sz w:val="24"/>
          <w:szCs w:val="24"/>
          <w:lang w:bidi="ar"/>
        </w:rPr>
        <w:t xml:space="preserve">。</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9.2 现场工艺试验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现场工艺试验的有关约定：</w:t>
      </w:r>
      <w:r>
        <w:rPr>
          <w:rStyle w:val="1373"/>
          <w:rFonts w:hint="eastAsia" w:ascii="仿宋" w:hAnsi="仿宋" w:eastAsia="仿宋" w:cs="仿宋"/>
          <w:sz w:val="24"/>
          <w:szCs w:val="24"/>
          <w:u w:val="single"/>
          <w:lang w:bidi="ar"/>
        </w:rPr>
        <w:t xml:space="preserve">  按通用条款执行  </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10. 变更</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10.1变更的范围</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关于变更的范围的约定：</w:t>
      </w:r>
      <w:r>
        <w:rPr>
          <w:rStyle w:val="1373"/>
          <w:rFonts w:hint="eastAsia" w:ascii="仿宋" w:hAnsi="仿宋" w:eastAsia="仿宋" w:cs="仿宋"/>
          <w:sz w:val="24"/>
          <w:szCs w:val="24"/>
          <w:u w:val="single"/>
          <w:lang w:bidi="ar"/>
        </w:rPr>
        <w:t xml:space="preserve">1、设计变更需有设计单位的设计变更通知单，并经发包人现场负责人签字并由单位盖章。2、现场签证应在签证事件发生后三日内由承包人申报，签证时须附对应签证部位的现场照片及图示尺寸等、详细计算说明书，要求施工单位、建设单位、代建单位、监理单位、跟踪审计单位五方代表在场，必须在7日历天内将量、价申请报告经各方（施工单位、建设单位、代建单位、监理单位、跟踪审计单位）共同同意并签</w:t>
      </w:r>
      <w:r>
        <w:rPr>
          <w:rStyle w:val="1373"/>
          <w:rFonts w:hint="eastAsia" w:ascii="仿宋" w:hAnsi="仿宋" w:eastAsia="仿宋" w:cs="仿宋"/>
          <w:sz w:val="24"/>
          <w:szCs w:val="24"/>
          <w:u w:val="single"/>
          <w:lang w:bidi="ar"/>
        </w:rPr>
        <w:t xml:space="preserve">字盖章确认方可有效；若承包人在三日内未报：若是增加金额，则视为放弃，不再计入结算中；若是减少金额无论承包人是否申报，则在结算金额及付款时扣减。签证单上应明确签证的原因及工程量等相关内容，必须连续编号，无编号的签证不予结算。3、承包人不得对原有工程设计进行变更，因承包人自身原因导致的工程变更，承包人无权要求追加合同价款的签证，并承担由此给发包人带来的一切损失。4、因工程设计变更和工程量的增加，承包人提出顺延工期的，需双方协商解决。5、因设计变更或其他等原因导致取消相应工作内容的，承包人应无条件服从发包人安排。</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10.2 变更估价</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10.2.1 变更估价原则</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关于变更估价的约定:</w:t>
      </w:r>
      <w:r>
        <w:rPr>
          <w:rStyle w:val="1373"/>
          <w:rFonts w:hint="eastAsia" w:ascii="仿宋" w:hAnsi="仿宋" w:eastAsia="仿宋" w:cs="仿宋"/>
          <w:sz w:val="24"/>
          <w:szCs w:val="24"/>
          <w:u w:val="single"/>
          <w:lang w:bidi="ar"/>
        </w:rPr>
        <w:t xml:space="preserve">（1）已标价工程量清单或预算书有相同项目的，按照相同项目单价认定；（2）已标价工程量清单或预算书中无相同项目，但有类似项目的，参照类似项目的单价认定；仅作主要材料变换的，也仅对变更后发包人方指定产品的招标价差部分进行调整后并入结算价（含相关税费）；（3）当应予计算的实际工程量与招标工程量清单出现偏差（包括因工程变更等原因导致的工程量偏差）超过15%的，对综合单价的调整原则为：当工程量增加15%以上时，其</w:t>
      </w:r>
      <w:r>
        <w:rPr>
          <w:rStyle w:val="1373"/>
          <w:rFonts w:hint="eastAsia" w:ascii="仿宋" w:hAnsi="仿宋" w:eastAsia="仿宋" w:cs="仿宋"/>
          <w:sz w:val="24"/>
          <w:szCs w:val="24"/>
          <w:u w:val="single"/>
          <w:lang w:bidi="ar"/>
        </w:rPr>
        <w:t xml:space="preserve">增加部分的工程量的综合单价应予调低；当工程量减少15%以上时，减少后剩余部分的工程量的综合单价应予调高；调整办法参照2013清单规范及相关文件参考。（4）已标价工程量清单或预算书中无相同项目及类似项目单价的：a依据报价中相应的人工、材料、机械价格及费用计取标准计算组成新增项目的结算价；b对于报价中相关价格、标准混乱或无法鉴别的，则按编制工程招标控制价相同的标准计算新增项目的预算价，以预算价下浮后【下浮率= (1-中标价/招标控制价)×100%，不含暂估价材料、暂列金额、专业工程暂估价】确定新增项目的结算价。</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10.3承包人的合理化建议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监理人审查承包人合理化建议的期限：</w:t>
      </w:r>
      <w:r>
        <w:rPr>
          <w:rStyle w:val="1373"/>
          <w:rFonts w:hint="eastAsia" w:ascii="仿宋" w:hAnsi="仿宋" w:eastAsia="仿宋" w:cs="仿宋"/>
          <w:sz w:val="24"/>
          <w:szCs w:val="24"/>
          <w:u w:val="single"/>
          <w:lang w:bidi="ar"/>
        </w:rPr>
        <w:t xml:space="preserve">监理人应在收到承包人提交的合理化建议后2天内审查完毕并报送发包人</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发包人审批承包人合理化建议的期限：</w:t>
      </w:r>
      <w:r>
        <w:rPr>
          <w:rStyle w:val="1373"/>
          <w:rFonts w:hint="eastAsia" w:ascii="仿宋" w:hAnsi="仿宋" w:eastAsia="仿宋" w:cs="仿宋"/>
          <w:sz w:val="24"/>
          <w:szCs w:val="24"/>
          <w:u w:val="single"/>
          <w:lang w:bidi="ar"/>
        </w:rPr>
        <w:t xml:space="preserve">监理人应在收到承包人提交的合理化建议后2天内审查完毕并报送发包人</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承包人提出的合理化建议降低了合同价格或者提高了工程经济效益的奖励的方法和金额为：</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10.4 暂估价</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暂估价材料和工程设备的明细详见附件 11：《暂估价一览表》。</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10.7.1 依法必须招标的暂估价项目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对于依法必须招标的暂估价项目的确认和批准采取第</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种方式确定。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10.7.2 不属于依法必须招标的暂估价项目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对于不属于依法必须招标的暂估价项目的确认和批准采取第</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种方式确定。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第3种方式：承包人直接实施的暂估价项目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承包人直接实施的暂估价项目的约定：</w:t>
      </w:r>
      <w:r>
        <w:rPr>
          <w:rStyle w:val="1373"/>
          <w:rFonts w:hint="eastAsia" w:ascii="仿宋" w:hAnsi="仿宋" w:eastAsia="仿宋" w:cs="仿宋"/>
          <w:sz w:val="24"/>
          <w:szCs w:val="24"/>
          <w:u w:val="single"/>
          <w:lang w:bidi="ar"/>
        </w:rPr>
        <w:t xml:space="preserve">经发包人同意后，由承包人实施</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10.8暂列金额</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合同当事人关于暂列金额使用的约定：</w:t>
      </w:r>
      <w:r>
        <w:rPr>
          <w:rStyle w:val="1373"/>
          <w:rFonts w:hint="eastAsia" w:ascii="仿宋" w:hAnsi="仿宋" w:eastAsia="仿宋" w:cs="仿宋"/>
          <w:sz w:val="24"/>
          <w:szCs w:val="24"/>
          <w:u w:val="single"/>
          <w:lang w:bidi="ar"/>
        </w:rPr>
        <w:t xml:space="preserve">由发包人自行决定是否使用，与承包人无关</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11. 价格调整</w:t>
      </w:r>
      <w:r/>
    </w:p>
    <w:p>
      <w:pPr>
        <w:ind w:firstLine="480"/>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11.1 市场价格波动引起的调整</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市场价格波动是否调整合同价格的约定：</w:t>
      </w:r>
      <w:r>
        <w:rPr>
          <w:rStyle w:val="1373"/>
          <w:rFonts w:hint="eastAsia" w:ascii="仿宋" w:hAnsi="仿宋" w:eastAsia="仿宋" w:cs="仿宋"/>
          <w:sz w:val="24"/>
          <w:szCs w:val="24"/>
          <w:u w:val="single"/>
          <w:lang w:bidi="ar"/>
        </w:rPr>
        <w:t xml:space="preserve">主材不予以调整</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11.2 施工期间市场性调整造成的人工、材料、机械等价格上下浮动，承包人可以或者应该预见的风险、符合行业惯例的其他费用以及招标明确的其他风险等均由承包人自行承担。因承包人管理不善等原因引起的费用增加及为方便施工而增加的费用均由承包人承担。</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12. 合同价格、计量与支付</w:t>
      </w:r>
      <w:r/>
    </w:p>
    <w:p>
      <w:pPr>
        <w:ind w:firstLine="480"/>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12.1 合同价格形式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1、单价合同。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综合单价包含的风险范围：</w:t>
      </w:r>
      <w:r>
        <w:rPr>
          <w:rStyle w:val="1373"/>
          <w:rFonts w:hint="eastAsia" w:ascii="仿宋" w:hAnsi="仿宋" w:eastAsia="仿宋" w:cs="仿宋"/>
          <w:sz w:val="24"/>
          <w:szCs w:val="24"/>
          <w:u w:val="single"/>
          <w:lang w:bidi="ar"/>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承包人现场勘察并结合《地勘报告》 ，已充分考虑工程所在地水文、地貌及周边环境和施工期气象等情况自行编制降水、排水方案、高压线防护、深基坑支护等费用，后期结算不予调整</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风险费用的计算方法：</w:t>
      </w:r>
      <w:r>
        <w:rPr>
          <w:rStyle w:val="1373"/>
          <w:rFonts w:hint="eastAsia" w:ascii="仿宋" w:hAnsi="仿宋" w:eastAsia="仿宋" w:cs="仿宋"/>
          <w:sz w:val="24"/>
          <w:szCs w:val="24"/>
          <w:u w:val="single"/>
          <w:lang w:bidi="ar"/>
        </w:rPr>
        <w:t xml:space="preserve">已含在合同价内，不予调整</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风险范围以外合同价格的调整方法：</w:t>
      </w:r>
      <w:r>
        <w:rPr>
          <w:rStyle w:val="1373"/>
          <w:rFonts w:hint="eastAsia" w:ascii="仿宋" w:hAnsi="仿宋" w:eastAsia="仿宋" w:cs="仿宋"/>
          <w:sz w:val="24"/>
          <w:szCs w:val="24"/>
          <w:u w:val="single"/>
          <w:lang w:bidi="ar"/>
        </w:rPr>
        <w:t xml:space="preserve">1、项目招标工程量清单错、漏项，结算时按实调整；设计变更、发包方和监理方均认可的签证（含合同以外的零星工作或发生非承包人责任事件的工程量调整）2、国家出台政策性文件，按政策性文件执行</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双方约定合同价款的其他调整因素：</w:t>
      </w:r>
      <w:r>
        <w:rPr>
          <w:rStyle w:val="1373"/>
          <w:rFonts w:hint="eastAsia" w:ascii="仿宋" w:hAnsi="仿宋" w:eastAsia="仿宋" w:cs="仿宋"/>
          <w:sz w:val="24"/>
          <w:szCs w:val="24"/>
          <w:u w:val="single"/>
          <w:lang w:bidi="ar"/>
        </w:rPr>
        <w:t xml:space="preserve">A、由发包人签发的设计变更、现场签证、图纸会审纪要和洽商记录中有关牵涉到工程造价变化的部分，均按工程变更考虑。B、招标图纸以外发包人委托承包人施工的其它工程内容按新增加的工程项目计算；C、工程量清单、工程量清单编制说明、洽商记录及约定的材料暂估价项目</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2、总价合同。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总价包含的风险范围：</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风险费用的计算方法：</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风险范围以外合同价格的调整方法：</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3、其他价格方式：</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12.2 预付款</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color w:val="auto"/>
          <w:sz w:val="24"/>
          <w:szCs w:val="24"/>
          <w:u w:val="single"/>
          <w:lang w:bidi="ar"/>
        </w:rPr>
        <w:t xml:space="preserve"> </w:t>
      </w:r>
      <w:r>
        <w:rPr>
          <w:rStyle w:val="1373"/>
          <w:rFonts w:hint="eastAsia" w:ascii="仿宋" w:hAnsi="仿宋" w:eastAsia="仿宋" w:cs="仿宋"/>
          <w:color w:val="auto"/>
          <w:sz w:val="24"/>
          <w:szCs w:val="24"/>
          <w:u w:val="single"/>
          <w:lang w:eastAsia="zh-CN" w:bidi="ar"/>
        </w:rPr>
        <w:t xml:space="preserve">无预付款</w:t>
      </w:r>
      <w:r>
        <w:rPr>
          <w:rStyle w:val="1373"/>
          <w:rFonts w:hint="eastAsia" w:ascii="仿宋" w:hAnsi="仿宋" w:eastAsia="仿宋" w:cs="仿宋"/>
          <w:color w:val="auto"/>
          <w:sz w:val="24"/>
          <w:szCs w:val="24"/>
          <w:u w:val="single"/>
          <w:lang w:bidi="ar"/>
        </w:rPr>
        <w:t xml:space="preserve">  </w:t>
      </w:r>
      <w:r>
        <w:rPr>
          <w:rStyle w:val="1373"/>
          <w:rFonts w:hint="eastAsia" w:ascii="仿宋" w:hAnsi="仿宋" w:eastAsia="仿宋" w:cs="仿宋"/>
          <w:color w:val="auto"/>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 计量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12.3.1 计量原则</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工程量计算规则：</w:t>
      </w:r>
      <w:r>
        <w:rPr>
          <w:rStyle w:val="1373"/>
          <w:rFonts w:hint="eastAsia" w:ascii="仿宋" w:hAnsi="仿宋" w:eastAsia="仿宋" w:cs="仿宋"/>
          <w:sz w:val="24"/>
          <w:szCs w:val="24"/>
          <w:u w:val="single"/>
          <w:lang w:bidi="ar"/>
        </w:rPr>
        <w:t xml:space="preserve">工程的计量均以《建设工程工程量清单计价规范（GB50500--2013)及江苏省、市相关计价规定执行。</w:t>
      </w:r>
      <w:r/>
    </w:p>
    <w:p>
      <w:pPr>
        <w:ind w:firstLine="480"/>
        <w:jc w:val="lef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12.3.2 计量周期</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关于计量周期的约定：</w:t>
      </w:r>
      <w:r>
        <w:rPr>
          <w:rStyle w:val="1373"/>
          <w:rFonts w:hint="eastAsia" w:ascii="仿宋" w:hAnsi="仿宋" w:eastAsia="仿宋" w:cs="仿宋"/>
          <w:sz w:val="24"/>
          <w:szCs w:val="24"/>
          <w:u w:val="single"/>
          <w:lang w:bidi="ar"/>
        </w:rPr>
        <w:t xml:space="preserve"> 每月25日前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12.3.3 单价合同的计量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关于单价合同计量的约定：</w:t>
      </w:r>
      <w:r>
        <w:rPr>
          <w:rStyle w:val="1373"/>
          <w:rFonts w:hint="eastAsia" w:ascii="仿宋" w:hAnsi="仿宋" w:eastAsia="仿宋" w:cs="仿宋"/>
          <w:sz w:val="24"/>
          <w:szCs w:val="24"/>
          <w:u w:val="single"/>
          <w:lang w:bidi="ar"/>
        </w:rPr>
        <w:t xml:space="preserve">（1）工程量清单所列的工程量，不能作为承包人按合同履行其责任依据，实际施工中发生的工程量增加或减少并不影响承包人履行合同的责任，工程结算以完成的实际工程量为准。（2）除另有规定外，跟踪审计及相关计价人员应按照合同通过计量来核实确定已完成的工程量和价款，承包人应得到该价款扣除保留金后的金额，当发包人、监理人、跟踪审计对已完工的工程量进行计量时，应适时地通知承包人</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12.3.4 总价合同的计量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关于总价合同计量的约定：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12.3.5总价合同采用支付分解表计量支付的，是否适用第12.3.4项〔总价合同的计量〕约定进行计量：</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12.3.6 其他价格形式合同的计量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其他价格形式的计量方式和程序：</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12.4 工程进度款支付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12.4.1 付款周期</w:t>
      </w:r>
      <w:r/>
    </w:p>
    <w:p>
      <w:pPr>
        <w:ind w:firstLine="480"/>
        <w:spacing w:line="360" w:lineRule="exact"/>
        <w:widowControl/>
        <w:rPr>
          <w:rFonts w:hint="eastAsia" w:ascii="仿宋" w:hAnsi="仿宋" w:eastAsia="仿宋" w:cs="仿宋"/>
          <w:color w:val="ff0000"/>
          <w:sz w:val="24"/>
          <w:szCs w:val="24"/>
        </w:rPr>
      </w:pPr>
      <w:r>
        <w:rPr>
          <w:rStyle w:val="1373"/>
          <w:rFonts w:hint="eastAsia" w:ascii="仿宋" w:hAnsi="仿宋" w:eastAsia="仿宋" w:cs="仿宋"/>
          <w:color w:val="auto"/>
          <w:sz w:val="24"/>
          <w:szCs w:val="24"/>
          <w:lang w:bidi="ar"/>
        </w:rPr>
        <w:t xml:space="preserve">关于付款周期的约定：</w:t>
      </w:r>
      <w:r>
        <w:rPr>
          <w:rFonts w:hint="eastAsia" w:ascii="仿宋" w:hAnsi="仿宋" w:eastAsia="仿宋" w:cs="仿宋"/>
          <w:color w:val="auto"/>
          <w:sz w:val="24"/>
          <w:szCs w:val="24"/>
          <w:u w:val="single"/>
          <w:lang w:bidi="ar"/>
        </w:rPr>
        <w:t xml:space="preserve">项目施工完毕经验收合格，乙方将3%质量保证金汇到采购人指定账户，甲方支付完工程结算价</w:t>
      </w:r>
      <w:r>
        <w:rPr>
          <w:rFonts w:hint="eastAsia" w:ascii="仿宋" w:hAnsi="仿宋" w:eastAsia="仿宋" w:cs="仿宋"/>
          <w:color w:val="auto"/>
          <w:sz w:val="24"/>
          <w:szCs w:val="24"/>
          <w:u w:val="single"/>
          <w:lang w:val="en-US" w:eastAsia="zh-CN" w:bidi="ar"/>
        </w:rPr>
        <w:t xml:space="preserve">100%</w:t>
      </w:r>
      <w:r>
        <w:rPr>
          <w:rFonts w:hint="eastAsia" w:ascii="仿宋" w:hAnsi="仿宋" w:eastAsia="仿宋" w:cs="仿宋"/>
          <w:color w:val="auto"/>
          <w:sz w:val="24"/>
          <w:szCs w:val="24"/>
          <w:u w:val="single"/>
          <w:lang w:bidi="ar"/>
        </w:rPr>
        <w:t xml:space="preserve">，质量保证金待质保期满后无问题一次性付清（无息）</w:t>
      </w:r>
      <w:r>
        <w:rPr>
          <w:rStyle w:val="1373"/>
          <w:rFonts w:hint="eastAsia" w:ascii="仿宋" w:hAnsi="仿宋" w:eastAsia="仿宋" w:cs="仿宋"/>
          <w:color w:val="auto"/>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关于付款的相关要求：</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a、</w:t>
      </w:r>
      <w:r>
        <w:rPr>
          <w:rStyle w:val="1373"/>
          <w:rFonts w:hint="eastAsia" w:ascii="仿宋" w:hAnsi="仿宋" w:eastAsia="仿宋" w:cs="仿宋"/>
          <w:sz w:val="24"/>
          <w:szCs w:val="24"/>
          <w:u w:val="single"/>
          <w:lang w:bidi="ar"/>
        </w:rPr>
        <w:t xml:space="preserve">发包人有权按合同规定直接从工程款中扣除承包人的违约金；施工过程中工程款的支付，必须经发包人项目负责人，总监理工程师签发付款证书，在经过发包人确认后方可支付</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b、</w:t>
      </w:r>
      <w:r>
        <w:rPr>
          <w:rStyle w:val="1373"/>
          <w:rFonts w:hint="eastAsia" w:ascii="仿宋" w:hAnsi="仿宋" w:eastAsia="仿宋" w:cs="仿宋"/>
          <w:sz w:val="24"/>
          <w:szCs w:val="24"/>
          <w:u w:val="single"/>
          <w:lang w:bidi="ar"/>
        </w:rPr>
        <w:t xml:space="preserve">所有款项的支付应提出申请，并附相关证明材料，经发包人审核后方可办理支付手续。每次支付时，承包人均需提供实际支付金额等额的增值税专用发票，承包人提供的发票必须合法、合规，如因发票存在的违规行为造成损失，承包人应该承担违约责任</w:t>
      </w:r>
      <w:r>
        <w:rPr>
          <w:rStyle w:val="1373"/>
          <w:rFonts w:hint="eastAsia" w:ascii="仿宋" w:hAnsi="仿宋" w:eastAsia="仿宋" w:cs="仿宋"/>
          <w:sz w:val="24"/>
          <w:szCs w:val="24"/>
          <w:lang w:bidi="ar"/>
        </w:rPr>
        <w:t xml:space="preserve">。</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c、其他：</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（1）上述工程款支付的金额均为扣除甲供材、专业工程暂估价、暂列金额及其他属于发包人款项的价格。</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发包人支付给承包人的工程进度款，承包人只能用于与本工程相关的劳力、材料、机械等费用，对承包人在施工期间拖欠材料供应商材料费造成严重影响的，发包人有权从工程款中直接支付。如工程进度款用于支付与本工程无关的费用，发包人有权选择停止支付工程款, 并由承包人支付该合同总价2%的违约金。</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承包人必须按发包人要求优先支付工人工资，并按发包人要求填写工程款及工人工资发放情况表，否则，发包人有权选择停止支付工程款，并由承包人支付该合同总价2%或实际拖欠农民工工资总额2倍的违约金。</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（4）在下列情况下，发包人有权暂时停止支付工程款，直至承包人解决问题：</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1）承包人工程进度落后合同进度计划达十四天以上, 发包人有权暂扣应付工程进度款的 10-50%，在承包人采取措施赶回工期后，下期再补回暂扣的工程进度款；</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2）承包人工程质量未达到合同约定标准；</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3）承包人无正当理由故意拒绝或拖延执行发包人代表的指示；</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4）工地未符合标化文明施工要求；</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5）发生与工人工资纠纷、拖欠农民工工资的有关事件。承包人保证及时给工人结算、支付工人工资。如因拖欠工人工资引起工人信访、诉讼等群体性事件，发包人将追究项目负责人管理责任，同时解除合同，并有权按工程最终决算审计价款的5%扣除承包人工程款作为承包人应付的违约金。</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6）工程资料没有与工程形象进度及其他合同约定资料同步提交；</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u w:val="single"/>
          <w:lang w:bidi="ar"/>
        </w:rPr>
        <w:t xml:space="preserve">7）发生安全事故，引起或可能引起发包人承担赔偿责任或连带责任</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12.4.2 进度付款申请单的编制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关于进度付款申请单编制的约定：</w:t>
      </w:r>
      <w:r>
        <w:rPr>
          <w:rStyle w:val="1373"/>
          <w:rFonts w:hint="eastAsia" w:ascii="仿宋" w:hAnsi="仿宋" w:eastAsia="仿宋" w:cs="仿宋"/>
          <w:sz w:val="24"/>
          <w:szCs w:val="24"/>
          <w:u w:val="single"/>
          <w:lang w:bidi="ar"/>
        </w:rPr>
        <w:t xml:space="preserve">符合财政部门的规定，一式陆份</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12.4.3 进度付款申请单的提交</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（1）单价合同进度付款申请单提交的约定：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（2）总价合同进度付款申请单提交的约定：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（3）其他价格形式合同进度付款申请单提交的约定：</w:t>
      </w:r>
      <w:r>
        <w:rPr>
          <w:rStyle w:val="1373"/>
          <w:rFonts w:hint="eastAsia" w:ascii="仿宋" w:hAnsi="仿宋" w:eastAsia="仿宋" w:cs="仿宋"/>
          <w:sz w:val="24"/>
          <w:szCs w:val="24"/>
          <w:u w:val="single"/>
          <w:lang w:bidi="ar"/>
        </w:rPr>
        <w:t xml:space="preserve">   待定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12.4.4 进度款审核和支付                                                                                                                                                                                                                                       </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（1）监理人审查并报送发包人的期限：</w:t>
      </w:r>
      <w:r>
        <w:rPr>
          <w:rStyle w:val="1373"/>
          <w:rFonts w:hint="eastAsia" w:ascii="仿宋" w:hAnsi="仿宋" w:eastAsia="仿宋" w:cs="仿宋"/>
          <w:sz w:val="24"/>
          <w:szCs w:val="24"/>
          <w:u w:val="single"/>
          <w:lang w:bidi="ar"/>
        </w:rPr>
        <w:t xml:space="preserve">   收到申请后7天内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发包人完成审批并签发进度款支付证书的期限：</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（2）发包人支付进度款的期限：</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60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发包人逾期支付进度款的违约金的计算方式：</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60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12.4.6 支付分解表的编制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2、总价合同支付分解表的编制与审批：</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3、单价合同的总价项目支付分解表的编制与审批：</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13. 验收和工程试车</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13.1 分部分项工程验收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13.1.2监理人不能按时进行验收时，应提前</w:t>
      </w:r>
      <w:r>
        <w:rPr>
          <w:rStyle w:val="1373"/>
          <w:rFonts w:hint="eastAsia" w:ascii="仿宋" w:hAnsi="仿宋" w:eastAsia="仿宋" w:cs="仿宋"/>
          <w:sz w:val="24"/>
          <w:szCs w:val="24"/>
          <w:u w:val="single"/>
          <w:lang w:bidi="ar"/>
        </w:rPr>
        <w:t xml:space="preserve"> 48 </w:t>
      </w:r>
      <w:r>
        <w:rPr>
          <w:rStyle w:val="1373"/>
          <w:rFonts w:hint="eastAsia" w:ascii="仿宋" w:hAnsi="仿宋" w:eastAsia="仿宋" w:cs="仿宋"/>
          <w:sz w:val="24"/>
          <w:szCs w:val="24"/>
          <w:lang w:bidi="ar"/>
        </w:rPr>
        <w:t xml:space="preserve">小时提交书面延期要求。</w:t>
      </w:r>
      <w:r/>
    </w:p>
    <w:p>
      <w:pPr>
        <w:ind w:firstLine="480"/>
        <w:jc w:val="left"/>
        <w:spacing w:line="360" w:lineRule="exact"/>
        <w:widowControl/>
        <w:rPr>
          <w:rFonts w:hint="eastAsia" w:ascii="仿宋" w:hAnsi="仿宋" w:eastAsia="仿宋" w:cs="仿宋"/>
          <w:b/>
          <w:sz w:val="24"/>
          <w:szCs w:val="24"/>
        </w:rPr>
      </w:pPr>
      <w:r>
        <w:rPr>
          <w:rStyle w:val="1373"/>
          <w:rFonts w:hint="eastAsia" w:ascii="仿宋" w:hAnsi="仿宋" w:eastAsia="仿宋" w:cs="仿宋"/>
          <w:sz w:val="24"/>
          <w:szCs w:val="24"/>
          <w:lang w:bidi="ar"/>
        </w:rPr>
        <w:t xml:space="preserve">关于延期最长不得超过：</w:t>
      </w:r>
      <w:r>
        <w:rPr>
          <w:rStyle w:val="1373"/>
          <w:rFonts w:hint="eastAsia" w:ascii="仿宋" w:hAnsi="仿宋" w:eastAsia="仿宋" w:cs="仿宋"/>
          <w:sz w:val="24"/>
          <w:szCs w:val="24"/>
          <w:u w:val="single"/>
          <w:lang w:bidi="ar"/>
        </w:rPr>
        <w:t xml:space="preserve">  48  </w:t>
      </w:r>
      <w:r>
        <w:rPr>
          <w:rStyle w:val="1373"/>
          <w:rFonts w:hint="eastAsia" w:ascii="仿宋" w:hAnsi="仿宋" w:eastAsia="仿宋" w:cs="仿宋"/>
          <w:sz w:val="24"/>
          <w:szCs w:val="24"/>
          <w:lang w:bidi="ar"/>
        </w:rPr>
        <w:t xml:space="preserve">小时。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13.2 竣工验收</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13.2.2竣工验收程序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关于竣工验收程序的约定：</w:t>
      </w:r>
      <w:r>
        <w:rPr>
          <w:rStyle w:val="1373"/>
          <w:rFonts w:hint="eastAsia" w:ascii="仿宋" w:hAnsi="仿宋" w:eastAsia="仿宋" w:cs="仿宋"/>
          <w:sz w:val="24"/>
          <w:szCs w:val="24"/>
          <w:u w:val="single"/>
          <w:lang w:bidi="ar"/>
        </w:rPr>
        <w:t xml:space="preserve">承包人准备的竣工验收资料齐全，并编制了竣工图（附电子文档）后向监理人提出预验收申请 ，预验收合格监理人签署同意验收后发包人在30天组织有关部门竣工验收</w:t>
      </w:r>
      <w:r>
        <w:rPr>
          <w:rStyle w:val="1373"/>
          <w:rFonts w:hint="eastAsia" w:ascii="仿宋" w:hAnsi="仿宋" w:eastAsia="仿宋" w:cs="仿宋"/>
          <w:sz w:val="24"/>
          <w:szCs w:val="24"/>
          <w:lang w:bidi="ar"/>
        </w:rPr>
        <w:t xml:space="preserve">。</w:t>
      </w:r>
      <w:r/>
    </w:p>
    <w:p>
      <w:pPr>
        <w:ind w:firstLine="480"/>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发包人不按照本项约定组织竣工验收、颁发工程接收证书的违约金的计算方法：</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13.2.5移交、接收全部与部分工程</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承包人向发包人移交工程的期限：</w:t>
      </w:r>
      <w:r>
        <w:rPr>
          <w:rStyle w:val="1373"/>
          <w:rFonts w:hint="eastAsia" w:ascii="仿宋" w:hAnsi="仿宋" w:eastAsia="仿宋" w:cs="仿宋"/>
          <w:sz w:val="24"/>
          <w:szCs w:val="24"/>
          <w:u w:val="single"/>
          <w:lang w:bidi="ar"/>
        </w:rPr>
        <w:t xml:space="preserve">竣工验收合格后10天内及发包人要求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发包人未按本合同约定接收全部或部分工程的，违约金的计算方法为：</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承包人未按时移交工程的，违约金的计算方法为：</w:t>
      </w:r>
      <w:r>
        <w:rPr>
          <w:rStyle w:val="1373"/>
          <w:rFonts w:hint="eastAsia" w:ascii="仿宋" w:hAnsi="仿宋" w:eastAsia="仿宋" w:cs="仿宋"/>
          <w:sz w:val="24"/>
          <w:szCs w:val="24"/>
          <w:u w:val="single"/>
          <w:lang w:bidi="ar"/>
        </w:rPr>
        <w:t xml:space="preserve">每延迟一天按合同价款千分之三收取。</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13.3 工程试车</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13.3.1 试车程序</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工程试车内容：</w:t>
      </w:r>
      <w:r>
        <w:rPr>
          <w:rStyle w:val="1373"/>
          <w:rFonts w:hint="eastAsia" w:ascii="仿宋" w:hAnsi="仿宋" w:eastAsia="仿宋" w:cs="仿宋"/>
          <w:sz w:val="24"/>
          <w:szCs w:val="24"/>
          <w:u w:val="single"/>
          <w:lang w:bidi="ar"/>
        </w:rPr>
        <w:t xml:space="preserve">根据设计图纸或规范要求试车</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（1）单机无负荷试车费用由</w:t>
      </w:r>
      <w:r>
        <w:rPr>
          <w:rStyle w:val="1373"/>
          <w:rFonts w:hint="eastAsia" w:ascii="仿宋" w:hAnsi="仿宋" w:eastAsia="仿宋" w:cs="仿宋"/>
          <w:sz w:val="24"/>
          <w:szCs w:val="24"/>
          <w:u w:val="single"/>
          <w:lang w:bidi="ar"/>
        </w:rPr>
        <w:t xml:space="preserve">  承包人 </w:t>
      </w:r>
      <w:r>
        <w:rPr>
          <w:rStyle w:val="1373"/>
          <w:rFonts w:hint="eastAsia" w:ascii="仿宋" w:hAnsi="仿宋" w:eastAsia="仿宋" w:cs="仿宋"/>
          <w:sz w:val="24"/>
          <w:szCs w:val="24"/>
          <w:lang w:bidi="ar"/>
        </w:rPr>
        <w:t xml:space="preserve">承担；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（2）无负荷联动试车费用由</w:t>
      </w:r>
      <w:r>
        <w:rPr>
          <w:rStyle w:val="1373"/>
          <w:rFonts w:hint="eastAsia" w:ascii="仿宋" w:hAnsi="仿宋" w:eastAsia="仿宋" w:cs="仿宋"/>
          <w:sz w:val="24"/>
          <w:szCs w:val="24"/>
          <w:u w:val="single"/>
          <w:lang w:bidi="ar"/>
        </w:rPr>
        <w:t xml:space="preserve">  承包人 </w:t>
      </w:r>
      <w:r>
        <w:rPr>
          <w:rStyle w:val="1373"/>
          <w:rFonts w:hint="eastAsia" w:ascii="仿宋" w:hAnsi="仿宋" w:eastAsia="仿宋" w:cs="仿宋"/>
          <w:sz w:val="24"/>
          <w:szCs w:val="24"/>
          <w:lang w:bidi="ar"/>
        </w:rPr>
        <w:t xml:space="preserve">承担。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13.3.3 投料试车</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关于投料试车相关事项的约定：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13.6 竣工退场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13.6.1 竣工退场</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承包人完成竣工退场的期限：</w:t>
      </w:r>
      <w:r>
        <w:rPr>
          <w:rStyle w:val="1373"/>
          <w:rFonts w:hint="eastAsia" w:ascii="仿宋" w:hAnsi="仿宋" w:eastAsia="仿宋" w:cs="仿宋"/>
          <w:sz w:val="24"/>
          <w:szCs w:val="24"/>
          <w:u w:val="single"/>
          <w:lang w:bidi="ar"/>
        </w:rPr>
        <w:t xml:space="preserve"> 竣工验收合格10天内</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14. 竣工结算</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14.1 竣工付款申请</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承包人提交竣工付款申请单的期限：</w:t>
      </w:r>
      <w:r>
        <w:rPr>
          <w:rStyle w:val="1373"/>
          <w:rFonts w:hint="eastAsia" w:ascii="仿宋" w:hAnsi="仿宋" w:eastAsia="仿宋" w:cs="仿宋"/>
          <w:sz w:val="24"/>
          <w:szCs w:val="24"/>
          <w:u w:val="single"/>
          <w:lang w:bidi="ar"/>
        </w:rPr>
        <w:t xml:space="preserve">竣工结算经审计部门审定后14天内</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竣工付款申请单应包括的内容：</w:t>
      </w:r>
      <w:r>
        <w:rPr>
          <w:rStyle w:val="1373"/>
          <w:rFonts w:hint="eastAsia" w:ascii="仿宋" w:hAnsi="仿宋" w:eastAsia="仿宋" w:cs="仿宋"/>
          <w:sz w:val="24"/>
          <w:szCs w:val="24"/>
          <w:u w:val="single"/>
          <w:lang w:bidi="ar"/>
        </w:rPr>
        <w:t xml:space="preserve">结算书、签证资料、竣工图、会议纪要、洽商记录、施工组织设计、多项施工方案、招标文件、投标文件、施工合同、施工日记等、并应符合审计部门的要求</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14.2 竣工结算审核</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供的结算资料不符合审计要求的，必须及时补充提供，后果由承包人自行承担，且不能因此推断发包人同意承包人提供的结算。审计期的长短与发包人无关，承包人承诺不因此向发包人主张损失赔偿权利。</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发包人完成竣工付款的期限：</w:t>
      </w:r>
      <w:r>
        <w:rPr>
          <w:rStyle w:val="1373"/>
          <w:rFonts w:hint="eastAsia" w:ascii="仿宋" w:hAnsi="仿宋" w:eastAsia="仿宋" w:cs="仿宋"/>
          <w:sz w:val="24"/>
          <w:szCs w:val="24"/>
          <w:u w:val="single"/>
          <w:lang w:bidi="ar"/>
        </w:rPr>
        <w:t xml:space="preserve">按照通用条款执行</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关于竣工付款证书异议部分复核的方式和程序：</w:t>
      </w:r>
      <w:r>
        <w:rPr>
          <w:rStyle w:val="1373"/>
          <w:rFonts w:hint="eastAsia" w:ascii="仿宋" w:hAnsi="仿宋" w:eastAsia="仿宋" w:cs="仿宋"/>
          <w:sz w:val="24"/>
          <w:szCs w:val="24"/>
          <w:u w:val="single"/>
          <w:lang w:bidi="ar"/>
        </w:rPr>
        <w:t xml:space="preserve">按照通用条款执行</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14.4 最终结清</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14.4.1 最终结清申请单</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承包人提交最终结清申请单的份数：</w:t>
      </w:r>
      <w:r>
        <w:rPr>
          <w:rStyle w:val="1373"/>
          <w:rFonts w:hint="eastAsia" w:ascii="仿宋" w:hAnsi="仿宋" w:eastAsia="仿宋" w:cs="仿宋"/>
          <w:sz w:val="24"/>
          <w:szCs w:val="24"/>
          <w:u w:val="single"/>
          <w:lang w:bidi="ar"/>
        </w:rPr>
        <w:t xml:space="preserve">  一式陆份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承包人提交最终结算申请单的期限：</w:t>
      </w:r>
      <w:r>
        <w:rPr>
          <w:rStyle w:val="1373"/>
          <w:rFonts w:hint="eastAsia" w:ascii="仿宋" w:hAnsi="仿宋" w:eastAsia="仿宋" w:cs="仿宋"/>
          <w:sz w:val="24"/>
          <w:szCs w:val="24"/>
          <w:u w:val="single"/>
          <w:lang w:bidi="ar"/>
        </w:rPr>
        <w:t xml:space="preserve">缺陷责任期终止，保修责任期满且双方无异议后14天内</w:t>
      </w:r>
      <w:r>
        <w:rPr>
          <w:rStyle w:val="1373"/>
          <w:rFonts w:hint="eastAsia" w:ascii="仿宋" w:hAnsi="仿宋" w:eastAsia="仿宋" w:cs="仿宋"/>
          <w:sz w:val="24"/>
          <w:szCs w:val="24"/>
          <w:lang w:bidi="ar"/>
        </w:rPr>
        <w:t xml:space="preserve">。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14.4.2 最终结清证书和支付</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（1）发包人完成最终结清申请单的审批并颁发最终结清证书的期限：</w:t>
      </w:r>
      <w:r>
        <w:rPr>
          <w:rStyle w:val="1373"/>
          <w:rFonts w:hint="eastAsia" w:ascii="仿宋" w:hAnsi="仿宋" w:eastAsia="仿宋" w:cs="仿宋"/>
          <w:sz w:val="24"/>
          <w:szCs w:val="24"/>
          <w:u w:val="single"/>
          <w:lang w:bidi="ar"/>
        </w:rPr>
        <w:t xml:space="preserve">承包人同意工程竣工验收合格后，由审计部门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核减率超过5%的，审计费由承包人自行承担</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（2）发包人完成支付的期限：</w:t>
      </w:r>
      <w:r>
        <w:rPr>
          <w:rStyle w:val="1373"/>
          <w:rFonts w:hint="eastAsia" w:ascii="仿宋" w:hAnsi="仿宋" w:eastAsia="仿宋" w:cs="仿宋"/>
          <w:sz w:val="24"/>
          <w:szCs w:val="24"/>
          <w:u w:val="single"/>
          <w:lang w:bidi="ar"/>
        </w:rPr>
        <w:t xml:space="preserve">按通用条款执行</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15. 缺陷责任期与保修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15.2缺陷责任期</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缺陷责任期的具体期限：</w:t>
      </w:r>
      <w:r>
        <w:rPr>
          <w:rStyle w:val="1373"/>
          <w:rFonts w:hint="eastAsia" w:ascii="仿宋" w:hAnsi="仿宋" w:eastAsia="仿宋" w:cs="仿宋"/>
          <w:sz w:val="24"/>
          <w:szCs w:val="24"/>
          <w:u w:val="single"/>
          <w:lang w:bidi="ar"/>
        </w:rPr>
        <w:t xml:space="preserve">缺陷责任期从工程通过竣工</w:t>
      </w:r>
      <w:r>
        <w:rPr>
          <w:rStyle w:val="1373"/>
          <w:rFonts w:hint="eastAsia" w:ascii="仿宋" w:hAnsi="仿宋" w:eastAsia="仿宋" w:cs="仿宋"/>
          <w:sz w:val="24"/>
          <w:szCs w:val="24"/>
          <w:u w:val="single"/>
          <w:lang w:bidi="ar"/>
        </w:rPr>
        <w:t xml:space="preserve">验收合格之日起计算（工程交付使用早于竣工验收的，以竣工验收合格日期为准），期限为24个月。单位工程先于全部工程进行验收，经验收合格并交付使用的，该单位工程缺陷责任期仍从项目工程整体竣工验收合格之日起算。无论何种原因导致工程无法按合同约定期限进行竣工验收的，缺陷责任期都从实际通过竣工验收之日起计算。承包人应于工程整体的缺陷责任期届满后7天内向发包人发出缺陷责任期届满通知，发包人应在收到缺陷责任期满通知后30个工作日内核实承包人是否履行缺陷修复义务，承包人未能履行缺陷修复义务的，发包人有权扣除相应金额的维修费用</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15.3 质量保证金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关于是否扣留质量保证金的约定：</w:t>
      </w:r>
      <w:r>
        <w:rPr>
          <w:rStyle w:val="1373"/>
          <w:rFonts w:hint="eastAsia" w:ascii="仿宋" w:hAnsi="仿宋" w:eastAsia="仿宋" w:cs="仿宋"/>
          <w:sz w:val="24"/>
          <w:szCs w:val="24"/>
          <w:u w:val="single"/>
          <w:lang w:bidi="ar"/>
        </w:rPr>
        <w:t xml:space="preserve"> 是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在工程项目竣工前，承包人按专用合同条款第3.6条提供履约担保的，发包人不得同时预留工程质量保证金。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15.3.1 承包人提供质量保证金的方式</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sz w:val="24"/>
          <w:szCs w:val="24"/>
          <w:lang w:bidi="ar"/>
        </w:rPr>
        <w:t xml:space="preserve">质量保证金采</w:t>
      </w:r>
      <w:r>
        <w:rPr>
          <w:rStyle w:val="1373"/>
          <w:rFonts w:hint="eastAsia" w:ascii="仿宋" w:hAnsi="仿宋" w:eastAsia="仿宋" w:cs="仿宋"/>
          <w:color w:val="auto"/>
          <w:sz w:val="24"/>
          <w:szCs w:val="24"/>
          <w:lang w:bidi="ar"/>
        </w:rPr>
        <w:t xml:space="preserve">用以下第</w:t>
      </w:r>
      <w:r>
        <w:rPr>
          <w:rStyle w:val="1373"/>
          <w:rFonts w:hint="eastAsia" w:ascii="仿宋" w:hAnsi="仿宋" w:eastAsia="仿宋" w:cs="仿宋"/>
          <w:color w:val="auto"/>
          <w:sz w:val="24"/>
          <w:szCs w:val="24"/>
          <w:u w:val="single"/>
          <w:lang w:bidi="ar"/>
        </w:rPr>
        <w:t xml:space="preserve"> </w:t>
      </w:r>
      <w:r>
        <w:rPr>
          <w:rStyle w:val="1373"/>
          <w:rFonts w:hint="eastAsia" w:ascii="仿宋" w:hAnsi="仿宋" w:eastAsia="仿宋" w:cs="仿宋"/>
          <w:color w:val="auto"/>
          <w:sz w:val="24"/>
          <w:szCs w:val="24"/>
          <w:u w:val="single"/>
          <w:lang w:val="en-US" w:eastAsia="zh-CN" w:bidi="ar"/>
        </w:rPr>
        <w:t xml:space="preserve">3</w:t>
      </w:r>
      <w:r>
        <w:rPr>
          <w:rStyle w:val="1373"/>
          <w:rFonts w:hint="eastAsia" w:ascii="仿宋" w:hAnsi="仿宋" w:eastAsia="仿宋" w:cs="仿宋"/>
          <w:color w:val="auto"/>
          <w:sz w:val="24"/>
          <w:szCs w:val="24"/>
          <w:u w:val="single"/>
          <w:lang w:bidi="ar"/>
        </w:rPr>
        <w:t xml:space="preserve"> </w:t>
      </w:r>
      <w:r>
        <w:rPr>
          <w:rStyle w:val="1373"/>
          <w:rFonts w:hint="eastAsia" w:ascii="仿宋" w:hAnsi="仿宋" w:eastAsia="仿宋" w:cs="仿宋"/>
          <w:color w:val="auto"/>
          <w:sz w:val="24"/>
          <w:szCs w:val="24"/>
          <w:lang w:bidi="ar"/>
        </w:rPr>
        <w:t xml:space="preserve">种方式：</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color w:val="auto"/>
          <w:sz w:val="24"/>
          <w:szCs w:val="24"/>
          <w:lang w:bidi="ar"/>
        </w:rPr>
        <w:t xml:space="preserve">（1）质量保证金保函，保证金额为：</w:t>
      </w:r>
      <w:r>
        <w:rPr>
          <w:rStyle w:val="1373"/>
          <w:rFonts w:hint="eastAsia" w:ascii="仿宋" w:hAnsi="仿宋" w:eastAsia="仿宋" w:cs="仿宋"/>
          <w:color w:val="auto"/>
          <w:sz w:val="24"/>
          <w:szCs w:val="24"/>
          <w:u w:val="single"/>
          <w:lang w:bidi="ar"/>
        </w:rPr>
        <w:t xml:space="preserve">        /        </w:t>
      </w:r>
      <w:r>
        <w:rPr>
          <w:rStyle w:val="1373"/>
          <w:rFonts w:hint="eastAsia" w:ascii="仿宋" w:hAnsi="仿宋" w:eastAsia="仿宋" w:cs="仿宋"/>
          <w:color w:val="auto"/>
          <w:sz w:val="24"/>
          <w:szCs w:val="24"/>
          <w:lang w:bidi="ar"/>
        </w:rPr>
        <w:t xml:space="preserve">； </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color w:val="auto"/>
          <w:sz w:val="24"/>
          <w:szCs w:val="24"/>
          <w:lang w:bidi="ar"/>
        </w:rPr>
        <w:t xml:space="preserve">（2）</w:t>
      </w:r>
      <w:r>
        <w:rPr>
          <w:rStyle w:val="1373"/>
          <w:rFonts w:hint="eastAsia" w:ascii="仿宋" w:hAnsi="仿宋" w:eastAsia="仿宋" w:cs="仿宋"/>
          <w:color w:val="auto"/>
          <w:sz w:val="24"/>
          <w:szCs w:val="24"/>
          <w:u w:val="single"/>
          <w:lang w:bidi="ar"/>
        </w:rPr>
        <w:t xml:space="preserve"> 3 </w:t>
      </w:r>
      <w:r>
        <w:rPr>
          <w:rStyle w:val="1373"/>
          <w:rFonts w:hint="eastAsia" w:ascii="仿宋" w:hAnsi="仿宋" w:eastAsia="仿宋" w:cs="仿宋"/>
          <w:color w:val="auto"/>
          <w:sz w:val="24"/>
          <w:szCs w:val="24"/>
          <w:lang w:bidi="ar"/>
        </w:rPr>
        <w:t xml:space="preserve">%的工程款；</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color w:val="auto"/>
          <w:sz w:val="24"/>
          <w:szCs w:val="24"/>
          <w:lang w:bidi="ar"/>
        </w:rPr>
        <w:t xml:space="preserve">（3）其他方式:</w:t>
      </w:r>
      <w:r>
        <w:rPr>
          <w:rStyle w:val="1373"/>
          <w:rFonts w:hint="eastAsia" w:ascii="仿宋" w:hAnsi="仿宋" w:eastAsia="仿宋" w:cs="仿宋"/>
          <w:color w:val="auto"/>
          <w:sz w:val="24"/>
          <w:szCs w:val="24"/>
          <w:u w:val="single"/>
          <w:lang w:bidi="ar"/>
        </w:rPr>
        <w:t xml:space="preserve"> 乙方将3%质量保证金汇到采购人指定账户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sz w:val="24"/>
          <w:szCs w:val="24"/>
          <w:lang w:bidi="ar"/>
        </w:rPr>
        <w:t xml:space="preserve">15.3.2 质量保</w:t>
      </w:r>
      <w:r>
        <w:rPr>
          <w:rStyle w:val="1373"/>
          <w:rFonts w:hint="eastAsia" w:ascii="仿宋" w:hAnsi="仿宋" w:eastAsia="仿宋" w:cs="仿宋"/>
          <w:color w:val="auto"/>
          <w:sz w:val="24"/>
          <w:szCs w:val="24"/>
          <w:lang w:bidi="ar"/>
        </w:rPr>
        <w:t xml:space="preserve">证金的扣留 </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color w:val="auto"/>
          <w:sz w:val="24"/>
          <w:szCs w:val="24"/>
          <w:lang w:bidi="ar"/>
        </w:rPr>
        <w:t xml:space="preserve">质量保证金的扣留采取以下第</w:t>
      </w:r>
      <w:r>
        <w:rPr>
          <w:rStyle w:val="1373"/>
          <w:rFonts w:hint="eastAsia" w:ascii="仿宋" w:hAnsi="仿宋" w:eastAsia="仿宋" w:cs="仿宋"/>
          <w:color w:val="auto"/>
          <w:sz w:val="24"/>
          <w:szCs w:val="24"/>
          <w:u w:val="single"/>
          <w:lang w:bidi="ar"/>
        </w:rPr>
        <w:t xml:space="preserve"> </w:t>
      </w:r>
      <w:r>
        <w:rPr>
          <w:rStyle w:val="1373"/>
          <w:rFonts w:hint="eastAsia" w:ascii="仿宋" w:hAnsi="仿宋" w:eastAsia="仿宋" w:cs="仿宋"/>
          <w:color w:val="auto"/>
          <w:sz w:val="24"/>
          <w:szCs w:val="24"/>
          <w:u w:val="single"/>
          <w:lang w:val="en-US" w:eastAsia="zh-CN" w:bidi="ar"/>
        </w:rPr>
        <w:t xml:space="preserve">3</w:t>
      </w:r>
      <w:r>
        <w:rPr>
          <w:rStyle w:val="1373"/>
          <w:rFonts w:hint="eastAsia" w:ascii="仿宋" w:hAnsi="仿宋" w:eastAsia="仿宋" w:cs="仿宋"/>
          <w:color w:val="auto"/>
          <w:sz w:val="24"/>
          <w:szCs w:val="24"/>
          <w:u w:val="single"/>
          <w:lang w:bidi="ar"/>
        </w:rPr>
        <w:t xml:space="preserve"> </w:t>
      </w:r>
      <w:r>
        <w:rPr>
          <w:rStyle w:val="1373"/>
          <w:rFonts w:hint="eastAsia" w:ascii="仿宋" w:hAnsi="仿宋" w:eastAsia="仿宋" w:cs="仿宋"/>
          <w:color w:val="auto"/>
          <w:sz w:val="24"/>
          <w:szCs w:val="24"/>
          <w:lang w:bidi="ar"/>
        </w:rPr>
        <w:t xml:space="preserve">种方式：</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color w:val="auto"/>
          <w:sz w:val="24"/>
          <w:szCs w:val="24"/>
          <w:lang w:bidi="ar"/>
        </w:rPr>
        <w:t xml:space="preserve">（1）在支付工程进度款时逐次扣留，在此情形下，质量保证金的计算基数不包括预付款的支付、扣回以及价格调整的金额；</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color w:val="auto"/>
          <w:sz w:val="24"/>
          <w:szCs w:val="24"/>
          <w:lang w:bidi="ar"/>
        </w:rPr>
        <w:t xml:space="preserve">（2）工程竣工结算时一次性扣留质量保证金；</w:t>
      </w:r>
      <w:r/>
    </w:p>
    <w:p>
      <w:pPr>
        <w:ind w:firstLine="480"/>
        <w:jc w:val="left"/>
        <w:spacing w:line="360" w:lineRule="exact"/>
        <w:widowControl/>
        <w:rPr>
          <w:rFonts w:hint="eastAsia" w:ascii="仿宋" w:hAnsi="仿宋" w:eastAsia="仿宋" w:cs="仿宋"/>
          <w:color w:val="auto"/>
          <w:sz w:val="24"/>
          <w:szCs w:val="24"/>
        </w:rPr>
      </w:pPr>
      <w:r>
        <w:rPr>
          <w:rStyle w:val="1373"/>
          <w:rFonts w:hint="eastAsia" w:ascii="仿宋" w:hAnsi="仿宋" w:eastAsia="仿宋" w:cs="仿宋"/>
          <w:color w:val="auto"/>
          <w:sz w:val="24"/>
          <w:szCs w:val="24"/>
          <w:lang w:bidi="ar"/>
        </w:rPr>
        <w:t xml:space="preserve">（3）其他扣留方式:</w:t>
      </w:r>
      <w:r>
        <w:rPr>
          <w:rStyle w:val="1373"/>
          <w:rFonts w:hint="eastAsia" w:ascii="仿宋" w:hAnsi="仿宋" w:eastAsia="仿宋" w:cs="仿宋"/>
          <w:color w:val="auto"/>
          <w:sz w:val="24"/>
          <w:szCs w:val="24"/>
          <w:u w:val="single"/>
          <w:lang w:bidi="ar"/>
        </w:rPr>
        <w:t xml:space="preserve"> 乙方将3%质量保证金汇到采购人指定账户 </w:t>
      </w:r>
      <w:r>
        <w:rPr>
          <w:rStyle w:val="1373"/>
          <w:rFonts w:hint="eastAsia" w:ascii="仿宋" w:hAnsi="仿宋" w:eastAsia="仿宋" w:cs="仿宋"/>
          <w:color w:val="auto"/>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关于质量保证金的补充约定：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15.4保修</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15.4.1 保修责任</w:t>
      </w:r>
      <w:r/>
    </w:p>
    <w:p>
      <w:pPr>
        <w:ind w:firstLine="468"/>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工程保修期为：</w:t>
      </w:r>
      <w:r>
        <w:rPr>
          <w:rStyle w:val="1373"/>
          <w:rFonts w:hint="eastAsia" w:ascii="仿宋" w:hAnsi="仿宋" w:eastAsia="仿宋" w:cs="仿宋"/>
          <w:sz w:val="24"/>
          <w:szCs w:val="24"/>
          <w:u w:val="single"/>
          <w:lang w:bidi="ar"/>
        </w:rPr>
        <w:t xml:space="preserve">按照合同附件“工程质量保修书”的约定执行</w:t>
      </w:r>
      <w:r>
        <w:rPr>
          <w:rStyle w:val="1373"/>
          <w:rFonts w:hint="eastAsia" w:ascii="仿宋" w:hAnsi="仿宋" w:eastAsia="仿宋" w:cs="仿宋"/>
          <w:sz w:val="24"/>
          <w:szCs w:val="24"/>
          <w:lang w:bidi="ar"/>
        </w:rPr>
        <w:t xml:space="preserve">。</w:t>
      </w:r>
      <w:r/>
    </w:p>
    <w:p>
      <w:pPr>
        <w:ind w:firstLine="468"/>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15.4.3 修复通知</w:t>
      </w:r>
      <w:r/>
    </w:p>
    <w:p>
      <w:pPr>
        <w:ind w:firstLine="468"/>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承包人收到保修通知并到达工程现场的合理时间：</w:t>
      </w:r>
      <w:r>
        <w:rPr>
          <w:rStyle w:val="1373"/>
          <w:rFonts w:hint="eastAsia" w:ascii="仿宋" w:hAnsi="仿宋" w:eastAsia="仿宋" w:cs="仿宋"/>
          <w:sz w:val="24"/>
          <w:szCs w:val="24"/>
          <w:u w:val="single"/>
          <w:lang w:bidi="ar"/>
        </w:rPr>
        <w:t xml:space="preserve"> 48小时内 </w:t>
      </w:r>
      <w:r>
        <w:rPr>
          <w:rStyle w:val="1373"/>
          <w:rFonts w:hint="eastAsia" w:ascii="仿宋" w:hAnsi="仿宋" w:eastAsia="仿宋" w:cs="仿宋"/>
          <w:sz w:val="24"/>
          <w:szCs w:val="24"/>
          <w:lang w:bidi="ar"/>
        </w:rPr>
        <w:t xml:space="preserve">。</w:t>
      </w:r>
      <w:r/>
    </w:p>
    <w:p>
      <w:pPr>
        <w:ind w:firstLine="468"/>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1.承包人应当在接到保修通知之日起48小时内派人保修。承包人不在约定期限内派人保修的，发包人可以委托他人修理，保修费用从质量保修金内扣除。</w:t>
      </w:r>
      <w:r/>
    </w:p>
    <w:p>
      <w:pPr>
        <w:ind w:firstLine="468"/>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68"/>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3.质量保修完成后，由发包人组织验收。</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16. 违约</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16.1 发包人违约</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16.1.1发包人违约的情形</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发包人违约的其他情形：</w:t>
      </w:r>
      <w:r>
        <w:rPr>
          <w:rStyle w:val="1373"/>
          <w:rFonts w:hint="eastAsia" w:ascii="仿宋" w:hAnsi="仿宋" w:eastAsia="仿宋" w:cs="仿宋"/>
          <w:sz w:val="24"/>
          <w:szCs w:val="24"/>
          <w:u w:val="single"/>
          <w:lang w:bidi="ar"/>
        </w:rPr>
        <w:t xml:space="preserve"> 按通用条款执行</w:t>
      </w:r>
      <w:r>
        <w:rPr>
          <w:rStyle w:val="1373"/>
          <w:rFonts w:hint="eastAsia" w:ascii="仿宋" w:hAnsi="仿宋" w:eastAsia="仿宋" w:cs="仿宋"/>
          <w:sz w:val="24"/>
          <w:szCs w:val="24"/>
          <w:lang w:bidi="ar"/>
        </w:rPr>
        <w:t xml:space="preserve">。</w:t>
      </w:r>
      <w:r/>
    </w:p>
    <w:p>
      <w:pPr>
        <w:ind w:left="1050" w:hanging="120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16.1.2 发包人违约的责任</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发包人违约责任的承担方式和计算方法：</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（1）因发包人原因未能在计划开工日期前7天内下达开工通知的违约责任：</w:t>
      </w:r>
      <w:r>
        <w:rPr>
          <w:rStyle w:val="1373"/>
          <w:rFonts w:hint="eastAsia" w:ascii="仿宋" w:hAnsi="仿宋" w:eastAsia="仿宋" w:cs="仿宋"/>
          <w:sz w:val="24"/>
          <w:szCs w:val="24"/>
          <w:u w:val="single"/>
          <w:lang w:val="en-US" w:eastAsia="zh-CN" w:bidi="ar"/>
        </w:rPr>
        <w:t xml:space="preserve"> </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（2）因发包人原因未能按合同约定支付合同价款的违约责任：</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（3）发包人违反第10.1款〔变更的范围〕第（2）项约定，自行实施被取消的工作或转由他人实施的违约责任：</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（4）发包人提供的材料、工程设备的规格、数量或质量不符合合同约定，或因发包人原因导致交货日期延误或交货地点变更等情况的违约责任：</w:t>
      </w:r>
      <w:r>
        <w:rPr>
          <w:rStyle w:val="1373"/>
          <w:rFonts w:hint="eastAsia" w:ascii="仿宋" w:hAnsi="仿宋" w:eastAsia="仿宋" w:cs="仿宋"/>
          <w:sz w:val="24"/>
          <w:szCs w:val="24"/>
          <w:u w:val="single"/>
          <w:lang w:bidi="ar"/>
        </w:rPr>
        <w:t xml:space="preserve"> 发包人负责退货，工期顺延并承担工期延误的费用</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（5）因发包人违反合同约定造成暂停施工的违约责任：</w:t>
      </w:r>
      <w:r>
        <w:rPr>
          <w:rStyle w:val="1373"/>
          <w:rFonts w:hint="eastAsia" w:ascii="仿宋" w:hAnsi="仿宋" w:eastAsia="仿宋" w:cs="仿宋"/>
          <w:sz w:val="24"/>
          <w:szCs w:val="24"/>
          <w:u w:val="single"/>
          <w:lang w:bidi="ar"/>
        </w:rPr>
        <w:t xml:space="preserve">工期顺延并承担费用补偿</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（6）发包人无正当理由没有在约定期限内发出复工指示，导致承包人无法复工的违约责任：</w:t>
      </w:r>
      <w:r>
        <w:rPr>
          <w:rStyle w:val="1373"/>
          <w:rFonts w:hint="eastAsia" w:ascii="仿宋" w:hAnsi="仿宋" w:eastAsia="仿宋" w:cs="仿宋"/>
          <w:sz w:val="24"/>
          <w:szCs w:val="24"/>
          <w:u w:val="single"/>
          <w:lang w:bidi="ar"/>
        </w:rPr>
        <w:t xml:space="preserve"> 工期顺延并承担费用补偿</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（7）其他：</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16.1.3 因发包人违约解除合同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承包人按16.1.1项〔发包人违约的情形〕约定暂停施工满</w:t>
      </w:r>
      <w:r>
        <w:rPr>
          <w:rStyle w:val="1373"/>
          <w:rFonts w:hint="eastAsia" w:ascii="仿宋" w:hAnsi="仿宋" w:eastAsia="仿宋" w:cs="仿宋"/>
          <w:sz w:val="24"/>
          <w:szCs w:val="24"/>
          <w:u w:val="single"/>
          <w:lang w:bidi="ar"/>
        </w:rPr>
        <w:t xml:space="preserve">  30 </w:t>
      </w:r>
      <w:r>
        <w:rPr>
          <w:rStyle w:val="1373"/>
          <w:rFonts w:hint="eastAsia" w:ascii="仿宋" w:hAnsi="仿宋" w:eastAsia="仿宋" w:cs="仿宋"/>
          <w:sz w:val="24"/>
          <w:szCs w:val="24"/>
          <w:lang w:bidi="ar"/>
        </w:rPr>
        <w:t xml:space="preserve">天后发包人仍不纠正其违约行为并致使合同目的不能实现的，承包人有权解除合同。</w:t>
      </w:r>
      <w:r/>
    </w:p>
    <w:p>
      <w:pPr>
        <w:ind w:left="1140" w:hanging="72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16.2 承包人违约</w:t>
      </w:r>
      <w:r/>
    </w:p>
    <w:p>
      <w:pPr>
        <w:ind w:left="1140" w:hanging="72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16.2.1 承包人违约的情形</w:t>
      </w:r>
      <w:r/>
    </w:p>
    <w:p>
      <w:pPr>
        <w:ind w:left="1140" w:hanging="72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承包人违约的其他情形：</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（1）承包人违反合同约定进行转包或分包；</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（2）承包人违反合同约定采购和使用不合格的材料和工程设备的；</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（3）因承包人原因导致工程质量不符合合同要求的；</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（4）承包人未能按施工进度计划及时完成合同约定的工作，造成工期延误的；</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（5）承包人在缺陷责任期及保修期内，未能在合理期限对工程缺陷进行修复，</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或拒绝按发包人要求进行修复的；</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（6）承包人明确表示或者以其行为表明不履行合同主要义务的；</w:t>
      </w:r>
      <w:r/>
    </w:p>
    <w:p>
      <w:pPr>
        <w:ind w:left="1140" w:hanging="72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（7）承包人未能按照合同约定履行其他义务的</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（8）承包人发生除本条约定以外的其他违约情况时，监理人可向承包人发出整改通知，要求其在指定的期限内改正。</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16.2.2承包人违约的责任</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承包人违约责任的承担方式和计算方法：</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承包人未按照现行的国家施工验收规范和资料评定标准施工的。如第一次工程竣工验收时工程质量达不到合格标准时，承包人应向发包人支付违约金为履约保证金的30%，如第二次工程竣工验收时工程质量达不到合格标准时，承包人应向发包人支付违约金为履约保证金的 70%，且发包人有权解除合同并不再支付剩余工程款，承包人还应当另行承担因此给发包人造成的实际损失。因承包人自身原因，致使工程达不到合格标准的，承包人必须进行整改，其整改所需时间计算在合同总工期内。因此造成的工期延误按前述有关条款处理。</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（2）承包人在施工中对规定现场的已完工工程的成品造成损毁及污染的；需负责整改并承担所发生的一切费用，同时承包人同意向发包人支付5000元/次的违约金。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（3）在施工期间由于承包人原因发生安全及质量事故；每发生一次，根据事故的影响程度，承包人还须向发包人支付5000—200000元的违约金；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（5）如因承包人原因，导致周边住户和单位投诉或被新闻媒体给予负面曝光的；承包人需承担由此造成的一切后果并承担由此产生的相关费用，同时承包人同意向发包人支付50000元/次的违约金。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（6）如因承包人原因发生保险事故给发包人造成影响的；承包人承担违约责任，需向发包人支付保险赔付金10%的违约金。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（7）承包人现场施工人员未佩戴安全帽及违规操作的；承包人同意向发包人支付200元/人·次的违约金。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8）承包人用电安全、施工围挡未按规定要求执行的；承包人同意向发包人支付5000元/次的违约金；承包人施工围挡应内外整洁，至少每周清理一次，对未予及时处理的污垢，承包人同意向发包人支付1000元/处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30000元/次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（12）为加强工期、质量、安全、文明方面的控制，确保工程顺利进行，便于发包人定期对工程建设情况进行考核，对考核不合格的将要求限期整改，并按相关要求对承包人收取违约金。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质量方面：①承包方应保证每次自检资料完整、规范，数据真实、准确，检查频率必须符合规范设计和相关要求。达不到要求的，视同承包人违约，承包方应按500元/次的标准向发包方支付违约金。②承包</w:t>
      </w:r>
      <w:r>
        <w:rPr>
          <w:rStyle w:val="1373"/>
          <w:rFonts w:hint="eastAsia" w:ascii="仿宋" w:hAnsi="仿宋" w:eastAsia="仿宋" w:cs="仿宋"/>
          <w:sz w:val="24"/>
          <w:szCs w:val="24"/>
          <w:u w:val="single"/>
          <w:lang w:bidi="ar"/>
        </w:rPr>
        <w:t xml:space="preserve">方应及时、准确对分项工程质量进行自验评定。监理方和指挥部定期抽查，每次抽查合格率达不到 100%的，视同承包人违约，承包方应按1000元/次的标准向发包方支付违约金。③施工抽查中需确保无质量问题。如存在质量问题，每发现一处，承包方按相关要求整改外并按500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后方</w:t>
      </w:r>
      <w:r>
        <w:rPr>
          <w:rStyle w:val="1373"/>
          <w:rFonts w:hint="eastAsia" w:ascii="仿宋" w:hAnsi="仿宋" w:eastAsia="仿宋" w:cs="仿宋"/>
          <w:sz w:val="24"/>
          <w:szCs w:val="24"/>
          <w:u w:val="single"/>
          <w:lang w:bidi="ar"/>
        </w:rPr>
        <w:t xml:space="preserve">可进场，检测频率应符合要求，不合格的材料不得用于工程施工。违反上述规定的，发包人将责令清退出场，承包方应按 1000 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安全文明施工方面：①对承包人违反安全规范要求进行施工的，或现场存在安全施工隐患的，每发现一处，扣除10000元的安全措施费，并限期整改。②如因安全文明问题受到质量监督等行政主管部门查处和通报的，按20000元/次的标准扣除安全措施费。现场</w:t>
      </w:r>
      <w:r>
        <w:rPr>
          <w:rStyle w:val="1373"/>
          <w:rFonts w:hint="eastAsia" w:ascii="仿宋" w:hAnsi="仿宋" w:eastAsia="仿宋" w:cs="仿宋"/>
          <w:sz w:val="24"/>
          <w:szCs w:val="24"/>
          <w:u w:val="single"/>
          <w:lang w:bidi="ar"/>
        </w:rPr>
        <w:t xml:space="preserve">出现施工安全事故的，根据程度和影响，发包人将及时报行政主管部门并依法追究施工单位相关责任。工程进度方面：①承包人应根据施工合同工期的约定，制定切实可行的施工组织计划，并形成工期进度计划表，中标后 7 日内报监理和发包人审核后予以公开，接受考核。②承包人和监理人根据工期进度计划对每天应完成的工作量及在岗人员数量进行考核备案，分部分项的工程量不能按时完成的，承包方应按50000元/天的标准向发包方支付违约金。③以每周为一个节点，工期延误超过7天的将对施工单位进行双倍收取违约金，并发包人可根据工程需要，另行安排其</w:t>
      </w:r>
      <w:r/>
    </w:p>
    <w:p>
      <w:pPr>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他施工队伍替换承包人赶工期，所需费用双倍从总包单位的工程进度款中扣除。④承包人按合同约定的竣工时间提前交付的，每超前一天，可按工期滞后违约金的相同标准抵扣违约金。</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13）如承包人在本工程投标期间弄虚作假、相互串通投标，在工程实施期间被查证属实的，视同承包人违约，发包人将没收全部履约保证金，并可采取终止施工合同并不再支付剩余工程款、向监督管理部门报告等措施。</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（14）承包人同意违约赔偿金在每次付工程款中扣除，且承包人不存在任何异议</w:t>
      </w:r>
      <w:r>
        <w:rPr>
          <w:rStyle w:val="1373"/>
          <w:rFonts w:hint="eastAsia" w:ascii="仿宋" w:hAnsi="仿宋" w:eastAsia="仿宋" w:cs="仿宋"/>
          <w:sz w:val="24"/>
          <w:szCs w:val="24"/>
          <w:lang w:bidi="ar"/>
        </w:rPr>
        <w:t xml:space="preserve">。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16.2.3 因承包人违约解除合同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关于承包人违约解除合同的特别约定：</w:t>
      </w:r>
      <w:r>
        <w:rPr>
          <w:rStyle w:val="1373"/>
          <w:rFonts w:hint="eastAsia" w:ascii="仿宋" w:hAnsi="仿宋" w:eastAsia="仿宋" w:cs="仿宋"/>
          <w:sz w:val="24"/>
          <w:szCs w:val="24"/>
          <w:u w:val="single"/>
          <w:lang w:bidi="ar"/>
        </w:rPr>
        <w:t xml:space="preserve">承包人有违反以下情况之一的，发包人有权解除合同，并没收其全部履约保证金</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(1)承包人无正当理由不按开工通知的要求及时进场组织施工和不按签订协议书时商订的进度计划有效地开展施工准备，造成工期延误的；</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(2)承包人违反本合同通用条款第3.4条规定私自将合同或合同的任何部分或任何权利转让给其他人，或私自将工程或工程的一部分分包出去的；</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(3)未经监理人批准，承包人私自将已按投标文件承诺进入工地的工程设备、施工设备、临时工程或材料撤离工地的；</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(4)由于承包人原因拒绝按合同进度计划及时完成合同规定的工程，而又未采取有效措施赶上进度，造成工期延误的；</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(5)承包人否认合同有效或拒绝履行合同规定的承包人义务，或由于法律、财务等原因导致承包人无法继续履行或实质上已停止履行合同的义务的；</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(6)合同签订之日起十五日内，承包人无法按合同规定及投标文件的承诺进场经监理工程师认可的全部人员和机械的。</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u w:val="single"/>
          <w:lang w:bidi="ar"/>
        </w:rPr>
        <w:t xml:space="preserve">(7)承包人在超出一个月时间不能按期完工（不可抗力除外），招标人即与承包人终止合同，承包人无条件退出，工程款经审计结算后按完成工程量的70%计付，并没收履约保证金。</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发包人继续使用承包人在施工现场的材料、设备、临时工程、承包人文件和由承包人或以其名义编制的其他文件的费用承担方式：</w:t>
      </w:r>
      <w:r>
        <w:rPr>
          <w:rStyle w:val="1373"/>
          <w:rFonts w:hint="eastAsia" w:ascii="仿宋" w:hAnsi="仿宋" w:eastAsia="仿宋" w:cs="仿宋"/>
          <w:sz w:val="24"/>
          <w:szCs w:val="24"/>
          <w:u w:val="single"/>
          <w:lang w:bidi="ar"/>
        </w:rPr>
        <w:t xml:space="preserve">由承包人承担</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17. 不可抗力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17.1 不可抗力的确认</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除通用合同条款约定的不可抗力事件之外，视为不可抗力的其他情形：</w:t>
      </w:r>
      <w:r>
        <w:rPr>
          <w:rStyle w:val="1373"/>
          <w:rFonts w:hint="eastAsia" w:ascii="仿宋" w:hAnsi="仿宋" w:eastAsia="仿宋" w:cs="仿宋"/>
          <w:sz w:val="24"/>
          <w:szCs w:val="24"/>
          <w:u w:val="single"/>
          <w:lang w:bidi="ar"/>
        </w:rPr>
        <w:t xml:space="preserve">  无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17.4 因不可抗力解除合同</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合同解除后，发包人应在商定或确定发包人应支付款项后</w:t>
      </w:r>
      <w:r>
        <w:rPr>
          <w:rStyle w:val="1373"/>
          <w:rFonts w:hint="eastAsia" w:ascii="仿宋" w:hAnsi="仿宋" w:eastAsia="仿宋" w:cs="仿宋"/>
          <w:sz w:val="24"/>
          <w:szCs w:val="24"/>
          <w:u w:val="single"/>
          <w:lang w:bidi="ar"/>
        </w:rPr>
        <w:t xml:space="preserve"> 60</w:t>
      </w:r>
      <w:r>
        <w:rPr>
          <w:rStyle w:val="1373"/>
          <w:rFonts w:hint="eastAsia" w:ascii="仿宋" w:hAnsi="仿宋" w:eastAsia="仿宋" w:cs="仿宋"/>
          <w:sz w:val="24"/>
          <w:szCs w:val="24"/>
          <w:lang w:bidi="ar"/>
        </w:rPr>
        <w:t xml:space="preserve">天内完成款项的支付。</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18. 保险</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18.1 工程保险</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关于工程保险的特别约定：</w:t>
      </w:r>
      <w:r>
        <w:rPr>
          <w:rStyle w:val="1373"/>
          <w:rFonts w:hint="eastAsia" w:ascii="仿宋" w:hAnsi="仿宋" w:eastAsia="仿宋" w:cs="仿宋"/>
          <w:sz w:val="24"/>
          <w:szCs w:val="24"/>
          <w:u w:val="single"/>
          <w:lang w:bidi="ar"/>
        </w:rPr>
        <w:t xml:space="preserve">承包人必须按国家或地方有关规定依法为本工程职工参加工伤保险，缴纳工伤保险费；承包人必须为从事危险作业的职工办理意外伤害保险、第三方责任险；承包人必须投保建筑工程一切险、安装工程一切险等，相关费用承包人承担。</w:t>
      </w:r>
      <w:r/>
    </w:p>
    <w:p>
      <w:pPr>
        <w:ind w:firstLine="480"/>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u w:val="single"/>
          <w:lang w:bidi="ar"/>
        </w:rPr>
        <w:t xml:space="preserve">承包人须对进入施工现场人员的意外或伤亡负全部责任，但不限于任何人员的意外或伤亡，不论该人员是否受雇于承包人或其分包人，承包人须保障发包人免负任何有关的索偿、要求、诉讼、成本、费用和支出。</w:t>
      </w:r>
      <w:r/>
    </w:p>
    <w:p>
      <w:pPr>
        <w:ind w:firstLine="480"/>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u w:val="single"/>
          <w:lang w:bidi="ar"/>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18.3 其他保险</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关于其他保险的约定：</w:t>
      </w:r>
      <w:r>
        <w:rPr>
          <w:rStyle w:val="1373"/>
          <w:rFonts w:hint="eastAsia" w:ascii="仿宋" w:hAnsi="仿宋" w:eastAsia="仿宋" w:cs="仿宋"/>
          <w:sz w:val="24"/>
          <w:szCs w:val="24"/>
          <w:u w:val="single"/>
          <w:lang w:bidi="ar"/>
        </w:rPr>
        <w:t xml:space="preserve">按通用条款执行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承包人是否应为其施工设备等办理财产保险：</w:t>
      </w:r>
      <w:r>
        <w:rPr>
          <w:rStyle w:val="1373"/>
          <w:rFonts w:hint="eastAsia" w:ascii="仿宋" w:hAnsi="仿宋" w:eastAsia="仿宋" w:cs="仿宋"/>
          <w:sz w:val="24"/>
          <w:szCs w:val="24"/>
          <w:u w:val="single"/>
          <w:lang w:bidi="ar"/>
        </w:rPr>
        <w:t xml:space="preserve">由承包人选择</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18.7 通知义务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关于变更保险合同时的通知义务的约定：</w:t>
      </w:r>
      <w:r>
        <w:rPr>
          <w:rStyle w:val="1373"/>
          <w:rFonts w:hint="eastAsia" w:ascii="仿宋" w:hAnsi="仿宋" w:eastAsia="仿宋" w:cs="仿宋"/>
          <w:sz w:val="24"/>
          <w:szCs w:val="24"/>
          <w:u w:val="single"/>
          <w:lang w:bidi="ar"/>
        </w:rPr>
        <w:t xml:space="preserve">由办理方告知 </w:t>
      </w:r>
      <w:r>
        <w:rPr>
          <w:rStyle w:val="1373"/>
          <w:rFonts w:hint="eastAsia" w:ascii="仿宋" w:hAnsi="仿宋" w:eastAsia="仿宋" w:cs="仿宋"/>
          <w:sz w:val="24"/>
          <w:szCs w:val="24"/>
          <w:lang w:bidi="ar"/>
        </w:rPr>
        <w:t xml:space="preserve">。</w:t>
      </w:r>
      <w:r/>
    </w:p>
    <w:p>
      <w:pPr>
        <w:keepLines/>
        <w:keepNext/>
        <w:spacing w:before="120" w:after="120" w:line="360" w:lineRule="exact"/>
        <w:widowControl/>
        <w:rPr>
          <w:rFonts w:hint="eastAsia" w:ascii="仿宋" w:hAnsi="仿宋" w:eastAsia="仿宋" w:cs="仿宋"/>
          <w:sz w:val="24"/>
          <w:szCs w:val="24"/>
        </w:rPr>
        <w:outlineLvl w:val="3"/>
      </w:pPr>
      <w:r>
        <w:rPr>
          <w:rStyle w:val="1373"/>
          <w:rFonts w:hint="eastAsia" w:ascii="仿宋" w:hAnsi="仿宋" w:eastAsia="仿宋" w:cs="仿宋"/>
          <w:sz w:val="24"/>
          <w:szCs w:val="24"/>
          <w:lang w:bidi="ar"/>
        </w:rPr>
        <w:t xml:space="preserve">20. 争议解决</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20.3 争议评审</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合同当事人是否同意将工程争议提交争议评审小组决定：</w:t>
      </w:r>
      <w:r>
        <w:rPr>
          <w:rStyle w:val="1373"/>
          <w:rFonts w:hint="eastAsia" w:ascii="仿宋" w:hAnsi="仿宋" w:eastAsia="仿宋" w:cs="仿宋"/>
          <w:sz w:val="24"/>
          <w:szCs w:val="24"/>
          <w:u w:val="single"/>
          <w:lang w:bidi="ar"/>
        </w:rPr>
        <w:t xml:space="preserve">  同意  </w:t>
      </w:r>
      <w:r>
        <w:rPr>
          <w:rStyle w:val="1373"/>
          <w:rFonts w:hint="eastAsia" w:ascii="仿宋" w:hAnsi="仿宋" w:eastAsia="仿宋" w:cs="仿宋"/>
          <w:sz w:val="24"/>
          <w:szCs w:val="24"/>
          <w:lang w:bidi="ar"/>
        </w:rPr>
        <w:t xml:space="preserve">。  </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20.3.1 争议评审小组的确定</w:t>
      </w:r>
      <w:r/>
    </w:p>
    <w:p>
      <w:pPr>
        <w:ind w:firstLine="480"/>
        <w:jc w:val="left"/>
        <w:spacing w:line="360" w:lineRule="exact"/>
        <w:widowControl/>
        <w:rPr>
          <w:rFonts w:hint="eastAsia" w:ascii="仿宋" w:hAnsi="仿宋" w:eastAsia="仿宋" w:cs="仿宋"/>
          <w:sz w:val="24"/>
          <w:szCs w:val="24"/>
          <w:u w:val="single"/>
        </w:rPr>
      </w:pPr>
      <w:r>
        <w:rPr>
          <w:rStyle w:val="1373"/>
          <w:rFonts w:hint="eastAsia" w:ascii="仿宋" w:hAnsi="仿宋" w:eastAsia="仿宋" w:cs="仿宋"/>
          <w:sz w:val="24"/>
          <w:szCs w:val="24"/>
          <w:lang w:bidi="ar"/>
        </w:rPr>
        <w:t xml:space="preserve">争议评审小组成员的确定：</w:t>
      </w:r>
      <w:r>
        <w:rPr>
          <w:rStyle w:val="1373"/>
          <w:rFonts w:hint="eastAsia" w:ascii="仿宋" w:hAnsi="仿宋" w:eastAsia="仿宋" w:cs="仿宋"/>
          <w:sz w:val="24"/>
          <w:szCs w:val="24"/>
          <w:u w:val="single"/>
          <w:lang w:bidi="ar"/>
        </w:rPr>
        <w:t xml:space="preserve"> 由甲方建设主管部门确定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选定争议评审员的期限：</w:t>
      </w:r>
      <w:r>
        <w:rPr>
          <w:rStyle w:val="1373"/>
          <w:rFonts w:hint="eastAsia" w:ascii="仿宋" w:hAnsi="仿宋" w:eastAsia="仿宋" w:cs="仿宋"/>
          <w:sz w:val="24"/>
          <w:szCs w:val="24"/>
          <w:u w:val="single"/>
          <w:lang w:bidi="ar"/>
        </w:rPr>
        <w:t xml:space="preserve"> 争议事件发生后45天内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争议评审小组成员的报酬承担方式：</w:t>
      </w:r>
      <w:r>
        <w:rPr>
          <w:rStyle w:val="1373"/>
          <w:rFonts w:hint="eastAsia" w:ascii="仿宋" w:hAnsi="仿宋" w:eastAsia="仿宋" w:cs="仿宋"/>
          <w:sz w:val="24"/>
          <w:szCs w:val="24"/>
          <w:u w:val="single"/>
          <w:lang w:bidi="ar"/>
        </w:rPr>
        <w:t xml:space="preserve"> 按责任大小比例承担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其他事项的约定：</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20.3.2 争议评审小组的决定</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合同当事人关于本项的约定：</w:t>
      </w:r>
      <w:r>
        <w:rPr>
          <w:rStyle w:val="1373"/>
          <w:rFonts w:hint="eastAsia" w:ascii="仿宋" w:hAnsi="仿宋" w:eastAsia="仿宋" w:cs="仿宋"/>
          <w:sz w:val="24"/>
          <w:szCs w:val="24"/>
          <w:u w:val="single"/>
          <w:lang w:bidi="ar"/>
        </w:rPr>
        <w:t xml:space="preserve">同意评审小组的决定</w:t>
      </w:r>
      <w:r>
        <w:rPr>
          <w:rStyle w:val="1373"/>
          <w:rFonts w:hint="eastAsia" w:ascii="仿宋" w:hAnsi="仿宋" w:eastAsia="仿宋" w:cs="仿宋"/>
          <w:sz w:val="24"/>
          <w:szCs w:val="24"/>
          <w:lang w:bidi="ar"/>
        </w:rPr>
        <w:t xml:space="preserve">。</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20.4仲裁或诉讼</w:t>
      </w:r>
      <w:r/>
    </w:p>
    <w:p>
      <w:pPr>
        <w:ind w:firstLine="480"/>
        <w:spacing w:after="120"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因合同及合同有关事项发生的争议，按下列第</w:t>
      </w:r>
      <w:r>
        <w:rPr>
          <w:rStyle w:val="1373"/>
          <w:rFonts w:hint="eastAsia" w:ascii="仿宋" w:hAnsi="仿宋" w:eastAsia="仿宋" w:cs="仿宋"/>
          <w:sz w:val="24"/>
          <w:szCs w:val="24"/>
          <w:u w:val="single"/>
          <w:lang w:bidi="ar"/>
        </w:rPr>
        <w:t xml:space="preserve">  2  </w:t>
      </w:r>
      <w:r>
        <w:rPr>
          <w:rStyle w:val="1373"/>
          <w:rFonts w:hint="eastAsia" w:ascii="仿宋" w:hAnsi="仿宋" w:eastAsia="仿宋" w:cs="仿宋"/>
          <w:sz w:val="24"/>
          <w:szCs w:val="24"/>
          <w:lang w:bidi="ar"/>
        </w:rPr>
        <w:t xml:space="preserve">种方式解决：</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（1）向</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仲裁委员会申请仲裁；</w:t>
      </w:r>
      <w:r/>
    </w:p>
    <w:p>
      <w:pPr>
        <w:ind w:firstLine="480"/>
        <w:jc w:val="left"/>
        <w:spacing w:line="360" w:lineRule="exact"/>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（2）向</w:t>
      </w:r>
      <w:r>
        <w:rPr>
          <w:rStyle w:val="1373"/>
          <w:rFonts w:hint="eastAsia" w:ascii="仿宋" w:hAnsi="仿宋" w:eastAsia="仿宋" w:cs="仿宋"/>
          <w:sz w:val="24"/>
          <w:szCs w:val="24"/>
          <w:u w:val="single"/>
          <w:lang w:bidi="ar"/>
        </w:rPr>
        <w:t xml:space="preserve"> 本工程所在地有管辖权的 </w:t>
      </w:r>
      <w:r>
        <w:rPr>
          <w:rStyle w:val="1373"/>
          <w:rFonts w:hint="eastAsia" w:ascii="仿宋" w:hAnsi="仿宋" w:eastAsia="仿宋" w:cs="仿宋"/>
          <w:sz w:val="24"/>
          <w:szCs w:val="24"/>
          <w:lang w:bidi="ar"/>
        </w:rPr>
        <w:t xml:space="preserve">人民法院起诉。</w:t>
      </w:r>
      <w:r/>
    </w:p>
    <w:p>
      <w:pPr>
        <w:pStyle w:val="1374"/>
        <w:spacing w:after="40" w:line="360" w:lineRule="exact"/>
        <w:rPr>
          <w:rFonts w:hint="eastAsia" w:ascii="仿宋" w:hAnsi="仿宋" w:eastAsia="仿宋" w:cs="仿宋"/>
          <w:b/>
          <w:sz w:val="24"/>
          <w:szCs w:val="24"/>
        </w:rPr>
      </w:pPr>
      <w:r>
        <w:rPr>
          <w:rStyle w:val="1373"/>
          <w:rFonts w:hint="eastAsia" w:ascii="仿宋" w:hAnsi="仿宋" w:eastAsia="仿宋" w:cs="仿宋"/>
          <w:b/>
          <w:sz w:val="24"/>
          <w:szCs w:val="24"/>
        </w:rPr>
        <w:t xml:space="preserve"> </w:t>
      </w:r>
      <w:r/>
    </w:p>
    <w:p>
      <w:pPr>
        <w:pStyle w:val="1374"/>
        <w:spacing w:after="40" w:line="360" w:lineRule="exact"/>
        <w:rPr>
          <w:rFonts w:hint="eastAsia" w:ascii="仿宋" w:hAnsi="仿宋" w:eastAsia="仿宋" w:cs="仿宋"/>
          <w:b/>
          <w:sz w:val="24"/>
          <w:szCs w:val="24"/>
        </w:rPr>
      </w:pPr>
      <w:r>
        <w:rPr>
          <w:rStyle w:val="1373"/>
          <w:rFonts w:hint="eastAsia" w:ascii="仿宋" w:hAnsi="仿宋" w:eastAsia="仿宋" w:cs="仿宋"/>
          <w:b/>
          <w:sz w:val="24"/>
          <w:szCs w:val="24"/>
        </w:rPr>
        <w:t xml:space="preserve">附件</w:t>
      </w:r>
      <w:r/>
    </w:p>
    <w:p>
      <w:pPr>
        <w:pStyle w:val="719"/>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附件1：工程质量保修书</w:t>
      </w:r>
      <w:r/>
    </w:p>
    <w:p>
      <w:pPr>
        <w:pStyle w:val="719"/>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附件2：建设工程廉政责任书</w:t>
      </w:r>
      <w:r/>
    </w:p>
    <w:p>
      <w:pPr>
        <w:pStyle w:val="719"/>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附件3：工程安全生产合同</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sz w:val="24"/>
          <w:szCs w:val="24"/>
          <w:lang w:bidi="ar"/>
        </w:rPr>
        <w:br w:type="page" w:clear="all"/>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附件1：    </w:t>
      </w:r>
      <w:r/>
    </w:p>
    <w:p>
      <w:pPr>
        <w:pStyle w:val="719"/>
        <w:jc w:val="center"/>
        <w:spacing w:beforeAutospacing="0" w:afterAutospacing="0" w:line="360" w:lineRule="auto"/>
        <w:widowControl/>
        <w:rPr>
          <w:rFonts w:hint="eastAsia" w:ascii="仿宋" w:hAnsi="仿宋" w:eastAsia="仿宋" w:cs="仿宋"/>
          <w:b/>
          <w:bCs/>
          <w:szCs w:val="24"/>
        </w:rPr>
      </w:pPr>
      <w:r>
        <w:rPr>
          <w:rStyle w:val="1373"/>
          <w:rFonts w:hint="eastAsia" w:ascii="仿宋" w:hAnsi="仿宋" w:eastAsia="仿宋" w:cs="仿宋"/>
          <w:b/>
          <w:bCs/>
          <w:sz w:val="24"/>
          <w:szCs w:val="24"/>
          <w:lang w:bidi="ar"/>
        </w:rPr>
        <w:t xml:space="preserve">工程质量保修书</w:t>
      </w:r>
      <w:r/>
    </w:p>
    <w:p>
      <w:pPr>
        <w:pStyle w:val="719"/>
        <w:ind w:firstLine="480"/>
        <w:jc w:val="both"/>
        <w:spacing w:beforeAutospacing="0" w:afterAutospacing="0" w:line="360" w:lineRule="auto"/>
        <w:widowControl/>
        <w:rPr>
          <w:rFonts w:hint="eastAsia" w:ascii="仿宋" w:hAnsi="仿宋" w:eastAsia="仿宋" w:cs="仿宋"/>
          <w:szCs w:val="24"/>
          <w:u w:val="single"/>
        </w:rPr>
      </w:pPr>
      <w:r>
        <w:rPr>
          <w:rStyle w:val="1373"/>
          <w:rFonts w:hint="eastAsia" w:ascii="仿宋" w:hAnsi="仿宋" w:eastAsia="仿宋" w:cs="仿宋"/>
          <w:sz w:val="24"/>
          <w:szCs w:val="24"/>
          <w:lang w:bidi="ar"/>
        </w:rPr>
        <w:t xml:space="preserve">发包人（全称）：</w:t>
      </w:r>
      <w:r>
        <w:rPr>
          <w:rStyle w:val="1373"/>
          <w:rFonts w:hint="eastAsia" w:ascii="仿宋" w:hAnsi="仿宋" w:eastAsia="仿宋" w:cs="仿宋"/>
          <w:sz w:val="24"/>
          <w:szCs w:val="24"/>
          <w:u w:val="single"/>
          <w:lang w:bidi="ar"/>
        </w:rPr>
        <w:t xml:space="preserve">江苏省沙集闸站管理所</w:t>
      </w:r>
      <w:r/>
    </w:p>
    <w:p>
      <w:pPr>
        <w:pStyle w:val="719"/>
        <w:ind w:firstLine="480"/>
        <w:jc w:val="both"/>
        <w:spacing w:beforeAutospacing="0" w:afterAutospacing="0" w:line="360" w:lineRule="exact"/>
        <w:widowControl/>
        <w:rPr>
          <w:rFonts w:hint="eastAsia" w:ascii="仿宋" w:hAnsi="仿宋" w:eastAsia="仿宋" w:cs="仿宋"/>
          <w:szCs w:val="24"/>
          <w:u w:val="single"/>
        </w:rPr>
      </w:pPr>
      <w:r>
        <w:rPr>
          <w:rStyle w:val="1373"/>
          <w:rFonts w:hint="eastAsia" w:ascii="仿宋" w:hAnsi="仿宋" w:eastAsia="仿宋" w:cs="仿宋"/>
          <w:sz w:val="24"/>
          <w:szCs w:val="24"/>
          <w:lang w:bidi="ar"/>
        </w:rPr>
        <w:t xml:space="preserve">承包人（全称）：</w:t>
      </w:r>
      <w:r>
        <w:rPr>
          <w:rStyle w:val="1373"/>
          <w:rFonts w:hint="eastAsia" w:ascii="仿宋" w:hAnsi="仿宋" w:eastAsia="仿宋" w:cs="仿宋"/>
          <w:sz w:val="24"/>
          <w:szCs w:val="24"/>
          <w:u w:val="single"/>
          <w:lang w:bidi="ar"/>
        </w:rPr>
        <w:t xml:space="preserve">                        </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发包人和承包人根据《中华人民共和国建筑法》和《建设工程质量管理条例》，经协商一致就</w:t>
      </w:r>
      <w:r>
        <w:rPr>
          <w:rStyle w:val="1373"/>
          <w:rFonts w:hint="eastAsia" w:ascii="仿宋" w:hAnsi="仿宋" w:eastAsia="仿宋" w:cs="仿宋"/>
          <w:sz w:val="24"/>
          <w:szCs w:val="24"/>
          <w:u w:val="single"/>
          <w:lang w:eastAsia="zh-CN" w:bidi="ar"/>
        </w:rPr>
        <w:t xml:space="preserve">沙集站变电所高压开关柜改造（10台）</w:t>
      </w:r>
      <w:r>
        <w:rPr>
          <w:rStyle w:val="1373"/>
          <w:rFonts w:hint="eastAsia" w:ascii="仿宋" w:hAnsi="仿宋" w:eastAsia="仿宋" w:cs="仿宋"/>
          <w:sz w:val="24"/>
          <w:szCs w:val="24"/>
          <w:lang w:bidi="ar"/>
        </w:rPr>
        <w:t xml:space="preserve">（工程全称）签订工程质量保修书。</w:t>
      </w:r>
      <w:r/>
    </w:p>
    <w:p>
      <w:pPr>
        <w:pStyle w:val="719"/>
        <w:jc w:val="both"/>
        <w:spacing w:beforeAutospacing="0" w:afterAutospacing="0" w:line="360" w:lineRule="exact"/>
        <w:widowControl/>
        <w:rPr>
          <w:rFonts w:hint="eastAsia" w:ascii="仿宋" w:hAnsi="仿宋" w:eastAsia="仿宋" w:cs="仿宋"/>
          <w:b/>
          <w:szCs w:val="24"/>
        </w:rPr>
      </w:pPr>
      <w:r>
        <w:rPr>
          <w:rStyle w:val="1373"/>
          <w:rFonts w:hint="eastAsia" w:ascii="仿宋" w:hAnsi="仿宋" w:eastAsia="仿宋" w:cs="仿宋"/>
          <w:b/>
          <w:sz w:val="24"/>
          <w:szCs w:val="24"/>
          <w:lang w:bidi="ar"/>
        </w:rPr>
        <w:t xml:space="preserve">一、工程质量保修范围和内容</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承包人在质量保修期内，按照有关法律规定和合同约定，承担工程质量保修责任。</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Style w:val="1373"/>
          <w:rFonts w:hint="eastAsia" w:ascii="仿宋" w:hAnsi="仿宋" w:eastAsia="仿宋" w:cs="仿宋"/>
          <w:sz w:val="24"/>
          <w:szCs w:val="24"/>
          <w:u w:val="single"/>
          <w:lang w:bidi="ar"/>
        </w:rPr>
        <w:t xml:space="preserve">图纸及工程量清单范围内的工程，主要内容为合同范围内的全部项目</w:t>
      </w:r>
      <w:r>
        <w:rPr>
          <w:rStyle w:val="1373"/>
          <w:rFonts w:hint="eastAsia" w:ascii="仿宋" w:hAnsi="仿宋" w:eastAsia="仿宋" w:cs="仿宋"/>
          <w:sz w:val="24"/>
          <w:szCs w:val="24"/>
          <w:lang w:bidi="ar"/>
        </w:rPr>
        <w:t xml:space="preserve">。</w:t>
      </w:r>
      <w:r/>
    </w:p>
    <w:p>
      <w:pPr>
        <w:pStyle w:val="719"/>
        <w:jc w:val="both"/>
        <w:spacing w:beforeAutospacing="0" w:afterAutospacing="0" w:line="360" w:lineRule="exact"/>
        <w:widowControl/>
        <w:rPr>
          <w:rFonts w:hint="eastAsia" w:ascii="仿宋" w:hAnsi="仿宋" w:eastAsia="仿宋" w:cs="仿宋"/>
          <w:b/>
          <w:szCs w:val="24"/>
        </w:rPr>
      </w:pPr>
      <w:r>
        <w:rPr>
          <w:rStyle w:val="1373"/>
          <w:rFonts w:hint="eastAsia" w:ascii="仿宋" w:hAnsi="仿宋" w:eastAsia="仿宋" w:cs="仿宋"/>
          <w:b/>
          <w:sz w:val="24"/>
          <w:szCs w:val="24"/>
          <w:lang w:bidi="ar"/>
        </w:rPr>
        <w:t xml:space="preserve">二、质量保修期</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根据《建设工程质量管理条例》及有关规定，工程的质量保修期如下：</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1．地基基础工程和主体结构工程为设计文件规定的工程合理使用年限；</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2．屋面防水工程、有防水要求的卫生间、房间和外墙面的防渗为</w:t>
      </w:r>
      <w:r>
        <w:rPr>
          <w:rStyle w:val="1373"/>
          <w:rFonts w:hint="eastAsia" w:ascii="仿宋" w:hAnsi="仿宋" w:eastAsia="仿宋" w:cs="仿宋"/>
          <w:sz w:val="24"/>
          <w:szCs w:val="24"/>
          <w:u w:val="single"/>
          <w:lang w:bidi="ar"/>
        </w:rPr>
        <w:t xml:space="preserve"> 5 </w:t>
      </w:r>
      <w:r>
        <w:rPr>
          <w:rStyle w:val="1373"/>
          <w:rFonts w:hint="eastAsia" w:ascii="仿宋" w:hAnsi="仿宋" w:eastAsia="仿宋" w:cs="仿宋"/>
          <w:sz w:val="24"/>
          <w:szCs w:val="24"/>
          <w:lang w:bidi="ar"/>
        </w:rPr>
        <w:t xml:space="preserve">年；</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3．装修工程为</w:t>
      </w:r>
      <w:r>
        <w:rPr>
          <w:rStyle w:val="1373"/>
          <w:rFonts w:hint="eastAsia" w:ascii="仿宋" w:hAnsi="仿宋" w:eastAsia="仿宋" w:cs="仿宋"/>
          <w:sz w:val="24"/>
          <w:szCs w:val="24"/>
          <w:u w:val="single"/>
          <w:lang w:bidi="ar"/>
        </w:rPr>
        <w:t xml:space="preserve"> 2 </w:t>
      </w:r>
      <w:r>
        <w:rPr>
          <w:rStyle w:val="1373"/>
          <w:rFonts w:hint="eastAsia" w:ascii="仿宋" w:hAnsi="仿宋" w:eastAsia="仿宋" w:cs="仿宋"/>
          <w:sz w:val="24"/>
          <w:szCs w:val="24"/>
          <w:lang w:bidi="ar"/>
        </w:rPr>
        <w:t xml:space="preserve">年；</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4．电气管线、给排水管道、设备安装工程为</w:t>
      </w:r>
      <w:r>
        <w:rPr>
          <w:rStyle w:val="1373"/>
          <w:rFonts w:hint="eastAsia" w:ascii="仿宋" w:hAnsi="仿宋" w:eastAsia="仿宋" w:cs="仿宋"/>
          <w:sz w:val="24"/>
          <w:szCs w:val="24"/>
          <w:u w:val="single"/>
          <w:lang w:bidi="ar"/>
        </w:rPr>
        <w:t xml:space="preserve"> 2 </w:t>
      </w:r>
      <w:r>
        <w:rPr>
          <w:rStyle w:val="1373"/>
          <w:rFonts w:hint="eastAsia" w:ascii="仿宋" w:hAnsi="仿宋" w:eastAsia="仿宋" w:cs="仿宋"/>
          <w:sz w:val="24"/>
          <w:szCs w:val="24"/>
          <w:lang w:bidi="ar"/>
        </w:rPr>
        <w:t xml:space="preserve">年；</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5．供热与供冷系统为</w:t>
      </w:r>
      <w:r>
        <w:rPr>
          <w:rStyle w:val="1373"/>
          <w:rFonts w:hint="eastAsia" w:ascii="仿宋" w:hAnsi="仿宋" w:eastAsia="仿宋" w:cs="仿宋"/>
          <w:sz w:val="24"/>
          <w:szCs w:val="24"/>
          <w:u w:val="single"/>
          <w:lang w:bidi="ar"/>
        </w:rPr>
        <w:t xml:space="preserve">  2 </w:t>
      </w:r>
      <w:r>
        <w:rPr>
          <w:rStyle w:val="1373"/>
          <w:rFonts w:hint="eastAsia" w:ascii="仿宋" w:hAnsi="仿宋" w:eastAsia="仿宋" w:cs="仿宋"/>
          <w:sz w:val="24"/>
          <w:szCs w:val="24"/>
          <w:lang w:bidi="ar"/>
        </w:rPr>
        <w:t xml:space="preserve">个采暖期、供冷期；</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6．住宅小区内的给排水设施、道路等配套工程为</w:t>
      </w:r>
      <w:r>
        <w:rPr>
          <w:rStyle w:val="1373"/>
          <w:rFonts w:hint="eastAsia" w:ascii="仿宋" w:hAnsi="仿宋" w:eastAsia="仿宋" w:cs="仿宋"/>
          <w:sz w:val="24"/>
          <w:szCs w:val="24"/>
          <w:u w:val="single"/>
          <w:lang w:bidi="ar"/>
        </w:rPr>
        <w:t xml:space="preserve"> 2 </w:t>
      </w:r>
      <w:r>
        <w:rPr>
          <w:rStyle w:val="1373"/>
          <w:rFonts w:hint="eastAsia" w:ascii="仿宋" w:hAnsi="仿宋" w:eastAsia="仿宋" w:cs="仿宋"/>
          <w:sz w:val="24"/>
          <w:szCs w:val="24"/>
          <w:lang w:bidi="ar"/>
        </w:rPr>
        <w:t xml:space="preserve">年；</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7．其他项目保修期限约定如下：</w:t>
      </w:r>
      <w:r>
        <w:rPr>
          <w:rStyle w:val="1373"/>
          <w:rFonts w:hint="eastAsia" w:ascii="仿宋" w:hAnsi="仿宋" w:eastAsia="仿宋" w:cs="仿宋"/>
          <w:sz w:val="24"/>
          <w:szCs w:val="24"/>
          <w:u w:val="single"/>
          <w:lang w:bidi="ar"/>
        </w:rPr>
        <w:t xml:space="preserve">按照国家《建设工程质量管理条例》执行，但不得少于2 年</w:t>
      </w:r>
      <w:r>
        <w:rPr>
          <w:rStyle w:val="1373"/>
          <w:rFonts w:hint="eastAsia" w:ascii="仿宋" w:hAnsi="仿宋" w:eastAsia="仿宋" w:cs="仿宋"/>
          <w:sz w:val="24"/>
          <w:szCs w:val="24"/>
          <w:lang w:bidi="ar"/>
        </w:rPr>
        <w:t xml:space="preserve">。</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质量保修期自工程竣工验收合格之日起计算。</w:t>
      </w:r>
      <w:r/>
    </w:p>
    <w:p>
      <w:pPr>
        <w:pStyle w:val="719"/>
        <w:jc w:val="both"/>
        <w:spacing w:beforeAutospacing="0" w:afterAutospacing="0" w:line="360" w:lineRule="exact"/>
        <w:widowControl/>
        <w:rPr>
          <w:rFonts w:hint="eastAsia" w:ascii="仿宋" w:hAnsi="仿宋" w:eastAsia="仿宋" w:cs="仿宋"/>
          <w:b/>
          <w:szCs w:val="24"/>
        </w:rPr>
      </w:pPr>
      <w:r>
        <w:rPr>
          <w:rStyle w:val="1373"/>
          <w:rFonts w:hint="eastAsia" w:ascii="仿宋" w:hAnsi="仿宋" w:eastAsia="仿宋" w:cs="仿宋"/>
          <w:b/>
          <w:sz w:val="24"/>
          <w:szCs w:val="24"/>
          <w:lang w:bidi="ar"/>
        </w:rPr>
        <w:t xml:space="preserve">三、缺陷责任期</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工程缺陷责任期为</w:t>
      </w:r>
      <w:r>
        <w:rPr>
          <w:rStyle w:val="1373"/>
          <w:rFonts w:hint="eastAsia" w:ascii="仿宋" w:hAnsi="仿宋" w:eastAsia="仿宋" w:cs="仿宋"/>
          <w:sz w:val="24"/>
          <w:szCs w:val="24"/>
          <w:u w:val="single"/>
          <w:lang w:bidi="ar"/>
        </w:rPr>
        <w:t xml:space="preserve"> 24 </w:t>
      </w:r>
      <w:r>
        <w:rPr>
          <w:rStyle w:val="1373"/>
          <w:rFonts w:hint="eastAsia" w:ascii="仿宋" w:hAnsi="仿宋" w:eastAsia="仿宋" w:cs="仿宋"/>
          <w:sz w:val="24"/>
          <w:szCs w:val="24"/>
          <w:lang w:bidi="ar"/>
        </w:rPr>
        <w:t xml:space="preserve">个月，缺陷责任期自工程通过竣工验收之日起计算。单位工程先于全部工程进行验收，单位工程缺陷责任期自单位工程验收合格之日起算。</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缺陷责任期终止后，发包人应退还剩余的质量保证金。</w:t>
      </w:r>
      <w:r/>
    </w:p>
    <w:p>
      <w:pPr>
        <w:pStyle w:val="719"/>
        <w:jc w:val="both"/>
        <w:spacing w:beforeAutospacing="0" w:afterAutospacing="0" w:line="360" w:lineRule="exact"/>
        <w:widowControl/>
        <w:rPr>
          <w:rFonts w:hint="eastAsia" w:ascii="仿宋" w:hAnsi="仿宋" w:eastAsia="仿宋" w:cs="仿宋"/>
          <w:b/>
          <w:szCs w:val="24"/>
        </w:rPr>
      </w:pPr>
      <w:r>
        <w:rPr>
          <w:rStyle w:val="1373"/>
          <w:rFonts w:hint="eastAsia" w:ascii="仿宋" w:hAnsi="仿宋" w:eastAsia="仿宋" w:cs="仿宋"/>
          <w:b/>
          <w:sz w:val="24"/>
          <w:szCs w:val="24"/>
          <w:lang w:bidi="ar"/>
        </w:rPr>
        <w:t xml:space="preserve">四、质量保修责任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1、属于保修范围、内容的项目，承包人应当在接到保修通知之日起7天内派人保修。承包人不在约定期限内派人保修的，发包人可以委托他人修理。</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2、发生紧急事故需抢修的，承包人在接到事故通知后，应当立即到达事故现场抢修。</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4、质量保修完成后，由发包人组织验收。</w:t>
      </w:r>
      <w:r/>
    </w:p>
    <w:p>
      <w:pPr>
        <w:pStyle w:val="719"/>
        <w:jc w:val="both"/>
        <w:spacing w:beforeAutospacing="0" w:afterAutospacing="0" w:line="360" w:lineRule="exact"/>
        <w:widowControl/>
        <w:rPr>
          <w:rFonts w:hint="eastAsia" w:ascii="仿宋" w:hAnsi="仿宋" w:eastAsia="仿宋" w:cs="仿宋"/>
          <w:b/>
          <w:szCs w:val="24"/>
        </w:rPr>
      </w:pPr>
      <w:r>
        <w:rPr>
          <w:rStyle w:val="1373"/>
          <w:rFonts w:hint="eastAsia" w:ascii="仿宋" w:hAnsi="仿宋" w:eastAsia="仿宋" w:cs="仿宋"/>
          <w:b/>
          <w:sz w:val="24"/>
          <w:szCs w:val="24"/>
          <w:lang w:bidi="ar"/>
        </w:rPr>
        <w:t xml:space="preserve">五、保修费用</w:t>
      </w:r>
      <w:r/>
    </w:p>
    <w:p>
      <w:pPr>
        <w:pStyle w:val="719"/>
        <w:ind w:firstLine="48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保修费用由造成质量缺陷的责任方承担。</w:t>
      </w:r>
      <w:r/>
    </w:p>
    <w:p>
      <w:pPr>
        <w:pStyle w:val="719"/>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b/>
          <w:sz w:val="24"/>
          <w:szCs w:val="24"/>
          <w:lang w:bidi="ar"/>
        </w:rPr>
        <w:t xml:space="preserve">六、双方约定的其他工程质量保修事项</w:t>
      </w:r>
      <w:r>
        <w:rPr>
          <w:rStyle w:val="1373"/>
          <w:rFonts w:hint="eastAsia" w:ascii="仿宋" w:hAnsi="仿宋" w:eastAsia="仿宋" w:cs="仿宋"/>
          <w:sz w:val="24"/>
          <w:szCs w:val="24"/>
          <w:lang w:bidi="ar"/>
        </w:rPr>
        <w:t xml:space="preserve">：</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w:t>
      </w:r>
      <w:r/>
    </w:p>
    <w:p>
      <w:pPr>
        <w:pStyle w:val="719"/>
        <w:ind w:firstLine="480"/>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工程质量保修书由发包人、承包人在工程竣工验收前共同签署，作为施工合同附件，其有效期限至保修期满。</w:t>
      </w:r>
      <w:r/>
    </w:p>
    <w:p>
      <w:pPr>
        <w:pStyle w:val="719"/>
        <w:ind w:firstLine="420"/>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发包人(公章)：</w:t>
      </w:r>
      <w:r>
        <w:rPr>
          <w:rStyle w:val="1373"/>
          <w:rFonts w:hint="eastAsia" w:ascii="仿宋" w:hAnsi="仿宋" w:eastAsia="仿宋" w:cs="仿宋"/>
          <w:sz w:val="24"/>
          <w:szCs w:val="24"/>
          <w:u w:val="single"/>
          <w:lang w:bidi="ar"/>
        </w:rPr>
        <w:t xml:space="preserve">               </w:t>
      </w:r>
      <w:r>
        <w:rPr>
          <w:rStyle w:val="1373"/>
          <w:rFonts w:hint="eastAsia" w:ascii="仿宋" w:hAnsi="仿宋" w:eastAsia="仿宋" w:cs="仿宋"/>
          <w:sz w:val="24"/>
          <w:szCs w:val="24"/>
          <w:lang w:bidi="ar"/>
        </w:rPr>
        <w:t xml:space="preserve">      承包人(公章)：</w:t>
      </w:r>
      <w:r>
        <w:rPr>
          <w:rStyle w:val="1373"/>
          <w:rFonts w:hint="eastAsia" w:ascii="仿宋" w:hAnsi="仿宋" w:eastAsia="仿宋" w:cs="仿宋"/>
          <w:sz w:val="24"/>
          <w:szCs w:val="24"/>
          <w:u w:val="single"/>
          <w:lang w:bidi="ar"/>
        </w:rPr>
        <w:t xml:space="preserve">           </w:t>
      </w:r>
      <w:r/>
    </w:p>
    <w:p>
      <w:pPr>
        <w:pStyle w:val="719"/>
        <w:ind w:left="4364" w:hanging="4284"/>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地  址：</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地  址：</w:t>
      </w:r>
      <w:r>
        <w:rPr>
          <w:rStyle w:val="1373"/>
          <w:rFonts w:hint="eastAsia" w:ascii="仿宋" w:hAnsi="仿宋" w:eastAsia="仿宋" w:cs="仿宋"/>
          <w:sz w:val="24"/>
          <w:szCs w:val="24"/>
          <w:u w:val="single"/>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法定代表人(签字)：</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法定代表人(签字)：</w:t>
      </w:r>
      <w:r>
        <w:rPr>
          <w:rStyle w:val="1373"/>
          <w:rFonts w:hint="eastAsia" w:ascii="仿宋" w:hAnsi="仿宋" w:eastAsia="仿宋" w:cs="仿宋"/>
          <w:sz w:val="24"/>
          <w:szCs w:val="24"/>
          <w:u w:val="single"/>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委托代理人(签字)：</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委托代理人(签字)：</w:t>
      </w:r>
      <w:r>
        <w:rPr>
          <w:rStyle w:val="1373"/>
          <w:rFonts w:hint="eastAsia" w:ascii="仿宋" w:hAnsi="仿宋" w:eastAsia="仿宋" w:cs="仿宋"/>
          <w:sz w:val="24"/>
          <w:szCs w:val="24"/>
          <w:u w:val="single"/>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电  话：</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电  话：</w:t>
      </w:r>
      <w:r>
        <w:rPr>
          <w:rStyle w:val="1373"/>
          <w:rFonts w:hint="eastAsia" w:ascii="仿宋" w:hAnsi="仿宋" w:eastAsia="仿宋" w:cs="仿宋"/>
          <w:sz w:val="24"/>
          <w:szCs w:val="24"/>
          <w:u w:val="single"/>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传  真：</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传  真：</w:t>
      </w:r>
      <w:r>
        <w:rPr>
          <w:rStyle w:val="1373"/>
          <w:rFonts w:hint="eastAsia" w:ascii="仿宋" w:hAnsi="仿宋" w:eastAsia="仿宋" w:cs="仿宋"/>
          <w:sz w:val="24"/>
          <w:szCs w:val="24"/>
          <w:u w:val="single"/>
          <w:lang w:bidi="ar"/>
        </w:rPr>
        <w:t xml:space="preserve">              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开户银行：</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开户银行：</w:t>
      </w:r>
      <w:r>
        <w:rPr>
          <w:rStyle w:val="1373"/>
          <w:rFonts w:hint="eastAsia" w:ascii="仿宋" w:hAnsi="仿宋" w:eastAsia="仿宋" w:cs="仿宋"/>
          <w:sz w:val="24"/>
          <w:szCs w:val="24"/>
          <w:u w:val="single"/>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账  号：</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账  号：</w:t>
      </w:r>
      <w:r>
        <w:rPr>
          <w:rStyle w:val="1373"/>
          <w:rFonts w:hint="eastAsia" w:ascii="仿宋" w:hAnsi="仿宋" w:eastAsia="仿宋" w:cs="仿宋"/>
          <w:sz w:val="24"/>
          <w:szCs w:val="24"/>
          <w:u w:val="single"/>
          <w:lang w:bidi="ar"/>
        </w:rPr>
        <w:t xml:space="preserve">                   </w:t>
      </w:r>
      <w:r/>
    </w:p>
    <w:p>
      <w:pPr>
        <w:pStyle w:val="71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邮政编码：</w:t>
      </w:r>
      <w:r>
        <w:rPr>
          <w:rStyle w:val="1373"/>
          <w:rFonts w:hint="eastAsia" w:ascii="仿宋" w:hAnsi="仿宋" w:eastAsia="仿宋" w:cs="仿宋"/>
          <w:sz w:val="24"/>
          <w:szCs w:val="24"/>
          <w:u w:val="single"/>
          <w:lang w:bidi="ar"/>
        </w:rPr>
        <w:t xml:space="preserve">               </w:t>
      </w:r>
      <w:r>
        <w:rPr>
          <w:rStyle w:val="1373"/>
          <w:rFonts w:hint="eastAsia" w:ascii="仿宋" w:hAnsi="仿宋" w:eastAsia="仿宋" w:cs="仿宋"/>
          <w:sz w:val="24"/>
          <w:szCs w:val="24"/>
          <w:lang w:bidi="ar"/>
        </w:rPr>
        <w:t xml:space="preserve">            邮政编码：</w:t>
      </w:r>
      <w:r>
        <w:rPr>
          <w:rStyle w:val="1373"/>
          <w:rFonts w:hint="eastAsia" w:ascii="仿宋" w:hAnsi="仿宋" w:eastAsia="仿宋" w:cs="仿宋"/>
          <w:sz w:val="24"/>
          <w:szCs w:val="24"/>
          <w:u w:val="single"/>
          <w:lang w:bidi="ar"/>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pStyle w:val="1375"/>
        <w:widowControl/>
        <w:rPr>
          <w:rFonts w:hint="eastAsia" w:ascii="仿宋" w:hAnsi="仿宋" w:eastAsia="仿宋" w:cs="仿宋"/>
          <w:sz w:val="24"/>
          <w:szCs w:val="24"/>
        </w:rPr>
      </w:pPr>
      <w:r>
        <w:rPr>
          <w:rStyle w:val="1373"/>
          <w:rFonts w:hint="eastAsia" w:ascii="仿宋" w:hAnsi="仿宋" w:eastAsia="仿宋" w:cs="仿宋"/>
          <w:sz w:val="24"/>
          <w:szCs w:val="24"/>
        </w:rPr>
        <w:t xml:space="preserve"> </w:t>
      </w:r>
      <w:r/>
    </w:p>
    <w:p>
      <w:pPr>
        <w:spacing w:after="240" w:line="44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 </w:t>
      </w:r>
      <w:r/>
    </w:p>
    <w:p>
      <w:pPr>
        <w:spacing w:after="240" w:line="440" w:lineRule="exact"/>
        <w:widowControl/>
        <w:rPr>
          <w:rFonts w:hint="eastAsia" w:ascii="仿宋" w:hAnsi="仿宋" w:eastAsia="仿宋" w:cs="仿宋"/>
          <w:bCs/>
          <w:sz w:val="24"/>
          <w:szCs w:val="24"/>
        </w:rPr>
      </w:pPr>
      <w:r>
        <w:rPr>
          <w:rStyle w:val="1373"/>
          <w:rFonts w:hint="eastAsia" w:ascii="仿宋" w:hAnsi="仿宋" w:eastAsia="仿宋" w:cs="仿宋"/>
          <w:bCs/>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bCs/>
          <w:sz w:val="24"/>
          <w:szCs w:val="24"/>
          <w:lang w:bidi="ar"/>
        </w:rPr>
        <w:br w:type="page" w:clear="all"/>
      </w:r>
      <w:r/>
    </w:p>
    <w:p>
      <w:pPr>
        <w:spacing w:after="240" w:line="440" w:lineRule="exact"/>
        <w:widowControl/>
        <w:rPr>
          <w:rFonts w:hint="eastAsia" w:ascii="仿宋" w:hAnsi="仿宋" w:eastAsia="仿宋" w:cs="仿宋"/>
          <w:sz w:val="24"/>
          <w:szCs w:val="24"/>
        </w:rPr>
      </w:pPr>
      <w:r>
        <w:rPr>
          <w:rStyle w:val="1373"/>
          <w:rFonts w:hint="eastAsia" w:ascii="仿宋" w:hAnsi="仿宋" w:eastAsia="仿宋" w:cs="仿宋"/>
          <w:bCs/>
          <w:sz w:val="24"/>
          <w:szCs w:val="24"/>
          <w:lang w:bidi="ar"/>
        </w:rPr>
        <w:t xml:space="preserve">附件2</w:t>
      </w:r>
      <w:r/>
    </w:p>
    <w:p>
      <w:pPr>
        <w:ind w:firstLine="2550"/>
        <w:spacing w:after="240" w:line="440" w:lineRule="exact"/>
        <w:widowControl/>
        <w:rPr>
          <w:rFonts w:hint="eastAsia" w:ascii="仿宋" w:hAnsi="仿宋" w:eastAsia="仿宋" w:cs="仿宋"/>
          <w:b/>
          <w:sz w:val="24"/>
          <w:szCs w:val="24"/>
        </w:rPr>
      </w:pPr>
      <w:r>
        <w:rPr>
          <w:rStyle w:val="1373"/>
          <w:rFonts w:hint="eastAsia" w:ascii="仿宋" w:hAnsi="仿宋" w:eastAsia="仿宋" w:cs="仿宋"/>
          <w:b/>
          <w:sz w:val="24"/>
          <w:szCs w:val="24"/>
          <w:lang w:bidi="ar"/>
        </w:rPr>
        <w:t xml:space="preserve">建设工程廉政责任书</w:t>
      </w:r>
      <w:r/>
    </w:p>
    <w:p>
      <w:pPr>
        <w:pStyle w:val="1372"/>
        <w:ind w:firstLine="420"/>
        <w:spacing w:before="120" w:after="120"/>
        <w:widowControl/>
        <w:rPr>
          <w:rFonts w:hint="eastAsia" w:ascii="仿宋" w:hAnsi="仿宋" w:eastAsia="仿宋" w:cs="仿宋"/>
        </w:rPr>
      </w:pPr>
      <w:r>
        <w:rPr>
          <w:rStyle w:val="1373"/>
          <w:rFonts w:hint="eastAsia" w:ascii="仿宋" w:hAnsi="仿宋" w:eastAsia="仿宋" w:cs="仿宋"/>
          <w:sz w:val="24"/>
          <w:szCs w:val="24"/>
        </w:rPr>
        <w:t xml:space="preserve">发包人（全称）：</w:t>
      </w:r>
      <w:r>
        <w:rPr>
          <w:rStyle w:val="1373"/>
          <w:rFonts w:hint="eastAsia" w:ascii="仿宋" w:hAnsi="仿宋" w:eastAsia="仿宋" w:cs="仿宋"/>
          <w:sz w:val="24"/>
          <w:szCs w:val="24"/>
          <w:u w:val="single"/>
        </w:rPr>
        <w:t xml:space="preserve">江苏省沙集闸站管理所</w:t>
      </w:r>
      <w:r>
        <w:rPr>
          <w:rStyle w:val="1373"/>
          <w:rFonts w:hint="eastAsia" w:ascii="仿宋" w:hAnsi="仿宋" w:eastAsia="仿宋" w:cs="仿宋"/>
          <w:sz w:val="24"/>
          <w:szCs w:val="24"/>
        </w:rPr>
        <w:t xml:space="preserve">    </w:t>
      </w:r>
      <w:r/>
    </w:p>
    <w:p>
      <w:pPr>
        <w:pStyle w:val="1372"/>
        <w:ind w:firstLine="420"/>
        <w:spacing w:before="120" w:after="120"/>
        <w:widowControl/>
        <w:rPr>
          <w:rFonts w:hint="eastAsia" w:ascii="仿宋" w:hAnsi="仿宋" w:eastAsia="仿宋" w:cs="仿宋"/>
          <w:u w:val="single"/>
        </w:rPr>
      </w:pPr>
      <w:r>
        <w:rPr>
          <w:rStyle w:val="1373"/>
          <w:rFonts w:hint="eastAsia" w:ascii="仿宋" w:hAnsi="仿宋" w:eastAsia="仿宋" w:cs="仿宋"/>
          <w:sz w:val="24"/>
          <w:szCs w:val="24"/>
        </w:rPr>
        <w:t xml:space="preserve">承包人（全称）：</w:t>
      </w:r>
      <w:r>
        <w:rPr>
          <w:rStyle w:val="1373"/>
          <w:rFonts w:hint="eastAsia" w:ascii="仿宋" w:hAnsi="仿宋" w:eastAsia="仿宋" w:cs="仿宋"/>
          <w:sz w:val="24"/>
          <w:szCs w:val="24"/>
          <w:u w:val="single"/>
        </w:rPr>
        <w:t xml:space="preserve">                       </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u w:val="single"/>
          <w:lang w:eastAsia="zh-CN" w:bidi="ar"/>
        </w:rPr>
        <w:t xml:space="preserve">沙集站变电所高压开关柜改造（10台）</w:t>
      </w:r>
      <w:r>
        <w:rPr>
          <w:rStyle w:val="1373"/>
          <w:rFonts w:hint="eastAsia" w:ascii="仿宋" w:hAnsi="仿宋" w:eastAsia="仿宋" w:cs="仿宋"/>
          <w:sz w:val="24"/>
          <w:szCs w:val="24"/>
          <w:lang w:bidi="ar"/>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一、双方的责任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1.应严格遵守国家关于建设工程的有关法律法规、相关政策，以及廉政建设的各项规定。</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2.严格执行建设工程合同文件，自觉按合同办事。</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3.各项活动必须坚持公开、公平、公正、诚信、透明的原则(除法律法规另有规定者外)，不得为获取不正当的利益，损害国家、集体和对方利益，不得违反建设工程管理的规章制度。</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4.发现对方在业务活动中有违规、违纪、违法行为的，应及时提醒对方，情节严重的，应向其上级主管部门或纪检监察、司法等有关机关举报。</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二、发包人责任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发包人的领导和从事该建设工程项目的工作人员，在工程建设的事前、事中、事后应遵守以下规定：</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1.不得向承包人和相关单位索要或接受回扣、礼金、有价证券、贵重物品和好处费、感谢费等。</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2.不得在承包人和相关单位报销任何应由发包人或个人支付的费用。</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3.不得要求、暗示或接受承包人和相关单位为个人装修住房、婚丧嫁娶、配偶子女的工作安排以及出国(境)、旅游等提供方便。</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4.不得参加有可能影响公正执行公务的承包人和相关单位的宴请、健身、娱乐等活动。</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5.不得向承包人和相关单位介绍或为配偶、子女、亲属参与同发包人工程建设管理合同有关的业务活动；不得以任何理由要求承包人和相关单位使用某种产品、材料和设备。</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三、承包人责任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应与发包人保持正常的业务交往，按照有关法律法规和程序开展业务工作，严格执行工程建设的有关方针、政策，执行工程建设强制性标准，并遵守以下规定：</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1.不得以任何理由向发包人及其工作人员索要、接受或赠送礼金、有价证券、贵重物品及回扣、好处费、感谢费等。</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2.不得以任何理由为发包人和相关单位报销应由对方或个人支付的费用。</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3.不得接受或暗示为发包人、相关单位或个人装修住房、婚丧嫁娶、配偶子女的工作安排以及出国(境)、旅游等提供方便。</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4.不得以任何理由为发包人、相关单位或个人组织有可能影响公正执行公务的宴请、健身、娱乐等活动。</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四、违约责任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1.发包人工作人员有违反本责任书第一、二条责任行为的，依据有关法律、法规给予处理；涉嫌犯罪的，移交司法机关追究刑事责任；给承包人单位造成经济损失的，应予以赔偿。</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2.承包人工作人员有违反本责任书第一、三条责任行为的，依据有关法律法规处理；涉嫌犯罪的，移交司法机关追究刑事责任；给发包人单位造成经济损失的，应予以赔偿。</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3.本责任书作为建设工程合同的组成部分，与建设工程合同具有同等法律效力。经双方签署后立即生效。</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五、责任书有效期</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本责任书的有效期为双方签署之日起至该工程项目竣工验收合格时止。</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六、责任书份数</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本责任书一式三份，发包人、承包人及监管部门各执一份，具有同等效力。</w:t>
      </w:r>
      <w:r/>
    </w:p>
    <w:p>
      <w:pPr>
        <w:ind w:firstLine="420"/>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ind w:firstLine="420"/>
        <w:widowControl/>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发包人（公章）：                        承包人（公章）：</w:t>
      </w:r>
      <w:r/>
    </w:p>
    <w:p>
      <w:pPr>
        <w:pStyle w:val="1372"/>
        <w:ind w:firstLine="420"/>
        <w:spacing w:before="120" w:after="120"/>
        <w:widowControl/>
        <w:rPr>
          <w:rFonts w:hint="eastAsia" w:ascii="仿宋" w:hAnsi="仿宋" w:eastAsia="仿宋" w:cs="仿宋"/>
        </w:rPr>
      </w:pPr>
      <w:r>
        <w:rPr>
          <w:rStyle w:val="1373"/>
          <w:rFonts w:hint="eastAsia" w:ascii="仿宋" w:hAnsi="仿宋" w:eastAsia="仿宋" w:cs="仿宋"/>
          <w:sz w:val="24"/>
          <w:szCs w:val="24"/>
        </w:rPr>
        <w:t xml:space="preserve">法定代表人（签字）：                    法定代表人（签字）：</w:t>
      </w:r>
      <w:r/>
    </w:p>
    <w:p>
      <w:pPr>
        <w:pStyle w:val="1372"/>
        <w:ind w:firstLine="420"/>
        <w:spacing w:before="120" w:after="120"/>
        <w:widowControl/>
        <w:rPr>
          <w:rFonts w:hint="eastAsia" w:ascii="仿宋" w:hAnsi="仿宋" w:eastAsia="仿宋" w:cs="仿宋"/>
        </w:rPr>
      </w:pPr>
      <w:r>
        <w:rPr>
          <w:rStyle w:val="1373"/>
          <w:rFonts w:hint="eastAsia" w:ascii="仿宋" w:hAnsi="仿宋" w:eastAsia="仿宋" w:cs="仿宋"/>
          <w:sz w:val="24"/>
          <w:szCs w:val="24"/>
        </w:rPr>
        <w:t xml:space="preserve">委托代理人：/                           委托代理人：/</w:t>
      </w:r>
      <w:r/>
    </w:p>
    <w:p>
      <w:pPr>
        <w:ind w:firstLine="480"/>
        <w:rPr>
          <w:rFonts w:hint="eastAsia" w:ascii="仿宋" w:hAnsi="仿宋" w:eastAsia="仿宋" w:cs="仿宋"/>
          <w:sz w:val="24"/>
          <w:szCs w:val="24"/>
        </w:rPr>
      </w:pP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年</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月</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日                     </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年</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月</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日</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br w:type="page" w:clear="all"/>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附件3 </w:t>
      </w:r>
      <w:r/>
    </w:p>
    <w:p>
      <w:pPr>
        <w:ind w:firstLine="2550"/>
        <w:spacing w:after="240" w:line="440" w:lineRule="exact"/>
        <w:widowControl/>
        <w:rPr>
          <w:rFonts w:hint="eastAsia" w:ascii="仿宋" w:hAnsi="仿宋" w:eastAsia="仿宋" w:cs="仿宋"/>
          <w:b/>
          <w:sz w:val="24"/>
          <w:szCs w:val="24"/>
        </w:rPr>
      </w:pPr>
      <w:r>
        <w:rPr>
          <w:rStyle w:val="1373"/>
          <w:rFonts w:hint="eastAsia" w:ascii="仿宋" w:hAnsi="仿宋" w:eastAsia="仿宋" w:cs="仿宋"/>
          <w:b/>
          <w:sz w:val="24"/>
          <w:szCs w:val="24"/>
          <w:lang w:bidi="ar"/>
        </w:rPr>
        <w:t xml:space="preserve">工程安全生产合同</w:t>
      </w:r>
      <w:r/>
    </w:p>
    <w:p>
      <w:pPr>
        <w:ind w:firstLine="480"/>
        <w:rPr>
          <w:rFonts w:hint="eastAsia" w:ascii="仿宋" w:hAnsi="仿宋" w:eastAsia="仿宋" w:cs="仿宋"/>
          <w:sz w:val="24"/>
          <w:szCs w:val="24"/>
        </w:rPr>
      </w:pPr>
      <w:r>
        <w:rPr>
          <w:rStyle w:val="1373"/>
          <w:rFonts w:hint="eastAsia" w:ascii="仿宋" w:hAnsi="仿宋" w:eastAsia="仿宋" w:cs="仿宋"/>
          <w:sz w:val="24"/>
          <w:szCs w:val="24"/>
          <w:lang w:bidi="ar"/>
        </w:rPr>
        <w:t xml:space="preserve">发包人：</w:t>
      </w:r>
      <w:r>
        <w:rPr>
          <w:rStyle w:val="1373"/>
          <w:rFonts w:hint="eastAsia" w:ascii="仿宋" w:hAnsi="仿宋" w:eastAsia="仿宋" w:cs="仿宋"/>
          <w:sz w:val="24"/>
          <w:szCs w:val="24"/>
          <w:u w:val="single"/>
          <w:lang w:bidi="ar"/>
        </w:rPr>
        <w:t xml:space="preserve">江苏省沙集闸站管理所</w:t>
      </w:r>
      <w:r>
        <w:rPr>
          <w:rStyle w:val="1373"/>
          <w:rFonts w:hint="eastAsia" w:ascii="仿宋" w:hAnsi="仿宋" w:eastAsia="仿宋" w:cs="仿宋"/>
          <w:sz w:val="24"/>
          <w:szCs w:val="24"/>
          <w:lang w:bidi="ar"/>
        </w:rPr>
        <w:t xml:space="preserve">（以下简称“发包人”）</w:t>
      </w:r>
      <w:r/>
    </w:p>
    <w:p>
      <w:pPr>
        <w:ind w:firstLine="480"/>
        <w:rPr>
          <w:rFonts w:hint="eastAsia" w:ascii="仿宋" w:hAnsi="仿宋" w:eastAsia="仿宋" w:cs="仿宋"/>
          <w:sz w:val="24"/>
          <w:szCs w:val="24"/>
        </w:rPr>
      </w:pPr>
      <w:r>
        <w:rPr>
          <w:rStyle w:val="1373"/>
          <w:rFonts w:hint="eastAsia" w:ascii="仿宋" w:hAnsi="仿宋" w:eastAsia="仿宋" w:cs="仿宋"/>
          <w:sz w:val="24"/>
          <w:szCs w:val="24"/>
          <w:lang w:bidi="ar"/>
        </w:rPr>
        <w:t xml:space="preserve">承包人：</w:t>
      </w:r>
      <w:r>
        <w:rPr>
          <w:rStyle w:val="1373"/>
          <w:rFonts w:hint="eastAsia" w:ascii="仿宋" w:hAnsi="仿宋" w:eastAsia="仿宋" w:cs="仿宋"/>
          <w:sz w:val="24"/>
          <w:szCs w:val="24"/>
          <w:u w:val="single"/>
          <w:lang w:bidi="ar"/>
        </w:rPr>
        <w:t xml:space="preserve">                    </w:t>
      </w:r>
      <w:r>
        <w:rPr>
          <w:rStyle w:val="1373"/>
          <w:rFonts w:hint="eastAsia" w:ascii="仿宋" w:hAnsi="仿宋" w:eastAsia="仿宋" w:cs="仿宋"/>
          <w:sz w:val="24"/>
          <w:szCs w:val="24"/>
          <w:lang w:bidi="ar"/>
        </w:rPr>
        <w:t xml:space="preserve"> （以下简称：“承包人”）</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为在</w:t>
      </w:r>
      <w:r>
        <w:rPr>
          <w:rStyle w:val="1373"/>
          <w:rFonts w:hint="eastAsia" w:ascii="仿宋" w:hAnsi="仿宋" w:eastAsia="仿宋" w:cs="仿宋"/>
          <w:sz w:val="24"/>
          <w:szCs w:val="24"/>
          <w:u w:val="single"/>
          <w:lang w:eastAsia="zh-CN" w:bidi="ar"/>
        </w:rPr>
        <w:t xml:space="preserve">沙集站变电所高压开关柜改造（10台）</w:t>
      </w:r>
      <w:r>
        <w:rPr>
          <w:rStyle w:val="1373"/>
          <w:rFonts w:hint="eastAsia" w:ascii="仿宋" w:hAnsi="仿宋" w:eastAsia="仿宋" w:cs="仿宋"/>
          <w:sz w:val="24"/>
          <w:szCs w:val="24"/>
          <w:lang w:bidi="ar"/>
        </w:rPr>
        <w:t xml:space="preserve">合同的实施过程中创造安全、高效的施工环境，切实搞好本项目的安全管理工作，特此签订安全生产合同。具体如下：</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一、发包人职责</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1.严格遵守国家有关安全生产的法律法规，认真执行工程承包合同中的有关安全要求。</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2.按照“安全第一、预防为主”和坚持“管生产必需管安全”的原则进行安全生产管理，做到生产与安全工作同时计划、布置、检查、总结和评比。</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3.定期召开安全生产协调会，及时传达中央及地方有关安全生产的精神。</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4.组织对承包人施工现场安全生产检查，建立安全生产责任制网络、汇总重要危险源、监督承包人及时处理发现的各种安全隐患。</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二、承包人职责</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1.严格遵守国家有关安全生产的法律法规、有关安全生产的规定，认真执行工程承包合同中的有关安全要求，接受发包人和监理工程师对安全生产工作的指导。</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3.建立健全安全生产责任制网络。从派往项目实施的项目经理到生产工人（包括临时</w:t>
      </w:r>
      <w:r>
        <w:rPr>
          <w:rStyle w:val="1373"/>
          <w:rFonts w:hint="eastAsia" w:ascii="仿宋" w:hAnsi="仿宋" w:eastAsia="仿宋" w:cs="仿宋"/>
          <w:sz w:val="24"/>
          <w:szCs w:val="24"/>
          <w:lang w:bidi="ar"/>
        </w:rPr>
        <w:t xml:space="preserve">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 3 人），专职负责所有员工的安全和治安保卫工作及预防事故的发生。安全机构人员，有权按有关规定发布指令，并采取保护性措施防止事故发生。</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4.承包人在任何时侯都应采取各种合理的预防措施，防止其人员发生任何违法、违禁、暴力、违规或妨碍治安的行为。</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6.加强施工中交通运输安全管理，各种运输机械等需划定运输路线行驶。</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7.对于易燃易爆的材料除应专门有效封闭、妥善保管之外，还应配备有足够的消防设施，所有施工人员都应熟悉消防设备的性能和使用方法。</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8.操作人员上岗，必须按规定穿戴防护用品。施工负责人和安全检查员应随时检查劳动防护用品的穿戴情况，不按规定穿戴防护用品的人员不得上岗。</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10.施工现场必须具有相关的安全标志牌。</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11.建立主要危险源备案制度，要明确潜在隐患、防范措施和落实责任人。</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三、违约责任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如因发包人违约造成安全事故，将报请有关部门依法追究责任。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如因承包人违约造成安全事故，将报请有关部门依法追究责任。</w:t>
      </w:r>
      <w:r/>
    </w:p>
    <w:p>
      <w:pPr>
        <w:pStyle w:val="719"/>
        <w:ind w:firstLine="489"/>
        <w:jc w:val="both"/>
        <w:spacing w:beforeAutospacing="0" w:afterAutospacing="0" w:line="360" w:lineRule="exact"/>
        <w:widowControl/>
        <w:rPr>
          <w:rFonts w:hint="eastAsia" w:ascii="仿宋" w:hAnsi="仿宋" w:eastAsia="仿宋" w:cs="仿宋"/>
          <w:szCs w:val="24"/>
        </w:rPr>
      </w:pPr>
      <w:r>
        <w:rPr>
          <w:rStyle w:val="1373"/>
          <w:rFonts w:hint="eastAsia" w:ascii="仿宋" w:hAnsi="仿宋" w:eastAsia="仿宋" w:cs="仿宋"/>
          <w:sz w:val="24"/>
          <w:szCs w:val="24"/>
          <w:lang w:bidi="ar"/>
        </w:rPr>
        <w:t xml:space="preserve">本合同一式二份，由双方法定代表人或其授权的代理人签署和加盖公章后生效，全部工程竣工验收后失效。</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 </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发 包 人：                                      承 包 人：</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法定代表人或其委托代理人：                      法定代表人或其委托代理人：</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地 址：                                         地 址：</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电 话：                                         电 话：</w:t>
      </w:r>
      <w:r/>
    </w:p>
    <w:p>
      <w:pPr>
        <w:rPr>
          <w:rFonts w:hint="eastAsia" w:ascii="仿宋" w:hAnsi="仿宋" w:eastAsia="仿宋" w:cs="仿宋"/>
          <w:sz w:val="24"/>
          <w:szCs w:val="24"/>
        </w:rPr>
      </w:pPr>
      <w:r>
        <w:rPr>
          <w:rStyle w:val="1373"/>
          <w:rFonts w:hint="eastAsia" w:ascii="仿宋" w:hAnsi="仿宋" w:eastAsia="仿宋" w:cs="仿宋"/>
          <w:sz w:val="24"/>
          <w:szCs w:val="24"/>
          <w:lang w:bidi="ar"/>
        </w:rPr>
        <w:t xml:space="preserve">日 期：                                         日 期：</w:t>
      </w:r>
      <w:r/>
    </w:p>
    <w:p>
      <w:pPr>
        <w:spacing w:line="440" w:lineRule="exact"/>
        <w:rPr>
          <w:rFonts w:hint="eastAsia" w:ascii="仿宋" w:hAnsi="仿宋" w:eastAsia="仿宋" w:cs="仿宋"/>
          <w:szCs w:val="21"/>
          <w:u w:val="single"/>
        </w:rPr>
      </w:pPr>
      <w:r>
        <w:rPr>
          <w:rFonts w:hint="eastAsia" w:ascii="仿宋" w:hAnsi="仿宋" w:eastAsia="仿宋" w:cs="仿宋"/>
          <w:szCs w:val="21"/>
          <w:u w:val="single"/>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spacing w:line="44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u w:val="single"/>
          <w14:textFill>
            <w14:solidFill>
              <w14:schemeClr w14:val="tx1"/>
            </w14:solidFill>
          </w14:textFill>
        </w:rPr>
      </w:r>
      <w:r/>
    </w:p>
    <w:p>
      <w:pPr>
        <w:jc w:val="center"/>
        <w:spacing w:line="44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spacing w:line="44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spacing w:line="44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spacing w:line="440" w:lineRule="exact"/>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第</w:t>
      </w:r>
      <w:bookmarkEnd w:id="198"/>
      <w:r>
        <w:rPr>
          <w:rFonts w:hint="eastAsia" w:ascii="仿宋" w:hAnsi="仿宋" w:eastAsia="仿宋" w:cs="仿宋"/>
          <w:color w:val="000000" w:themeColor="text1"/>
          <w:sz w:val="44"/>
          <w:szCs w:val="44"/>
          <w14:textFill>
            <w14:solidFill>
              <w14:schemeClr w14:val="tx1"/>
            </w14:solidFill>
          </w14:textFill>
        </w:rPr>
        <w:t xml:space="preserve">四章  采购需求</w:t>
      </w:r>
      <w:bookmarkEnd w:id="199"/>
      <w:r/>
      <w:bookmarkEnd w:id="200"/>
      <w:r/>
      <w:bookmarkEnd w:id="201"/>
      <w:r/>
      <w:bookmarkEnd w:id="202"/>
      <w:r/>
      <w:bookmarkStart w:id="205" w:name="_Toc49090575"/>
      <w:r/>
      <w:bookmarkStart w:id="206" w:name="_Toc26554093"/>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项目属性：工程类项目</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本项目采购标的对应的中小企业划分标准所属行业：建筑业</w:t>
      </w:r>
      <w:r/>
    </w:p>
    <w:p>
      <w:p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本项目不接受进口产品。</w:t>
      </w:r>
      <w:r/>
    </w:p>
    <w:p>
      <w:pPr>
        <w:ind w:firstLine="480"/>
        <w:spacing w:line="360" w:lineRule="auto"/>
        <w:rPr>
          <w:rFonts w:hint="eastAsia" w:ascii="仿宋" w:hAnsi="仿宋" w:eastAsia="仿宋" w:cs="仿宋"/>
          <w:b/>
          <w:bCs/>
          <w:color w:val="000000" w:themeColor="text1"/>
          <w:sz w:val="24"/>
          <w:szCs w:val="24"/>
          <w14:textFill>
            <w14:solidFill>
              <w14:schemeClr w14:val="tx1"/>
            </w14:solidFill>
          </w14:textFill>
        </w:rPr>
      </w:pPr>
      <w:r/>
      <w:bookmarkStart w:id="207" w:name="_Toc120614281"/>
      <w:r>
        <w:rPr>
          <w:rFonts w:hint="eastAsia" w:ascii="仿宋" w:hAnsi="仿宋" w:eastAsia="仿宋" w:cs="仿宋"/>
          <w:b/>
          <w:bCs/>
          <w:color w:val="000000" w:themeColor="text1"/>
          <w:sz w:val="24"/>
          <w:szCs w:val="24"/>
          <w14:textFill>
            <w14:solidFill>
              <w14:schemeClr w14:val="tx1"/>
            </w14:solidFill>
          </w14:textFill>
        </w:rPr>
        <w:t xml:space="preserve">一、项目概况及招标范围</w:t>
      </w:r>
      <w:r/>
    </w:p>
    <w:p>
      <w:pPr>
        <w:ind w:firstLine="482"/>
        <w:spacing w:line="360" w:lineRule="auto"/>
        <w:rPr>
          <w:rStyle w:val="1373"/>
          <w:rFonts w:hint="eastAsia" w:ascii="仿宋" w:hAnsi="仿宋" w:eastAsia="仿宋" w:cs="仿宋"/>
          <w:b/>
          <w:bCs/>
          <w:sz w:val="24"/>
          <w:szCs w:val="24"/>
          <w:lang w:bidi="ar"/>
        </w:rPr>
      </w:pPr>
      <w:r>
        <w:rPr>
          <w:rStyle w:val="1373"/>
          <w:rFonts w:hint="eastAsia" w:ascii="仿宋" w:hAnsi="仿宋" w:eastAsia="仿宋" w:cs="仿宋"/>
          <w:b/>
          <w:bCs/>
          <w:sz w:val="24"/>
          <w:szCs w:val="24"/>
          <w:lang w:bidi="ar"/>
        </w:rPr>
        <w:t xml:space="preserve">（一）项目概况</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（1）工程基本概况</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江苏省沙集闸站工程位于睢宁县沙集镇南约2公里处的徐洪河上，距下游洪泽湖约72公里，是南水北调东线工程第五梯级泵站、江水北调第四梯级泵站，具有灌溉、供水、防洪、排涝及丰水期反向发电等多重功能。工程采用闸站结合的布置型式，中间为设计抽水流量50m</w:t>
      </w:r>
      <w:r>
        <w:rPr>
          <w:rStyle w:val="1373"/>
          <w:rFonts w:hint="eastAsia" w:ascii="仿宋" w:hAnsi="仿宋" w:eastAsia="仿宋" w:cs="仿宋"/>
          <w:sz w:val="24"/>
          <w:szCs w:val="24"/>
          <w:vertAlign w:val="superscript"/>
          <w:lang w:bidi="ar"/>
        </w:rPr>
        <w:t xml:space="preserve">3</w:t>
      </w:r>
      <w:r>
        <w:rPr>
          <w:rStyle w:val="1373"/>
          <w:rFonts w:hint="eastAsia" w:ascii="仿宋" w:hAnsi="仿宋" w:eastAsia="仿宋" w:cs="仿宋"/>
          <w:sz w:val="24"/>
          <w:szCs w:val="24"/>
          <w:lang w:bidi="ar"/>
        </w:rPr>
        <w:t xml:space="preserve">/s的泵站，安装1800HLQ10-9.5型立式混流泵配同步电动机TL1600-24共5台套，总装机容量8000kW；同时配备一套变频发电机组用于丰水季节反向发电。</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沙集闸站工程于2022-2023年加固改造中已对6kV第Ⅱ段完成智能化改造，而6kV第I段及35kV侧设备仍为老旧设备，通信协议、接口标准、监控方式与第Ⅱ段不统一，影响全站智能化整体水平提升。</w:t>
      </w:r>
      <w:r/>
    </w:p>
    <w:p>
      <w:pPr>
        <w:numPr>
          <w:ilvl w:val="0"/>
          <w:numId w:val="11"/>
        </w:num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实施方案编制主要依据</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本项目实施方案编制的主要依据：GB 3906-2020《3.6kV~40.5kV交流金属封闭开关设备和控制设备》、GB/T11022-2020《高压开关设备和控制设备标准的共用技术要求》、DL/T404-2018《3.6kV~40.5kV交流金属封闭开关设备和控制设备》、DL/T 593-2016《高压开关设备和控制设备标准的共用技术要求》、NB/T42044-2014《3.6kV~40.5kV智能交流金属封闭开关设备》、DL/T 860《变电站通信网络和系统》系列标准。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（3）工程维修部位、维修缘由及维修内容</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1.维修部位</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沙集站35kV高压开关柜、6kV第</w:t>
      </w:r>
      <w:r>
        <w:rPr>
          <w:rStyle w:val="1373"/>
          <w:rFonts w:hint="eastAsia" w:ascii="仿宋" w:hAnsi="仿宋" w:eastAsia="仿宋" w:cs="仿宋"/>
          <w:sz w:val="24"/>
          <w:szCs w:val="24"/>
          <w:lang w:bidi="ar"/>
        </w:rPr>
        <w:fldChar w:fldCharType="begin"/>
      </w:r>
      <w:r>
        <w:rPr>
          <w:rStyle w:val="1373"/>
          <w:rFonts w:hint="eastAsia" w:ascii="仿宋" w:hAnsi="仿宋" w:eastAsia="仿宋" w:cs="仿宋"/>
          <w:sz w:val="24"/>
          <w:szCs w:val="24"/>
          <w:lang w:bidi="ar"/>
        </w:rPr>
        <w:instrText xml:space="preserve"> = 1 \* ROMAN \* MERGEFORMAT </w:instrText>
      </w:r>
      <w:r>
        <w:rPr>
          <w:rStyle w:val="1373"/>
          <w:rFonts w:hint="eastAsia" w:ascii="仿宋" w:hAnsi="仿宋" w:eastAsia="仿宋" w:cs="仿宋"/>
          <w:sz w:val="24"/>
          <w:szCs w:val="24"/>
          <w:lang w:bidi="ar"/>
        </w:rPr>
        <w:fldChar w:fldCharType="separate"/>
      </w:r>
      <w:r>
        <w:rPr>
          <w:rStyle w:val="1373"/>
          <w:rFonts w:hint="eastAsia" w:ascii="仿宋" w:hAnsi="仿宋" w:eastAsia="仿宋" w:cs="仿宋"/>
          <w:sz w:val="24"/>
          <w:szCs w:val="24"/>
          <w:lang w:bidi="ar"/>
        </w:rPr>
        <w:t xml:space="preserve">I</w:t>
      </w:r>
      <w:r>
        <w:rPr>
          <w:rStyle w:val="1373"/>
          <w:rFonts w:hint="eastAsia" w:ascii="仿宋" w:hAnsi="仿宋" w:eastAsia="仿宋" w:cs="仿宋"/>
          <w:sz w:val="24"/>
          <w:szCs w:val="24"/>
          <w:lang w:bidi="ar"/>
        </w:rPr>
        <w:fldChar w:fldCharType="end"/>
      </w:r>
      <w:r>
        <w:rPr>
          <w:rStyle w:val="1373"/>
          <w:rFonts w:hint="eastAsia" w:ascii="仿宋" w:hAnsi="仿宋" w:eastAsia="仿宋" w:cs="仿宋"/>
          <w:sz w:val="24"/>
          <w:szCs w:val="24"/>
          <w:lang w:bidi="ar"/>
        </w:rPr>
        <w:t xml:space="preserve">段高压开关柜。</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2.维修缘由</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沙集泵站加固改造期间，未同步更换变电所原有35kV和6kV第 </w:t>
      </w:r>
      <w:r>
        <w:rPr>
          <w:rStyle w:val="1373"/>
          <w:rFonts w:hint="eastAsia" w:ascii="仿宋" w:hAnsi="仿宋" w:eastAsia="仿宋" w:cs="仿宋"/>
          <w:sz w:val="24"/>
          <w:szCs w:val="24"/>
          <w:lang w:bidi="ar"/>
        </w:rPr>
        <w:fldChar w:fldCharType="begin"/>
      </w:r>
      <w:r>
        <w:rPr>
          <w:rStyle w:val="1373"/>
          <w:rFonts w:hint="eastAsia" w:ascii="仿宋" w:hAnsi="仿宋" w:eastAsia="仿宋" w:cs="仿宋"/>
          <w:sz w:val="24"/>
          <w:szCs w:val="24"/>
          <w:lang w:bidi="ar"/>
        </w:rPr>
        <w:instrText xml:space="preserve"> = 1 \* ROMAN \* MERGEFORMAT </w:instrText>
      </w:r>
      <w:r>
        <w:rPr>
          <w:rStyle w:val="1373"/>
          <w:rFonts w:hint="eastAsia" w:ascii="仿宋" w:hAnsi="仿宋" w:eastAsia="仿宋" w:cs="仿宋"/>
          <w:sz w:val="24"/>
          <w:szCs w:val="24"/>
          <w:lang w:bidi="ar"/>
        </w:rPr>
        <w:fldChar w:fldCharType="separate"/>
      </w:r>
      <w:r>
        <w:rPr>
          <w:rStyle w:val="1373"/>
          <w:rFonts w:hint="eastAsia" w:ascii="仿宋" w:hAnsi="仿宋" w:eastAsia="仿宋" w:cs="仿宋"/>
          <w:sz w:val="24"/>
          <w:szCs w:val="24"/>
          <w:lang w:bidi="ar"/>
        </w:rPr>
        <w:t xml:space="preserve">I</w:t>
      </w:r>
      <w:r>
        <w:rPr>
          <w:rStyle w:val="1373"/>
          <w:rFonts w:hint="eastAsia" w:ascii="仿宋" w:hAnsi="仿宋" w:eastAsia="仿宋" w:cs="仿宋"/>
          <w:sz w:val="24"/>
          <w:szCs w:val="24"/>
          <w:lang w:bidi="ar"/>
        </w:rPr>
        <w:fldChar w:fldCharType="end"/>
      </w:r>
      <w:r>
        <w:rPr>
          <w:rStyle w:val="1373"/>
          <w:rFonts w:hint="eastAsia" w:ascii="仿宋" w:hAnsi="仿宋" w:eastAsia="仿宋" w:cs="仿宋"/>
          <w:sz w:val="24"/>
          <w:szCs w:val="24"/>
          <w:lang w:bidi="ar"/>
        </w:rPr>
        <w:t xml:space="preserve">段高压开关柜。该批设备已连续运行12年，多功能测控装置已达到更新周期，不仅出现湿度较大时局部放电，还存在智能化水平偏低的短板等问题，给工程长期稳定运行埋下安全隐患。为消除安全隐患、提升设备运行可靠性，响应水利厅建设智能泵站的需求，对沙集站变电所高压开关柜实施智能化改造，利用智能断路器、电动底盘车、电动接地开关等智能化设备，达成智能终端（保护装置）、智能模拟屏、电动手车、电动接地开关、局放在线监测以及无线测温等功能。 </w:t>
      </w:r>
      <w:r/>
    </w:p>
    <w:p>
      <w:pPr>
        <w:ind w:left="42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3.维修内容</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更换35kV智能高压开关柜5台、6kV第</w:t>
      </w:r>
      <w:r>
        <w:rPr>
          <w:rStyle w:val="1373"/>
          <w:rFonts w:hint="eastAsia" w:ascii="仿宋" w:hAnsi="仿宋" w:eastAsia="仿宋" w:cs="仿宋"/>
          <w:sz w:val="24"/>
          <w:szCs w:val="24"/>
          <w:lang w:bidi="ar"/>
        </w:rPr>
        <w:fldChar w:fldCharType="begin"/>
      </w:r>
      <w:r>
        <w:rPr>
          <w:rStyle w:val="1373"/>
          <w:rFonts w:hint="eastAsia" w:ascii="仿宋" w:hAnsi="仿宋" w:eastAsia="仿宋" w:cs="仿宋"/>
          <w:sz w:val="24"/>
          <w:szCs w:val="24"/>
          <w:lang w:bidi="ar"/>
        </w:rPr>
        <w:instrText xml:space="preserve"> = 1 \* ROMAN \* MERGEFORMAT </w:instrText>
      </w:r>
      <w:r>
        <w:rPr>
          <w:rStyle w:val="1373"/>
          <w:rFonts w:hint="eastAsia" w:ascii="仿宋" w:hAnsi="仿宋" w:eastAsia="仿宋" w:cs="仿宋"/>
          <w:sz w:val="24"/>
          <w:szCs w:val="24"/>
          <w:lang w:bidi="ar"/>
        </w:rPr>
        <w:fldChar w:fldCharType="separate"/>
      </w:r>
      <w:r>
        <w:rPr>
          <w:rStyle w:val="1373"/>
          <w:rFonts w:hint="eastAsia" w:ascii="仿宋" w:hAnsi="仿宋" w:eastAsia="仿宋" w:cs="仿宋"/>
          <w:sz w:val="24"/>
          <w:szCs w:val="24"/>
          <w:lang w:bidi="ar"/>
        </w:rPr>
        <w:t xml:space="preserve">I</w:t>
      </w:r>
      <w:r>
        <w:rPr>
          <w:rStyle w:val="1373"/>
          <w:rFonts w:hint="eastAsia" w:ascii="仿宋" w:hAnsi="仿宋" w:eastAsia="仿宋" w:cs="仿宋"/>
          <w:sz w:val="24"/>
          <w:szCs w:val="24"/>
          <w:lang w:bidi="ar"/>
        </w:rPr>
        <w:fldChar w:fldCharType="end"/>
      </w:r>
      <w:r>
        <w:rPr>
          <w:rStyle w:val="1373"/>
          <w:rFonts w:hint="eastAsia" w:ascii="仿宋" w:hAnsi="仿宋" w:eastAsia="仿宋" w:cs="仿宋"/>
          <w:sz w:val="24"/>
          <w:szCs w:val="24"/>
          <w:lang w:bidi="ar"/>
        </w:rPr>
        <w:t xml:space="preserve">段智能高压开关柜5台。</w:t>
      </w:r>
      <w:r/>
    </w:p>
    <w:p>
      <w:pPr>
        <w:ind w:firstLine="480"/>
        <w:spacing w:line="360" w:lineRule="auto"/>
        <w:rPr>
          <w:rStyle w:val="1373"/>
          <w:rFonts w:hint="eastAsia" w:ascii="仿宋" w:hAnsi="仿宋" w:eastAsia="仿宋" w:cs="仿宋"/>
          <w:sz w:val="24"/>
          <w:szCs w:val="24"/>
          <w:lang w:bidi="ar"/>
        </w:rPr>
      </w:pPr>
      <w:r>
        <w:rPr>
          <w:rFonts w:hint="eastAsia" w:ascii="仿宋" w:hAnsi="仿宋" w:eastAsia="仿宋" w:cs="仿宋"/>
          <w:sz w:val="24"/>
          <w:szCs w:val="24"/>
          <w:lang w:bidi="ar"/>
        </w:rPr>
        <w:t xml:space="preserve">3.1</w:t>
      </w:r>
      <w:r>
        <w:rPr>
          <w:rStyle w:val="1373"/>
          <w:rFonts w:hint="eastAsia" w:ascii="仿宋" w:hAnsi="仿宋" w:eastAsia="仿宋" w:cs="仿宋"/>
          <w:sz w:val="24"/>
          <w:szCs w:val="24"/>
          <w:lang w:bidi="ar"/>
        </w:rPr>
        <w:t xml:space="preserve">质量管理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3.1.1质量管理责任制</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结合工程的特点和施工现场情况，建立现场质量制度和质量保证体系，编制工程项目质量保证计划，在工程建设过程中认真贯彻执行国家《建设工程质量管理条例》，从而使工程目标和措施得到保证。</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建设单位：实行项目负责人质量负责制，建立健全工程质量检测责任制，建立完整的质量管理体系</w:t>
      </w:r>
      <w:r>
        <w:rPr>
          <w:rStyle w:val="1373"/>
          <w:rFonts w:hint="eastAsia" w:ascii="仿宋" w:hAnsi="仿宋" w:eastAsia="仿宋" w:cs="仿宋"/>
          <w:sz w:val="24"/>
          <w:szCs w:val="24"/>
          <w:lang w:bidi="ar"/>
        </w:rPr>
        <w:t xml:space="preserve">和质量管理组织网络，明确质量管理的负责人，根据工程施工进度计划，对其进行监督和指导，对重点、隐蔽工程的全方位检查和指导，确保工程质量。进场原材料及各种成品、半成品须经发包人检查，合格后方可使用。承包人应向发包人提交所用产品、材料的合格证。发包人有权随时对工程的所有部位及其任何一项工艺和工程设备进行检查和检验。施工过程中，技术负责人跟班旁站，加强与承包方、技术人员以及现场质量验收人员的沟通，确保工程顺利完工。对维修项目的施工材料、施工工艺和工程质量按国家和行业颁布的技术标准和规程规定的技术要求进行检查和验收。</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施工单位：加强工程施工全程质量监管，项目负责人和技术负责人应全程跟踪，实行技术、质量双向承包责任制，推行工程质量保修回访制度，工程在保修期内出现质量问题应及时维修。 </w:t>
      </w:r>
      <w:r/>
    </w:p>
    <w:p>
      <w:pPr>
        <w:ind w:firstLine="480"/>
        <w:spacing w:line="360" w:lineRule="auto"/>
        <w:rPr>
          <w:rStyle w:val="1373"/>
          <w:rFonts w:hint="eastAsia" w:ascii="仿宋" w:hAnsi="仿宋" w:eastAsia="仿宋" w:cs="仿宋"/>
          <w:sz w:val="24"/>
          <w:szCs w:val="24"/>
          <w:lang w:bidi="ar"/>
        </w:rPr>
      </w:pPr>
      <w:r/>
      <w:bookmarkStart w:id="208" w:name="OLE_LINK71"/>
      <w:r/>
      <w:bookmarkStart w:id="209" w:name="OLE_LINK68"/>
      <w:r>
        <w:rPr>
          <w:rStyle w:val="1373"/>
          <w:rFonts w:hint="eastAsia" w:ascii="仿宋" w:hAnsi="仿宋" w:eastAsia="仿宋" w:cs="仿宋"/>
          <w:sz w:val="24"/>
          <w:szCs w:val="24"/>
          <w:lang w:bidi="ar"/>
        </w:rPr>
        <w:t xml:space="preserve">3.2质量检查内容及评定方法</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本工程主要参照《水利工程施工质量检验与评定规范》《3.6kV~40.5kV交流金属封闭开关设备和控制设备》《高压开关设备和控制设备标准的共用技术要求》等对施工质量进行检查。</w:t>
      </w:r>
      <w:bookmarkEnd w:id="208"/>
      <w:r/>
      <w:bookmarkEnd w:id="209"/>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3.3施工质量控制措施</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要求施工单位采用“质量第一，预防为主”的方针和“计划、执行、检查、处理”PDCA循环的工作方法，不断改进过程控制，保证工程施工质量。</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质量标准：工程质量要求达到国家及行业施工验收规范合格标准。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①要求施工所采购原材料具有产品合格证、质量检验报告，必要时需对所采购原材料进行见证复试，合格后方可用于本工程。</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②在工程开工前要求施工单位编制合理可行的施工组织设计。</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③按各工序施工质量检验评定标准制定相应的质量保证技术措施，配备具有丰富施工经验的管理人员和技术人员，明确各阶段的检验、试验、测量及验收工作。</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④为保证施工质量，完成各工序后应及时报验，待验收合格后，方可进行下一步工序。</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4.1安全管理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4.1.1安全管理责任制</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坚持“安全第一、预防为主”和贯彻“质量第一”的方针，依靠科学管理和技术进步，制定安全生产、文明施工的管理规定，认真履行相应职责，保障人身安全和工程安全，以确定工程施工的正常进行和工程质量的完善。工程施工中，我们配备了专职的安全员负责本工程的施工。</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施工单位：设立工程施工现场专职安全员，具体负责工程的日常安全管理工作；协同技术负责人层层落实安全生产工作，加大硬件投入，确保生产安全和促进现场文明施工。</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4.1.2现场安全设施和措施</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现场设立规范的安全管理“五牌一图”，及时设置施工警示牌和安全防范标示牌，落实专人管理，明确安全责任;与外来施工单位签订合同的同时签订安全告知书及安全承诺书，需临时用电的施工单位签订临时用电协议。</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过程中，严格遵守《电业安全规程》的相关规定，停、送电必须填写操作票和工作票，办理相关安全手续。供电线路设置三级漏电保护，电工用电严格执行安全用电自检、漏电保护器的调试、接地电阻测试等制度，确保用电安全。</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施工过程中，及时发放个人劳动防护用品，进场人员佩戴安全帽，登高作业必须佩戴安全带。</w:t>
      </w:r>
      <w:r/>
    </w:p>
    <w:p>
      <w:pPr>
        <w:ind w:firstLine="480"/>
        <w:spacing w:line="360" w:lineRule="auto"/>
        <w:rPr>
          <w:rStyle w:val="1373"/>
          <w:rFonts w:hint="eastAsia" w:ascii="仿宋" w:hAnsi="仿宋" w:eastAsia="仿宋" w:cs="仿宋"/>
          <w:sz w:val="24"/>
          <w:szCs w:val="24"/>
          <w:lang w:bidi="ar"/>
        </w:rPr>
      </w:pPr>
      <w:r>
        <w:rPr>
          <w:rFonts w:hint="eastAsia" w:ascii="仿宋" w:hAnsi="仿宋" w:eastAsia="仿宋" w:cs="仿宋"/>
          <w:sz w:val="24"/>
          <w:szCs w:val="24"/>
          <w:lang w:bidi="ar"/>
        </w:rPr>
        <w:t xml:space="preserve">5.1</w:t>
      </w:r>
      <w:r>
        <w:rPr>
          <w:rStyle w:val="1373"/>
          <w:rFonts w:hint="eastAsia" w:ascii="仿宋" w:hAnsi="仿宋" w:eastAsia="仿宋" w:cs="仿宋"/>
          <w:sz w:val="24"/>
          <w:szCs w:val="24"/>
          <w:lang w:bidi="ar"/>
        </w:rPr>
        <w:t xml:space="preserve">档案管理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5.1.1档案管理责任制</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工程实施过程中形成的各类档案是项目实施过程的真实记录，是工程质量的有效见证；所形成的档案资料由档案室集中管理，做到收集齐全，制度健全，管理科学，保密安全，提供利用，积极为工程管理工作服务。由分管副所长领导档案工作，档案室配备专职管理人员，全面负责对各类档案收集整理和归档工作。档案管理人员定期对档案进行检查，发现破损、霉变或字迹模糊，要及时采取措施进行技术处理；档案管理人员变动时，要做好档案的移交工作，认真履行交接手续。</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5.1.2档案收集、整理</w:t>
      </w:r>
      <w:r/>
    </w:p>
    <w:p>
      <w:pPr>
        <w:ind w:firstLine="480"/>
        <w:spacing w:line="360" w:lineRule="auto"/>
        <w:rPr>
          <w:rStyle w:val="1373"/>
          <w:rFonts w:hint="eastAsia" w:ascii="仿宋" w:hAnsi="仿宋" w:eastAsia="仿宋" w:cs="仿宋"/>
          <w:sz w:val="24"/>
          <w:szCs w:val="24"/>
          <w:highlight w:val="none"/>
          <w:lang w:bidi="ar"/>
        </w:rPr>
      </w:pPr>
      <w:r>
        <w:rPr>
          <w:rStyle w:val="1373"/>
          <w:rFonts w:hint="eastAsia" w:ascii="仿宋" w:hAnsi="仿宋" w:eastAsia="仿宋" w:cs="仿宋"/>
          <w:sz w:val="24"/>
          <w:szCs w:val="24"/>
          <w:lang w:bidi="ar"/>
        </w:rPr>
        <w:t xml:space="preserve">对工程中所有发生的相关资料及时进行整理和汇总，由专人负责档案管理工作，严格按照省厅文件要求做好维修工程项目管理卡，以备验收。坚持项目档案工作与项目建设同步进行，切实做到“四同步”：下达工程计划任务与提出文件材料归档要求同步；检查计划进度与检查文件材料形成情况同步；工程竣工验收与验收工程竣工档案同</w:t>
      </w:r>
      <w:r>
        <w:rPr>
          <w:rStyle w:val="1373"/>
          <w:rFonts w:hint="eastAsia" w:ascii="仿宋" w:hAnsi="仿宋" w:eastAsia="仿宋" w:cs="仿宋"/>
          <w:sz w:val="24"/>
          <w:szCs w:val="24"/>
          <w:highlight w:val="none"/>
          <w:lang w:bidi="ar"/>
        </w:rPr>
        <w:t xml:space="preserve">步；工程款支付与申请材料同步。</w:t>
      </w:r>
      <w:r/>
    </w:p>
    <w:p>
      <w:pPr>
        <w:ind w:firstLine="480"/>
        <w:spacing w:line="360" w:lineRule="auto"/>
        <w:rPr>
          <w:rStyle w:val="1373"/>
          <w:rFonts w:ascii="仿宋" w:hAnsi="仿宋" w:eastAsia="仿宋" w:cs="仿宋"/>
          <w:sz w:val="24"/>
          <w:szCs w:val="24"/>
          <w:highlight w:val="none"/>
          <w:lang w:bidi="ar"/>
        </w:rPr>
      </w:pPr>
      <w:r>
        <w:rPr>
          <w:rStyle w:val="1373"/>
          <w:rFonts w:hint="eastAsia" w:ascii="仿宋" w:hAnsi="仿宋" w:eastAsia="仿宋" w:cs="仿宋"/>
          <w:sz w:val="24"/>
          <w:szCs w:val="24"/>
          <w:highlight w:val="none"/>
          <w:lang w:bidi="ar"/>
        </w:rPr>
        <w:t xml:space="preserve">6招标范围</w:t>
      </w:r>
      <w:r/>
    </w:p>
    <w:p>
      <w:pPr>
        <w:ind w:firstLine="480"/>
        <w:spacing w:line="360" w:lineRule="auto"/>
        <w:rPr>
          <w:rStyle w:val="1373"/>
          <w:rFonts w:ascii="仿宋" w:hAnsi="仿宋" w:eastAsia="仿宋" w:cs="仿宋"/>
          <w:sz w:val="24"/>
          <w:szCs w:val="24"/>
          <w:highlight w:val="none"/>
          <w:lang w:bidi="ar"/>
        </w:rPr>
      </w:pPr>
      <w:r>
        <w:rPr>
          <w:rStyle w:val="1373"/>
          <w:rFonts w:ascii="仿宋" w:hAnsi="仿宋" w:eastAsia="仿宋" w:cs="仿宋"/>
          <w:sz w:val="24"/>
          <w:szCs w:val="24"/>
          <w:highlight w:val="none"/>
          <w:lang w:bidi="ar"/>
        </w:rPr>
        <w:t xml:space="preserve">供货范围：包括</w:t>
      </w:r>
      <w:r>
        <w:rPr>
          <w:rStyle w:val="1373"/>
          <w:rFonts w:hint="eastAsia" w:ascii="仿宋" w:hAnsi="仿宋" w:eastAsia="仿宋" w:cs="仿宋"/>
          <w:sz w:val="24"/>
          <w:szCs w:val="24"/>
          <w:highlight w:val="none"/>
          <w:lang w:bidi="ar"/>
        </w:rPr>
        <w:t xml:space="preserve">5</w:t>
      </w:r>
      <w:r>
        <w:rPr>
          <w:rStyle w:val="1373"/>
          <w:rFonts w:ascii="仿宋" w:hAnsi="仿宋" w:eastAsia="仿宋" w:cs="仿宋"/>
          <w:sz w:val="24"/>
          <w:szCs w:val="24"/>
          <w:highlight w:val="none"/>
          <w:lang w:bidi="ar"/>
        </w:rPr>
        <w:t xml:space="preserve">台</w:t>
      </w:r>
      <w:bookmarkStart w:id="210" w:name="OLE_LINK72"/>
      <w:r>
        <w:rPr>
          <w:rStyle w:val="1373"/>
          <w:rFonts w:ascii="仿宋" w:hAnsi="仿宋" w:eastAsia="仿宋" w:cs="仿宋"/>
          <w:sz w:val="24"/>
          <w:szCs w:val="24"/>
          <w:highlight w:val="none"/>
          <w:lang w:bidi="ar"/>
        </w:rPr>
        <w:t xml:space="preserve">智能型</w:t>
      </w:r>
      <w:bookmarkEnd w:id="210"/>
      <w:r>
        <w:rPr>
          <w:rStyle w:val="1373"/>
          <w:rFonts w:ascii="仿宋" w:hAnsi="仿宋" w:eastAsia="仿宋" w:cs="仿宋"/>
          <w:sz w:val="24"/>
          <w:szCs w:val="24"/>
          <w:highlight w:val="none"/>
          <w:lang w:bidi="ar"/>
        </w:rPr>
        <w:t xml:space="preserve">KYN-40.5</w:t>
      </w:r>
      <w:r>
        <w:rPr>
          <w:rStyle w:val="1373"/>
          <w:rFonts w:hint="eastAsia" w:ascii="仿宋" w:hAnsi="仿宋" w:eastAsia="仿宋" w:cs="仿宋"/>
          <w:sz w:val="24"/>
          <w:szCs w:val="24"/>
          <w:highlight w:val="none"/>
          <w:lang w:bidi="ar"/>
        </w:rPr>
        <w:t xml:space="preserve">、5台</w:t>
      </w:r>
      <w:r>
        <w:rPr>
          <w:rStyle w:val="1373"/>
          <w:rFonts w:ascii="仿宋" w:hAnsi="仿宋" w:eastAsia="仿宋" w:cs="仿宋"/>
          <w:sz w:val="24"/>
          <w:szCs w:val="24"/>
          <w:highlight w:val="none"/>
          <w:lang w:bidi="ar"/>
        </w:rPr>
        <w:t xml:space="preserve">智能型KYN28-12金属铠装移开式金属封闭开关柜及其他附件、辅材等。</w:t>
      </w:r>
      <w:r/>
    </w:p>
    <w:p>
      <w:pPr>
        <w:ind w:firstLine="480"/>
        <w:spacing w:line="360" w:lineRule="auto"/>
        <w:rPr>
          <w:rStyle w:val="1373"/>
          <w:rFonts w:ascii="仿宋" w:hAnsi="仿宋" w:eastAsia="仿宋" w:cs="仿宋"/>
          <w:sz w:val="24"/>
          <w:szCs w:val="24"/>
          <w:highlight w:val="none"/>
          <w:lang w:bidi="ar"/>
        </w:rPr>
      </w:pPr>
      <w:r>
        <w:rPr>
          <w:rStyle w:val="1373"/>
          <w:rFonts w:ascii="仿宋" w:hAnsi="仿宋" w:eastAsia="仿宋" w:cs="仿宋"/>
          <w:sz w:val="24"/>
          <w:szCs w:val="24"/>
          <w:highlight w:val="none"/>
          <w:lang w:bidi="ar"/>
        </w:rPr>
        <w:t xml:space="preserve">工作范围：承包人负责上述设备的二次设计、制造、工厂试验、出厂检验、包装、保险、运输、卸货、安装、调试、试验及售后服务；提交图纸、说明书和其它技术资料；接受招标人代表参加工厂检验和出厂验收；负责设备的安装、调试和试验（含交接试验），参与试运行和验收；完成合同规定联络会安排及相关协调工作等；负责原高压开关柜的拆除、新高压开关柜的一次和二次电缆接线</w:t>
      </w:r>
      <w:r>
        <w:rPr>
          <w:rStyle w:val="1373"/>
          <w:rFonts w:hint="eastAsia" w:ascii="仿宋" w:hAnsi="仿宋" w:eastAsia="仿宋" w:cs="仿宋"/>
          <w:sz w:val="24"/>
          <w:szCs w:val="24"/>
          <w:highlight w:val="none"/>
          <w:lang w:bidi="ar"/>
        </w:rPr>
        <w:t xml:space="preserve">、安装等</w:t>
      </w:r>
      <w:r>
        <w:rPr>
          <w:rStyle w:val="1373"/>
          <w:rFonts w:ascii="仿宋" w:hAnsi="仿宋" w:eastAsia="仿宋" w:cs="仿宋"/>
          <w:sz w:val="24"/>
          <w:szCs w:val="24"/>
          <w:highlight w:val="none"/>
          <w:lang w:bidi="ar"/>
        </w:rPr>
        <w:t xml:space="preserve">工作。</w:t>
      </w:r>
      <w:r/>
    </w:p>
    <w:p>
      <w:pPr>
        <w:ind w:firstLine="482"/>
        <w:spacing w:line="360" w:lineRule="auto"/>
        <w:rPr>
          <w:rStyle w:val="1373"/>
          <w:rFonts w:hint="eastAsia" w:ascii="仿宋" w:hAnsi="仿宋" w:eastAsia="仿宋" w:cs="仿宋"/>
          <w:b/>
          <w:bCs/>
          <w:sz w:val="24"/>
          <w:szCs w:val="24"/>
          <w:lang w:bidi="ar"/>
        </w:rPr>
      </w:pPr>
      <w:r>
        <w:rPr>
          <w:rStyle w:val="1373"/>
          <w:rFonts w:hint="eastAsia" w:ascii="仿宋" w:hAnsi="仿宋" w:eastAsia="仿宋" w:cs="仿宋"/>
          <w:b/>
          <w:bCs/>
          <w:sz w:val="24"/>
          <w:szCs w:val="24"/>
          <w:lang w:bidi="ar"/>
        </w:rPr>
        <w:t xml:space="preserve">（二）项目实施</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（1）项目设计</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1.技术准备</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前全面勘查配电室，逐柜核对35kV及6kV侧一次主接线、安装基础、电缆走向，重点核查原有外接一次电缆（进线、出线、母排）的规格型号、相序标识，以及原有外接二次电缆（控制、信号、遥测、遥信、通信）的回路编号、芯线定义及端子排位置，形成《外接线核对清单》。</w:t>
      </w:r>
      <w:r/>
    </w:p>
    <w:p>
      <w:pPr>
        <w:jc w:val="center"/>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mc:AlternateContent>
          <mc:Choice Requires="wpg">
            <w:drawing>
              <wp:inline xmlns:wp="http://schemas.openxmlformats.org/drawingml/2006/wordprocessingDrawing" distT="0" distB="0" distL="0" distR="0">
                <wp:extent cx="5914390" cy="3616325"/>
                <wp:effectExtent l="0" t="0" r="10160" b="3175"/>
                <wp:docPr id="1" name="图片 1" descr="811f5549-a76e-4936-a128-f99bc046e0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11f5549-a76e-4936-a128-f99bc046e0dd"/>
                        <pic:cNvPicPr>
                          <a:picLocks noChangeAspect="1"/>
                        </pic:cNvPicPr>
                        <pic:nvPr/>
                      </pic:nvPicPr>
                      <pic:blipFill>
                        <a:blip r:embed="rId11"/>
                        <a:stretch/>
                      </pic:blipFill>
                      <pic:spPr bwMode="auto">
                        <a:xfrm>
                          <a:off x="0" y="0"/>
                          <a:ext cx="5914390" cy="3616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5.7pt;height:284.8pt;mso-wrap-distance-left:0.0pt;mso-wrap-distance-top:0.0pt;mso-wrap-distance-right:0.0pt;mso-wrap-distance-bottom:0.0pt;" stroked="false">
                <v:path textboxrect="0,0,0,0"/>
                <v:imagedata r:id="rId11" o:title=""/>
              </v:shape>
            </w:pict>
          </mc:Fallback>
        </mc:AlternateContent>
      </w:r>
      <w:r/>
    </w:p>
    <w:p>
      <w:pPr>
        <w:ind w:left="42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2.设备出厂预制</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新柜装配在工厂完成。35kV侧采用KYN-40.5柜型，6kV侧采用KYN-28柜型。工厂内完成断路器、电动底盘车、智能保护终端、无线测温传感器、局放监测装置、视频监控设备、电动接地开关、温湿度控制器等组件的安装接线，并完成单体通电测试、老化测试等逻辑验证。出厂前赴厂验收，确认合格后发货。</w:t>
      </w:r>
      <w:r/>
    </w:p>
    <w:p>
      <w:pPr>
        <w:ind w:left="42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3.物资准备</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准备阻燃型热缩号码管、不锈钢扎带、防水标签纸、彩色标识带等线缆标记材料；准备母排连接用导电膏、搪锡工具、扭矩扳手、继电保护测试仪等。</w:t>
      </w:r>
      <w:r/>
    </w:p>
    <w:p>
      <w:pPr>
        <w:numPr>
          <w:ilvl w:val="0"/>
          <w:numId w:val="12"/>
        </w:num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施工方案</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1.施工条件：本项目施工地点在沙集闸站管理所院内。为施工安全，施工前需做好安全组织措施及安全技术措施、办理施工安全交底工作。在施工期间需注意噪声和环境卫生等工作，做到文明施工。</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2.施工内容</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①旧柜拆除与外接线保留工艺</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停电与核查：办理停电工作票，执行停电、验电、挂接地线，确认三相电压为零。逐柜对照《外接线核对清单》再次核查一次、二次外接线，确认无误后方可标记拆除。</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一次线标记与拆除：对连接旧柜的母排、进线电缆、出线电缆进行标记。母排采用不锈钢扎带悬挂防水标签，注明电压等级、段别及相序；电缆采用彩色标识带缠绕（黄绿红对应ABC相），并在电缆头悬挂标签注明电缆编号、对侧柜号及相序。拆除时先拆电缆头连接螺栓，再拆母排连接螺栓；拆除后的母排用防潮帆布包裹，电缆头用热缩帽或绝缘胶带密封，防止受潮</w:t>
      </w:r>
      <w:r>
        <w:rPr>
          <w:rStyle w:val="1373"/>
          <w:rFonts w:hint="eastAsia" w:ascii="仿宋" w:hAnsi="仿宋" w:eastAsia="仿宋" w:cs="仿宋"/>
          <w:sz w:val="24"/>
          <w:szCs w:val="24"/>
          <w:lang w:eastAsia="zh-CN" w:bidi="ar"/>
        </w:rPr>
        <w:t xml:space="preserve">。</w:t>
      </w:r>
      <w:r>
        <w:rPr>
          <w:rStyle w:val="1373"/>
          <w:rFonts w:hint="eastAsia" w:ascii="仿宋" w:hAnsi="仿宋" w:eastAsia="仿宋" w:cs="仿宋"/>
          <w:sz w:val="24"/>
          <w:szCs w:val="24"/>
          <w:lang w:bidi="ar"/>
        </w:rPr>
        <w:t xml:space="preserve">拆除后线缆悬挂于绝缘支架，严禁拖地。</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②新柜就位、拼柜与接线恢复</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新柜运输与就位：工厂预制的新柜采用封闭货车运输至现场。运输前复核配电室通道尺寸，确认主通道宽度、转弯对角线、门框内空满足柜体通过要求。柜</w:t>
      </w:r>
      <w:r>
        <w:rPr>
          <w:rStyle w:val="1373"/>
          <w:rFonts w:hint="eastAsia" w:ascii="仿宋" w:hAnsi="仿宋" w:eastAsia="仿宋" w:cs="仿宋"/>
          <w:sz w:val="24"/>
          <w:szCs w:val="24"/>
          <w:lang w:bidi="ar"/>
        </w:rPr>
        <w:t xml:space="preserve">体按预定顺序逐台就位：35kV侧按AH01至AH05排列，6kV第I段按AH06至AH10排列。采用吊车配合液压叉车转运，落位后螺栓固定于基础槽钢，使用水平仪校准，相邻柜体顶部偏差不大于2mm，正面偏差不大于2mm。拼柜与母排连接：拆除柜间运输防护板，连接柜间螺栓，调整间隙均匀且不大于2mm。主母线按原系统相序连接，搭接面清洁、搪锡处理，涂抹导电膏，采用不锈钢螺栓紧固，扭矩扳手按标准力矩执行，接触电阻≤50μΩ。母线穿墙套管及触头盒检查洁净度，防止局放隐患。连接完成后核对相序标识正确，柜间绝缘隔板安装到位。</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原有外接线恢复：按照拆除时的标记逐根恢复。一次线恢复时核对相序，电缆头检查密封状态，必要时重新制作；母排连接核对相序标记，确保与原系统一致；恢复后检查连接点紧固力矩，抽测接触电阻。二次线恢复时对照新柜二次原理图，逐芯核对端子排编号及芯线定义，确保与原设计一致；电流互感器回路注意极性正确、严禁开路；电压回路注意相序及N线可靠连接；控制回路注意分合闸线圈极性；通信回路注意屏蔽层单端接地。端子排压接采用扭矩扳手，压接部位涂抹抗氧化剂。每恢复一根电缆，做到恢复一根、核对一根、确认一根。</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通信线恢复至新柜双以太网接口，核对IP地址、子网掩码、网关参数，确保与原有网络规划一致。柜间通过通信端口级联，最终接入站端通信管理机。</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③系统调试与原有后台对接</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本次应与原有后台系统的对接。新柜虽在工厂完成装配，但现场拼柜后的整体性能验证、与2023年已改造6kV第Ⅱ段设备的系统融合，均需通过精细调试实现。</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单体功能验证：拼柜及接线完成后逐柜通电检查。智能保护终端上电自检，触摸屏显示正常；电动底盘车电动推进/抽出，验证“工作位”与“试验位”定位精准、机械联锁可靠；电动接地开关分合闸，验证与断路器的闭锁逻辑；温湿度传感器及智能除湿装置自动启停验证；无线测温传感器通信验证，检查断路器接插端6点及电缆连接端3点温度数据；局放监测装置施加标准脉冲信号验证告警阈值；视频监控调整角度覆盖断路器活门及接地开关，检查红外夜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保护功能调试：依据设计定值单录入保护定值。使用继电保护测试仪验证各保护动作正确性，重点测试动作值及动作时间。模拟保护动作及断路器操作，验证录波功能。</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一键顺控与防误闭锁调试：对配置电动底盘车及电动接地开关的柜体进行一键顺控调试。依次执行“运行→热备用→冷备用→检修”及反向转换，检查各状态下底盘车、接地开关、断路器的动作顺序及电气/机械联锁可靠性，确保不出现带负荷拉底盘车、带接地线合闸等误操作。顺控过程录制视频与电机电流曲线。</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原有后台系统对接：将新柜接入原有后台通信网络，数据上传与</w:t>
      </w:r>
      <w:r>
        <w:rPr>
          <w:rStyle w:val="1373"/>
          <w:rFonts w:hint="eastAsia" w:ascii="仿宋" w:hAnsi="仿宋" w:eastAsia="仿宋" w:cs="仿宋"/>
          <w:sz w:val="24"/>
          <w:szCs w:val="24"/>
          <w:lang w:bidi="ar"/>
        </w:rPr>
        <w:t xml:space="preserve">指令下发。核对遥测量（电压、电流、功率、温度、局放量）、遥信量（开关状态、底盘车位置、接地开关状态、柜门状态）、遥控量（断路器分合闸、底盘车进退、接地开关分合）、遥调量（保护定值区切换）的数据格式、点号配置、品质描述参考第Ⅱ段设备。后台监控画面确保图标样式、颜色配置、布局风格、报警分级规则参考第Ⅱ段。验证遥控操作时视频画面自动切换至对应柜体画面；某柜接地开关变位时视频自动弹出置顶。完成整站系统联调后，进行连续带负荷试运行，保护动作正确率须达100%，数据采集完整性≥99.9%，通信无丢包，视频系统运行可靠。</w:t>
      </w:r>
      <w:r/>
    </w:p>
    <w:p>
      <w:pPr>
        <w:ind w:left="42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3.施工管理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旧柜拆除阶段：确认停电、验电、接地后方可开工。拆除二次线时严防电流互感器回路开路产生高压；拆除一次线时注意残余电荷释放。拆除后的线缆悬挂于绝缘支架，严禁拖地或接触地面金属构件。旧柜吊运时防止碰撞运行设备或损伤基础。</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拼柜与接线阶段：母排连接时严禁徒手触摸导电面；恢复二次线时对照原理图逐芯核对，防止误接导致保护误动或拒动；通信线恢复时严禁带电插拔光纤头。施工区域采用硬质围栏封闭，与带电设备保持安全距离，悬挂“止步，高压危险”警示标识。</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调试阶段：电动底盘车或断路器遥控操作时现场设专人监护，操作前通过视频监控确认设备状态，操作后通过遥信返校确认位置。保护传动试验前断开跳闸出口压板，防止误跳运行设备。严禁修改第Ⅱ段已运行设备的通信参数及定值。</w:t>
      </w:r>
      <w:r/>
    </w:p>
    <w:p>
      <w:pPr>
        <w:ind w:left="42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bidi="ar"/>
        </w:rPr>
        <w:t xml:space="preserve">4.验收交付</w:t>
      </w:r>
      <w:r/>
    </w:p>
    <w:p>
      <w:pPr>
        <w:ind w:firstLine="480"/>
        <w:spacing w:line="360" w:lineRule="auto"/>
        <w:rPr>
          <w:rStyle w:val="1373"/>
          <w:rFonts w:hint="eastAsia" w:ascii="仿宋" w:hAnsi="仿宋" w:eastAsia="仿宋" w:cs="仿宋"/>
          <w:sz w:val="24"/>
          <w:szCs w:val="24"/>
          <w:lang w:eastAsia="zh-CN" w:bidi="ar"/>
        </w:rPr>
      </w:pPr>
      <w:r>
        <w:rPr>
          <w:rStyle w:val="1373"/>
          <w:rFonts w:hint="eastAsia" w:ascii="仿宋" w:hAnsi="仿宋" w:eastAsia="仿宋" w:cs="仿宋"/>
          <w:sz w:val="24"/>
          <w:szCs w:val="24"/>
          <w:lang w:eastAsia="zh-CN" w:bidi="ar"/>
        </w:rPr>
        <w:t xml:space="preserve">（</w:t>
      </w:r>
      <w:r>
        <w:rPr>
          <w:rStyle w:val="1373"/>
          <w:rFonts w:hint="eastAsia" w:ascii="仿宋" w:hAnsi="仿宋" w:eastAsia="仿宋" w:cs="仿宋"/>
          <w:sz w:val="24"/>
          <w:szCs w:val="24"/>
          <w:lang w:val="en-US" w:eastAsia="zh-CN" w:bidi="ar"/>
        </w:rPr>
        <w:t xml:space="preserve">1</w:t>
      </w:r>
      <w:r>
        <w:rPr>
          <w:rStyle w:val="1373"/>
          <w:rFonts w:hint="eastAsia" w:ascii="仿宋" w:hAnsi="仿宋" w:eastAsia="仿宋" w:cs="仿宋"/>
          <w:sz w:val="24"/>
          <w:szCs w:val="24"/>
          <w:lang w:eastAsia="zh-CN" w:bidi="ar"/>
        </w:rPr>
        <w:t xml:space="preserve">）交接试验项目包括但不限于：测量绝缘电阻；每相导电回路电阻；交</w:t>
      </w:r>
      <w:r>
        <w:rPr>
          <w:rStyle w:val="1373"/>
          <w:rFonts w:hint="eastAsia" w:ascii="仿宋" w:hAnsi="仿宋" w:eastAsia="仿宋" w:cs="仿宋"/>
          <w:sz w:val="24"/>
          <w:szCs w:val="24"/>
          <w:lang w:eastAsia="zh-CN" w:bidi="ar"/>
        </w:rPr>
        <w:t xml:space="preserve">流耐压试验；断路器分合闸时间、同期性、弹跳时间；测量分合闸线圈的绝缘电阻和直流电阻；断路器分合闸最低动作电压；互感器绕组绝缘电阻、直流电阻、极性、变比、励磁特性；避雷器直流参考电压及泄漏电流；过电压保护器放电电压；仪表精度校验等。保护调试使用继电保护测试仪模拟故障，验证动作正确性及录波功能，保护动作断路器联动跳闸校验。一键顺控调试验证各状态转换联锁可靠性。后台系统对接后核对遥测、遥信、遥控、遥调数据格式及点号，确保视频联动正常，连续带负荷试运行保护动作正确率100%，数据采集完整性≥99.9%，通信无丢包。</w:t>
      </w:r>
      <w:r/>
    </w:p>
    <w:p>
      <w:pPr>
        <w:ind w:firstLine="480"/>
        <w:spacing w:line="360" w:lineRule="auto"/>
        <w:rPr>
          <w:rStyle w:val="1373"/>
          <w:rFonts w:hint="eastAsia" w:ascii="仿宋" w:hAnsi="仿宋" w:eastAsia="仿宋" w:cs="仿宋"/>
          <w:sz w:val="24"/>
          <w:szCs w:val="24"/>
          <w:lang w:bidi="ar"/>
        </w:rPr>
      </w:pPr>
      <w:r>
        <w:rPr>
          <w:rStyle w:val="1373"/>
          <w:rFonts w:hint="eastAsia" w:ascii="仿宋" w:hAnsi="仿宋" w:eastAsia="仿宋" w:cs="仿宋"/>
          <w:sz w:val="24"/>
          <w:szCs w:val="24"/>
          <w:lang w:eastAsia="zh-CN" w:bidi="ar"/>
        </w:rPr>
        <w:t xml:space="preserve">（</w:t>
      </w:r>
      <w:r>
        <w:rPr>
          <w:rStyle w:val="1373"/>
          <w:rFonts w:hint="eastAsia" w:ascii="仿宋" w:hAnsi="仿宋" w:eastAsia="仿宋" w:cs="仿宋"/>
          <w:sz w:val="24"/>
          <w:szCs w:val="24"/>
          <w:lang w:val="en-US" w:eastAsia="zh-CN" w:bidi="ar"/>
        </w:rPr>
        <w:t xml:space="preserve">2</w:t>
      </w:r>
      <w:r>
        <w:rPr>
          <w:rStyle w:val="1373"/>
          <w:rFonts w:hint="eastAsia" w:ascii="仿宋" w:hAnsi="仿宋" w:eastAsia="仿宋" w:cs="仿宋"/>
          <w:sz w:val="24"/>
          <w:szCs w:val="24"/>
          <w:lang w:eastAsia="zh-CN" w:bidi="ar"/>
        </w:rPr>
        <w:t xml:space="preserve">）</w:t>
      </w:r>
      <w:r>
        <w:rPr>
          <w:rStyle w:val="1373"/>
          <w:rFonts w:hint="eastAsia" w:ascii="仿宋" w:hAnsi="仿宋" w:eastAsia="仿宋" w:cs="仿宋"/>
          <w:sz w:val="24"/>
          <w:szCs w:val="24"/>
          <w:lang w:bidi="ar"/>
        </w:rPr>
        <w:t xml:space="preserve">分阶段验收：拼柜接线验收检查柜体垂直度、母排接触电阻、相序标识、线缆恢复正确率及标识清晰度；单体功能验收验证终端显示、电动机构定位、联锁逻辑、传感器精度、视频清晰度；系统功能验收验证一键顺控、后台四遥对接、视频联动及72小时试运行数据。</w:t>
      </w:r>
      <w:r/>
    </w:p>
    <w:p>
      <w:pPr>
        <w:ind w:firstLine="480"/>
        <w:spacing w:line="360" w:lineRule="auto"/>
        <w:rPr>
          <w:rStyle w:val="1373"/>
          <w:rFonts w:hint="eastAsia" w:ascii="仿宋" w:hAnsi="仿宋" w:eastAsia="仿宋" w:cs="仿宋"/>
          <w:color w:val="auto"/>
          <w:sz w:val="24"/>
          <w:szCs w:val="24"/>
          <w:highlight w:val="none"/>
          <w:lang w:bidi="ar"/>
        </w:rPr>
      </w:pPr>
      <w:r>
        <w:rPr>
          <w:rStyle w:val="1373"/>
          <w:rFonts w:hint="eastAsia" w:ascii="仿宋" w:hAnsi="仿宋" w:eastAsia="仿宋" w:cs="仿宋"/>
          <w:sz w:val="24"/>
          <w:szCs w:val="24"/>
          <w:lang w:eastAsia="zh-CN" w:bidi="ar"/>
        </w:rPr>
        <w:t xml:space="preserve">（</w:t>
      </w:r>
      <w:r>
        <w:rPr>
          <w:rStyle w:val="1373"/>
          <w:rFonts w:hint="eastAsia" w:ascii="仿宋" w:hAnsi="仿宋" w:eastAsia="仿宋" w:cs="仿宋"/>
          <w:sz w:val="24"/>
          <w:szCs w:val="24"/>
          <w:lang w:val="en-US" w:eastAsia="zh-CN" w:bidi="ar"/>
        </w:rPr>
        <w:t xml:space="preserve">3</w:t>
      </w:r>
      <w:r>
        <w:rPr>
          <w:rStyle w:val="1373"/>
          <w:rFonts w:hint="eastAsia" w:ascii="仿宋" w:hAnsi="仿宋" w:eastAsia="仿宋" w:cs="仿宋"/>
          <w:sz w:val="24"/>
          <w:szCs w:val="24"/>
          <w:lang w:eastAsia="zh-CN" w:bidi="ar"/>
        </w:rPr>
        <w:t xml:space="preserve">）</w:t>
      </w:r>
      <w:r>
        <w:rPr>
          <w:rStyle w:val="1373"/>
          <w:rFonts w:hint="eastAsia" w:ascii="仿宋" w:hAnsi="仿宋" w:eastAsia="仿宋" w:cs="仿宋"/>
          <w:sz w:val="24"/>
          <w:szCs w:val="24"/>
          <w:lang w:bidi="ar"/>
        </w:rPr>
        <w:t xml:space="preserve">资料移交与培训：验收通过后编制《项目验收报告》，移交设计图纸（含变更）、设备合格证、检测报告、外接线恢复确认单、调试报告、录波数据、后台通信</w:t>
      </w:r>
      <w:r>
        <w:rPr>
          <w:rStyle w:val="1373"/>
          <w:rFonts w:hint="eastAsia" w:ascii="仿宋" w:hAnsi="仿宋" w:eastAsia="仿宋" w:cs="仿宋"/>
          <w:color w:val="auto"/>
          <w:sz w:val="24"/>
          <w:szCs w:val="24"/>
          <w:highlight w:val="none"/>
          <w:lang w:bidi="ar"/>
        </w:rPr>
        <w:t xml:space="preserve">点表、操作手册等。对运行人员进行专项培训，内容包括智能终端就地操作、后台监控界面操作、一键顺控流程、常见故障处理及视频系统使用，确保熟练掌握改造后的系统操作。交付后提供1年免费运维服务，建立7×24小时应急响应机制，核心部件24小时内直达配送，平均故障修复时间控制在2小时以内，确保沙集所泵站高压配电系统长期安全稳定运行，为全面数字化奠定坚实基础。</w:t>
      </w:r>
      <w:r/>
    </w:p>
    <w:p>
      <w:pPr>
        <w:ind w:firstLine="480"/>
        <w:spacing w:line="360" w:lineRule="auto"/>
        <w:rPr>
          <w:rStyle w:val="1373"/>
          <w:rFonts w:hint="eastAsia" w:ascii="仿宋" w:hAnsi="仿宋" w:eastAsia="仿宋" w:cs="仿宋"/>
          <w:color w:val="auto"/>
          <w:sz w:val="24"/>
          <w:szCs w:val="24"/>
          <w:highlight w:val="none"/>
          <w:lang w:bidi="ar"/>
        </w:rPr>
      </w:pPr>
      <w:r>
        <w:rPr>
          <w:rStyle w:val="1373"/>
          <w:rFonts w:hint="eastAsia" w:ascii="仿宋" w:hAnsi="仿宋" w:eastAsia="仿宋" w:cs="仿宋"/>
          <w:color w:val="auto"/>
          <w:sz w:val="24"/>
          <w:szCs w:val="24"/>
          <w:highlight w:val="none"/>
          <w:lang w:bidi="ar"/>
        </w:rPr>
        <w:t xml:space="preserve">（3）施工单位或设备供应商的选择方案</w:t>
      </w:r>
      <w:r/>
    </w:p>
    <w:p>
      <w:pPr>
        <w:ind w:firstLine="480"/>
        <w:spacing w:line="360" w:lineRule="auto"/>
        <w:rPr>
          <w:rStyle w:val="1373"/>
          <w:rFonts w:hint="eastAsia" w:ascii="仿宋" w:hAnsi="仿宋" w:eastAsia="仿宋" w:cs="仿宋"/>
          <w:color w:val="auto"/>
          <w:sz w:val="24"/>
          <w:szCs w:val="24"/>
          <w:highlight w:val="none"/>
          <w:lang w:bidi="ar"/>
        </w:rPr>
      </w:pPr>
      <w:r>
        <w:rPr>
          <w:rStyle w:val="1373"/>
          <w:rFonts w:hint="eastAsia" w:ascii="仿宋" w:hAnsi="仿宋" w:eastAsia="仿宋" w:cs="仿宋"/>
          <w:color w:val="auto"/>
          <w:sz w:val="24"/>
          <w:szCs w:val="24"/>
          <w:highlight w:val="none"/>
          <w:lang w:bidi="ar"/>
        </w:rPr>
        <w:t xml:space="preserve">（4）项目实施前的准备工作</w:t>
      </w:r>
      <w:r/>
    </w:p>
    <w:p>
      <w:pPr>
        <w:ind w:firstLine="480"/>
        <w:spacing w:line="360" w:lineRule="auto"/>
        <w:rPr>
          <w:rStyle w:val="1373"/>
          <w:rFonts w:hint="eastAsia" w:ascii="仿宋" w:hAnsi="仿宋" w:eastAsia="仿宋" w:cs="仿宋"/>
          <w:color w:val="auto"/>
          <w:sz w:val="24"/>
          <w:szCs w:val="24"/>
          <w:highlight w:val="none"/>
          <w:lang w:bidi="ar"/>
        </w:rPr>
      </w:pPr>
      <w:r>
        <w:rPr>
          <w:rStyle w:val="1373"/>
          <w:rFonts w:hint="eastAsia" w:ascii="仿宋" w:hAnsi="仿宋" w:eastAsia="仿宋" w:cs="仿宋"/>
          <w:color w:val="auto"/>
          <w:sz w:val="24"/>
          <w:szCs w:val="24"/>
          <w:highlight w:val="none"/>
          <w:lang w:bidi="ar"/>
        </w:rPr>
        <w:t xml:space="preserve">为使项目顺利实施，保证施工进度、质量，在项目实施前，我单位已对各个项目进行了方案细化，根据机组运行情况，初步拟定了检修日期，现场水、电及道路均能满足施工要求。</w:t>
      </w:r>
      <w:r/>
    </w:p>
    <w:p>
      <w:pPr>
        <w:ind w:firstLine="480"/>
        <w:spacing w:line="360" w:lineRule="auto"/>
        <w:rPr>
          <w:rStyle w:val="1373"/>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（5）</w:t>
      </w:r>
      <w:r>
        <w:rPr>
          <w:rStyle w:val="1373"/>
          <w:rFonts w:hint="eastAsia" w:ascii="仿宋" w:hAnsi="仿宋" w:eastAsia="仿宋" w:cs="仿宋"/>
          <w:color w:val="auto"/>
          <w:sz w:val="24"/>
          <w:szCs w:val="24"/>
          <w:highlight w:val="none"/>
          <w:lang w:bidi="ar"/>
        </w:rPr>
        <w:t xml:space="preserve">技术要求</w:t>
      </w:r>
      <w:r/>
    </w:p>
    <w:p>
      <w:pPr>
        <w:ind w:firstLine="442"/>
        <w:spacing w:line="400" w:lineRule="exact"/>
        <w:rPr>
          <w:rFonts w:hint="eastAsia" w:ascii="仿宋" w:hAnsi="仿宋" w:eastAsia="仿宋" w:cs="仿宋"/>
          <w:b/>
          <w:color w:val="auto"/>
          <w:sz w:val="22"/>
          <w:szCs w:val="22"/>
          <w:highlight w:val="none"/>
        </w:rPr>
        <w:outlineLvl w:val="0"/>
      </w:pPr>
      <w:r/>
      <w:bookmarkStart w:id="211" w:name="_Toc389034995"/>
      <w:r/>
      <w:bookmarkStart w:id="212" w:name="_Toc89178264"/>
      <w:r/>
      <w:bookmarkStart w:id="213" w:name="_Toc389750247"/>
      <w:r>
        <w:rPr>
          <w:rFonts w:hint="eastAsia" w:ascii="仿宋" w:hAnsi="仿宋" w:eastAsia="仿宋" w:cs="仿宋"/>
          <w:b/>
          <w:color w:val="auto"/>
          <w:sz w:val="22"/>
          <w:szCs w:val="22"/>
          <w:highlight w:val="none"/>
        </w:rPr>
        <w:t xml:space="preserve">（一）高压开关柜技术参数</w:t>
      </w:r>
      <w:bookmarkEnd w:id="211"/>
      <w:r/>
      <w:bookmarkEnd w:id="212"/>
      <w:r/>
      <w:bookmarkEnd w:id="213"/>
      <w:r/>
      <w:r/>
    </w:p>
    <w:p>
      <w:pPr>
        <w:ind w:firstLine="552"/>
        <w:spacing w:line="400" w:lineRule="exact"/>
        <w:rPr>
          <w:rFonts w:hint="eastAsia" w:ascii="仿宋" w:hAnsi="仿宋" w:eastAsia="仿宋" w:cs="仿宋"/>
          <w:b/>
          <w:bCs/>
          <w:color w:val="auto"/>
          <w:sz w:val="22"/>
          <w:szCs w:val="22"/>
          <w:highlight w:val="none"/>
        </w:rPr>
      </w:pPr>
      <w:r/>
      <w:bookmarkStart w:id="214" w:name="_Toc389034996"/>
      <w:r/>
      <w:bookmarkStart w:id="215" w:name="_Toc89178265"/>
      <w:r/>
      <w:bookmarkStart w:id="216" w:name="_Toc389750248"/>
      <w:r>
        <w:rPr>
          <w:rFonts w:hint="eastAsia" w:ascii="仿宋" w:hAnsi="仿宋" w:eastAsia="仿宋" w:cs="仿宋"/>
          <w:b/>
          <w:bCs/>
          <w:color w:val="auto"/>
          <w:sz w:val="22"/>
          <w:szCs w:val="22"/>
          <w:highlight w:val="none"/>
        </w:rPr>
        <w:t xml:space="preserve">KYN-40.5高压开关柜技术参数</w:t>
      </w:r>
      <w:bookmarkEnd w:id="214"/>
      <w:r/>
      <w:bookmarkEnd w:id="215"/>
      <w:r/>
      <w:bookmarkEnd w:id="216"/>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1、额定电压：35kV</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2、最高电压：40.5kV</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3、额定电流： 1250 A</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4、额定频率： 50 Hz</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w:t>
      </w:r>
      <w:r>
        <w:rPr>
          <w:rFonts w:hint="eastAsia" w:ascii="仿宋" w:hAnsi="仿宋" w:eastAsia="仿宋" w:cs="仿宋"/>
          <w:bCs/>
          <w:color w:val="auto"/>
          <w:sz w:val="22"/>
          <w:szCs w:val="22"/>
          <w:highlight w:val="none"/>
        </w:rPr>
        <w:t xml:space="preserve">额定热稳定电流（4S）：</w:t>
      </w:r>
      <w:r>
        <w:rPr>
          <w:rFonts w:hint="eastAsia" w:ascii="仿宋" w:hAnsi="仿宋" w:eastAsia="仿宋" w:cs="仿宋"/>
          <w:color w:val="auto"/>
          <w:sz w:val="22"/>
          <w:szCs w:val="22"/>
          <w:highlight w:val="none"/>
        </w:rPr>
        <w:t xml:space="preserve">31.5 kA</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w:t>
      </w:r>
      <w:r>
        <w:rPr>
          <w:rFonts w:hint="eastAsia" w:ascii="仿宋" w:hAnsi="仿宋" w:eastAsia="仿宋" w:cs="仿宋"/>
          <w:bCs/>
          <w:color w:val="auto"/>
          <w:sz w:val="22"/>
          <w:szCs w:val="22"/>
          <w:highlight w:val="none"/>
        </w:rPr>
        <w:t xml:space="preserve">额定动稳定电流（峰值）：</w:t>
      </w:r>
      <w:r>
        <w:rPr>
          <w:rFonts w:hint="eastAsia" w:ascii="仿宋" w:hAnsi="仿宋" w:eastAsia="仿宋" w:cs="仿宋"/>
          <w:color w:val="auto"/>
          <w:sz w:val="22"/>
          <w:szCs w:val="22"/>
          <w:highlight w:val="none"/>
        </w:rPr>
        <w:t xml:space="preserve">80 kA</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7、额定绝缘水平：</w:t>
      </w:r>
      <w:r/>
    </w:p>
    <w:p>
      <w:pPr>
        <w:ind w:firstLine="88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雷电冲击耐受电压：185/ 215kV（隔离断口）</w:t>
      </w:r>
      <w:r/>
    </w:p>
    <w:p>
      <w:pPr>
        <w:ind w:firstLine="88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1min工频耐受电压：95/ 118kV（隔离断口）</w:t>
      </w:r>
      <w:r/>
    </w:p>
    <w:p>
      <w:pPr>
        <w:ind w:firstLine="55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8、防护等级：IP4X</w:t>
      </w:r>
      <w:r/>
    </w:p>
    <w:p>
      <w:pPr>
        <w:ind w:firstLine="550"/>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9、外形尺寸：宽×深×高为1400×2800×2400mm</w:t>
      </w:r>
      <w:r/>
    </w:p>
    <w:p>
      <w:pPr>
        <w:ind w:firstLine="552"/>
        <w:spacing w:line="400" w:lineRule="exact"/>
        <w:rPr>
          <w:rFonts w:hint="eastAsia" w:ascii="仿宋" w:hAnsi="仿宋" w:eastAsia="仿宋" w:cs="仿宋"/>
          <w:b/>
          <w:bCs/>
          <w:color w:val="auto"/>
          <w:sz w:val="22"/>
          <w:szCs w:val="22"/>
          <w:highlight w:val="none"/>
        </w:rPr>
      </w:pPr>
      <w:r/>
      <w:bookmarkStart w:id="217" w:name="_Toc389750249"/>
      <w:r/>
      <w:bookmarkStart w:id="218" w:name="_Toc89178266"/>
      <w:r/>
      <w:bookmarkStart w:id="219" w:name="_Toc389034997"/>
      <w:r>
        <w:rPr>
          <w:rFonts w:hint="eastAsia" w:ascii="仿宋" w:hAnsi="仿宋" w:eastAsia="仿宋" w:cs="仿宋"/>
          <w:b/>
          <w:bCs/>
          <w:color w:val="auto"/>
          <w:sz w:val="22"/>
          <w:szCs w:val="22"/>
          <w:highlight w:val="none"/>
        </w:rPr>
        <w:t xml:space="preserve">KYN28-12高压开关柜技术参数</w:t>
      </w:r>
      <w:bookmarkEnd w:id="217"/>
      <w:r/>
      <w:bookmarkEnd w:id="218"/>
      <w:r/>
      <w:bookmarkEnd w:id="219"/>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1、额定电压：10kV</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2、最高工作电压：12kV</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3、额定电流：1250A</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4、额定频率：50Hz</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5、额定热稳定电流（4S）：25kA</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6、额定动稳定电流（峰值）：63kA</w:t>
      </w:r>
      <w:r/>
    </w:p>
    <w:p>
      <w:pPr>
        <w:ind w:left="-176" w:firstLine="825"/>
        <w:spacing w:line="40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7、</w:t>
      </w:r>
      <w:r>
        <w:rPr>
          <w:rFonts w:hint="eastAsia" w:ascii="仿宋" w:hAnsi="仿宋" w:eastAsia="仿宋" w:cs="仿宋"/>
          <w:color w:val="auto"/>
          <w:sz w:val="22"/>
          <w:szCs w:val="22"/>
          <w:highlight w:val="none"/>
        </w:rPr>
        <w:t xml:space="preserve">额定绝缘水平：</w:t>
      </w:r>
      <w:r/>
    </w:p>
    <w:p>
      <w:pPr>
        <w:ind w:left="-176" w:firstLine="1375"/>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雷电冲击耐受电压：75kV</w:t>
      </w:r>
      <w:r/>
    </w:p>
    <w:p>
      <w:pPr>
        <w:ind w:left="-176" w:firstLine="1375"/>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1min工频耐受电压：42kV</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8、防护等级：</w:t>
      </w:r>
      <w:r>
        <w:rPr>
          <w:rFonts w:hint="eastAsia" w:ascii="仿宋" w:hAnsi="仿宋" w:eastAsia="仿宋" w:cs="仿宋"/>
          <w:color w:val="auto"/>
          <w:sz w:val="22"/>
          <w:szCs w:val="22"/>
          <w:highlight w:val="none"/>
        </w:rPr>
        <w:t xml:space="preserve">IP4X</w:t>
      </w:r>
      <w:r/>
    </w:p>
    <w:p>
      <w:pPr>
        <w:ind w:left="-176" w:firstLine="825"/>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9、外形尺寸：宽×深×高为800×1500×2300mm</w:t>
      </w:r>
      <w:r/>
    </w:p>
    <w:p>
      <w:pPr>
        <w:ind w:firstLine="442"/>
        <w:spacing w:line="400" w:lineRule="exact"/>
        <w:rPr>
          <w:rFonts w:hint="eastAsia" w:ascii="仿宋" w:hAnsi="仿宋" w:eastAsia="仿宋" w:cs="仿宋"/>
          <w:b/>
          <w:color w:val="auto"/>
          <w:sz w:val="22"/>
          <w:szCs w:val="22"/>
          <w:highlight w:val="none"/>
        </w:rPr>
        <w:outlineLvl w:val="0"/>
      </w:pPr>
      <w:r/>
      <w:bookmarkStart w:id="220" w:name="_Toc389750250"/>
      <w:r/>
      <w:bookmarkStart w:id="221" w:name="_Toc89178267"/>
      <w:r/>
      <w:bookmarkStart w:id="222" w:name="_Toc389034998"/>
      <w:r>
        <w:rPr>
          <w:rFonts w:hint="eastAsia" w:ascii="仿宋" w:hAnsi="仿宋" w:eastAsia="仿宋" w:cs="仿宋"/>
          <w:b/>
          <w:color w:val="auto"/>
          <w:sz w:val="22"/>
          <w:szCs w:val="22"/>
          <w:highlight w:val="none"/>
        </w:rPr>
        <w:t xml:space="preserve">（二）高压开关柜总体结构</w:t>
      </w:r>
      <w:bookmarkEnd w:id="220"/>
      <w:r/>
      <w:bookmarkEnd w:id="221"/>
      <w:r/>
      <w:bookmarkEnd w:id="222"/>
      <w:r/>
      <w:r/>
    </w:p>
    <w:p>
      <w:pPr>
        <w:ind w:firstLine="429"/>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高压开关柜应分别按35kV、10kV额定电压设计，高压开关柜的设计和结构应符合IEC298及IEC694的要求。高压开关柜的设计应包括功能单元、控制保护以及仪表设备，对每个装置要求留有适当的空间便于进线和出线电缆连接、扩展、固定件的维修及部分元件的调换，还要考虑到今后的调试和安装。高压开关柜应在最大短路故障时安全运行，并应能承受由此引起的电气及机械应力。在故障条件下，压力释放通道不允许面向操作人员。</w:t>
      </w:r>
      <w:r/>
    </w:p>
    <w:p>
      <w:pPr>
        <w:ind w:firstLine="429"/>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2、高压开关柜其防护等级应符合IEC529要求的IP4X。高压开关柜的面板材料为2.5mm厚的优质钢板，柜体材料为2.0mm厚敷铝锌板，并具有足够的机械及耐火强度，以铆钉及螺丝拼合成坚固的整体。</w:t>
      </w:r>
      <w:r/>
    </w:p>
    <w:p>
      <w:pPr>
        <w:ind w:firstLine="429"/>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计量隔室装有联合接线盒及固定支架，其结构与做法应符合《电能计量装置配置》规范规定要求，计量表计由供电部门提供。</w:t>
      </w:r>
      <w:r/>
    </w:p>
    <w:p>
      <w:pPr>
        <w:ind w:firstLine="374"/>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元件板、门、罩子和框架的总装配应平滑、嵌装和无波纹出现，应提供所必须的肋和支架以减小撞击，保证功能单元装配既整齐又牢固。应避免出现未经加工的毛边，角和边缘都应呈园角形，焊接处和接地处要平滑，不允许出现裂缝接点和断裂现象。曲拐、手柄、表计和附件的切割处，应锐利平滑，切到设备的边缘外，门应装有铰链和锁，铰链之间最大距离不超过600mm，装有设备的门不应由于重量或大小而引起下垂。可移动的门和框架应安装在铰链、销子或托架上，并且采用工具或钥匙操作的紧固件来固定。</w:t>
      </w:r>
      <w:r>
        <w:rPr>
          <w:rFonts w:hint="eastAsia" w:ascii="仿宋" w:hAnsi="仿宋" w:eastAsia="仿宋" w:cs="仿宋"/>
          <w:color w:val="auto"/>
          <w:sz w:val="22"/>
          <w:szCs w:val="22"/>
          <w:highlight w:val="none"/>
        </w:rPr>
        <w:t xml:space="preserve">门面板对应断路器分闸按钮位置设置操作孔（带防护装置），通过面板内侧的旋转操作杆可直接触压分闸按钮（紧急情况下使用）。</w:t>
      </w:r>
      <w:r/>
    </w:p>
    <w:p>
      <w:pPr>
        <w:ind w:firstLine="36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4、高压开关柜母线室、开关室、电缆室、低压控制小室（仪表室）应进行金属全分隔，并且具有各自独立的过压释放通道（过压释放应提供可信的试验证明材料）。</w:t>
      </w:r>
      <w:r/>
    </w:p>
    <w:p>
      <w:pPr>
        <w:ind w:firstLine="36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5、开关柜在工作状态及进行维修时，应防止操作人员与带电部分接触。手车式断路器开断时，要具有带自动锁扣的金属防护板，可同时自动隔离电缆侧和母排侧。开关柜应进行包括温升试验在内的型式试验。</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高压开关柜应设置安全可靠完整的控制回路。高压开关柜柜面应设置远方/现场操作选择开关、现场跳/合闸操作开关及跳合闸位置指示灯等，并留有远方跳合闸接口。反映手车运行位置、试验位置的辅助触头应分别引至端子板。</w:t>
      </w:r>
      <w:r/>
    </w:p>
    <w:p>
      <w:pPr>
        <w:ind w:firstLine="36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7、开关柜具有可靠的防止误操作的联锁装置（简称“五防”要求），包括但不限于：</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●可防止误分、合断路器</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●可防止带负荷推拉可移开部件</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●可防止带电合接地开关</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●可防止接地开关处在接地位置送电</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●可防止误入带电间隔</w:t>
      </w:r>
      <w:r/>
    </w:p>
    <w:p>
      <w:pPr>
        <w:ind w:firstLine="36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8、金属部分的接地</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所有开关柜要采用接地铜排并连成一体。接地铜排的截面应能承受3秒钟的短路电流。</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断路器手车应具有滑动触头，并在任何位置接入接地铜排，滑动触头与滑动触头座配合成套，触头座与主接地排采用铜材连接。</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柜内低压控制小室（仪表室）应设有专用接地铜排并与柜体绝缘，铜排截面不小于100</w:t>
      </w:r>
      <w:bookmarkStart w:id="223" w:name="_Hlk118619705"/>
      <w:r>
        <w:rPr>
          <w:rFonts w:hint="eastAsia" w:ascii="仿宋" w:hAnsi="仿宋" w:eastAsia="仿宋" w:cs="仿宋"/>
          <w:color w:val="auto"/>
          <w:sz w:val="22"/>
          <w:szCs w:val="22"/>
          <w:highlight w:val="none"/>
        </w:rPr>
        <w:t xml:space="preserve">mm</w:t>
      </w:r>
      <w:r>
        <w:rPr>
          <w:rFonts w:hint="eastAsia" w:ascii="仿宋" w:hAnsi="仿宋" w:eastAsia="仿宋" w:cs="仿宋"/>
          <w:color w:val="auto"/>
          <w:sz w:val="22"/>
          <w:szCs w:val="22"/>
          <w:highlight w:val="none"/>
          <w:vertAlign w:val="superscript"/>
        </w:rPr>
        <w:t xml:space="preserve">2</w:t>
      </w:r>
      <w:bookmarkEnd w:id="223"/>
      <w:r>
        <w:rPr>
          <w:rFonts w:hint="eastAsia" w:ascii="仿宋" w:hAnsi="仿宋" w:eastAsia="仿宋" w:cs="仿宋"/>
          <w:color w:val="auto"/>
          <w:sz w:val="22"/>
          <w:szCs w:val="22"/>
          <w:highlight w:val="none"/>
        </w:rPr>
        <w:t xml:space="preserve">，铜排两端应装设足够的螺栓以备接至变电所等电位接地网上。每个开关柜的外壳应通过专门的接地点可靠接地，接地回路应满足短路电流的动、热稳定要求。</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9、隔离设施</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断路器可以手车分离，开断时母排和馈电回路之间应保证隔离。为防止操作人员接近带电固定触点，应设置安全防护板，该防护板应能掩盖母排及馈电侧的三相固定触点，锁扣装置能将防护板闭锁。试验、运行位置的操作均应闭门进行。</w:t>
      </w:r>
      <w:r/>
    </w:p>
    <w:p>
      <w:pPr>
        <w:ind w:right="-12" w:firstLine="33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10、电缆终端盒设施：电缆室后门板一旦打开，应能够检修电缆终端盒。</w:t>
      </w:r>
      <w:r>
        <w:rPr>
          <w:rFonts w:hint="eastAsia" w:ascii="仿宋" w:hAnsi="仿宋" w:eastAsia="仿宋" w:cs="仿宋"/>
          <w:color w:val="auto"/>
          <w:sz w:val="22"/>
          <w:szCs w:val="22"/>
          <w:highlight w:val="none"/>
        </w:rPr>
        <w:t xml:space="preserve">电缆隔室与电缆通道连接处应考虑防止小动物进入的措施。高压开关柜应考虑穿芯式零序电流互感器的安装位置，应方便电力电缆的安装敷设。</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11、柜顶设置小母线，供开关柜之间连线使用，小母线之间距按交流220V设计，并保证小母线之间的绝缘，小母线的接点应确保有效的导电和牢固的连接。</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12、涂层</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高压开关柜面板采用环氧树脂粉末静电喷涂，颜色由买方确定，应符合技术规定的相应要求。</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13、高压开关柜内部的动力线</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高压开关柜内的动力线应供有进线、出线的主回路，功能单元之间的相互联接，动力线应根据要求是母排或电缆，适应每个装置的额定电压，额定电流和最大故障条件。</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14、母排</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母排系统应符合IEC60694规定并且全封闭，在高压柜分舱内，母排采用热缩套管、环氧树脂板等加强绝缘措施（也可以接受更先进的母排结构方式），必须符合高压开关柜的操作额定电压值。母排应是刚性连接，间距应满足国家规范规定标准，硬拉高导电的电解铜符合IEC431。</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每根母排的截面在整个长度内应均匀，其截面应能承载连续的负载电流。母排的接点应确保有效的导电和牢固的连接，并加装环氧树脂板固定，使母排形成整体。母排应于出厂前预先钻孔，母排孔应光洁无毛口。母排不应由功能单元支撑，支持母排的绝缘子或其它材料应有合格的性能，以适应机械及电气的要求。高压开关柜母排的排列应便于电缆连接、观察及维修。</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母排的终端应钻孔并支撑，以能承受故障条件。三相母排分别为A、B、C，相色分别为A相黄色、B相绿色、C相红色。</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15、电缆</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电缆仅用于高压开关柜内动力线，电缆应是交联聚乙烯绝缘聚氯乙烯护套高导电的多股铜芯线，能耐高温并符合GB/T12706有关标准。电缆应整齐地排列和牢固地支撑，以承受指定的故障条件。</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16、中性和接地母排</w:t>
      </w:r>
      <w:r/>
    </w:p>
    <w:p>
      <w:pPr>
        <w:ind w:firstLine="222"/>
        <w:jc w:val="left"/>
        <w:spacing w:line="400" w:lineRule="exact"/>
        <w:rPr>
          <w:rFonts w:hint="eastAsia" w:ascii="仿宋" w:hAnsi="仿宋" w:eastAsia="仿宋" w:cs="仿宋"/>
          <w:color w:val="auto"/>
          <w:spacing w:val="-10"/>
          <w:sz w:val="22"/>
          <w:szCs w:val="22"/>
          <w:highlight w:val="none"/>
        </w:rPr>
      </w:pPr>
      <w:r>
        <w:rPr>
          <w:rFonts w:hint="eastAsia" w:ascii="仿宋" w:hAnsi="仿宋" w:eastAsia="仿宋" w:cs="仿宋"/>
          <w:color w:val="auto"/>
          <w:sz w:val="22"/>
          <w:szCs w:val="22"/>
          <w:highlight w:val="none"/>
        </w:rPr>
        <w:t xml:space="preserve">提供满足系统要求的中性和接地铜母排，上述铜排要出厂前预先钻孔，便于连接。</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17、标识</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在高压开关柜内的动力线采用相色识别，颜色可以是连续的或以有规律的间隔，动力线的两端漆50mm宽的色带。各柜型号、编号、名称采用丝网印刷等方法设于柜正面与背面眉头，并将柜内原理接线及设备端子编号、端子排贴于柜背面门内侧，便于现场检修和维护管理。</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18、柜内辅助导线和二次线</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连接控制、保护及仪表设备的小线，电流和电压回路导线截面不小于2.5mm</w:t>
      </w:r>
      <w:r>
        <w:rPr>
          <w:rFonts w:hint="eastAsia" w:ascii="仿宋" w:hAnsi="仿宋" w:eastAsia="仿宋" w:cs="仿宋"/>
          <w:color w:val="auto"/>
          <w:sz w:val="22"/>
          <w:szCs w:val="22"/>
          <w:highlight w:val="none"/>
          <w:vertAlign w:val="superscript"/>
        </w:rPr>
        <w:t xml:space="preserve">2</w:t>
      </w:r>
      <w:r>
        <w:rPr>
          <w:rFonts w:hint="eastAsia" w:ascii="仿宋" w:hAnsi="仿宋" w:eastAsia="仿宋" w:cs="仿宋"/>
          <w:color w:val="auto"/>
          <w:sz w:val="22"/>
          <w:szCs w:val="22"/>
          <w:highlight w:val="none"/>
        </w:rPr>
        <w:t xml:space="preserve">的多股铜芯线，绝缘等级为0.6kV。计量表计和负控装置由供电部门提供，安装于计量隔室内。计量隔室应封闭，二次接线采用防窃防误操作联合接线盒。互感器二次回路连接导线应采用铜质分色单芯绝缘线，截面不小于4mm²，二次回路设计为计量专用不得通过航空插头连接。互感器二次与计量表之间的连接应采用分相独立回路的接线方式，由互感器接线端子直接接至联合接线盒，中间不应有任何接头。所有不与主回路连接的小线应采用同一种醒目的颜色，并在端子处装有持久标记，符合IEC446标准。</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电压、电流互感器二次回路装设计量专用防窃电及实验接线盒，电能表与接线盒按一对一原则配备。计量柜应配备电压指示表为提供操作人员判断依据，电压指示表应从接线盒试验上端接入。</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计量柜电能表柜屏内应有安装电能信息采集终端，以及二次控制、遥信和报警回路的端子的空间，低压供电断路器等设备应与电能表与接线盒之间保持足够安全距离，电能表屏不可装设闭锁装置，互感器室柜门设计应便于加封印。</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柜内小线应整齐地排列夹紧。每一个功能单元或组件的柜内外小线必须在端子排上接口，并留有25％的备用端子。每根导线将固定在专用的端子上并可根据需要采用连接片进行多根导线端接。每项设备将从公共的中性排上单独引出一根中性线。柜体应留有通长通信线缆敷设的通道，并配合自动化人员进行敷设。通讯布线单独通道、组网抗干扰；支持多个通讯协议（61850、MODBUS等）的兼容，与上位机开发软件的适配性。</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19、高压开关柜的功能单元</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所有设备应具有标牌。标牌上应说明生产日期、容量、操作特性、型式及序号。所有设备应备有可靠的安全措施以防意外及设备的损坏。进线及出线的功能单元应适合所需的额定电压、电流、寿命、开关容量及短路故障容量，并结合所需的操作特点、辅件、联锁等。</w:t>
      </w:r>
      <w:r/>
    </w:p>
    <w:p>
      <w:pPr>
        <w:ind w:firstLine="33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20、防潮、防霉处理</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开关柜内应考虑除湿设施，在配电柜内安装自动除湿装置，并能有效的将配电柜内的湿气排出柜外，以防止凝露。</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21、智能化要求：智能开关柜为一二次融合柜，实现综合保</w:t>
      </w:r>
      <w:r>
        <w:rPr>
          <w:rFonts w:hint="eastAsia" w:ascii="仿宋" w:hAnsi="仿宋" w:eastAsia="仿宋" w:cs="仿宋"/>
          <w:color w:val="auto"/>
          <w:sz w:val="22"/>
          <w:szCs w:val="22"/>
          <w:highlight w:val="none"/>
        </w:rPr>
        <w:t xml:space="preserve">护测控与在线监测诊断的融合。进线、馈线回路的测量、控制、保护、信号与远动；断路器集成电动底盘车（手车），实现一键顺控，多种通讯接口，内置各种通讯规约，实现远方操控；柜内物理状态、运动机构、电气机械波形状态的可视化、远视化；断路器、接地开关等主要设备工况进行在线监测与诊断；智能开关柜配置刀闸及断路器活门视频显示功能，监视画面在仪表门上的显示屏中显示，断路器底盘车发生或接地开关状态发生变位显示器自动切换监视画面。智能开关柜具备测温功能以及刀闸、加热器/除湿机、高压带电、温湿度、柜门状态的检测功能，并能实时查看。</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系统组网要求，使单个柜体或元器件、整组柜体连成整个系统，具备四遥功能；采用有线方式通信时，每柜内设有网络通信连接端口，柜体之间的通信应通过通信端口连接。智能电子装置对除断路器之外的带电传感器、柜门锁、加热器、风扇以及柜面元件等配套电器进行在线检测与诊断。</w:t>
      </w:r>
      <w:r/>
    </w:p>
    <w:p>
      <w:pPr>
        <w:ind w:firstLine="442"/>
        <w:spacing w:line="400" w:lineRule="exact"/>
        <w:rPr>
          <w:rFonts w:hint="eastAsia" w:ascii="仿宋" w:hAnsi="仿宋" w:eastAsia="仿宋" w:cs="仿宋"/>
          <w:b/>
          <w:color w:val="auto"/>
          <w:sz w:val="22"/>
          <w:szCs w:val="22"/>
          <w:highlight w:val="none"/>
        </w:rPr>
        <w:outlineLvl w:val="0"/>
      </w:pPr>
      <w:r/>
      <w:bookmarkStart w:id="224" w:name="_Toc89178268"/>
      <w:r/>
      <w:bookmarkStart w:id="225" w:name="_Toc389750251"/>
      <w:r/>
      <w:bookmarkStart w:id="226" w:name="_Toc389034999"/>
      <w:r>
        <w:rPr>
          <w:rFonts w:hint="eastAsia" w:ascii="仿宋" w:hAnsi="仿宋" w:eastAsia="仿宋" w:cs="仿宋"/>
          <w:b/>
          <w:color w:val="auto"/>
          <w:sz w:val="22"/>
          <w:szCs w:val="22"/>
          <w:highlight w:val="none"/>
        </w:rPr>
        <w:t xml:space="preserve">（三）高压柜内主要元件</w:t>
      </w:r>
      <w:bookmarkEnd w:id="224"/>
      <w:r/>
      <w:bookmarkEnd w:id="225"/>
      <w:r/>
      <w:bookmarkEnd w:id="226"/>
      <w:r/>
      <w:r/>
    </w:p>
    <w:p>
      <w:pPr>
        <w:ind w:firstLine="440"/>
        <w:jc w:val="left"/>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w:t>
      </w:r>
      <w:r>
        <w:rPr>
          <w:rFonts w:hint="eastAsia" w:ascii="仿宋" w:hAnsi="仿宋" w:eastAsia="仿宋" w:cs="仿宋"/>
          <w:color w:val="auto"/>
          <w:sz w:val="22"/>
          <w:szCs w:val="22"/>
          <w:highlight w:val="none"/>
        </w:rPr>
        <w:t xml:space="preserve">、35kV、</w:t>
      </w:r>
      <w:r>
        <w:rPr>
          <w:rFonts w:hint="eastAsia" w:ascii="仿宋" w:hAnsi="仿宋" w:eastAsia="仿宋" w:cs="仿宋"/>
          <w:bCs/>
          <w:color w:val="auto"/>
          <w:sz w:val="22"/>
          <w:szCs w:val="22"/>
          <w:highlight w:val="none"/>
        </w:rPr>
        <w:t xml:space="preserve">10kV真空断路器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高压真空断路器应采用著名品牌电动手车式智能真空断路器系列产品，满足一键顺控要求，并有较多类似工程经验及业绩的专业制造厂商产品。性能参数应不低于招标图纸及以下要求：</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bookmarkStart w:id="227" w:name="_Hlk71286951"/>
      <w:r>
        <w:rPr>
          <w:rFonts w:hint="eastAsia" w:ascii="仿宋" w:hAnsi="仿宋" w:eastAsia="仿宋" w:cs="仿宋"/>
          <w:color w:val="auto"/>
          <w:sz w:val="22"/>
          <w:szCs w:val="22"/>
          <w:highlight w:val="none"/>
        </w:rPr>
        <w:t xml:space="preserve">真空断路器应采用模块化齿轮传动弹簧操动机构</w:t>
      </w:r>
      <w:bookmarkEnd w:id="227"/>
      <w:r>
        <w:rPr>
          <w:rFonts w:hint="eastAsia" w:ascii="仿宋" w:hAnsi="仿宋" w:eastAsia="仿宋" w:cs="仿宋"/>
          <w:color w:val="auto"/>
          <w:sz w:val="22"/>
          <w:szCs w:val="22"/>
          <w:highlight w:val="none"/>
        </w:rPr>
        <w:t xml:space="preserve">，机构整体固定于框架内，拆装方便。主回路采用一次成型固封式极柱。</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1.2真空灭弧室要求采用陶瓷外壳，选用知名品牌。</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1.3真空灭弧室允许储存期不小于20年，出厂时灭弧室真空度不得小于1.33×10</w:t>
      </w:r>
      <w:r>
        <w:rPr>
          <w:rFonts w:hint="eastAsia" w:ascii="仿宋" w:hAnsi="仿宋" w:eastAsia="仿宋" w:cs="仿宋"/>
          <w:color w:val="auto"/>
          <w:sz w:val="22"/>
          <w:szCs w:val="22"/>
          <w:highlight w:val="none"/>
          <w:vertAlign w:val="superscript"/>
        </w:rPr>
        <w:t xml:space="preserve">-4</w:t>
      </w:r>
      <w:r>
        <w:rPr>
          <w:rFonts w:hint="eastAsia" w:ascii="仿宋" w:hAnsi="仿宋" w:eastAsia="仿宋" w:cs="仿宋"/>
          <w:color w:val="auto"/>
          <w:sz w:val="22"/>
          <w:szCs w:val="22"/>
          <w:highlight w:val="none"/>
        </w:rPr>
        <w:t xml:space="preserve">Pa。在允许储存期内，其真空度不得小于1.33×10</w:t>
      </w:r>
      <w:r>
        <w:rPr>
          <w:rFonts w:hint="eastAsia" w:ascii="仿宋" w:hAnsi="仿宋" w:eastAsia="仿宋" w:cs="仿宋"/>
          <w:color w:val="auto"/>
          <w:sz w:val="22"/>
          <w:szCs w:val="22"/>
          <w:highlight w:val="none"/>
          <w:vertAlign w:val="superscript"/>
        </w:rPr>
        <w:t xml:space="preserve">-3</w:t>
      </w:r>
      <w:r>
        <w:rPr>
          <w:rFonts w:hint="eastAsia" w:ascii="仿宋" w:hAnsi="仿宋" w:eastAsia="仿宋" w:cs="仿宋"/>
          <w:color w:val="auto"/>
          <w:sz w:val="22"/>
          <w:szCs w:val="22"/>
          <w:highlight w:val="none"/>
        </w:rPr>
        <w:t xml:space="preserve">Pa，应满足运行要求。提供每只真空灭弧室的真空度测试报告。</w:t>
      </w:r>
      <w:r/>
    </w:p>
    <w:p>
      <w:pPr>
        <w:ind w:firstLine="440"/>
        <w:spacing w:line="400" w:lineRule="exact"/>
        <w:rPr>
          <w:rFonts w:hint="default" w:ascii="仿宋" w:hAnsi="仿宋" w:eastAsia="仿宋" w:cs="仿宋"/>
          <w:color w:val="auto"/>
          <w:sz w:val="22"/>
          <w:szCs w:val="22"/>
          <w:highlight w:val="none"/>
          <w:lang w:val="en-US"/>
        </w:rPr>
      </w:pPr>
      <w:r>
        <w:rPr>
          <w:rFonts w:hint="default" w:ascii="仿宋" w:hAnsi="仿宋" w:eastAsia="仿宋" w:cs="仿宋"/>
          <w:color w:val="auto"/>
          <w:sz w:val="22"/>
          <w:szCs w:val="22"/>
          <w:highlight w:val="none"/>
          <w:lang w:val="en-US"/>
        </w:rPr>
        <w:t xml:space="preserve">1.4</w:t>
      </w:r>
      <w:r>
        <w:rPr>
          <w:rFonts w:hint="eastAsia" w:ascii="仿宋" w:hAnsi="仿宋" w:eastAsia="仿宋" w:cs="仿宋"/>
          <w:color w:val="auto"/>
          <w:sz w:val="22"/>
          <w:szCs w:val="22"/>
          <w:highlight w:val="none"/>
        </w:rPr>
        <w:t xml:space="preserve">真空断路器配弹簧操作机构，操作电源及分合闸控制为直流220V，断路器分闸操作电压为65%~110%额定电压之间，合闸操作电压为85%~110%额定电压之间，低于30%额定电压操作时应不得动作。</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default" w:ascii="仿宋" w:hAnsi="仿宋" w:eastAsia="仿宋" w:cs="仿宋"/>
          <w:color w:val="auto"/>
          <w:sz w:val="22"/>
          <w:szCs w:val="22"/>
          <w:highlight w:val="none"/>
          <w:lang w:val="en-US"/>
        </w:rPr>
        <w:t xml:space="preserve">5</w:t>
      </w:r>
      <w:r>
        <w:rPr>
          <w:rFonts w:hint="eastAsia" w:ascii="仿宋" w:hAnsi="仿宋" w:eastAsia="仿宋" w:cs="仿宋"/>
          <w:color w:val="auto"/>
          <w:sz w:val="22"/>
          <w:szCs w:val="22"/>
          <w:highlight w:val="none"/>
        </w:rPr>
        <w:t xml:space="preserve">用于开合电容器组的真空灭弧室在出厂时应通过工频电压、冲击电压、电流的“老炼”及电容老炼试验，并提供实验证明。</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default" w:ascii="仿宋" w:hAnsi="仿宋" w:eastAsia="仿宋" w:cs="仿宋"/>
          <w:color w:val="auto"/>
          <w:sz w:val="22"/>
          <w:szCs w:val="22"/>
          <w:highlight w:val="none"/>
          <w:lang w:val="en-US"/>
        </w:rPr>
        <w:t xml:space="preserve">6</w:t>
      </w:r>
      <w:r>
        <w:rPr>
          <w:rFonts w:hint="eastAsia" w:ascii="仿宋" w:hAnsi="仿宋" w:eastAsia="仿宋" w:cs="仿宋"/>
          <w:color w:val="auto"/>
          <w:sz w:val="22"/>
          <w:szCs w:val="22"/>
          <w:highlight w:val="none"/>
        </w:rPr>
        <w:t xml:space="preserve">用于开合电容器组的断路器必须通过开合电容器组的型式试验，满足C2级的要求。</w:t>
      </w:r>
      <w:r/>
    </w:p>
    <w:p>
      <w:pPr>
        <w:ind w:firstLine="440"/>
        <w:spacing w:line="400" w:lineRule="exact"/>
        <w:rPr>
          <w:rFonts w:hint="eastAsia" w:ascii="仿宋" w:hAnsi="仿宋" w:eastAsia="仿宋" w:cs="仿宋"/>
          <w:color w:val="auto"/>
          <w:sz w:val="22"/>
          <w:szCs w:val="22"/>
          <w:highlight w:val="none"/>
        </w:rPr>
      </w:pPr>
      <w:r/>
      <w:bookmarkStart w:id="228" w:name="_Toc196296992"/>
      <w:r>
        <w:rPr>
          <w:rFonts w:hint="eastAsia" w:ascii="仿宋" w:hAnsi="仿宋" w:eastAsia="仿宋" w:cs="仿宋"/>
          <w:color w:val="auto"/>
          <w:sz w:val="22"/>
          <w:szCs w:val="22"/>
          <w:highlight w:val="none"/>
        </w:rPr>
        <w:t xml:space="preserve">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真空断路器合闸弹跳时间不大于2ms。</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default" w:ascii="仿宋" w:hAnsi="仿宋" w:eastAsia="仿宋" w:cs="仿宋"/>
          <w:color w:val="auto"/>
          <w:sz w:val="22"/>
          <w:szCs w:val="22"/>
          <w:highlight w:val="none"/>
          <w:lang w:val="en-US"/>
        </w:rPr>
        <w:t xml:space="preserve">8</w:t>
      </w:r>
      <w:r>
        <w:rPr>
          <w:rFonts w:hint="eastAsia" w:ascii="仿宋" w:hAnsi="仿宋" w:eastAsia="仿宋" w:cs="仿宋"/>
          <w:color w:val="auto"/>
          <w:sz w:val="22"/>
          <w:szCs w:val="22"/>
          <w:highlight w:val="none"/>
        </w:rPr>
        <w:t xml:space="preserve">真空断路器电寿命：E2级。</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default" w:ascii="仿宋" w:hAnsi="仿宋" w:eastAsia="仿宋" w:cs="仿宋"/>
          <w:color w:val="auto"/>
          <w:sz w:val="22"/>
          <w:szCs w:val="22"/>
          <w:highlight w:val="none"/>
          <w:lang w:val="en-US"/>
        </w:rPr>
        <w:t xml:space="preserve">9</w:t>
      </w:r>
      <w:r>
        <w:rPr>
          <w:rFonts w:hint="eastAsia" w:ascii="仿宋" w:hAnsi="仿宋" w:eastAsia="仿宋" w:cs="仿宋"/>
          <w:color w:val="auto"/>
          <w:sz w:val="22"/>
          <w:szCs w:val="22"/>
          <w:highlight w:val="none"/>
        </w:rPr>
        <w:t xml:space="preserve">真空断路器机械寿命：M2级，机械寿命≥30000次（10kV真空断路器）、机械寿命≥10000次（35kV真空断路器）。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default" w:ascii="仿宋" w:hAnsi="仿宋" w:eastAsia="仿宋" w:cs="仿宋"/>
          <w:color w:val="auto"/>
          <w:sz w:val="22"/>
          <w:szCs w:val="22"/>
          <w:highlight w:val="none"/>
          <w:lang w:val="en-US"/>
        </w:rPr>
        <w:t xml:space="preserve">10</w:t>
      </w:r>
      <w:r>
        <w:rPr>
          <w:rFonts w:hint="eastAsia" w:ascii="仿宋" w:hAnsi="仿宋" w:eastAsia="仿宋" w:cs="仿宋"/>
          <w:color w:val="auto"/>
          <w:sz w:val="22"/>
          <w:szCs w:val="22"/>
          <w:highlight w:val="none"/>
        </w:rPr>
        <w:t xml:space="preserve">真空断路器额定短路开断电流的</w:t>
      </w:r>
      <w:bookmarkStart w:id="229" w:name="OLE_LINK74"/>
      <w:r>
        <w:rPr>
          <w:rFonts w:hint="eastAsia" w:ascii="仿宋" w:hAnsi="仿宋" w:eastAsia="仿宋" w:cs="仿宋"/>
          <w:color w:val="auto"/>
          <w:sz w:val="22"/>
          <w:szCs w:val="22"/>
          <w:highlight w:val="none"/>
        </w:rPr>
        <w:t xml:space="preserve">开断次数</w:t>
      </w:r>
      <w:bookmarkEnd w:id="229"/>
      <w:r>
        <w:rPr>
          <w:rFonts w:hint="eastAsia" w:ascii="仿宋" w:hAnsi="仿宋" w:eastAsia="仿宋" w:cs="仿宋"/>
          <w:color w:val="auto"/>
          <w:sz w:val="22"/>
          <w:szCs w:val="22"/>
          <w:highlight w:val="none"/>
        </w:rPr>
        <w:t xml:space="preserve">：≥50次（10kV真空断路器）、开断次数≥30次（35kV真空断路器）。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1</w:t>
      </w:r>
      <w:r>
        <w:rPr>
          <w:rFonts w:hint="eastAsia" w:ascii="仿宋" w:hAnsi="仿宋" w:eastAsia="仿宋" w:cs="仿宋"/>
          <w:color w:val="auto"/>
          <w:sz w:val="22"/>
          <w:szCs w:val="22"/>
          <w:highlight w:val="none"/>
        </w:rPr>
        <w:t xml:space="preserve">断路器使用年限：保证20年。机械部分免维护时间不得少于3年。</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 对断路器操动机构要求</w:t>
      </w:r>
      <w:bookmarkEnd w:id="228"/>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.1操动机构应配备断路器的分、合闸指示，断路器、储能状态指示应明显清晰，便于观察。</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.2</w:t>
      </w:r>
      <w:bookmarkStart w:id="230" w:name="_Hlk17376166"/>
      <w:r>
        <w:rPr>
          <w:rFonts w:hint="eastAsia" w:ascii="仿宋" w:hAnsi="仿宋" w:eastAsia="仿宋" w:cs="仿宋"/>
          <w:color w:val="auto"/>
          <w:sz w:val="22"/>
          <w:szCs w:val="22"/>
          <w:highlight w:val="none"/>
        </w:rPr>
        <w:t xml:space="preserve">分闸、合闸按钮颜色分别为绿色、红色，并标 “I”、“O”字样。</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.3应安装能显示断路器操作次数的计数器。该计数器与操作回路应无电气联系，且不影响断路器的合分闸操作。</w:t>
      </w:r>
      <w:bookmarkEnd w:id="230"/>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.4弹簧操动机构弹簧储能应能电动机储能并可手动储能。</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.5在正常情况下，合闸弹簧完成合闸操作后要立即自动开始再储能，合闸弹簧应在15s内完成储能。</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.6弹簧操动机构储能系统应为自由离合式储能系统，手动、电动储能到位后应能使电机、齿轮空转。</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.7机械动作应灵活，储能及手动或电气分、合闸等各项操作过程中不应出现卡死，阻滞等异常现象。</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.8电动机、分闸线圈、合闸线圈、行程开关在明显可见位置，更换分闸线圈、合闸线圈、储能电机时简单方便，不需要专业人员即可操作。</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2</w:t>
      </w:r>
      <w:r>
        <w:rPr>
          <w:rFonts w:hint="eastAsia" w:ascii="仿宋" w:hAnsi="仿宋" w:eastAsia="仿宋" w:cs="仿宋"/>
          <w:color w:val="auto"/>
          <w:sz w:val="22"/>
          <w:szCs w:val="22"/>
          <w:highlight w:val="none"/>
        </w:rPr>
        <w:t xml:space="preserve">.9为保证储能到位切换的可靠性，所用</w:t>
      </w:r>
      <w:bookmarkStart w:id="231" w:name="_Hlk71287014"/>
      <w:r>
        <w:rPr>
          <w:rFonts w:hint="eastAsia" w:ascii="仿宋" w:hAnsi="仿宋" w:eastAsia="仿宋" w:cs="仿宋"/>
          <w:color w:val="auto"/>
          <w:sz w:val="22"/>
          <w:szCs w:val="22"/>
          <w:highlight w:val="none"/>
        </w:rPr>
        <w:t xml:space="preserve">储能行程开关为独立的1开1闭触点开关</w:t>
      </w:r>
      <w:bookmarkEnd w:id="231"/>
      <w:r>
        <w:rPr>
          <w:rFonts w:hint="eastAsia" w:ascii="仿宋" w:hAnsi="仿宋" w:eastAsia="仿宋" w:cs="仿宋"/>
          <w:color w:val="auto"/>
          <w:sz w:val="22"/>
          <w:szCs w:val="22"/>
          <w:highlight w:val="none"/>
        </w:rPr>
        <w:t xml:space="preserve">。</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3</w:t>
      </w:r>
      <w:r>
        <w:rPr>
          <w:rFonts w:hint="eastAsia" w:ascii="仿宋" w:hAnsi="仿宋" w:eastAsia="仿宋" w:cs="仿宋"/>
          <w:color w:val="auto"/>
          <w:sz w:val="22"/>
          <w:szCs w:val="22"/>
          <w:highlight w:val="none"/>
        </w:rPr>
        <w:t xml:space="preserve">极柱内部真空灭弧室采用软连接方式与下出线连接，降低接触电阻；</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4</w:t>
      </w:r>
      <w:r>
        <w:rPr>
          <w:rFonts w:hint="eastAsia" w:ascii="仿宋" w:hAnsi="仿宋" w:eastAsia="仿宋" w:cs="仿宋"/>
          <w:color w:val="auto"/>
          <w:sz w:val="22"/>
          <w:szCs w:val="22"/>
          <w:highlight w:val="none"/>
        </w:rPr>
        <w:t xml:space="preserve">断路器用灭弧室必须和型式试验用灭弧室为同一品牌，同一型号；</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5</w:t>
      </w:r>
      <w:r>
        <w:rPr>
          <w:rFonts w:hint="eastAsia" w:ascii="仿宋" w:hAnsi="仿宋" w:eastAsia="仿宋" w:cs="仿宋"/>
          <w:color w:val="auto"/>
          <w:sz w:val="22"/>
          <w:szCs w:val="22"/>
          <w:highlight w:val="none"/>
        </w:rPr>
        <w:t xml:space="preserve">为保证后期运维的可靠性，断路器应符合国家电网最新相关标准，梅花触头接触面镀银层厚度不低于12μm，满足1.1倍温升；</w:t>
      </w:r>
      <w:bookmarkStart w:id="232" w:name="OLE_LINK75"/>
      <w:r>
        <w:rPr>
          <w:rFonts w:hint="eastAsia" w:ascii="仿宋" w:hAnsi="仿宋" w:eastAsia="仿宋" w:cs="仿宋"/>
          <w:color w:val="auto"/>
          <w:sz w:val="22"/>
          <w:szCs w:val="22"/>
          <w:highlight w:val="none"/>
        </w:rPr>
        <w:t xml:space="preserve">为提高断路器分闸可靠性，变频发电机接口，选用双速断路器，发生故障时，分闸时间小于等于7ms；快速分闸机械寿命：≥5000次；常规分闸机械寿命：≥25000次；</w:t>
      </w:r>
      <w:bookmarkEnd w:id="232"/>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6</w:t>
      </w:r>
      <w:r>
        <w:rPr>
          <w:rFonts w:hint="eastAsia" w:ascii="仿宋" w:hAnsi="仿宋" w:eastAsia="仿宋" w:cs="仿宋"/>
          <w:color w:val="auto"/>
          <w:sz w:val="22"/>
          <w:szCs w:val="22"/>
          <w:highlight w:val="none"/>
        </w:rPr>
        <w:t xml:space="preserve">断路器自带智能语音监测功能；在断路器工作位置或试验位置到位后，都有智能语音提示，帮助用户准确判断。真空断路器必须提供国家认可的高压电器研究院检验检测中心的出具的型式试验报告。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bookmarkStart w:id="233" w:name="OLE_LINK2"/>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真空断路器智能功能要求：</w:t>
      </w:r>
      <w:bookmarkEnd w:id="233"/>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.1断路器触臂自带6点测温，支持母排搭接处3点、电缆连接端3点共12点测温；</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.2断路器触臂测温采用内嵌式设计，不可裸露，保证开关设备原有绝缘性不受影响；</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.3无线采集数据通讯：zigbee；</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.4传感装置应具备长寿命，免维护特征，采用无线、无源传感技术；</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.5为保证产品可靠性，温度传感器与断路器同品牌；</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.6为了保证测温系统的稳定性，测温系统需具有独立性，不应与开关柜带电显示或操控装置共用。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.7温度数据支持第三方后台查看，支持MODBUS等传输协议；采集模块需支持110~220V AC/DC电源。</w:t>
      </w:r>
      <w:r/>
    </w:p>
    <w:p>
      <w:pPr>
        <w:ind w:firstLine="440"/>
        <w:spacing w:line="400" w:lineRule="exact"/>
        <w:rPr>
          <w:rFonts w:hint="eastAsia" w:ascii="仿宋" w:hAnsi="仿宋" w:eastAsia="仿宋" w:cs="仿宋"/>
          <w:color w:val="auto"/>
          <w:sz w:val="22"/>
          <w:szCs w:val="22"/>
          <w:highlight w:val="none"/>
        </w:rPr>
      </w:pPr>
      <w:r/>
      <w:bookmarkStart w:id="234" w:name="OLE_LINK100"/>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7</w:t>
      </w:r>
      <w:r>
        <w:rPr>
          <w:rFonts w:hint="eastAsia" w:ascii="仿宋" w:hAnsi="仿宋" w:eastAsia="仿宋" w:cs="仿宋"/>
          <w:color w:val="auto"/>
          <w:sz w:val="22"/>
          <w:szCs w:val="22"/>
          <w:highlight w:val="none"/>
        </w:rPr>
        <w:t xml:space="preserve">.8 满足断路器机械特性在线监测，包括断路器合/分闸行程曲线、合/分闸时间、速度等特性参数，并能在线检测分合闸线圈，储能电机电流及波形曲线、机械和电气寿命显示等。智能监测单元、诊断系统与真空灭弧室、真空断路器应为同一品牌，并提供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1）监测量：</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 断路器合、分闸线圈电流及波形曲线；</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 断路器动作行程；</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③ 断路器储能电机电流及波形曲线；</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④ 断路器电气储能时间数值；</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2）诊断分析与预警、报警</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 断路器动作过程特征参数计算（分合闸行程、总行程、分合闸速度等）；</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 断路器动作记录及统计；</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③ 断路器动作过程特征参数越限预警；</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④ 断路器动作故障报警。</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3）监测和诊断断路器触头电寿命</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① 监测量：断路器开断电流、开断次数；</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② 断路器电寿命计算（操作次数）；</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③ 断路器电寿命参数越限报警。</w:t>
      </w:r>
      <w:bookmarkEnd w:id="234"/>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w:t>
      </w:r>
      <w:r>
        <w:rPr>
          <w:rFonts w:hint="default" w:ascii="仿宋" w:hAnsi="仿宋" w:eastAsia="仿宋" w:cs="仿宋"/>
          <w:color w:val="auto"/>
          <w:sz w:val="22"/>
          <w:szCs w:val="22"/>
          <w:highlight w:val="none"/>
          <w:lang w:val="en-US"/>
        </w:rPr>
        <w:t xml:space="preserve">8</w:t>
      </w:r>
      <w:r>
        <w:rPr>
          <w:rFonts w:hint="eastAsia" w:ascii="仿宋" w:hAnsi="仿宋" w:eastAsia="仿宋" w:cs="仿宋"/>
          <w:color w:val="auto"/>
          <w:sz w:val="22"/>
          <w:szCs w:val="22"/>
          <w:highlight w:val="none"/>
        </w:rPr>
        <w:t xml:space="preserve">站用版智能监测系统技术要求</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本地智能监测系统是在变配电室运行现场盘柜上安装集成化管理系统，可采集智能断路器运行的实时监测数据，通过触摸屏人机界面实现数据交互，获取设备运行及系统运行的状态分析判断结果，通过风险预报预警，可及时发现隐患。液晶屏HMI安装于开关柜低压面板，可进行触摸操作，并显示整站的开关设备监测信息，可观测全站温度数据、温度曲线、告警数据、历史数据。</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2、接地开关</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接地开关在柜前操作，接地开关应为快速接地开关，采用电动接地开关分合闸，具备视频监视功能。接地设备的容量在接地开关闭合时应能承受短路电流，接地开关在闭合、断开时均能脱扣，接地与否应能在柜前辨别。接地开关应具有机械联锁性能，以防止误操作，接地开关与智能终端装置联锁。</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3、过电压保护器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过电压保护器采用硅橡胶全封闭外套，采用氧化锌非线性电阻和放电间隙结合结构，在操作过电压情况下动作寿命达到10</w:t>
      </w:r>
      <w:r>
        <w:rPr>
          <w:rFonts w:hint="eastAsia" w:ascii="仿宋" w:hAnsi="仿宋" w:eastAsia="仿宋" w:cs="仿宋"/>
          <w:color w:val="auto"/>
          <w:sz w:val="22"/>
          <w:szCs w:val="22"/>
          <w:highlight w:val="none"/>
          <w:vertAlign w:val="superscript"/>
        </w:rPr>
        <w:t xml:space="preserve">5</w:t>
      </w:r>
      <w:r>
        <w:rPr>
          <w:rFonts w:hint="eastAsia" w:ascii="仿宋" w:hAnsi="仿宋" w:eastAsia="仿宋" w:cs="仿宋"/>
          <w:color w:val="auto"/>
          <w:sz w:val="22"/>
          <w:szCs w:val="22"/>
          <w:highlight w:val="none"/>
        </w:rPr>
        <w:t xml:space="preserve">次，电压冲击系数为1，在各种电压波形下放电电压相等。</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4、电流互感器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（1）型式：环氧树脂浇注式</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（2）电压等级、电流、变比及准确级：见招标图纸</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（3）其他要求</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•电流互感器一次接线端子采用铜质板式接线端子，禁止用螺杆式接线端子。</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•电流互感器动、热稳定电流同断路器。</w:t>
      </w:r>
      <w:r/>
    </w:p>
    <w:p>
      <w:pPr>
        <w:ind w:right="-227" w:firstLine="442"/>
        <w:jc w:val="left"/>
        <w:spacing w:line="400" w:lineRule="exact"/>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w:t>
      </w:r>
      <w:r>
        <w:rPr>
          <w:rFonts w:hint="eastAsia" w:ascii="仿宋" w:hAnsi="仿宋" w:eastAsia="仿宋" w:cs="仿宋"/>
          <w:color w:val="auto"/>
          <w:sz w:val="22"/>
          <w:szCs w:val="22"/>
          <w:highlight w:val="none"/>
        </w:rPr>
        <w:t xml:space="preserve">电流互感器应为符合</w:t>
      </w:r>
      <w:r>
        <w:rPr>
          <w:rFonts w:hint="eastAsia" w:ascii="仿宋" w:hAnsi="仿宋" w:eastAsia="仿宋" w:cs="仿宋"/>
          <w:b/>
          <w:bCs/>
          <w:color w:val="auto"/>
          <w:sz w:val="22"/>
          <w:szCs w:val="22"/>
          <w:highlight w:val="none"/>
        </w:rPr>
        <w:t xml:space="preserve">全工况</w:t>
      </w:r>
      <w:r>
        <w:rPr>
          <w:rFonts w:hint="eastAsia" w:ascii="仿宋" w:hAnsi="仿宋" w:eastAsia="仿宋" w:cs="仿宋"/>
          <w:color w:val="auto"/>
          <w:sz w:val="22"/>
          <w:szCs w:val="22"/>
          <w:highlight w:val="none"/>
        </w:rPr>
        <w:t xml:space="preserve">运行要求的产品。</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5、电压互感器</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（1）环氧树脂浇注，单相式</w:t>
      </w:r>
      <w:r>
        <w:rPr>
          <w:rFonts w:hint="eastAsia" w:ascii="仿宋" w:hAnsi="仿宋" w:eastAsia="仿宋" w:cs="仿宋"/>
          <w:b/>
          <w:bCs/>
          <w:color w:val="auto"/>
          <w:sz w:val="22"/>
          <w:szCs w:val="22"/>
          <w:highlight w:val="none"/>
        </w:rPr>
        <w:t xml:space="preserve">全绝缘</w:t>
      </w:r>
      <w:r>
        <w:rPr>
          <w:rFonts w:hint="eastAsia" w:ascii="仿宋" w:hAnsi="仿宋" w:eastAsia="仿宋" w:cs="仿宋"/>
          <w:color w:val="auto"/>
          <w:sz w:val="22"/>
          <w:szCs w:val="22"/>
          <w:highlight w:val="none"/>
        </w:rPr>
        <w:t xml:space="preserve">结构</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（2）额定电压及容量：见招标图纸</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（3）其他要求</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•电压互感器安装在可抽出的小车间隔内。当处于抽出位置时，电压互感器及高压熔断器应完全断开，并明显接地，以便对熔断器进行检查、拆卸或更换。</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•电压互感器采用高精度、低损耗、抗谐振、耐过电压、</w:t>
      </w:r>
      <w:r>
        <w:rPr>
          <w:rFonts w:hint="eastAsia" w:ascii="仿宋" w:hAnsi="仿宋" w:eastAsia="仿宋" w:cs="仿宋"/>
          <w:b/>
          <w:bCs/>
          <w:color w:val="auto"/>
          <w:sz w:val="22"/>
          <w:szCs w:val="22"/>
          <w:highlight w:val="none"/>
        </w:rPr>
        <w:t xml:space="preserve">全工况</w:t>
      </w:r>
      <w:r>
        <w:rPr>
          <w:rFonts w:hint="eastAsia" w:ascii="仿宋" w:hAnsi="仿宋" w:eastAsia="仿宋" w:cs="仿宋"/>
          <w:color w:val="auto"/>
          <w:sz w:val="22"/>
          <w:szCs w:val="22"/>
          <w:highlight w:val="none"/>
        </w:rPr>
        <w:t xml:space="preserve">产品。</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•电压互感器低压侧配置低压熔断器或空气开关，并安装在仪表小室内。</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互感器包括电流互感器、电压互感器、零序电流互感器，应由</w:t>
      </w:r>
      <w:r>
        <w:rPr>
          <w:rFonts w:hint="eastAsia" w:ascii="仿宋" w:hAnsi="仿宋" w:eastAsia="仿宋" w:cs="仿宋"/>
          <w:color w:val="auto"/>
          <w:sz w:val="22"/>
          <w:szCs w:val="22"/>
          <w:highlight w:val="none"/>
        </w:rPr>
        <w:t xml:space="preserve">专业制造厂商生产</w:t>
      </w:r>
      <w:r>
        <w:rPr>
          <w:rFonts w:hint="eastAsia" w:ascii="仿宋" w:hAnsi="仿宋" w:eastAsia="仿宋" w:cs="仿宋"/>
          <w:color w:val="auto"/>
          <w:sz w:val="22"/>
          <w:szCs w:val="22"/>
          <w:highlight w:val="none"/>
        </w:rPr>
        <w:t xml:space="preserve">。</w:t>
      </w:r>
      <w:r/>
    </w:p>
    <w:p>
      <w:pPr>
        <w:ind w:firstLine="440"/>
        <w:spacing w:line="400" w:lineRule="exact"/>
        <w:rPr>
          <w:rFonts w:hint="eastAsia" w:ascii="仿宋" w:hAnsi="仿宋" w:eastAsia="仿宋" w:cs="仿宋"/>
          <w:color w:val="auto"/>
          <w:sz w:val="22"/>
          <w:szCs w:val="22"/>
          <w:highlight w:val="none"/>
        </w:rPr>
      </w:pPr>
      <w:r/>
      <w:bookmarkStart w:id="235" w:name="OLE_LINK5"/>
      <w:r/>
      <w:bookmarkStart w:id="236" w:name="OLE_LINK11"/>
      <w:r>
        <w:rPr>
          <w:rFonts w:hint="eastAsia" w:ascii="仿宋" w:hAnsi="仿宋" w:eastAsia="仿宋" w:cs="仿宋"/>
          <w:color w:val="auto"/>
          <w:sz w:val="22"/>
          <w:szCs w:val="22"/>
          <w:highlight w:val="none"/>
        </w:rPr>
        <w:t xml:space="preserve">6、智能终端</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智能终端的应具备测量、保护功能，有实现电压保护、电流三段保护、过负荷保护、零序过流、零序过压、差动保护等。智能终端具有录波功能：可在继电保护发生时应记录继电保护发生时间和保护内容、定值、动作值及保护前后电压、电流曲线（录波）。智能终端可以显示一次回路模拟图、电参量实时监测数据、实时显示主接线设备状态、接地开关位置、弹簧储能指示、局放监测、温度监测数据等；</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带温湿度控制的电加热器、手动/自动加热除湿控制功能，可以采集和显示每个间隔的电流、电压、功率、电能等电参量，与监控系统实现通信时优先采用光纤接口，还需配备网口和485通讯口。</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具有在线监测分合闸线圈状态、分合闸线圈电流等功能。具有在线监测储能线圈状态、储能线圈电流等功能。</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可实现“运行、热备用、冷备用、检修”各状态间的带五防的一键顺控。手车活门、接地刀闸位置变位时，自动切换至相应的视频监视界面，完成后自动返回原界面。</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可以实现电动底盘车、电控制和监测功能，实现开关柜远程控制、监测功能。集成保护功能压板、控制开关等。</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用彩色触摸液晶显示屏，具有人体红外感应，在人员靠近时显示屏点亮显示，离开后延时熄灭。显示屏的尺寸不小于10寸，FLASH存储器不小于128MB，RAM存储器不小于32KB，支持触摸屏。具有与柜内其它设备如在线绝缘监测装置，实时显示其工作状态，并将数据传送给后台系统。</w:t>
      </w:r>
      <w:bookmarkEnd w:id="235"/>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7、智能模拟屏</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智能模拟屏可以显示一次回路模拟图、带电显示、带电闭锁、实时显示主接线设备状态、电压实时显示；</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带温湿度控制的电加热器、手动/自动加热除湿控制功能，可以采集和显示每个间隔的电流、电压、功率、电能等电参量，与监控系统实现通信时优先采用光纤接口，还需配备网口和485通讯口。</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采用彩色触摸液晶显示屏，具有人体红外感应，在人员靠近时显示屏点亮显示，离开后延时熄灭。显示屏的尺寸不小于10寸，FLASH存储器不小于128MB，RAM存储器不小于32KB，支持触摸屏。</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可实现手车活门位置变位时，自动切换至相应的视频监视界面，完成后自动返回原界面。具有与柜内其它设备如绝缘在线监测装置、局放监测通信，实时显示其工作状态，并将数据传送给后台系统。具有母线电压测量与带电显示功能，实现”五防”安全操作。</w:t>
      </w:r>
      <w:bookmarkEnd w:id="236"/>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8、局放监测装置</w:t>
      </w:r>
      <w:r/>
    </w:p>
    <w:p>
      <w:pPr>
        <w:ind w:firstLine="440"/>
        <w:spacing w:line="400" w:lineRule="exact"/>
        <w:rPr>
          <w:rFonts w:hint="eastAsia" w:ascii="仿宋" w:hAnsi="仿宋" w:eastAsia="仿宋" w:cs="仿宋"/>
          <w:color w:val="auto"/>
          <w:sz w:val="22"/>
          <w:szCs w:val="22"/>
          <w:highlight w:val="none"/>
        </w:rPr>
      </w:pPr>
      <w:r/>
      <w:bookmarkStart w:id="237" w:name="_Hlk151816940"/>
      <w:r>
        <w:rPr>
          <w:rFonts w:hint="eastAsia" w:ascii="仿宋" w:hAnsi="仿宋" w:eastAsia="仿宋" w:cs="仿宋"/>
          <w:color w:val="auto"/>
          <w:sz w:val="22"/>
          <w:szCs w:val="22"/>
          <w:highlight w:val="none"/>
        </w:rPr>
        <w:t xml:space="preserve">每台高压柜设1套局放监测装置。</w:t>
      </w:r>
      <w:bookmarkEnd w:id="237"/>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功能需求：</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共轭传感器采用特高频(UHF)技术，应具备强抗干扰能力、高精度、实时在线监测(24小时)。</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传感器结构应高度集成化，体积小、外观简洁。</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传感器应选用非接触式全向电磁波开关柜定位检测技术，无需接触设备360度无线监测设备局放，应无监测死角，可监测半径20米范围。</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传感器应无需维护，安装完成就可一直正常运行，运行时间不小于10年。传感器采用常规220V直流电。</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无需接触设备，放在电气室内、无需停电，可根据实际情况安装在任意位置。</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传感器具备优良的抗干扰和环境适应性，对噪声、超声驱鼠器、工频电场和磁场、高频电磁波、通信信号干扰、温湿度、灰尘环境适应能力超强。</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装置能与智能终端通信进行数据存储及信息显示。</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技术指标：</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检测频带 300MHz～1.5GHz</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信号采集 12Bit，50MHz</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动态范围 ≥60dB</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检测灵敏度 5pC</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工作电源 DC12V</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通信协议 RS485</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9、高压开关柜内的低压辅助元件</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开关柜应设有低压室，内装继电器、仪器仪表、显示器及控制器等。开关柜配备照明设施。高压柜仪表盘面上设下列显示和控制装置：功能单元控制开关；就地遥控选择开关；故障复合按钮；功能单元通断指示灯，红灯表示闭合，绿灯表示断开，黄灯表示准备。柜内留有25％以上的备用端子。</w:t>
      </w:r>
      <w:r/>
    </w:p>
    <w:p>
      <w:pPr>
        <w:ind w:firstLine="442"/>
        <w:spacing w:line="400" w:lineRule="exact"/>
        <w:rPr>
          <w:rFonts w:hint="eastAsia" w:ascii="仿宋" w:hAnsi="仿宋" w:eastAsia="仿宋" w:cs="仿宋"/>
          <w:b/>
          <w:color w:val="auto"/>
          <w:sz w:val="22"/>
          <w:szCs w:val="22"/>
          <w:highlight w:val="none"/>
        </w:rPr>
        <w:outlineLvl w:val="0"/>
      </w:pPr>
      <w:r/>
      <w:bookmarkStart w:id="238" w:name="_Toc432064371"/>
      <w:r/>
      <w:bookmarkStart w:id="239" w:name="_Toc389035000"/>
      <w:r/>
      <w:bookmarkStart w:id="240" w:name="_Toc389750252"/>
      <w:r/>
      <w:bookmarkStart w:id="241" w:name="_Toc433287935"/>
      <w:r/>
      <w:bookmarkStart w:id="242" w:name="_Toc89178269"/>
      <w:r>
        <w:rPr>
          <w:rFonts w:hint="eastAsia" w:ascii="仿宋" w:hAnsi="仿宋" w:eastAsia="仿宋" w:cs="仿宋"/>
          <w:b/>
          <w:color w:val="auto"/>
          <w:sz w:val="22"/>
          <w:szCs w:val="22"/>
          <w:highlight w:val="none"/>
        </w:rPr>
        <w:t xml:space="preserve">（四）工厂检查和试验</w:t>
      </w:r>
      <w:bookmarkEnd w:id="238"/>
      <w:r/>
      <w:bookmarkEnd w:id="239"/>
      <w:r/>
      <w:bookmarkEnd w:id="240"/>
      <w:r/>
      <w:bookmarkEnd w:id="241"/>
      <w:r/>
      <w:bookmarkEnd w:id="242"/>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1</w:t>
      </w:r>
      <w:r>
        <w:rPr>
          <w:rFonts w:hint="eastAsia" w:ascii="仿宋" w:hAnsi="仿宋" w:eastAsia="仿宋" w:cs="仿宋"/>
          <w:color w:val="auto"/>
          <w:sz w:val="22"/>
          <w:szCs w:val="22"/>
          <w:highlight w:val="none"/>
        </w:rPr>
        <w:t xml:space="preserve">、所有高压开关柜应按要求在制造厂进行检查和试验，以表明其运行性能以及设备、材料和结构在电气、机械上的完整性。在制造厂检查和试验以前，一切有关权力机构以及专业的试验室批准的证书，对开关柜的各项参数，承包人应提供证明数据，经发包人认可后进行检查和试验。</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2</w:t>
      </w:r>
      <w:r>
        <w:rPr>
          <w:rFonts w:hint="eastAsia" w:ascii="仿宋" w:hAnsi="仿宋" w:eastAsia="仿宋" w:cs="仿宋"/>
          <w:color w:val="auto"/>
          <w:sz w:val="22"/>
          <w:szCs w:val="22"/>
          <w:highlight w:val="none"/>
        </w:rPr>
        <w:t xml:space="preserve">、检查和试验所需的设备</w:t>
      </w:r>
      <w:r/>
    </w:p>
    <w:p>
      <w:pPr>
        <w:ind w:firstLine="400"/>
        <w:spacing w:line="400" w:lineRule="exact"/>
        <w:rPr>
          <w:rFonts w:hint="eastAsia" w:ascii="仿宋" w:hAnsi="仿宋" w:eastAsia="仿宋" w:cs="仿宋"/>
          <w:color w:val="auto"/>
          <w:spacing w:val="-10"/>
          <w:sz w:val="22"/>
          <w:szCs w:val="22"/>
          <w:highlight w:val="none"/>
        </w:rPr>
      </w:pPr>
      <w:r>
        <w:rPr>
          <w:rFonts w:hint="eastAsia" w:ascii="仿宋" w:hAnsi="仿宋" w:eastAsia="仿宋" w:cs="仿宋"/>
          <w:color w:val="auto"/>
          <w:spacing w:val="-10"/>
          <w:sz w:val="22"/>
          <w:szCs w:val="22"/>
          <w:highlight w:val="none"/>
        </w:rPr>
        <w:t xml:space="preserve">承包人必须提供试验设备供发包人代表、设计一起进行检查和现场试验。</w:t>
      </w:r>
      <w:r/>
    </w:p>
    <w:p>
      <w:pPr>
        <w:ind w:firstLine="40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3</w:t>
      </w:r>
      <w:r>
        <w:rPr>
          <w:rFonts w:hint="eastAsia" w:ascii="仿宋" w:hAnsi="仿宋" w:eastAsia="仿宋" w:cs="仿宋"/>
          <w:color w:val="auto"/>
          <w:sz w:val="22"/>
          <w:szCs w:val="22"/>
          <w:highlight w:val="none"/>
        </w:rPr>
        <w:t xml:space="preserve">、型式试验</w:t>
      </w:r>
      <w:r/>
    </w:p>
    <w:p>
      <w:pPr>
        <w:ind w:firstLine="51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两年以上已经鉴定过的型式试验可供发包人复查和确认，</w:t>
      </w:r>
      <w:r>
        <w:rPr>
          <w:rFonts w:hint="eastAsia" w:ascii="仿宋" w:hAnsi="仿宋" w:eastAsia="仿宋" w:cs="仿宋"/>
          <w:color w:val="auto"/>
          <w:spacing w:val="-10"/>
          <w:sz w:val="22"/>
          <w:szCs w:val="22"/>
          <w:highlight w:val="none"/>
        </w:rPr>
        <w:t xml:space="preserve">承包人</w:t>
      </w:r>
      <w:r>
        <w:rPr>
          <w:rFonts w:hint="eastAsia" w:ascii="仿宋" w:hAnsi="仿宋" w:eastAsia="仿宋" w:cs="仿宋"/>
          <w:color w:val="auto"/>
          <w:sz w:val="22"/>
          <w:szCs w:val="22"/>
          <w:highlight w:val="none"/>
        </w:rPr>
        <w:t xml:space="preserve">所制造的高压开关柜型式试验的设备具有相同的质量和标准。</w:t>
      </w:r>
      <w:r/>
    </w:p>
    <w:p>
      <w:pPr>
        <w:ind w:firstLine="442"/>
        <w:spacing w:line="400" w:lineRule="exact"/>
        <w:rPr>
          <w:rFonts w:hint="eastAsia" w:ascii="仿宋" w:hAnsi="仿宋" w:eastAsia="仿宋" w:cs="仿宋"/>
          <w:b/>
          <w:color w:val="auto"/>
          <w:sz w:val="22"/>
          <w:szCs w:val="22"/>
          <w:highlight w:val="none"/>
        </w:rPr>
        <w:outlineLvl w:val="0"/>
      </w:pPr>
      <w:r/>
      <w:bookmarkStart w:id="243" w:name="_Toc389035001"/>
      <w:r/>
      <w:bookmarkStart w:id="244" w:name="_Toc89178270"/>
      <w:r/>
      <w:bookmarkStart w:id="245" w:name="_Toc389750253"/>
      <w:r>
        <w:rPr>
          <w:rFonts w:hint="eastAsia" w:ascii="仿宋" w:hAnsi="仿宋" w:eastAsia="仿宋" w:cs="仿宋"/>
          <w:b/>
          <w:color w:val="auto"/>
          <w:sz w:val="22"/>
          <w:szCs w:val="22"/>
          <w:highlight w:val="none"/>
        </w:rPr>
        <w:t xml:space="preserve">（五）试验项目</w:t>
      </w:r>
      <w:bookmarkEnd w:id="243"/>
      <w:r/>
      <w:bookmarkEnd w:id="244"/>
      <w:r/>
      <w:bookmarkEnd w:id="245"/>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1、回路电阻测量</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2、绝缘电阻测量</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3、整体交流耐压试验及开关断口耐压试验</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4、辅助回路和控制回路的耐压试验</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5、开关特性试验</w:t>
      </w:r>
      <w:r/>
    </w:p>
    <w:p>
      <w:pPr>
        <w:ind w:firstLine="77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●分、合闸时间及周期</w:t>
      </w:r>
      <w:r/>
    </w:p>
    <w:p>
      <w:pPr>
        <w:ind w:firstLine="77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●速度特性</w:t>
      </w:r>
      <w:r/>
    </w:p>
    <w:p>
      <w:pPr>
        <w:ind w:firstLine="77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●测量分、合闸线圈的绝缘电阻和直流电阻</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6、机械性能、机械操作及机械防误操作装置或电气联锁装置功能试验</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7、仪表元件校验及接线正确性检查</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8、使用中可以互换的具有同样的额定值和结构的组件其互换性检查</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9、雷电冲击试验（提供型式试验报告）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10、动、热稳定试验（提供型式试验报告）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11、内部燃弧试验（提供型式试验报告）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12、单相接地试验（提供型式试验报告）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13、温升试验（提供型式试验报告）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14、防凝露试验（提供型式试验报告）</w:t>
      </w:r>
      <w:r/>
    </w:p>
    <w:p>
      <w:pPr>
        <w:ind w:firstLine="44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15、高压工频和直流耐压试验。</w:t>
      </w:r>
      <w:r/>
    </w:p>
    <w:p>
      <w:pPr>
        <w:ind w:firstLine="442"/>
        <w:spacing w:line="400" w:lineRule="exact"/>
        <w:rPr>
          <w:rFonts w:hint="eastAsia" w:ascii="仿宋" w:hAnsi="仿宋" w:eastAsia="仿宋" w:cs="仿宋"/>
          <w:b/>
          <w:color w:val="auto"/>
          <w:sz w:val="22"/>
          <w:szCs w:val="22"/>
          <w:highlight w:val="none"/>
        </w:rPr>
        <w:outlineLvl w:val="0"/>
      </w:pPr>
      <w:r/>
      <w:bookmarkStart w:id="246" w:name="_Toc389750254"/>
      <w:r/>
      <w:bookmarkStart w:id="247" w:name="_Toc89178271"/>
      <w:r/>
      <w:bookmarkStart w:id="248" w:name="_Toc389035002"/>
      <w:r>
        <w:rPr>
          <w:rFonts w:hint="eastAsia" w:ascii="仿宋" w:hAnsi="仿宋" w:eastAsia="仿宋" w:cs="仿宋"/>
          <w:b/>
          <w:color w:val="auto"/>
          <w:sz w:val="22"/>
          <w:szCs w:val="22"/>
          <w:highlight w:val="none"/>
        </w:rPr>
        <w:t xml:space="preserve">（六）常规检查（应包括但不限于：）</w:t>
      </w:r>
      <w:bookmarkEnd w:id="246"/>
      <w:r/>
      <w:bookmarkEnd w:id="247"/>
      <w:r/>
      <w:bookmarkEnd w:id="248"/>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rPr>
        <w:t xml:space="preserve">视觉检查：设备的质量、结构、防护等级总装配和涂层。</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rPr>
        <w:t xml:space="preserve">所有手动性能、小车、导轨、插头、门板等的机械操作。</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rPr>
        <w:t xml:space="preserve">所有控制、保护和监测设备的电气操作。</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rPr>
        <w:t xml:space="preserve">设备型号检查。</w:t>
      </w:r>
      <w:r/>
    </w:p>
    <w:p>
      <w:pPr>
        <w:ind w:firstLine="440"/>
        <w:jc w:val="left"/>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rPr>
        <w:t xml:space="preserve">模拟操作。</w:t>
      </w:r>
      <w:r/>
    </w:p>
    <w:p>
      <w:pPr>
        <w:numPr>
          <w:ilvl w:val="0"/>
          <w:numId w:val="13"/>
        </w:numPr>
        <w:ind w:firstLine="480"/>
        <w:spacing w:line="360" w:lineRule="auto"/>
        <w:rPr>
          <w:rStyle w:val="1373"/>
          <w:rFonts w:hint="eastAsia" w:ascii="仿宋" w:hAnsi="仿宋" w:eastAsia="仿宋" w:cs="仿宋"/>
          <w:sz w:val="24"/>
          <w:szCs w:val="24"/>
          <w:highlight w:val="none"/>
          <w:lang w:bidi="ar"/>
        </w:rPr>
      </w:pPr>
      <w:r>
        <w:rPr>
          <w:rStyle w:val="1373"/>
          <w:rFonts w:hint="eastAsia" w:ascii="仿宋" w:hAnsi="仿宋" w:eastAsia="仿宋" w:cs="仿宋"/>
          <w:sz w:val="24"/>
          <w:szCs w:val="24"/>
          <w:highlight w:val="none"/>
          <w:lang w:bidi="ar"/>
        </w:rPr>
        <w:t xml:space="preserve">施工期间对工程运行的影响及采取的措施：本项目施工需停电施工、工程无法投入运行，需结合年度调水计划安排在非调水期实施，并在9月份完成全部施工，不影响10月份调水运行。</w:t>
      </w:r>
      <w:r/>
    </w:p>
    <w:p>
      <w:pPr>
        <w:numPr>
          <w:ilvl w:val="0"/>
          <w:numId w:val="13"/>
        </w:numPr>
        <w:ind w:firstLine="480"/>
        <w:spacing w:line="360" w:lineRule="auto"/>
        <w:rPr>
          <w:rStyle w:val="1373"/>
          <w:rFonts w:hint="eastAsia" w:ascii="仿宋" w:hAnsi="仿宋" w:eastAsia="仿宋" w:cs="仿宋"/>
          <w:sz w:val="24"/>
          <w:szCs w:val="24"/>
          <w:highlight w:val="none"/>
          <w:lang w:bidi="ar"/>
        </w:rPr>
      </w:pPr>
      <w:r>
        <w:rPr>
          <w:rStyle w:val="1373"/>
          <w:rFonts w:hint="eastAsia" w:ascii="仿宋" w:hAnsi="仿宋" w:eastAsia="仿宋" w:cs="仿宋"/>
          <w:sz w:val="24"/>
          <w:szCs w:val="24"/>
          <w:highlight w:val="none"/>
          <w:lang w:bidi="ar"/>
        </w:rPr>
        <w:t xml:space="preserve">工期：60日历天，质保期：2年。</w:t>
      </w:r>
      <w:r/>
    </w:p>
    <w:p>
      <w:pPr>
        <w:ind w:firstLine="482"/>
        <w:jc w:val="left"/>
        <w:keepLines/>
        <w:keepNext/>
        <w:spacing w:line="360" w:lineRule="auto"/>
        <w:rPr>
          <w:rFonts w:hint="eastAsia"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二、付款方式</w:t>
      </w:r>
      <w:r/>
    </w:p>
    <w:p>
      <w:pPr>
        <w:pStyle w:val="1005"/>
        <w:ind w:firstLine="480"/>
        <w:spacing w:line="360" w:lineRule="auto"/>
        <w:rPr>
          <w:rFonts w:hint="eastAsia" w:ascii="仿宋" w:hAnsi="仿宋" w:eastAsia="仿宋" w:cs="仿宋"/>
          <w:b/>
          <w:bCs/>
          <w:sz w:val="24"/>
          <w:szCs w:val="24"/>
          <w:highlight w:val="none"/>
          <w:lang w:eastAsia="zh-CN"/>
        </w:rPr>
      </w:pPr>
      <w:r>
        <w:rPr>
          <w:rFonts w:hint="eastAsia" w:ascii="仿宋" w:hAnsi="仿宋" w:eastAsia="仿宋" w:cs="仿宋"/>
          <w:sz w:val="24"/>
          <w:szCs w:val="24"/>
          <w:highlight w:val="none"/>
        </w:rPr>
        <w:t xml:space="preserve">项目施工完毕经验收合格，乙方将3%质量保证金汇到采购人指定账户，甲方支付完工程结算价的100%，质量保证金待质保期满后无问题一次性付清（无息）。</w:t>
      </w:r>
      <w:r/>
    </w:p>
    <w:p>
      <w:pPr>
        <w:ind w:firstLine="482"/>
        <w:spacing w:line="360" w:lineRule="auto"/>
        <w:tabs>
          <w:tab w:val="left" w:pos="1620" w:leader="none"/>
        </w:tabs>
        <w:rPr>
          <w:rFonts w:hint="eastAsia" w:ascii="仿宋" w:hAnsi="仿宋" w:eastAsia="仿宋" w:cs="仿宋"/>
          <w:b/>
          <w:bCs/>
          <w:sz w:val="24"/>
          <w:szCs w:val="24"/>
        </w:rPr>
      </w:pPr>
      <w:r>
        <w:rPr>
          <w:rFonts w:hint="eastAsia" w:ascii="仿宋" w:hAnsi="仿宋" w:eastAsia="仿宋" w:cs="仿宋"/>
          <w:b/>
          <w:bCs/>
          <w:sz w:val="24"/>
          <w:szCs w:val="24"/>
        </w:rPr>
        <w:t xml:space="preserve">三、项目实施方案要求</w:t>
      </w:r>
      <w:r/>
    </w:p>
    <w:p>
      <w:pPr>
        <w:ind w:firstLine="420"/>
        <w:spacing w:line="360" w:lineRule="auto"/>
        <w:tabs>
          <w:tab w:val="left" w:pos="1620" w:leader="none"/>
        </w:tabs>
        <w:rPr>
          <w:rFonts w:hint="eastAsia" w:ascii="仿宋" w:hAnsi="仿宋" w:eastAsia="仿宋" w:cs="仿宋"/>
          <w:sz w:val="24"/>
          <w:szCs w:val="24"/>
        </w:rPr>
      </w:pPr>
      <w:r>
        <w:rPr>
          <w:rFonts w:hint="eastAsia" w:ascii="仿宋" w:hAnsi="仿宋" w:eastAsia="仿宋" w:cs="仿宋"/>
          <w:sz w:val="24"/>
          <w:szCs w:val="24"/>
        </w:rPr>
        <w:t xml:space="preserve">实施方案包含但不限于施工组织总体方案：施工组织总体设想、方案针对性及施工标段划分、施工现场平面布置和临时设施、临时道路布置；施工进度计划和各阶段进度的保证措施；施工过程各阶段质量安全的保证措施；施工重点难点分析和解决方案；安全文明施工及环境保护措施；劳动力、机械设备和材料投入计划等。  </w:t>
      </w:r>
      <w:r/>
    </w:p>
    <w:p>
      <w:pPr>
        <w:numPr>
          <w:ilvl w:val="0"/>
          <w:numId w:val="14"/>
        </w:numPr>
        <w:ind w:firstLine="420"/>
        <w:spacing w:line="360" w:lineRule="auto"/>
        <w:tabs>
          <w:tab w:val="left" w:pos="1620" w:leader="none"/>
        </w:tabs>
        <w:rPr>
          <w:rFonts w:hint="eastAsia" w:ascii="仿宋" w:hAnsi="仿宋" w:eastAsia="仿宋" w:cs="仿宋"/>
          <w:sz w:val="24"/>
          <w:szCs w:val="24"/>
        </w:rPr>
      </w:pPr>
      <w:r>
        <w:rPr>
          <w:rFonts w:hint="eastAsia" w:ascii="仿宋" w:hAnsi="仿宋" w:eastAsia="仿宋" w:cs="仿宋"/>
          <w:sz w:val="24"/>
          <w:szCs w:val="24"/>
        </w:rPr>
        <w:t xml:space="preserve">项目实施方案总体概述。供应商提供项目实施方案总体概述，含施工组织总体设想、方案针对性及施工工艺流程、各分部分项工程工序计划安排等具体内容；要求：方案、施工组织设想有内容，有标段划分、有组织工序。</w:t>
      </w:r>
      <w:r/>
    </w:p>
    <w:p>
      <w:pPr>
        <w:numPr>
          <w:ilvl w:val="0"/>
          <w:numId w:val="14"/>
        </w:numPr>
        <w:ind w:firstLine="420"/>
        <w:spacing w:line="360" w:lineRule="auto"/>
        <w:tabs>
          <w:tab w:val="left" w:pos="1620" w:leader="none"/>
        </w:tabs>
        <w:rPr>
          <w:rFonts w:hint="eastAsia" w:ascii="仿宋" w:hAnsi="仿宋" w:eastAsia="仿宋" w:cs="仿宋"/>
          <w:sz w:val="24"/>
          <w:szCs w:val="24"/>
        </w:rPr>
      </w:pPr>
      <w:r>
        <w:rPr>
          <w:rFonts w:hint="eastAsia" w:ascii="仿宋" w:hAnsi="仿宋" w:eastAsia="仿宋" w:cs="仿宋"/>
          <w:sz w:val="24"/>
          <w:szCs w:val="24"/>
        </w:rPr>
        <w:t xml:space="preserve">施工现场布置方案。供应商提供施工现场布置方案，含平面布置和临时设施、临时道路布置等内容；要求：方案有内容，有平面布置，临时设施及临时道路布置要兼顾施工现场进出通行。</w:t>
      </w:r>
      <w:r/>
    </w:p>
    <w:p>
      <w:pPr>
        <w:ind w:firstLine="480"/>
        <w:spacing w:line="360" w:lineRule="auto"/>
        <w:tabs>
          <w:tab w:val="left" w:pos="1620" w:leader="none"/>
        </w:tabs>
        <w:rPr>
          <w:rFonts w:hint="eastAsia" w:ascii="仿宋" w:hAnsi="仿宋" w:eastAsia="仿宋" w:cs="仿宋"/>
          <w:sz w:val="24"/>
          <w:szCs w:val="24"/>
        </w:rPr>
      </w:pPr>
      <w:r>
        <w:rPr>
          <w:rFonts w:hint="eastAsia" w:ascii="仿宋" w:hAnsi="仿宋" w:eastAsia="仿宋" w:cs="仿宋"/>
          <w:sz w:val="24"/>
          <w:szCs w:val="24"/>
        </w:rPr>
        <w:t xml:space="preserve">3、施工进度计划和各阶段进度的保证措施方案。供应商提供施工进度计划和各阶段进度的保证措施方案，含进度计划、进度保障的措施等内容；要求：进度计划有节点安排，符合工程进度要求，进度保障有措施和要求。</w:t>
      </w:r>
      <w:r/>
    </w:p>
    <w:p>
      <w:pPr>
        <w:ind w:firstLine="420"/>
        <w:spacing w:line="440" w:lineRule="exact"/>
        <w:rPr>
          <w:rFonts w:hint="eastAsia" w:ascii="仿宋" w:hAnsi="仿宋" w:eastAsia="仿宋" w:cs="仿宋"/>
          <w:sz w:val="24"/>
          <w:szCs w:val="24"/>
        </w:rPr>
      </w:pPr>
      <w:r>
        <w:rPr>
          <w:rFonts w:hint="eastAsia" w:ascii="仿宋" w:hAnsi="仿宋" w:eastAsia="仿宋" w:cs="仿宋"/>
          <w:sz w:val="24"/>
          <w:szCs w:val="24"/>
        </w:rPr>
        <w:t xml:space="preserve">4、施工过程重点难点分析、质量安全的保证措施方案。供应商提供施工过程重点难点分析、质量安全的保证措施方案，重点难点分析及解决方案、质量安全保障具体措施等内容；要求：重点难点分析有内容、有解决方案、有质量安全保障措施，质量安全保障有措施。</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5、安全文明及环保施工</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6、劳动力、机械设备和材料投入计划方案。供应商提供劳动力、机械设备和材料投入计划方案，含具体配置内容及要求；要求：方案配置有内容、有计划安排，组织管理及技术保障有措施和工序安排。</w:t>
      </w:r>
      <w:r/>
    </w:p>
    <w:p>
      <w:pPr>
        <w:ind w:right="1" w:firstLine="482"/>
        <w:spacing w:line="440" w:lineRule="exact"/>
        <w:tabs>
          <w:tab w:val="left" w:pos="1248" w:leader="none"/>
          <w:tab w:val="left" w:pos="1815" w:leader="none"/>
        </w:tabs>
        <w:rPr>
          <w:rFonts w:hint="eastAsia" w:ascii="仿宋" w:hAnsi="仿宋" w:eastAsia="仿宋" w:cs="仿宋"/>
          <w:b/>
          <w:bCs/>
          <w:sz w:val="24"/>
          <w:szCs w:val="24"/>
        </w:rPr>
      </w:pPr>
      <w:r>
        <w:rPr>
          <w:rFonts w:hint="eastAsia" w:ascii="仿宋" w:hAnsi="仿宋" w:eastAsia="仿宋" w:cs="仿宋"/>
          <w:b/>
          <w:bCs/>
          <w:sz w:val="24"/>
          <w:szCs w:val="24"/>
        </w:rPr>
        <w:t xml:space="preserve">四、★诚信行为承诺书（供应商单位须提供诚信行为承诺书，未提供作无效标处理，格式见响应文件格式）</w:t>
      </w:r>
      <w:bookmarkStart w:id="249" w:name="_Toc169207397"/>
      <w:r>
        <w:rPr>
          <w:rFonts w:hint="eastAsia" w:ascii="仿宋" w:hAnsi="仿宋" w:eastAsia="仿宋" w:cs="仿宋"/>
          <w:b/>
          <w:bCs/>
          <w:sz w:val="24"/>
          <w:szCs w:val="24"/>
        </w:rPr>
        <w:t xml:space="preserve">。</w:t>
      </w:r>
      <w:r/>
    </w:p>
    <w:p>
      <w:pPr>
        <w:ind w:right="1" w:firstLine="482"/>
        <w:spacing w:line="440" w:lineRule="exact"/>
        <w:tabs>
          <w:tab w:val="left" w:pos="1248" w:leader="none"/>
          <w:tab w:val="left" w:pos="1815" w:leader="none"/>
        </w:tabs>
        <w:rPr>
          <w:rFonts w:hint="eastAsia" w:ascii="仿宋" w:hAnsi="仿宋" w:eastAsia="仿宋" w:cs="仿宋"/>
          <w:b/>
          <w:bCs/>
          <w:sz w:val="24"/>
          <w:szCs w:val="24"/>
        </w:rPr>
      </w:pPr>
      <w:r>
        <w:rPr>
          <w:rFonts w:hint="eastAsia" w:ascii="仿宋" w:hAnsi="仿宋" w:eastAsia="仿宋" w:cs="仿宋"/>
          <w:b/>
          <w:bCs/>
          <w:sz w:val="24"/>
          <w:szCs w:val="24"/>
        </w:rPr>
        <w:t xml:space="preserve">五、工程量清单：</w:t>
      </w:r>
      <w:r/>
    </w:p>
    <w:tbl>
      <w:tblPr>
        <w:tblStyle w:val="685"/>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32"/>
        <w:gridCol w:w="4492"/>
        <w:gridCol w:w="619"/>
        <w:gridCol w:w="682"/>
        <w:gridCol w:w="1046"/>
      </w:tblGrid>
      <w:tr>
        <w:trPr>
          <w:jc w:val="center"/>
          <w:trHeight w:val="390"/>
        </w:trPr>
        <w:tc>
          <w:tcPr>
            <w:tcW w:w="846" w:type="dxa"/>
            <w:vAlign w:val="center"/>
            <w:vMerge w:val="restart"/>
            <w:textDirection w:val="lrTb"/>
            <w:noWrap w:val="false"/>
          </w:tcPr>
          <w:p>
            <w:pPr>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932" w:type="dxa"/>
            <w:vAlign w:val="center"/>
            <w:vMerge w:val="restart"/>
            <w:textDirection w:val="lrTb"/>
            <w:noWrap w:val="false"/>
          </w:tcPr>
          <w:p>
            <w:pPr>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元器件名称</w:t>
            </w:r>
            <w:r/>
          </w:p>
        </w:tc>
        <w:tc>
          <w:tcPr>
            <w:tcW w:w="4492" w:type="dxa"/>
            <w:vAlign w:val="center"/>
            <w:vMerge w:val="restart"/>
            <w:textDirection w:val="lrTb"/>
            <w:noWrap w:val="false"/>
          </w:tcPr>
          <w:p>
            <w:pPr>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规格型号</w:t>
            </w:r>
            <w:r/>
          </w:p>
        </w:tc>
        <w:tc>
          <w:tcPr>
            <w:tcW w:w="619" w:type="dxa"/>
            <w:vAlign w:val="center"/>
            <w:vMerge w:val="restart"/>
            <w:textDirection w:val="lrTb"/>
            <w:noWrap w:val="false"/>
          </w:tcPr>
          <w:p>
            <w:pPr>
              <w:ind w:left="-105" w:right="-105"/>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w:t>
            </w:r>
            <w:r/>
          </w:p>
        </w:tc>
        <w:tc>
          <w:tcPr>
            <w:tcW w:w="682" w:type="dxa"/>
            <w:vAlign w:val="center"/>
            <w:vMerge w:val="restart"/>
            <w:textDirection w:val="lrTb"/>
            <w:noWrap w:val="false"/>
          </w:tcPr>
          <w:p>
            <w:pPr>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W w:w="1046" w:type="dxa"/>
            <w:vAlign w:val="center"/>
            <w:vMerge w:val="restart"/>
            <w:textDirection w:val="lrTb"/>
            <w:noWrap w:val="false"/>
          </w:tcPr>
          <w:p>
            <w:pPr>
              <w:jc w:val="center"/>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jc w:val="center"/>
          <w:trHeight w:val="510"/>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一</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KYN-40.5进线隔离计量柜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进线隔离计量柜35kV</w:t>
            </w:r>
            <w:r/>
          </w:p>
        </w:tc>
        <w:tc>
          <w:tcPr>
            <w:shd w:val="clear" w:color="000000" w:fill="ffffff"/>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 宽*深1400×2800，高度≤2400mm</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000000" w:fill="ffffff"/>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触头盒</w:t>
            </w:r>
            <w:r/>
          </w:p>
        </w:tc>
        <w:tc>
          <w:tcPr>
            <w:shd w:val="clear" w:color="000000" w:fill="ffffff"/>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户内环氧树脂触头盒，适配KYN-40.5高压手车式开关柜，内置屏蔽结构，额定电压40.5kV，额定电流1250A，额定频率50Hz</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356"/>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一次静触头</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与触头盒配套1250A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隔离手车</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电动底盘车 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过电压保护器(配套计数器)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户内电站型有间隙三相组合式过电压保护器，额定持续运行电压42kV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60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户内高压带电显示传感器，系统标称电压35kV，强制电气闭锁型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智能电力模拟屏</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不小于10寸屏、AC 220V ±10%</w:t>
            </w:r>
            <w:r/>
          </w:p>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RTU通讯协议，遥信容量≥256点，IP40防护等级</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2.环境温/湿度测量：-40℃~85℃；±2℃; 0~100%RH；±2%RH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324"/>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000000" w:fill="ffffff"/>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369"/>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15</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textDirection w:val="lrTb"/>
            <w:noWrap w:val="false"/>
          </w:tcPr>
          <w:p>
            <w:pPr>
              <w:rPr>
                <w:color w:val="000000"/>
                <w:sz w:val="32"/>
                <w:szCs w:val="32"/>
              </w:rPr>
            </w:pPr>
            <w:r>
              <w:rPr>
                <w:color w:val="000000"/>
                <w:sz w:val="32"/>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textDirection w:val="lrTb"/>
            <w:noWrap w:val="false"/>
          </w:tcPr>
          <w:p>
            <w:pPr>
              <w:rPr>
                <w:color w:val="000000"/>
                <w:sz w:val="32"/>
                <w:szCs w:val="32"/>
              </w:rPr>
            </w:pPr>
            <w:r>
              <w:rPr>
                <w:color w:val="000000"/>
                <w:sz w:val="32"/>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000000" w:fill="ffffff"/>
            <w:tcW w:w="1932" w:type="dxa"/>
            <w:vAlign w:val="center"/>
            <w:textDirection w:val="lrTb"/>
            <w:noWrap w:val="false"/>
          </w:tcPr>
          <w:p>
            <w:pPr>
              <w:jc w:val="center"/>
              <w:rPr>
                <w:rFonts w:hint="default"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 xml:space="preserve">电流互感器</w:t>
            </w:r>
            <w:r/>
          </w:p>
        </w:tc>
        <w:tc>
          <w:tcPr>
            <w:shd w:val="clear" w:color="000000" w:fill="ffffff"/>
            <w:tcW w:w="4492" w:type="dxa"/>
            <w:vAlign w:val="center"/>
            <w:textDirection w:val="lrTb"/>
            <w:noWrap w:val="false"/>
          </w:tcPr>
          <w:p>
            <w:pPr>
              <w:jc w:val="center"/>
              <w:rPr>
                <w:rFonts w:hint="eastAsia" w:ascii="Times New Roman" w:hAnsi="Times New Roman" w:eastAsia="仿宋_GB2312"/>
                <w:sz w:val="20"/>
                <w:szCs w:val="20"/>
              </w:rPr>
            </w:pPr>
            <w:r>
              <w:rPr>
                <w:rFonts w:hint="eastAsia" w:ascii="Times New Roman" w:hAnsi="Times New Roman" w:eastAsia="仿宋_GB2312"/>
                <w:sz w:val="20"/>
                <w:szCs w:val="20"/>
              </w:rPr>
              <w:t xml:space="preserve">35kV 户内环氧树脂浇注支柱式电流互感器，双绕组结构，0.2S/0.2，200/5变比，适配 KYN-40.5高压开关柜</w:t>
            </w:r>
            <w:r/>
          </w:p>
        </w:tc>
        <w:tc>
          <w:tcPr>
            <w:shd w:val="clear" w:color="000000" w:fill="ffffff"/>
            <w:tcW w:w="619" w:type="dxa"/>
            <w:vAlign w:val="center"/>
            <w:textDirection w:val="lrTb"/>
            <w:noWrap w:val="false"/>
          </w:tcPr>
          <w:p>
            <w:pPr>
              <w:jc w:val="center"/>
              <w:rPr>
                <w:rFonts w:hint="eastAsia"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 xml:space="preserve">只</w:t>
            </w:r>
            <w:r/>
          </w:p>
        </w:tc>
        <w:tc>
          <w:tcPr>
            <w:shd w:val="clear" w:color="000000" w:fill="ffffff"/>
            <w:tcW w:w="682" w:type="dxa"/>
            <w:vAlign w:val="center"/>
            <w:textDirection w:val="lrTb"/>
            <w:noWrap w:val="false"/>
          </w:tcPr>
          <w:p>
            <w:pPr>
              <w:jc w:val="center"/>
              <w:rPr>
                <w:rFonts w:hint="eastAsia"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 xml:space="preserve">2</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hint="default" w:ascii="Times New Roman" w:hAnsi="Times New Roman" w:eastAsia="仿宋"/>
                <w:sz w:val="24"/>
                <w:szCs w:val="24"/>
                <w:lang w:val="en-US" w:eastAsia="zh-CN"/>
              </w:rPr>
            </w:pPr>
            <w:r>
              <w:rPr>
                <w:rFonts w:hint="eastAsia" w:ascii="Times New Roman" w:hAnsi="Times New Roman" w:eastAsia="仿宋"/>
                <w:sz w:val="24"/>
                <w:szCs w:val="24"/>
                <w:lang w:val="en-US" w:eastAsia="zh-CN"/>
              </w:rPr>
              <w:t xml:space="preserve">18</w:t>
            </w:r>
            <w:r/>
          </w:p>
        </w:tc>
        <w:tc>
          <w:tcPr>
            <w:shd w:val="clear" w:color="000000" w:fill="ffffff"/>
            <w:tcW w:w="1932" w:type="dxa"/>
            <w:vAlign w:val="center"/>
            <w:textDirection w:val="lrTb"/>
            <w:noWrap w:val="false"/>
          </w:tcPr>
          <w:p>
            <w:pPr>
              <w:jc w:val="center"/>
              <w:rPr>
                <w:rFonts w:hint="eastAsia"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 xml:space="preserve">电压互感器</w:t>
            </w:r>
            <w:r/>
          </w:p>
        </w:tc>
        <w:tc>
          <w:tcPr>
            <w:shd w:val="clear" w:color="000000" w:fill="ffffff"/>
            <w:tcW w:w="4492" w:type="dxa"/>
            <w:vAlign w:val="center"/>
            <w:textDirection w:val="lrTb"/>
            <w:noWrap w:val="false"/>
          </w:tcPr>
          <w:p>
            <w:pPr>
              <w:jc w:val="center"/>
              <w:rPr>
                <w:rFonts w:hint="eastAsia" w:ascii="Times New Roman" w:hAnsi="Times New Roman" w:eastAsia="仿宋_GB2312"/>
                <w:sz w:val="20"/>
                <w:szCs w:val="20"/>
              </w:rPr>
            </w:pPr>
            <w:r>
              <w:rPr>
                <w:rFonts w:hint="eastAsia" w:ascii="Times New Roman" w:hAnsi="Times New Roman" w:eastAsia="仿宋_GB2312"/>
                <w:sz w:val="20"/>
                <w:szCs w:val="20"/>
              </w:rPr>
              <w:t xml:space="preserve">35kV户内单相电压互感器，额定电压35kV，变比35/0.1/0.1kV，准确级0.2/0.2，额定输出30/30VA</w:t>
            </w:r>
            <w:r/>
          </w:p>
        </w:tc>
        <w:tc>
          <w:tcPr>
            <w:shd w:val="clear" w:color="000000" w:fill="ffffff"/>
            <w:tcW w:w="619" w:type="dxa"/>
            <w:vAlign w:val="center"/>
            <w:textDirection w:val="lrTb"/>
            <w:noWrap w:val="false"/>
          </w:tcPr>
          <w:p>
            <w:pPr>
              <w:jc w:val="center"/>
              <w:rPr>
                <w:rFonts w:hint="eastAsia"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 xml:space="preserve">只</w:t>
            </w:r>
            <w:r/>
          </w:p>
        </w:tc>
        <w:tc>
          <w:tcPr>
            <w:shd w:val="clear" w:color="000000" w:fill="ffffff"/>
            <w:tcW w:w="682" w:type="dxa"/>
            <w:vAlign w:val="center"/>
            <w:textDirection w:val="lrTb"/>
            <w:noWrap w:val="false"/>
          </w:tcPr>
          <w:p>
            <w:pPr>
              <w:jc w:val="center"/>
              <w:rPr>
                <w:rFonts w:hint="eastAsia" w:ascii="Times New Roman" w:hAnsi="Times New Roman" w:eastAsia="仿宋_GB2312"/>
                <w:sz w:val="20"/>
                <w:szCs w:val="20"/>
                <w:lang w:val="en-US" w:eastAsia="zh-CN"/>
              </w:rPr>
            </w:pPr>
            <w:r>
              <w:rPr>
                <w:rFonts w:hint="eastAsia" w:ascii="Times New Roman" w:hAnsi="Times New Roman" w:eastAsia="仿宋_GB2312"/>
                <w:sz w:val="20"/>
                <w:szCs w:val="20"/>
                <w:lang w:val="en-US" w:eastAsia="zh-CN"/>
              </w:rPr>
              <w:t xml:space="preserve">3</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hint="default" w:ascii="Times New Roman" w:hAnsi="Times New Roman" w:eastAsia="仿宋"/>
                <w:sz w:val="24"/>
                <w:szCs w:val="24"/>
                <w:lang w:val="en-US" w:eastAsia="zh-CN"/>
              </w:rPr>
            </w:pPr>
            <w:r>
              <w:rPr>
                <w:rFonts w:hint="eastAsia" w:ascii="Times New Roman" w:hAnsi="Times New Roman" w:eastAsia="仿宋"/>
                <w:sz w:val="24"/>
                <w:szCs w:val="24"/>
                <w:lang w:val="en-US" w:eastAsia="zh-CN"/>
              </w:rPr>
              <w:t xml:space="preserve">19</w:t>
            </w:r>
            <w:r/>
          </w:p>
        </w:tc>
        <w:tc>
          <w:tcPr>
            <w:shd w:val="clear" w:color="000000" w:fill="ffffff"/>
            <w:tcW w:w="1932" w:type="dxa"/>
            <w:vAlign w:val="center"/>
            <w:textDirection w:val="lrTb"/>
            <w:noWrap w:val="false"/>
          </w:tcPr>
          <w:p>
            <w:pPr>
              <w:jc w:val="center"/>
              <w:rPr>
                <w:rFonts w:hint="eastAsia" w:ascii="Times New Roman" w:hAnsi="Times New Roman" w:eastAsia="仿宋_GB2312" w:cs="Times New Roman"/>
                <w:sz w:val="20"/>
                <w:szCs w:val="20"/>
                <w:lang w:val="en-US" w:eastAsia="zh-CN" w:bidi="ar-SA"/>
              </w:rPr>
            </w:pPr>
            <w:r>
              <w:rPr>
                <w:rFonts w:hint="eastAsia" w:ascii="Times New Roman" w:hAnsi="Times New Roman" w:eastAsia="仿宋_GB2312"/>
                <w:sz w:val="20"/>
                <w:szCs w:val="20"/>
              </w:rPr>
              <w:t xml:space="preserve">辅材</w:t>
            </w:r>
            <w:r/>
          </w:p>
        </w:tc>
        <w:tc>
          <w:tcPr>
            <w:shd w:val="clear" w:color="000000" w:fill="ffffff"/>
            <w:tcW w:w="4492" w:type="dxa"/>
            <w:vAlign w:val="center"/>
            <w:textDirection w:val="lrTb"/>
            <w:noWrap w:val="false"/>
          </w:tcPr>
          <w:p>
            <w:pPr>
              <w:jc w:val="center"/>
              <w:rPr>
                <w:rFonts w:hint="eastAsia" w:ascii="Times New Roman" w:hAnsi="Times New Roman" w:eastAsia="仿宋_GB2312" w:cs="Times New Roman"/>
                <w:sz w:val="20"/>
                <w:szCs w:val="20"/>
                <w:lang w:val="en-US" w:eastAsia="zh-CN" w:bidi="ar-SA"/>
              </w:rPr>
            </w:pPr>
            <w:r>
              <w:rPr>
                <w:rFonts w:hint="eastAsia" w:ascii="Times New Roman" w:hAnsi="Times New Roman" w:eastAsia="仿宋_GB2312"/>
                <w:sz w:val="20"/>
                <w:szCs w:val="20"/>
              </w:rPr>
              <w:t xml:space="preserve">绝缘件、紧固件、标识等</w:t>
            </w:r>
            <w:r/>
          </w:p>
        </w:tc>
        <w:tc>
          <w:tcPr>
            <w:shd w:val="clear" w:color="000000" w:fill="ffffff"/>
            <w:tcW w:w="619" w:type="dxa"/>
            <w:vAlign w:val="center"/>
            <w:textDirection w:val="lrTb"/>
            <w:noWrap w:val="false"/>
          </w:tcPr>
          <w:p>
            <w:pPr>
              <w:jc w:val="center"/>
              <w:rPr>
                <w:rFonts w:hint="eastAsia" w:ascii="Times New Roman" w:hAnsi="Times New Roman" w:eastAsia="仿宋_GB2312" w:cs="Times New Roman"/>
                <w:sz w:val="20"/>
                <w:szCs w:val="20"/>
                <w:lang w:val="en-US" w:eastAsia="zh-CN" w:bidi="ar-SA"/>
              </w:rPr>
            </w:pPr>
            <w:r>
              <w:rPr>
                <w:rFonts w:hint="eastAsia" w:ascii="Times New Roman" w:hAnsi="Times New Roman" w:eastAsia="仿宋_GB2312"/>
                <w:sz w:val="20"/>
                <w:szCs w:val="20"/>
              </w:rPr>
              <w:t xml:space="preserve">套</w:t>
            </w:r>
            <w:r/>
          </w:p>
        </w:tc>
        <w:tc>
          <w:tcPr>
            <w:shd w:val="clear" w:color="000000" w:fill="ffffff"/>
            <w:tcW w:w="682" w:type="dxa"/>
            <w:vAlign w:val="center"/>
            <w:textDirection w:val="lrTb"/>
            <w:noWrap w:val="false"/>
          </w:tcPr>
          <w:p>
            <w:pPr>
              <w:jc w:val="center"/>
              <w:rPr>
                <w:rFonts w:hint="eastAsia" w:ascii="Times New Roman" w:hAnsi="Times New Roman" w:eastAsia="仿宋_GB2312" w:cs="Times New Roman"/>
                <w:sz w:val="20"/>
                <w:szCs w:val="20"/>
                <w:lang w:val="en-US" w:eastAsia="zh-CN" w:bidi="ar-SA"/>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eastAsia="宋体" w:cs="Times New Roman"/>
                <w:bCs/>
                <w:color w:val="000000"/>
                <w:sz w:val="36"/>
                <w:szCs w:val="32"/>
                <w:lang w:val="en-US" w:eastAsia="zh-CN" w:bidi="ar-SA"/>
              </w:rPr>
            </w:pPr>
            <w:r>
              <w:rPr>
                <w:rFonts w:hint="eastAsia" w:ascii="宋体" w:hAnsi="宋体" w:eastAsia="宋体" w:cs="Times New Roman"/>
                <w:bCs/>
                <w:color w:val="000000"/>
                <w:sz w:val="36"/>
                <w:szCs w:val="32"/>
                <w:lang w:val="en-US" w:eastAsia="zh-CN" w:bidi="ar-SA"/>
              </w:rPr>
            </w:r>
            <w:r/>
          </w:p>
        </w:tc>
      </w:tr>
      <w:tr>
        <w:trPr>
          <w:jc w:val="center"/>
          <w:trHeight w:val="345"/>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二</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KYN-40.5进线开关柜 </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进线开关柜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 宽*深1400×2800，高度≤2400mm</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触头盒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户内环氧树脂触头盒，适配KYN-40.5高压手车式开关柜，内置屏蔽结构，额定电压40.5kV，额定电流1250A，额定频率50Hz</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一次静触头</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与触头盒配套1250A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智能交流真空断路器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40.5kV，额定频率50Hz，额定电流1250A，额定短路开断电流31.5kA，采用弹簧操动机构，机械寿命M2级≥10000次，额定短路开断电流的开断次数≥30次，储能行程开关须有独立1开1闭触点，断路器应符合国家电网最新相关标准，梅花触头接触面镀银层厚度≥12μm，满足1.1倍温升。固封极柱，电动底盘车，触臂内嵌式6点测温</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240" w:lineRule="exact"/>
              <w:rPr>
                <w:rFonts w:hint="eastAsia" w:ascii="Times New Roman" w:hAnsi="Times New Roman" w:eastAsia="仿宋_GB2312"/>
                <w:sz w:val="20"/>
                <w:szCs w:val="20"/>
              </w:rPr>
            </w:pPr>
            <w:r>
              <w:rPr>
                <w:rFonts w:hint="eastAsia" w:ascii="Times New Roman" w:hAnsi="Times New Roman" w:eastAsia="仿宋_GB2312"/>
                <w:sz w:val="20"/>
                <w:szCs w:val="20"/>
              </w:rPr>
              <w:t xml:space="preserve">断路器内置机械特性检测，如分合闸速度，操作次数，触点损耗等，通过通讯方式上传。</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电流互感器</w:t>
            </w:r>
            <w:r/>
          </w:p>
        </w:tc>
        <w:tc>
          <w:tcPr>
            <w:shd w:val="clear" w:color="auto" w:fill="auto"/>
            <w:tcW w:w="4492" w:type="dxa"/>
            <w:vAlign w:val="center"/>
            <w:textDirection w:val="lrTb"/>
            <w:noWrap w:val="false"/>
          </w:tcPr>
          <w:p>
            <w:pPr>
              <w:jc w:val="center"/>
              <w:widowControl/>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35kV 户内环氧树脂浇注支柱式电流互感器，双绕组结构，0.5/5P30，15/15VA，300/5变比，适配 KYN-40.5高压开关柜</w:t>
            </w:r>
            <w:r/>
          </w:p>
        </w:tc>
        <w:tc>
          <w:tcPr>
            <w:shd w:val="clear" w:color="auto" w:fill="auto"/>
            <w:tcW w:w="619"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w:t>
            </w:r>
            <w:r/>
          </w:p>
        </w:tc>
        <w:tc>
          <w:tcPr>
            <w:shd w:val="clear" w:color="auto" w:fill="auto"/>
            <w:tcW w:w="1046" w:type="dxa"/>
            <w:vAlign w:val="center"/>
            <w:textDirection w:val="lrTb"/>
            <w:noWrap w:val="false"/>
          </w:tcPr>
          <w:p>
            <w:pPr>
              <w:jc w:val="center"/>
              <w:spacing w:line="300" w:lineRule="auto"/>
              <w:rPr>
                <w:rFonts w:hint="eastAsia" w:ascii="宋体" w:hAnsi="宋体"/>
                <w:bCs/>
                <w:color w:val="auto"/>
                <w:sz w:val="36"/>
                <w:szCs w:val="32"/>
              </w:rPr>
            </w:pPr>
            <w:r>
              <w:rPr>
                <w:rFonts w:hint="eastAsia" w:ascii="宋体" w:hAnsi="宋体"/>
                <w:bCs/>
                <w:color w:val="auto"/>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过电压保护器(配套计数器)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户内电站型有间隙三相组合式过电压保护器，额定持续运行电压42kV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户内高压带电显示传感器，系统标称电压35kV，强制电气闭锁型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智能终端（含综保）</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RTU通讯协议，遥信容量≥512点，IP40防护等级，智能五防、事件记录、远程联动</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240" w:lineRule="atLeast"/>
              <w:rPr>
                <w:rFonts w:hint="eastAsia" w:ascii="Times New Roman" w:hAnsi="Times New Roman" w:eastAsia="仿宋_GB2312"/>
                <w:sz w:val="20"/>
                <w:szCs w:val="20"/>
              </w:rPr>
            </w:pPr>
            <w:r>
              <w:rPr>
                <w:rFonts w:hint="eastAsia" w:ascii="Times New Roman" w:hAnsi="Times New Roman" w:eastAsia="仿宋_GB2312"/>
                <w:sz w:val="20"/>
                <w:szCs w:val="20"/>
              </w:rPr>
              <w:t xml:space="preserve">保护、测量、操作一体，有一键顺控功能。</w:t>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381"/>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406"/>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15</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344"/>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18</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000000" w:fill="ffffff"/>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hint="eastAsia" w:ascii="宋体" w:hAnsi="宋体"/>
                <w:bCs/>
                <w:color w:val="000000"/>
                <w:sz w:val="36"/>
                <w:szCs w:val="32"/>
              </w:rPr>
            </w:pPr>
            <w:r>
              <w:rPr>
                <w:rFonts w:hint="eastAsia" w:ascii="宋体" w:hAnsi="宋体"/>
                <w:bCs/>
                <w:color w:val="000000"/>
                <w:sz w:val="36"/>
                <w:szCs w:val="32"/>
              </w:rPr>
            </w:r>
            <w:r/>
          </w:p>
        </w:tc>
      </w:tr>
      <w:tr>
        <w:trPr>
          <w:jc w:val="center"/>
          <w:trHeight w:val="510"/>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三</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 PT柜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PT柜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 宽*深1400×2800，高度≤2400mm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触头盒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户内环氧树脂触头盒，适配KYN-40.5高压手车式开关柜，内置屏蔽结构，额定电压40.5kV，额定电流1250A，额定频率50Hz</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3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一次静触头</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与触头盒配套1250A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8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PT手车</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电动底盘车 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color w:val="auto"/>
                <w:sz w:val="24"/>
                <w:szCs w:val="24"/>
              </w:rPr>
            </w:pPr>
            <w:r>
              <w:rPr>
                <w:rFonts w:hint="eastAsia" w:ascii="Times New Roman" w:hAnsi="Times New Roman" w:eastAsia="仿宋"/>
                <w:color w:val="auto"/>
                <w:sz w:val="24"/>
                <w:szCs w:val="24"/>
              </w:rPr>
              <w:t xml:space="preserve">5</w:t>
            </w:r>
            <w:r/>
          </w:p>
        </w:tc>
        <w:tc>
          <w:tcPr>
            <w:shd w:val="clear" w:color="auto" w:fill="auto"/>
            <w:tcW w:w="1932" w:type="dxa"/>
            <w:vAlign w:val="center"/>
            <w:textDirection w:val="lrTb"/>
            <w:noWrap w:val="false"/>
          </w:tcPr>
          <w:p>
            <w:pPr>
              <w:jc w:val="center"/>
              <w:widowControl/>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电压互感器</w:t>
            </w:r>
            <w:r/>
          </w:p>
        </w:tc>
        <w:tc>
          <w:tcPr>
            <w:shd w:val="clear" w:color="auto" w:fill="auto"/>
            <w:tcW w:w="4492" w:type="dxa"/>
            <w:vAlign w:val="center"/>
            <w:textDirection w:val="lrTb"/>
            <w:noWrap w:val="false"/>
          </w:tcPr>
          <w:p>
            <w:pPr>
              <w:jc w:val="center"/>
              <w:widowControl/>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35kV户内单相电压互感器，带剩余电压绕组，额定电压35kV，变比35/√3/0.1/√3/0.1/3，准确级0.5/6P，额定输出90VA/100VA</w:t>
            </w:r>
            <w:r/>
          </w:p>
        </w:tc>
        <w:tc>
          <w:tcPr>
            <w:shd w:val="clear" w:color="auto" w:fill="auto"/>
            <w:tcW w:w="619"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auto"/>
                <w:sz w:val="28"/>
                <w:szCs w:val="32"/>
              </w:rPr>
            </w:pPr>
            <w:r>
              <w:rPr>
                <w:rFonts w:ascii="宋体"/>
                <w:color w:val="auto"/>
                <w:sz w:val="28"/>
                <w:szCs w:val="32"/>
              </w:rPr>
            </w:r>
            <w:r/>
          </w:p>
        </w:tc>
      </w:tr>
      <w:tr>
        <w:trPr>
          <w:jc w:val="center"/>
          <w:trHeight w:val="38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一次消谐器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额定电压35kV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高压熔断器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额定电压40.5kV，额定电流0.5A，额定短路开断电流50kA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过电压保护器(配套计数器)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户内电站型有间隙三相组合式过电压保护器，额定持续运行电压42kV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户内高压带电显示传感器，系统标称电压35kV，强制电气闭锁型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智能电力模拟屏</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RTU通讯协议，遥信容量≥256点，IP40防护等级</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6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4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4"/>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02"/>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1"/>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四</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KYN-40.5主变开关柜 </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主变开关柜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 宽*深1400×2800，高度≤2400mm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6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触头盒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户内环氧树脂触头盒，适配KYN-40.5高压手车式开关柜，内置屏蔽结构，额定电压40.5kV，额定电流1250A，额定频率50Hz</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000000" w:fill="ffffff"/>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一次静触头</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与触头盒配套1250A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智能交流真空断路器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40.5kV，额定频率50Hz，额定电流1250A，额定短路开断电流31.5kA，采用弹簧操动机构，机械寿命M2级≥10000次，额定短路开断电流的开断次数≥30次，储能行程开关须有独立1开1闭触点，断路器应符合国家电网最新相关标准，梅花触头接触面镀银层厚度≥12μm，满足1.1倍温升。固封极柱，电动底盘车，触臂内嵌式6点测温。</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240" w:lineRule="atLeast"/>
              <w:rPr>
                <w:rFonts w:ascii="宋体"/>
                <w:color w:val="000000"/>
                <w:sz w:val="28"/>
                <w:szCs w:val="32"/>
              </w:rPr>
            </w:pPr>
            <w:r>
              <w:rPr>
                <w:rFonts w:hint="eastAsia" w:ascii="Times New Roman" w:hAnsi="Times New Roman" w:eastAsia="仿宋_GB2312"/>
                <w:sz w:val="20"/>
                <w:szCs w:val="20"/>
              </w:rPr>
              <w:t xml:space="preserve">断路器内置机械特性检测，如分合闸速度，操作次数，触点损耗等，通过通讯方式上传。</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color w:val="auto"/>
                <w:sz w:val="24"/>
                <w:szCs w:val="24"/>
              </w:rPr>
            </w:pPr>
            <w:r>
              <w:rPr>
                <w:rFonts w:hint="eastAsia" w:ascii="Times New Roman" w:hAnsi="Times New Roman" w:eastAsia="仿宋"/>
                <w:color w:val="auto"/>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电流互感器</w:t>
            </w:r>
            <w:r/>
          </w:p>
        </w:tc>
        <w:tc>
          <w:tcPr>
            <w:shd w:val="clear" w:color="auto" w:fill="auto"/>
            <w:tcW w:w="4492" w:type="dxa"/>
            <w:vAlign w:val="center"/>
            <w:textDirection w:val="lrTb"/>
            <w:noWrap w:val="false"/>
          </w:tcPr>
          <w:p>
            <w:pPr>
              <w:jc w:val="center"/>
              <w:widowControl/>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35kV 户内环氧树脂浇注支柱式电流互感器，双绕组结构，</w:t>
            </w:r>
            <w:bookmarkStart w:id="250" w:name="OLE_LINK78"/>
            <w:r>
              <w:rPr>
                <w:rFonts w:hint="eastAsia" w:ascii="Times New Roman" w:hAnsi="Times New Roman" w:eastAsia="仿宋_GB2312"/>
                <w:color w:val="auto"/>
                <w:sz w:val="20"/>
                <w:szCs w:val="20"/>
              </w:rPr>
              <w:t xml:space="preserve">0.5/5P30，</w:t>
            </w:r>
            <w:bookmarkStart w:id="251" w:name="OLE_LINK79"/>
            <w:r>
              <w:rPr>
                <w:rFonts w:hint="eastAsia" w:ascii="Times New Roman" w:hAnsi="Times New Roman" w:eastAsia="仿宋_GB2312"/>
                <w:color w:val="auto"/>
                <w:sz w:val="20"/>
                <w:szCs w:val="20"/>
              </w:rPr>
              <w:t xml:space="preserve">15/15VA</w:t>
            </w:r>
            <w:bookmarkEnd w:id="251"/>
            <w:r>
              <w:rPr>
                <w:rFonts w:hint="eastAsia" w:ascii="Times New Roman" w:hAnsi="Times New Roman" w:eastAsia="仿宋_GB2312"/>
                <w:color w:val="auto"/>
                <w:sz w:val="20"/>
                <w:szCs w:val="20"/>
              </w:rPr>
              <w:t xml:space="preserve">，300/5变比</w:t>
            </w:r>
            <w:bookmarkEnd w:id="250"/>
            <w:r>
              <w:rPr>
                <w:rFonts w:hint="eastAsia" w:ascii="Times New Roman" w:hAnsi="Times New Roman" w:eastAsia="仿宋_GB2312"/>
                <w:color w:val="auto"/>
                <w:sz w:val="20"/>
                <w:szCs w:val="20"/>
              </w:rPr>
              <w:t xml:space="preserve">，适配 KYN-40.5高压开关柜</w:t>
            </w:r>
            <w:r/>
          </w:p>
        </w:tc>
        <w:tc>
          <w:tcPr>
            <w:shd w:val="clear" w:color="auto" w:fill="auto"/>
            <w:tcW w:w="619"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auto"/>
                <w:sz w:val="28"/>
                <w:szCs w:val="32"/>
              </w:rPr>
            </w:pPr>
            <w:r>
              <w:rPr>
                <w:rFonts w:ascii="宋体"/>
                <w:color w:val="auto"/>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过电压保护器(配套计数器)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户内电站型有间隙三相组合式过电压保护器，额定持续运行电压42kV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35kV 户内高压带电显示传感器，系统标称电压35kV，强制电气闭锁型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接地开关</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户内高压接地开关，电动操作 DC220V，额定电压40.5kV，额定短时耐受电流31.5kA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智能终端（综保含差动）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RTU通讯协议，遥信容量≥512点，IP40防护等级，智能五防、事件记录、远程联动，接入保护（含差动）</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240" w:lineRule="atLeast"/>
              <w:rPr>
                <w:rFonts w:ascii="宋体"/>
                <w:color w:val="000000"/>
                <w:sz w:val="28"/>
                <w:szCs w:val="32"/>
              </w:rPr>
            </w:pPr>
            <w:r/>
            <w:bookmarkStart w:id="252" w:name="OLE_LINK128"/>
            <w:r>
              <w:rPr>
                <w:rFonts w:hint="eastAsia" w:ascii="Times New Roman" w:hAnsi="Times New Roman" w:eastAsia="仿宋_GB2312"/>
                <w:sz w:val="20"/>
                <w:szCs w:val="20"/>
              </w:rPr>
              <w:t xml:space="preserve">保护、测量、操作一体，有一键顺控功能。</w:t>
            </w:r>
            <w:bookmarkEnd w:id="252"/>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2.8mm焦距，手车活门及接地开关视频监视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15</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09"/>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五</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KYN-40.5所变隔离柜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4"/>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所变隔离柜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KYN-40.5 宽*深1400×2800，高度≤2400mm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触头盒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户内环氧树脂触头盒，适配KYN-40.5高压手车式开关柜，内置屏蔽结构，额定电压40.5kV，额定电流1250A，额定频率50Hz</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27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一次静触头</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与触头盒配套1250A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31"/>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隔离手车</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电动底盘车 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2"/>
        </w:trPr>
        <w:tc>
          <w:tcPr>
            <w:shd w:val="clear" w:color="000000" w:fill="ffffff"/>
            <w:tcW w:w="846" w:type="dxa"/>
            <w:vAlign w:val="center"/>
            <w:textDirection w:val="lrTb"/>
            <w:noWrap w:val="false"/>
          </w:tcPr>
          <w:p>
            <w:pPr>
              <w:jc w:val="center"/>
              <w:rPr>
                <w:rFonts w:ascii="Times New Roman" w:hAnsi="Times New Roman" w:eastAsia="仿宋"/>
                <w:color w:val="auto"/>
                <w:sz w:val="24"/>
                <w:szCs w:val="24"/>
              </w:rPr>
            </w:pPr>
            <w:r>
              <w:rPr>
                <w:rFonts w:hint="eastAsia" w:ascii="Times New Roman" w:hAnsi="Times New Roman" w:eastAsia="仿宋"/>
                <w:color w:val="auto"/>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电流互感器</w:t>
            </w:r>
            <w:r/>
          </w:p>
        </w:tc>
        <w:tc>
          <w:tcPr>
            <w:shd w:val="clear" w:color="auto" w:fill="auto"/>
            <w:tcW w:w="449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额定电压35kV，变比20/5A， 0.5</w:t>
            </w:r>
            <w:r/>
          </w:p>
        </w:tc>
        <w:tc>
          <w:tcPr>
            <w:shd w:val="clear" w:color="auto" w:fill="auto"/>
            <w:tcW w:w="619"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color w:val="auto"/>
                <w:sz w:val="20"/>
                <w:szCs w:val="20"/>
              </w:rPr>
            </w:pPr>
            <w:r>
              <w:rPr>
                <w:rFonts w:hint="eastAsia" w:ascii="Times New Roman" w:hAnsi="Times New Roman" w:eastAsia="仿宋_GB2312"/>
                <w:color w:val="auto"/>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auto"/>
                <w:sz w:val="28"/>
                <w:szCs w:val="32"/>
              </w:rPr>
            </w:pPr>
            <w:r>
              <w:rPr>
                <w:rFonts w:ascii="宋体"/>
                <w:color w:val="auto"/>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35kV 户内高压带电显示传感器，系统标称电压35kV，强制电气闭锁型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接地开关</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户内高压接地开关，电动操作 DC220V，额定电压40.5kV，额定短时耐受电流31.5kA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智能电力模拟屏</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RTU通讯协议，遥信容量≥256点，IP40防护等级，接入保护</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2.8mm焦距，手车活门及接地开关视频监视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t xml:space="preserve">1.UHF</w:t>
            </w:r>
            <w:r>
              <w:rPr>
                <w:rFonts w:hint="eastAsia" w:ascii="Times New Roman" w:hAnsi="Times New Roman" w:eastAsia="仿宋_GB2312"/>
                <w:sz w:val="20"/>
                <w:szCs w:val="20"/>
              </w:rPr>
              <w:t xml:space="preserve">测量：</w:t>
            </w:r>
            <w:r>
              <w:rPr>
                <w:rFonts w:ascii="Times New Roman" w:hAnsi="Times New Roman" w:eastAsia="仿宋_GB2312"/>
                <w:sz w:val="20"/>
                <w:szCs w:val="20"/>
              </w:rPr>
              <w:t xml:space="preserve">300MHz~2000MHz</w:t>
            </w:r>
            <w:r>
              <w:rPr>
                <w:rFonts w:hint="eastAsia" w:ascii="Times New Roman" w:hAnsi="Times New Roman" w:eastAsia="仿宋_GB2312"/>
                <w:sz w:val="20"/>
                <w:szCs w:val="20"/>
              </w:rPr>
              <w:t xml:space="preserve">。灵敏度：</w:t>
            </w:r>
            <w:r>
              <w:rPr>
                <w:rFonts w:ascii="Times New Roman" w:hAnsi="Times New Roman" w:eastAsia="仿宋_GB2312"/>
                <w:sz w:val="20"/>
                <w:szCs w:val="20"/>
              </w:rPr>
              <w:t xml:space="preserve">-65dBm</w:t>
            </w:r>
            <w:r>
              <w:rPr>
                <w:rFonts w:hint="eastAsia" w:ascii="Times New Roman" w:hAnsi="Times New Roman" w:eastAsia="仿宋_GB2312"/>
                <w:sz w:val="20"/>
                <w:szCs w:val="20"/>
              </w:rPr>
              <w:t xml:space="preserve">，动态范围：</w:t>
            </w:r>
            <w:r>
              <w:rPr>
                <w:rFonts w:ascii="Times New Roman" w:hAnsi="Times New Roman" w:eastAsia="仿宋_GB2312"/>
                <w:sz w:val="20"/>
                <w:szCs w:val="20"/>
              </w:rPr>
              <w:t xml:space="preserve">50.3dB</w:t>
            </w:r>
            <w:r>
              <w:rPr>
                <w:rFonts w:ascii="Times New Roman" w:hAnsi="Times New Roman" w:eastAsia="仿宋_GB2312"/>
                <w:sz w:val="20"/>
                <w:szCs w:val="20"/>
              </w:rPr>
              <w:br/>
            </w:r>
            <w:r>
              <w:rPr>
                <w:rFonts w:hint="eastAsia" w:ascii="Times New Roman" w:hAnsi="Times New Roman" w:eastAsia="仿宋_GB2312"/>
                <w:sz w:val="20"/>
                <w:szCs w:val="20"/>
              </w:rPr>
              <w:t xml:space="preserve">2.环境温</w:t>
            </w:r>
            <w:r>
              <w:rPr>
                <w:rFonts w:ascii="Times New Roman" w:hAnsi="Times New Roman" w:eastAsia="仿宋_GB2312"/>
                <w:sz w:val="20"/>
                <w:szCs w:val="20"/>
              </w:rPr>
              <w:t xml:space="preserve">/</w:t>
            </w:r>
            <w:r>
              <w:rPr>
                <w:rFonts w:hint="eastAsia" w:ascii="Times New Roman" w:hAnsi="Times New Roman" w:eastAsia="仿宋_GB2312"/>
                <w:sz w:val="20"/>
                <w:szCs w:val="20"/>
              </w:rPr>
              <w:t xml:space="preserve">湿度测量：</w:t>
            </w:r>
            <w:r>
              <w:rPr>
                <w:rFonts w:ascii="Times New Roman" w:hAnsi="Times New Roman" w:eastAsia="仿宋_GB2312"/>
                <w:sz w:val="20"/>
                <w:szCs w:val="20"/>
              </w:rPr>
              <w:t xml:space="preserve">-40℃~85℃ ; ±2℃; 0~100%RH</w:t>
            </w:r>
            <w:r>
              <w:rPr>
                <w:rFonts w:hint="eastAsia" w:ascii="Times New Roman" w:hAnsi="Times New Roman" w:eastAsia="仿宋_GB2312"/>
                <w:sz w:val="20"/>
                <w:szCs w:val="20"/>
              </w:rPr>
              <w:t xml:space="preserve">；</w:t>
            </w:r>
            <w:r>
              <w:rPr>
                <w:rFonts w:ascii="Times New Roman" w:hAnsi="Times New Roman" w:eastAsia="仿宋_GB2312"/>
                <w:sz w:val="20"/>
                <w:szCs w:val="20"/>
              </w:rPr>
              <w:t xml:space="preserve">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3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26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15</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29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7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1"/>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六</w:t>
            </w:r>
            <w:r/>
          </w:p>
        </w:tc>
        <w:tc>
          <w:tcPr>
            <w:shd w:val="clear" w:color="auto" w:fill="auto"/>
            <w:tcW w:w="1932" w:type="dxa"/>
            <w:vAlign w:val="center"/>
            <w:textDirection w:val="lrTb"/>
            <w:noWrap w:val="false"/>
          </w:tcPr>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 6kV进线柜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5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6kV进线柜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KYN28A-12宽*深800×1500，高度≤2300mm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智能交流真空断路器</w:t>
            </w:r>
            <w:r/>
          </w:p>
        </w:tc>
        <w:tc>
          <w:tcPr>
            <w:shd w:val="clear" w:color="auto" w:fill="auto"/>
            <w:tcW w:w="4492" w:type="dxa"/>
            <w:vAlign w:val="center"/>
            <w:textDirection w:val="lrTb"/>
            <w:noWrap w:val="false"/>
          </w:tcPr>
          <w:p>
            <w:pPr>
              <w:rPr>
                <w:rFonts w:ascii="Times New Roman" w:hAnsi="Times New Roman" w:eastAsia="仿宋_GB2312"/>
                <w:sz w:val="20"/>
                <w:szCs w:val="20"/>
              </w:rPr>
            </w:pPr>
            <w:r>
              <w:rPr>
                <w:rFonts w:hint="eastAsia" w:ascii="Times New Roman" w:hAnsi="Times New Roman" w:eastAsia="仿宋_GB2312"/>
                <w:sz w:val="20"/>
                <w:szCs w:val="20"/>
              </w:rPr>
              <w:t xml:space="preserve">额定电压12kV，额定频率50Hz，额定电流1250A，额定短路开断电流31.5kA，采用弹簧操动机构，机械寿命M2级≥30000次，额定短路开断电流的开断次数≥50次，储能行程开关须有独立1开1闭触点，断路器应符合国家电网最新相关标准，梅花触头接触面镀银层厚度≥12μm，满足1.1倍温升，固封极柱，电动底盘车，触臂内嵌式6点测温。</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240" w:lineRule="atLeast"/>
              <w:rPr>
                <w:rFonts w:ascii="Times New Roman" w:hAnsi="Times New Roman" w:eastAsia="仿宋_GB2312"/>
                <w:sz w:val="20"/>
                <w:szCs w:val="20"/>
              </w:rPr>
            </w:pPr>
            <w:r>
              <w:rPr>
                <w:rFonts w:hint="eastAsia" w:ascii="Times New Roman" w:hAnsi="Times New Roman" w:eastAsia="仿宋_GB2312"/>
                <w:sz w:val="20"/>
                <w:szCs w:val="20"/>
              </w:rPr>
              <w:t xml:space="preserve">断路器内置机械特性检测，如分合闸速度，操作次数，触点损耗等，通过通讯方式上传。</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电流互感器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支柱式、环氧树脂浇筑绝缘，额定电压12kV，变比1200/5A，0.5/10P20，</w:t>
            </w:r>
            <w:bookmarkStart w:id="253" w:name="OLE_LINK80"/>
            <w:r>
              <w:rPr>
                <w:rFonts w:ascii="Times New Roman" w:hAnsi="Times New Roman" w:eastAsia="仿宋_GB2312"/>
                <w:sz w:val="20"/>
                <w:szCs w:val="20"/>
              </w:rPr>
              <w:t xml:space="preserve">15</w:t>
            </w:r>
            <w:r>
              <w:rPr>
                <w:rFonts w:hint="eastAsia" w:ascii="Times New Roman" w:hAnsi="Times New Roman" w:eastAsia="仿宋_GB2312"/>
                <w:sz w:val="20"/>
                <w:szCs w:val="20"/>
              </w:rPr>
              <w:t xml:space="preserve">VA</w:t>
            </w:r>
            <w:r>
              <w:rPr>
                <w:rFonts w:ascii="Times New Roman" w:hAnsi="Times New Roman" w:eastAsia="仿宋_GB2312"/>
                <w:sz w:val="20"/>
                <w:szCs w:val="20"/>
              </w:rPr>
              <w:t xml:space="preserve">/15VA</w:t>
            </w:r>
            <w:bookmarkEnd w:id="253"/>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过电压保护器(配套计数器)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 户内电站型有间隙三相组合式过电压保护器，额定持续运行电压7.6kV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 户内支柱式高压带电显示传感器，系统标称电压6kV，强制电气闭锁型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智能终端（含综保）</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RTU通讯协议，遥信容量≥512点，IP40防护等级，智能五防、事件记录、远程联动</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hint="eastAsia" w:ascii="Times New Roman" w:hAnsi="Times New Roman" w:eastAsia="仿宋_GB2312"/>
                <w:sz w:val="20"/>
                <w:szCs w:val="20"/>
              </w:rPr>
              <w:t xml:space="preserve">保护、测量、操作一体，有一键顺控功能。</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6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296"/>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26"/>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56"/>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7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1"/>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七</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 站变柜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0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站变柜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KYN28A-12宽*深800×1500，高度≤2300mm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智能交流真空断路器</w:t>
            </w:r>
            <w:r/>
          </w:p>
        </w:tc>
        <w:tc>
          <w:tcPr>
            <w:shd w:val="clear" w:color="auto" w:fill="auto"/>
            <w:tcW w:w="4492" w:type="dxa"/>
            <w:vAlign w:val="center"/>
            <w:textDirection w:val="lrTb"/>
            <w:noWrap w:val="false"/>
          </w:tcPr>
          <w:p>
            <w:pPr>
              <w:rPr>
                <w:sz w:val="22"/>
                <w:szCs w:val="28"/>
              </w:rPr>
            </w:pPr>
            <w:r/>
            <w:bookmarkStart w:id="254" w:name="OLE_LINK81"/>
            <w:r>
              <w:rPr>
                <w:rFonts w:hint="eastAsia" w:ascii="Times New Roman" w:hAnsi="Times New Roman" w:eastAsia="仿宋_GB2312"/>
                <w:sz w:val="20"/>
                <w:szCs w:val="20"/>
              </w:rPr>
              <w:t xml:space="preserve">额定电压12kV，额定频率50Hz，额定电流630A，额定短路开断电流25kA，采用弹簧操动机构，机械寿命M2级≥30000次，额定短路开断电流的开断次数≥50次，储能行程开关须有独立1开1闭触点，断路器应符合国家电网最新相关标准，梅花触头接触面镀银层厚度≥12μm，满足1.1倍温升，固封极柱，电动底盘车，触臂内嵌式6点测温。</w:t>
            </w:r>
            <w:bookmarkEnd w:id="254"/>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断路器内置机械特性检测，如分合闸速度，操作次数，触点损耗等，通过通讯方式上传。</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电流互感器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10kV户内支柱式电流互感器，额定电压12kV，变比75/5，0.5/10P20，</w:t>
            </w:r>
            <w:r>
              <w:rPr>
                <w:rFonts w:ascii="Times New Roman" w:hAnsi="Times New Roman" w:eastAsia="仿宋_GB2312"/>
                <w:sz w:val="20"/>
                <w:szCs w:val="20"/>
              </w:rPr>
              <w:t xml:space="preserve">15VA/15VA</w:t>
            </w:r>
            <w:r>
              <w:rPr>
                <w:rFonts w:hint="eastAsia" w:ascii="Times New Roman" w:hAnsi="Times New Roman" w:eastAsia="仿宋_GB2312"/>
                <w:sz w:val="20"/>
                <w:szCs w:val="20"/>
              </w:rPr>
              <w:t xml:space="preserve">，额定频率50Hz</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接地开关</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户内高压电动接地开关，额定电压12kV，额定短时耐受电流31.5kA，配电操机构</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 户内高压带电显示传感器，系统标称电压6kV，强制电气闭锁型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274"/>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智能终端（综保）</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RTU通讯协议，遥信容量≥512点，IP40防护等级，智能五防、事件记录、远程联动</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保护、测量、操作一体，有一键顺控功能。</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372"/>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2.8mm焦距，手车活门及接地开关视频监视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406"/>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421"/>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41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r>
      <w:tr>
        <w:trPr>
          <w:jc w:val="center"/>
          <w:trHeight w:val="419"/>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八</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 PT柜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1"/>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PT柜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KYN28A-12宽*深800×1500，高度≤2300mm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PT车（电动）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800柜 DC220V 闭锁电磁铁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电压互感器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户内单相环氧树脂浇筑绝缘、带剩余绕组电压互感器，10kV，变比 6/√3/0.1/√3/0.1/3，0.5/6P 30/100VA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一次消谐器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额定电压6kV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高压熔断器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额定电压6kV，额定电流0.5A，额定短路开断电流50kA </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氧化锌避雷器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复合外套、无间隙、电站型氧化锌避雷器，额定电压10kV，雷电冲击残压≤30kV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 户内支柱式高压带电显示传感器，系统标称电压6kV，强制电气闭锁型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智能电力模拟屏</w:t>
            </w:r>
            <w:r/>
          </w:p>
        </w:tc>
        <w:tc>
          <w:tcPr>
            <w:shd w:val="clear" w:color="auto" w:fill="auto"/>
            <w:tcW w:w="4492" w:type="dxa"/>
            <w:vAlign w:val="center"/>
            <w:textDirection w:val="lrTb"/>
            <w:noWrap w:val="false"/>
          </w:tcPr>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RTU通讯协议，遥信容量≥256点，IP40防护等级，接入保护，不小于10寸屏，铝面板</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1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91"/>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21"/>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09"/>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5"/>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九</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 变频发电机柜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变频发电机柜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KYN28A-12宽*深800×1500，高度≤2300mm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智能交流真空断路器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12kV，额定频率50Hz，额定电流1250A，额定短路开断电流25kA，采用弹簧操动机构，机械寿命M2级≥30000次，额定短路开断电流的开断次数≥50次，储能行程开关须有独立1开1闭触点，断路器应符合国家电网最新相关标准，梅花触头接触面镀银层厚度≥12μm，满足1.1倍温升，固封极柱，电动底盘车，触臂内嵌式6点测温。</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hint="eastAsia" w:ascii="Times New Roman" w:hAnsi="Times New Roman" w:eastAsia="仿宋_GB2312"/>
                <w:sz w:val="20"/>
                <w:szCs w:val="20"/>
              </w:rPr>
              <w:t xml:space="preserve">断路器内置机械特性检测，如分合闸速度，操作次数，触点损耗等，通过通讯方式上传。</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电流互感器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户内、环氧树脂浇筑、支柱式、加强型、多绕组电流互感器，额定电压12kV，变比300/5A，0.5/10P20/5P20，</w:t>
            </w:r>
            <w:r>
              <w:rPr>
                <w:rFonts w:ascii="Times New Roman" w:hAnsi="Times New Roman" w:eastAsia="仿宋_GB2312"/>
                <w:sz w:val="20"/>
                <w:szCs w:val="20"/>
              </w:rPr>
              <w:t xml:space="preserve">15VA/15VA/15VA</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5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接地开关</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额定电压12kV，额定短时耐受电流31.5kA，电动</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 户内支柱式高压带电显示传感器，系统标称电压6kV，强制电气闭锁型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智能终端（综保含差动）</w:t>
            </w:r>
            <w:r/>
          </w:p>
        </w:tc>
        <w:tc>
          <w:tcPr>
            <w:shd w:val="clear" w:color="auto" w:fill="auto"/>
            <w:tcW w:w="449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不小于10寸屏、铝面板，AC 220V ±10%</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RTU通讯协议，遥信容量≥512点，IP40防护等级，智能五防、事件记录、远程联动（综保含差动）</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hint="eastAsia" w:ascii="Times New Roman" w:hAnsi="Times New Roman" w:eastAsia="仿宋_GB2312"/>
                <w:sz w:val="20"/>
                <w:szCs w:val="20"/>
              </w:rPr>
              <w:t xml:space="preserve">保护、测量、操作一体，有一键顺控功能。</w:t>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bookmarkStart w:id="255" w:name="_Hlk235021990"/>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bookmarkEnd w:id="255"/>
            <w:r/>
          </w:p>
        </w:tc>
      </w:tr>
      <w:tr>
        <w:trPr>
          <w:jc w:val="center"/>
          <w:trHeight w:val="442"/>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摄像头及配件</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900线 2.8mm焦距，手车活门视频监视</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局放在线监测装置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1.UHF测量：300MHz~2000MHz。灵敏度：-65dBm，动态范围：50.3dB</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2.环境温/湿度测量：-40℃~85℃ ; ±2℃; 0~100%RH； ±2%RH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绝缘在线监测装置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工作电源：AC/DC110-220V；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测量范围：1MΩ-15000MΩ；</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测试电压： DC-2500V；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分辨率：1～100MΩ、分辨率为0.1MΩ；</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 100MΩ～999MΩ、分辨率为1MΩ；</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1000MΩ-9999MΩ、分辨率为10MΩ；</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精准度：1～4999MΩ、±5%</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5000MΩ～9999MΩ、±10%，</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10000MΩ以上、±15%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51"/>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6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14</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9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7"/>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color w:val="ff0000"/>
                <w:sz w:val="24"/>
                <w:szCs w:val="24"/>
                <w:highlight w:val="yellow"/>
              </w:rPr>
            </w:pPr>
            <w:r>
              <w:rPr>
                <w:rFonts w:hint="eastAsia" w:ascii="Times New Roman" w:hAnsi="Times New Roman" w:eastAsia="仿宋"/>
                <w:color w:val="auto"/>
                <w:sz w:val="24"/>
                <w:szCs w:val="24"/>
                <w:highlight w:val="none"/>
              </w:rPr>
              <w:t xml:space="preserve">18</w:t>
            </w:r>
            <w:r/>
          </w:p>
        </w:tc>
        <w:tc>
          <w:tcPr>
            <w:shd w:val="clear" w:color="auto" w:fill="auto"/>
            <w:tcW w:w="1932" w:type="dxa"/>
            <w:vAlign w:val="center"/>
            <w:textDirection w:val="lrTb"/>
            <w:noWrap w:val="false"/>
          </w:tcPr>
          <w:p>
            <w:pPr>
              <w:jc w:val="center"/>
              <w:rPr>
                <w:rFonts w:ascii="Times New Roman" w:hAnsi="Times New Roman" w:eastAsia="仿宋_GB2312"/>
                <w:color w:val="ff0000"/>
                <w:sz w:val="20"/>
                <w:szCs w:val="20"/>
                <w:highlight w:val="yellow"/>
              </w:rPr>
            </w:pPr>
            <w:r>
              <w:rPr>
                <w:rFonts w:hint="eastAsia" w:ascii="Times New Roman" w:hAnsi="Times New Roman" w:eastAsia="仿宋_GB2312"/>
                <w:sz w:val="20"/>
                <w:szCs w:val="20"/>
              </w:rPr>
              <w:t xml:space="preserve">过电压保护器(配套计数器)</w:t>
            </w:r>
            <w:r/>
          </w:p>
        </w:tc>
        <w:tc>
          <w:tcPr>
            <w:shd w:val="clear" w:color="auto" w:fill="auto"/>
            <w:tcW w:w="4492" w:type="dxa"/>
            <w:vAlign w:val="center"/>
            <w:textDirection w:val="lrTb"/>
            <w:noWrap w:val="false"/>
          </w:tcPr>
          <w:p>
            <w:pPr>
              <w:jc w:val="center"/>
              <w:rPr>
                <w:rFonts w:ascii="Times New Roman" w:hAnsi="Times New Roman" w:eastAsia="仿宋_GB2312"/>
                <w:color w:val="ff0000"/>
                <w:sz w:val="20"/>
                <w:szCs w:val="20"/>
                <w:highlight w:val="yellow"/>
              </w:rPr>
            </w:pPr>
            <w:r>
              <w:rPr>
                <w:rFonts w:hint="eastAsia" w:ascii="Times New Roman" w:hAnsi="Times New Roman" w:eastAsia="仿宋_GB2312"/>
                <w:sz w:val="20"/>
                <w:szCs w:val="20"/>
              </w:rPr>
              <w:t xml:space="preserve">6kV 户内电机型有间隙三相组合式过电压保护器，额定持续运行电压7.6kV</w:t>
            </w:r>
            <w:r/>
          </w:p>
        </w:tc>
        <w:tc>
          <w:tcPr>
            <w:shd w:val="clear" w:color="auto" w:fill="auto"/>
            <w:tcW w:w="619" w:type="dxa"/>
            <w:vAlign w:val="center"/>
            <w:textDirection w:val="lrTb"/>
            <w:noWrap w:val="false"/>
          </w:tcPr>
          <w:p>
            <w:pPr>
              <w:jc w:val="center"/>
              <w:rPr>
                <w:rFonts w:ascii="Times New Roman" w:hAnsi="Times New Roman" w:eastAsia="仿宋_GB2312"/>
                <w:color w:val="ff0000"/>
                <w:sz w:val="20"/>
                <w:szCs w:val="20"/>
                <w:highlight w:val="yellow"/>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color w:val="ff0000"/>
                <w:sz w:val="20"/>
                <w:szCs w:val="20"/>
                <w:highlight w:val="yellow"/>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ff0000"/>
                <w:sz w:val="28"/>
                <w:szCs w:val="32"/>
                <w:highlight w:val="yellow"/>
              </w:rPr>
            </w:pPr>
            <w:r>
              <w:rPr>
                <w:rFonts w:ascii="宋体"/>
                <w:color w:val="ff0000"/>
                <w:sz w:val="28"/>
                <w:szCs w:val="32"/>
                <w:highlight w:val="yellow"/>
              </w:rPr>
            </w:r>
            <w:r/>
          </w:p>
        </w:tc>
      </w:tr>
      <w:tr>
        <w:trPr>
          <w:jc w:val="center"/>
          <w:trHeight w:val="510"/>
        </w:trPr>
        <w:tc>
          <w:tcPr>
            <w:shd w:val="clear" w:color="auto" w:fill="auto"/>
            <w:tcW w:w="846" w:type="dxa"/>
            <w:vAlign w:val="center"/>
            <w:textDirection w:val="lrTb"/>
            <w:noWrap w:val="false"/>
          </w:tcPr>
          <w:p>
            <w:pPr>
              <w:jc w:val="center"/>
              <w:spacing w:line="300" w:lineRule="auto"/>
              <w:rPr>
                <w:rFonts w:hint="eastAsia" w:ascii="宋体" w:hAnsi="宋体"/>
                <w:color w:val="000000"/>
                <w:sz w:val="28"/>
                <w:szCs w:val="32"/>
              </w:rPr>
            </w:pPr>
            <w:r>
              <w:rPr>
                <w:rFonts w:hint="eastAsia" w:ascii="宋体" w:hAnsi="宋体"/>
                <w:color w:val="000000"/>
                <w:sz w:val="28"/>
                <w:szCs w:val="32"/>
              </w:rPr>
              <w:t xml:space="preserve">十</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 联络柜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ascii="Times New Roman" w:hAnsi="Times New Roman" w:eastAsia="仿宋_GB2312"/>
                <w:sz w:val="20"/>
                <w:szCs w:val="20"/>
              </w:rPr>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台</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母联柜</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KYN28A-12宽*深800×1500，高度≤2300mm</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面</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2</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带电显示传感器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6kV 户内支柱式高压带电显示传感器，系统标称电压6kV，强制电气闭锁型</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3</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智能电力模拟屏</w:t>
            </w:r>
            <w:r/>
          </w:p>
        </w:tc>
        <w:tc>
          <w:tcPr>
            <w:shd w:val="clear" w:color="auto" w:fill="auto"/>
            <w:tcW w:w="4492" w:type="dxa"/>
            <w:vAlign w:val="center"/>
            <w:textDirection w:val="lrTb"/>
            <w:noWrap w:val="false"/>
          </w:tcPr>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RS485，MODBUS</w:t>
            </w:r>
            <w:r>
              <w:rPr>
                <w:rFonts w:hint="eastAsia" w:ascii="Times New Roman" w:hAnsi="Times New Roman" w:eastAsia="仿宋_GB2312"/>
                <w:sz w:val="20"/>
                <w:szCs w:val="20"/>
              </w:rPr>
              <w:noBreakHyphen/>
            </w:r>
            <w:r>
              <w:rPr>
                <w:rFonts w:hint="eastAsia" w:ascii="Times New Roman" w:hAnsi="Times New Roman" w:eastAsia="仿宋_GB2312"/>
                <w:sz w:val="20"/>
                <w:szCs w:val="20"/>
              </w:rPr>
              <w:t xml:space="preserve">RTU通讯协议，遥信容量≥256点，IP40防护等级，接入保护，不小于10寸屏，铝面板</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auto" w:fill="auto"/>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4</w:t>
            </w:r>
            <w:r/>
          </w:p>
        </w:tc>
        <w:tc>
          <w:tcPr>
            <w:shd w:val="clear" w:color="auto" w:fill="auto"/>
            <w:tcW w:w="1932" w:type="dxa"/>
            <w:vAlign w:val="center"/>
            <w:textDirection w:val="lrTb"/>
            <w:noWrap w:val="false"/>
          </w:tcPr>
          <w:p>
            <w:pPr>
              <w:jc w:val="center"/>
              <w:widowControl/>
              <w:rPr>
                <w:rFonts w:ascii="Times New Roman" w:hAnsi="Times New Roman" w:eastAsia="仿宋_GB2312"/>
                <w:sz w:val="20"/>
                <w:szCs w:val="20"/>
              </w:rPr>
            </w:pPr>
            <w:r>
              <w:rPr>
                <w:rFonts w:hint="eastAsia" w:ascii="Times New Roman" w:hAnsi="Times New Roman" w:eastAsia="仿宋_GB2312"/>
                <w:sz w:val="20"/>
                <w:szCs w:val="20"/>
              </w:rPr>
              <w:t xml:space="preserve">温湿度传感器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2.测温范围-30℃-+85℃，湿度范围0-99%RH</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68"/>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5</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智能除湿装置</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额定电压：DC220V</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68"/>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6</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无线温度传感器</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1.工作环境-30℃-85℃  &lt;=95%RH</w:t>
            </w:r>
            <w:r/>
          </w:p>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2.测温范围-30℃-+85℃</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3</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7</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柜内铜排</w:t>
            </w:r>
            <w:r/>
          </w:p>
        </w:tc>
        <w:tc>
          <w:tcPr>
            <w:shd w:val="clear" w:color="auto" w:fill="auto"/>
            <w:tcW w:w="4492" w:type="dxa"/>
            <w:vAlign w:val="center"/>
            <w:textDirection w:val="lrTb"/>
            <w:noWrap w:val="false"/>
          </w:tcPr>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母排系统应符合IEC60694规定,必须符合高压开关柜的操作额定电压值。每根母排截面应能承载连续的负载电流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项</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38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8</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仪表室二次接地线</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BVR-50mm</w:t>
            </w:r>
            <w:r>
              <w:rPr>
                <w:rFonts w:eastAsia="仿宋_GB2312" w:cs="Calibri"/>
                <w:sz w:val="20"/>
                <w:szCs w:val="20"/>
              </w:rPr>
              <w:t xml:space="preserve">²</w:t>
            </w:r>
            <w:r>
              <w:rPr>
                <w:rFonts w:hint="eastAsia" w:ascii="Times New Roman" w:hAnsi="Times New Roman" w:eastAsia="仿宋_GB2312"/>
                <w:sz w:val="20"/>
                <w:szCs w:val="20"/>
              </w:rPr>
              <w:t xml:space="preserve"> 双股</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米</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10</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510"/>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9</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电磁锁</w:t>
            </w:r>
            <w:r/>
          </w:p>
        </w:tc>
        <w:tc>
          <w:tcPr>
            <w:shd w:val="clear" w:color="auto" w:fill="auto"/>
            <w:tcW w:w="4492" w:type="dxa"/>
            <w:vAlign w:val="center"/>
            <w:textDirection w:val="lrTb"/>
            <w:noWrap w:val="false"/>
          </w:tcPr>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额定电压：AC/DC 220V</w:t>
            </w:r>
            <w:r/>
          </w:p>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辅助接点：1 常开 + 1 常闭</w:t>
            </w:r>
            <w:r/>
          </w:p>
          <w:p>
            <w:pPr>
              <w:ind w:left="-105" w:right="-105"/>
              <w:jc w:val="center"/>
              <w:rPr>
                <w:rFonts w:ascii="Times New Roman" w:hAnsi="Times New Roman" w:eastAsia="仿宋_GB2312"/>
                <w:sz w:val="20"/>
                <w:szCs w:val="20"/>
              </w:rPr>
            </w:pPr>
            <w:r>
              <w:rPr>
                <w:rFonts w:hint="eastAsia" w:ascii="Times New Roman" w:hAnsi="Times New Roman" w:eastAsia="仿宋_GB2312"/>
                <w:sz w:val="20"/>
                <w:szCs w:val="20"/>
              </w:rPr>
              <w:t xml:space="preserve">前门及后门闭锁</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2</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3"/>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10</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柜内照明灯</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AC220V LED仪表室照明</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只</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r>
        <w:trPr>
          <w:jc w:val="center"/>
          <w:trHeight w:val="418"/>
        </w:trPr>
        <w:tc>
          <w:tcPr>
            <w:shd w:val="clear" w:color="000000" w:fill="ffffff"/>
            <w:tcW w:w="846" w:type="dxa"/>
            <w:vAlign w:val="center"/>
            <w:textDirection w:val="lrTb"/>
            <w:noWrap w:val="false"/>
          </w:tcPr>
          <w:p>
            <w:pPr>
              <w:jc w:val="center"/>
              <w:rPr>
                <w:rFonts w:ascii="Times New Roman" w:hAnsi="Times New Roman" w:eastAsia="仿宋"/>
                <w:sz w:val="24"/>
                <w:szCs w:val="24"/>
              </w:rPr>
            </w:pPr>
            <w:r>
              <w:rPr>
                <w:rFonts w:hint="eastAsia" w:ascii="Times New Roman" w:hAnsi="Times New Roman" w:eastAsia="仿宋"/>
                <w:sz w:val="24"/>
                <w:szCs w:val="24"/>
              </w:rPr>
              <w:t xml:space="preserve">11</w:t>
            </w:r>
            <w:r/>
          </w:p>
        </w:tc>
        <w:tc>
          <w:tcPr>
            <w:shd w:val="clear" w:color="auto" w:fill="auto"/>
            <w:tcW w:w="193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辅材</w:t>
            </w:r>
            <w:r/>
          </w:p>
        </w:tc>
        <w:tc>
          <w:tcPr>
            <w:shd w:val="clear" w:color="auto" w:fill="auto"/>
            <w:tcW w:w="449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绝缘件、紧固件、标识等</w:t>
            </w:r>
            <w:r/>
          </w:p>
        </w:tc>
        <w:tc>
          <w:tcPr>
            <w:shd w:val="clear" w:color="auto" w:fill="auto"/>
            <w:tcW w:w="619"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套</w:t>
            </w:r>
            <w:r/>
          </w:p>
        </w:tc>
        <w:tc>
          <w:tcPr>
            <w:shd w:val="clear" w:color="auto" w:fill="auto"/>
            <w:tcW w:w="682" w:type="dxa"/>
            <w:vAlign w:val="center"/>
            <w:textDirection w:val="lrTb"/>
            <w:noWrap w:val="false"/>
          </w:tcPr>
          <w:p>
            <w:pPr>
              <w:jc w:val="center"/>
              <w:rPr>
                <w:rFonts w:ascii="Times New Roman" w:hAnsi="Times New Roman" w:eastAsia="仿宋_GB2312"/>
                <w:sz w:val="20"/>
                <w:szCs w:val="20"/>
              </w:rPr>
            </w:pPr>
            <w:r>
              <w:rPr>
                <w:rFonts w:hint="eastAsia" w:ascii="Times New Roman" w:hAnsi="Times New Roman" w:eastAsia="仿宋_GB2312"/>
                <w:sz w:val="20"/>
                <w:szCs w:val="20"/>
              </w:rPr>
              <w:t xml:space="preserve">1</w:t>
            </w:r>
            <w:r/>
          </w:p>
        </w:tc>
        <w:tc>
          <w:tcPr>
            <w:shd w:val="clear" w:color="auto" w:fill="auto"/>
            <w:tcW w:w="1046" w:type="dxa"/>
            <w:vAlign w:val="center"/>
            <w:textDirection w:val="lrTb"/>
            <w:noWrap w:val="false"/>
          </w:tcPr>
          <w:p>
            <w:pPr>
              <w:jc w:val="center"/>
              <w:spacing w:line="300" w:lineRule="auto"/>
              <w:rPr>
                <w:rFonts w:ascii="宋体"/>
                <w:color w:val="000000"/>
                <w:sz w:val="28"/>
                <w:szCs w:val="32"/>
              </w:rPr>
            </w:pPr>
            <w:r>
              <w:rPr>
                <w:rFonts w:ascii="宋体"/>
                <w:color w:val="000000"/>
                <w:sz w:val="28"/>
                <w:szCs w:val="32"/>
              </w:rPr>
            </w:r>
            <w:r/>
          </w:p>
        </w:tc>
      </w:tr>
    </w:tbl>
    <w:p>
      <w:pPr>
        <w:rPr>
          <w:sz w:val="28"/>
          <w:szCs w:val="28"/>
        </w:rPr>
      </w:pPr>
      <w:r>
        <w:rPr>
          <w:sz w:val="28"/>
          <w:szCs w:val="28"/>
        </w:rPr>
      </w:r>
      <w:r/>
    </w:p>
    <w:p>
      <w:pPr>
        <w:ind w:right="1" w:firstLine="482"/>
        <w:spacing w:line="440" w:lineRule="exact"/>
        <w:tabs>
          <w:tab w:val="left" w:pos="1248" w:leader="none"/>
          <w:tab w:val="left" w:pos="1815" w:leader="none"/>
        </w:tabs>
        <w:rPr>
          <w:rFonts w:ascii="仿宋" w:hAnsi="仿宋" w:eastAsia="仿宋" w:cs="仿宋"/>
          <w:b/>
          <w:bCs/>
          <w:sz w:val="24"/>
          <w:szCs w:val="24"/>
        </w:rPr>
      </w:pPr>
      <w:r>
        <w:rPr>
          <w:rFonts w:ascii="仿宋" w:hAnsi="仿宋" w:eastAsia="仿宋" w:cs="仿宋"/>
          <w:b/>
          <w:bCs/>
          <w:sz w:val="24"/>
          <w:szCs w:val="24"/>
        </w:rPr>
      </w:r>
      <w:r/>
    </w:p>
    <w:p>
      <w:pP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br w:type="page" w:clear="all"/>
      </w:r>
      <w:r/>
    </w:p>
    <w:p>
      <w:pPr>
        <w:jc w:val="center"/>
        <w:spacing w:before="194" w:line="219" w:lineRule="auto"/>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第五章  评审方法与评审标准</w:t>
      </w:r>
      <w:bookmarkEnd w:id="249"/>
      <w:r/>
      <w:r/>
    </w:p>
    <w:p>
      <w:pP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firstLine="562"/>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一、资格审查。</w:t>
      </w:r>
      <w:r>
        <w:rPr>
          <w:rFonts w:hint="eastAsia" w:ascii="仿宋" w:hAnsi="仿宋" w:eastAsia="仿宋" w:cs="仿宋"/>
          <w:color w:val="000000" w:themeColor="text1"/>
          <w:sz w:val="24"/>
          <w14:textFill>
            <w14:solidFill>
              <w14:schemeClr w14:val="tx1"/>
            </w14:solidFill>
          </w14:textFill>
        </w:rPr>
        <w:t xml:space="preserve">资格审查人员按照下列指标对各供应商的资格进行审查，未通过审查的为无效标，不参与评审。</w:t>
      </w:r>
      <w:r/>
    </w:p>
    <w:tbl>
      <w:tblPr>
        <w:tblStyle w:val="685"/>
        <w:tblW w:w="8929"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59"/>
        <w:gridCol w:w="5070"/>
      </w:tblGrid>
      <w:tr>
        <w:trPr/>
        <w:tc>
          <w:tcPr>
            <w:tcBorders>
              <w:top w:val="single" w:color="000000" w:sz="6" w:space="0"/>
              <w:left w:val="single" w:color="000000" w:sz="6" w:space="0"/>
              <w:bottom w:val="single" w:color="000000" w:sz="6" w:space="0"/>
              <w:right w:val="single" w:color="000000" w:sz="6" w:space="0"/>
            </w:tcBorders>
            <w:tcW w:w="385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资格审查因素</w:t>
            </w:r>
            <w:r/>
          </w:p>
        </w:tc>
        <w:tc>
          <w:tcPr>
            <w:tcBorders>
              <w:top w:val="single" w:color="000000" w:sz="6" w:space="0"/>
              <w:left w:val="single" w:color="000000" w:sz="6" w:space="0"/>
              <w:bottom w:val="single" w:color="000000" w:sz="6" w:space="0"/>
              <w:right w:val="single" w:color="000000" w:sz="6" w:space="0"/>
            </w:tcBorders>
            <w:tcW w:w="5070"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859"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响应声明及承诺函</w:t>
            </w:r>
            <w:r/>
          </w:p>
        </w:tc>
        <w:tc>
          <w:tcPr>
            <w:tcBorders>
              <w:top w:val="single" w:color="000000" w:sz="6" w:space="0"/>
              <w:left w:val="single" w:color="000000" w:sz="6" w:space="0"/>
              <w:bottom w:val="single" w:color="000000" w:sz="6" w:space="0"/>
              <w:right w:val="single" w:color="000000" w:sz="6" w:space="0"/>
            </w:tcBorders>
            <w:tcW w:w="5070"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859"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5070"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r>
        <w:trPr>
          <w:trHeight w:val="343"/>
        </w:trPr>
        <w:tc>
          <w:tcPr>
            <w:shd w:val="clear" w:color="auto" w:fill="auto"/>
            <w:tcBorders>
              <w:top w:val="single" w:color="000000" w:sz="6" w:space="0"/>
              <w:left w:val="single" w:color="000000" w:sz="6" w:space="0"/>
              <w:bottom w:val="single" w:color="000000" w:sz="6" w:space="0"/>
              <w:right w:val="single" w:color="000000" w:sz="6" w:space="0"/>
            </w:tcBorders>
            <w:tcW w:w="3859"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信用信息</w:t>
            </w:r>
            <w:r/>
          </w:p>
        </w:tc>
        <w:tc>
          <w:tcPr>
            <w:shd w:val="clear" w:color="auto" w:fill="auto"/>
            <w:tcBorders>
              <w:top w:val="single" w:color="000000" w:sz="6" w:space="0"/>
              <w:left w:val="single" w:color="000000" w:sz="6" w:space="0"/>
              <w:bottom w:val="single" w:color="000000" w:sz="6" w:space="0"/>
              <w:right w:val="single" w:color="000000" w:sz="6" w:space="0"/>
            </w:tcBorders>
            <w:tcW w:w="5070"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3859"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联合体响应</w:t>
            </w:r>
            <w:r/>
          </w:p>
        </w:tc>
        <w:tc>
          <w:tcPr>
            <w:shd w:val="clear" w:color="auto" w:fill="auto"/>
            <w:tcBorders>
              <w:top w:val="single" w:color="000000" w:sz="6" w:space="0"/>
              <w:left w:val="single" w:color="000000" w:sz="6" w:space="0"/>
              <w:bottom w:val="single" w:color="000000" w:sz="6" w:space="0"/>
              <w:right w:val="single" w:color="000000" w:sz="6" w:space="0"/>
            </w:tcBorders>
            <w:tcW w:w="5070"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3859"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本项目特定资格要求</w:t>
            </w:r>
            <w:r/>
          </w:p>
        </w:tc>
        <w:tc>
          <w:tcPr>
            <w:tcBorders>
              <w:top w:val="single" w:color="000000" w:sz="6" w:space="0"/>
              <w:left w:val="single" w:color="000000" w:sz="6" w:space="0"/>
              <w:bottom w:val="single" w:color="000000" w:sz="6" w:space="0"/>
              <w:right w:val="single" w:color="000000" w:sz="6" w:space="0"/>
            </w:tcBorders>
            <w:tcW w:w="5070" w:type="dxa"/>
            <w:vAlign w:val="center"/>
            <w:textDirection w:val="lrTb"/>
            <w:noWrap w:val="false"/>
          </w:tcPr>
          <w:p>
            <w:pPr>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bl>
    <w:p>
      <w:pPr>
        <w:ind w:firstLine="562"/>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二、符合性审查。</w:t>
      </w:r>
      <w:r>
        <w:rPr>
          <w:rFonts w:hint="eastAsia" w:ascii="仿宋" w:hAnsi="仿宋" w:eastAsia="仿宋" w:cs="仿宋"/>
          <w:color w:val="000000" w:themeColor="text1"/>
          <w:sz w:val="24"/>
          <w14:textFill>
            <w14:solidFill>
              <w14:schemeClr w14:val="tx1"/>
            </w14:solidFill>
          </w14:textFill>
        </w:rPr>
        <w:t xml:space="preserve">磋商小组首先按照下列指标对各供应商进行初步评审，未通过评审的为无效标，不再参与评审。</w:t>
      </w:r>
      <w:r/>
    </w:p>
    <w:tbl>
      <w:tblPr>
        <w:tblStyle w:val="685"/>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符合磋商文件要求</w:t>
            </w:r>
            <w:r/>
          </w:p>
        </w:tc>
      </w:tr>
    </w:tbl>
    <w:p>
      <w:pPr>
        <w:ind w:firstLine="562"/>
        <w:spacing w:line="500" w:lineRule="exact"/>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t xml:space="preserve">三、评分办法—综合评分法</w:t>
      </w:r>
      <w:r/>
    </w:p>
    <w:p>
      <w:pPr>
        <w:ind w:firstLine="482"/>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（一）评标办法：</w:t>
      </w:r>
      <w:r>
        <w:rPr>
          <w:rFonts w:hint="eastAsia" w:ascii="仿宋" w:hAnsi="仿宋" w:eastAsia="仿宋" w:cs="仿宋"/>
          <w:color w:val="000000" w:themeColor="text1"/>
          <w:sz w:val="24"/>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磋商小组根据评审后供应商排序推荐3名成交候选人。响应文件满足磋商文件全部实质性要求，且评审后排序第一的供应商为第一成交候选人，以此类推。</w:t>
      </w:r>
      <w:r/>
    </w:p>
    <w:p>
      <w:pPr>
        <w:ind w:firstLine="480"/>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综合评分保留至小数点后两位。</w:t>
      </w:r>
      <w:r/>
    </w:p>
    <w:p>
      <w:pPr>
        <w:ind w:firstLine="482"/>
        <w:jc w:val="left"/>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（二）详细评审。</w:t>
      </w:r>
      <w:r>
        <w:rPr>
          <w:rFonts w:hint="eastAsia" w:ascii="仿宋" w:hAnsi="仿宋" w:eastAsia="仿宋" w:cs="仿宋"/>
          <w:color w:val="000000" w:themeColor="text1"/>
          <w:sz w:val="24"/>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bookmarkStart w:id="256" w:name="EB9fc9bd0651534134824972d053d71a11"/>
      <w:r/>
      <w:bookmarkEnd w:id="256"/>
      <w:r/>
      <w:r/>
    </w:p>
    <w:tbl>
      <w:tblPr>
        <w:tblStyle w:val="685"/>
        <w:tblW w:w="5096"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21"/>
        <w:gridCol w:w="1273"/>
        <w:gridCol w:w="888"/>
        <w:gridCol w:w="5953"/>
      </w:tblGrid>
      <w:tr>
        <w:trPr>
          <w:trHeight w:val="428"/>
        </w:trPr>
        <w:tc>
          <w:tcPr>
            <w:gridSpan w:val="2"/>
            <w:tcW w:w="2292" w:type="dxa"/>
            <w:vAlign w:val="center"/>
            <w:textDirection w:val="lrTb"/>
            <w:noWrap w:val="false"/>
          </w:tcPr>
          <w:p>
            <w:pPr>
              <w:jc w:val="center"/>
              <w:rPr>
                <w:rFonts w:hint="eastAsia" w:ascii="仿宋" w:hAnsi="仿宋" w:eastAsia="仿宋" w:cs="仿宋"/>
                <w:b/>
                <w:bCs/>
                <w:color w:val="auto"/>
                <w:sz w:val="22"/>
                <w:szCs w:val="28"/>
                <w:highlight w:val="none"/>
              </w:rPr>
            </w:pPr>
            <w:r>
              <w:rPr>
                <w:rFonts w:hint="eastAsia" w:ascii="仿宋" w:hAnsi="仿宋" w:eastAsia="仿宋" w:cs="仿宋"/>
                <w:b/>
                <w:bCs/>
                <w:color w:val="auto"/>
                <w:sz w:val="22"/>
                <w:szCs w:val="28"/>
                <w:highlight w:val="none"/>
              </w:rPr>
              <w:t xml:space="preserve">评审因素</w:t>
            </w:r>
            <w:r/>
          </w:p>
        </w:tc>
        <w:tc>
          <w:tcPr>
            <w:tcW w:w="887" w:type="dxa"/>
            <w:vAlign w:val="center"/>
            <w:textDirection w:val="lrTb"/>
            <w:noWrap w:val="false"/>
          </w:tcPr>
          <w:p>
            <w:pPr>
              <w:jc w:val="center"/>
              <w:rPr>
                <w:rFonts w:hint="eastAsia" w:ascii="仿宋" w:hAnsi="仿宋" w:eastAsia="仿宋" w:cs="仿宋"/>
                <w:b/>
                <w:bCs/>
                <w:color w:val="auto"/>
                <w:sz w:val="22"/>
                <w:szCs w:val="28"/>
                <w:highlight w:val="none"/>
              </w:rPr>
            </w:pPr>
            <w:r>
              <w:rPr>
                <w:rFonts w:hint="eastAsia" w:ascii="仿宋" w:hAnsi="仿宋" w:eastAsia="仿宋" w:cs="仿宋"/>
                <w:b/>
                <w:bCs/>
                <w:color w:val="auto"/>
                <w:sz w:val="22"/>
                <w:szCs w:val="28"/>
                <w:highlight w:val="none"/>
              </w:rPr>
              <w:t xml:space="preserve">分数</w:t>
            </w:r>
            <w:r/>
          </w:p>
        </w:tc>
        <w:tc>
          <w:tcPr>
            <w:tcW w:w="5947" w:type="dxa"/>
            <w:vAlign w:val="center"/>
            <w:textDirection w:val="lrTb"/>
            <w:noWrap w:val="false"/>
          </w:tcPr>
          <w:p>
            <w:pPr>
              <w:jc w:val="center"/>
              <w:rPr>
                <w:rFonts w:hint="eastAsia" w:ascii="仿宋" w:hAnsi="仿宋" w:eastAsia="仿宋" w:cs="仿宋"/>
                <w:b/>
                <w:bCs/>
                <w:color w:val="auto"/>
                <w:sz w:val="22"/>
                <w:szCs w:val="28"/>
                <w:highlight w:val="none"/>
              </w:rPr>
            </w:pPr>
            <w:r>
              <w:rPr>
                <w:rFonts w:hint="eastAsia" w:ascii="仿宋" w:hAnsi="仿宋" w:eastAsia="仿宋" w:cs="仿宋"/>
                <w:b/>
                <w:bCs/>
                <w:color w:val="auto"/>
                <w:sz w:val="22"/>
                <w:szCs w:val="28"/>
                <w:highlight w:val="none"/>
              </w:rPr>
              <w:t xml:space="preserve">评审标准</w:t>
            </w:r>
            <w:r/>
          </w:p>
        </w:tc>
      </w:tr>
      <w:tr>
        <w:trPr>
          <w:trHeight w:val="90"/>
        </w:trPr>
        <w:tc>
          <w:tcPr>
            <w:tcW w:w="1020"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t xml:space="preserve">报价分</w:t>
            </w:r>
            <w:r/>
          </w:p>
        </w:tc>
        <w:tc>
          <w:tcPr>
            <w:tcW w:w="1272"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t xml:space="preserve">投标报价</w:t>
            </w:r>
            <w:r/>
          </w:p>
        </w:tc>
        <w:tc>
          <w:tcPr>
            <w:tcW w:w="887"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t xml:space="preserve">60.00分</w:t>
            </w:r>
            <w:r/>
          </w:p>
        </w:tc>
        <w:tc>
          <w:tcPr>
            <w:tcW w:w="5947" w:type="dxa"/>
            <w:vAlign w:val="center"/>
            <w:textDirection w:val="lrTb"/>
            <w:noWrap w:val="false"/>
          </w:tcPr>
          <w:p>
            <w:pPr>
              <w:jc w:val="left"/>
              <w:rPr>
                <w:rFonts w:hint="eastAsia" w:ascii="仿宋" w:hAnsi="仿宋" w:eastAsia="仿宋" w:cs="仿宋"/>
                <w:color w:val="auto"/>
                <w:sz w:val="22"/>
                <w:szCs w:val="28"/>
              </w:rPr>
            </w:pPr>
            <w:r>
              <w:rPr>
                <w:rFonts w:hint="eastAsia" w:ascii="仿宋" w:hAnsi="仿宋" w:eastAsia="仿宋" w:cs="仿宋"/>
                <w:color w:val="auto"/>
                <w:sz w:val="22"/>
                <w:szCs w:val="28"/>
              </w:rPr>
              <w:t xml:space="preserve">即满足磋商文件要求且最后报价最低的供应商的价格为磋商基准价，其价格分为满分。其他供应商的价格分统一按照下列公式计算：磋商报价得分=（磋商基准价/最后磋商报价）*60。</w:t>
            </w:r>
            <w:r/>
          </w:p>
        </w:tc>
      </w:tr>
      <w:tr>
        <w:trPr/>
        <w:tc>
          <w:tcPr>
            <w:tcW w:w="1020" w:type="dxa"/>
            <w:vAlign w:val="center"/>
            <w:vMerge w:val="restart"/>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企业经营业绩、信誉</w:t>
            </w:r>
            <w:r/>
          </w:p>
        </w:tc>
        <w:tc>
          <w:tcPr>
            <w:tcW w:w="1272"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企业业绩</w:t>
            </w:r>
            <w:r/>
          </w:p>
        </w:tc>
        <w:tc>
          <w:tcPr>
            <w:tcW w:w="887"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lang w:val="en-US" w:eastAsia="zh-CN"/>
              </w:rPr>
              <w:t xml:space="preserve">9</w:t>
            </w:r>
            <w:r>
              <w:rPr>
                <w:rFonts w:hint="eastAsia" w:ascii="仿宋" w:hAnsi="仿宋" w:eastAsia="仿宋" w:cs="仿宋"/>
                <w:color w:val="auto"/>
                <w:sz w:val="22"/>
                <w:szCs w:val="28"/>
                <w:highlight w:val="none"/>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供应商自2023年1月1日（以合同签订时间为准）以来，承担过类似工程业绩的，每有一个业绩得3分，本项最高得</w:t>
            </w:r>
            <w:r>
              <w:rPr>
                <w:rFonts w:hint="eastAsia" w:ascii="仿宋" w:hAnsi="仿宋" w:eastAsia="仿宋" w:cs="仿宋"/>
                <w:color w:val="auto"/>
                <w:sz w:val="22"/>
                <w:szCs w:val="28"/>
                <w:highlight w:val="none"/>
                <w:lang w:val="en-US" w:eastAsia="zh-CN"/>
              </w:rPr>
              <w:t xml:space="preserve">9</w:t>
            </w:r>
            <w:r>
              <w:rPr>
                <w:rFonts w:hint="eastAsia" w:ascii="仿宋" w:hAnsi="仿宋" w:eastAsia="仿宋" w:cs="仿宋"/>
                <w:color w:val="auto"/>
                <w:sz w:val="22"/>
                <w:szCs w:val="28"/>
                <w:highlight w:val="none"/>
              </w:rPr>
              <w:t xml:space="preserve">分。</w:t>
            </w:r>
            <w:r/>
          </w:p>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u w:val="none"/>
              </w:rPr>
              <w:t xml:space="preserve">注：</w:t>
            </w:r>
            <w:r>
              <w:rPr>
                <w:rFonts w:hint="eastAsia" w:ascii="仿宋" w:hAnsi="仿宋" w:eastAsia="仿宋" w:cs="仿宋"/>
                <w:color w:val="auto"/>
                <w:sz w:val="22"/>
                <w:szCs w:val="28"/>
                <w:highlight w:val="none"/>
                <w:u w:val="none"/>
                <w:lang w:val="en-US" w:eastAsia="zh-CN"/>
              </w:rPr>
              <w:t xml:space="preserve">响应文件中需提供对应业绩合同（包括中标（成交）通知书、合同首页、金额所在页、合同内容页、签字盖章页、竣工验收材料）扫描件，未按要求提供的对应业绩不得分。</w:t>
            </w:r>
            <w:r/>
          </w:p>
        </w:tc>
      </w:tr>
      <w:tr>
        <w:trPr>
          <w:trHeight w:val="90"/>
        </w:trPr>
        <w:tc>
          <w:tcPr>
            <w:tcW w:w="1020" w:type="dxa"/>
            <w:vAlign w:val="center"/>
            <w:vMerge w:val="continue"/>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r>
            <w:r/>
          </w:p>
        </w:tc>
        <w:tc>
          <w:tcPr>
            <w:tcW w:w="1272"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4"/>
              </w:rPr>
              <w:t xml:space="preserve">相关证书</w:t>
            </w:r>
            <w:r/>
          </w:p>
        </w:tc>
        <w:tc>
          <w:tcPr>
            <w:tcW w:w="887"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4"/>
              </w:rPr>
              <w:t xml:space="preserve">3.00分</w:t>
            </w:r>
            <w:r/>
          </w:p>
        </w:tc>
        <w:tc>
          <w:tcPr>
            <w:tcW w:w="5947" w:type="dxa"/>
            <w:vAlign w:val="center"/>
            <w:textDirection w:val="lrTb"/>
            <w:noWrap w:val="false"/>
          </w:tcPr>
          <w:p>
            <w:pPr>
              <w:jc w:val="left"/>
              <w:rPr>
                <w:rFonts w:hint="eastAsia" w:ascii="仿宋" w:hAnsi="仿宋" w:eastAsia="仿宋" w:cs="仿宋"/>
                <w:color w:val="auto"/>
                <w:sz w:val="22"/>
                <w:szCs w:val="28"/>
              </w:rPr>
            </w:pPr>
            <w:r>
              <w:rPr>
                <w:rFonts w:hint="eastAsia" w:ascii="仿宋" w:hAnsi="仿宋" w:eastAsia="仿宋" w:cs="仿宋"/>
                <w:color w:val="auto"/>
                <w:sz w:val="22"/>
                <w:szCs w:val="24"/>
              </w:rPr>
              <w:t xml:space="preserve">供应商具有有效的质量管理体系认证证书、环境管理体系认证证书、职业健康安全管理体系认证证书，每提供一个得1分；本项最高得3分。（注：管理体系认证范围须与本项目相关）</w:t>
            </w:r>
            <w:r/>
          </w:p>
        </w:tc>
      </w:tr>
      <w:tr>
        <w:trPr/>
        <w:tc>
          <w:tcPr>
            <w:tcW w:w="1020" w:type="dxa"/>
            <w:vAlign w:val="center"/>
            <w:vMerge w:val="restart"/>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项目实施方案</w:t>
            </w:r>
            <w:r/>
          </w:p>
        </w:tc>
        <w:tc>
          <w:tcPr>
            <w:tcW w:w="1272"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施工组织总体方案</w:t>
            </w:r>
            <w:r/>
          </w:p>
        </w:tc>
        <w:tc>
          <w:tcPr>
            <w:tcW w:w="887"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lang w:val="en-US" w:eastAsia="zh-CN"/>
              </w:rPr>
              <w:t xml:space="preserve">6</w:t>
            </w:r>
            <w:r>
              <w:rPr>
                <w:rFonts w:hint="eastAsia" w:ascii="仿宋" w:hAnsi="仿宋" w:eastAsia="仿宋" w:cs="仿宋"/>
                <w:color w:val="auto"/>
                <w:sz w:val="22"/>
                <w:szCs w:val="28"/>
                <w:highlight w:val="none"/>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根据“第四章采购需求”提供施工组织总体方案，包括</w:t>
            </w:r>
            <w:r>
              <w:rPr>
                <w:rFonts w:hint="eastAsia" w:ascii="仿宋" w:hAnsi="仿宋" w:eastAsia="仿宋" w:cs="仿宋"/>
                <w:color w:val="auto"/>
                <w:sz w:val="22"/>
                <w:szCs w:val="28"/>
                <w:highlight w:val="none"/>
                <w:lang w:val="en-US" w:eastAsia="zh-CN"/>
              </w:rPr>
              <w:t xml:space="preserve">①规范和标准的满足；②系统功能和结构的设计；③设备选型及材质把控；④施工工艺的把控；⑤智能化解决方案等方面进行综合评价。设计符合规范、功能齐全、结构合理、技术和工艺先进、选型得当、耐久实用、智能化水平高、布局合理，改造效果真实、明显</w:t>
            </w:r>
            <w:r>
              <w:rPr>
                <w:rFonts w:hint="eastAsia" w:ascii="仿宋" w:hAnsi="仿宋" w:eastAsia="仿宋" w:cs="仿宋"/>
                <w:color w:val="auto"/>
                <w:sz w:val="22"/>
                <w:szCs w:val="28"/>
                <w:highlight w:val="none"/>
              </w:rPr>
              <w:t xml:space="preserve">方案描述详细，优于采购需求的得</w:t>
            </w:r>
            <w:r>
              <w:rPr>
                <w:rFonts w:hint="eastAsia" w:ascii="仿宋" w:hAnsi="仿宋" w:eastAsia="仿宋" w:cs="仿宋"/>
                <w:color w:val="auto"/>
                <w:sz w:val="22"/>
                <w:szCs w:val="28"/>
                <w:highlight w:val="none"/>
                <w:lang w:val="en-US" w:eastAsia="zh-CN"/>
              </w:rPr>
              <w:t xml:space="preserve">6</w:t>
            </w:r>
            <w:r>
              <w:rPr>
                <w:rFonts w:hint="eastAsia" w:ascii="仿宋" w:hAnsi="仿宋" w:eastAsia="仿宋" w:cs="仿宋"/>
                <w:color w:val="auto"/>
                <w:sz w:val="22"/>
                <w:szCs w:val="28"/>
                <w:highlight w:val="none"/>
              </w:rPr>
              <w:t xml:space="preserve">分；方案内容基本完整、内容基本详实，能够满足采购需求的得</w:t>
            </w: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分；方案内容粗略，通过后期优化能够实现采购需求要求的得</w:t>
            </w:r>
            <w:r>
              <w:rPr>
                <w:rFonts w:hint="eastAsia" w:ascii="仿宋" w:hAnsi="仿宋" w:eastAsia="仿宋" w:cs="仿宋"/>
                <w:color w:val="auto"/>
                <w:sz w:val="22"/>
                <w:szCs w:val="28"/>
                <w:highlight w:val="none"/>
                <w:lang w:val="en-US" w:eastAsia="zh-CN"/>
              </w:rPr>
              <w:t xml:space="preserve">2</w:t>
            </w:r>
            <w:r>
              <w:rPr>
                <w:rFonts w:hint="eastAsia" w:ascii="仿宋" w:hAnsi="仿宋" w:eastAsia="仿宋" w:cs="仿宋"/>
                <w:color w:val="auto"/>
                <w:sz w:val="22"/>
                <w:szCs w:val="28"/>
                <w:highlight w:val="none"/>
              </w:rPr>
              <w:t xml:space="preserve">分。没有内容不得分。</w:t>
            </w:r>
            <w:r/>
          </w:p>
        </w:tc>
      </w:tr>
      <w:tr>
        <w:trPr/>
        <w:tc>
          <w:tcPr>
            <w:tcW w:w="1020" w:type="dxa"/>
            <w:vAlign w:val="center"/>
            <w:vMerge w:val="continue"/>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tc>
        <w:tc>
          <w:tcPr>
            <w:tcW w:w="1272"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施工进度计划和各阶段进度的保证措施</w:t>
            </w:r>
            <w:r/>
          </w:p>
        </w:tc>
        <w:tc>
          <w:tcPr>
            <w:tcW w:w="887"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根据“第四章采购需求”提供施工进度计划和各阶段进度的保证措施。方案描述详细，优于采购需求的得</w:t>
            </w: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分；方案内容基本完整、内容基本详实，能够满足采购需求的得2分；方案内容粗略，通过后期优化能够实现采购需求要求的得1分。没有内容不得分。</w:t>
            </w:r>
            <w:r/>
          </w:p>
        </w:tc>
      </w:tr>
      <w:tr>
        <w:trPr/>
        <w:tc>
          <w:tcPr>
            <w:tcW w:w="1020" w:type="dxa"/>
            <w:vAlign w:val="center"/>
            <w:vMerge w:val="continue"/>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tc>
        <w:tc>
          <w:tcPr>
            <w:tcW w:w="1272"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lang w:val="en-US" w:eastAsia="zh-CN"/>
              </w:rPr>
              <w:t xml:space="preserve">可靠性和先进性</w:t>
            </w:r>
            <w:r/>
          </w:p>
        </w:tc>
        <w:tc>
          <w:tcPr>
            <w:tcW w:w="887"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根据“第四章采购需求”提供</w:t>
            </w:r>
            <w:r>
              <w:rPr>
                <w:rFonts w:hint="eastAsia" w:ascii="仿宋" w:hAnsi="仿宋" w:eastAsia="仿宋" w:cs="仿宋"/>
                <w:color w:val="auto"/>
                <w:sz w:val="22"/>
                <w:szCs w:val="28"/>
                <w:highlight w:val="none"/>
                <w:lang w:val="en-US" w:eastAsia="zh-CN"/>
              </w:rPr>
              <w:t xml:space="preserve">设备及系统运行可靠，具备完善的故障防控机制；采用主流先进的智能化技术，适配项目长期运行需求的</w:t>
            </w:r>
            <w:r>
              <w:rPr>
                <w:rFonts w:hint="eastAsia" w:ascii="仿宋" w:hAnsi="仿宋" w:eastAsia="仿宋" w:cs="仿宋"/>
                <w:color w:val="auto"/>
                <w:sz w:val="22"/>
                <w:szCs w:val="28"/>
                <w:highlight w:val="none"/>
              </w:rPr>
              <w:t xml:space="preserve">。方案描述详细，优于采购需求的得</w:t>
            </w: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分；方案内容基本完整、内容基本详实，能够满足采购需求的得</w:t>
            </w:r>
            <w:r>
              <w:rPr>
                <w:rFonts w:hint="eastAsia" w:ascii="仿宋" w:hAnsi="仿宋" w:eastAsia="仿宋" w:cs="仿宋"/>
                <w:color w:val="auto"/>
                <w:sz w:val="22"/>
                <w:szCs w:val="28"/>
                <w:highlight w:val="none"/>
                <w:lang w:val="en-US" w:eastAsia="zh-CN"/>
              </w:rPr>
              <w:t xml:space="preserve">2</w:t>
            </w:r>
            <w:r>
              <w:rPr>
                <w:rFonts w:hint="eastAsia" w:ascii="仿宋" w:hAnsi="仿宋" w:eastAsia="仿宋" w:cs="仿宋"/>
                <w:color w:val="auto"/>
                <w:sz w:val="22"/>
                <w:szCs w:val="28"/>
                <w:highlight w:val="none"/>
              </w:rPr>
              <w:t xml:space="preserve">分；方案内容粗略，通过后期优化能够实现采购需求要求的得1分。没有内容不得分。</w:t>
            </w:r>
            <w:r/>
          </w:p>
        </w:tc>
      </w:tr>
      <w:tr>
        <w:trPr/>
        <w:tc>
          <w:tcPr>
            <w:tcW w:w="1020" w:type="dxa"/>
            <w:vAlign w:val="center"/>
            <w:vMerge w:val="continue"/>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tc>
        <w:tc>
          <w:tcPr>
            <w:tcW w:w="1272"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施工重点难点分析和解决方案</w:t>
            </w:r>
            <w:r/>
          </w:p>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tc>
        <w:tc>
          <w:tcPr>
            <w:tcW w:w="887"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根据“第四章采购需求”提供的关键施工技术、工艺及工程项目实施的重点、难点和解决方案。 技术先进、难点分析到位、解决方案合理、可行性强，优于采购文件需求的得</w:t>
            </w:r>
            <w:r>
              <w:rPr>
                <w:rFonts w:hint="eastAsia" w:ascii="仿宋" w:hAnsi="仿宋" w:eastAsia="仿宋" w:cs="仿宋"/>
                <w:color w:val="auto"/>
                <w:sz w:val="22"/>
                <w:szCs w:val="28"/>
                <w:highlight w:val="none"/>
                <w:lang w:val="en-US" w:eastAsia="zh-CN"/>
              </w:rPr>
              <w:t xml:space="preserve">4</w:t>
            </w:r>
            <w:r>
              <w:rPr>
                <w:rFonts w:hint="eastAsia" w:ascii="仿宋" w:hAnsi="仿宋" w:eastAsia="仿宋" w:cs="仿宋"/>
                <w:color w:val="auto"/>
                <w:sz w:val="22"/>
                <w:szCs w:val="28"/>
                <w:highlight w:val="none"/>
              </w:rPr>
              <w:t xml:space="preserve">分；技术成熟、难点分析及解决方案较为合理，能够满足采购需求的得</w:t>
            </w:r>
            <w:r>
              <w:rPr>
                <w:rFonts w:hint="eastAsia" w:ascii="仿宋" w:hAnsi="仿宋" w:eastAsia="仿宋" w:cs="仿宋"/>
                <w:color w:val="auto"/>
                <w:sz w:val="22"/>
                <w:szCs w:val="28"/>
                <w:highlight w:val="none"/>
                <w:lang w:val="en-US" w:eastAsia="zh-CN"/>
              </w:rPr>
              <w:t xml:space="preserve">2</w:t>
            </w:r>
            <w:r>
              <w:rPr>
                <w:rFonts w:hint="eastAsia" w:ascii="仿宋" w:hAnsi="仿宋" w:eastAsia="仿宋" w:cs="仿宋"/>
                <w:color w:val="auto"/>
                <w:sz w:val="22"/>
                <w:szCs w:val="28"/>
                <w:highlight w:val="none"/>
              </w:rPr>
              <w:t xml:space="preserve">分；方案内容粗略，通过后期优化能够实现采购需求要求的得1分。没有内容不得分。 </w:t>
            </w:r>
            <w:r/>
          </w:p>
        </w:tc>
      </w:tr>
      <w:tr>
        <w:trPr/>
        <w:tc>
          <w:tcPr>
            <w:tcW w:w="1020" w:type="dxa"/>
            <w:vAlign w:val="center"/>
            <w:vMerge w:val="continue"/>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r>
            <w:r/>
          </w:p>
        </w:tc>
        <w:tc>
          <w:tcPr>
            <w:tcW w:w="1272"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t xml:space="preserve">安全文明施工及环境保护措施</w:t>
            </w:r>
            <w:r/>
          </w:p>
        </w:tc>
        <w:tc>
          <w:tcPr>
            <w:tcW w:w="887"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lang w:val="en-US" w:eastAsia="zh-CN"/>
              </w:rPr>
              <w:t xml:space="preserve">4</w:t>
            </w:r>
            <w:r>
              <w:rPr>
                <w:rFonts w:hint="eastAsia" w:ascii="仿宋" w:hAnsi="仿宋" w:eastAsia="仿宋" w:cs="仿宋"/>
                <w:color w:val="auto"/>
                <w:sz w:val="22"/>
                <w:szCs w:val="28"/>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rPr>
            </w:pPr>
            <w:r>
              <w:rPr>
                <w:rFonts w:hint="eastAsia" w:ascii="仿宋" w:hAnsi="仿宋" w:eastAsia="仿宋" w:cs="仿宋"/>
                <w:color w:val="auto"/>
                <w:sz w:val="22"/>
                <w:szCs w:val="28"/>
              </w:rPr>
              <w:t xml:space="preserve">根据“第四章采购需求”提供安全文明施工及环境保护措施。方案描述详细，优于采购需求的得</w:t>
            </w:r>
            <w:r>
              <w:rPr>
                <w:rFonts w:hint="eastAsia" w:ascii="仿宋" w:hAnsi="仿宋" w:eastAsia="仿宋" w:cs="仿宋"/>
                <w:color w:val="auto"/>
                <w:sz w:val="22"/>
                <w:szCs w:val="28"/>
                <w:lang w:val="en-US" w:eastAsia="zh-CN"/>
              </w:rPr>
              <w:t xml:space="preserve">4</w:t>
            </w:r>
            <w:r>
              <w:rPr>
                <w:rFonts w:hint="eastAsia" w:ascii="仿宋" w:hAnsi="仿宋" w:eastAsia="仿宋" w:cs="仿宋"/>
                <w:color w:val="auto"/>
                <w:sz w:val="22"/>
                <w:szCs w:val="28"/>
              </w:rPr>
              <w:t xml:space="preserve">分；方案内容基本完整、内容基本详实，能够满足采购需求的得2分；方案内容粗略，通过后期优化能够实现采购需求要求的得1分。没有内容不得分。</w:t>
            </w:r>
            <w:r/>
          </w:p>
        </w:tc>
      </w:tr>
      <w:tr>
        <w:trPr>
          <w:trHeight w:val="1447"/>
        </w:trPr>
        <w:tc>
          <w:tcPr>
            <w:tcW w:w="1020" w:type="dxa"/>
            <w:vAlign w:val="center"/>
            <w:vMerge w:val="continue"/>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r>
            <w:r/>
          </w:p>
        </w:tc>
        <w:tc>
          <w:tcPr>
            <w:tcW w:w="1272"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rPr>
              <w:t xml:space="preserve">劳动力、机械设备和材料投入计划</w:t>
            </w:r>
            <w:r/>
          </w:p>
        </w:tc>
        <w:tc>
          <w:tcPr>
            <w:tcW w:w="887" w:type="dxa"/>
            <w:vAlign w:val="center"/>
            <w:textDirection w:val="lrTb"/>
            <w:noWrap w:val="false"/>
          </w:tcPr>
          <w:p>
            <w:pPr>
              <w:jc w:val="center"/>
              <w:rPr>
                <w:rFonts w:hint="eastAsia" w:ascii="仿宋" w:hAnsi="仿宋" w:eastAsia="仿宋" w:cs="仿宋"/>
                <w:color w:val="auto"/>
                <w:sz w:val="22"/>
                <w:szCs w:val="28"/>
              </w:rPr>
            </w:pPr>
            <w:r>
              <w:rPr>
                <w:rFonts w:hint="eastAsia" w:ascii="仿宋" w:hAnsi="仿宋" w:eastAsia="仿宋" w:cs="仿宋"/>
                <w:color w:val="auto"/>
                <w:sz w:val="22"/>
                <w:szCs w:val="28"/>
                <w:lang w:val="en-US" w:eastAsia="zh-CN"/>
              </w:rPr>
              <w:t xml:space="preserve">4</w:t>
            </w:r>
            <w:r>
              <w:rPr>
                <w:rFonts w:hint="eastAsia" w:ascii="仿宋" w:hAnsi="仿宋" w:eastAsia="仿宋" w:cs="仿宋"/>
                <w:color w:val="auto"/>
                <w:sz w:val="22"/>
                <w:szCs w:val="28"/>
              </w:rPr>
              <w:t xml:space="preserve">.00分</w:t>
            </w:r>
            <w:r/>
          </w:p>
        </w:tc>
        <w:tc>
          <w:tcPr>
            <w:tcW w:w="5947" w:type="dxa"/>
            <w:vAlign w:val="center"/>
            <w:textDirection w:val="lrTb"/>
            <w:noWrap w:val="false"/>
          </w:tcPr>
          <w:p>
            <w:pPr>
              <w:jc w:val="left"/>
              <w:rPr>
                <w:rFonts w:hint="eastAsia" w:ascii="仿宋" w:hAnsi="仿宋" w:eastAsia="仿宋" w:cs="仿宋"/>
                <w:color w:val="auto"/>
                <w:sz w:val="22"/>
                <w:szCs w:val="28"/>
              </w:rPr>
            </w:pPr>
            <w:r>
              <w:rPr>
                <w:rFonts w:hint="eastAsia" w:ascii="仿宋" w:hAnsi="仿宋" w:eastAsia="仿宋" w:cs="仿宋"/>
                <w:color w:val="auto"/>
                <w:sz w:val="22"/>
                <w:szCs w:val="28"/>
              </w:rPr>
              <w:t xml:space="preserve">根据“第四章采购需求”提供劳动力、机械设备和材料投入计划。方案描述详细，优于采购需求的得</w:t>
            </w:r>
            <w:r>
              <w:rPr>
                <w:rFonts w:hint="eastAsia" w:ascii="仿宋" w:hAnsi="仿宋" w:eastAsia="仿宋" w:cs="仿宋"/>
                <w:color w:val="auto"/>
                <w:sz w:val="22"/>
                <w:szCs w:val="28"/>
                <w:lang w:val="en-US" w:eastAsia="zh-CN"/>
              </w:rPr>
              <w:t xml:space="preserve">4</w:t>
            </w:r>
            <w:r>
              <w:rPr>
                <w:rFonts w:hint="eastAsia" w:ascii="仿宋" w:hAnsi="仿宋" w:eastAsia="仿宋" w:cs="仿宋"/>
                <w:color w:val="auto"/>
                <w:sz w:val="22"/>
                <w:szCs w:val="28"/>
              </w:rPr>
              <w:t xml:space="preserve">分；方案内容基本完整、内容基本详实，能够满足采购需求的得2分；方案内容粗略，通过后期优化能够实现采购需求要求的得1分。没有内容不得分。</w:t>
            </w:r>
            <w:r/>
          </w:p>
        </w:tc>
      </w:tr>
      <w:tr>
        <w:trPr/>
        <w:tc>
          <w:tcPr>
            <w:tcW w:w="1020"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其他</w:t>
            </w:r>
            <w:r/>
          </w:p>
        </w:tc>
        <w:tc>
          <w:tcPr>
            <w:tcW w:w="1272"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项目组人员配备</w:t>
            </w:r>
            <w:r/>
          </w:p>
        </w:tc>
        <w:tc>
          <w:tcPr>
            <w:tcW w:w="887" w:type="dxa"/>
            <w:vAlign w:val="center"/>
            <w:textDirection w:val="lrTb"/>
            <w:noWrap w:val="false"/>
          </w:tcPr>
          <w:p>
            <w:pPr>
              <w:jc w:val="cente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t xml:space="preserve">2.00分</w:t>
            </w:r>
            <w:r/>
          </w:p>
        </w:tc>
        <w:tc>
          <w:tcPr>
            <w:tcW w:w="5947" w:type="dxa"/>
            <w:vAlign w:val="center"/>
            <w:textDirection w:val="lrTb"/>
            <w:noWrap w:val="false"/>
          </w:tcPr>
          <w:p>
            <w:pPr>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供应商拟选派项目负责人具有工程类中级</w:t>
            </w:r>
            <w:r>
              <w:rPr>
                <w:rFonts w:hint="eastAsia" w:ascii="仿宋" w:hAnsi="仿宋" w:eastAsia="仿宋" w:cs="仿宋"/>
                <w:color w:val="auto"/>
                <w:sz w:val="22"/>
                <w:szCs w:val="22"/>
                <w:highlight w:val="none"/>
                <w:lang w:eastAsia="zh-CN"/>
              </w:rPr>
              <w:t xml:space="preserve">及以上</w:t>
            </w:r>
            <w:r>
              <w:rPr>
                <w:rFonts w:hint="eastAsia" w:ascii="仿宋" w:hAnsi="仿宋" w:eastAsia="仿宋" w:cs="仿宋"/>
                <w:color w:val="auto"/>
                <w:sz w:val="22"/>
                <w:szCs w:val="22"/>
                <w:highlight w:val="none"/>
              </w:rPr>
              <w:t xml:space="preserve">职称的得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分。（如证书体现不了专业，供应商应提供说明文件，否则不得分）</w:t>
            </w:r>
            <w:r/>
          </w:p>
          <w:p>
            <w:pPr>
              <w:jc w:val="left"/>
              <w:rPr>
                <w:rFonts w:hint="eastAsia" w:ascii="仿宋" w:hAnsi="仿宋" w:eastAsia="仿宋" w:cs="仿宋"/>
                <w:color w:val="auto"/>
                <w:sz w:val="22"/>
                <w:szCs w:val="28"/>
                <w:highlight w:val="none"/>
              </w:rPr>
            </w:pPr>
            <w:r>
              <w:rPr>
                <w:rFonts w:hint="eastAsia" w:ascii="仿宋" w:hAnsi="仿宋" w:eastAsia="仿宋" w:cs="仿宋"/>
                <w:color w:val="auto"/>
                <w:sz w:val="22"/>
                <w:szCs w:val="22"/>
                <w:highlight w:val="none"/>
              </w:rPr>
              <w:t xml:space="preserve">注：响应文件中提供磋商前近六个月以来本单位为其办理的任意一个月社会养老保险或医疗保险缴纳证明材料。</w:t>
            </w:r>
            <w:r/>
          </w:p>
        </w:tc>
      </w:tr>
    </w:tbl>
    <w:p>
      <w:pPr>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（三）评标结果。磋商小组按照本办法规定推荐成交候选人，并形成评标报告。</w:t>
      </w:r>
      <w:r/>
    </w:p>
    <w:p>
      <w:pPr>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（四）政府采购政策功能落实</w:t>
      </w:r>
      <w:r/>
    </w:p>
    <w:p>
      <w:pPr>
        <w:ind w:firstLine="480"/>
        <w:spacing w:line="440" w:lineRule="exact"/>
        <w:rPr>
          <w:rFonts w:hint="eastAsia" w:ascii="仿宋" w:hAnsi="仿宋" w:eastAsia="仿宋" w:cs="仿宋"/>
          <w:b/>
          <w:bCs/>
          <w:sz w:val="24"/>
        </w:rPr>
      </w:pPr>
      <w:r/>
      <w:bookmarkStart w:id="257" w:name="_Toc169207398"/>
      <w:r>
        <w:rPr>
          <w:rFonts w:hint="eastAsia" w:ascii="仿宋" w:hAnsi="仿宋" w:eastAsia="仿宋" w:cs="仿宋"/>
          <w:b/>
          <w:bCs/>
          <w:sz w:val="24"/>
        </w:rPr>
        <w:t xml:space="preserve">本项目落实的政府采购政策对应以下序号为</w:t>
      </w:r>
      <w:r>
        <w:rPr>
          <w:rFonts w:hint="eastAsia" w:ascii="仿宋" w:hAnsi="仿宋" w:eastAsia="仿宋" w:cs="仿宋"/>
          <w:b/>
          <w:bCs/>
          <w:sz w:val="24"/>
          <w:u w:val="single"/>
        </w:rPr>
        <w:t xml:space="preserve">1、2、4</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1.采购本国货物、工程和服务</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2.中小企业政策</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本项目按以下第</w:t>
      </w:r>
      <w:r>
        <w:rPr>
          <w:rFonts w:hint="eastAsia" w:ascii="仿宋" w:hAnsi="仿宋" w:eastAsia="仿宋" w:cs="仿宋"/>
          <w:sz w:val="24"/>
          <w:u w:val="single"/>
        </w:rPr>
        <w:t xml:space="preserve">（1）</w:t>
      </w:r>
      <w:r>
        <w:rPr>
          <w:rFonts w:hint="eastAsia" w:ascii="仿宋" w:hAnsi="仿宋" w:eastAsia="仿宋" w:cs="仿宋"/>
          <w:sz w:val="24"/>
        </w:rPr>
        <w:t xml:space="preserve">种政策确定本项目落实的中小企业政策：</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（1）本项目专门面向中小企业（含监狱企业、残疾人福利企业）采购。</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（2）投标人提供的服务符合规定情形的，对小微企业报价给予扣除（扣除比例详见“投标人须知”－“政府采购政策”相关条款），用扣除后的价格参加评审。</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投标人提供的服务符合下列情形的，对小微企业报价给予</w:t>
      </w:r>
      <w:r>
        <w:rPr>
          <w:rFonts w:hint="eastAsia" w:ascii="仿宋" w:hAnsi="仿宋" w:eastAsia="仿宋" w:cs="仿宋"/>
          <w:i/>
          <w:iCs/>
          <w:sz w:val="24"/>
          <w:u w:val="single"/>
        </w:rPr>
        <w:t xml:space="preserve"> / </w:t>
      </w:r>
      <w:r>
        <w:rPr>
          <w:rFonts w:hint="eastAsia" w:ascii="仿宋" w:hAnsi="仿宋" w:eastAsia="仿宋" w:cs="仿宋"/>
          <w:sz w:val="24"/>
        </w:rPr>
        <w:t xml:space="preserve">%的扣除，用扣除后的价格参加评审。</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在工程采购项目中，工程由中小企业承建，即工程施工单位为中小企业。</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3.政府采购节能产品、环境标志产品</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（3）采购人拟采购的产品属于优先采购的节能环保品目清单范围的，按以下条件优先采购：</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采用综合评分法的项目，对提供有效节能环保证书的投标人加分。</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4.商品包装、快递包装政府采购需求标准（试行）</w:t>
      </w:r>
      <w:r/>
    </w:p>
    <w:p>
      <w:pPr>
        <w:ind w:firstLine="480"/>
        <w:spacing w:line="440" w:lineRule="exact"/>
        <w:rPr>
          <w:rFonts w:hint="eastAsia" w:ascii="仿宋" w:hAnsi="仿宋" w:eastAsia="仿宋" w:cs="仿宋"/>
          <w:sz w:val="24"/>
        </w:rPr>
      </w:pPr>
      <w:r>
        <w:rPr>
          <w:rFonts w:hint="eastAsia" w:ascii="仿宋" w:hAnsi="仿宋" w:eastAsia="仿宋" w:cs="仿宋"/>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br w:type="page" w:clear="all"/>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第六章  </w:t>
      </w:r>
      <w:bookmarkEnd w:id="205"/>
      <w:r/>
      <w:bookmarkEnd w:id="206"/>
      <w:r/>
      <w:bookmarkEnd w:id="207"/>
      <w:r>
        <w:rPr>
          <w:rFonts w:hint="eastAsia" w:ascii="仿宋" w:hAnsi="仿宋" w:eastAsia="仿宋" w:cs="仿宋"/>
          <w:color w:val="000000" w:themeColor="text1"/>
          <w:sz w:val="44"/>
          <w:szCs w:val="44"/>
          <w14:textFill>
            <w14:solidFill>
              <w14:schemeClr w14:val="tx1"/>
            </w14:solidFill>
          </w14:textFill>
        </w:rPr>
        <w:t xml:space="preserve">响应文件格式</w:t>
      </w:r>
      <w:bookmarkEnd w:id="257"/>
      <w:r/>
      <w:r/>
    </w:p>
    <w:p>
      <w:pPr>
        <w:jc w:val="center"/>
        <w:rPr>
          <w:rFonts w:hint="eastAsia" w:ascii="仿宋" w:hAnsi="仿宋" w:eastAsia="仿宋" w:cs="仿宋"/>
          <w:b/>
          <w:color w:val="000000" w:themeColor="text1"/>
          <w:sz w:val="72"/>
          <w:szCs w:val="21"/>
          <w14:textFill>
            <w14:solidFill>
              <w14:schemeClr w14:val="tx1"/>
            </w14:solidFill>
          </w14:textFill>
        </w:rPr>
      </w:pPr>
      <w:r/>
      <w:bookmarkStart w:id="258" w:name="_Hlt26955039"/>
      <w:r/>
      <w:bookmarkEnd w:id="258"/>
      <w:r/>
      <w:bookmarkStart w:id="259" w:name="_Hlt26671244"/>
      <w:r/>
      <w:bookmarkEnd w:id="259"/>
      <w:r/>
      <w:bookmarkStart w:id="260" w:name="_Toc26554094"/>
      <w:r/>
      <w:bookmarkStart w:id="261" w:name="_Toc120614282"/>
      <w:r/>
      <w:bookmarkStart w:id="262" w:name="_Toc49090576"/>
      <w:r/>
      <w:r/>
    </w:p>
    <w:p>
      <w:pPr>
        <w:jc w:val="center"/>
        <w:rPr>
          <w:rFonts w:hint="eastAsia" w:ascii="仿宋" w:hAnsi="仿宋" w:eastAsia="仿宋" w:cs="仿宋"/>
          <w:b/>
          <w:color w:val="000000" w:themeColor="text1"/>
          <w:sz w:val="72"/>
          <w:szCs w:val="21"/>
          <w14:textFill>
            <w14:solidFill>
              <w14:schemeClr w14:val="tx1"/>
            </w14:solidFill>
          </w14:textFill>
        </w:rPr>
      </w:pPr>
      <w:r>
        <w:rPr>
          <w:rFonts w:hint="eastAsia" w:ascii="仿宋" w:hAnsi="仿宋" w:eastAsia="仿宋" w:cs="仿宋"/>
          <w:b/>
          <w:color w:val="000000" w:themeColor="text1"/>
          <w:sz w:val="72"/>
          <w:szCs w:val="21"/>
          <w14:textFill>
            <w14:solidFill>
              <w14:schemeClr w14:val="tx1"/>
            </w14:solidFill>
          </w14:textFill>
        </w:rPr>
      </w:r>
      <w:r/>
    </w:p>
    <w:p>
      <w:pPr>
        <w:jc w:val="center"/>
        <w:rPr>
          <w:rFonts w:hint="eastAsia" w:ascii="仿宋" w:hAnsi="仿宋" w:eastAsia="仿宋" w:cs="仿宋"/>
          <w:b/>
          <w:color w:val="000000" w:themeColor="text1"/>
          <w:sz w:val="72"/>
          <w:szCs w:val="21"/>
          <w14:textFill>
            <w14:solidFill>
              <w14:schemeClr w14:val="tx1"/>
            </w14:solidFill>
          </w14:textFill>
        </w:rPr>
      </w:pPr>
      <w:r>
        <w:rPr>
          <w:rFonts w:hint="eastAsia" w:ascii="仿宋" w:hAnsi="仿宋" w:eastAsia="仿宋" w:cs="仿宋"/>
          <w:b/>
          <w:color w:val="000000" w:themeColor="text1"/>
          <w:sz w:val="72"/>
          <w:szCs w:val="21"/>
          <w14:textFill>
            <w14:solidFill>
              <w14:schemeClr w14:val="tx1"/>
            </w14:solidFill>
          </w14:textFill>
        </w:rPr>
        <w:t xml:space="preserve">响  应  文  件</w:t>
      </w:r>
      <w:r/>
    </w:p>
    <w:p>
      <w:pPr>
        <w:jc w:val="center"/>
        <w:rPr>
          <w:rFonts w:hint="eastAsia" w:ascii="仿宋" w:hAnsi="仿宋" w:eastAsia="仿宋" w:cs="仿宋"/>
          <w:b/>
          <w:color w:val="000000" w:themeColor="text1"/>
          <w:sz w:val="72"/>
          <w:szCs w:val="21"/>
          <w14:textFill>
            <w14:solidFill>
              <w14:schemeClr w14:val="tx1"/>
            </w14:solidFill>
          </w14:textFill>
        </w:rPr>
      </w:pPr>
      <w:r>
        <w:rPr>
          <w:rFonts w:hint="eastAsia" w:ascii="仿宋" w:hAnsi="仿宋" w:eastAsia="仿宋" w:cs="仿宋"/>
          <w:b/>
          <w:color w:val="000000" w:themeColor="text1"/>
          <w:sz w:val="72"/>
          <w:szCs w:val="21"/>
          <w14:textFill>
            <w14:solidFill>
              <w14:schemeClr w14:val="tx1"/>
            </w14:solidFill>
          </w14:textFill>
        </w:rPr>
      </w:r>
      <w:r/>
    </w:p>
    <w:p>
      <w:pPr>
        <w:jc w:val="center"/>
        <w:rPr>
          <w:rFonts w:hint="eastAsia" w:ascii="仿宋" w:hAnsi="仿宋" w:eastAsia="仿宋" w:cs="仿宋"/>
          <w:b/>
          <w:color w:val="000000" w:themeColor="text1"/>
          <w:sz w:val="72"/>
          <w:szCs w:val="21"/>
          <w14:textFill>
            <w14:solidFill>
              <w14:schemeClr w14:val="tx1"/>
            </w14:solidFill>
          </w14:textFill>
        </w:rPr>
      </w:pPr>
      <w:r>
        <w:rPr>
          <w:rFonts w:hint="eastAsia" w:ascii="仿宋" w:hAnsi="仿宋" w:eastAsia="仿宋" w:cs="仿宋"/>
          <w:b/>
          <w:color w:val="000000" w:themeColor="text1"/>
          <w:sz w:val="72"/>
          <w:szCs w:val="21"/>
          <w14:textFill>
            <w14:solidFill>
              <w14:schemeClr w14:val="tx1"/>
            </w14:solidFill>
          </w14:textFill>
        </w:rPr>
      </w:r>
      <w:r/>
    </w:p>
    <w:p>
      <w:pPr>
        <w:jc w:val="center"/>
        <w:rPr>
          <w:rFonts w:hint="eastAsia" w:ascii="仿宋" w:hAnsi="仿宋" w:eastAsia="仿宋" w:cs="仿宋"/>
          <w:b/>
          <w:color w:val="000000" w:themeColor="text1"/>
          <w:sz w:val="36"/>
          <w:szCs w:val="21"/>
          <w14:textFill>
            <w14:solidFill>
              <w14:schemeClr w14:val="tx1"/>
            </w14:solidFill>
          </w14:textFill>
        </w:rPr>
      </w:pPr>
      <w:r>
        <w:rPr>
          <w:rFonts w:hint="eastAsia" w:ascii="仿宋" w:hAnsi="仿宋" w:eastAsia="仿宋" w:cs="仿宋"/>
          <w:b/>
          <w:color w:val="000000" w:themeColor="text1"/>
          <w:sz w:val="36"/>
          <w:szCs w:val="21"/>
          <w14:textFill>
            <w14:solidFill>
              <w14:schemeClr w14:val="tx1"/>
            </w14:solidFill>
          </w14:textFill>
        </w:rPr>
      </w:r>
      <w:r/>
    </w:p>
    <w:p>
      <w:pPr>
        <w:jc w:val="center"/>
        <w:rPr>
          <w:rFonts w:hint="eastAsia" w:ascii="仿宋" w:hAnsi="仿宋" w:eastAsia="仿宋" w:cs="仿宋"/>
          <w:b/>
          <w:color w:val="000000" w:themeColor="text1"/>
          <w:sz w:val="36"/>
          <w:szCs w:val="21"/>
          <w14:textFill>
            <w14:solidFill>
              <w14:schemeClr w14:val="tx1"/>
            </w14:solidFill>
          </w14:textFill>
        </w:rPr>
      </w:pPr>
      <w:r>
        <w:rPr>
          <w:rFonts w:hint="eastAsia" w:ascii="仿宋" w:hAnsi="仿宋" w:eastAsia="仿宋" w:cs="仿宋"/>
          <w:b/>
          <w:color w:val="000000" w:themeColor="text1"/>
          <w:sz w:val="36"/>
          <w:szCs w:val="21"/>
          <w14:textFill>
            <w14:solidFill>
              <w14:schemeClr w14:val="tx1"/>
            </w14:solidFill>
          </w14:textFill>
        </w:rPr>
      </w:r>
      <w:r/>
    </w:p>
    <w:p>
      <w:pPr>
        <w:pStyle w:val="73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rPr>
          <w:rFonts w:hint="eastAsia" w:ascii="仿宋" w:hAnsi="仿宋" w:eastAsia="仿宋" w:cs="仿宋"/>
          <w:b/>
          <w:color w:val="000000" w:themeColor="text1"/>
          <w:sz w:val="36"/>
          <w:szCs w:val="21"/>
          <w14:textFill>
            <w14:solidFill>
              <w14:schemeClr w14:val="tx1"/>
            </w14:solidFill>
          </w14:textFill>
        </w:rPr>
      </w:pPr>
      <w:r>
        <w:rPr>
          <w:rFonts w:hint="eastAsia" w:ascii="仿宋" w:hAnsi="仿宋" w:eastAsia="仿宋" w:cs="仿宋"/>
          <w:b/>
          <w:color w:val="000000" w:themeColor="text1"/>
          <w:sz w:val="36"/>
          <w:szCs w:val="21"/>
          <w14:textFill>
            <w14:solidFill>
              <w14:schemeClr w14:val="tx1"/>
            </w14:solidFill>
          </w14:textFill>
        </w:rPr>
      </w:r>
      <w:r/>
    </w:p>
    <w:p>
      <w:pPr>
        <w:ind w:firstLine="1084"/>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 目 名 称：</w:t>
      </w:r>
      <w:r>
        <w:rPr>
          <w:rFonts w:hint="eastAsia" w:ascii="仿宋" w:hAnsi="仿宋" w:eastAsia="仿宋" w:cs="仿宋"/>
          <w:b/>
          <w:color w:val="000000" w:themeColor="text1"/>
          <w:sz w:val="36"/>
          <w:u w:val="single"/>
          <w14:textFill>
            <w14:solidFill>
              <w14:schemeClr w14:val="tx1"/>
            </w14:solidFill>
          </w14:textFill>
        </w:rPr>
        <w:t xml:space="preserve">               </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 目 编 号：</w:t>
      </w:r>
      <w:r>
        <w:rPr>
          <w:rFonts w:hint="eastAsia" w:ascii="仿宋" w:hAnsi="仿宋" w:eastAsia="仿宋" w:cs="仿宋"/>
          <w:b/>
          <w:color w:val="000000" w:themeColor="text1"/>
          <w:sz w:val="36"/>
          <w:u w:val="single"/>
          <w14:textFill>
            <w14:solidFill>
              <w14:schemeClr w14:val="tx1"/>
            </w14:solidFill>
          </w14:textFill>
        </w:rPr>
        <w:t xml:space="preserve">               </w:t>
      </w:r>
      <w:r/>
    </w:p>
    <w:p>
      <w:pPr>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      投标人名称 ：</w:t>
      </w:r>
      <w:r>
        <w:rPr>
          <w:rFonts w:hint="eastAsia" w:ascii="仿宋" w:hAnsi="仿宋" w:eastAsia="仿宋" w:cs="仿宋"/>
          <w:b/>
          <w:color w:val="000000" w:themeColor="text1"/>
          <w:sz w:val="36"/>
          <w:u w:val="single"/>
          <w14:textFill>
            <w14:solidFill>
              <w14:schemeClr w14:val="tx1"/>
            </w14:solidFill>
          </w14:textFill>
        </w:rPr>
        <w:t xml:space="preserve">（加盖CA电子公章）</w:t>
      </w:r>
      <w:r/>
    </w:p>
    <w:p>
      <w:pPr>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      日      期 ：</w:t>
      </w:r>
      <w:r>
        <w:rPr>
          <w:rFonts w:hint="eastAsia" w:ascii="仿宋" w:hAnsi="仿宋" w:eastAsia="仿宋" w:cs="仿宋"/>
          <w:b/>
          <w:color w:val="000000" w:themeColor="text1"/>
          <w:sz w:val="36"/>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spacing w:line="44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p>
      <w:pPr>
        <w:ind w:firstLine="1084"/>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color w:val="000000" w:themeColor="text1"/>
          <w:sz w:val="36"/>
          <w:szCs w:val="21"/>
          <w:u w:val="single"/>
          <w14:textFill>
            <w14:solidFill>
              <w14:schemeClr w14:val="tx1"/>
            </w14:solidFill>
          </w14:textFill>
        </w:rPr>
        <w:br w:type="page" w:clear="all"/>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响应文件目录</w:t>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ind w:left="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一、投标人基本情况</w:t>
      </w:r>
      <w:r/>
    </w:p>
    <w:p>
      <w:pPr>
        <w:ind w:left="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二、投标人财务状况报告</w:t>
      </w:r>
      <w:r/>
    </w:p>
    <w:p>
      <w:pPr>
        <w:ind w:left="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三、缴纳税收和社会保障资金凭据</w:t>
      </w:r>
      <w:r/>
    </w:p>
    <w:p>
      <w:pPr>
        <w:ind w:left="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四、履行合同所必需的设备和专业技术能力的声明</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五、无重大违法行为声明</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六、法定代表人授权委托书</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七、报价一览表</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八、工程量清单</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九、中小企业声明函及残疾人福利性单位声明函</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十、响应偏离表</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十一、项目组人员</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十二、供应商承担类似项目业绩一览表</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十三、诚信行为承诺书</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十四、磋商所需其他材料</w:t>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1"/>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r>
      <w:bookmarkEnd w:id="203"/>
      <w:bookmarkEnd w:id="204"/>
      <w:bookmarkEnd w:id="260"/>
      <w:bookmarkEnd w:id="261"/>
      <w:bookmarkEnd w:id="262"/>
      <w:r/>
    </w:p>
    <w:p>
      <w:pPr>
        <w:rPr>
          <w:rFonts w:hint="eastAsia" w:ascii="仿宋" w:hAnsi="仿宋" w:eastAsia="仿宋" w:cs="仿宋"/>
          <w:b/>
          <w:sz w:val="24"/>
          <w:szCs w:val="24"/>
        </w:rPr>
        <w:outlineLvl w:val="1"/>
      </w:pPr>
      <w:r/>
      <w:bookmarkStart w:id="263" w:name="_Toc256000017"/>
      <w:r/>
      <w:bookmarkStart w:id="264" w:name="_Toc1961"/>
      <w:r/>
      <w:bookmarkStart w:id="265" w:name="_Toc169207408"/>
      <w:r/>
      <w:bookmarkStart w:id="266" w:name="_Toc28140"/>
      <w:r>
        <w:rPr>
          <w:rFonts w:hint="eastAsia" w:ascii="仿宋" w:hAnsi="仿宋" w:eastAsia="仿宋" w:cs="仿宋"/>
          <w:b/>
          <w:sz w:val="24"/>
          <w:szCs w:val="24"/>
        </w:rPr>
        <w:t xml:space="preserve">一、</w:t>
      </w:r>
      <w:bookmarkEnd w:id="263"/>
      <w:r/>
      <w:bookmarkStart w:id="267" w:name="_Toc508955349"/>
      <w:r>
        <w:rPr>
          <w:rFonts w:hint="eastAsia" w:ascii="仿宋" w:hAnsi="仿宋" w:eastAsia="仿宋" w:cs="仿宋"/>
          <w:b/>
          <w:sz w:val="28"/>
          <w:szCs w:val="28"/>
        </w:rPr>
        <w:t xml:space="preserve">投标人基本情况</w:t>
      </w:r>
      <w:bookmarkEnd w:id="264"/>
      <w:r/>
      <w:bookmarkEnd w:id="267"/>
      <w:r/>
      <w:r/>
    </w:p>
    <w:p>
      <w:pPr>
        <w:jc w:val="center"/>
        <w:rPr>
          <w:rFonts w:hint="eastAsia" w:ascii="仿宋" w:hAnsi="仿宋" w:eastAsia="仿宋" w:cs="仿宋"/>
          <w:sz w:val="24"/>
          <w:szCs w:val="24"/>
        </w:rPr>
      </w:pPr>
      <w:r>
        <w:rPr>
          <w:rFonts w:hint="eastAsia" w:ascii="仿宋" w:hAnsi="仿宋" w:eastAsia="仿宋" w:cs="仿宋"/>
          <w:sz w:val="24"/>
          <w:szCs w:val="24"/>
        </w:rPr>
        <w:t xml:space="preserve">投标人基本情况表</w:t>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供应商类别</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诚信等级</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jc w:val="center"/>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2376"/>
        </w:trPr>
        <w:tc>
          <w:tcPr>
            <w:tcW w:w="1526"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ind w:firstLine="1432"/>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34"/>
        </w:trPr>
        <w:tc>
          <w:tcPr>
            <w:tcW w:w="1526" w:type="dxa"/>
            <w:vAlign w:val="center"/>
            <w:textDirection w:val="lrTb"/>
            <w:noWrap w:val="false"/>
          </w:tcPr>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center"/>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jc w:val="left"/>
        <w:widowControl/>
        <w:rPr>
          <w:rFonts w:hint="eastAsia" w:ascii="仿宋" w:hAnsi="仿宋" w:eastAsia="仿宋" w:cs="仿宋"/>
          <w:b/>
          <w:sz w:val="24"/>
          <w:szCs w:val="24"/>
        </w:rPr>
        <w:outlineLvl w:val="1"/>
      </w:pPr>
      <w:r>
        <w:rPr>
          <w:rFonts w:hint="eastAsia" w:ascii="仿宋" w:hAnsi="仿宋" w:eastAsia="仿宋" w:cs="仿宋"/>
          <w:b/>
          <w:sz w:val="24"/>
          <w:szCs w:val="24"/>
        </w:rPr>
        <w:br w:type="page" w:clear="all"/>
      </w:r>
      <w:bookmarkStart w:id="268" w:name="_Toc11179"/>
      <w:r/>
      <w:bookmarkStart w:id="269" w:name="_Toc508955350"/>
      <w:r>
        <w:rPr>
          <w:rFonts w:hint="eastAsia" w:ascii="仿宋" w:hAnsi="仿宋" w:eastAsia="仿宋" w:cs="仿宋"/>
          <w:b/>
          <w:sz w:val="24"/>
          <w:szCs w:val="24"/>
        </w:rPr>
        <w:t xml:space="preserve">二、投标人财务状况报告</w:t>
      </w:r>
      <w:bookmarkEnd w:id="268"/>
      <w:r/>
      <w:bookmarkEnd w:id="269"/>
      <w:r/>
      <w:r/>
    </w:p>
    <w:p>
      <w:pPr>
        <w:rPr>
          <w:rFonts w:hint="eastAsia" w:ascii="仿宋" w:hAnsi="仿宋" w:eastAsia="仿宋" w:cs="仿宋"/>
          <w:sz w:val="24"/>
          <w:szCs w:val="24"/>
        </w:rPr>
      </w:pPr>
      <w:r>
        <w:rPr>
          <w:rFonts w:hint="eastAsia" w:ascii="仿宋" w:hAnsi="仿宋" w:eastAsia="仿宋" w:cs="仿宋"/>
          <w:bCs/>
          <w:sz w:val="24"/>
          <w:szCs w:val="24"/>
        </w:rPr>
        <w:t xml:space="preserve">指供应商经审计的财务报告或银行出具的资信证明</w:t>
      </w:r>
      <w:r/>
    </w:p>
    <w:p>
      <w:pPr>
        <w:rPr>
          <w:rFonts w:hint="eastAsia" w:ascii="仿宋" w:hAnsi="仿宋" w:eastAsia="仿宋" w:cs="仿宋"/>
          <w:b/>
          <w:sz w:val="24"/>
          <w:szCs w:val="24"/>
        </w:rPr>
        <w:outlineLvl w:val="1"/>
      </w:pPr>
      <w:r>
        <w:rPr>
          <w:rFonts w:hint="eastAsia" w:ascii="仿宋" w:hAnsi="仿宋" w:eastAsia="仿宋" w:cs="仿宋"/>
          <w:b/>
          <w:sz w:val="24"/>
          <w:szCs w:val="24"/>
        </w:rPr>
        <w:br w:type="page" w:clear="all"/>
      </w:r>
      <w:bookmarkStart w:id="270" w:name="_Toc795"/>
      <w:r/>
      <w:bookmarkStart w:id="271" w:name="_Toc508955351"/>
      <w:r>
        <w:rPr>
          <w:rFonts w:hint="eastAsia" w:ascii="仿宋" w:hAnsi="仿宋" w:eastAsia="仿宋" w:cs="仿宋"/>
          <w:b/>
          <w:sz w:val="24"/>
          <w:szCs w:val="24"/>
        </w:rPr>
        <w:t xml:space="preserve">三、缴纳税收和社会保障资金凭据</w:t>
      </w:r>
      <w:bookmarkEnd w:id="270"/>
      <w:r/>
      <w:bookmarkEnd w:id="271"/>
      <w:r/>
      <w:r/>
    </w:p>
    <w:p>
      <w:pPr>
        <w:rPr>
          <w:rFonts w:hint="eastAsia" w:ascii="仿宋" w:hAnsi="仿宋" w:eastAsia="仿宋" w:cs="仿宋"/>
          <w:sz w:val="24"/>
          <w:szCs w:val="24"/>
        </w:rPr>
      </w:pPr>
      <w:r>
        <w:rPr>
          <w:rFonts w:hint="eastAsia" w:ascii="仿宋" w:hAnsi="仿宋" w:eastAsia="仿宋" w:cs="仿宋"/>
          <w:bCs/>
          <w:sz w:val="24"/>
          <w:szCs w:val="24"/>
        </w:rPr>
        <w:t xml:space="preserve">提供符合磋商文件要求的依法缴纳税收和社会保障资金的凭据</w:t>
      </w:r>
      <w:r/>
    </w:p>
    <w:p>
      <w:pPr>
        <w:jc w:val="left"/>
        <w:widowControl/>
        <w:rPr>
          <w:rFonts w:hint="eastAsia" w:ascii="仿宋" w:hAnsi="仿宋" w:eastAsia="仿宋" w:cs="仿宋"/>
          <w:b/>
          <w:sz w:val="24"/>
          <w:szCs w:val="24"/>
        </w:rPr>
        <w:outlineLvl w:val="1"/>
      </w:pPr>
      <w:r>
        <w:rPr>
          <w:rFonts w:hint="eastAsia" w:ascii="仿宋" w:hAnsi="仿宋" w:eastAsia="仿宋" w:cs="仿宋"/>
          <w:b/>
          <w:sz w:val="24"/>
          <w:szCs w:val="24"/>
        </w:rPr>
        <w:br w:type="page" w:clear="all"/>
      </w:r>
      <w:bookmarkStart w:id="272" w:name="_Toc508955352"/>
      <w:r/>
      <w:bookmarkStart w:id="273" w:name="_Toc24729"/>
      <w:r>
        <w:rPr>
          <w:rFonts w:hint="eastAsia" w:ascii="仿宋" w:hAnsi="仿宋" w:eastAsia="仿宋" w:cs="仿宋"/>
          <w:b/>
          <w:sz w:val="24"/>
          <w:szCs w:val="24"/>
        </w:rPr>
        <w:t xml:space="preserve">四、履行合同所必需的设备和专业技术能力的声明</w:t>
      </w:r>
      <w:bookmarkEnd w:id="272"/>
      <w:r/>
      <w:bookmarkEnd w:id="273"/>
      <w:r/>
      <w:r/>
    </w:p>
    <w:p>
      <w:pPr>
        <w:jc w:val="center"/>
        <w:spacing w:line="600" w:lineRule="exact"/>
        <w:rPr>
          <w:rFonts w:hint="eastAsia" w:ascii="仿宋" w:hAnsi="仿宋" w:eastAsia="仿宋" w:cs="仿宋"/>
          <w:b/>
          <w:sz w:val="24"/>
          <w:szCs w:val="24"/>
        </w:rPr>
      </w:pPr>
      <w:r>
        <w:rPr>
          <w:rFonts w:hint="eastAsia" w:ascii="仿宋" w:hAnsi="仿宋" w:eastAsia="仿宋" w:cs="仿宋"/>
          <w:b/>
          <w:sz w:val="24"/>
          <w:szCs w:val="24"/>
        </w:rPr>
        <w:t xml:space="preserve">具备履行合同所必需的设备和专业技术能力的声明</w:t>
      </w:r>
      <w:r/>
    </w:p>
    <w:p>
      <w:pPr>
        <w:spacing w:line="600" w:lineRule="exact"/>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600" w:lineRule="exact"/>
        <w:rPr>
          <w:rFonts w:hint="eastAsia" w:ascii="仿宋" w:hAnsi="仿宋" w:eastAsia="仿宋" w:cs="仿宋"/>
          <w:sz w:val="24"/>
          <w:szCs w:val="24"/>
        </w:rPr>
      </w:pPr>
      <w:r>
        <w:rPr>
          <w:rFonts w:hint="eastAsia" w:ascii="仿宋" w:hAnsi="仿宋" w:eastAsia="仿宋" w:cs="仿宋"/>
          <w:sz w:val="24"/>
          <w:szCs w:val="24"/>
          <w:u w:val="single"/>
        </w:rPr>
        <w:t xml:space="preserve">（采购单位）</w:t>
      </w:r>
      <w:r>
        <w:rPr>
          <w:rFonts w:hint="eastAsia" w:ascii="仿宋" w:hAnsi="仿宋" w:eastAsia="仿宋" w:cs="仿宋"/>
          <w:sz w:val="24"/>
          <w:szCs w:val="24"/>
        </w:rPr>
        <w:t xml:space="preserve">：</w:t>
      </w:r>
      <w:r/>
    </w:p>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t xml:space="preserve">我公司具备履行编号为</w:t>
      </w:r>
      <w:r>
        <w:rPr>
          <w:rFonts w:hint="eastAsia" w:ascii="仿宋" w:hAnsi="仿宋" w:eastAsia="仿宋" w:cs="仿宋"/>
          <w:sz w:val="24"/>
          <w:szCs w:val="24"/>
          <w:u w:val="single"/>
        </w:rPr>
        <w:t xml:space="preserve">       号           项目</w:t>
      </w:r>
      <w:r>
        <w:rPr>
          <w:rFonts w:hint="eastAsia" w:ascii="仿宋" w:hAnsi="仿宋" w:eastAsia="仿宋" w:cs="仿宋"/>
          <w:sz w:val="24"/>
          <w:szCs w:val="24"/>
        </w:rPr>
        <w:t xml:space="preserve">合同的设备和专业技术能力。</w:t>
      </w:r>
      <w:r/>
    </w:p>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t xml:space="preserve">特此声明。</w:t>
      </w:r>
      <w:r/>
    </w:p>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600" w:lineRule="exact"/>
        <w:rPr>
          <w:rFonts w:hint="eastAsia" w:ascii="仿宋" w:hAnsi="仿宋" w:eastAsia="仿宋" w:cs="仿宋"/>
          <w:b/>
          <w:bCs/>
          <w:sz w:val="24"/>
          <w:szCs w:val="24"/>
        </w:rPr>
      </w:pPr>
      <w:r>
        <w:rPr>
          <w:rFonts w:hint="eastAsia" w:ascii="仿宋" w:hAnsi="仿宋" w:eastAsia="仿宋" w:cs="仿宋"/>
          <w:b/>
          <w:bCs/>
          <w:sz w:val="24"/>
          <w:szCs w:val="24"/>
        </w:rPr>
      </w:r>
      <w:r/>
    </w:p>
    <w:p>
      <w:pPr>
        <w:spacing w:line="600" w:lineRule="exact"/>
        <w:rPr>
          <w:rFonts w:hint="eastAsia" w:ascii="仿宋" w:hAnsi="仿宋" w:eastAsia="仿宋" w:cs="仿宋"/>
          <w:sz w:val="24"/>
          <w:szCs w:val="24"/>
        </w:rPr>
      </w:pPr>
      <w:r>
        <w:rPr>
          <w:rFonts w:hint="eastAsia" w:ascii="仿宋" w:hAnsi="仿宋" w:eastAsia="仿宋" w:cs="仿宋"/>
          <w:sz w:val="24"/>
          <w:szCs w:val="24"/>
        </w:rPr>
        <w:t xml:space="preserve">    单位公章：                           </w:t>
      </w:r>
      <w:r/>
    </w:p>
    <w:p>
      <w:pPr>
        <w:spacing w:line="600" w:lineRule="exact"/>
        <w:rPr>
          <w:rFonts w:hint="eastAsia" w:ascii="仿宋" w:hAnsi="仿宋" w:eastAsia="仿宋" w:cs="仿宋"/>
          <w:sz w:val="24"/>
          <w:szCs w:val="24"/>
        </w:rPr>
      </w:pPr>
      <w:r>
        <w:rPr>
          <w:rFonts w:hint="eastAsia" w:ascii="仿宋" w:hAnsi="仿宋" w:eastAsia="仿宋" w:cs="仿宋"/>
          <w:sz w:val="24"/>
          <w:szCs w:val="24"/>
        </w:rPr>
        <w:t xml:space="preserve">    法定代表人（或授权代表）签字或盖章：                 </w:t>
      </w:r>
      <w:r/>
    </w:p>
    <w:p>
      <w:pPr>
        <w:ind w:firstLine="720"/>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rPr>
          <w:rFonts w:hint="eastAsia" w:ascii="仿宋" w:hAnsi="仿宋" w:eastAsia="仿宋" w:cs="仿宋"/>
          <w:b/>
          <w:sz w:val="24"/>
          <w:szCs w:val="24"/>
        </w:rPr>
        <w:outlineLvl w:val="1"/>
      </w:pPr>
      <w:r>
        <w:rPr>
          <w:rFonts w:hint="eastAsia" w:ascii="仿宋" w:hAnsi="仿宋" w:eastAsia="仿宋" w:cs="仿宋"/>
          <w:b/>
          <w:sz w:val="24"/>
          <w:szCs w:val="24"/>
        </w:rPr>
        <w:br w:type="page" w:clear="all"/>
      </w:r>
      <w:bookmarkStart w:id="274" w:name="_Toc508955353"/>
      <w:r/>
      <w:bookmarkStart w:id="275" w:name="_Toc21026"/>
      <w:r>
        <w:rPr>
          <w:rFonts w:hint="eastAsia" w:ascii="仿宋" w:hAnsi="仿宋" w:eastAsia="仿宋" w:cs="仿宋"/>
          <w:b/>
          <w:sz w:val="24"/>
          <w:szCs w:val="24"/>
        </w:rPr>
        <w:t xml:space="preserve">五、无重大违法行为声明</w:t>
      </w:r>
      <w:bookmarkEnd w:id="274"/>
      <w:r/>
      <w:bookmarkEnd w:id="275"/>
      <w:r/>
      <w:r/>
    </w:p>
    <w:p>
      <w:pPr>
        <w:jc w:val="center"/>
        <w:spacing w:line="580" w:lineRule="exact"/>
        <w:tabs>
          <w:tab w:val="left" w:pos="1498" w:leader="none"/>
        </w:tabs>
        <w:rPr>
          <w:rFonts w:hint="eastAsia" w:ascii="仿宋" w:hAnsi="仿宋" w:eastAsia="仿宋" w:cs="仿宋"/>
          <w:b/>
          <w:sz w:val="24"/>
          <w:szCs w:val="24"/>
        </w:rPr>
      </w:pPr>
      <w:r>
        <w:rPr>
          <w:rFonts w:hint="eastAsia" w:ascii="仿宋" w:hAnsi="仿宋" w:eastAsia="仿宋" w:cs="仿宋"/>
          <w:b/>
          <w:sz w:val="24"/>
          <w:szCs w:val="24"/>
        </w:rPr>
        <w:t xml:space="preserve">无重大违法行为声明</w:t>
      </w:r>
      <w:r/>
    </w:p>
    <w:p>
      <w:pPr>
        <w:spacing w:line="580" w:lineRule="exact"/>
        <w:tabs>
          <w:tab w:val="left" w:pos="1498" w:leader="none"/>
        </w:tabs>
        <w:rPr>
          <w:rFonts w:hint="eastAsia" w:ascii="仿宋" w:hAnsi="仿宋" w:eastAsia="仿宋" w:cs="仿宋"/>
          <w:sz w:val="24"/>
          <w:szCs w:val="24"/>
        </w:rPr>
      </w:pPr>
      <w:r>
        <w:rPr>
          <w:rFonts w:hint="eastAsia" w:ascii="仿宋" w:hAnsi="仿宋" w:eastAsia="仿宋" w:cs="仿宋"/>
          <w:sz w:val="24"/>
          <w:szCs w:val="24"/>
          <w:u w:val="single"/>
        </w:rPr>
        <w:t xml:space="preserve">   （采购人名称）    </w:t>
      </w:r>
      <w:r>
        <w:rPr>
          <w:rFonts w:hint="eastAsia" w:ascii="仿宋" w:hAnsi="仿宋" w:eastAsia="仿宋" w:cs="仿宋"/>
          <w:sz w:val="24"/>
          <w:szCs w:val="24"/>
        </w:rPr>
        <w:t xml:space="preserve">：</w:t>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t xml:space="preserve">我公司在参加编号为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项目的投标活动前3年内，在经营活动中没有重大违法记录。</w:t>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t xml:space="preserve">特此声明。</w:t>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t xml:space="preserve">注：重大违法记录，是指供应商因违法经营受到刑事处罚或者责令停产停业、吊销许可证或者执照、较大数额罚款等行政处罚。</w:t>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sz w:val="24"/>
          <w:szCs w:val="24"/>
        </w:rPr>
      </w:pPr>
      <w:r>
        <w:rPr>
          <w:rFonts w:hint="eastAsia" w:ascii="仿宋" w:hAnsi="仿宋" w:eastAsia="仿宋" w:cs="仿宋"/>
          <w:sz w:val="24"/>
          <w:szCs w:val="24"/>
        </w:rPr>
        <w:t xml:space="preserve">    单位公章：                           </w:t>
      </w:r>
      <w:r/>
    </w:p>
    <w:p>
      <w:pPr>
        <w:spacing w:line="600" w:lineRule="exact"/>
        <w:rPr>
          <w:rFonts w:hint="eastAsia" w:ascii="仿宋" w:hAnsi="仿宋" w:eastAsia="仿宋" w:cs="仿宋"/>
          <w:sz w:val="24"/>
          <w:szCs w:val="24"/>
        </w:rPr>
      </w:pPr>
      <w:r>
        <w:rPr>
          <w:rFonts w:hint="eastAsia" w:ascii="仿宋" w:hAnsi="仿宋" w:eastAsia="仿宋" w:cs="仿宋"/>
          <w:sz w:val="24"/>
          <w:szCs w:val="24"/>
        </w:rPr>
        <w:t xml:space="preserve">    法定代表人（或授权代表）签字或盖章：                 </w:t>
      </w:r>
      <w:r/>
    </w:p>
    <w:p>
      <w:pPr>
        <w:ind w:firstLine="720"/>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rPr>
          <w:rFonts w:hint="eastAsia" w:ascii="仿宋" w:hAnsi="仿宋" w:eastAsia="仿宋" w:cs="仿宋"/>
          <w:b/>
          <w:sz w:val="24"/>
          <w:szCs w:val="24"/>
        </w:rPr>
        <w:outlineLvl w:val="1"/>
      </w:pPr>
      <w:r>
        <w:rPr>
          <w:rFonts w:hint="eastAsia" w:ascii="仿宋" w:hAnsi="仿宋" w:eastAsia="仿宋" w:cs="仿宋"/>
          <w:b/>
          <w:sz w:val="24"/>
          <w:szCs w:val="24"/>
        </w:rPr>
        <w:br w:type="page" w:clear="all"/>
      </w:r>
      <w:bookmarkStart w:id="276" w:name="_Toc7182"/>
      <w:r/>
      <w:bookmarkStart w:id="277" w:name="_Toc32555"/>
      <w:r>
        <w:rPr>
          <w:rFonts w:hint="eastAsia" w:ascii="仿宋" w:hAnsi="仿宋" w:eastAsia="仿宋" w:cs="仿宋"/>
          <w:b/>
          <w:sz w:val="24"/>
          <w:szCs w:val="24"/>
        </w:rPr>
        <w:t xml:space="preserve">六、法定代表人授权委托书</w:t>
      </w:r>
      <w:bookmarkEnd w:id="276"/>
      <w:r/>
      <w:bookmarkEnd w:id="277"/>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（一）法定代表人身份证明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供应商名称：</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单位性质：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地址：</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成立时间： 年 月 日</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经营期限：</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姓名： 性别： 年龄：职务：</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系 （供应商名称）的法定代表人。</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特此证明。</w:t>
      </w:r>
      <w:r/>
    </w:p>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（法定代表人出席磋商会议的提供，未出席的可不提供。</w:t>
      </w:r>
      <w:r>
        <w:rPr>
          <w:rFonts w:hint="eastAsia" w:ascii="仿宋" w:hAnsi="仿宋" w:eastAsia="仿宋" w:cs="仿宋"/>
          <w:b/>
          <w:sz w:val="24"/>
          <w:szCs w:val="24"/>
        </w:rPr>
        <w:t xml:space="preserve">附法定代表人居民身份证正反面复印件</w:t>
      </w: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jc w:val="right"/>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      年    月    日</w:t>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（二）法定代表人授权委托书</w:t>
      </w:r>
      <w:r/>
    </w:p>
    <w:p>
      <w:pPr>
        <w:spacing w:line="60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sz w:val="24"/>
          <w:szCs w:val="24"/>
        </w:rPr>
      </w:pPr>
      <w:r>
        <w:rPr>
          <w:rFonts w:hint="eastAsia" w:ascii="仿宋" w:hAnsi="仿宋" w:eastAsia="仿宋" w:cs="仿宋"/>
          <w:sz w:val="24"/>
          <w:szCs w:val="24"/>
          <w:u w:val="single"/>
        </w:rPr>
        <w:t xml:space="preserve">（采购人名称）</w:t>
      </w:r>
      <w:r>
        <w:rPr>
          <w:rFonts w:hint="eastAsia" w:ascii="仿宋" w:hAnsi="仿宋" w:eastAsia="仿宋" w:cs="仿宋"/>
          <w:sz w:val="24"/>
          <w:szCs w:val="24"/>
        </w:rPr>
        <w:t xml:space="preserve">：</w:t>
      </w:r>
      <w:r/>
    </w:p>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法定代表人授权我单位</w:t>
      </w:r>
      <w:r>
        <w:rPr>
          <w:rFonts w:hint="eastAsia" w:ascii="仿宋" w:hAnsi="仿宋" w:eastAsia="仿宋" w:cs="仿宋"/>
          <w:sz w:val="24"/>
          <w:szCs w:val="24"/>
          <w:u w:val="single"/>
        </w:rPr>
        <w:t xml:space="preserve">（职务或职称）（姓名）</w:t>
      </w:r>
      <w:r>
        <w:rPr>
          <w:rFonts w:hint="eastAsia" w:ascii="仿宋" w:hAnsi="仿宋" w:eastAsia="仿宋" w:cs="仿宋"/>
          <w:sz w:val="24"/>
          <w:szCs w:val="24"/>
        </w:rPr>
        <w:t xml:space="preserve">为我单位本次授权代理人，全权处理此次</w:t>
      </w:r>
      <w:r>
        <w:rPr>
          <w:rFonts w:hint="eastAsia" w:ascii="仿宋" w:hAnsi="仿宋" w:eastAsia="仿宋" w:cs="仿宋"/>
          <w:sz w:val="24"/>
          <w:szCs w:val="24"/>
          <w:u w:val="single"/>
        </w:rPr>
        <w:t xml:space="preserve">（项目编号）号（项目名称）</w:t>
      </w:r>
      <w:r>
        <w:rPr>
          <w:rFonts w:hint="eastAsia" w:ascii="仿宋" w:hAnsi="仿宋" w:eastAsia="仿宋" w:cs="仿宋"/>
          <w:sz w:val="24"/>
          <w:szCs w:val="24"/>
        </w:rPr>
        <w:t xml:space="preserve">竞争性磋商活动的一切事宜。</w:t>
      </w:r>
      <w:r/>
    </w:p>
    <w:p>
      <w:pPr>
        <w:ind w:firstLine="630"/>
        <w:spacing w:line="600" w:lineRule="exact"/>
        <w:rPr>
          <w:rFonts w:hint="eastAsia" w:ascii="仿宋" w:hAnsi="仿宋" w:eastAsia="仿宋" w:cs="仿宋"/>
          <w:sz w:val="24"/>
          <w:szCs w:val="24"/>
        </w:rPr>
      </w:pPr>
      <w:r>
        <w:rPr>
          <w:rFonts w:hint="eastAsia" w:ascii="仿宋" w:hAnsi="仿宋" w:eastAsia="仿宋" w:cs="仿宋"/>
          <w:sz w:val="24"/>
          <w:szCs w:val="24"/>
        </w:rPr>
        <w:t xml:space="preserve">特此授权</w:t>
      </w:r>
      <w:r/>
    </w:p>
    <w:p>
      <w:pPr>
        <w:ind w:firstLine="600"/>
        <w:spacing w:line="6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附法定代表人、授权委托人居民身份证正反面复印件</w:t>
      </w:r>
      <w:r>
        <w:rPr>
          <w:rFonts w:hint="eastAsia" w:ascii="仿宋" w:hAnsi="仿宋" w:eastAsia="仿宋" w:cs="仿宋"/>
          <w:sz w:val="24"/>
          <w:szCs w:val="24"/>
        </w:rPr>
        <w:t xml:space="preserve">）</w:t>
      </w:r>
      <w:r/>
    </w:p>
    <w:p>
      <w:pPr>
        <w:ind w:firstLine="630"/>
        <w:spacing w:line="600" w:lineRule="exact"/>
        <w:rPr>
          <w:rFonts w:hint="eastAsia" w:ascii="仿宋" w:hAnsi="仿宋" w:eastAsia="仿宋" w:cs="仿宋"/>
          <w:sz w:val="24"/>
          <w:szCs w:val="24"/>
        </w:rPr>
      </w:pPr>
      <w:r>
        <w:rPr>
          <w:rFonts w:hint="eastAsia" w:ascii="仿宋" w:hAnsi="仿宋" w:eastAsia="仿宋" w:cs="仿宋"/>
          <w:sz w:val="24"/>
          <w:szCs w:val="24"/>
        </w:rPr>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法人授权代表（签字）：</w:t>
      </w:r>
      <w:r/>
    </w:p>
    <w:p>
      <w:pPr>
        <w:ind w:firstLine="629"/>
        <w:spacing w:line="700" w:lineRule="exact"/>
        <w:rPr>
          <w:rFonts w:hint="eastAsia" w:ascii="仿宋" w:hAnsi="仿宋" w:eastAsia="仿宋" w:cs="仿宋"/>
          <w:sz w:val="24"/>
          <w:szCs w:val="24"/>
        </w:rPr>
      </w:pPr>
      <w:r>
        <w:rPr>
          <w:rFonts w:hint="eastAsia" w:ascii="仿宋" w:hAnsi="仿宋" w:eastAsia="仿宋" w:cs="仿宋"/>
          <w:sz w:val="24"/>
          <w:szCs w:val="24"/>
        </w:rPr>
        <w:t xml:space="preserve">      年    月    日</w:t>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sz w:val="24"/>
          <w:szCs w:val="24"/>
        </w:rPr>
      </w:pPr>
      <w:r>
        <w:rPr>
          <w:rFonts w:hint="eastAsia" w:ascii="仿宋" w:hAnsi="仿宋" w:eastAsia="仿宋" w:cs="仿宋"/>
          <w:b/>
          <w:sz w:val="24"/>
          <w:szCs w:val="24"/>
        </w:rPr>
        <w:br w:type="page" w:clear="all"/>
      </w:r>
      <w:r/>
    </w:p>
    <w:p>
      <w:pPr>
        <w:jc w:val="left"/>
        <w:spacing w:line="600" w:lineRule="exact"/>
        <w:rPr>
          <w:rFonts w:hint="eastAsia" w:ascii="仿宋" w:hAnsi="仿宋" w:eastAsia="仿宋" w:cs="仿宋"/>
          <w:b/>
          <w:sz w:val="24"/>
          <w:szCs w:val="24"/>
        </w:rPr>
      </w:pPr>
      <w:r>
        <w:rPr>
          <w:rFonts w:hint="eastAsia" w:ascii="仿宋" w:hAnsi="仿宋" w:eastAsia="仿宋" w:cs="仿宋"/>
          <w:b/>
          <w:sz w:val="24"/>
          <w:szCs w:val="24"/>
        </w:rPr>
        <w:t xml:space="preserve">七、报价一览表</w:t>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jc w:val="center"/>
        <w:spacing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报价一览表</w:t>
      </w:r>
      <w:r/>
    </w:p>
    <w:tbl>
      <w:tblPr>
        <w:tblStyle w:val="685"/>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9"/>
        <w:gridCol w:w="7147"/>
      </w:tblGrid>
      <w:tr>
        <w:trPr>
          <w:cantSplit/>
          <w:trHeight w:val="789"/>
        </w:trPr>
        <w:tc>
          <w:tcPr>
            <w:tcW w:w="2139" w:type="dxa"/>
            <w:vAlign w:val="center"/>
            <w:textDirection w:val="lrTb"/>
            <w:noWrap w:val="false"/>
          </w:tcPr>
          <w:p>
            <w:pPr>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项目编号</w:t>
            </w:r>
            <w:r/>
          </w:p>
          <w:p>
            <w:pPr>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及名称</w:t>
            </w:r>
            <w:r/>
          </w:p>
        </w:tc>
        <w:tc>
          <w:tcPr>
            <w:tcW w:w="7147" w:type="dxa"/>
            <w:vAlign w:val="center"/>
            <w:textDirection w:val="lrTb"/>
            <w:noWrap w:val="false"/>
          </w:tcPr>
          <w:p>
            <w:pP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2364"/>
        </w:trPr>
        <w:tc>
          <w:tcPr>
            <w:tcW w:w="2139" w:type="dxa"/>
            <w:vAlign w:val="center"/>
            <w:textDirection w:val="lrTb"/>
            <w:noWrap w:val="false"/>
          </w:tcPr>
          <w:p>
            <w:pPr>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响应报价</w:t>
            </w:r>
            <w:r/>
          </w:p>
        </w:tc>
        <w:tc>
          <w:tcPr>
            <w:tcW w:w="7147" w:type="dxa"/>
            <w:vAlign w:val="center"/>
            <w:textDirection w:val="lrTb"/>
            <w:noWrap w:val="false"/>
          </w:tcPr>
          <w:p>
            <w:pPr>
              <w:spacing w:line="50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w:t>
            </w:r>
            <w:r/>
          </w:p>
          <w:p>
            <w:pPr>
              <w:spacing w:line="500" w:lineRule="exact"/>
              <w:rPr>
                <w:rFonts w:hint="eastAsia" w:ascii="仿宋" w:hAnsi="仿宋" w:eastAsia="仿宋" w:cs="仿宋"/>
                <w:bCs/>
                <w:sz w:val="24"/>
                <w:szCs w:val="24"/>
              </w:rPr>
            </w:pPr>
            <w:r>
              <w:rPr>
                <w:rFonts w:hint="eastAsia" w:ascii="仿宋" w:hAnsi="仿宋" w:eastAsia="仿宋" w:cs="仿宋"/>
                <w:bCs/>
                <w:sz w:val="24"/>
                <w:szCs w:val="24"/>
              </w:rPr>
              <w:t xml:space="preserve">人民币（大写）：</w:t>
            </w:r>
            <w:r/>
          </w:p>
          <w:p>
            <w:pPr>
              <w:ind w:firstLine="241"/>
              <w:spacing w:line="500" w:lineRule="exact"/>
              <w:rPr>
                <w:rFonts w:hint="eastAsia" w:ascii="仿宋" w:hAnsi="仿宋" w:eastAsia="仿宋" w:cs="仿宋"/>
                <w:bCs/>
                <w:sz w:val="24"/>
                <w:szCs w:val="24"/>
                <w:u w:val="single"/>
              </w:rPr>
            </w:pPr>
            <w:r>
              <w:rPr>
                <w:rFonts w:hint="eastAsia" w:ascii="仿宋" w:hAnsi="仿宋" w:eastAsia="仿宋" w:cs="仿宋"/>
                <w:b/>
                <w:bCs/>
                <w:sz w:val="24"/>
                <w:szCs w:val="24"/>
              </w:rPr>
              <w:t xml:space="preserve">拾万仟佰拾元角分</w:t>
            </w:r>
            <w:r/>
          </w:p>
        </w:tc>
      </w:tr>
      <w:tr>
        <w:trPr>
          <w:cantSplit/>
          <w:trHeight w:val="2157"/>
        </w:trPr>
        <w:tc>
          <w:tcPr>
            <w:tcW w:w="2139" w:type="dxa"/>
            <w:vAlign w:val="center"/>
            <w:textDirection w:val="lrTb"/>
            <w:noWrap w:val="false"/>
          </w:tcPr>
          <w:p>
            <w:pPr>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工期及质保期</w:t>
            </w:r>
            <w:r/>
          </w:p>
        </w:tc>
        <w:tc>
          <w:tcPr>
            <w:tcW w:w="7147"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2157"/>
        </w:trPr>
        <w:tc>
          <w:tcPr>
            <w:tcW w:w="2139" w:type="dxa"/>
            <w:vAlign w:val="center"/>
            <w:textDirection w:val="lrTb"/>
            <w:noWrap w:val="false"/>
          </w:tcPr>
          <w:p>
            <w:pPr>
              <w:jc w:val="center"/>
              <w:spacing w:line="6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tcW w:w="7147" w:type="dxa"/>
            <w:vAlign w:val="center"/>
            <w:textDirection w:val="lrTb"/>
            <w:noWrap w:val="false"/>
          </w:tcPr>
          <w:p>
            <w:pPr>
              <w:jc w:val="center"/>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tc>
      </w:tr>
    </w:tbl>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单位名称（公章）：  </w:t>
      </w:r>
      <w:r/>
    </w:p>
    <w:p>
      <w:pPr>
        <w:rPr>
          <w:rFonts w:hint="eastAsia" w:ascii="仿宋" w:hAnsi="仿宋" w:eastAsia="仿宋" w:cs="仿宋"/>
          <w:sz w:val="24"/>
          <w:szCs w:val="24"/>
        </w:rPr>
      </w:pPr>
      <w:r>
        <w:rPr>
          <w:rFonts w:hint="eastAsia" w:ascii="仿宋" w:hAnsi="仿宋" w:eastAsia="仿宋" w:cs="仿宋"/>
          <w:sz w:val="24"/>
          <w:szCs w:val="24"/>
        </w:rPr>
        <w:t xml:space="preserve">法定代表人（或授权代表）：（签字或盖章）</w:t>
      </w:r>
      <w:r/>
    </w:p>
    <w:p>
      <w:pPr>
        <w:spacing w:line="560" w:lineRule="exact"/>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br w:type="page" w:clear="all"/>
      </w:r>
      <w:bookmarkStart w:id="278" w:name="_Toc11550"/>
      <w:r>
        <w:rPr>
          <w:rFonts w:hint="eastAsia" w:ascii="仿宋" w:hAnsi="仿宋" w:eastAsia="仿宋" w:cs="仿宋"/>
          <w:b/>
          <w:sz w:val="24"/>
          <w:szCs w:val="24"/>
        </w:rPr>
        <w:t xml:space="preserve">八、</w:t>
      </w:r>
      <w:bookmarkEnd w:id="278"/>
      <w:r>
        <w:rPr>
          <w:rFonts w:hint="eastAsia" w:ascii="仿宋" w:hAnsi="仿宋" w:eastAsia="仿宋" w:cs="仿宋"/>
          <w:b/>
          <w:sz w:val="24"/>
          <w:szCs w:val="24"/>
        </w:rPr>
        <w:t xml:space="preserve">工程量清单</w:t>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（采购需求内清单，格式自拟）</w:t>
      </w:r>
      <w:r/>
    </w:p>
    <w:p>
      <w:pPr>
        <w:spacing w:line="560" w:lineRule="exact"/>
        <w:rPr>
          <w:rFonts w:hint="eastAsia"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br w:type="page" w:clear="all"/>
      </w:r>
      <w:r/>
    </w:p>
    <w:p>
      <w:pPr>
        <w:jc w:val="left"/>
        <w:rPr>
          <w:rFonts w:hint="eastAsia" w:ascii="仿宋" w:hAnsi="仿宋" w:eastAsia="仿宋" w:cs="仿宋"/>
          <w:b/>
          <w:sz w:val="24"/>
          <w:szCs w:val="24"/>
        </w:rPr>
      </w:pPr>
      <w:r>
        <w:rPr>
          <w:rFonts w:hint="eastAsia" w:ascii="仿宋" w:hAnsi="仿宋" w:eastAsia="仿宋" w:cs="仿宋"/>
          <w:b/>
          <w:sz w:val="24"/>
          <w:szCs w:val="24"/>
        </w:rPr>
        <w:t xml:space="preserve">九、中小企业声明函及残疾人福利性单位声明函</w:t>
      </w:r>
      <w:r/>
    </w:p>
    <w:p>
      <w:pPr>
        <w:jc w:val="left"/>
        <w:rPr>
          <w:rFonts w:hint="eastAsia" w:ascii="仿宋" w:hAnsi="仿宋" w:eastAsia="仿宋" w:cs="仿宋"/>
          <w:b/>
          <w:sz w:val="24"/>
          <w:szCs w:val="24"/>
        </w:rPr>
      </w:pPr>
      <w:r>
        <w:rPr>
          <w:rFonts w:hint="eastAsia" w:ascii="仿宋" w:hAnsi="仿宋" w:eastAsia="仿宋" w:cs="仿宋"/>
          <w:b/>
          <w:sz w:val="24"/>
          <w:szCs w:val="24"/>
        </w:rPr>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中小企业声明函（服务、工程）</w:t>
      </w:r>
      <w:r/>
    </w:p>
    <w:p>
      <w:pPr>
        <w:jc w:val="left"/>
        <w:rPr>
          <w:rFonts w:hint="eastAsia" w:ascii="仿宋" w:hAnsi="仿宋" w:eastAsia="仿宋" w:cs="仿宋"/>
          <w:b/>
          <w:sz w:val="24"/>
          <w:szCs w:val="24"/>
        </w:rPr>
      </w:pPr>
      <w:r>
        <w:rPr>
          <w:rFonts w:hint="eastAsia" w:ascii="仿宋" w:hAnsi="仿宋" w:eastAsia="仿宋" w:cs="仿宋"/>
          <w:b/>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i/>
          <w:sz w:val="24"/>
          <w:szCs w:val="24"/>
          <w:u w:val="single"/>
        </w:rPr>
        <w:t xml:space="preserve">采购文件中明确的所属行业）</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480"/>
        <w:jc w:val="left"/>
        <w:spacing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i/>
          <w:sz w:val="24"/>
          <w:szCs w:val="24"/>
          <w:u w:val="single"/>
        </w:rPr>
        <w:t xml:space="preserve">采购文件中明确的所属行业）</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企业名称（公章）：</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从业人员、营业收入、资产总额填报上一年数据，无上一年数据的新成立企业可不填报。</w:t>
      </w:r>
      <w:r/>
    </w:p>
    <w:p>
      <w:pPr>
        <w:jc w:val="center"/>
        <w:rPr>
          <w:rFonts w:hint="eastAsia" w:ascii="仿宋" w:hAnsi="仿宋" w:eastAsia="仿宋" w:cs="仿宋"/>
          <w:b/>
          <w:sz w:val="24"/>
          <w:szCs w:val="24"/>
        </w:rPr>
      </w:pPr>
      <w:r>
        <w:rPr>
          <w:rFonts w:hint="eastAsia" w:ascii="仿宋" w:hAnsi="仿宋" w:eastAsia="仿宋" w:cs="仿宋"/>
          <w:b/>
          <w:sz w:val="24"/>
          <w:szCs w:val="24"/>
        </w:rPr>
      </w:r>
      <w:r/>
    </w:p>
    <w:p>
      <w:pPr>
        <w:jc w:val="center"/>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r>
      <w:r/>
    </w:p>
    <w:p>
      <w:pPr>
        <w:jc w:val="center"/>
        <w:spacing w:before="151" w:after="151" w:line="600" w:lineRule="exact"/>
        <w:rPr>
          <w:rFonts w:hint="eastAsia" w:ascii="仿宋" w:hAnsi="仿宋" w:eastAsia="仿宋" w:cs="仿宋"/>
          <w:b/>
          <w:bCs/>
          <w:sz w:val="24"/>
          <w:szCs w:val="24"/>
        </w:rPr>
      </w:pPr>
      <w:r>
        <w:rPr>
          <w:rFonts w:hint="eastAsia" w:ascii="仿宋" w:hAnsi="仿宋" w:eastAsia="仿宋" w:cs="仿宋"/>
          <w:b/>
          <w:bCs/>
          <w:sz w:val="24"/>
          <w:szCs w:val="24"/>
        </w:rPr>
      </w:r>
      <w:r/>
    </w:p>
    <w:p>
      <w:pPr>
        <w:spacing w:before="151" w:after="151" w:line="600" w:lineRule="exact"/>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before="151" w:after="151"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残疾人福利性单位声明函</w:t>
      </w:r>
      <w:r/>
    </w:p>
    <w:p>
      <w:pPr>
        <w:spacing w:line="588" w:lineRule="exact"/>
        <w:rPr>
          <w:rFonts w:hint="eastAsia" w:ascii="仿宋" w:hAnsi="仿宋" w:eastAsia="仿宋" w:cs="仿宋"/>
          <w:b/>
          <w:spacing w:val="6"/>
          <w:sz w:val="24"/>
          <w:szCs w:val="24"/>
        </w:rPr>
      </w:pPr>
      <w:r>
        <w:rPr>
          <w:rFonts w:hint="eastAsia" w:ascii="仿宋" w:hAnsi="仿宋" w:eastAsia="仿宋" w:cs="仿宋"/>
          <w:b/>
          <w:spacing w:val="6"/>
          <w:sz w:val="24"/>
          <w:szCs w:val="24"/>
        </w:rPr>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3628"/>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单位名称：（公章）</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ind w:left="357"/>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45"/>
        <w:spacing w:before="151" w:after="151" w:line="240" w:lineRule="atLeast"/>
        <w:rPr>
          <w:rFonts w:hint="eastAsia" w:ascii="仿宋" w:hAnsi="仿宋" w:eastAsia="仿宋" w:cs="仿宋"/>
          <w:sz w:val="24"/>
          <w:szCs w:val="24"/>
        </w:rPr>
      </w:pPr>
      <w:r>
        <w:rPr>
          <w:rFonts w:hint="eastAsia" w:ascii="仿宋" w:hAnsi="仿宋" w:eastAsia="仿宋" w:cs="仿宋"/>
          <w:sz w:val="24"/>
          <w:szCs w:val="24"/>
        </w:rPr>
        <w:t xml:space="preserve">注：非残疾人福利性单位不需提供此函。</w:t>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b/>
          <w:sz w:val="24"/>
          <w:szCs w:val="24"/>
        </w:rPr>
        <w:outlineLvl w:val="1"/>
      </w:pPr>
      <w:r/>
      <w:bookmarkStart w:id="279" w:name="_Toc21525"/>
      <w:r>
        <w:rPr>
          <w:rFonts w:hint="eastAsia" w:ascii="仿宋" w:hAnsi="仿宋" w:eastAsia="仿宋" w:cs="仿宋"/>
          <w:b/>
          <w:sz w:val="24"/>
          <w:szCs w:val="24"/>
        </w:rPr>
        <w:t xml:space="preserve">十、响应偏离表</w:t>
      </w:r>
      <w:bookmarkEnd w:id="279"/>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响应偏离表</w:t>
      </w:r>
      <w:r/>
    </w:p>
    <w:p>
      <w:pPr>
        <w:ind w:firstLine="480"/>
        <w:rPr>
          <w:rFonts w:hint="eastAsia" w:ascii="仿宋" w:hAnsi="仿宋" w:eastAsia="仿宋" w:cs="仿宋"/>
          <w:sz w:val="24"/>
          <w:szCs w:val="24"/>
        </w:rPr>
      </w:pPr>
      <w:r>
        <w:rPr>
          <w:rFonts w:hint="eastAsia" w:ascii="仿宋" w:hAnsi="仿宋" w:eastAsia="仿宋" w:cs="仿宋"/>
          <w:sz w:val="24"/>
          <w:szCs w:val="24"/>
        </w:rPr>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4"/>
        <w:gridCol w:w="2597"/>
        <w:gridCol w:w="2597"/>
      </w:tblGrid>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磋商文件内容</w:t>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响应文件内容</w:t>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偏离内容及说明</w:t>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0"/>
        </w:trPr>
        <w:tc>
          <w:tcPr>
            <w:tcBorders>
              <w:top w:val="single" w:color="auto" w:sz="4" w:space="0"/>
              <w:left w:val="single" w:color="auto" w:sz="4" w:space="0"/>
              <w:bottom w:val="single" w:color="auto" w:sz="4" w:space="0"/>
              <w:right w:val="single" w:color="auto" w:sz="4" w:space="0"/>
            </w:tcBorders>
            <w:tcW w:w="3044"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9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注：1、响应文件中所提供货物或服务与磋商文件有偏离的（包括正偏离，用+号表示和负偏离，用-号表示），均应在此表中详细列出并说明理由（内容较多的可以标注见响应文件第几页）。2.若《响应偏离表》与响应文件中技术参数不一致，以《响应偏离表》为准。3.未在此表中说明的视为均响应文件要求。</w:t>
      </w:r>
      <w:r/>
    </w:p>
    <w:p>
      <w:pPr>
        <w:ind w:right="105"/>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单位名称（公章）：  </w:t>
      </w:r>
      <w:r/>
    </w:p>
    <w:p>
      <w:pPr>
        <w:rPr>
          <w:rFonts w:hint="eastAsia" w:ascii="仿宋" w:hAnsi="仿宋" w:eastAsia="仿宋" w:cs="仿宋"/>
          <w:sz w:val="24"/>
          <w:szCs w:val="24"/>
        </w:rPr>
        <w:outlineLvl w:val="1"/>
      </w:pPr>
      <w:r>
        <w:rPr>
          <w:rFonts w:hint="eastAsia" w:ascii="仿宋" w:hAnsi="仿宋" w:eastAsia="仿宋" w:cs="仿宋"/>
          <w:b/>
          <w:sz w:val="24"/>
          <w:szCs w:val="24"/>
        </w:rPr>
        <w:br w:type="page" w:clear="all"/>
      </w:r>
      <w:bookmarkStart w:id="280" w:name="_Toc24183"/>
      <w:r>
        <w:rPr>
          <w:rFonts w:hint="eastAsia" w:ascii="仿宋" w:hAnsi="仿宋" w:eastAsia="仿宋" w:cs="仿宋"/>
          <w:b/>
          <w:sz w:val="24"/>
          <w:szCs w:val="24"/>
        </w:rPr>
        <w:t xml:space="preserve">十一、项目组人员</w:t>
      </w:r>
      <w:bookmarkEnd w:id="280"/>
      <w:r/>
      <w:r/>
    </w:p>
    <w:p>
      <w:pPr>
        <w:jc w:val="center"/>
        <w:spacing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供应商项目组成员配备一览表</w:t>
      </w:r>
      <w:r/>
    </w:p>
    <w:p>
      <w:pPr>
        <w:jc w:val="center"/>
        <w:spacing w:line="600" w:lineRule="exact"/>
        <w:rPr>
          <w:rFonts w:hint="eastAsia" w:ascii="仿宋" w:hAnsi="仿宋" w:eastAsia="仿宋" w:cs="仿宋"/>
          <w:b/>
          <w:bCs/>
          <w:sz w:val="24"/>
          <w:szCs w:val="24"/>
        </w:rPr>
      </w:pPr>
      <w:r>
        <w:rPr>
          <w:rFonts w:hint="eastAsia" w:ascii="仿宋" w:hAnsi="仿宋" w:eastAsia="仿宋" w:cs="仿宋"/>
          <w:b/>
          <w:bCs/>
          <w:sz w:val="24"/>
          <w:szCs w:val="24"/>
        </w:rPr>
      </w:r>
      <w:r/>
    </w:p>
    <w:tbl>
      <w:tblPr>
        <w:tblStyle w:val="685"/>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1350"/>
        <w:gridCol w:w="110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本项目</w:t>
            </w:r>
            <w:r/>
          </w:p>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身份证号</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相关培训证书</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398"/>
        <w:spacing w:line="460" w:lineRule="exact"/>
        <w:rPr>
          <w:rFonts w:hint="eastAsia" w:ascii="仿宋" w:hAnsi="仿宋" w:eastAsia="仿宋" w:cs="仿宋"/>
          <w:b/>
          <w:sz w:val="24"/>
          <w:szCs w:val="24"/>
        </w:rPr>
      </w:pPr>
      <w:r>
        <w:rPr>
          <w:rFonts w:hint="eastAsia" w:ascii="仿宋" w:hAnsi="仿宋" w:eastAsia="仿宋" w:cs="仿宋"/>
          <w:b/>
          <w:sz w:val="24"/>
          <w:szCs w:val="24"/>
        </w:rPr>
        <w:t xml:space="preserve">注：如供应商成交，应按本表承诺人员操作，不得随意更换。</w:t>
      </w:r>
      <w:r/>
    </w:p>
    <w:p>
      <w:pPr>
        <w:spacing w:line="560" w:lineRule="exact"/>
        <w:rPr>
          <w:rFonts w:hint="eastAsia" w:ascii="仿宋" w:hAnsi="仿宋" w:eastAsia="仿宋" w:cs="仿宋"/>
          <w:sz w:val="24"/>
          <w:szCs w:val="24"/>
        </w:rPr>
      </w:pPr>
      <w:r/>
      <w:bookmarkStart w:id="281" w:name="_Toc23818"/>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单位名称（公章）：  </w:t>
      </w:r>
      <w:r>
        <w:rPr>
          <w:rFonts w:hint="eastAsia" w:ascii="仿宋" w:hAnsi="仿宋" w:eastAsia="仿宋" w:cs="仿宋"/>
          <w:sz w:val="24"/>
          <w:szCs w:val="24"/>
        </w:rPr>
        <w:br w:type="page" w:clear="all"/>
      </w:r>
      <w:r/>
    </w:p>
    <w:p>
      <w:pPr>
        <w:rPr>
          <w:rFonts w:hint="eastAsia" w:ascii="仿宋" w:hAnsi="仿宋" w:eastAsia="仿宋" w:cs="仿宋"/>
          <w:b/>
          <w:sz w:val="24"/>
          <w:szCs w:val="24"/>
        </w:rPr>
        <w:outlineLvl w:val="1"/>
      </w:pPr>
      <w:r/>
      <w:bookmarkStart w:id="282" w:name="_Toc3170"/>
      <w:r>
        <w:rPr>
          <w:rFonts w:hint="eastAsia" w:ascii="仿宋" w:hAnsi="仿宋" w:eastAsia="仿宋" w:cs="仿宋"/>
          <w:b/>
          <w:sz w:val="24"/>
          <w:szCs w:val="24"/>
        </w:rPr>
        <w:t xml:space="preserve">十二、供应商承担类似项目业绩一览表</w:t>
      </w:r>
      <w:bookmarkEnd w:id="281"/>
      <w:r/>
      <w:bookmarkEnd w:id="282"/>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供应商承担类似项目业绩一览表</w:t>
      </w:r>
      <w:r/>
    </w:p>
    <w:tbl>
      <w:tblPr>
        <w:tblStyle w:val="68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8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243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采购单位</w:t>
            </w:r>
            <w:r/>
          </w:p>
        </w:tc>
        <w:tc>
          <w:tcPr>
            <w:tcW w:w="13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合同金额</w:t>
            </w:r>
            <w:r/>
          </w:p>
        </w:tc>
      </w:tr>
      <w:tr>
        <w:trPr>
          <w:jc w:val="center"/>
          <w:trHeight w:val="1170"/>
        </w:trPr>
        <w:tc>
          <w:tcPr>
            <w:tcW w:w="1229" w:type="dxa"/>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8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43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3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035"/>
        </w:trPr>
        <w:tc>
          <w:tcPr>
            <w:tcW w:w="1229" w:type="dxa"/>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8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43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3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885"/>
        </w:trPr>
        <w:tc>
          <w:tcPr>
            <w:tcW w:w="1229" w:type="dxa"/>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8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43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3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165"/>
        </w:trPr>
        <w:tc>
          <w:tcPr>
            <w:tcW w:w="1229" w:type="dxa"/>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38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243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3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注：根据磋商文件要求提供类似项目业绩，并按要求提供相关证明材料。</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单位名称（公章）：  </w:t>
      </w:r>
      <w:r/>
    </w:p>
    <w:p>
      <w:pPr>
        <w:rPr>
          <w:rFonts w:hint="eastAsia" w:ascii="仿宋" w:hAnsi="仿宋" w:eastAsia="仿宋" w:cs="仿宋"/>
          <w:b/>
          <w:sz w:val="24"/>
          <w:szCs w:val="24"/>
        </w:rPr>
        <w:outlineLvl w:val="1"/>
      </w:pPr>
      <w:r>
        <w:rPr>
          <w:rFonts w:hint="eastAsia" w:ascii="仿宋" w:hAnsi="仿宋" w:eastAsia="仿宋" w:cs="仿宋"/>
          <w:b/>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ind w:left="469" w:firstLine="420"/>
        <w:spacing w:line="312" w:lineRule="auto"/>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rPr>
          <w:rFonts w:hint="eastAsia" w:ascii="仿宋" w:hAnsi="仿宋" w:eastAsia="仿宋" w:cs="仿宋"/>
          <w:b/>
          <w:bCs/>
          <w:sz w:val="24"/>
          <w:szCs w:val="24"/>
        </w:rPr>
      </w:pPr>
      <w:r>
        <w:rPr>
          <w:rFonts w:hint="eastAsia" w:ascii="仿宋" w:hAnsi="仿宋" w:eastAsia="仿宋" w:cs="仿宋"/>
          <w:b/>
          <w:sz w:val="24"/>
          <w:szCs w:val="24"/>
        </w:rPr>
        <w:t xml:space="preserve">十三、诚信行为承诺书</w:t>
      </w:r>
      <w:r/>
    </w:p>
    <w:p>
      <w:pPr>
        <w:jc w:val="center"/>
        <w:spacing w:line="360" w:lineRule="auto"/>
        <w:rPr>
          <w:rFonts w:hint="eastAsia" w:ascii="仿宋" w:hAnsi="仿宋" w:eastAsia="仿宋" w:cs="仿宋"/>
          <w:b/>
          <w:bCs/>
          <w:sz w:val="32"/>
          <w:szCs w:val="32"/>
        </w:rPr>
      </w:pPr>
      <w:r>
        <w:rPr>
          <w:rFonts w:hint="eastAsia" w:ascii="仿宋" w:hAnsi="仿宋" w:eastAsia="仿宋" w:cs="仿宋"/>
          <w:sz w:val="32"/>
          <w:szCs w:val="32"/>
        </w:rPr>
        <w:t xml:space="preserve">诚信行为承诺书</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（采购人名称）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我方（</w:t>
      </w:r>
      <w:r>
        <w:rPr>
          <w:rFonts w:hint="eastAsia" w:ascii="仿宋" w:hAnsi="仿宋" w:eastAsia="仿宋" w:cs="仿宋"/>
          <w:sz w:val="24"/>
          <w:szCs w:val="24"/>
          <w:u w:val="single"/>
        </w:rPr>
        <w:t xml:space="preserve">供应商名称）</w:t>
      </w:r>
      <w:r>
        <w:rPr>
          <w:rFonts w:hint="eastAsia" w:ascii="仿宋" w:hAnsi="仿宋" w:eastAsia="仿宋" w:cs="仿宋"/>
          <w:sz w:val="24"/>
          <w:szCs w:val="24"/>
        </w:rPr>
        <w:t xml:space="preserve">自愿参与</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项目的采购活动，现郑重承诺如下：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一、响应文件提供的所有资料（包括但不限于业绩、施工方案、售后服务方案）均真实、完整，不存在故意隐瞒、虚假陈述或提供伪造、无效信息等情形。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二、保证本次提供响应文件的行为独立，未与其他供应商串通协商报价、技术方案等实质性内容，未通过故意不提供必要文件、降低投标质量等方式为他人成交提供便利。</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三、若违反上述承诺，我方自愿接受采购人按内控管理规定进行处理，如取消采购人采购项目的参与资格等。</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288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单位名称： （公章）</w:t>
      </w:r>
      <w:r/>
    </w:p>
    <w:p>
      <w:pPr>
        <w:ind w:left="2100" w:firstLine="72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法定代表人（或授权代表人）：（签字或盖章）</w:t>
      </w:r>
      <w:r/>
    </w:p>
    <w:p>
      <w:pPr>
        <w:ind w:firstLine="288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2880"/>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十四、磋商所需其他材料</w:t>
      </w:r>
      <w:bookmarkEnd w:id="265"/>
      <w:r/>
      <w:bookmarkEnd w:id="266"/>
      <w:r/>
      <w:r/>
    </w:p>
    <w:p>
      <w:pPr>
        <w:pStyle w:val="1009"/>
        <w:ind w:firstLine="56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请在此文档中增加磋商所需其他相关内容（包括资格要求、评分办法、采购需求中涉及的证件证明及其他投标人认为有必要提供的资料），如没有请将此空文档上传。</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p>
    <w:p>
      <w:pPr>
        <w:jc w:val="cente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质疑函范本</w:t>
      </w:r>
      <w:r/>
    </w:p>
    <w:p>
      <w:pPr>
        <w:spacing w:before="29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一、质疑供应商基本信息</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质疑供应商：</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邮编：</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邮编：</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包号：</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采购人名称：</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签字（签章）：                   公章：                      </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spacing w:line="40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sectPr>
      <w:foot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黑体_GBK">
    <w:panose1 w:val="020B0503020202020204"/>
  </w:font>
  <w:font w:name="Book Antiqua">
    <w:panose1 w:val="020406020503050303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9"/>
        <w:rFonts w:hint="eastAsia"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３９</w:t>
    </w:r>
    <w:r>
      <w:rPr>
        <w:rFonts w:ascii="宋体" w:hAnsi="宋体"/>
      </w:rPr>
      <w:fldChar w:fldCharType="end"/>
    </w:r>
    <w:r/>
  </w:p>
  <w:p>
    <w:pPr>
      <w:pStyle w:val="939"/>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3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3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15"/>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3"/>
      <w:isLgl w:val="false"/>
      <w:suff w:val="nothing"/>
      <w:lvlText w:val=""/>
      <w:lvlJc w:val="left"/>
      <w:pPr>
        <w:ind w:left="0" w:firstLine="0"/>
      </w:pPr>
      <w:rPr>
        <w:rFonts w:hint="eastAsia"/>
      </w:rPr>
    </w:lvl>
    <w:lvl w:ilvl="6">
      <w:start w:val="1"/>
      <w:numFmt w:val="decimal"/>
      <w:pStyle w:val="904"/>
      <w:isLgl w:val="false"/>
      <w:suff w:val="nothing"/>
      <w:lvlText w:val=""/>
      <w:lvlJc w:val="left"/>
      <w:pPr>
        <w:ind w:left="0" w:firstLine="0"/>
      </w:pPr>
      <w:rPr>
        <w:rFonts w:hint="eastAsia"/>
      </w:rPr>
    </w:lvl>
    <w:lvl w:ilvl="7">
      <w:start w:val="1"/>
      <w:numFmt w:val="decimal"/>
      <w:pStyle w:val="905"/>
      <w:isLgl w:val="false"/>
      <w:suff w:val="nothing"/>
      <w:lvlText w:val=""/>
      <w:lvlJc w:val="left"/>
      <w:pPr>
        <w:ind w:left="0" w:firstLine="0"/>
      </w:pPr>
      <w:rPr>
        <w:rFonts w:hint="eastAsia"/>
      </w:rPr>
    </w:lvl>
    <w:lvl w:ilvl="8">
      <w:start w:val="1"/>
      <w:numFmt w:val="decimal"/>
      <w:pStyle w:val="906"/>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18"/>
      <w:isLgl w:val="false"/>
      <w:suff w:val="space"/>
      <w:lvlText w:val="%1、"/>
      <w:lvlJc w:val="left"/>
      <w:pPr>
        <w:ind w:left="1854" w:hanging="720"/>
      </w:pPr>
      <w:rPr>
        <w:rFonts w:hint="default"/>
      </w:rPr>
    </w:lvl>
    <w:lvl w:ilvl="1">
      <w:start w:val="1"/>
      <w:numFmt w:val="lowerLetter"/>
      <w:isLgl w:val="false"/>
      <w:suff w:val="tab"/>
      <w:lvlText w:val="%2)"/>
      <w:lvlJc w:val="left"/>
      <w:pPr>
        <w:ind w:left="2534" w:hanging="420"/>
      </w:pPr>
    </w:lvl>
    <w:lvl w:ilvl="2">
      <w:start w:val="1"/>
      <w:numFmt w:val="lowerRoman"/>
      <w:isLgl w:val="false"/>
      <w:suff w:val="tab"/>
      <w:lvlText w:val="%3."/>
      <w:lvlJc w:val="right"/>
      <w:pPr>
        <w:ind w:left="2954" w:hanging="420"/>
      </w:pPr>
    </w:lvl>
    <w:lvl w:ilvl="3">
      <w:start w:val="1"/>
      <w:numFmt w:val="decimal"/>
      <w:isLgl w:val="false"/>
      <w:suff w:val="tab"/>
      <w:lvlText w:val="%4."/>
      <w:lvlJc w:val="left"/>
      <w:pPr>
        <w:ind w:left="3374" w:hanging="420"/>
      </w:pPr>
    </w:lvl>
    <w:lvl w:ilvl="4">
      <w:start w:val="1"/>
      <w:numFmt w:val="lowerLetter"/>
      <w:isLgl w:val="false"/>
      <w:suff w:val="tab"/>
      <w:lvlText w:val="%5)"/>
      <w:lvlJc w:val="left"/>
      <w:pPr>
        <w:ind w:left="3794" w:hanging="420"/>
      </w:pPr>
    </w:lvl>
    <w:lvl w:ilvl="5">
      <w:start w:val="1"/>
      <w:numFmt w:val="lowerRoman"/>
      <w:isLgl w:val="false"/>
      <w:suff w:val="tab"/>
      <w:lvlText w:val="%6."/>
      <w:lvlJc w:val="right"/>
      <w:pPr>
        <w:ind w:left="4214" w:hanging="420"/>
      </w:pPr>
    </w:lvl>
    <w:lvl w:ilvl="6">
      <w:start w:val="1"/>
      <w:numFmt w:val="decimal"/>
      <w:isLgl w:val="false"/>
      <w:suff w:val="tab"/>
      <w:lvlText w:val="%7."/>
      <w:lvlJc w:val="left"/>
      <w:pPr>
        <w:ind w:left="4634" w:hanging="420"/>
      </w:pPr>
    </w:lvl>
    <w:lvl w:ilvl="7">
      <w:start w:val="1"/>
      <w:numFmt w:val="lowerLetter"/>
      <w:isLgl w:val="false"/>
      <w:suff w:val="tab"/>
      <w:lvlText w:val="%8)"/>
      <w:lvlJc w:val="left"/>
      <w:pPr>
        <w:ind w:left="5054" w:hanging="420"/>
      </w:pPr>
    </w:lvl>
    <w:lvl w:ilvl="8">
      <w:start w:val="1"/>
      <w:numFmt w:val="lowerRoman"/>
      <w:isLgl w:val="false"/>
      <w:suff w:val="tab"/>
      <w:lvlText w:val="%9."/>
      <w:lvlJc w:val="right"/>
      <w:pPr>
        <w:ind w:left="5474" w:hanging="420"/>
      </w:pPr>
    </w:lvl>
  </w:abstractNum>
  <w:abstractNum w:abstractNumId="11">
    <w:multiLevelType w:val="hybridMultilevel"/>
    <w:lvl w:ilvl="0">
      <w:start w:val="1"/>
      <w:numFmt w:val="none"/>
      <w:pStyle w:val="1414"/>
      <w:isLgl w:val="false"/>
      <w:suff w:val="tab"/>
      <w:lvlText w:val="表"/>
      <w:lvlJc w:val="left"/>
      <w:pPr>
        <w:ind w:left="2100"/>
        <w:tabs>
          <w:tab w:val="left" w:pos="2460" w:leader="none"/>
        </w:tabs>
      </w:pPr>
      <w:rPr>
        <w:rFonts w:hint="eastAsia" w:ascii="黑体" w:eastAsia="黑体" w:cs="Times New Roman"/>
        <w:b w:val="0"/>
        <w:i w:val="0"/>
        <w:sz w:val="21"/>
      </w:rPr>
    </w:lvl>
    <w:lvl w:ilvl="1">
      <w:start w:val="1"/>
      <w:numFmt w:val="lowerLetter"/>
      <w:isLgl w:val="false"/>
      <w:suff w:val="tab"/>
      <w:lvlText w:val="%2)"/>
      <w:lvlJc w:val="left"/>
      <w:pPr>
        <w:ind w:left="2940" w:hanging="420"/>
        <w:tabs>
          <w:tab w:val="left" w:pos="2940" w:leader="none"/>
        </w:tabs>
      </w:pPr>
      <w:rPr>
        <w:rFonts w:cs="Times New Roman"/>
      </w:rPr>
    </w:lvl>
    <w:lvl w:ilvl="2">
      <w:start w:val="1"/>
      <w:numFmt w:val="lowerRoman"/>
      <w:isLgl w:val="false"/>
      <w:suff w:val="tab"/>
      <w:lvlText w:val="%3."/>
      <w:lvlJc w:val="right"/>
      <w:pPr>
        <w:ind w:left="3360" w:hanging="420"/>
        <w:tabs>
          <w:tab w:val="left" w:pos="3360" w:leader="none"/>
        </w:tabs>
      </w:pPr>
      <w:rPr>
        <w:rFonts w:cs="Times New Roman"/>
      </w:rPr>
    </w:lvl>
    <w:lvl w:ilvl="3">
      <w:start w:val="1"/>
      <w:numFmt w:val="decimal"/>
      <w:isLgl w:val="false"/>
      <w:suff w:val="tab"/>
      <w:lvlText w:val="%4."/>
      <w:lvlJc w:val="left"/>
      <w:pPr>
        <w:ind w:left="3780" w:hanging="420"/>
        <w:tabs>
          <w:tab w:val="left" w:pos="3780" w:leader="none"/>
        </w:tabs>
      </w:pPr>
      <w:rPr>
        <w:rFonts w:cs="Times New Roman"/>
      </w:rPr>
    </w:lvl>
    <w:lvl w:ilvl="4">
      <w:start w:val="1"/>
      <w:numFmt w:val="lowerLetter"/>
      <w:isLgl w:val="false"/>
      <w:suff w:val="tab"/>
      <w:lvlText w:val="%5)"/>
      <w:lvlJc w:val="left"/>
      <w:pPr>
        <w:ind w:left="4200" w:hanging="420"/>
        <w:tabs>
          <w:tab w:val="left" w:pos="4200" w:leader="none"/>
        </w:tabs>
      </w:pPr>
      <w:rPr>
        <w:rFonts w:cs="Times New Roman"/>
      </w:rPr>
    </w:lvl>
    <w:lvl w:ilvl="5">
      <w:start w:val="1"/>
      <w:numFmt w:val="lowerRoman"/>
      <w:isLgl w:val="false"/>
      <w:suff w:val="tab"/>
      <w:lvlText w:val="%6."/>
      <w:lvlJc w:val="right"/>
      <w:pPr>
        <w:ind w:left="4620" w:hanging="420"/>
        <w:tabs>
          <w:tab w:val="left" w:pos="4620" w:leader="none"/>
        </w:tabs>
      </w:pPr>
      <w:rPr>
        <w:rFonts w:cs="Times New Roman"/>
      </w:rPr>
    </w:lvl>
    <w:lvl w:ilvl="6">
      <w:start w:val="1"/>
      <w:numFmt w:val="decimal"/>
      <w:isLgl w:val="false"/>
      <w:suff w:val="tab"/>
      <w:lvlText w:val="%7."/>
      <w:lvlJc w:val="left"/>
      <w:pPr>
        <w:ind w:left="5040" w:hanging="420"/>
        <w:tabs>
          <w:tab w:val="left" w:pos="5040" w:leader="none"/>
        </w:tabs>
      </w:pPr>
      <w:rPr>
        <w:rFonts w:cs="Times New Roman"/>
      </w:rPr>
    </w:lvl>
    <w:lvl w:ilvl="7">
      <w:start w:val="1"/>
      <w:numFmt w:val="lowerLetter"/>
      <w:isLgl w:val="false"/>
      <w:suff w:val="tab"/>
      <w:lvlText w:val="%8)"/>
      <w:lvlJc w:val="left"/>
      <w:pPr>
        <w:ind w:left="5460" w:hanging="420"/>
        <w:tabs>
          <w:tab w:val="left" w:pos="5460" w:leader="none"/>
        </w:tabs>
      </w:pPr>
      <w:rPr>
        <w:rFonts w:cs="Times New Roman"/>
      </w:rPr>
    </w:lvl>
    <w:lvl w:ilvl="8">
      <w:start w:val="1"/>
      <w:numFmt w:val="lowerRoman"/>
      <w:isLgl w:val="false"/>
      <w:suff w:val="tab"/>
      <w:lvlText w:val="%9."/>
      <w:lvlJc w:val="right"/>
      <w:pPr>
        <w:ind w:left="5880" w:hanging="420"/>
        <w:tabs>
          <w:tab w:val="left" w:pos="5880" w:leader="none"/>
        </w:tabs>
      </w:pPr>
      <w:rPr>
        <w:rFonts w:cs="Times New Roman"/>
      </w:rPr>
    </w:lvl>
  </w:abstractNum>
  <w:abstractNum w:abstractNumId="12">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240"/>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upperLetter"/>
      <w:isLgl w:val="false"/>
      <w:suff w:val="nothing"/>
      <w:lvlText w:val="附　录　%1"/>
      <w:lvlJc w:val="left"/>
      <w:pPr/>
      <w:rPr>
        <w:rFonts w:hint="eastAsia" w:ascii="黑体" w:hAnsi="Times New Roman" w:eastAsia="黑体" w:cs="Times New Roman"/>
        <w:b w:val="0"/>
        <w:i w:val="0"/>
        <w:sz w:val="21"/>
      </w:rPr>
    </w:lvl>
    <w:lvl w:ilvl="1">
      <w:start w:val="1"/>
      <w:numFmt w:val="decimal"/>
      <w:pStyle w:val="1413"/>
      <w:isLgl w:val="false"/>
      <w:suff w:val="nothing"/>
      <w:lvlText w:val="%1.%2　"/>
      <w:lvlJc w:val="left"/>
      <w:pPr/>
      <w:rPr>
        <w:rFonts w:hint="eastAsia" w:ascii="黑体" w:hAnsi="Times New Roman" w:eastAsia="黑体" w:cs="Times New Roman"/>
        <w:b w:val="0"/>
        <w:i w:val="0"/>
        <w:spacing w:val="0"/>
        <w:sz w:val="21"/>
      </w:rPr>
    </w:lvl>
    <w:lvl w:ilvl="2">
      <w:start w:val="1"/>
      <w:numFmt w:val="decimal"/>
      <w:pStyle w:val="1412"/>
      <w:isLgl w:val="false"/>
      <w:suff w:val="nothing"/>
      <w:lvlText w:val="%1.%2.%3　"/>
      <w:lvlJc w:val="left"/>
      <w:pPr/>
      <w:rPr>
        <w:rFonts w:hint="eastAsia" w:ascii="黑体" w:hAnsi="Times New Roman" w:eastAsia="黑体" w:cs="Times New Roman"/>
        <w:b w:val="0"/>
        <w:i w:val="0"/>
        <w:sz w:val="21"/>
      </w:rPr>
    </w:lvl>
    <w:lvl w:ilvl="3">
      <w:start w:val="1"/>
      <w:numFmt w:val="decimal"/>
      <w:isLgl w:val="false"/>
      <w:suff w:val="nothing"/>
      <w:lvlText w:val="%1.%2.%3.%4　"/>
      <w:lvlJc w:val="left"/>
      <w:pPr/>
      <w:rPr>
        <w:rFonts w:hint="eastAsia" w:ascii="黑体" w:hAnsi="Times New Roman" w:eastAsia="黑体" w:cs="Times New Roman"/>
        <w:b w:val="0"/>
        <w:i w:val="0"/>
        <w:sz w:val="21"/>
      </w:rPr>
    </w:lvl>
    <w:lvl w:ilvl="4">
      <w:start w:val="1"/>
      <w:numFmt w:val="decimal"/>
      <w:isLgl w:val="false"/>
      <w:suff w:val="nothing"/>
      <w:lvlText w:val="%1.%2.%3.%4.%5　"/>
      <w:lvlJc w:val="left"/>
      <w:pPr/>
      <w:rPr>
        <w:rFonts w:hint="eastAsia" w:ascii="黑体" w:hAnsi="Times New Roman" w:eastAsia="黑体" w:cs="Times New Roman"/>
        <w:b w:val="0"/>
        <w:i w:val="0"/>
        <w:sz w:val="21"/>
      </w:rPr>
    </w:lvl>
    <w:lvl w:ilvl="5">
      <w:start w:val="1"/>
      <w:numFmt w:val="decimal"/>
      <w:isLgl w:val="false"/>
      <w:suff w:val="nothing"/>
      <w:lvlText w:val="%1.%2.%3.%4.%5.%6　"/>
      <w:lvlJc w:val="left"/>
      <w:pPr/>
      <w:rPr>
        <w:rFonts w:hint="eastAsia" w:ascii="黑体" w:hAnsi="Times New Roman" w:eastAsia="黑体" w:cs="Times New Roman"/>
        <w:b w:val="0"/>
        <w:i w:val="0"/>
        <w:sz w:val="21"/>
      </w:rPr>
    </w:lvl>
    <w:lvl w:ilvl="6">
      <w:start w:val="1"/>
      <w:numFmt w:val="decimal"/>
      <w:isLgl w:val="false"/>
      <w:suff w:val="nothing"/>
      <w:lvlText w:val="%1.%2.%3.%4.%5.%6.%7　"/>
      <w:lvlJc w:val="left"/>
      <w:pPr/>
      <w:rPr>
        <w:rFonts w:hint="eastAsia" w:ascii="黑体" w:hAnsi="Times New Roman" w:eastAsia="黑体" w:cs="Times New Roman"/>
        <w:b w:val="0"/>
        <w:i w:val="0"/>
        <w:sz w:val="21"/>
      </w:rPr>
    </w:lvl>
    <w:lvl w:ilvl="7">
      <w:start w:val="1"/>
      <w:numFmt w:val="decimal"/>
      <w:isLgl w:val="false"/>
      <w:suff w:val="tab"/>
      <w:lvlText w:val="%1.%2.%3.%4.%5.%6.%7.%8"/>
      <w:lvlJc w:val="left"/>
      <w:pPr>
        <w:ind w:left="4394" w:hanging="1418"/>
        <w:tabs>
          <w:tab w:val="left" w:pos="4394" w:leader="none"/>
        </w:tabs>
      </w:pPr>
      <w:rPr>
        <w:rFonts w:hint="eastAsia" w:cs="Times New Roman"/>
      </w:rPr>
    </w:lvl>
    <w:lvl w:ilvl="8">
      <w:start w:val="1"/>
      <w:numFmt w:val="decimal"/>
      <w:isLgl w:val="false"/>
      <w:suff w:val="tab"/>
      <w:lvlText w:val="%1.%2.%3.%4.%5.%6.%7.%8.%9"/>
      <w:lvlJc w:val="left"/>
      <w:pPr>
        <w:ind w:left="5102" w:hanging="1700"/>
        <w:tabs>
          <w:tab w:val="left" w:pos="5102" w:leader="none"/>
        </w:tabs>
      </w:pPr>
      <w:rPr>
        <w:rFonts w:hint="eastAsia" w:cs="Times New Roman"/>
      </w:rPr>
    </w:lvl>
  </w:abstractNum>
  <w:num w:numId="1">
    <w:abstractNumId w:val="6"/>
  </w:num>
  <w:num w:numId="2">
    <w:abstractNumId w:val="4"/>
  </w:num>
  <w:num w:numId="3">
    <w:abstractNumId w:val="12"/>
  </w:num>
  <w:num w:numId="4">
    <w:abstractNumId w:val="13"/>
  </w:num>
  <w:num w:numId="5">
    <w:abstractNumId w:val="11"/>
  </w:num>
  <w:num w:numId="6">
    <w:abstractNumId w:val="10"/>
  </w:num>
  <w:num w:numId="7">
    <w:abstractNumId w:val="5"/>
  </w:num>
  <w:num w:numId="8">
    <w:abstractNumId w:val="3"/>
  </w:num>
  <w:num w:numId="9">
    <w:abstractNumId w:val="0"/>
  </w:num>
  <w:num w:numId="10">
    <w:abstractNumId w:val="7"/>
  </w:num>
  <w:num w:numId="11">
    <w:abstractNumId w:val="1"/>
  </w:num>
  <w:num w:numId="12">
    <w:abstractNumId w:val="8"/>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75">
    <w:name w:val="Heading 1"/>
    <w:basedOn w:val="674"/>
    <w:next w:val="674"/>
    <w:link w:val="774"/>
    <w:uiPriority w:val="0"/>
    <w:qFormat/>
    <w:pPr>
      <w:keepLines/>
      <w:keepNext/>
      <w:spacing w:before="480" w:after="200"/>
      <w:outlineLvl w:val="0"/>
    </w:pPr>
    <w:rPr>
      <w:rFonts w:ascii="Arial" w:hAnsi="Arial" w:eastAsia="Arial" w:cs="Arial"/>
      <w:sz w:val="40"/>
      <w:szCs w:val="40"/>
    </w:rPr>
  </w:style>
  <w:style w:type="paragraph" w:styleId="676">
    <w:name w:val="Heading 2"/>
    <w:basedOn w:val="674"/>
    <w:next w:val="674"/>
    <w:uiPriority w:val="0"/>
    <w:unhideWhenUsed/>
    <w:qFormat/>
    <w:pPr>
      <w:keepLines/>
      <w:keepNext/>
      <w:spacing w:before="360" w:after="200"/>
      <w:outlineLvl w:val="1"/>
    </w:pPr>
    <w:rPr>
      <w:rFonts w:ascii="Arial" w:hAnsi="Arial" w:eastAsia="Arial" w:cs="Arial"/>
      <w:sz w:val="34"/>
    </w:rPr>
  </w:style>
  <w:style w:type="paragraph" w:styleId="677">
    <w:name w:val="Heading 3"/>
    <w:basedOn w:val="674"/>
    <w:next w:val="674"/>
    <w:uiPriority w:val="0"/>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uiPriority w:val="0"/>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link w:val="775"/>
    <w:uiPriority w:val="0"/>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76"/>
    <w:uiPriority w:val="0"/>
    <w:unhideWhenUsed/>
    <w:qFormat/>
    <w:pPr>
      <w:keepLines/>
      <w:keepNext/>
      <w:spacing w:before="320" w:after="200"/>
      <w:outlineLvl w:val="5"/>
    </w:pPr>
    <w:rPr>
      <w:rFonts w:ascii="Arial" w:hAnsi="Arial" w:eastAsia="Arial" w:cs="Arial"/>
      <w:b/>
      <w:bCs/>
      <w:sz w:val="22"/>
    </w:rPr>
  </w:style>
  <w:style w:type="paragraph" w:styleId="681">
    <w:name w:val="Heading 7"/>
    <w:basedOn w:val="674"/>
    <w:next w:val="674"/>
    <w:link w:val="777"/>
    <w:uiPriority w:val="0"/>
    <w:unhideWhenUsed/>
    <w:qFormat/>
    <w:pPr>
      <w:keepLines/>
      <w:keepNext/>
      <w:spacing w:before="320" w:after="200"/>
      <w:outlineLvl w:val="6"/>
    </w:pPr>
    <w:rPr>
      <w:rFonts w:ascii="Arial" w:hAnsi="Arial" w:eastAsia="Arial" w:cs="Arial"/>
      <w:b/>
      <w:bCs/>
      <w:i/>
      <w:iCs/>
      <w:sz w:val="22"/>
    </w:rPr>
  </w:style>
  <w:style w:type="paragraph" w:styleId="682">
    <w:name w:val="Heading 8"/>
    <w:basedOn w:val="674"/>
    <w:next w:val="674"/>
    <w:link w:val="778"/>
    <w:uiPriority w:val="0"/>
    <w:unhideWhenUsed/>
    <w:qFormat/>
    <w:pPr>
      <w:keepLines/>
      <w:keepNext/>
      <w:spacing w:before="320" w:after="200"/>
      <w:outlineLvl w:val="7"/>
    </w:pPr>
    <w:rPr>
      <w:rFonts w:ascii="Arial" w:hAnsi="Arial" w:eastAsia="Arial" w:cs="Arial"/>
      <w:i/>
      <w:iCs/>
      <w:sz w:val="22"/>
    </w:rPr>
  </w:style>
  <w:style w:type="paragraph" w:styleId="683">
    <w:name w:val="Heading 9"/>
    <w:basedOn w:val="674"/>
    <w:next w:val="674"/>
    <w:link w:val="779"/>
    <w:uiPriority w:val="0"/>
    <w:unhideWhenUsed/>
    <w:qFormat/>
    <w:pPr>
      <w:keepLines/>
      <w:keepNext/>
      <w:spacing w:before="320" w:after="200"/>
      <w:outlineLvl w:val="8"/>
    </w:pPr>
    <w:rPr>
      <w:rFonts w:ascii="Arial" w:hAnsi="Arial" w:eastAsia="Arial" w:cs="Arial"/>
      <w:i/>
      <w:iCs/>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0"/>
    <w:qFormat/>
    <w:pPr>
      <w:ind w:left="1260"/>
      <w:jc w:val="left"/>
    </w:pPr>
    <w:rPr>
      <w:rFonts w:ascii="Times New Roman" w:hAnsi="Times New Roman"/>
      <w:szCs w:val="21"/>
    </w:rPr>
  </w:style>
  <w:style w:type="paragraph" w:styleId="687">
    <w:name w:val="Normal Indent"/>
    <w:basedOn w:val="674"/>
    <w:uiPriority w:val="0"/>
    <w:qFormat/>
    <w:pPr>
      <w:ind w:firstLine="420"/>
    </w:pPr>
    <w:rPr>
      <w:rFonts w:ascii="Times New Roman" w:hAnsi="Times New Roman"/>
      <w:sz w:val="28"/>
      <w:szCs w:val="20"/>
    </w:rPr>
  </w:style>
  <w:style w:type="paragraph" w:styleId="688">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9">
    <w:name w:val="index 5"/>
    <w:basedOn w:val="674"/>
    <w:next w:val="674"/>
    <w:uiPriority w:val="0"/>
    <w:unhideWhenUsed/>
    <w:qFormat/>
    <w:pPr>
      <w:ind w:left="800"/>
    </w:pPr>
    <w:rPr>
      <w:rFonts w:ascii="Times New Roman" w:hAnsi="Times New Roman"/>
      <w:sz w:val="28"/>
      <w:szCs w:val="20"/>
    </w:rPr>
  </w:style>
  <w:style w:type="paragraph" w:styleId="690">
    <w:name w:val="Document Map"/>
    <w:basedOn w:val="674"/>
    <w:uiPriority w:val="0"/>
    <w:qFormat/>
    <w:pPr>
      <w:shd w:val="clear" w:color="auto" w:fill="000080"/>
    </w:pPr>
    <w:rPr>
      <w:rFonts w:ascii="Times New Roman" w:hAnsi="Times New Roman"/>
      <w:sz w:val="28"/>
      <w:szCs w:val="24"/>
    </w:rPr>
  </w:style>
  <w:style w:type="paragraph" w:styleId="691">
    <w:name w:val="annotation text"/>
    <w:basedOn w:val="674"/>
    <w:uiPriority w:val="99"/>
    <w:semiHidden/>
    <w:unhideWhenUsed/>
    <w:qFormat/>
    <w:pPr>
      <w:jc w:val="left"/>
    </w:pPr>
  </w:style>
  <w:style w:type="paragraph" w:styleId="692">
    <w:name w:val="Body Text 3"/>
    <w:basedOn w:val="674"/>
    <w:uiPriority w:val="0"/>
    <w:qFormat/>
    <w:rPr>
      <w:rFonts w:ascii="宋体" w:hAnsi="Times New Roman"/>
      <w:sz w:val="24"/>
      <w:szCs w:val="20"/>
    </w:rPr>
  </w:style>
  <w:style w:type="paragraph" w:styleId="693">
    <w:name w:val="Body Text"/>
    <w:basedOn w:val="674"/>
    <w:link w:val="1522"/>
    <w:uiPriority w:val="0"/>
    <w:qFormat/>
    <w:pPr>
      <w:spacing w:before="120" w:line="22" w:lineRule="atLeast"/>
      <w:tabs>
        <w:tab w:val="left" w:pos="567" w:leader="none"/>
      </w:tabs>
    </w:pPr>
    <w:rPr>
      <w:rFonts w:ascii="宋体" w:hAnsi="宋体"/>
      <w:sz w:val="24"/>
      <w:szCs w:val="24"/>
    </w:rPr>
  </w:style>
  <w:style w:type="paragraph" w:styleId="694">
    <w:name w:val="Body Text Indent"/>
    <w:next w:val="695"/>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695">
    <w:name w:val="envelope return"/>
    <w:uiPriority w:val="0"/>
    <w:qFormat/>
    <w:pPr>
      <w:jc w:val="both"/>
      <w:widowControl w:val="off"/>
    </w:pPr>
    <w:rPr>
      <w:rFonts w:ascii="Arial" w:hAnsi="Arial" w:eastAsia="宋体" w:cs="Times New Roman"/>
      <w:sz w:val="21"/>
      <w:szCs w:val="22"/>
      <w:lang w:val="en-US" w:eastAsia="zh-CN" w:bidi="ar-SA"/>
    </w:rPr>
  </w:style>
  <w:style w:type="paragraph" w:styleId="696">
    <w:name w:val="Block Text"/>
    <w:basedOn w:val="674"/>
    <w:uiPriority w:val="0"/>
    <w:qFormat/>
    <w:pPr>
      <w:ind w:left="210" w:right="193" w:firstLine="315"/>
    </w:pPr>
    <w:rPr>
      <w:rFonts w:ascii="仿宋_GB2312" w:hAnsi="Times New Roman"/>
      <w:color w:val="000000"/>
      <w:sz w:val="28"/>
      <w:szCs w:val="30"/>
    </w:rPr>
  </w:style>
  <w:style w:type="paragraph" w:styleId="697">
    <w:name w:val="HTML Address"/>
    <w:basedOn w:val="674"/>
    <w:uiPriority w:val="0"/>
    <w:qFormat/>
    <w:rPr>
      <w:i/>
      <w:iCs/>
      <w:sz w:val="24"/>
      <w:szCs w:val="24"/>
    </w:rPr>
  </w:style>
  <w:style w:type="paragraph" w:styleId="698">
    <w:name w:val="toc 5"/>
    <w:basedOn w:val="674"/>
    <w:next w:val="674"/>
    <w:uiPriority w:val="0"/>
    <w:qFormat/>
    <w:pPr>
      <w:ind w:left="840"/>
      <w:jc w:val="left"/>
    </w:pPr>
    <w:rPr>
      <w:rFonts w:ascii="Times New Roman" w:hAnsi="Times New Roman"/>
      <w:szCs w:val="21"/>
    </w:rPr>
  </w:style>
  <w:style w:type="paragraph" w:styleId="699">
    <w:name w:val="toc 3"/>
    <w:basedOn w:val="674"/>
    <w:next w:val="674"/>
    <w:uiPriority w:val="0"/>
    <w:qFormat/>
    <w:pPr>
      <w:ind w:left="420"/>
      <w:jc w:val="left"/>
      <w:tabs>
        <w:tab w:val="right" w:pos="8943" w:leader="dot"/>
      </w:tabs>
    </w:pPr>
    <w:rPr>
      <w:rFonts w:ascii="Times New Roman" w:hAnsi="Times New Roman"/>
      <w:iCs/>
      <w:szCs w:val="24"/>
    </w:rPr>
  </w:style>
  <w:style w:type="paragraph" w:styleId="700">
    <w:name w:val="Plain Text"/>
    <w:basedOn w:val="674"/>
    <w:uiPriority w:val="0"/>
    <w:qFormat/>
    <w:pPr>
      <w:ind w:firstLine="567"/>
      <w:spacing w:line="360" w:lineRule="auto"/>
    </w:pPr>
    <w:rPr>
      <w:rFonts w:hint="eastAsia" w:ascii="宋体" w:hAnsi="Courier New"/>
      <w:sz w:val="28"/>
      <w:szCs w:val="21"/>
    </w:rPr>
  </w:style>
  <w:style w:type="paragraph" w:styleId="701">
    <w:name w:val="toc 8"/>
    <w:basedOn w:val="674"/>
    <w:next w:val="674"/>
    <w:uiPriority w:val="0"/>
    <w:qFormat/>
    <w:pPr>
      <w:ind w:left="1470"/>
      <w:jc w:val="left"/>
    </w:pPr>
    <w:rPr>
      <w:rFonts w:ascii="Times New Roman" w:hAnsi="Times New Roman"/>
      <w:szCs w:val="21"/>
    </w:rPr>
  </w:style>
  <w:style w:type="paragraph" w:styleId="702">
    <w:name w:val="Date"/>
    <w:basedOn w:val="674"/>
    <w:next w:val="674"/>
    <w:uiPriority w:val="0"/>
    <w:qFormat/>
    <w:pPr>
      <w:ind w:left="100"/>
    </w:pPr>
    <w:rPr>
      <w:sz w:val="24"/>
      <w:szCs w:val="24"/>
    </w:rPr>
  </w:style>
  <w:style w:type="paragraph" w:styleId="703">
    <w:name w:val="Body Text Indent 2"/>
    <w:basedOn w:val="674"/>
    <w:uiPriority w:val="0"/>
    <w:qFormat/>
    <w:pPr>
      <w:ind w:left="420"/>
      <w:spacing w:after="120" w:line="480" w:lineRule="auto"/>
    </w:pPr>
    <w:rPr>
      <w:rFonts w:ascii="Times New Roman" w:hAnsi="Times New Roman"/>
      <w:sz w:val="28"/>
      <w:szCs w:val="24"/>
    </w:rPr>
  </w:style>
  <w:style w:type="paragraph" w:styleId="704">
    <w:name w:val="endnote text"/>
    <w:basedOn w:val="674"/>
    <w:link w:val="895"/>
    <w:uiPriority w:val="99"/>
    <w:semiHidden/>
    <w:unhideWhenUsed/>
    <w:qFormat/>
    <w:rPr>
      <w:sz w:val="20"/>
    </w:rPr>
  </w:style>
  <w:style w:type="paragraph" w:styleId="705">
    <w:name w:val="Balloon Text"/>
    <w:basedOn w:val="674"/>
    <w:uiPriority w:val="0"/>
    <w:qFormat/>
    <w:rPr>
      <w:rFonts w:ascii="Times New Roman" w:hAnsi="Times New Roman"/>
      <w:sz w:val="18"/>
      <w:szCs w:val="18"/>
    </w:rPr>
  </w:style>
  <w:style w:type="paragraph" w:styleId="706">
    <w:name w:val="Footer"/>
    <w:basedOn w:val="674"/>
    <w:link w:val="787"/>
    <w:uiPriority w:val="99"/>
    <w:unhideWhenUsed/>
    <w:qFormat/>
    <w:pPr>
      <w:tabs>
        <w:tab w:val="center" w:pos="7143" w:leader="none"/>
        <w:tab w:val="right" w:pos="14287" w:leader="none"/>
      </w:tabs>
    </w:pPr>
  </w:style>
  <w:style w:type="paragraph" w:styleId="707">
    <w:name w:val="Header"/>
    <w:basedOn w:val="674"/>
    <w:uiPriority w:val="0"/>
    <w:unhideWhenUsed/>
    <w:qFormat/>
    <w:pPr>
      <w:tabs>
        <w:tab w:val="center" w:pos="7143" w:leader="none"/>
        <w:tab w:val="right" w:pos="14287" w:leader="none"/>
      </w:tabs>
    </w:pPr>
  </w:style>
  <w:style w:type="paragraph" w:styleId="708">
    <w:name w:val="toc 1"/>
    <w:next w:val="674"/>
    <w:uiPriority w:val="39"/>
    <w:qFormat/>
    <w:pPr>
      <w:tabs>
        <w:tab w:val="right" w:pos="8943" w:leader="dot"/>
      </w:tabs>
    </w:pPr>
    <w:rPr>
      <w:rFonts w:ascii="宋体" w:hAnsi="宋体" w:eastAsia="宋体" w:cs="Times New Roman"/>
      <w:caps/>
      <w:sz w:val="21"/>
      <w:szCs w:val="24"/>
      <w:lang w:val="en-US" w:eastAsia="zh-CN" w:bidi="ar-SA"/>
    </w:rPr>
  </w:style>
  <w:style w:type="paragraph" w:styleId="709">
    <w:name w:val="toc 4"/>
    <w:basedOn w:val="674"/>
    <w:next w:val="674"/>
    <w:uiPriority w:val="0"/>
    <w:unhideWhenUsed/>
    <w:qFormat/>
    <w:pPr>
      <w:ind w:left="850"/>
      <w:spacing w:after="57"/>
    </w:pPr>
  </w:style>
  <w:style w:type="paragraph" w:styleId="710">
    <w:name w:val="Subtitle"/>
    <w:basedOn w:val="674"/>
    <w:next w:val="674"/>
    <w:link w:val="782"/>
    <w:uiPriority w:val="11"/>
    <w:qFormat/>
    <w:pPr>
      <w:spacing w:before="200" w:after="200"/>
    </w:pPr>
    <w:rPr>
      <w:sz w:val="24"/>
      <w:szCs w:val="24"/>
    </w:rPr>
  </w:style>
  <w:style w:type="paragraph" w:styleId="711">
    <w:name w:val="footnote text"/>
    <w:basedOn w:val="674"/>
    <w:link w:val="894"/>
    <w:uiPriority w:val="0"/>
    <w:unhideWhenUsed/>
    <w:qFormat/>
    <w:pPr>
      <w:spacing w:after="40"/>
    </w:pPr>
    <w:rPr>
      <w:sz w:val="18"/>
    </w:rPr>
  </w:style>
  <w:style w:type="paragraph" w:styleId="712">
    <w:name w:val="toc 6"/>
    <w:basedOn w:val="674"/>
    <w:next w:val="674"/>
    <w:uiPriority w:val="0"/>
    <w:qFormat/>
    <w:pPr>
      <w:ind w:left="1050"/>
      <w:jc w:val="left"/>
    </w:pPr>
    <w:rPr>
      <w:rFonts w:ascii="Times New Roman" w:hAnsi="Times New Roman"/>
      <w:szCs w:val="21"/>
    </w:rPr>
  </w:style>
  <w:style w:type="paragraph" w:styleId="713">
    <w:name w:val="Body Text Indent 3"/>
    <w:basedOn w:val="674"/>
    <w:uiPriority w:val="0"/>
    <w:qFormat/>
    <w:pPr>
      <w:ind w:left="1080" w:hanging="360"/>
      <w:spacing w:line="300" w:lineRule="exact"/>
    </w:pPr>
    <w:rPr>
      <w:rFonts w:ascii="宋体" w:hAnsi="宋体"/>
      <w:sz w:val="18"/>
      <w:szCs w:val="24"/>
    </w:rPr>
  </w:style>
  <w:style w:type="paragraph" w:styleId="714">
    <w:name w:val="table of figures"/>
    <w:basedOn w:val="674"/>
    <w:next w:val="674"/>
    <w:uiPriority w:val="99"/>
    <w:unhideWhenUsed/>
    <w:qFormat/>
  </w:style>
  <w:style w:type="paragraph" w:styleId="715">
    <w:name w:val="toc 2"/>
    <w:basedOn w:val="674"/>
    <w:next w:val="674"/>
    <w:uiPriority w:val="39"/>
    <w:qFormat/>
    <w:pPr>
      <w:ind w:left="210"/>
      <w:jc w:val="left"/>
    </w:pPr>
    <w:rPr>
      <w:rFonts w:ascii="Times New Roman" w:hAnsi="Times New Roman"/>
      <w:smallCaps/>
      <w:szCs w:val="24"/>
    </w:rPr>
  </w:style>
  <w:style w:type="paragraph" w:styleId="716">
    <w:name w:val="toc 9"/>
    <w:basedOn w:val="674"/>
    <w:next w:val="674"/>
    <w:uiPriority w:val="0"/>
    <w:qFormat/>
    <w:pPr>
      <w:ind w:left="1680"/>
      <w:jc w:val="left"/>
    </w:pPr>
    <w:rPr>
      <w:rFonts w:ascii="Times New Roman" w:hAnsi="Times New Roman"/>
      <w:szCs w:val="21"/>
    </w:rPr>
  </w:style>
  <w:style w:type="paragraph" w:styleId="717">
    <w:name w:val="Body Text 2"/>
    <w:basedOn w:val="674"/>
    <w:uiPriority w:val="0"/>
    <w:qFormat/>
    <w:pPr>
      <w:jc w:val="center"/>
    </w:pPr>
    <w:rPr>
      <w:rFonts w:ascii="Times New Roman" w:hAnsi="Times New Roman"/>
      <w:sz w:val="18"/>
      <w:szCs w:val="24"/>
    </w:rPr>
  </w:style>
  <w:style w:type="paragraph" w:styleId="718">
    <w:name w:val="HTML Preformatted"/>
    <w:basedOn w:val="674"/>
    <w:uiPriority w:val="0"/>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11"/>
      <w:szCs w:val="11"/>
    </w:rPr>
  </w:style>
  <w:style w:type="paragraph" w:styleId="719">
    <w:name w:val="Normal (Web)"/>
    <w:basedOn w:val="674"/>
    <w:uiPriority w:val="0"/>
    <w:unhideWhenUsed/>
    <w:qFormat/>
    <w:pPr>
      <w:jc w:val="left"/>
      <w:spacing w:beforeAutospacing="1" w:afterAutospacing="1"/>
    </w:pPr>
    <w:rPr>
      <w:sz w:val="24"/>
    </w:rPr>
  </w:style>
  <w:style w:type="paragraph" w:styleId="720">
    <w:name w:val="Title"/>
    <w:basedOn w:val="674"/>
    <w:next w:val="674"/>
    <w:link w:val="781"/>
    <w:uiPriority w:val="0"/>
    <w:qFormat/>
    <w:pPr>
      <w:contextualSpacing/>
      <w:spacing w:before="300" w:after="200"/>
    </w:pPr>
    <w:rPr>
      <w:sz w:val="48"/>
      <w:szCs w:val="48"/>
    </w:rPr>
  </w:style>
  <w:style w:type="paragraph" w:styleId="721">
    <w:name w:val="Body Text First Indent"/>
    <w:uiPriority w:val="0"/>
    <w:qFormat/>
    <w:pPr>
      <w:ind w:firstLine="100"/>
      <w:jc w:val="both"/>
      <w:spacing w:after="120"/>
      <w:widowControl w:val="off"/>
    </w:pPr>
    <w:rPr>
      <w:rFonts w:ascii="Times New Roman" w:hAnsi="Times New Roman" w:eastAsia="宋体" w:cs="Times New Roman"/>
      <w:sz w:val="21"/>
      <w:szCs w:val="22"/>
      <w:lang w:val="en-US" w:eastAsia="zh-CN" w:bidi="ar-SA"/>
    </w:rPr>
  </w:style>
  <w:style w:type="paragraph" w:styleId="722">
    <w:name w:val="Body Text First Indent 2"/>
    <w:uiPriority w:val="0"/>
    <w:qFormat/>
    <w:pPr>
      <w:ind w:left="200" w:firstLine="200"/>
      <w:jc w:val="both"/>
      <w:spacing w:after="120"/>
      <w:widowControl w:val="off"/>
    </w:pPr>
    <w:rPr>
      <w:rFonts w:ascii="Times New Roman" w:hAnsi="Times New Roman" w:eastAsia="仿宋_GB2312" w:cs="Times New Roman"/>
      <w:sz w:val="24"/>
      <w:szCs w:val="24"/>
      <w:lang w:val="en-US" w:eastAsia="zh-CN" w:bidi="ar-SA"/>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84"/>
    <w:uiPriority w:val="0"/>
    <w:qFormat/>
    <w:rPr>
      <w:b/>
      <w:bCs/>
    </w:rPr>
  </w:style>
  <w:style w:type="character" w:styleId="725">
    <w:name w:val="endnote reference"/>
    <w:uiPriority w:val="99"/>
    <w:semiHidden/>
    <w:unhideWhenUsed/>
    <w:qFormat/>
    <w:rPr>
      <w:vertAlign w:val="superscript"/>
    </w:rPr>
  </w:style>
  <w:style w:type="character" w:styleId="726">
    <w:name w:val="page number"/>
    <w:uiPriority w:val="0"/>
    <w:qFormat/>
    <w:rPr>
      <w:rFonts w:cs="Times New Roman"/>
    </w:rPr>
  </w:style>
  <w:style w:type="character" w:styleId="727">
    <w:name w:val="FollowedHyperlink"/>
    <w:basedOn w:val="684"/>
    <w:uiPriority w:val="99"/>
    <w:semiHidden/>
    <w:unhideWhenUsed/>
    <w:qFormat/>
    <w:rPr>
      <w:color w:val="333333"/>
      <w:u w:val="none"/>
    </w:rPr>
  </w:style>
  <w:style w:type="character" w:styleId="728">
    <w:name w:val="Emphasis"/>
    <w:basedOn w:val="684"/>
    <w:uiPriority w:val="20"/>
    <w:qFormat/>
    <w:rPr>
      <w:i/>
    </w:rPr>
  </w:style>
  <w:style w:type="character" w:styleId="729">
    <w:name w:val="HTML Definition"/>
    <w:uiPriority w:val="0"/>
    <w:qFormat/>
    <w:rPr>
      <w:rFonts w:cs="Times New Roman"/>
      <w:i/>
      <w:iCs/>
    </w:rPr>
  </w:style>
  <w:style w:type="character" w:styleId="730">
    <w:name w:val="HTML Typewriter"/>
    <w:uiPriority w:val="0"/>
    <w:qFormat/>
    <w:rPr>
      <w:rFonts w:ascii="Courier New" w:hAnsi="Courier New" w:cs="Times New Roman"/>
      <w:sz w:val="20"/>
      <w:szCs w:val="20"/>
    </w:rPr>
  </w:style>
  <w:style w:type="character" w:styleId="731">
    <w:name w:val="HTML Acronym"/>
    <w:uiPriority w:val="0"/>
    <w:qFormat/>
    <w:rPr>
      <w:rFonts w:cs="Times New Roman"/>
    </w:rPr>
  </w:style>
  <w:style w:type="character" w:styleId="732">
    <w:name w:val="HTML Variable"/>
    <w:uiPriority w:val="0"/>
    <w:qFormat/>
    <w:rPr>
      <w:rFonts w:cs="Times New Roman"/>
      <w:i/>
      <w:iCs/>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HTML Code"/>
    <w:uiPriority w:val="0"/>
    <w:qFormat/>
    <w:rPr>
      <w:rFonts w:ascii="Courier New" w:hAnsi="Courier New" w:cs="Times New Roman"/>
      <w:sz w:val="20"/>
      <w:szCs w:val="20"/>
    </w:rPr>
  </w:style>
  <w:style w:type="character" w:styleId="735">
    <w:name w:val="HTML Cite"/>
    <w:uiPriority w:val="0"/>
    <w:qFormat/>
    <w:rPr>
      <w:rFonts w:cs="Times New Roman"/>
      <w:i/>
      <w:iCs/>
    </w:rPr>
  </w:style>
  <w:style w:type="character" w:styleId="736">
    <w:name w:val="footnote reference"/>
    <w:uiPriority w:val="99"/>
    <w:unhideWhenUsed/>
    <w:qFormat/>
    <w:rPr>
      <w:vertAlign w:val="superscript"/>
    </w:rPr>
  </w:style>
  <w:style w:type="character" w:styleId="737">
    <w:name w:val="HTML Keyboard"/>
    <w:uiPriority w:val="0"/>
    <w:qFormat/>
    <w:rPr>
      <w:rFonts w:ascii="Courier New" w:hAnsi="Courier New" w:cs="Times New Roman"/>
      <w:sz w:val="20"/>
      <w:szCs w:val="20"/>
    </w:rPr>
  </w:style>
  <w:style w:type="character" w:styleId="738">
    <w:name w:val="HTML Sample"/>
    <w:uiPriority w:val="0"/>
    <w:qFormat/>
    <w:rPr>
      <w:rFonts w:ascii="Courier New" w:hAnsi="Courier New" w:cs="Times New Roman"/>
    </w:rPr>
  </w:style>
  <w:style w:type="paragraph" w:styleId="739" w:customStyle="1">
    <w:name w:val="Heading21"/>
    <w:basedOn w:val="740"/>
    <w:next w:val="674"/>
    <w:uiPriority w:val="0"/>
    <w:qFormat/>
    <w:pPr>
      <w:jc w:val="both"/>
      <w:keepLines/>
      <w:keepNext/>
      <w:spacing w:before="260" w:after="260" w:line="413" w:lineRule="auto"/>
      <w:widowControl w:val="off"/>
    </w:pPr>
    <w:rPr>
      <w:rFonts w:ascii="Arial" w:hAnsi="Arial"/>
    </w:rPr>
  </w:style>
  <w:style w:type="paragraph" w:styleId="740" w:customStyle="1">
    <w:name w:val="Normal_16"/>
    <w:uiPriority w:val="0"/>
    <w:qFormat/>
    <w:rPr>
      <w:rFonts w:ascii="黑体" w:hAnsi="黑体" w:eastAsia="黑体" w:cs="Times New Roman"/>
      <w:b/>
      <w:sz w:val="32"/>
      <w:szCs w:val="24"/>
      <w:lang w:val="en-US" w:eastAsia="zh-CN" w:bidi="ar-SA"/>
    </w:rPr>
  </w:style>
  <w:style w:type="character" w:styleId="741" w:customStyle="1">
    <w:name w:val="Heading 1 Char"/>
    <w:basedOn w:val="684"/>
    <w:uiPriority w:val="9"/>
    <w:qFormat/>
    <w:rPr>
      <w:rFonts w:ascii="Arial" w:hAnsi="Arial" w:eastAsia="Arial" w:cs="Arial"/>
      <w:sz w:val="40"/>
      <w:szCs w:val="40"/>
    </w:rPr>
  </w:style>
  <w:style w:type="character" w:styleId="742" w:customStyle="1">
    <w:name w:val="Heading 5 Char"/>
    <w:basedOn w:val="684"/>
    <w:uiPriority w:val="9"/>
    <w:qFormat/>
    <w:rPr>
      <w:rFonts w:ascii="Arial" w:hAnsi="Arial" w:eastAsia="Arial" w:cs="Arial"/>
      <w:b/>
      <w:bCs/>
      <w:sz w:val="24"/>
      <w:szCs w:val="24"/>
    </w:rPr>
  </w:style>
  <w:style w:type="character" w:styleId="743" w:customStyle="1">
    <w:name w:val="Heading 6 Char"/>
    <w:basedOn w:val="684"/>
    <w:uiPriority w:val="9"/>
    <w:qFormat/>
    <w:rPr>
      <w:rFonts w:ascii="Arial" w:hAnsi="Arial" w:eastAsia="Arial" w:cs="Arial"/>
      <w:b/>
      <w:bCs/>
      <w:sz w:val="22"/>
      <w:szCs w:val="22"/>
    </w:rPr>
  </w:style>
  <w:style w:type="character" w:styleId="744" w:customStyle="1">
    <w:name w:val="Heading 7 Char"/>
    <w:basedOn w:val="684"/>
    <w:uiPriority w:val="9"/>
    <w:qFormat/>
    <w:rPr>
      <w:rFonts w:ascii="Arial" w:hAnsi="Arial" w:eastAsia="Arial" w:cs="Arial"/>
      <w:b/>
      <w:bCs/>
      <w:i/>
      <w:iCs/>
      <w:sz w:val="22"/>
      <w:szCs w:val="22"/>
    </w:rPr>
  </w:style>
  <w:style w:type="character" w:styleId="745" w:customStyle="1">
    <w:name w:val="Heading 8 Char"/>
    <w:basedOn w:val="684"/>
    <w:uiPriority w:val="9"/>
    <w:qFormat/>
    <w:rPr>
      <w:rFonts w:ascii="Arial" w:hAnsi="Arial" w:eastAsia="Arial" w:cs="Arial"/>
      <w:i/>
      <w:iCs/>
      <w:sz w:val="22"/>
      <w:szCs w:val="22"/>
    </w:rPr>
  </w:style>
  <w:style w:type="character" w:styleId="746" w:customStyle="1">
    <w:name w:val="Heading 9 Char"/>
    <w:basedOn w:val="684"/>
    <w:uiPriority w:val="9"/>
    <w:qFormat/>
    <w:rPr>
      <w:rFonts w:ascii="Arial" w:hAnsi="Arial" w:eastAsia="Arial" w:cs="Arial"/>
      <w:i/>
      <w:iCs/>
      <w:sz w:val="21"/>
      <w:szCs w:val="21"/>
    </w:rPr>
  </w:style>
  <w:style w:type="character" w:styleId="747" w:customStyle="1">
    <w:name w:val="Title Char"/>
    <w:basedOn w:val="684"/>
    <w:uiPriority w:val="0"/>
    <w:qFormat/>
    <w:rPr>
      <w:sz w:val="48"/>
      <w:szCs w:val="48"/>
    </w:rPr>
  </w:style>
  <w:style w:type="character" w:styleId="748" w:customStyle="1">
    <w:name w:val="Subtitle Char"/>
    <w:basedOn w:val="684"/>
    <w:uiPriority w:val="11"/>
    <w:qFormat/>
    <w:rPr>
      <w:sz w:val="24"/>
      <w:szCs w:val="24"/>
    </w:rPr>
  </w:style>
  <w:style w:type="character" w:styleId="749" w:customStyle="1">
    <w:name w:val="Quote Char"/>
    <w:uiPriority w:val="29"/>
    <w:qFormat/>
    <w:rPr>
      <w:i/>
    </w:rPr>
  </w:style>
  <w:style w:type="character" w:styleId="750" w:customStyle="1">
    <w:name w:val="Intense Quote Char"/>
    <w:uiPriority w:val="30"/>
    <w:qFormat/>
    <w:rPr>
      <w:i/>
    </w:rPr>
  </w:style>
  <w:style w:type="character" w:styleId="751" w:customStyle="1">
    <w:name w:val="Caption Char"/>
    <w:uiPriority w:val="99"/>
    <w:qFormat/>
  </w:style>
  <w:style w:type="table" w:styleId="752" w:customStyle="1">
    <w:name w:val="无格式表格 1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68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68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68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网格表 7 彩色1"/>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68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清单表 6 彩色1"/>
    <w:basedOn w:val="685"/>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清单表 7 彩色1"/>
    <w:basedOn w:val="685"/>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0"/>
    <w:qFormat/>
    <w:rPr>
      <w:sz w:val="18"/>
    </w:rPr>
  </w:style>
  <w:style w:type="character" w:styleId="772" w:customStyle="1">
    <w:name w:val="Endnote Text Char"/>
    <w:uiPriority w:val="99"/>
    <w:qFormat/>
    <w:rPr>
      <w:sz w:val="20"/>
    </w:rPr>
  </w:style>
  <w:style w:type="paragraph" w:styleId="773" w:customStyle="1">
    <w:name w:val="TOC 标题1"/>
    <w:uiPriority w:val="39"/>
    <w:unhideWhenUsed/>
    <w:qFormat/>
    <w:rPr>
      <w:rFonts w:ascii="Calibri" w:hAnsi="Calibri" w:eastAsia="宋体" w:cs="Times New Roman"/>
      <w:lang w:val="en-US" w:eastAsia="zh-CN" w:bidi="ar-SA"/>
    </w:rPr>
  </w:style>
  <w:style w:type="character" w:styleId="774" w:customStyle="1">
    <w:name w:val="标题 1 字符1"/>
    <w:link w:val="675"/>
    <w:uiPriority w:val="9"/>
    <w:qFormat/>
    <w:rPr>
      <w:rFonts w:ascii="Arial" w:hAnsi="Arial" w:eastAsia="Arial" w:cs="Arial"/>
      <w:sz w:val="40"/>
      <w:szCs w:val="40"/>
    </w:rPr>
  </w:style>
  <w:style w:type="character" w:styleId="775" w:customStyle="1">
    <w:name w:val="标题 5 字符1"/>
    <w:link w:val="679"/>
    <w:uiPriority w:val="9"/>
    <w:qFormat/>
    <w:rPr>
      <w:rFonts w:ascii="Arial" w:hAnsi="Arial" w:eastAsia="Arial" w:cs="Arial"/>
      <w:b/>
      <w:bCs/>
      <w:sz w:val="24"/>
      <w:szCs w:val="24"/>
    </w:rPr>
  </w:style>
  <w:style w:type="character" w:styleId="776" w:customStyle="1">
    <w:name w:val="标题 6 字符1"/>
    <w:link w:val="680"/>
    <w:uiPriority w:val="9"/>
    <w:qFormat/>
    <w:rPr>
      <w:rFonts w:ascii="Arial" w:hAnsi="Arial" w:eastAsia="Arial" w:cs="Arial"/>
      <w:b/>
      <w:bCs/>
      <w:sz w:val="22"/>
      <w:szCs w:val="22"/>
    </w:rPr>
  </w:style>
  <w:style w:type="character" w:styleId="777" w:customStyle="1">
    <w:name w:val="标题 7 字符1"/>
    <w:link w:val="681"/>
    <w:uiPriority w:val="9"/>
    <w:qFormat/>
    <w:rPr>
      <w:rFonts w:ascii="Arial" w:hAnsi="Arial" w:eastAsia="Arial" w:cs="Arial"/>
      <w:b/>
      <w:bCs/>
      <w:i/>
      <w:iCs/>
      <w:sz w:val="22"/>
      <w:szCs w:val="22"/>
    </w:rPr>
  </w:style>
  <w:style w:type="character" w:styleId="778" w:customStyle="1">
    <w:name w:val="标题 8 字符1"/>
    <w:link w:val="682"/>
    <w:uiPriority w:val="9"/>
    <w:qFormat/>
    <w:rPr>
      <w:rFonts w:ascii="Arial" w:hAnsi="Arial" w:eastAsia="Arial" w:cs="Arial"/>
      <w:i/>
      <w:iCs/>
      <w:sz w:val="22"/>
      <w:szCs w:val="22"/>
    </w:rPr>
  </w:style>
  <w:style w:type="character" w:styleId="779" w:customStyle="1">
    <w:name w:val="标题 9 字符1"/>
    <w:link w:val="683"/>
    <w:uiPriority w:val="9"/>
    <w:qFormat/>
    <w:rPr>
      <w:rFonts w:ascii="Arial" w:hAnsi="Arial" w:eastAsia="Arial" w:cs="Arial"/>
      <w:i/>
      <w:iCs/>
      <w:sz w:val="21"/>
      <w:szCs w:val="21"/>
    </w:rPr>
  </w:style>
  <w:style w:type="paragraph" w:styleId="780">
    <w:name w:val="No Spacing"/>
    <w:uiPriority w:val="1"/>
    <w:qFormat/>
    <w:rPr>
      <w:rFonts w:ascii="Calibri" w:hAnsi="Calibri" w:eastAsia="宋体" w:cs="Times New Roman"/>
      <w:lang w:val="en-US" w:eastAsia="zh-CN" w:bidi="ar-SA"/>
    </w:rPr>
  </w:style>
  <w:style w:type="character" w:styleId="781" w:customStyle="1">
    <w:name w:val="标题 字符1"/>
    <w:link w:val="720"/>
    <w:uiPriority w:val="10"/>
    <w:qFormat/>
    <w:rPr>
      <w:sz w:val="48"/>
      <w:szCs w:val="48"/>
    </w:rPr>
  </w:style>
  <w:style w:type="character" w:styleId="782" w:customStyle="1">
    <w:name w:val="副标题 字符"/>
    <w:link w:val="710"/>
    <w:uiPriority w:val="11"/>
    <w:qFormat/>
    <w:rPr>
      <w:sz w:val="24"/>
      <w:szCs w:val="24"/>
    </w:rPr>
  </w:style>
  <w:style w:type="paragraph" w:styleId="783">
    <w:name w:val="Quote"/>
    <w:basedOn w:val="674"/>
    <w:next w:val="674"/>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74"/>
    <w:next w:val="674"/>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页脚 字符1"/>
    <w:link w:val="706"/>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字符1"/>
    <w:link w:val="711"/>
    <w:uiPriority w:val="99"/>
    <w:qFormat/>
    <w:rPr>
      <w:sz w:val="18"/>
    </w:rPr>
  </w:style>
  <w:style w:type="character" w:styleId="895" w:customStyle="1">
    <w:name w:val="尾注文本 字符1"/>
    <w:link w:val="704"/>
    <w:uiPriority w:val="99"/>
    <w:qFormat/>
    <w:rPr>
      <w:sz w:val="20"/>
    </w:rPr>
  </w:style>
  <w:style w:type="paragraph" w:styleId="896" w:customStyle="1">
    <w:name w:val="TOC 标题11"/>
    <w:uiPriority w:val="39"/>
    <w:unhideWhenUsed/>
    <w:qFormat/>
    <w:rPr>
      <w:rFonts w:ascii="Calibri" w:hAnsi="Calibri" w:eastAsia="宋体" w:cs="Times New Roman"/>
      <w:lang w:val="en-US" w:eastAsia="zh-CN" w:bidi="ar-SA"/>
    </w:rPr>
  </w:style>
  <w:style w:type="paragraph" w:styleId="897" w:customStyle="1">
    <w:name w:val="标题 11"/>
    <w:basedOn w:val="674"/>
    <w:next w:val="674"/>
    <w:link w:val="909"/>
    <w:uiPriority w:val="0"/>
    <w:qFormat/>
    <w:pPr>
      <w:jc w:val="center"/>
      <w:keepNext/>
      <w:outlineLvl w:val="0"/>
    </w:pPr>
    <w:rPr>
      <w:rFonts w:ascii="楷体_GB2312" w:hAnsi="Times New Roman" w:eastAsia="楷体_GB2312"/>
      <w:sz w:val="28"/>
      <w:szCs w:val="28"/>
    </w:rPr>
  </w:style>
  <w:style w:type="paragraph" w:styleId="898" w:customStyle="1">
    <w:name w:val="标题 211"/>
    <w:basedOn w:val="674"/>
    <w:next w:val="899"/>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customStyle="1">
    <w:name w:val="正文缩进1"/>
    <w:basedOn w:val="674"/>
    <w:link w:val="911"/>
    <w:uiPriority w:val="0"/>
    <w:qFormat/>
    <w:pPr>
      <w:ind w:firstLine="420"/>
    </w:pPr>
    <w:rPr>
      <w:szCs w:val="21"/>
    </w:rPr>
  </w:style>
  <w:style w:type="paragraph" w:styleId="900" w:customStyle="1">
    <w:name w:val="标题 31"/>
    <w:basedOn w:val="674"/>
    <w:next w:val="899"/>
    <w:link w:val="912"/>
    <w:uiPriority w:val="0"/>
    <w:qFormat/>
    <w:pPr>
      <w:keepLines/>
      <w:keepNext/>
      <w:spacing w:before="260" w:after="260" w:line="416" w:lineRule="auto"/>
      <w:outlineLvl w:val="2"/>
    </w:pPr>
    <w:rPr>
      <w:rFonts w:ascii="Times New Roman" w:hAnsi="Times New Roman"/>
      <w:b/>
      <w:bCs/>
      <w:sz w:val="32"/>
      <w:szCs w:val="32"/>
    </w:rPr>
  </w:style>
  <w:style w:type="paragraph" w:styleId="901" w:customStyle="1">
    <w:name w:val="标题 41"/>
    <w:basedOn w:val="674"/>
    <w:next w:val="899"/>
    <w:link w:val="913"/>
    <w:uiPriority w:val="0"/>
    <w:qFormat/>
    <w:pPr>
      <w:keepLines/>
      <w:keepNext/>
      <w:spacing w:before="280" w:after="290" w:line="376" w:lineRule="auto"/>
      <w:outlineLvl w:val="3"/>
    </w:pPr>
    <w:rPr>
      <w:rFonts w:ascii="Arial" w:hAnsi="Arial" w:eastAsia="黑体" w:cs="Arial"/>
      <w:b/>
      <w:bCs/>
      <w:sz w:val="28"/>
      <w:szCs w:val="28"/>
    </w:rPr>
  </w:style>
  <w:style w:type="paragraph" w:styleId="902" w:customStyle="1">
    <w:name w:val="标题 51"/>
    <w:basedOn w:val="674"/>
    <w:next w:val="899"/>
    <w:link w:val="914"/>
    <w:uiPriority w:val="0"/>
    <w:qFormat/>
    <w:pPr>
      <w:keepNext/>
      <w:outlineLvl w:val="4"/>
    </w:pPr>
    <w:rPr>
      <w:rFonts w:ascii="宋体" w:hAnsi="Times New Roman"/>
      <w:color w:val="000000"/>
      <w:sz w:val="28"/>
      <w:szCs w:val="28"/>
    </w:rPr>
  </w:style>
  <w:style w:type="paragraph" w:styleId="903" w:customStyle="1">
    <w:name w:val="标题 61"/>
    <w:basedOn w:val="674"/>
    <w:next w:val="674"/>
    <w:link w:val="9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customStyle="1">
    <w:name w:val="标题 71"/>
    <w:basedOn w:val="674"/>
    <w:next w:val="674"/>
    <w:link w:val="91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05" w:customStyle="1">
    <w:name w:val="标题 81"/>
    <w:basedOn w:val="674"/>
    <w:next w:val="674"/>
    <w:link w:val="9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6" w:customStyle="1">
    <w:name w:val="标题 91"/>
    <w:basedOn w:val="674"/>
    <w:next w:val="674"/>
    <w:link w:val="918"/>
    <w:uiPriority w:val="0"/>
    <w:qFormat/>
    <w:pPr>
      <w:numPr>
        <w:ilvl w:val="8"/>
        <w:numId w:val="1"/>
      </w:numPr>
      <w:keepLines/>
      <w:keepNext/>
      <w:spacing w:before="240" w:after="64" w:line="320" w:lineRule="auto"/>
      <w:outlineLvl w:val="8"/>
    </w:pPr>
    <w:rPr>
      <w:rFonts w:ascii="Arial" w:hAnsi="Arial" w:eastAsia="黑体"/>
      <w:szCs w:val="21"/>
    </w:rPr>
  </w:style>
  <w:style w:type="character" w:styleId="907" w:customStyle="1">
    <w:name w:val="默认段落字体1"/>
    <w:uiPriority w:val="1"/>
    <w:unhideWhenUsed/>
    <w:qFormat/>
  </w:style>
  <w:style w:type="table" w:styleId="908" w:customStyle="1">
    <w:name w:val="普通表格1"/>
    <w:uiPriority w:val="99"/>
    <w:unhideWhenUsed/>
    <w:qFormat/>
    <w:tblPr>
      <w:tblCellMar>
        <w:left w:w="0" w:type="dxa"/>
        <w:top w:w="0" w:type="dxa"/>
        <w:right w:w="0" w:type="dxa"/>
        <w:bottom w:w="0" w:type="dxa"/>
      </w:tblCellMar>
    </w:tblPr>
  </w:style>
  <w:style w:type="character" w:styleId="909" w:customStyle="1">
    <w:name w:val="标题 1 字符"/>
    <w:link w:val="897"/>
    <w:uiPriority w:val="0"/>
    <w:qFormat/>
    <w:rPr>
      <w:rFonts w:ascii="楷体_GB2312" w:hAnsi="Times New Roman" w:eastAsia="楷体_GB2312" w:cs="Times New Roman"/>
      <w:sz w:val="28"/>
      <w:szCs w:val="28"/>
    </w:rPr>
  </w:style>
  <w:style w:type="character" w:styleId="910" w:customStyle="1">
    <w:name w:val="标题 2 字符1"/>
    <w:link w:val="898"/>
    <w:uiPriority w:val="0"/>
    <w:qFormat/>
    <w:rPr>
      <w:rFonts w:ascii="Arial" w:hAnsi="Arial" w:eastAsia="幼圆" w:cs="Arial"/>
      <w:b/>
      <w:bCs/>
      <w:sz w:val="44"/>
      <w:szCs w:val="44"/>
    </w:rPr>
  </w:style>
  <w:style w:type="character" w:styleId="911" w:customStyle="1">
    <w:name w:val="正文缩进 字符"/>
    <w:link w:val="899"/>
    <w:uiPriority w:val="0"/>
    <w:qFormat/>
    <w:rPr>
      <w:szCs w:val="21"/>
    </w:rPr>
  </w:style>
  <w:style w:type="character" w:styleId="912" w:customStyle="1">
    <w:name w:val="标题 3 字符"/>
    <w:link w:val="900"/>
    <w:uiPriority w:val="0"/>
    <w:qFormat/>
    <w:rPr>
      <w:rFonts w:ascii="Times New Roman" w:hAnsi="Times New Roman" w:eastAsia="宋体" w:cs="Times New Roman"/>
      <w:b/>
      <w:bCs/>
      <w:sz w:val="32"/>
      <w:szCs w:val="32"/>
    </w:rPr>
  </w:style>
  <w:style w:type="character" w:styleId="913" w:customStyle="1">
    <w:name w:val="标题 4 字符1"/>
    <w:link w:val="901"/>
    <w:uiPriority w:val="0"/>
    <w:qFormat/>
    <w:rPr>
      <w:rFonts w:ascii="Arial" w:hAnsi="Arial" w:eastAsia="黑体" w:cs="Arial"/>
      <w:b/>
      <w:bCs/>
      <w:sz w:val="28"/>
      <w:szCs w:val="28"/>
    </w:rPr>
  </w:style>
  <w:style w:type="character" w:styleId="914" w:customStyle="1">
    <w:name w:val="标题 5 字符"/>
    <w:link w:val="902"/>
    <w:uiPriority w:val="0"/>
    <w:qFormat/>
    <w:rPr>
      <w:rFonts w:ascii="宋体" w:hAnsi="Times New Roman" w:eastAsia="宋体" w:cs="Times New Roman"/>
      <w:color w:val="000000"/>
      <w:sz w:val="28"/>
      <w:szCs w:val="28"/>
    </w:rPr>
  </w:style>
  <w:style w:type="character" w:styleId="915" w:customStyle="1">
    <w:name w:val="标题 6 字符"/>
    <w:link w:val="903"/>
    <w:uiPriority w:val="0"/>
    <w:qFormat/>
    <w:rPr>
      <w:rFonts w:ascii="Arial" w:hAnsi="Arial" w:eastAsia="黑体" w:cs="Times New Roman"/>
      <w:b/>
      <w:bCs/>
      <w:sz w:val="24"/>
      <w:szCs w:val="24"/>
    </w:rPr>
  </w:style>
  <w:style w:type="character" w:styleId="916" w:customStyle="1">
    <w:name w:val="标题 7 字符"/>
    <w:link w:val="904"/>
    <w:uiPriority w:val="0"/>
    <w:qFormat/>
    <w:rPr>
      <w:rFonts w:ascii="Times New Roman" w:hAnsi="Times New Roman" w:eastAsia="宋体" w:cs="Times New Roman"/>
      <w:b/>
      <w:bCs/>
      <w:sz w:val="24"/>
      <w:szCs w:val="24"/>
    </w:rPr>
  </w:style>
  <w:style w:type="character" w:styleId="917" w:customStyle="1">
    <w:name w:val="标题 8 字符"/>
    <w:link w:val="905"/>
    <w:uiPriority w:val="0"/>
    <w:qFormat/>
    <w:rPr>
      <w:rFonts w:ascii="Arial" w:hAnsi="Arial" w:eastAsia="黑体" w:cs="Times New Roman"/>
      <w:sz w:val="24"/>
      <w:szCs w:val="24"/>
    </w:rPr>
  </w:style>
  <w:style w:type="character" w:styleId="918" w:customStyle="1">
    <w:name w:val="标题 9 字符"/>
    <w:link w:val="906"/>
    <w:uiPriority w:val="0"/>
    <w:qFormat/>
    <w:rPr>
      <w:rFonts w:ascii="Arial" w:hAnsi="Arial" w:eastAsia="黑体" w:cs="Times New Roman"/>
      <w:szCs w:val="21"/>
    </w:rPr>
  </w:style>
  <w:style w:type="paragraph" w:styleId="919" w:customStyle="1">
    <w:name w:val="列表 31"/>
    <w:basedOn w:val="674"/>
    <w:uiPriority w:val="0"/>
    <w:qFormat/>
    <w:pPr>
      <w:ind w:left="100" w:hanging="200"/>
    </w:pPr>
    <w:rPr>
      <w:rFonts w:ascii="Times New Roman" w:hAnsi="Times New Roman"/>
      <w:szCs w:val="21"/>
    </w:rPr>
  </w:style>
  <w:style w:type="paragraph" w:styleId="920" w:customStyle="1">
    <w:name w:val="文档结构图1"/>
    <w:basedOn w:val="674"/>
    <w:link w:val="921"/>
    <w:uiPriority w:val="0"/>
    <w:qFormat/>
    <w:pPr>
      <w:shd w:val="clear" w:color="auto" w:fill="000080"/>
    </w:pPr>
    <w:rPr>
      <w:rFonts w:ascii="Times New Roman" w:hAnsi="Times New Roman"/>
      <w:szCs w:val="21"/>
    </w:rPr>
  </w:style>
  <w:style w:type="character" w:styleId="921" w:customStyle="1">
    <w:name w:val="文档结构图 字符"/>
    <w:link w:val="920"/>
    <w:uiPriority w:val="0"/>
    <w:qFormat/>
    <w:rPr>
      <w:rFonts w:ascii="Times New Roman" w:hAnsi="Times New Roman" w:eastAsia="宋体" w:cs="Times New Roman"/>
      <w:szCs w:val="21"/>
      <w:shd w:val="clear" w:color="auto" w:fill="000080"/>
    </w:rPr>
  </w:style>
  <w:style w:type="paragraph" w:styleId="922" w:customStyle="1">
    <w:name w:val="批注文字11"/>
    <w:basedOn w:val="674"/>
    <w:link w:val="923"/>
    <w:uiPriority w:val="99"/>
    <w:unhideWhenUsed/>
    <w:qFormat/>
    <w:pPr>
      <w:jc w:val="left"/>
    </w:pPr>
  </w:style>
  <w:style w:type="character" w:styleId="923" w:customStyle="1">
    <w:name w:val="批注文字 字符1"/>
    <w:link w:val="922"/>
    <w:uiPriority w:val="99"/>
    <w:semiHidden/>
    <w:qFormat/>
  </w:style>
  <w:style w:type="paragraph" w:styleId="924" w:customStyle="1">
    <w:name w:val="正文文本 31"/>
    <w:basedOn w:val="674"/>
    <w:link w:val="925"/>
    <w:uiPriority w:val="0"/>
    <w:qFormat/>
    <w:rPr>
      <w:rFonts w:ascii="仿宋_GB2312" w:hAnsi="Arial" w:eastAsia="仿宋_GB2312"/>
      <w:sz w:val="32"/>
      <w:szCs w:val="32"/>
    </w:rPr>
  </w:style>
  <w:style w:type="character" w:styleId="925" w:customStyle="1">
    <w:name w:val="正文文本 3 字符"/>
    <w:link w:val="924"/>
    <w:uiPriority w:val="0"/>
    <w:qFormat/>
    <w:rPr>
      <w:rFonts w:ascii="仿宋_GB2312" w:hAnsi="Arial" w:eastAsia="仿宋_GB2312" w:cs="Times New Roman"/>
      <w:sz w:val="32"/>
      <w:szCs w:val="32"/>
    </w:rPr>
  </w:style>
  <w:style w:type="paragraph" w:styleId="926" w:customStyle="1">
    <w:name w:val="正文文本1"/>
    <w:basedOn w:val="674"/>
    <w:link w:val="927"/>
    <w:uiPriority w:val="0"/>
    <w:qFormat/>
    <w:rPr>
      <w:rFonts w:ascii="楷体_GB2312" w:hAnsi="Arial" w:eastAsia="楷体_GB2312"/>
      <w:sz w:val="28"/>
      <w:szCs w:val="28"/>
    </w:rPr>
  </w:style>
  <w:style w:type="character" w:styleId="927" w:customStyle="1">
    <w:name w:val="正文文本 字符"/>
    <w:link w:val="926"/>
    <w:uiPriority w:val="0"/>
    <w:qFormat/>
    <w:rPr>
      <w:rFonts w:ascii="楷体_GB2312" w:hAnsi="Arial" w:eastAsia="楷体_GB2312" w:cs="Times New Roman"/>
      <w:sz w:val="28"/>
      <w:szCs w:val="28"/>
    </w:rPr>
  </w:style>
  <w:style w:type="paragraph" w:styleId="928" w:customStyle="1">
    <w:name w:val="正文文本缩进1"/>
    <w:basedOn w:val="674"/>
    <w:link w:val="929"/>
    <w:uiPriority w:val="0"/>
    <w:unhideWhenUsed/>
    <w:qFormat/>
    <w:pPr>
      <w:ind w:left="420"/>
      <w:spacing w:after="120"/>
    </w:pPr>
  </w:style>
  <w:style w:type="character" w:styleId="929" w:customStyle="1">
    <w:name w:val="正文文本缩进 字符"/>
    <w:link w:val="928"/>
    <w:uiPriority w:val="0"/>
    <w:qFormat/>
  </w:style>
  <w:style w:type="paragraph" w:styleId="930" w:customStyle="1">
    <w:name w:val="列表 21"/>
    <w:basedOn w:val="674"/>
    <w:uiPriority w:val="0"/>
    <w:qFormat/>
    <w:pPr>
      <w:ind w:left="100" w:hanging="200"/>
    </w:pPr>
    <w:rPr>
      <w:rFonts w:ascii="Times New Roman" w:hAnsi="Times New Roman"/>
      <w:szCs w:val="21"/>
    </w:rPr>
  </w:style>
  <w:style w:type="paragraph" w:styleId="931" w:customStyle="1">
    <w:name w:val="纯文本1"/>
    <w:basedOn w:val="674"/>
    <w:link w:val="932"/>
    <w:uiPriority w:val="0"/>
    <w:qFormat/>
    <w:rPr>
      <w:rFonts w:ascii="宋体" w:hAnsi="Courier New" w:cs="Courier New"/>
      <w:szCs w:val="21"/>
    </w:rPr>
  </w:style>
  <w:style w:type="character" w:styleId="932" w:customStyle="1">
    <w:name w:val="纯文本 字符"/>
    <w:link w:val="931"/>
    <w:uiPriority w:val="0"/>
    <w:qFormat/>
    <w:rPr>
      <w:rFonts w:ascii="宋体" w:hAnsi="Courier New" w:eastAsia="宋体" w:cs="Courier New"/>
      <w:szCs w:val="21"/>
    </w:rPr>
  </w:style>
  <w:style w:type="paragraph" w:styleId="933" w:customStyle="1">
    <w:name w:val="日期1"/>
    <w:basedOn w:val="674"/>
    <w:next w:val="674"/>
    <w:link w:val="934"/>
    <w:uiPriority w:val="0"/>
    <w:qFormat/>
    <w:rPr>
      <w:rFonts w:ascii="Times New Roman" w:hAnsi="Times New Roman"/>
      <w:sz w:val="24"/>
      <w:szCs w:val="24"/>
    </w:rPr>
  </w:style>
  <w:style w:type="character" w:styleId="934" w:customStyle="1">
    <w:name w:val="日期 字符"/>
    <w:link w:val="933"/>
    <w:uiPriority w:val="0"/>
    <w:qFormat/>
    <w:rPr>
      <w:rFonts w:ascii="Times New Roman" w:hAnsi="Times New Roman" w:eastAsia="宋体" w:cs="Times New Roman"/>
      <w:sz w:val="24"/>
      <w:szCs w:val="24"/>
    </w:rPr>
  </w:style>
  <w:style w:type="paragraph" w:styleId="935" w:customStyle="1">
    <w:name w:val="正文文本缩进 21"/>
    <w:basedOn w:val="674"/>
    <w:link w:val="936"/>
    <w:uiPriority w:val="0"/>
    <w:qFormat/>
    <w:pPr>
      <w:ind w:left="630" w:firstLine="645"/>
    </w:pPr>
    <w:rPr>
      <w:rFonts w:ascii="Arial" w:hAnsi="Arial" w:eastAsia="仿宋_GB2312" w:cs="Arial"/>
      <w:sz w:val="32"/>
      <w:szCs w:val="32"/>
    </w:rPr>
  </w:style>
  <w:style w:type="character" w:styleId="936" w:customStyle="1">
    <w:name w:val="正文文本缩进 2 字符"/>
    <w:link w:val="935"/>
    <w:uiPriority w:val="0"/>
    <w:qFormat/>
    <w:rPr>
      <w:rFonts w:ascii="Arial" w:hAnsi="Arial" w:eastAsia="仿宋_GB2312" w:cs="Arial"/>
      <w:sz w:val="32"/>
      <w:szCs w:val="32"/>
    </w:rPr>
  </w:style>
  <w:style w:type="paragraph" w:styleId="937" w:customStyle="1">
    <w:name w:val="批注框文本1"/>
    <w:basedOn w:val="674"/>
    <w:link w:val="938"/>
    <w:uiPriority w:val="0"/>
    <w:qFormat/>
    <w:rPr>
      <w:rFonts w:ascii="Times New Roman" w:hAnsi="Times New Roman"/>
      <w:sz w:val="18"/>
      <w:szCs w:val="18"/>
    </w:rPr>
  </w:style>
  <w:style w:type="character" w:styleId="938" w:customStyle="1">
    <w:name w:val="批注框文本 字符"/>
    <w:link w:val="937"/>
    <w:uiPriority w:val="0"/>
    <w:qFormat/>
    <w:rPr>
      <w:rFonts w:ascii="Times New Roman" w:hAnsi="Times New Roman" w:eastAsia="宋体" w:cs="Times New Roman"/>
      <w:sz w:val="18"/>
      <w:szCs w:val="18"/>
    </w:rPr>
  </w:style>
  <w:style w:type="paragraph" w:styleId="939" w:customStyle="1">
    <w:name w:val="页脚1"/>
    <w:basedOn w:val="674"/>
    <w:link w:val="940"/>
    <w:uiPriority w:val="0"/>
    <w:qFormat/>
    <w:pPr>
      <w:jc w:val="left"/>
      <w:tabs>
        <w:tab w:val="center" w:pos="4153" w:leader="none"/>
        <w:tab w:val="right" w:pos="8306" w:leader="none"/>
      </w:tabs>
    </w:pPr>
    <w:rPr>
      <w:rFonts w:ascii="Times New Roman" w:hAnsi="Times New Roman"/>
      <w:sz w:val="18"/>
      <w:szCs w:val="18"/>
    </w:rPr>
  </w:style>
  <w:style w:type="character" w:styleId="940" w:customStyle="1">
    <w:name w:val="页脚 字符"/>
    <w:link w:val="939"/>
    <w:uiPriority w:val="99"/>
    <w:qFormat/>
    <w:rPr>
      <w:rFonts w:ascii="Times New Roman" w:hAnsi="Times New Roman" w:eastAsia="宋体" w:cs="Times New Roman"/>
      <w:sz w:val="18"/>
      <w:szCs w:val="18"/>
    </w:rPr>
  </w:style>
  <w:style w:type="paragraph" w:styleId="941" w:customStyle="1">
    <w:name w:val="页眉1"/>
    <w:basedOn w:val="674"/>
    <w:link w:val="94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2" w:customStyle="1">
    <w:name w:val="页眉 字符"/>
    <w:link w:val="941"/>
    <w:uiPriority w:val="99"/>
    <w:qFormat/>
    <w:rPr>
      <w:rFonts w:ascii="Times New Roman" w:hAnsi="Times New Roman" w:eastAsia="宋体" w:cs="Times New Roman"/>
      <w:sz w:val="18"/>
      <w:szCs w:val="18"/>
    </w:rPr>
  </w:style>
  <w:style w:type="paragraph" w:styleId="943" w:customStyle="1">
    <w:name w:val="列表1"/>
    <w:basedOn w:val="674"/>
    <w:uiPriority w:val="0"/>
    <w:qFormat/>
    <w:pPr>
      <w:ind w:left="200" w:hanging="200"/>
    </w:pPr>
    <w:rPr>
      <w:rFonts w:ascii="Times New Roman" w:hAnsi="Times New Roman"/>
      <w:szCs w:val="21"/>
    </w:rPr>
  </w:style>
  <w:style w:type="paragraph" w:styleId="944" w:customStyle="1">
    <w:name w:val="正文文本缩进 31"/>
    <w:basedOn w:val="674"/>
    <w:link w:val="945"/>
    <w:uiPriority w:val="0"/>
    <w:qFormat/>
    <w:pPr>
      <w:ind w:left="645" w:firstLine="645"/>
    </w:pPr>
    <w:rPr>
      <w:rFonts w:ascii="Arial" w:hAnsi="Arial" w:eastAsia="仿宋_GB2312" w:cs="Arial"/>
      <w:color w:val="ffff00"/>
      <w:sz w:val="32"/>
      <w:szCs w:val="32"/>
    </w:rPr>
  </w:style>
  <w:style w:type="character" w:styleId="945" w:customStyle="1">
    <w:name w:val="正文文本缩进 3 字符"/>
    <w:link w:val="944"/>
    <w:uiPriority w:val="0"/>
    <w:qFormat/>
    <w:rPr>
      <w:rFonts w:ascii="Arial" w:hAnsi="Arial" w:eastAsia="仿宋_GB2312" w:cs="Arial"/>
      <w:color w:val="ffff00"/>
      <w:sz w:val="32"/>
      <w:szCs w:val="32"/>
    </w:rPr>
  </w:style>
  <w:style w:type="paragraph" w:styleId="946" w:customStyle="1">
    <w:name w:val="图表目录11"/>
    <w:basedOn w:val="674"/>
    <w:next w:val="674"/>
    <w:uiPriority w:val="0"/>
    <w:qFormat/>
    <w:pPr>
      <w:ind w:left="840" w:hanging="420"/>
    </w:pPr>
    <w:rPr>
      <w:rFonts w:ascii="Times New Roman" w:hAnsi="Times New Roman"/>
      <w:szCs w:val="21"/>
    </w:rPr>
  </w:style>
  <w:style w:type="paragraph" w:styleId="947" w:customStyle="1">
    <w:name w:val="正文文本 21"/>
    <w:basedOn w:val="674"/>
    <w:link w:val="948"/>
    <w:uiPriority w:val="0"/>
    <w:qFormat/>
    <w:pPr>
      <w:jc w:val="center"/>
      <w:widowControl/>
    </w:pPr>
    <w:rPr>
      <w:rFonts w:ascii="楷体_GB2312" w:hAnsi="Times New Roman" w:eastAsia="楷体_GB2312"/>
      <w:sz w:val="28"/>
      <w:szCs w:val="28"/>
    </w:rPr>
  </w:style>
  <w:style w:type="character" w:styleId="948" w:customStyle="1">
    <w:name w:val="正文文本 2 字符"/>
    <w:link w:val="947"/>
    <w:uiPriority w:val="0"/>
    <w:qFormat/>
    <w:rPr>
      <w:rFonts w:ascii="楷体_GB2312" w:hAnsi="Times New Roman" w:eastAsia="楷体_GB2312" w:cs="Times New Roman"/>
      <w:sz w:val="28"/>
      <w:szCs w:val="28"/>
    </w:rPr>
  </w:style>
  <w:style w:type="paragraph" w:styleId="949" w:customStyle="1">
    <w:name w:val="普通(网站)1"/>
    <w:basedOn w:val="674"/>
    <w:uiPriority w:val="0"/>
    <w:qFormat/>
    <w:pPr>
      <w:jc w:val="left"/>
      <w:spacing w:before="100" w:beforeAutospacing="1" w:after="100" w:afterAutospacing="1"/>
      <w:widowControl/>
    </w:pPr>
    <w:rPr>
      <w:rFonts w:ascii="宋体" w:hAnsi="宋体" w:cs="宋体"/>
      <w:sz w:val="24"/>
      <w:szCs w:val="24"/>
    </w:rPr>
  </w:style>
  <w:style w:type="paragraph" w:styleId="950" w:customStyle="1">
    <w:name w:val="索引 11"/>
    <w:basedOn w:val="674"/>
    <w:next w:val="674"/>
    <w:uiPriority w:val="0"/>
    <w:qFormat/>
    <w:pPr>
      <w:spacing w:line="240" w:lineRule="atLeast"/>
    </w:pPr>
    <w:rPr>
      <w:rFonts w:ascii="Times New Roman" w:hAnsi="Times New Roman"/>
      <w:b/>
      <w:bCs/>
      <w:szCs w:val="21"/>
    </w:rPr>
  </w:style>
  <w:style w:type="paragraph" w:styleId="951" w:customStyle="1">
    <w:name w:val="批注主题1"/>
    <w:basedOn w:val="922"/>
    <w:next w:val="922"/>
    <w:link w:val="952"/>
    <w:uiPriority w:val="0"/>
    <w:qFormat/>
    <w:rPr>
      <w:rFonts w:ascii="Times New Roman" w:hAnsi="Times New Roman"/>
      <w:b/>
      <w:bCs/>
      <w:szCs w:val="21"/>
    </w:rPr>
  </w:style>
  <w:style w:type="character" w:styleId="952" w:customStyle="1">
    <w:name w:val="批注主题 字符"/>
    <w:link w:val="951"/>
    <w:uiPriority w:val="0"/>
    <w:semiHidden/>
    <w:qFormat/>
    <w:rPr>
      <w:rFonts w:ascii="Times New Roman" w:hAnsi="Times New Roman" w:eastAsia="宋体" w:cs="Times New Roman"/>
      <w:b/>
      <w:bCs/>
      <w:szCs w:val="21"/>
    </w:rPr>
  </w:style>
  <w:style w:type="paragraph" w:styleId="953" w:customStyle="1">
    <w:name w:val="正文文本首行缩进1"/>
    <w:basedOn w:val="674"/>
    <w:link w:val="954"/>
    <w:uiPriority w:val="0"/>
    <w:qFormat/>
    <w:pPr>
      <w:ind w:firstLine="200"/>
      <w:spacing w:line="360" w:lineRule="auto"/>
    </w:pPr>
    <w:rPr>
      <w:rFonts w:ascii="仿宋_GB2312" w:hAnsi="Times New Roman" w:eastAsia="仿宋_GB2312"/>
      <w:sz w:val="30"/>
      <w:szCs w:val="30"/>
    </w:rPr>
  </w:style>
  <w:style w:type="character" w:styleId="954" w:customStyle="1">
    <w:name w:val="正文文本首行缩进 字符"/>
    <w:link w:val="953"/>
    <w:uiPriority w:val="0"/>
    <w:qFormat/>
    <w:rPr>
      <w:rFonts w:ascii="仿宋_GB2312" w:hAnsi="Times New Roman" w:eastAsia="仿宋_GB2312" w:cs="Times New Roman"/>
      <w:sz w:val="30"/>
      <w:szCs w:val="30"/>
    </w:rPr>
  </w:style>
  <w:style w:type="paragraph" w:styleId="955" w:customStyle="1">
    <w:name w:val="正文文本首行缩进 21"/>
    <w:basedOn w:val="928"/>
    <w:link w:val="956"/>
    <w:uiPriority w:val="0"/>
    <w:qFormat/>
    <w:pPr>
      <w:ind w:left="0" w:firstLine="420"/>
      <w:spacing w:after="0" w:line="360" w:lineRule="auto"/>
    </w:pPr>
    <w:rPr>
      <w:rFonts w:ascii="宋体" w:hAnsi="宋体"/>
      <w:szCs w:val="20"/>
    </w:rPr>
  </w:style>
  <w:style w:type="character" w:styleId="956" w:customStyle="1">
    <w:name w:val="正文文本首行缩进 2 字符"/>
    <w:link w:val="955"/>
    <w:uiPriority w:val="0"/>
    <w:qFormat/>
    <w:rPr>
      <w:rFonts w:ascii="宋体" w:hAnsi="宋体" w:eastAsia="宋体" w:cs="Times New Roman"/>
      <w:szCs w:val="20"/>
    </w:rPr>
  </w:style>
  <w:style w:type="table" w:styleId="957" w:customStyle="1">
    <w:name w:val="网格型1"/>
    <w:basedOn w:val="908"/>
    <w:uiPriority w:val="0"/>
    <w:qFormat/>
    <w:pPr>
      <w:jc w:val="both"/>
      <w:widowControl w:val="off"/>
    </w:pPr>
    <w:tblPr/>
  </w:style>
  <w:style w:type="character" w:styleId="958" w:customStyle="1">
    <w:name w:val="要点1"/>
    <w:uiPriority w:val="0"/>
    <w:qFormat/>
    <w:rPr>
      <w:b/>
      <w:bCs/>
    </w:rPr>
  </w:style>
  <w:style w:type="character" w:styleId="959" w:customStyle="1">
    <w:name w:val="页码1"/>
    <w:uiPriority w:val="0"/>
    <w:qFormat/>
  </w:style>
  <w:style w:type="character" w:styleId="960" w:customStyle="1">
    <w:name w:val="访问过的超链接1"/>
    <w:uiPriority w:val="0"/>
    <w:qFormat/>
    <w:rPr>
      <w:color w:val="800080"/>
      <w:u w:val="single"/>
    </w:rPr>
  </w:style>
  <w:style w:type="character" w:styleId="961" w:customStyle="1">
    <w:name w:val="超链接1"/>
    <w:uiPriority w:val="99"/>
    <w:qFormat/>
    <w:rPr>
      <w:color w:val="0000ff"/>
      <w:u w:val="single"/>
    </w:rPr>
  </w:style>
  <w:style w:type="character" w:styleId="962" w:customStyle="1">
    <w:name w:val="批注引用1"/>
    <w:uiPriority w:val="0"/>
    <w:qFormat/>
    <w:rPr>
      <w:sz w:val="21"/>
      <w:szCs w:val="21"/>
    </w:rPr>
  </w:style>
  <w:style w:type="character" w:styleId="963" w:customStyle="1">
    <w:name w:val="font5 Char"/>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b/>
      <w:sz w:val="30"/>
      <w:szCs w:val="28"/>
    </w:rPr>
  </w:style>
  <w:style w:type="paragraph" w:styleId="965" w:customStyle="1">
    <w:name w:val="二级目录"/>
    <w:next w:val="674"/>
    <w:link w:val="964"/>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674"/>
    <w:link w:val="966"/>
    <w:uiPriority w:val="0"/>
    <w:qFormat/>
    <w:pPr>
      <w:contextualSpacing/>
      <w:ind w:left="720"/>
      <w:jc w:val="left"/>
      <w:widowControl/>
    </w:pPr>
    <w:rPr>
      <w:sz w:val="24"/>
      <w:szCs w:val="24"/>
      <w:lang w:eastAsia="en-US" w:bidi="en-US"/>
    </w:rPr>
  </w:style>
  <w:style w:type="paragraph" w:styleId="968" w:customStyle="1">
    <w:name w:val="Body Text(ch)"/>
    <w:basedOn w:val="674"/>
    <w:next w:val="926"/>
    <w:uiPriority w:val="0"/>
    <w:qFormat/>
    <w:pPr>
      <w:spacing w:after="120"/>
    </w:pPr>
    <w:rPr>
      <w:rFonts w:ascii="宋体" w:hAnsi="Arial"/>
      <w:bCs/>
      <w:iCs/>
      <w:szCs w:val="24"/>
    </w:rPr>
  </w:style>
  <w:style w:type="paragraph" w:styleId="969" w:customStyle="1">
    <w:name w:val="xl2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customStyle="1">
    <w:name w:val="xl2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customStyle="1">
    <w:name w:val="Char"/>
    <w:basedOn w:val="674"/>
    <w:uiPriority w:val="99"/>
    <w:qFormat/>
    <w:pPr>
      <w:ind w:firstLine="200"/>
      <w:tabs>
        <w:tab w:val="left" w:pos="360" w:leader="none"/>
      </w:tabs>
    </w:pPr>
    <w:rPr>
      <w:rFonts w:ascii="Times New Roman" w:hAnsi="Times New Roman"/>
      <w:sz w:val="28"/>
      <w:szCs w:val="30"/>
    </w:rPr>
  </w:style>
  <w:style w:type="paragraph" w:styleId="972" w:customStyle="1">
    <w:name w:val="Char111"/>
    <w:basedOn w:val="920"/>
    <w:uiPriority w:val="0"/>
    <w:qFormat/>
    <w:rPr>
      <w:rFonts w:ascii="Tahoma" w:hAnsi="Tahoma"/>
      <w:sz w:val="24"/>
      <w:szCs w:val="24"/>
    </w:rPr>
  </w:style>
  <w:style w:type="paragraph" w:styleId="973" w:customStyle="1">
    <w:name w:val="普通正文"/>
    <w:basedOn w:val="674"/>
    <w:uiPriority w:val="0"/>
    <w:qFormat/>
    <w:pPr>
      <w:ind w:firstLine="480"/>
      <w:jc w:val="left"/>
      <w:spacing w:before="120" w:after="120" w:line="360" w:lineRule="auto"/>
    </w:pPr>
    <w:rPr>
      <w:rFonts w:ascii="Arial" w:hAnsi="Arial"/>
      <w:sz w:val="24"/>
      <w:szCs w:val="24"/>
    </w:rPr>
  </w:style>
  <w:style w:type="paragraph" w:styleId="974" w:customStyle="1">
    <w:name w:val="table_lines"/>
    <w:basedOn w:val="674"/>
    <w:uiPriority w:val="0"/>
    <w:qFormat/>
    <w:pPr>
      <w:jc w:val="left"/>
      <w:widowControl/>
    </w:pPr>
    <w:rPr>
      <w:rFonts w:ascii="Times New Roman" w:hAnsi="Times New Roman"/>
      <w:sz w:val="20"/>
      <w:szCs w:val="20"/>
      <w:lang w:val="de-DE" w:eastAsia="de-DE"/>
    </w:rPr>
  </w:style>
  <w:style w:type="paragraph" w:styleId="97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6" w:customStyle="1">
    <w:name w:val="font7"/>
    <w:basedOn w:val="674"/>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Char Char Char Char"/>
    <w:basedOn w:val="920"/>
    <w:uiPriority w:val="99"/>
    <w:qFormat/>
    <w:pPr>
      <w:spacing w:line="360" w:lineRule="auto"/>
    </w:pPr>
    <w:rPr>
      <w:rFonts w:ascii="Tahoma" w:hAnsi="Tahoma"/>
      <w:sz w:val="24"/>
      <w:szCs w:val="24"/>
    </w:rPr>
  </w:style>
  <w:style w:type="paragraph" w:styleId="978" w:customStyle="1">
    <w:name w:val="列表段落1"/>
    <w:basedOn w:val="674"/>
    <w:uiPriority w:val="0"/>
    <w:qFormat/>
    <w:pPr>
      <w:contextualSpacing/>
      <w:ind w:left="720"/>
      <w:jc w:val="left"/>
      <w:widowControl/>
    </w:pPr>
    <w:rPr>
      <w:sz w:val="24"/>
      <w:szCs w:val="24"/>
      <w:lang w:eastAsia="en-US" w:bidi="en-US"/>
    </w:rPr>
  </w:style>
  <w:style w:type="paragraph" w:styleId="979" w:customStyle="1">
    <w:name w:val="4"/>
    <w:basedOn w:val="674"/>
    <w:next w:val="944"/>
    <w:uiPriority w:val="0"/>
    <w:qFormat/>
    <w:pPr>
      <w:ind w:firstLine="420"/>
      <w:spacing w:line="360" w:lineRule="auto"/>
    </w:pPr>
    <w:rPr>
      <w:rFonts w:ascii="Times New Roman" w:hAnsi="Times New Roman"/>
      <w:color w:val="ff0000"/>
      <w:sz w:val="24"/>
      <w:szCs w:val="24"/>
    </w:rPr>
  </w:style>
  <w:style w:type="paragraph" w:styleId="980" w:customStyle="1">
    <w:name w:val="普通 (Web)"/>
    <w:basedOn w:val="674"/>
    <w:uiPriority w:val="0"/>
    <w:qFormat/>
    <w:pPr>
      <w:jc w:val="left"/>
      <w:spacing w:before="100" w:beforeAutospacing="1" w:after="100" w:afterAutospacing="1"/>
      <w:widowControl/>
    </w:pPr>
    <w:rPr>
      <w:rFonts w:ascii="宋体" w:hAnsi="宋体"/>
      <w:sz w:val="24"/>
      <w:szCs w:val="24"/>
    </w:rPr>
  </w:style>
  <w:style w:type="paragraph" w:styleId="981" w:customStyle="1">
    <w:name w:val="Char Char Char Char Char Char Char Char Char Char"/>
    <w:basedOn w:val="674"/>
    <w:uiPriority w:val="0"/>
    <w:qFormat/>
    <w:pPr>
      <w:spacing w:line="360" w:lineRule="auto"/>
    </w:pPr>
    <w:rPr>
      <w:rFonts w:ascii="Times New Roman" w:hAnsi="Times New Roman"/>
      <w:sz w:val="24"/>
      <w:szCs w:val="20"/>
    </w:rPr>
  </w:style>
  <w:style w:type="paragraph" w:styleId="982" w:customStyle="1">
    <w:name w:val="样式1"/>
    <w:basedOn w:val="674"/>
    <w:link w:val="1411"/>
    <w:uiPriority w:val="0"/>
    <w:qFormat/>
    <w:pPr>
      <w:numPr>
        <w:ilvl w:val="0"/>
        <w:numId w:val="3"/>
      </w:numPr>
    </w:pPr>
    <w:rPr>
      <w:rFonts w:ascii="宋体" w:hAnsi="宋体"/>
      <w:szCs w:val="21"/>
    </w:rPr>
  </w:style>
  <w:style w:type="paragraph" w:styleId="983" w:customStyle="1">
    <w:name w:val="font6"/>
    <w:basedOn w:val="674"/>
    <w:uiPriority w:val="0"/>
    <w:qFormat/>
    <w:pPr>
      <w:jc w:val="left"/>
      <w:spacing w:before="100" w:beforeAutospacing="1" w:after="100" w:afterAutospacing="1"/>
      <w:widowControl/>
    </w:pPr>
    <w:rPr>
      <w:rFonts w:hint="eastAsia" w:ascii="宋体" w:hAnsi="宋体"/>
      <w:sz w:val="28"/>
      <w:szCs w:val="28"/>
      <w:u w:val="single"/>
    </w:rPr>
  </w:style>
  <w:style w:type="paragraph" w:styleId="984" w:customStyle="1">
    <w:name w:val="xl25"/>
    <w:basedOn w:val="6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674"/>
    <w:next w:val="67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6" w:customStyle="1">
    <w:name w:val="标题3"/>
    <w:basedOn w:val="674"/>
    <w:next w:val="674"/>
    <w:uiPriority w:val="0"/>
    <w:qFormat/>
    <w:pPr>
      <w:ind w:firstLine="624"/>
      <w:spacing w:line="590" w:lineRule="atLeast"/>
    </w:pPr>
    <w:rPr>
      <w:rFonts w:ascii="方正黑体_GBK" w:hAnsi="Times New Roman" w:eastAsia="方正黑体_GBK"/>
      <w:sz w:val="32"/>
      <w:szCs w:val="32"/>
    </w:rPr>
  </w:style>
  <w:style w:type="paragraph" w:styleId="987" w:customStyle="1">
    <w:name w:val="xl24"/>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9"/>
    <w:basedOn w:val="6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customStyle="1">
    <w:name w:val="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990" w:customStyle="1">
    <w:name w:val="xl2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Char Char Char Char Char Char Char Char1"/>
    <w:basedOn w:val="674"/>
    <w:uiPriority w:val="0"/>
    <w:qFormat/>
    <w:pPr>
      <w:jc w:val="left"/>
      <w:spacing w:after="160" w:line="240" w:lineRule="exact"/>
      <w:widowControl/>
    </w:pPr>
    <w:rPr>
      <w:rFonts w:ascii="Verdana" w:hAnsi="Verdana"/>
      <w:sz w:val="20"/>
      <w:szCs w:val="20"/>
      <w:lang w:eastAsia="en-US"/>
    </w:rPr>
  </w:style>
  <w:style w:type="paragraph" w:styleId="992" w:customStyle="1">
    <w:name w:val="xl30"/>
    <w:basedOn w:val="674"/>
    <w:uiPriority w:val="0"/>
    <w:qFormat/>
    <w:pPr>
      <w:jc w:val="center"/>
      <w:spacing w:before="100" w:beforeAutospacing="1" w:after="100" w:afterAutospacing="1"/>
      <w:widowControl/>
    </w:pPr>
    <w:rPr>
      <w:rFonts w:ascii="宋体" w:hAnsi="宋体"/>
      <w:b/>
      <w:bCs/>
      <w:sz w:val="36"/>
      <w:szCs w:val="36"/>
    </w:rPr>
  </w:style>
  <w:style w:type="paragraph" w:styleId="993" w:customStyle="1">
    <w:name w:val="Char Char Char Char11"/>
    <w:basedOn w:val="920"/>
    <w:uiPriority w:val="0"/>
    <w:qFormat/>
    <w:pPr>
      <w:spacing w:line="360" w:lineRule="auto"/>
    </w:pPr>
    <w:rPr>
      <w:rFonts w:ascii="Tahoma" w:hAnsi="Tahoma"/>
      <w:sz w:val="24"/>
      <w:szCs w:val="24"/>
    </w:rPr>
  </w:style>
  <w:style w:type="paragraph" w:styleId="994" w:customStyle="1">
    <w:name w:val="table_1stline"/>
    <w:basedOn w:val="674"/>
    <w:uiPriority w:val="0"/>
    <w:qFormat/>
    <w:pPr>
      <w:jc w:val="left"/>
      <w:spacing w:before="120"/>
      <w:widowControl/>
    </w:pPr>
    <w:rPr>
      <w:rFonts w:ascii="Times New Roman" w:hAnsi="Times New Roman"/>
      <w:bCs/>
      <w:sz w:val="20"/>
      <w:szCs w:val="20"/>
      <w:lang w:val="de-DE" w:eastAsia="de-DE"/>
    </w:rPr>
  </w:style>
  <w:style w:type="paragraph" w:styleId="995" w:customStyle="1">
    <w:name w:val="font5"/>
    <w:basedOn w:val="674"/>
    <w:uiPriority w:val="0"/>
    <w:qFormat/>
    <w:pPr>
      <w:jc w:val="left"/>
      <w:spacing w:before="100" w:beforeAutospacing="1" w:after="100" w:afterAutospacing="1"/>
      <w:widowControl/>
    </w:pPr>
    <w:rPr>
      <w:rFonts w:hint="eastAsia" w:ascii="宋体" w:hAnsi="宋体"/>
      <w:sz w:val="28"/>
      <w:szCs w:val="28"/>
    </w:rPr>
  </w:style>
  <w:style w:type="paragraph" w:styleId="996" w:customStyle="1">
    <w:name w:val="标题1"/>
    <w:basedOn w:val="674"/>
    <w:next w:val="67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7" w:customStyle="1">
    <w:name w:val="修订1"/>
    <w:uiPriority w:val="99"/>
    <w:qFormat/>
    <w:rPr>
      <w:rFonts w:ascii="Times New Roman" w:hAnsi="Times New Roman" w:eastAsia="宋体" w:cs="Times New Roman"/>
      <w:sz w:val="21"/>
      <w:szCs w:val="21"/>
      <w:lang w:val="en-US" w:eastAsia="zh-CN" w:bidi="ar-SA"/>
    </w:rPr>
  </w:style>
  <w:style w:type="paragraph" w:styleId="998" w:customStyle="1">
    <w:name w:val="无间隔1"/>
    <w:link w:val="1251"/>
    <w:uiPriority w:val="0"/>
    <w:qFormat/>
    <w:pPr>
      <w:jc w:val="both"/>
      <w:widowControl w:val="off"/>
    </w:pPr>
    <w:rPr>
      <w:rFonts w:ascii="Times New Roman" w:hAnsi="Times New Roman" w:eastAsia="宋体" w:cs="Times New Roman"/>
      <w:sz w:val="21"/>
      <w:szCs w:val="21"/>
      <w:lang w:val="en-US" w:eastAsia="zh-CN" w:bidi="ar-SA"/>
    </w:rPr>
  </w:style>
  <w:style w:type="paragraph" w:styleId="999" w:customStyle="1">
    <w:name w:val="标题 21"/>
    <w:basedOn w:val="674"/>
    <w:next w:val="674"/>
    <w:link w:val="1000"/>
    <w:uiPriority w:val="0"/>
    <w:qFormat/>
    <w:pPr>
      <w:keepLines/>
      <w:keepNext/>
      <w:spacing w:before="260" w:after="260" w:line="413" w:lineRule="auto"/>
      <w:outlineLvl w:val="1"/>
    </w:pPr>
    <w:rPr>
      <w:rFonts w:ascii="Arial" w:hAnsi="Arial" w:eastAsia="黑体"/>
      <w:b/>
      <w:sz w:val="32"/>
      <w:szCs w:val="20"/>
    </w:rPr>
  </w:style>
  <w:style w:type="character" w:styleId="1000" w:customStyle="1">
    <w:name w:val="标题 2 字符"/>
    <w:link w:val="999"/>
    <w:uiPriority w:val="0"/>
    <w:qFormat/>
    <w:rPr>
      <w:rFonts w:ascii="Arial" w:hAnsi="Arial" w:eastAsia="黑体"/>
      <w:b/>
      <w:sz w:val="32"/>
    </w:rPr>
  </w:style>
  <w:style w:type="paragraph" w:styleId="1001" w:customStyle="1">
    <w:name w:val="批注文字1"/>
    <w:basedOn w:val="674"/>
    <w:link w:val="1002"/>
    <w:uiPriority w:val="99"/>
    <w:qFormat/>
    <w:pPr>
      <w:jc w:val="left"/>
    </w:pPr>
    <w:rPr>
      <w:szCs w:val="20"/>
    </w:rPr>
  </w:style>
  <w:style w:type="character" w:styleId="1002" w:customStyle="1">
    <w:name w:val="批注文字 字符"/>
    <w:link w:val="1001"/>
    <w:uiPriority w:val="99"/>
    <w:qFormat/>
    <w:rPr>
      <w:sz w:val="21"/>
    </w:rPr>
  </w:style>
  <w:style w:type="paragraph" w:styleId="1003" w:customStyle="1">
    <w:name w:val="Normal_0_1"/>
    <w:uiPriority w:val="0"/>
    <w:qFormat/>
    <w:rPr>
      <w:rFonts w:ascii="黑体" w:hAnsi="黑体" w:eastAsia="黑体" w:cs="Times New Roman"/>
      <w:b/>
      <w:sz w:val="32"/>
      <w:szCs w:val="24"/>
      <w:lang w:val="en-US" w:eastAsia="zh-CN" w:bidi="ar-SA"/>
    </w:rPr>
  </w:style>
  <w:style w:type="paragraph" w:styleId="100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0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06" w:customStyle="1">
    <w:name w:val="正文空2字"/>
    <w:basedOn w:val="67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07" w:customStyle="1">
    <w:name w:val="标题 4 字符"/>
    <w:uiPriority w:val="0"/>
    <w:qFormat/>
    <w:rPr>
      <w:rFonts w:ascii="Arial" w:hAnsi="Arial" w:eastAsia="黑体" w:cs="Arial"/>
      <w:b/>
      <w:bCs/>
      <w:sz w:val="28"/>
      <w:szCs w:val="28"/>
    </w:rPr>
  </w:style>
  <w:style w:type="paragraph" w:styleId="1008" w:customStyle="1">
    <w:name w:val="Normal_20"/>
    <w:uiPriority w:val="0"/>
    <w:qFormat/>
    <w:rPr>
      <w:rFonts w:ascii="黑体" w:hAnsi="黑体" w:eastAsia="黑体" w:cs="黑体"/>
      <w:b/>
      <w:sz w:val="32"/>
      <w:szCs w:val="24"/>
      <w:lang w:val="en-US" w:eastAsia="zh-CN" w:bidi="ar-SA"/>
    </w:rPr>
  </w:style>
  <w:style w:type="paragraph" w:styleId="100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Normal_18_0"/>
    <w:uiPriority w:val="0"/>
    <w:qFormat/>
    <w:rPr>
      <w:rFonts w:ascii="黑体" w:hAnsi="黑体" w:eastAsia="黑体" w:cs="黑体"/>
      <w:b/>
      <w:sz w:val="32"/>
      <w:szCs w:val="24"/>
      <w:lang w:val="en-US" w:eastAsia="zh-CN" w:bidi="ar-SA"/>
    </w:rPr>
  </w:style>
  <w:style w:type="paragraph" w:styleId="1011" w:customStyle="1">
    <w:name w:val="正文_12_0_0_0_0"/>
    <w:basedOn w:val="674"/>
    <w:uiPriority w:val="0"/>
    <w:qFormat/>
    <w:rPr>
      <w:rFonts w:ascii="Times New Roman" w:hAnsi="Times New Roman"/>
      <w:szCs w:val="24"/>
    </w:rPr>
  </w:style>
  <w:style w:type="paragraph" w:styleId="101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1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正文1_0"/>
    <w:link w:val="1298"/>
    <w:uiPriority w:val="0"/>
    <w:qFormat/>
    <w:pPr>
      <w:jc w:val="both"/>
      <w:widowControl w:val="off"/>
    </w:pPr>
    <w:rPr>
      <w:rFonts w:ascii="Times New Roman" w:hAnsi="Times New Roman" w:eastAsia="宋体" w:cs="Times New Roman"/>
      <w:szCs w:val="24"/>
      <w:lang w:val="en-US" w:eastAsia="zh-CN" w:bidi="ar-SA"/>
    </w:rPr>
  </w:style>
  <w:style w:type="paragraph" w:styleId="1016" w:customStyle="1">
    <w:name w:val="正文_16_0_0"/>
    <w:next w:val="1015"/>
    <w:uiPriority w:val="0"/>
    <w:qFormat/>
    <w:pPr>
      <w:jc w:val="both"/>
      <w:widowControl w:val="off"/>
    </w:pPr>
    <w:rPr>
      <w:rFonts w:ascii="Calibri" w:hAnsi="Calibri" w:eastAsia="宋体" w:cs="Times New Roman"/>
      <w:sz w:val="21"/>
      <w:szCs w:val="22"/>
      <w:lang w:val="en-US" w:eastAsia="zh-CN" w:bidi="ar-SA"/>
    </w:rPr>
  </w:style>
  <w:style w:type="paragraph" w:styleId="1017" w:customStyle="1">
    <w:name w:val="Normal_3_0"/>
    <w:uiPriority w:val="0"/>
    <w:qFormat/>
    <w:rPr>
      <w:rFonts w:ascii="黑体" w:hAnsi="黑体" w:eastAsia="黑体" w:cs="Times New Roman"/>
      <w:b/>
      <w:sz w:val="32"/>
      <w:szCs w:val="24"/>
      <w:lang w:val="en-US" w:eastAsia="zh-CN" w:bidi="ar-SA"/>
    </w:rPr>
  </w:style>
  <w:style w:type="paragraph" w:styleId="101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19" w:customStyle="1">
    <w:name w:val="列表项目符号 41"/>
    <w:basedOn w:val="674"/>
    <w:uiPriority w:val="0"/>
    <w:qFormat/>
    <w:pPr>
      <w:ind w:left="360" w:hanging="360"/>
      <w:spacing w:line="380" w:lineRule="exact"/>
      <w:tabs>
        <w:tab w:val="left" w:pos="360" w:leader="none"/>
      </w:tabs>
    </w:pPr>
    <w:rPr>
      <w:sz w:val="28"/>
    </w:rPr>
  </w:style>
  <w:style w:type="paragraph" w:styleId="1020" w:customStyle="1">
    <w:name w:val="索引 81"/>
    <w:basedOn w:val="674"/>
    <w:next w:val="674"/>
    <w:uiPriority w:val="0"/>
    <w:qFormat/>
    <w:pPr>
      <w:ind w:left="1400"/>
    </w:pPr>
  </w:style>
  <w:style w:type="paragraph" w:styleId="1021" w:customStyle="1">
    <w:name w:val="列表编号1"/>
    <w:basedOn w:val="674"/>
    <w:uiPriority w:val="0"/>
    <w:qFormat/>
    <w:pPr>
      <w:spacing w:line="360" w:lineRule="auto"/>
      <w:tabs>
        <w:tab w:val="left" w:pos="0" w:leader="none"/>
        <w:tab w:val="left" w:pos="840" w:leader="none"/>
      </w:tabs>
    </w:pPr>
  </w:style>
  <w:style w:type="paragraph" w:styleId="1022" w:customStyle="1">
    <w:name w:val="题注1"/>
    <w:basedOn w:val="674"/>
    <w:next w:val="674"/>
    <w:link w:val="1023"/>
    <w:uiPriority w:val="0"/>
    <w:qFormat/>
    <w:pPr>
      <w:spacing w:line="360" w:lineRule="auto"/>
      <w:tabs>
        <w:tab w:val="left" w:pos="0" w:leader="none"/>
      </w:tabs>
    </w:pPr>
    <w:rPr>
      <w:rFonts w:ascii="Arial" w:hAnsi="Arial" w:eastAsia="黑体"/>
      <w:sz w:val="20"/>
      <w:szCs w:val="20"/>
    </w:rPr>
  </w:style>
  <w:style w:type="character" w:styleId="1023" w:customStyle="1">
    <w:name w:val="题注 字符"/>
    <w:link w:val="1022"/>
    <w:uiPriority w:val="0"/>
    <w:qFormat/>
    <w:rPr>
      <w:rFonts w:ascii="Arial" w:hAnsi="Arial" w:eastAsia="黑体"/>
    </w:rPr>
  </w:style>
  <w:style w:type="paragraph" w:styleId="1024" w:customStyle="1">
    <w:name w:val="索引 51"/>
    <w:basedOn w:val="674"/>
    <w:next w:val="674"/>
    <w:uiPriority w:val="0"/>
    <w:qFormat/>
    <w:pPr>
      <w:ind w:left="800"/>
    </w:pPr>
  </w:style>
  <w:style w:type="paragraph" w:styleId="1025" w:customStyle="1">
    <w:name w:val="列表项目符号1"/>
    <w:basedOn w:val="674"/>
    <w:uiPriority w:val="0"/>
    <w:qFormat/>
    <w:pPr>
      <w:ind w:left="962" w:hanging="480"/>
      <w:spacing w:line="360" w:lineRule="auto"/>
      <w:tabs>
        <w:tab w:val="left" w:pos="840" w:leader="none"/>
      </w:tabs>
    </w:pPr>
    <w:rPr>
      <w:sz w:val="24"/>
    </w:rPr>
  </w:style>
  <w:style w:type="paragraph" w:styleId="1026" w:customStyle="1">
    <w:name w:val="索引 61"/>
    <w:basedOn w:val="674"/>
    <w:next w:val="674"/>
    <w:uiPriority w:val="0"/>
    <w:qFormat/>
    <w:pPr>
      <w:ind w:left="1000"/>
    </w:pPr>
  </w:style>
  <w:style w:type="paragraph" w:styleId="1027" w:customStyle="1">
    <w:name w:val="列表项目符号 31"/>
    <w:basedOn w:val="674"/>
    <w:uiPriority w:val="0"/>
    <w:qFormat/>
    <w:pPr>
      <w:ind w:left="1200" w:hanging="360"/>
      <w:spacing w:line="380" w:lineRule="exact"/>
      <w:tabs>
        <w:tab w:val="left" w:pos="1200" w:leader="none"/>
      </w:tabs>
    </w:pPr>
    <w:rPr>
      <w:sz w:val="28"/>
    </w:rPr>
  </w:style>
  <w:style w:type="paragraph" w:styleId="1028" w:customStyle="1">
    <w:name w:val="文本块1"/>
    <w:basedOn w:val="674"/>
    <w:uiPriority w:val="0"/>
    <w:qFormat/>
    <w:pPr>
      <w:ind w:left="1548" w:right="12" w:hanging="2405"/>
      <w:spacing w:line="360" w:lineRule="exact"/>
    </w:pPr>
    <w:rPr>
      <w:rFonts w:ascii="宋体"/>
      <w:bCs/>
      <w:sz w:val="28"/>
    </w:rPr>
  </w:style>
  <w:style w:type="paragraph" w:styleId="1029" w:customStyle="1">
    <w:name w:val="列表项目符号 21"/>
    <w:basedOn w:val="674"/>
    <w:uiPriority w:val="0"/>
    <w:qFormat/>
    <w:pPr>
      <w:ind w:left="720" w:hanging="360"/>
      <w:spacing w:line="360" w:lineRule="auto"/>
      <w:tabs>
        <w:tab w:val="left" w:pos="720" w:leader="none"/>
      </w:tabs>
    </w:pPr>
    <w:rPr>
      <w:sz w:val="24"/>
    </w:rPr>
  </w:style>
  <w:style w:type="paragraph" w:styleId="1030" w:customStyle="1">
    <w:name w:val="HTML 地址1"/>
    <w:basedOn w:val="674"/>
    <w:link w:val="1031"/>
    <w:uiPriority w:val="0"/>
    <w:qFormat/>
    <w:rPr>
      <w:i/>
      <w:iCs/>
    </w:rPr>
  </w:style>
  <w:style w:type="character" w:styleId="1031" w:customStyle="1">
    <w:name w:val="HTML 地址 字符"/>
    <w:link w:val="1030"/>
    <w:uiPriority w:val="0"/>
    <w:qFormat/>
    <w:rPr>
      <w:i/>
      <w:iCs/>
      <w:sz w:val="21"/>
      <w:szCs w:val="22"/>
    </w:rPr>
  </w:style>
  <w:style w:type="paragraph" w:styleId="1032" w:customStyle="1">
    <w:name w:val="索引 41"/>
    <w:basedOn w:val="674"/>
    <w:next w:val="674"/>
    <w:uiPriority w:val="0"/>
    <w:qFormat/>
    <w:pPr>
      <w:ind w:left="600"/>
    </w:pPr>
  </w:style>
  <w:style w:type="paragraph" w:styleId="1033" w:customStyle="1">
    <w:name w:val="列表项目符号 51"/>
    <w:basedOn w:val="674"/>
    <w:uiPriority w:val="0"/>
    <w:qFormat/>
    <w:pPr>
      <w:ind w:left="720" w:hanging="360"/>
      <w:spacing w:line="380" w:lineRule="exact"/>
      <w:tabs>
        <w:tab w:val="left" w:pos="720" w:leader="none"/>
      </w:tabs>
    </w:pPr>
    <w:rPr>
      <w:sz w:val="28"/>
    </w:rPr>
  </w:style>
  <w:style w:type="paragraph" w:styleId="1034" w:customStyle="1">
    <w:name w:val="索引 31"/>
    <w:basedOn w:val="674"/>
    <w:next w:val="674"/>
    <w:uiPriority w:val="0"/>
    <w:qFormat/>
    <w:pPr>
      <w:ind w:left="400"/>
    </w:pPr>
  </w:style>
  <w:style w:type="paragraph" w:styleId="1035" w:customStyle="1">
    <w:name w:val="尾注文本1"/>
    <w:basedOn w:val="674"/>
    <w:link w:val="1036"/>
    <w:uiPriority w:val="0"/>
    <w:qFormat/>
    <w:pPr>
      <w:jc w:val="left"/>
      <w:widowControl/>
    </w:pPr>
    <w:rPr>
      <w:rFonts w:ascii="宋体"/>
      <w:bCs/>
      <w:szCs w:val="21"/>
    </w:rPr>
  </w:style>
  <w:style w:type="character" w:styleId="1036" w:customStyle="1">
    <w:name w:val="尾注文本 字符"/>
    <w:link w:val="1035"/>
    <w:uiPriority w:val="0"/>
    <w:qFormat/>
    <w:rPr>
      <w:rFonts w:ascii="宋体"/>
      <w:bCs/>
      <w:sz w:val="21"/>
      <w:szCs w:val="21"/>
    </w:rPr>
  </w:style>
  <w:style w:type="paragraph" w:styleId="1037" w:customStyle="1">
    <w:name w:val="索引标题1"/>
    <w:basedOn w:val="674"/>
    <w:next w:val="950"/>
    <w:uiPriority w:val="0"/>
    <w:qFormat/>
  </w:style>
  <w:style w:type="paragraph" w:styleId="1038" w:customStyle="1">
    <w:name w:val="脚注文本1"/>
    <w:basedOn w:val="674"/>
    <w:link w:val="1039"/>
    <w:uiPriority w:val="0"/>
    <w:qFormat/>
    <w:pPr>
      <w:jc w:val="left"/>
    </w:pPr>
    <w:rPr>
      <w:rFonts w:ascii="宋体"/>
      <w:bCs/>
      <w:sz w:val="18"/>
      <w:szCs w:val="18"/>
    </w:rPr>
  </w:style>
  <w:style w:type="character" w:styleId="1039" w:customStyle="1">
    <w:name w:val="脚注文本 字符"/>
    <w:link w:val="1038"/>
    <w:uiPriority w:val="0"/>
    <w:qFormat/>
    <w:rPr>
      <w:rFonts w:ascii="宋体"/>
      <w:bCs/>
      <w:sz w:val="18"/>
      <w:szCs w:val="18"/>
    </w:rPr>
  </w:style>
  <w:style w:type="paragraph" w:styleId="1040" w:customStyle="1">
    <w:name w:val="索引 71"/>
    <w:basedOn w:val="674"/>
    <w:next w:val="674"/>
    <w:uiPriority w:val="0"/>
    <w:qFormat/>
    <w:pPr>
      <w:ind w:left="1200"/>
    </w:pPr>
  </w:style>
  <w:style w:type="paragraph" w:styleId="1041" w:customStyle="1">
    <w:name w:val="索引 91"/>
    <w:basedOn w:val="674"/>
    <w:next w:val="674"/>
    <w:uiPriority w:val="0"/>
    <w:qFormat/>
    <w:pPr>
      <w:ind w:left="1600"/>
    </w:pPr>
  </w:style>
  <w:style w:type="paragraph" w:styleId="1042" w:customStyle="1">
    <w:name w:val="列表接续 21"/>
    <w:basedOn w:val="674"/>
    <w:uiPriority w:val="0"/>
    <w:qFormat/>
    <w:pPr>
      <w:ind w:left="840"/>
      <w:spacing w:after="120"/>
    </w:pPr>
  </w:style>
  <w:style w:type="paragraph" w:styleId="1043" w:customStyle="1">
    <w:name w:val="HTML 预设格式1"/>
    <w:basedOn w:val="674"/>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044" w:customStyle="1">
    <w:name w:val="HTML 预设格式 字符"/>
    <w:link w:val="1043"/>
    <w:uiPriority w:val="0"/>
    <w:qFormat/>
    <w:rPr>
      <w:rFonts w:ascii="Arial" w:hAnsi="Arial" w:cs="Arial"/>
      <w:sz w:val="24"/>
      <w:szCs w:val="22"/>
    </w:rPr>
  </w:style>
  <w:style w:type="paragraph" w:styleId="1045" w:customStyle="1">
    <w:name w:val="索引 21"/>
    <w:basedOn w:val="674"/>
    <w:next w:val="674"/>
    <w:uiPriority w:val="0"/>
    <w:qFormat/>
    <w:pPr>
      <w:ind w:left="200"/>
    </w:pPr>
  </w:style>
  <w:style w:type="paragraph" w:styleId="1046" w:customStyle="1">
    <w:name w:val="标题21"/>
    <w:basedOn w:val="674"/>
    <w:link w:val="1047"/>
    <w:uiPriority w:val="0"/>
    <w:qFormat/>
    <w:pPr>
      <w:jc w:val="center"/>
      <w:spacing w:before="240" w:after="60"/>
      <w:outlineLvl w:val="0"/>
    </w:pPr>
    <w:rPr>
      <w:rFonts w:ascii="Cambria" w:hAnsi="Cambria"/>
      <w:b/>
      <w:bCs/>
      <w:sz w:val="32"/>
      <w:szCs w:val="32"/>
    </w:rPr>
  </w:style>
  <w:style w:type="character" w:styleId="1047" w:customStyle="1">
    <w:name w:val="标题 字符"/>
    <w:link w:val="1046"/>
    <w:uiPriority w:val="0"/>
    <w:qFormat/>
    <w:rPr>
      <w:rFonts w:ascii="Cambria" w:hAnsi="Cambria"/>
      <w:b/>
      <w:bCs/>
      <w:sz w:val="32"/>
      <w:szCs w:val="32"/>
    </w:rPr>
  </w:style>
  <w:style w:type="character" w:styleId="1048" w:customStyle="1">
    <w:name w:val="尾注引用1"/>
    <w:uiPriority w:val="0"/>
    <w:qFormat/>
    <w:rPr>
      <w:vertAlign w:val="superscript"/>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脚注引用1"/>
    <w:uiPriority w:val="0"/>
    <w:qFormat/>
    <w:rPr>
      <w:vertAlign w:val="superscript"/>
    </w:rPr>
  </w:style>
  <w:style w:type="paragraph" w:styleId="1052" w:customStyle="1">
    <w:name w:val="正文（标记）"/>
    <w:basedOn w:val="674"/>
    <w:link w:val="1053"/>
    <w:uiPriority w:val="0"/>
    <w:qFormat/>
    <w:pPr>
      <w:spacing w:before="50" w:after="50"/>
      <w:tabs>
        <w:tab w:val="left" w:pos="0" w:leader="none"/>
        <w:tab w:val="left" w:pos="840" w:leader="none"/>
      </w:tabs>
    </w:pPr>
    <w:rPr>
      <w:rFonts w:ascii="Times New Roman" w:hAnsi="Times New Roman"/>
      <w:sz w:val="24"/>
      <w:szCs w:val="24"/>
    </w:rPr>
  </w:style>
  <w:style w:type="character" w:styleId="1053" w:customStyle="1">
    <w:name w:val="正文（标记） Char2"/>
    <w:link w:val="1052"/>
    <w:uiPriority w:val="0"/>
    <w:qFormat/>
    <w:rPr>
      <w:rFonts w:ascii="Times New Roman" w:hAnsi="Times New Roman"/>
      <w:sz w:val="24"/>
      <w:szCs w:val="24"/>
    </w:rPr>
  </w:style>
  <w:style w:type="character" w:styleId="1054" w:customStyle="1">
    <w:name w:val="Char Char2"/>
    <w:uiPriority w:val="0"/>
    <w:qFormat/>
    <w:rPr>
      <w:sz w:val="18"/>
      <w:szCs w:val="18"/>
    </w:rPr>
  </w:style>
  <w:style w:type="character" w:styleId="1055" w:customStyle="1">
    <w:name w:val="maywed421"/>
    <w:uiPriority w:val="0"/>
    <w:qFormat/>
    <w:rPr>
      <w:color w:val="366fb6"/>
      <w:u w:val="none"/>
    </w:rPr>
  </w:style>
  <w:style w:type="paragraph" w:styleId="105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5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58" w:customStyle="1">
    <w:name w:val="Comment Text Char"/>
    <w:uiPriority w:val="0"/>
    <w:qFormat/>
    <w:rPr>
      <w:rFonts w:cs="Times New Roman"/>
      <w:sz w:val="21"/>
      <w:szCs w:val="21"/>
      <w:lang w:bidi="ar-SA"/>
    </w:rPr>
  </w:style>
  <w:style w:type="character" w:styleId="1059" w:customStyle="1">
    <w:name w:val="Footer Char"/>
    <w:uiPriority w:val="0"/>
    <w:qFormat/>
    <w:rPr>
      <w:rFonts w:eastAsia="宋体"/>
      <w:sz w:val="18"/>
      <w:lang w:val="en-US" w:eastAsia="zh-CN"/>
    </w:rPr>
  </w:style>
  <w:style w:type="character" w:styleId="1060" w:customStyle="1">
    <w:name w:val="ca-41"/>
    <w:uiPriority w:val="0"/>
    <w:qFormat/>
    <w:rPr>
      <w:rFonts w:ascii="宋体" w:eastAsia="宋体"/>
      <w:b/>
      <w:bCs/>
      <w:color w:val="000000"/>
      <w:spacing w:val="-20"/>
      <w:sz w:val="21"/>
      <w:szCs w:val="21"/>
    </w:rPr>
  </w:style>
  <w:style w:type="character" w:styleId="1061" w:customStyle="1">
    <w:name w:val="ca-1"/>
    <w:uiPriority w:val="0"/>
    <w:qFormat/>
  </w:style>
  <w:style w:type="character" w:styleId="1062" w:customStyle="1">
    <w:name w:val="Plain Text Char"/>
    <w:uiPriority w:val="0"/>
    <w:qFormat/>
    <w:rPr>
      <w:rFonts w:ascii="宋体" w:eastAsia="宋体"/>
      <w:sz w:val="21"/>
      <w:lang w:val="en-US" w:eastAsia="zh-CN"/>
    </w:rPr>
  </w:style>
  <w:style w:type="character" w:styleId="1063" w:customStyle="1">
    <w:name w:val="Header Char"/>
    <w:uiPriority w:val="0"/>
    <w:qFormat/>
    <w:rPr>
      <w:rFonts w:eastAsia="宋体"/>
      <w:sz w:val="18"/>
      <w:lang w:val="en-US" w:eastAsia="zh-CN"/>
    </w:rPr>
  </w:style>
  <w:style w:type="character" w:styleId="1064" w:customStyle="1">
    <w:name w:val="marklong"/>
    <w:uiPriority w:val="0"/>
    <w:qFormat/>
  </w:style>
  <w:style w:type="character" w:styleId="1065" w:customStyle="1">
    <w:name w:val="普通文字1 Char"/>
    <w:uiPriority w:val="0"/>
    <w:qFormat/>
    <w:rPr>
      <w:rFonts w:ascii="宋体" w:eastAsia="宋体" w:cs="Courier New"/>
      <w:sz w:val="21"/>
      <w:szCs w:val="21"/>
      <w:lang w:val="en-US" w:eastAsia="zh-CN" w:bidi="ar-SA"/>
    </w:rPr>
  </w:style>
  <w:style w:type="character" w:styleId="1066" w:customStyle="1">
    <w:name w:val="ca-21"/>
    <w:uiPriority w:val="0"/>
    <w:qFormat/>
    <w:rPr>
      <w:rFonts w:ascii="宋体" w:eastAsia="宋体"/>
      <w:sz w:val="21"/>
    </w:rPr>
  </w:style>
  <w:style w:type="paragraph" w:styleId="1067" w:customStyle="1">
    <w:name w:val="正文（缩进）"/>
    <w:basedOn w:val="674"/>
    <w:uiPriority w:val="0"/>
    <w:qFormat/>
    <w:pPr>
      <w:ind w:firstLine="200"/>
      <w:spacing w:before="50" w:after="50" w:line="360" w:lineRule="auto"/>
    </w:pPr>
    <w:rPr>
      <w:sz w:val="24"/>
    </w:rPr>
  </w:style>
  <w:style w:type="character" w:styleId="1068" w:customStyle="1">
    <w:name w:val="Heading 3 Char"/>
    <w:uiPriority w:val="0"/>
    <w:qFormat/>
    <w:rPr>
      <w:rFonts w:cs="Times New Roman"/>
      <w:b/>
      <w:bCs/>
      <w:sz w:val="32"/>
      <w:szCs w:val="32"/>
      <w:lang w:bidi="ar-SA"/>
    </w:rPr>
  </w:style>
  <w:style w:type="character" w:styleId="1069" w:customStyle="1">
    <w:name w:val="z12 style23"/>
    <w:uiPriority w:val="0"/>
    <w:qFormat/>
  </w:style>
  <w:style w:type="paragraph" w:styleId="1070" w:customStyle="1">
    <w:name w:val="Indent Normal"/>
    <w:basedOn w:val="674"/>
    <w:uiPriority w:val="0"/>
    <w:qFormat/>
    <w:pPr>
      <w:ind w:firstLine="150"/>
    </w:pPr>
    <w:rPr>
      <w:sz w:val="24"/>
      <w:szCs w:val="20"/>
    </w:rPr>
  </w:style>
  <w:style w:type="character" w:styleId="1071" w:customStyle="1">
    <w:name w:val="Char Char21"/>
    <w:uiPriority w:val="0"/>
    <w:qFormat/>
    <w:rPr>
      <w:sz w:val="18"/>
      <w:szCs w:val="18"/>
    </w:rPr>
  </w:style>
  <w:style w:type="character" w:styleId="1072" w:customStyle="1">
    <w:name w:val="ca-31"/>
    <w:uiPriority w:val="0"/>
    <w:qFormat/>
    <w:rPr>
      <w:rFonts w:ascii="宋体" w:eastAsia="宋体"/>
      <w:color w:val="000000"/>
      <w:sz w:val="21"/>
      <w:szCs w:val="21"/>
    </w:rPr>
  </w:style>
  <w:style w:type="character" w:styleId="1073" w:customStyle="1">
    <w:name w:val="apple-converted-space"/>
    <w:uiPriority w:val="0"/>
    <w:qFormat/>
  </w:style>
  <w:style w:type="character" w:styleId="1074" w:customStyle="1">
    <w:name w:val="Char Char1"/>
    <w:uiPriority w:val="0"/>
    <w:qFormat/>
    <w:rPr>
      <w:rFonts w:ascii="宋体" w:eastAsia="宋体"/>
      <w:sz w:val="21"/>
      <w:lang w:val="en-US" w:eastAsia="zh-CN"/>
    </w:rPr>
  </w:style>
  <w:style w:type="character" w:styleId="1075" w:customStyle="1">
    <w:name w:val="font21"/>
    <w:uiPriority w:val="0"/>
    <w:qFormat/>
    <w:rPr>
      <w:rFonts w:ascii="Times New Roman" w:hAnsi="Times New Roman"/>
      <w:color w:val="000000"/>
      <w:sz w:val="20"/>
      <w:u w:val="none"/>
    </w:rPr>
  </w:style>
  <w:style w:type="character" w:styleId="1076" w:customStyle="1">
    <w:name w:val="ca-01"/>
    <w:uiPriority w:val="0"/>
    <w:qFormat/>
    <w:rPr>
      <w:rFonts w:ascii="宋体" w:eastAsia="宋体"/>
      <w:b/>
      <w:bCs/>
      <w:spacing w:val="-20"/>
      <w:sz w:val="24"/>
      <w:szCs w:val="24"/>
    </w:rPr>
  </w:style>
  <w:style w:type="character" w:styleId="1077" w:customStyle="1">
    <w:name w:val="Char Char23"/>
    <w:uiPriority w:val="0"/>
    <w:qFormat/>
    <w:rPr>
      <w:sz w:val="24"/>
      <w:szCs w:val="21"/>
      <w:lang w:bidi="ar-SA"/>
    </w:rPr>
  </w:style>
  <w:style w:type="character" w:styleId="1078" w:customStyle="1">
    <w:name w:val="Char Char"/>
    <w:uiPriority w:val="0"/>
    <w:qFormat/>
    <w:rPr>
      <w:rFonts w:eastAsia="宋体"/>
      <w:sz w:val="18"/>
      <w:lang w:val="en-US" w:eastAsia="zh-CN"/>
    </w:rPr>
  </w:style>
  <w:style w:type="character" w:styleId="1079" w:customStyle="1">
    <w:name w:val="Char Char3"/>
    <w:uiPriority w:val="0"/>
    <w:qFormat/>
    <w:rPr>
      <w:rFonts w:ascii="宋体" w:eastAsia="宋体"/>
      <w:sz w:val="18"/>
      <w:szCs w:val="18"/>
      <w:lang w:val="en-US" w:eastAsia="zh-CN" w:bidi="ar-SA"/>
    </w:rPr>
  </w:style>
  <w:style w:type="paragraph" w:styleId="108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1" w:customStyle="1">
    <w:name w:val="Heading 4 Char"/>
    <w:uiPriority w:val="0"/>
    <w:qFormat/>
    <w:rPr>
      <w:rFonts w:ascii="Cambria" w:hAnsi="Cambria" w:eastAsia="宋体" w:cs="Cambria"/>
      <w:b/>
      <w:bCs/>
      <w:sz w:val="28"/>
      <w:szCs w:val="28"/>
      <w:lang w:bidi="ar-SA"/>
    </w:rPr>
  </w:style>
  <w:style w:type="character" w:styleId="1082" w:customStyle="1">
    <w:name w:val="Header Char1"/>
    <w:uiPriority w:val="0"/>
    <w:qFormat/>
    <w:rPr>
      <w:rFonts w:cs="Times New Roman"/>
      <w:sz w:val="18"/>
      <w:szCs w:val="18"/>
      <w:lang w:bidi="ar-SA"/>
    </w:rPr>
  </w:style>
  <w:style w:type="character" w:styleId="1083" w:customStyle="1">
    <w:name w:val="Footer Char1"/>
    <w:uiPriority w:val="0"/>
    <w:qFormat/>
    <w:rPr>
      <w:rFonts w:cs="Times New Roman"/>
      <w:sz w:val="18"/>
      <w:szCs w:val="18"/>
      <w:lang w:bidi="ar-SA"/>
    </w:rPr>
  </w:style>
  <w:style w:type="character" w:styleId="1084" w:customStyle="1">
    <w:name w:val="wj1"/>
    <w:uiPriority w:val="0"/>
    <w:qFormat/>
    <w:rPr>
      <w:color w:val="000000"/>
      <w:sz w:val="18"/>
      <w:szCs w:val="18"/>
      <w:u w:val="none"/>
    </w:rPr>
  </w:style>
  <w:style w:type="character" w:styleId="1085" w:customStyle="1">
    <w:name w:val="ca-11"/>
    <w:uiPriority w:val="0"/>
    <w:qFormat/>
    <w:rPr>
      <w:rFonts w:ascii="宋体" w:eastAsia="宋体"/>
      <w:b/>
      <w:bCs/>
      <w:color w:val="000000"/>
      <w:spacing w:val="-20"/>
      <w:sz w:val="28"/>
      <w:szCs w:val="28"/>
    </w:rPr>
  </w:style>
  <w:style w:type="paragraph" w:styleId="108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87" w:customStyle="1">
    <w:name w:val="Plain Text Char1"/>
    <w:uiPriority w:val="0"/>
    <w:qFormat/>
    <w:rPr>
      <w:rFonts w:ascii="宋体" w:eastAsia="宋体"/>
      <w:sz w:val="21"/>
      <w:szCs w:val="21"/>
      <w:lang w:val="en-US" w:eastAsia="zh-CN" w:bidi="ar-SA"/>
    </w:rPr>
  </w:style>
  <w:style w:type="character" w:styleId="1088" w:customStyle="1">
    <w:name w:val="段落 Char"/>
    <w:uiPriority w:val="0"/>
    <w:qFormat/>
    <w:rPr>
      <w:rFonts w:ascii="仿宋_GB2312" w:eastAsia="仿宋_GB2312"/>
      <w:sz w:val="24"/>
      <w:szCs w:val="24"/>
      <w:lang w:val="en-US" w:eastAsia="zh-CN" w:bidi="ar-SA"/>
    </w:rPr>
  </w:style>
  <w:style w:type="character" w:styleId="1089" w:customStyle="1">
    <w:name w:val="Heading 2 Char"/>
    <w:uiPriority w:val="0"/>
    <w:qFormat/>
    <w:rPr>
      <w:rFonts w:ascii="Arial" w:hAnsi="Arial" w:eastAsia="黑体"/>
      <w:b/>
      <w:bCs/>
      <w:sz w:val="32"/>
      <w:szCs w:val="32"/>
      <w:lang w:val="en-US" w:eastAsia="zh-CN" w:bidi="ar-SA"/>
    </w:rPr>
  </w:style>
  <w:style w:type="paragraph" w:styleId="109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1" w:customStyle="1">
    <w:name w:val="Char Char31"/>
    <w:uiPriority w:val="0"/>
    <w:qFormat/>
    <w:rPr>
      <w:rFonts w:ascii="Arial" w:hAnsi="Arial" w:eastAsia="黑体" w:cs="Times New Roman"/>
      <w:b/>
      <w:bCs/>
      <w:sz w:val="32"/>
      <w:szCs w:val="32"/>
      <w:lang w:val="en-US" w:eastAsia="zh-CN" w:bidi="ar-SA"/>
    </w:rPr>
  </w:style>
  <w:style w:type="paragraph" w:styleId="1092" w:customStyle="1">
    <w:name w:val="正文（黑体）"/>
    <w:basedOn w:val="674"/>
    <w:next w:val="674"/>
    <w:uiPriority w:val="0"/>
    <w:qFormat/>
    <w:pPr>
      <w:ind w:firstLine="200"/>
      <w:spacing w:before="50" w:after="50" w:line="360" w:lineRule="auto"/>
    </w:pPr>
    <w:rPr>
      <w:rFonts w:ascii="黑体" w:eastAsia="黑体"/>
      <w:color w:val="000080"/>
      <w:sz w:val="24"/>
    </w:rPr>
  </w:style>
  <w:style w:type="character" w:styleId="1093" w:customStyle="1">
    <w:name w:val="ca-51"/>
    <w:uiPriority w:val="0"/>
    <w:qFormat/>
    <w:rPr>
      <w:rFonts w:ascii="楷体_GB2312" w:eastAsia="楷体_GB2312"/>
      <w:b/>
      <w:bCs/>
      <w:spacing w:val="-20"/>
      <w:sz w:val="24"/>
      <w:szCs w:val="24"/>
    </w:rPr>
  </w:style>
  <w:style w:type="paragraph" w:styleId="1094" w:customStyle="1">
    <w:name w:val="加点正文缩进"/>
    <w:basedOn w:val="674"/>
    <w:uiPriority w:val="0"/>
    <w:qFormat/>
    <w:pPr>
      <w:ind w:left="962" w:hanging="480"/>
      <w:spacing w:line="300" w:lineRule="auto"/>
      <w:tabs>
        <w:tab w:val="left" w:pos="840" w:leader="none"/>
      </w:tabs>
    </w:pPr>
    <w:rPr>
      <w:sz w:val="24"/>
    </w:rPr>
  </w:style>
  <w:style w:type="paragraph" w:styleId="1095" w:customStyle="1">
    <w:name w:val="默认段落字体 Para Char Char Char Char Char Char Char Char Char Char Char Char Char Char"/>
    <w:basedOn w:val="920"/>
    <w:uiPriority w:val="0"/>
    <w:qFormat/>
    <w:rPr>
      <w:rFonts w:ascii="Tahoma" w:hAnsi="Tahoma"/>
      <w:sz w:val="24"/>
      <w:szCs w:val="22"/>
    </w:rPr>
  </w:style>
  <w:style w:type="paragraph" w:styleId="1096">
    <w:name w:val="List Paragraph"/>
    <w:basedOn w:val="674"/>
    <w:link w:val="1519"/>
    <w:uiPriority w:val="34"/>
    <w:qFormat/>
    <w:pPr>
      <w:ind w:firstLine="200"/>
    </w:pPr>
  </w:style>
  <w:style w:type="paragraph" w:styleId="1097" w:customStyle="1">
    <w:name w:val="序号"/>
    <w:next w:val="674"/>
    <w:uiPriority w:val="0"/>
    <w:qFormat/>
    <w:pPr>
      <w:jc w:val="center"/>
    </w:pPr>
    <w:rPr>
      <w:rFonts w:ascii="Times New Roman" w:hAnsi="Times New Roman" w:eastAsia="仿宋_GB2312" w:cs="Times New Roman"/>
      <w:bCs/>
      <w:sz w:val="21"/>
      <w:szCs w:val="44"/>
      <w:lang w:val="en-US" w:eastAsia="zh-CN" w:bidi="ar-SA"/>
    </w:rPr>
  </w:style>
  <w:style w:type="paragraph" w:styleId="1098" w:customStyle="1">
    <w:name w:val="xl3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xl36"/>
    <w:basedOn w:val="6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har Char Char"/>
    <w:basedOn w:val="674"/>
    <w:uiPriority w:val="0"/>
    <w:qFormat/>
    <w:rPr>
      <w:rFonts w:ascii="Tahoma" w:hAnsi="Tahoma"/>
      <w:sz w:val="24"/>
      <w:szCs w:val="20"/>
    </w:rPr>
  </w:style>
  <w:style w:type="paragraph" w:styleId="1101" w:customStyle="1">
    <w:name w:val="Char12"/>
    <w:basedOn w:val="674"/>
    <w:uiPriority w:val="0"/>
    <w:qFormat/>
    <w:pPr>
      <w:ind w:left="360" w:right="202" w:firstLine="360"/>
      <w:spacing w:line="480" w:lineRule="auto"/>
      <w:tabs>
        <w:tab w:val="left" w:pos="360" w:leader="none"/>
      </w:tabs>
    </w:pPr>
    <w:rPr>
      <w:sz w:val="24"/>
    </w:rPr>
  </w:style>
  <w:style w:type="paragraph" w:styleId="1102" w:customStyle="1">
    <w:name w:val="Char Char Char Char Char Char Char Char Char Char11"/>
    <w:basedOn w:val="674"/>
    <w:uiPriority w:val="0"/>
    <w:qFormat/>
    <w:rPr>
      <w:rFonts w:ascii="Tahoma" w:hAnsi="Tahoma"/>
      <w:sz w:val="24"/>
      <w:szCs w:val="20"/>
    </w:rPr>
  </w:style>
  <w:style w:type="paragraph" w:styleId="1103" w:customStyle="1">
    <w:name w:val="正文段"/>
    <w:basedOn w:val="674"/>
    <w:uiPriority w:val="0"/>
    <w:qFormat/>
    <w:pPr>
      <w:ind w:firstLine="425"/>
      <w:spacing w:after="240" w:line="240" w:lineRule="atLeast"/>
      <w:widowControl/>
    </w:pPr>
    <w:rPr>
      <w:sz w:val="24"/>
      <w:szCs w:val="20"/>
    </w:rPr>
  </w:style>
  <w:style w:type="paragraph" w:styleId="1104" w:customStyle="1">
    <w:name w:val="段"/>
    <w:uiPriority w:val="0"/>
    <w:qFormat/>
    <w:pPr>
      <w:ind w:firstLine="200"/>
      <w:jc w:val="both"/>
    </w:pPr>
    <w:rPr>
      <w:rFonts w:ascii="宋体" w:hAnsi="Times New Roman" w:eastAsia="宋体" w:cs="Times New Roman"/>
      <w:sz w:val="21"/>
      <w:lang w:val="en-US" w:eastAsia="zh-CN" w:bidi="ar-SA"/>
    </w:rPr>
  </w:style>
  <w:style w:type="paragraph" w:styleId="1105" w:customStyle="1">
    <w:name w:val="Char Char Char Char Char Char Char Char Char Char1"/>
    <w:basedOn w:val="674"/>
    <w:uiPriority w:val="0"/>
    <w:qFormat/>
    <w:rPr>
      <w:rFonts w:ascii="Tahoma" w:hAnsi="Tahoma" w:cs="Tahoma"/>
      <w:sz w:val="24"/>
    </w:rPr>
  </w:style>
  <w:style w:type="paragraph" w:styleId="1106" w:customStyle="1">
    <w:name w:val="xl34"/>
    <w:basedOn w:val="674"/>
    <w:uiPriority w:val="0"/>
    <w:qFormat/>
    <w:pPr>
      <w:jc w:val="center"/>
      <w:spacing w:before="100" w:beforeAutospacing="1" w:after="100" w:afterAutospacing="1"/>
      <w:widowControl/>
    </w:pPr>
    <w:rPr>
      <w:rFonts w:ascii="Arial Unicode MS" w:hAnsi="Arial Unicode MS" w:eastAsia="Arial Unicode MS"/>
      <w:sz w:val="24"/>
    </w:rPr>
  </w:style>
  <w:style w:type="paragraph" w:styleId="1107" w:customStyle="1">
    <w:name w:val="前言、引言标题"/>
    <w:next w:val="67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8" w:customStyle="1">
    <w:name w:val="Char Char Char Char Char Char 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1109" w:customStyle="1">
    <w:name w:val="pa-0"/>
    <w:basedOn w:val="674"/>
    <w:uiPriority w:val="0"/>
    <w:qFormat/>
    <w:pPr>
      <w:ind w:firstLine="480"/>
      <w:spacing w:line="360" w:lineRule="atLeast"/>
      <w:widowControl/>
    </w:pPr>
    <w:rPr>
      <w:rFonts w:ascii="宋体" w:cs="宋体"/>
      <w:sz w:val="24"/>
    </w:rPr>
  </w:style>
  <w:style w:type="paragraph" w:styleId="1110" w:customStyle="1">
    <w:name w:val="三级条标题"/>
    <w:basedOn w:val="1111"/>
    <w:next w:val="1104"/>
    <w:uiPriority w:val="0"/>
    <w:qFormat/>
    <w:pPr>
      <w:ind w:left="1050"/>
      <w:outlineLvl w:val="4"/>
    </w:pPr>
  </w:style>
  <w:style w:type="paragraph" w:styleId="1111" w:customStyle="1">
    <w:name w:val="二级条标题"/>
    <w:basedOn w:val="1112"/>
    <w:next w:val="1104"/>
    <w:uiPriority w:val="0"/>
    <w:qFormat/>
    <w:pPr>
      <w:ind w:left="360"/>
      <w:outlineLvl w:val="3"/>
    </w:pPr>
  </w:style>
  <w:style w:type="paragraph" w:styleId="1112" w:customStyle="1">
    <w:name w:val="一级条标题"/>
    <w:next w:val="1104"/>
    <w:uiPriority w:val="0"/>
    <w:qFormat/>
    <w:pPr>
      <w:outlineLvl w:val="2"/>
    </w:pPr>
    <w:rPr>
      <w:rFonts w:ascii="Times New Roman" w:hAnsi="Times New Roman" w:eastAsia="黑体" w:cs="Times New Roman"/>
      <w:sz w:val="21"/>
      <w:lang w:val="en-US" w:eastAsia="zh-CN" w:bidi="ar-SA"/>
    </w:rPr>
  </w:style>
  <w:style w:type="paragraph" w:styleId="1113" w:customStyle="1">
    <w:name w:val="FA正文+标号"/>
    <w:basedOn w:val="67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14" w:customStyle="1">
    <w:name w:val="表文1"/>
    <w:basedOn w:val="674"/>
    <w:uiPriority w:val="0"/>
    <w:qFormat/>
    <w:pPr>
      <w:ind w:firstLine="196"/>
      <w:spacing w:line="360" w:lineRule="auto"/>
      <w:widowControl/>
    </w:pPr>
    <w:rPr>
      <w:rFonts w:ascii="宋体"/>
      <w:sz w:val="24"/>
    </w:rPr>
  </w:style>
  <w:style w:type="paragraph" w:styleId="1115" w:customStyle="1">
    <w:name w:val="表内容"/>
    <w:basedOn w:val="1116"/>
    <w:uiPriority w:val="0"/>
    <w:qFormat/>
    <w:pPr>
      <w:ind w:left="0" w:firstLine="0"/>
      <w:spacing w:line="320" w:lineRule="exact"/>
    </w:pPr>
    <w:rPr>
      <w:sz w:val="20"/>
    </w:rPr>
  </w:style>
  <w:style w:type="paragraph" w:styleId="1116" w:customStyle="1">
    <w:name w:val="正文1"/>
    <w:basedOn w:val="674"/>
    <w:uiPriority w:val="0"/>
    <w:qFormat/>
    <w:pPr>
      <w:ind w:left="357" w:firstLine="420"/>
      <w:jc w:val="left"/>
      <w:spacing w:line="360" w:lineRule="auto"/>
      <w:widowControl/>
    </w:pPr>
    <w:rPr>
      <w:rFonts w:cs="Arial"/>
      <w:szCs w:val="20"/>
    </w:rPr>
  </w:style>
  <w:style w:type="paragraph" w:styleId="1117" w:customStyle="1">
    <w:name w:val="Char Char1 Char Char Char Char Char Char"/>
    <w:basedOn w:val="674"/>
    <w:uiPriority w:val="0"/>
    <w:qFormat/>
    <w:pPr>
      <w:jc w:val="center"/>
      <w:widowControl/>
    </w:pPr>
    <w:rPr>
      <w:szCs w:val="20"/>
    </w:rPr>
  </w:style>
  <w:style w:type="paragraph" w:styleId="111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19" w:customStyle="1">
    <w:name w:val="附图标题"/>
    <w:basedOn w:val="1022"/>
    <w:next w:val="899"/>
    <w:uiPriority w:val="0"/>
    <w:qFormat/>
    <w:pPr>
      <w:ind w:left="780" w:hanging="480"/>
      <w:jc w:val="center"/>
      <w:spacing w:after="100"/>
      <w:tabs>
        <w:tab w:val="clear" w:pos="0" w:leader="none"/>
        <w:tab w:val="left" w:pos="780" w:leader="none"/>
      </w:tabs>
    </w:pPr>
    <w:rPr>
      <w:b/>
      <w:sz w:val="21"/>
    </w:rPr>
  </w:style>
  <w:style w:type="paragraph" w:styleId="1120" w:customStyle="1">
    <w:name w:val="图号"/>
    <w:basedOn w:val="67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21" w:customStyle="1">
    <w:name w:val="xl40"/>
    <w:basedOn w:val="67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22" w:customStyle="1">
    <w:name w:val="缩进正文"/>
    <w:basedOn w:val="674"/>
    <w:uiPriority w:val="0"/>
    <w:qFormat/>
    <w:pPr>
      <w:ind w:left="1418" w:firstLine="425"/>
      <w:jc w:val="left"/>
      <w:spacing w:after="200" w:line="400" w:lineRule="exact"/>
      <w:widowControl/>
    </w:pPr>
    <w:rPr>
      <w:rFonts w:ascii="宋体"/>
      <w:sz w:val="24"/>
      <w:szCs w:val="20"/>
    </w:rPr>
  </w:style>
  <w:style w:type="paragraph" w:styleId="1123" w:customStyle="1">
    <w:name w:val="Char1"/>
    <w:basedOn w:val="674"/>
    <w:uiPriority w:val="0"/>
    <w:qFormat/>
    <w:pPr>
      <w:ind w:left="360" w:right="202" w:firstLine="360"/>
      <w:spacing w:line="480" w:lineRule="auto"/>
      <w:tabs>
        <w:tab w:val="left" w:pos="360" w:leader="none"/>
      </w:tabs>
    </w:pPr>
    <w:rPr>
      <w:sz w:val="24"/>
    </w:rPr>
  </w:style>
  <w:style w:type="paragraph" w:styleId="1124" w:customStyle="1">
    <w:name w:val="首页标题"/>
    <w:uiPriority w:val="0"/>
    <w:qFormat/>
    <w:pPr>
      <w:jc w:val="center"/>
    </w:pPr>
    <w:rPr>
      <w:rFonts w:ascii="宋体" w:hAnsi="Times New Roman" w:eastAsia="宋体" w:cs="宋体"/>
      <w:sz w:val="72"/>
      <w:szCs w:val="72"/>
      <w:lang w:val="en-US" w:eastAsia="zh-CN" w:bidi="ar-SA"/>
    </w:rPr>
  </w:style>
  <w:style w:type="paragraph" w:styleId="1125" w:customStyle="1">
    <w:name w:val="pa-10"/>
    <w:basedOn w:val="674"/>
    <w:uiPriority w:val="0"/>
    <w:qFormat/>
    <w:pPr>
      <w:spacing w:line="240" w:lineRule="atLeast"/>
      <w:widowControl/>
    </w:pPr>
    <w:rPr>
      <w:rFonts w:ascii="宋体" w:cs="宋体"/>
      <w:sz w:val="24"/>
    </w:rPr>
  </w:style>
  <w:style w:type="paragraph" w:styleId="1126" w:customStyle="1">
    <w:name w:val="特点"/>
    <w:basedOn w:val="674"/>
    <w:next w:val="674"/>
    <w:uiPriority w:val="0"/>
    <w:qFormat/>
    <w:pPr>
      <w:jc w:val="center"/>
      <w:spacing w:line="360" w:lineRule="auto"/>
    </w:pPr>
    <w:rPr>
      <w:rFonts w:ascii="Arial" w:hAnsi="Arial"/>
      <w:sz w:val="24"/>
      <w:szCs w:val="20"/>
    </w:rPr>
  </w:style>
  <w:style w:type="paragraph" w:styleId="1127" w:customStyle="1">
    <w:name w:val="pa-4"/>
    <w:basedOn w:val="674"/>
    <w:uiPriority w:val="0"/>
    <w:qFormat/>
    <w:pPr>
      <w:jc w:val="center"/>
      <w:spacing w:line="280" w:lineRule="atLeast"/>
      <w:widowControl/>
    </w:pPr>
    <w:rPr>
      <w:rFonts w:ascii="宋体" w:cs="宋体"/>
      <w:sz w:val="24"/>
    </w:rPr>
  </w:style>
  <w:style w:type="paragraph" w:styleId="1128" w:customStyle="1">
    <w:name w:val="编号"/>
    <w:basedOn w:val="674"/>
    <w:next w:val="1080"/>
    <w:uiPriority w:val="0"/>
    <w:qFormat/>
    <w:pPr>
      <w:ind w:left="420" w:right="-136" w:hanging="420"/>
      <w:widowControl/>
      <w:tabs>
        <w:tab w:val="left" w:pos="420" w:leader="none"/>
      </w:tabs>
    </w:pPr>
    <w:rPr>
      <w:rFonts w:ascii="仿宋_GB2312" w:eastAsia="仿宋_GB2312"/>
      <w:b/>
      <w:bCs/>
      <w:sz w:val="24"/>
      <w:szCs w:val="21"/>
    </w:rPr>
  </w:style>
  <w:style w:type="paragraph" w:styleId="112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30" w:customStyle="1">
    <w:name w:val="xl33"/>
    <w:basedOn w:val="67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1" w:customStyle="1">
    <w:name w:val="编号1"/>
    <w:next w:val="108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32" w:customStyle="1">
    <w:name w:val="xl3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CM17"/>
    <w:basedOn w:val="674"/>
    <w:next w:val="674"/>
    <w:uiPriority w:val="0"/>
    <w:qFormat/>
    <w:pPr>
      <w:jc w:val="left"/>
      <w:spacing w:after="273" w:line="360" w:lineRule="auto"/>
    </w:pPr>
    <w:rPr>
      <w:rFonts w:ascii="宋体"/>
      <w:sz w:val="24"/>
    </w:rPr>
  </w:style>
  <w:style w:type="paragraph" w:styleId="1134" w:customStyle="1">
    <w:name w:val="xl38"/>
    <w:basedOn w:val="6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参考资料清单+倾斜+蓝色"/>
    <w:basedOn w:val="674"/>
    <w:uiPriority w:val="0"/>
    <w:qFormat/>
    <w:pPr>
      <w:spacing w:line="360" w:lineRule="auto"/>
    </w:pPr>
    <w:rPr>
      <w:rFonts w:ascii="Arial" w:hAnsi="Arial"/>
      <w:i/>
      <w:iCs/>
      <w:color w:val="0000ff"/>
      <w:szCs w:val="21"/>
    </w:rPr>
  </w:style>
  <w:style w:type="paragraph" w:styleId="113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37" w:customStyle="1">
    <w:name w:val="pa-8"/>
    <w:basedOn w:val="674"/>
    <w:uiPriority w:val="0"/>
    <w:qFormat/>
    <w:pPr>
      <w:ind w:firstLine="480"/>
      <w:spacing w:line="280" w:lineRule="atLeast"/>
      <w:widowControl/>
    </w:pPr>
    <w:rPr>
      <w:rFonts w:ascii="宋体" w:cs="宋体"/>
      <w:sz w:val="24"/>
    </w:rPr>
  </w:style>
  <w:style w:type="paragraph" w:styleId="1138" w:customStyle="1">
    <w:name w:val="标书2"/>
    <w:next w:val="1080"/>
    <w:uiPriority w:val="0"/>
    <w:qFormat/>
    <w:rPr>
      <w:rFonts w:ascii="Times New Roman" w:hAnsi="Times New Roman" w:eastAsia="黑体" w:cs="宋体"/>
      <w:b/>
      <w:sz w:val="44"/>
      <w:lang w:val="en-US" w:eastAsia="zh-CN" w:bidi="ar-SA"/>
    </w:rPr>
  </w:style>
  <w:style w:type="paragraph" w:styleId="1139" w:customStyle="1">
    <w:name w:val="表格文字"/>
    <w:basedOn w:val="674"/>
    <w:uiPriority w:val="0"/>
    <w:qFormat/>
    <w:pPr>
      <w:jc w:val="left"/>
    </w:pPr>
    <w:rPr>
      <w:sz w:val="18"/>
    </w:rPr>
  </w:style>
  <w:style w:type="paragraph" w:styleId="1140" w:customStyle="1">
    <w:name w:val="首页空格"/>
    <w:uiPriority w:val="0"/>
    <w:qFormat/>
    <w:pPr>
      <w:jc w:val="center"/>
    </w:pPr>
    <w:rPr>
      <w:rFonts w:ascii="Times New Roman" w:hAnsi="Times New Roman" w:eastAsia="宋体" w:cs="宋体"/>
      <w:sz w:val="72"/>
      <w:lang w:val="en-US" w:eastAsia="zh-CN" w:bidi="ar-SA"/>
    </w:rPr>
  </w:style>
  <w:style w:type="paragraph" w:styleId="1141" w:customStyle="1">
    <w:name w:val="保密事宜格式"/>
    <w:basedOn w:val="102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4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43" w:customStyle="1">
    <w:name w:val="È±Ê¡ÎÄ±¾"/>
    <w:basedOn w:val="674"/>
    <w:uiPriority w:val="0"/>
    <w:qFormat/>
    <w:pPr>
      <w:jc w:val="left"/>
      <w:spacing w:line="360" w:lineRule="auto"/>
      <w:widowControl/>
    </w:pPr>
    <w:rPr>
      <w:sz w:val="24"/>
      <w:szCs w:val="20"/>
    </w:rPr>
  </w:style>
  <w:style w:type="paragraph" w:styleId="1144" w:customStyle="1">
    <w:name w:val="Char Char Char Char Char Char Char"/>
    <w:basedOn w:val="674"/>
    <w:uiPriority w:val="0"/>
    <w:qFormat/>
    <w:pPr>
      <w:jc w:val="left"/>
      <w:spacing w:after="160" w:line="240" w:lineRule="exact"/>
      <w:widowControl/>
    </w:pPr>
    <w:rPr>
      <w:rFonts w:ascii="Verdana" w:hAnsi="Verdana"/>
      <w:sz w:val="20"/>
      <w:szCs w:val="20"/>
      <w:lang w:eastAsia="en-US"/>
    </w:rPr>
  </w:style>
  <w:style w:type="paragraph" w:styleId="1145" w:customStyle="1">
    <w:name w:val="附图居中"/>
    <w:basedOn w:val="674"/>
    <w:next w:val="1119"/>
    <w:uiPriority w:val="0"/>
    <w:qFormat/>
    <w:pPr>
      <w:ind w:left="1271" w:hanging="420"/>
      <w:jc w:val="center"/>
      <w:keepNext/>
      <w:spacing w:line="360" w:lineRule="auto"/>
      <w:tabs>
        <w:tab w:val="left" w:pos="0" w:leader="none"/>
      </w:tabs>
    </w:pPr>
    <w:rPr>
      <w:caps/>
      <w:sz w:val="24"/>
    </w:rPr>
  </w:style>
  <w:style w:type="paragraph" w:styleId="1146" w:customStyle="1">
    <w:name w:val="pa-6"/>
    <w:basedOn w:val="674"/>
    <w:uiPriority w:val="0"/>
    <w:qFormat/>
    <w:pPr>
      <w:spacing w:line="360" w:lineRule="atLeast"/>
      <w:widowControl/>
    </w:pPr>
    <w:rPr>
      <w:rFonts w:ascii="宋体"/>
      <w:sz w:val="24"/>
      <w:szCs w:val="20"/>
    </w:rPr>
  </w:style>
  <w:style w:type="paragraph" w:styleId="1147" w:customStyle="1">
    <w:name w:val="规范正文"/>
    <w:basedOn w:val="674"/>
    <w:uiPriority w:val="0"/>
    <w:qFormat/>
    <w:pPr>
      <w:ind w:left="480"/>
      <w:spacing w:line="360" w:lineRule="auto"/>
    </w:pPr>
    <w:rPr>
      <w:sz w:val="24"/>
      <w:szCs w:val="20"/>
    </w:rPr>
  </w:style>
  <w:style w:type="paragraph" w:styleId="1148" w:customStyle="1">
    <w:name w:val="缺省文本"/>
    <w:basedOn w:val="674"/>
    <w:uiPriority w:val="0"/>
    <w:qFormat/>
    <w:pPr>
      <w:jc w:val="left"/>
    </w:pPr>
    <w:rPr>
      <w:sz w:val="24"/>
      <w:szCs w:val="20"/>
    </w:rPr>
  </w:style>
  <w:style w:type="paragraph" w:styleId="1149" w:customStyle="1">
    <w:name w:val="序号-----------"/>
    <w:basedOn w:val="674"/>
    <w:uiPriority w:val="0"/>
    <w:qFormat/>
    <w:pPr>
      <w:jc w:val="left"/>
      <w:widowControl/>
    </w:pPr>
    <w:rPr>
      <w:rFonts w:ascii="宋体"/>
      <w:bCs/>
      <w:szCs w:val="21"/>
    </w:rPr>
  </w:style>
  <w:style w:type="paragraph" w:styleId="1150" w:customStyle="1">
    <w:name w:val="font8"/>
    <w:basedOn w:val="674"/>
    <w:uiPriority w:val="0"/>
    <w:qFormat/>
    <w:pPr>
      <w:jc w:val="left"/>
      <w:spacing w:before="100" w:beforeAutospacing="1" w:after="100" w:afterAutospacing="1"/>
      <w:widowControl/>
    </w:pPr>
    <w:rPr>
      <w:rFonts w:ascii="Arial" w:hAnsi="Arial" w:cs="Arial"/>
      <w:color w:val="000000"/>
      <w:sz w:val="18"/>
      <w:szCs w:val="18"/>
    </w:rPr>
  </w:style>
  <w:style w:type="paragraph" w:styleId="1151" w:customStyle="1">
    <w:name w:val="表格标题"/>
    <w:basedOn w:val="674"/>
    <w:uiPriority w:val="0"/>
    <w:qFormat/>
    <w:pPr>
      <w:jc w:val="center"/>
    </w:pPr>
    <w:rPr>
      <w:b/>
    </w:rPr>
  </w:style>
  <w:style w:type="paragraph" w:styleId="1152" w:customStyle="1">
    <w:name w:val="章标题"/>
    <w:next w:val="110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53" w:customStyle="1">
    <w:name w:val="首页单位日期"/>
    <w:basedOn w:val="674"/>
    <w:uiPriority w:val="0"/>
    <w:qFormat/>
    <w:pPr>
      <w:jc w:val="center"/>
      <w:widowControl/>
    </w:pPr>
    <w:rPr>
      <w:rFonts w:ascii="宋体" w:cs="宋体"/>
      <w:bCs/>
      <w:sz w:val="28"/>
      <w:szCs w:val="20"/>
    </w:rPr>
  </w:style>
  <w:style w:type="paragraph" w:styleId="1154" w:customStyle="1">
    <w:name w:val="样式 正文缩进 + (中文) 仿宋_GB2312 小四 Char"/>
    <w:basedOn w:val="899"/>
    <w:uiPriority w:val="0"/>
    <w:qFormat/>
    <w:pPr>
      <w:ind w:firstLine="200"/>
      <w:spacing w:line="360" w:lineRule="auto"/>
    </w:pPr>
    <w:rPr>
      <w:rFonts w:ascii="宋体"/>
      <w:sz w:val="24"/>
      <w:szCs w:val="24"/>
    </w:rPr>
  </w:style>
  <w:style w:type="paragraph" w:styleId="1155" w:customStyle="1">
    <w:name w:val="项目"/>
    <w:basedOn w:val="674"/>
    <w:uiPriority w:val="0"/>
    <w:qFormat/>
    <w:pPr>
      <w:ind w:left="840" w:hanging="420"/>
      <w:spacing w:before="60" w:after="60" w:line="360" w:lineRule="auto"/>
      <w:tabs>
        <w:tab w:val="left" w:pos="840" w:leader="none"/>
      </w:tabs>
    </w:pPr>
    <w:rPr>
      <w:rFonts w:ascii="宋体"/>
      <w:szCs w:val="20"/>
    </w:rPr>
  </w:style>
  <w:style w:type="paragraph" w:styleId="1156" w:customStyle="1">
    <w:name w:val="默认段落字体 Para Char"/>
    <w:basedOn w:val="674"/>
    <w:uiPriority w:val="0"/>
    <w:qFormat/>
    <w:rPr>
      <w:rFonts w:ascii="宋体"/>
      <w:b/>
      <w:sz w:val="28"/>
      <w:szCs w:val="28"/>
    </w:rPr>
  </w:style>
  <w:style w:type="paragraph" w:styleId="1157" w:customStyle="1">
    <w:name w:val="篇名"/>
    <w:next w:val="89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8" w:customStyle="1">
    <w:name w:val="Char13"/>
    <w:basedOn w:val="674"/>
    <w:uiPriority w:val="0"/>
    <w:qFormat/>
  </w:style>
  <w:style w:type="paragraph" w:styleId="1159" w:customStyle="1">
    <w:name w:val="表头"/>
    <w:basedOn w:val="1116"/>
    <w:uiPriority w:val="0"/>
    <w:qFormat/>
    <w:pPr>
      <w:ind w:left="0" w:firstLine="0"/>
      <w:spacing w:line="240" w:lineRule="auto"/>
    </w:pPr>
    <w:rPr>
      <w:sz w:val="20"/>
    </w:rPr>
  </w:style>
  <w:style w:type="paragraph" w:styleId="1160" w:customStyle="1">
    <w:name w:val="表格序号"/>
    <w:uiPriority w:val="0"/>
    <w:qFormat/>
    <w:rPr>
      <w:rFonts w:ascii="Times New Roman" w:hAnsi="Times New Roman" w:eastAsia="仿宋_GB2312" w:cs="宋体"/>
      <w:sz w:val="21"/>
      <w:lang w:val="en-US" w:eastAsia="zh-CN" w:bidi="ar-SA"/>
    </w:rPr>
  </w:style>
  <w:style w:type="paragraph" w:styleId="1161" w:customStyle="1">
    <w:name w:val="Char Char Char Char1"/>
    <w:basedOn w:val="674"/>
    <w:uiPriority w:val="99"/>
    <w:qFormat/>
    <w:pPr>
      <w:ind w:firstLine="200"/>
      <w:spacing w:line="360" w:lineRule="auto"/>
    </w:pPr>
    <w:rPr>
      <w:sz w:val="24"/>
      <w:szCs w:val="20"/>
    </w:rPr>
  </w:style>
  <w:style w:type="paragraph" w:styleId="1162" w:customStyle="1">
    <w:name w:val="标书3"/>
    <w:next w:val="1080"/>
    <w:uiPriority w:val="0"/>
    <w:qFormat/>
    <w:pPr>
      <w:jc w:val="center"/>
      <w:widowControl w:val="off"/>
    </w:pPr>
    <w:rPr>
      <w:rFonts w:ascii="Times New Roman" w:hAnsi="Times New Roman" w:eastAsia="黑体" w:cs="Times New Roman"/>
      <w:b/>
      <w:sz w:val="44"/>
      <w:szCs w:val="24"/>
      <w:lang w:val="en-US" w:eastAsia="zh-CN" w:bidi="ar-SA"/>
    </w:rPr>
  </w:style>
  <w:style w:type="paragraph" w:styleId="1163" w:customStyle="1">
    <w:name w:val="首页小标题"/>
    <w:next w:val="1140"/>
    <w:uiPriority w:val="0"/>
    <w:qFormat/>
    <w:pPr>
      <w:jc w:val="center"/>
    </w:pPr>
    <w:rPr>
      <w:rFonts w:ascii="Times New Roman" w:hAnsi="Times New Roman" w:eastAsia="宋体" w:cs="宋体"/>
      <w:sz w:val="44"/>
      <w:lang w:val="en-US" w:eastAsia="zh-CN" w:bidi="ar-SA"/>
    </w:rPr>
  </w:style>
  <w:style w:type="paragraph" w:styleId="1164" w:customStyle="1">
    <w:name w:val="新段落缩进"/>
    <w:basedOn w:val="674"/>
    <w:uiPriority w:val="0"/>
    <w:qFormat/>
    <w:pPr>
      <w:ind w:firstLine="200"/>
      <w:spacing w:line="400" w:lineRule="exact"/>
    </w:pPr>
    <w:rPr>
      <w:rFonts w:ascii="仿宋_GB2312" w:eastAsia="仿宋_GB2312"/>
      <w:sz w:val="24"/>
    </w:rPr>
  </w:style>
  <w:style w:type="paragraph" w:styleId="1165" w:customStyle="1">
    <w:name w:val="pa-2"/>
    <w:basedOn w:val="674"/>
    <w:uiPriority w:val="0"/>
    <w:qFormat/>
    <w:pPr>
      <w:spacing w:line="360" w:lineRule="atLeast"/>
      <w:widowControl/>
    </w:pPr>
    <w:rPr>
      <w:rFonts w:ascii="宋体" w:cs="宋体"/>
      <w:sz w:val="24"/>
    </w:rPr>
  </w:style>
  <w:style w:type="paragraph" w:styleId="1166" w:customStyle="1">
    <w:name w:val="四级条标题"/>
    <w:basedOn w:val="1110"/>
    <w:next w:val="1104"/>
    <w:uiPriority w:val="0"/>
    <w:qFormat/>
    <w:pPr>
      <w:ind w:left="0"/>
      <w:outlineLvl w:val="5"/>
    </w:pPr>
  </w:style>
  <w:style w:type="paragraph" w:styleId="1167" w:customStyle="1">
    <w:name w:val="保密事宜内容"/>
    <w:basedOn w:val="67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8" w:customStyle="1">
    <w:name w:val="Char1 Char Char Char"/>
    <w:basedOn w:val="674"/>
    <w:uiPriority w:val="0"/>
    <w:qFormat/>
    <w:rPr>
      <w:szCs w:val="20"/>
    </w:rPr>
  </w:style>
  <w:style w:type="paragraph" w:styleId="1169" w:customStyle="1">
    <w:name w:val="正文 + 宋体"/>
    <w:basedOn w:val="674"/>
    <w:uiPriority w:val="0"/>
    <w:qFormat/>
    <w:pPr>
      <w:ind w:firstLine="250"/>
    </w:pPr>
    <w:rPr>
      <w:rFonts w:ascii="宋体"/>
      <w:szCs w:val="21"/>
    </w:rPr>
  </w:style>
  <w:style w:type="paragraph" w:styleId="1170" w:customStyle="1">
    <w:name w:val="xl31"/>
    <w:basedOn w:val="67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71" w:customStyle="1">
    <w:name w:val="pbody"/>
    <w:basedOn w:val="674"/>
    <w:uiPriority w:val="0"/>
    <w:qFormat/>
    <w:pPr>
      <w:jc w:val="left"/>
      <w:spacing w:before="100" w:beforeAutospacing="1" w:after="100" w:afterAutospacing="1" w:line="360" w:lineRule="auto"/>
      <w:widowControl/>
    </w:pPr>
    <w:rPr>
      <w:rFonts w:ascii="宋体" w:cs="宋体"/>
      <w:sz w:val="24"/>
    </w:rPr>
  </w:style>
  <w:style w:type="paragraph" w:styleId="1172" w:customStyle="1">
    <w:name w:val="xl42"/>
    <w:basedOn w:val="67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73" w:customStyle="1">
    <w:name w:val="txt"/>
    <w:basedOn w:val="674"/>
    <w:uiPriority w:val="0"/>
    <w:qFormat/>
    <w:pPr>
      <w:jc w:val="left"/>
      <w:spacing w:before="100" w:beforeAutospacing="1" w:after="100" w:afterAutospacing="1"/>
      <w:widowControl/>
    </w:pPr>
    <w:rPr>
      <w:rFonts w:ascii="宋体" w:cs="宋体"/>
      <w:sz w:val="24"/>
    </w:rPr>
  </w:style>
  <w:style w:type="paragraph" w:styleId="1174" w:customStyle="1">
    <w:name w:val="xl37"/>
    <w:basedOn w:val="6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6" w:customStyle="1">
    <w:name w:val="样式 序号----------- + 仿宋_GB2312"/>
    <w:basedOn w:val="1149"/>
    <w:uiPriority w:val="0"/>
    <w:qFormat/>
    <w:pPr>
      <w:ind w:firstLine="200"/>
      <w:spacing w:line="360" w:lineRule="auto"/>
    </w:pPr>
    <w:rPr>
      <w:rFonts w:ascii="仿宋_GB2312" w:eastAsia="仿宋_GB2312"/>
      <w:bCs w:val="0"/>
    </w:rPr>
  </w:style>
  <w:style w:type="paragraph" w:styleId="1177" w:customStyle="1">
    <w:name w:val="xl41"/>
    <w:basedOn w:val="67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8" w:customStyle="1">
    <w:name w:val="Char11"/>
    <w:basedOn w:val="674"/>
    <w:uiPriority w:val="0"/>
    <w:qFormat/>
    <w:rPr>
      <w:szCs w:val="21"/>
    </w:rPr>
  </w:style>
  <w:style w:type="paragraph" w:styleId="1179" w:customStyle="1">
    <w:name w:val="样式 序号----------- + 仿宋_GB23121"/>
    <w:basedOn w:val="1149"/>
    <w:uiPriority w:val="0"/>
    <w:qFormat/>
    <w:pPr>
      <w:spacing w:line="360" w:lineRule="auto"/>
    </w:pPr>
    <w:rPr>
      <w:rFonts w:ascii="仿宋_GB2312" w:eastAsia="仿宋_GB2312"/>
      <w:bCs w:val="0"/>
    </w:rPr>
  </w:style>
  <w:style w:type="paragraph" w:styleId="1180" w:customStyle="1">
    <w:name w:val="pa-9"/>
    <w:basedOn w:val="674"/>
    <w:uiPriority w:val="0"/>
    <w:qFormat/>
    <w:pPr>
      <w:jc w:val="center"/>
      <w:spacing w:line="360" w:lineRule="atLeast"/>
      <w:widowControl/>
    </w:pPr>
    <w:rPr>
      <w:rFonts w:ascii="宋体" w:cs="宋体"/>
      <w:sz w:val="24"/>
    </w:rPr>
  </w:style>
  <w:style w:type="paragraph" w:styleId="1181" w:customStyle="1">
    <w:name w:val="pa-3"/>
    <w:basedOn w:val="674"/>
    <w:uiPriority w:val="0"/>
    <w:qFormat/>
    <w:pPr>
      <w:jc w:val="left"/>
      <w:spacing w:before="150" w:after="150"/>
      <w:widowControl/>
    </w:pPr>
    <w:rPr>
      <w:rFonts w:ascii="宋体" w:cs="宋体"/>
      <w:sz w:val="24"/>
    </w:rPr>
  </w:style>
  <w:style w:type="paragraph" w:styleId="1182" w:customStyle="1">
    <w:name w:val="pa-5"/>
    <w:basedOn w:val="674"/>
    <w:uiPriority w:val="0"/>
    <w:qFormat/>
    <w:pPr>
      <w:spacing w:line="280" w:lineRule="atLeast"/>
      <w:widowControl/>
    </w:pPr>
    <w:rPr>
      <w:rFonts w:ascii="宋体" w:cs="宋体"/>
      <w:sz w:val="24"/>
    </w:rPr>
  </w:style>
  <w:style w:type="paragraph" w:styleId="1183" w:customStyle="1">
    <w:name w:val="xl39"/>
    <w:basedOn w:val="67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4" w:customStyle="1">
    <w:name w:val="font9"/>
    <w:basedOn w:val="674"/>
    <w:uiPriority w:val="0"/>
    <w:qFormat/>
    <w:pPr>
      <w:jc w:val="left"/>
      <w:spacing w:before="100" w:beforeAutospacing="1" w:after="100" w:afterAutospacing="1"/>
      <w:widowControl/>
    </w:pPr>
    <w:rPr>
      <w:rFonts w:ascii="宋体"/>
      <w:color w:val="000000"/>
      <w:sz w:val="18"/>
      <w:szCs w:val="18"/>
    </w:rPr>
  </w:style>
  <w:style w:type="paragraph" w:styleId="1185" w:customStyle="1">
    <w:name w:val="p0"/>
    <w:basedOn w:val="674"/>
    <w:uiPriority w:val="0"/>
    <w:qFormat/>
    <w:pPr>
      <w:widowControl/>
    </w:pPr>
    <w:rPr>
      <w:szCs w:val="21"/>
    </w:rPr>
  </w:style>
  <w:style w:type="paragraph" w:styleId="118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87" w:customStyle="1">
    <w:name w:val="表格正文"/>
    <w:basedOn w:val="674"/>
    <w:uiPriority w:val="0"/>
    <w:qFormat/>
    <w:pPr>
      <w:spacing w:line="300" w:lineRule="auto"/>
      <w:tabs>
        <w:tab w:val="left" w:pos="420" w:leader="none"/>
      </w:tabs>
    </w:pPr>
  </w:style>
  <w:style w:type="paragraph" w:styleId="1188" w:customStyle="1">
    <w:name w:val="首页标题小初"/>
    <w:uiPriority w:val="0"/>
    <w:qFormat/>
    <w:pPr>
      <w:jc w:val="center"/>
    </w:pPr>
    <w:rPr>
      <w:rFonts w:ascii="黑体" w:hAnsi="Times New Roman" w:eastAsia="黑体" w:cs="宋体"/>
      <w:sz w:val="72"/>
      <w:lang w:val="en-US" w:eastAsia="zh-CN" w:bidi="ar-SA"/>
    </w:rPr>
  </w:style>
  <w:style w:type="paragraph" w:styleId="1189" w:customStyle="1">
    <w:name w:val="五级条标题"/>
    <w:basedOn w:val="1166"/>
    <w:next w:val="1104"/>
    <w:uiPriority w:val="0"/>
    <w:qFormat/>
    <w:pPr>
      <w:outlineLvl w:val="6"/>
    </w:pPr>
  </w:style>
  <w:style w:type="paragraph" w:styleId="1190" w:customStyle="1">
    <w:name w:val="Char Char Char Char Char Char Char1"/>
    <w:basedOn w:val="674"/>
    <w:uiPriority w:val="0"/>
    <w:qFormat/>
    <w:pPr>
      <w:jc w:val="left"/>
      <w:spacing w:after="160" w:line="240" w:lineRule="exact"/>
      <w:widowControl/>
    </w:pPr>
    <w:rPr>
      <w:rFonts w:ascii="Verdana" w:hAnsi="Verdana"/>
      <w:sz w:val="20"/>
      <w:szCs w:val="20"/>
      <w:lang w:eastAsia="en-US"/>
    </w:rPr>
  </w:style>
  <w:style w:type="paragraph" w:styleId="1191" w:customStyle="1">
    <w:name w:val="ibm-list-next"/>
    <w:basedOn w:val="674"/>
    <w:uiPriority w:val="0"/>
    <w:qFormat/>
    <w:pPr>
      <w:jc w:val="left"/>
      <w:spacing w:before="100" w:beforeAutospacing="1" w:after="100" w:afterAutospacing="1"/>
      <w:widowControl/>
    </w:pPr>
    <w:rPr>
      <w:rFonts w:ascii="宋体" w:cs="宋体"/>
      <w:sz w:val="24"/>
    </w:rPr>
  </w:style>
  <w:style w:type="paragraph" w:styleId="1192" w:customStyle="1">
    <w:name w:val="首页标题 一号"/>
    <w:basedOn w:val="1188"/>
    <w:uiPriority w:val="0"/>
    <w:qFormat/>
    <w:rPr>
      <w:sz w:val="52"/>
    </w:rPr>
  </w:style>
  <w:style w:type="paragraph" w:styleId="1193" w:customStyle="1">
    <w:name w:val="Char Char Char Char Char Char Char Char Char Char2"/>
    <w:basedOn w:val="674"/>
    <w:uiPriority w:val="0"/>
    <w:qFormat/>
    <w:rPr>
      <w:rFonts w:ascii="Tahoma" w:hAnsi="Tahoma"/>
      <w:sz w:val="24"/>
      <w:szCs w:val="20"/>
    </w:rPr>
  </w:style>
  <w:style w:type="paragraph" w:styleId="1194" w:customStyle="1">
    <w:name w:val="正文（编号）"/>
    <w:basedOn w:val="1067"/>
    <w:link w:val="1195"/>
    <w:uiPriority w:val="0"/>
    <w:qFormat/>
    <w:pPr>
      <w:ind w:left="720" w:firstLine="0"/>
      <w:tabs>
        <w:tab w:val="left" w:pos="720" w:leader="none"/>
        <w:tab w:val="left" w:pos="780" w:leader="none"/>
      </w:tabs>
    </w:pPr>
    <w:rPr>
      <w:rFonts w:ascii="Times New Roman" w:hAnsi="Times New Roman"/>
      <w:szCs w:val="24"/>
    </w:rPr>
  </w:style>
  <w:style w:type="character" w:styleId="1195" w:customStyle="1">
    <w:name w:val="正文（编号） Char Char"/>
    <w:link w:val="1194"/>
    <w:uiPriority w:val="0"/>
    <w:qFormat/>
    <w:rPr>
      <w:rFonts w:ascii="Times New Roman" w:hAnsi="Times New Roman"/>
      <w:sz w:val="24"/>
      <w:szCs w:val="24"/>
    </w:rPr>
  </w:style>
  <w:style w:type="paragraph" w:styleId="1196" w:customStyle="1">
    <w:name w:val="表格"/>
    <w:basedOn w:val="674"/>
    <w:uiPriority w:val="0"/>
    <w:qFormat/>
    <w:pPr>
      <w:ind w:firstLine="21"/>
    </w:pPr>
    <w:rPr>
      <w:rFonts w:ascii="宋体"/>
      <w:szCs w:val="20"/>
    </w:rPr>
  </w:style>
  <w:style w:type="character" w:styleId="1197" w:customStyle="1">
    <w:name w:val="正文（缩进） Char Char"/>
    <w:uiPriority w:val="0"/>
    <w:qFormat/>
    <w:rPr>
      <w:rFonts w:eastAsia="宋体"/>
      <w:sz w:val="24"/>
      <w:szCs w:val="24"/>
      <w:lang w:val="en-US" w:eastAsia="zh-CN" w:bidi="ar-SA"/>
    </w:rPr>
  </w:style>
  <w:style w:type="paragraph" w:styleId="1198" w:customStyle="1">
    <w:name w:val="Char Char Char1"/>
    <w:basedOn w:val="674"/>
    <w:uiPriority w:val="0"/>
    <w:qFormat/>
    <w:rPr>
      <w:szCs w:val="21"/>
    </w:rPr>
  </w:style>
  <w:style w:type="paragraph" w:styleId="1199" w:customStyle="1">
    <w:name w:val="样式 正文2 + 首行缩进:  0 厘米 段后: 1.5 行"/>
    <w:basedOn w:val="67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00" w:customStyle="1">
    <w:name w:val="表中文字"/>
    <w:basedOn w:val="674"/>
    <w:uiPriority w:val="0"/>
    <w:qFormat/>
    <w:pPr>
      <w:widowControl/>
    </w:pPr>
    <w:rPr>
      <w:szCs w:val="20"/>
    </w:rPr>
  </w:style>
  <w:style w:type="character" w:styleId="1201" w:customStyle="1">
    <w:name w:val="z1"/>
    <w:uiPriority w:val="0"/>
    <w:qFormat/>
  </w:style>
  <w:style w:type="paragraph" w:styleId="1202" w:customStyle="1">
    <w:name w:val="a1"/>
    <w:basedOn w:val="674"/>
    <w:uiPriority w:val="0"/>
    <w:qFormat/>
    <w:pPr>
      <w:jc w:val="left"/>
      <w:spacing w:before="100" w:beforeAutospacing="1" w:after="100" w:afterAutospacing="1"/>
      <w:widowControl/>
    </w:pPr>
    <w:rPr>
      <w:rFonts w:ascii="宋体"/>
      <w:sz w:val="24"/>
    </w:rPr>
  </w:style>
  <w:style w:type="paragraph" w:styleId="1203" w:customStyle="1">
    <w:name w:val="a0"/>
    <w:basedOn w:val="674"/>
    <w:uiPriority w:val="0"/>
    <w:qFormat/>
    <w:pPr>
      <w:jc w:val="left"/>
      <w:spacing w:before="100" w:beforeAutospacing="1" w:after="100" w:afterAutospacing="1"/>
      <w:widowControl/>
    </w:pPr>
    <w:rPr>
      <w:rFonts w:ascii="宋体"/>
      <w:sz w:val="24"/>
    </w:rPr>
  </w:style>
  <w:style w:type="paragraph" w:styleId="1204" w:customStyle="1">
    <w:name w:val="tabletext"/>
    <w:basedOn w:val="674"/>
    <w:uiPriority w:val="0"/>
    <w:qFormat/>
    <w:pPr>
      <w:jc w:val="left"/>
      <w:spacing w:before="100" w:beforeAutospacing="1" w:after="100" w:afterAutospacing="1"/>
      <w:widowControl/>
    </w:pPr>
    <w:rPr>
      <w:rFonts w:ascii="宋体"/>
      <w:sz w:val="24"/>
    </w:rPr>
  </w:style>
  <w:style w:type="paragraph" w:styleId="1205" w:customStyle="1">
    <w:name w:val="我的样式"/>
    <w:basedOn w:val="674"/>
    <w:uiPriority w:val="0"/>
    <w:qFormat/>
    <w:pPr>
      <w:ind w:firstLine="420"/>
      <w:jc w:val="left"/>
      <w:spacing w:after="120"/>
      <w:widowControl/>
    </w:pPr>
    <w:rPr>
      <w:rFonts w:ascii="宋体"/>
      <w:color w:val="000000"/>
      <w:sz w:val="24"/>
      <w:szCs w:val="16"/>
    </w:rPr>
  </w:style>
  <w:style w:type="paragraph" w:styleId="1206" w:customStyle="1">
    <w:name w:val="Figure and Table Title"/>
    <w:basedOn w:val="674"/>
    <w:uiPriority w:val="0"/>
    <w:qFormat/>
    <w:pPr>
      <w:ind w:left="2160"/>
      <w:jc w:val="left"/>
      <w:widowControl/>
    </w:pPr>
    <w:rPr>
      <w:rFonts w:ascii="Helvetica-Light" w:hAnsi="Helvetica-Light"/>
      <w:b/>
      <w:bCs/>
      <w:sz w:val="20"/>
      <w:lang w:eastAsia="en-US"/>
    </w:rPr>
  </w:style>
  <w:style w:type="paragraph" w:styleId="1207" w:customStyle="1">
    <w:name w:val="Table Text/Title"/>
    <w:basedOn w:val="674"/>
    <w:uiPriority w:val="0"/>
    <w:qFormat/>
    <w:pPr>
      <w:jc w:val="left"/>
      <w:widowControl/>
    </w:pPr>
    <w:rPr>
      <w:rFonts w:ascii="宋体"/>
      <w:b/>
      <w:bCs/>
      <w:sz w:val="20"/>
      <w:szCs w:val="20"/>
      <w:lang w:eastAsia="en-US"/>
    </w:rPr>
  </w:style>
  <w:style w:type="paragraph" w:styleId="1208" w:customStyle="1">
    <w:name w:val="Sourcetext bullet"/>
    <w:basedOn w:val="67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9" w:customStyle="1">
    <w:name w:val="无标题正文 Char Char Char Char Char Char Char Char Char Char Char Char Char Char Char Char Char Char Char Char Char Char Char Char Char Char Char1 Char"/>
    <w:basedOn w:val="674"/>
    <w:uiPriority w:val="0"/>
    <w:qFormat/>
    <w:pPr>
      <w:jc w:val="center"/>
      <w:spacing w:after="160" w:line="240" w:lineRule="exact"/>
      <w:widowControl/>
    </w:pPr>
    <w:rPr>
      <w:rFonts w:ascii="Arial" w:hAnsi="Arial"/>
      <w:sz w:val="20"/>
      <w:szCs w:val="20"/>
      <w:lang w:eastAsia="en-US"/>
    </w:rPr>
  </w:style>
  <w:style w:type="character" w:styleId="1210" w:customStyle="1">
    <w:name w:val="style91"/>
    <w:uiPriority w:val="0"/>
    <w:qFormat/>
    <w:rPr>
      <w:color w:val="2060c0"/>
      <w:sz w:val="24"/>
      <w:szCs w:val="24"/>
    </w:rPr>
  </w:style>
  <w:style w:type="paragraph" w:styleId="1211" w:customStyle="1">
    <w:name w:val="标准小四"/>
    <w:basedOn w:val="674"/>
    <w:uiPriority w:val="0"/>
    <w:qFormat/>
    <w:pPr>
      <w:ind w:firstLine="200"/>
      <w:spacing w:line="360" w:lineRule="auto"/>
    </w:pPr>
    <w:rPr>
      <w:rFonts w:ascii="Arial" w:hAnsi="Arial"/>
      <w:sz w:val="24"/>
      <w:szCs w:val="21"/>
    </w:rPr>
  </w:style>
  <w:style w:type="paragraph" w:styleId="1212" w:customStyle="1">
    <w:name w:val="样式 正文首行缩进 + 宋体 首行缩进:  0.74 厘米"/>
    <w:basedOn w:val="953"/>
    <w:uiPriority w:val="0"/>
    <w:qFormat/>
    <w:pPr>
      <w:ind w:firstLine="210"/>
      <w:spacing w:before="120" w:line="380" w:lineRule="exact"/>
    </w:pPr>
    <w:rPr>
      <w:rFonts w:ascii="宋体" w:eastAsia="宋体" w:cs="宋体"/>
      <w:sz w:val="24"/>
      <w:szCs w:val="20"/>
    </w:rPr>
  </w:style>
  <w:style w:type="paragraph" w:styleId="1213" w:customStyle="1">
    <w:name w:val="默认段落字体 Para Char Char Char Char Char Char Char Char Char1"/>
    <w:basedOn w:val="674"/>
    <w:uiPriority w:val="0"/>
    <w:qFormat/>
    <w:rPr>
      <w:rFonts w:ascii="Tahoma" w:hAnsi="Tahoma"/>
      <w:sz w:val="24"/>
      <w:szCs w:val="20"/>
    </w:rPr>
  </w:style>
  <w:style w:type="paragraph" w:styleId="1214" w:customStyle="1">
    <w:name w:val="正文小四"/>
    <w:basedOn w:val="674"/>
    <w:uiPriority w:val="0"/>
    <w:qFormat/>
    <w:pPr>
      <w:spacing w:line="312" w:lineRule="auto"/>
    </w:pPr>
    <w:rPr>
      <w:sz w:val="24"/>
    </w:rPr>
  </w:style>
  <w:style w:type="paragraph" w:styleId="1215" w:customStyle="1">
    <w:name w:val="ul"/>
    <w:basedOn w:val="674"/>
    <w:uiPriority w:val="0"/>
    <w:qFormat/>
    <w:pPr>
      <w:numPr>
        <w:ilvl w:val="0"/>
        <w:numId w:val="1"/>
      </w:numPr>
      <w:ind w:left="567" w:hanging="85"/>
      <w:jc w:val="left"/>
      <w:spacing w:line="360" w:lineRule="auto"/>
      <w:widowControl/>
      <w:tabs>
        <w:tab w:val="left" w:pos="842" w:leader="none"/>
      </w:tabs>
    </w:pPr>
    <w:rPr>
      <w:sz w:val="24"/>
    </w:rPr>
  </w:style>
  <w:style w:type="paragraph" w:styleId="1216" w:customStyle="1">
    <w:name w:val="Bullet"/>
    <w:basedOn w:val="67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7" w:customStyle="1">
    <w:name w:val="正文（首行缩进）"/>
    <w:basedOn w:val="674"/>
    <w:uiPriority w:val="0"/>
    <w:qFormat/>
    <w:pPr>
      <w:ind w:firstLine="482"/>
      <w:spacing w:before="120" w:line="360" w:lineRule="auto"/>
      <w:widowControl/>
    </w:pPr>
    <w:rPr>
      <w:sz w:val="24"/>
      <w:szCs w:val="20"/>
    </w:rPr>
  </w:style>
  <w:style w:type="character" w:styleId="1218" w:customStyle="1">
    <w:name w:val="style161"/>
    <w:uiPriority w:val="0"/>
    <w:qFormat/>
    <w:rPr>
      <w:rFonts w:ascii="Verdana" w:hAnsi="Verdana" w:eastAsia="宋体"/>
      <w:b/>
      <w:color w:val="0a246a"/>
      <w:sz w:val="24"/>
      <w:szCs w:val="24"/>
      <w:lang w:val="en-US" w:eastAsia="zh-CN" w:bidi="ar-SA"/>
    </w:rPr>
  </w:style>
  <w:style w:type="paragraph" w:styleId="1219" w:customStyle="1">
    <w:name w:val="正文（首行缩进两字）"/>
    <w:basedOn w:val="674"/>
    <w:uiPriority w:val="0"/>
    <w:qFormat/>
    <w:pPr>
      <w:spacing w:line="312" w:lineRule="auto"/>
    </w:pPr>
    <w:rPr>
      <w:rFonts w:ascii="宋体" w:cs="宋体"/>
      <w:sz w:val="24"/>
    </w:rPr>
  </w:style>
  <w:style w:type="paragraph" w:styleId="1220" w:customStyle="1">
    <w:name w:val="正文文字缩进 3"/>
    <w:basedOn w:val="674"/>
    <w:uiPriority w:val="0"/>
    <w:qFormat/>
    <w:pPr>
      <w:ind w:left="420" w:firstLine="420"/>
      <w:spacing w:line="312" w:lineRule="auto"/>
    </w:pPr>
    <w:rPr>
      <w:rFonts w:ascii="黑体" w:hAnsi="黑体" w:cs="宋体"/>
      <w:bCs/>
      <w:color w:val="000000"/>
      <w:sz w:val="24"/>
    </w:rPr>
  </w:style>
  <w:style w:type="paragraph" w:styleId="1221" w:customStyle="1">
    <w:name w:val="技术方案3"/>
    <w:basedOn w:val="674"/>
    <w:uiPriority w:val="0"/>
    <w:qFormat/>
    <w:pPr>
      <w:spacing w:line="360" w:lineRule="auto"/>
    </w:pPr>
    <w:rPr>
      <w:rFonts w:ascii="宋体"/>
      <w:b/>
      <w:bCs/>
      <w:sz w:val="32"/>
    </w:rPr>
  </w:style>
  <w:style w:type="paragraph" w:styleId="1222" w:customStyle="1">
    <w:name w:val="技术方案2"/>
    <w:basedOn w:val="674"/>
    <w:uiPriority w:val="0"/>
    <w:qFormat/>
    <w:pPr>
      <w:spacing w:line="480" w:lineRule="auto"/>
    </w:pPr>
    <w:rPr>
      <w:rFonts w:ascii="宋体"/>
      <w:b/>
      <w:bCs/>
      <w:sz w:val="36"/>
    </w:rPr>
  </w:style>
  <w:style w:type="paragraph" w:styleId="1223" w:customStyle="1">
    <w:name w:val="技术方案正文"/>
    <w:basedOn w:val="674"/>
    <w:uiPriority w:val="0"/>
    <w:qFormat/>
    <w:pPr>
      <w:ind w:firstLine="480"/>
      <w:spacing w:line="360" w:lineRule="auto"/>
    </w:pPr>
    <w:rPr>
      <w:rFonts w:ascii="宋体"/>
      <w:sz w:val="24"/>
    </w:rPr>
  </w:style>
  <w:style w:type="paragraph" w:styleId="12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5" w:customStyle="1">
    <w:name w:val="Normal Paragraph"/>
    <w:basedOn w:val="674"/>
    <w:uiPriority w:val="0"/>
    <w:qFormat/>
    <w:pPr>
      <w:ind w:firstLine="425"/>
      <w:spacing w:before="120" w:line="360" w:lineRule="auto"/>
      <w:widowControl/>
    </w:pPr>
    <w:rPr>
      <w:sz w:val="24"/>
      <w:szCs w:val="20"/>
    </w:rPr>
  </w:style>
  <w:style w:type="paragraph" w:styleId="1226" w:customStyle="1">
    <w:name w:val="Normal Paragraph Char"/>
    <w:basedOn w:val="674"/>
    <w:uiPriority w:val="0"/>
    <w:qFormat/>
    <w:pPr>
      <w:ind w:firstLine="425"/>
      <w:spacing w:before="120" w:line="360" w:lineRule="auto"/>
      <w:widowControl/>
    </w:pPr>
    <w:rPr>
      <w:sz w:val="24"/>
    </w:rPr>
  </w:style>
  <w:style w:type="paragraph" w:styleId="1227" w:customStyle="1">
    <w:name w:val="文档正文"/>
    <w:basedOn w:val="674"/>
    <w:uiPriority w:val="0"/>
    <w:qFormat/>
    <w:rPr>
      <w:rFonts w:ascii="宋体"/>
      <w:szCs w:val="20"/>
    </w:rPr>
  </w:style>
  <w:style w:type="paragraph" w:styleId="1228" w:customStyle="1">
    <w:name w:val="默认段落字体 Para Char Char Char Char Char"/>
    <w:basedOn w:val="674"/>
    <w:uiPriority w:val="0"/>
    <w:qFormat/>
    <w:pPr>
      <w:ind w:firstLine="200"/>
      <w:jc w:val="left"/>
      <w:spacing w:before="100" w:beforeAutospacing="1" w:after="100" w:afterAutospacing="1" w:line="360" w:lineRule="auto"/>
    </w:pPr>
    <w:rPr>
      <w:rFonts w:ascii="Arial" w:hAnsi="Arial"/>
      <w:sz w:val="24"/>
      <w:lang w:eastAsia="en-US"/>
    </w:rPr>
  </w:style>
  <w:style w:type="paragraph" w:styleId="1229" w:customStyle="1">
    <w:name w:val="标题2"/>
    <w:basedOn w:val="674"/>
    <w:uiPriority w:val="0"/>
    <w:qFormat/>
    <w:pPr>
      <w:tabs>
        <w:tab w:val="left" w:pos="0" w:leader="none"/>
      </w:tabs>
    </w:pPr>
    <w:rPr>
      <w:rFonts w:ascii="黑体" w:eastAsia="黑体"/>
      <w:sz w:val="24"/>
    </w:rPr>
  </w:style>
  <w:style w:type="paragraph" w:styleId="1230" w:customStyle="1">
    <w:name w:val="Char Char Char Char Char Char Char Char Char Char Char Char Char1"/>
    <w:basedOn w:val="674"/>
    <w:uiPriority w:val="0"/>
    <w:qFormat/>
    <w:pPr>
      <w:jc w:val="left"/>
      <w:spacing w:after="160" w:line="240" w:lineRule="exact"/>
      <w:widowControl/>
    </w:pPr>
    <w:rPr>
      <w:rFonts w:ascii="Arial" w:hAnsi="Arial" w:eastAsia="Times New Roman" w:cs="Verdana"/>
      <w:b/>
      <w:sz w:val="24"/>
      <w:szCs w:val="32"/>
      <w:lang w:eastAsia="en-US"/>
    </w:rPr>
  </w:style>
  <w:style w:type="paragraph" w:styleId="1231" w:customStyle="1">
    <w:name w:val="样式2"/>
    <w:basedOn w:val="900"/>
    <w:uiPriority w:val="0"/>
    <w:qFormat/>
    <w:pPr>
      <w:spacing w:line="415" w:lineRule="auto"/>
    </w:pPr>
    <w:rPr>
      <w:rFonts w:ascii="Calibri" w:hAnsi="Calibri"/>
      <w:sz w:val="28"/>
      <w:szCs w:val="28"/>
    </w:rPr>
  </w:style>
  <w:style w:type="paragraph" w:styleId="1232" w:customStyle="1">
    <w:name w:val="样式3"/>
    <w:basedOn w:val="900"/>
    <w:uiPriority w:val="0"/>
    <w:qFormat/>
    <w:pPr>
      <w:spacing w:line="415" w:lineRule="auto"/>
    </w:pPr>
    <w:rPr>
      <w:rFonts w:ascii="Calibri" w:hAnsi="Calibri"/>
      <w:sz w:val="28"/>
      <w:szCs w:val="28"/>
    </w:rPr>
  </w:style>
  <w:style w:type="paragraph" w:styleId="1233" w:customStyle="1">
    <w:name w:val="样式4"/>
    <w:basedOn w:val="900"/>
    <w:link w:val="1517"/>
    <w:uiPriority w:val="0"/>
    <w:qFormat/>
    <w:pPr>
      <w:spacing w:line="415" w:lineRule="auto"/>
    </w:pPr>
    <w:rPr>
      <w:rFonts w:ascii="Calibri" w:hAnsi="Calibri"/>
      <w:sz w:val="28"/>
      <w:szCs w:val="28"/>
    </w:rPr>
  </w:style>
  <w:style w:type="paragraph" w:styleId="1234" w:customStyle="1">
    <w:name w:val="样式5"/>
    <w:basedOn w:val="900"/>
    <w:uiPriority w:val="0"/>
    <w:qFormat/>
    <w:pPr>
      <w:spacing w:line="415" w:lineRule="auto"/>
    </w:pPr>
    <w:rPr>
      <w:rFonts w:ascii="Calibri" w:hAnsi="Calibri"/>
      <w:sz w:val="28"/>
      <w:szCs w:val="28"/>
    </w:rPr>
  </w:style>
  <w:style w:type="paragraph" w:styleId="1235" w:customStyle="1">
    <w:name w:val="样式6"/>
    <w:basedOn w:val="982"/>
    <w:uiPriority w:val="0"/>
    <w:qFormat/>
    <w:pPr>
      <w:numPr>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236" w:customStyle="1">
    <w:name w:val="大汉方案正文 Char"/>
    <w:basedOn w:val="674"/>
    <w:uiPriority w:val="0"/>
    <w:qFormat/>
    <w:pPr>
      <w:ind w:firstLine="200"/>
      <w:spacing w:line="360" w:lineRule="auto"/>
    </w:pPr>
    <w:rPr>
      <w:rFonts w:ascii="Arial" w:hAnsi="Arial"/>
      <w:sz w:val="24"/>
    </w:rPr>
  </w:style>
  <w:style w:type="character" w:styleId="1237" w:customStyle="1">
    <w:name w:val="标题 2 Char Char Char"/>
    <w:uiPriority w:val="0"/>
    <w:qFormat/>
    <w:rPr>
      <w:rFonts w:ascii="Arial" w:hAnsi="Arial" w:eastAsia="宋体" w:cs="Arial"/>
      <w:b/>
      <w:bCs/>
      <w:i/>
      <w:iCs/>
      <w:sz w:val="28"/>
      <w:szCs w:val="28"/>
      <w:lang w:val="en-US" w:eastAsia="zh-CN" w:bidi="ar-SA"/>
    </w:rPr>
  </w:style>
  <w:style w:type="character" w:styleId="1238" w:customStyle="1">
    <w:name w:val="question-title"/>
    <w:uiPriority w:val="0"/>
    <w:qFormat/>
  </w:style>
  <w:style w:type="paragraph" w:styleId="1239" w:customStyle="1">
    <w:name w:val="说明书2级标题"/>
    <w:basedOn w:val="674"/>
    <w:next w:val="1240"/>
    <w:uiPriority w:val="0"/>
    <w:qFormat/>
    <w:pPr>
      <w:numPr>
        <w:ilvl w:val="2"/>
        <w:numId w:val="2"/>
      </w:numPr>
      <w:spacing w:before="100"/>
      <w:tabs>
        <w:tab w:val="left" w:pos="1680" w:leader="none"/>
      </w:tabs>
    </w:pPr>
    <w:rPr>
      <w:rFonts w:eastAsia="黑体"/>
      <w:sz w:val="28"/>
      <w:szCs w:val="28"/>
    </w:rPr>
  </w:style>
  <w:style w:type="paragraph" w:styleId="1240" w:customStyle="1">
    <w:name w:val="说明书3级标题"/>
    <w:basedOn w:val="674"/>
    <w:next w:val="674"/>
    <w:uiPriority w:val="0"/>
    <w:qFormat/>
    <w:pPr>
      <w:numPr>
        <w:ilvl w:val="2"/>
        <w:numId w:val="3"/>
      </w:numPr>
      <w:spacing w:line="360" w:lineRule="auto"/>
      <w:tabs>
        <w:tab w:val="left" w:pos="0" w:leader="none"/>
      </w:tabs>
    </w:pPr>
    <w:rPr>
      <w:rFonts w:eastAsia="黑体"/>
      <w:sz w:val="24"/>
    </w:rPr>
  </w:style>
  <w:style w:type="character" w:styleId="1241" w:customStyle="1">
    <w:name w:val="style15"/>
    <w:uiPriority w:val="0"/>
    <w:qFormat/>
  </w:style>
  <w:style w:type="paragraph" w:styleId="1242" w:customStyle="1">
    <w:name w:val="列出段落[858D7CFB-ED40-4347-BF05-701D383B685F][858D7CFB-ED40-4347-BF05-701D383B685F]"/>
    <w:basedOn w:val="674"/>
    <w:uiPriority w:val="0"/>
    <w:qFormat/>
    <w:pPr>
      <w:ind w:firstLine="200"/>
    </w:pPr>
  </w:style>
  <w:style w:type="paragraph" w:styleId="1243" w:customStyle="1">
    <w:name w:val="默认段落字体 Para Char Char Char Char Char Char Char Char Char1 Char Char Char Char Char Char Char Char"/>
    <w:basedOn w:val="920"/>
    <w:uiPriority w:val="0"/>
    <w:qFormat/>
    <w:rPr>
      <w:rFonts w:ascii="Calibri" w:hAnsi="Calibri"/>
      <w:szCs w:val="22"/>
    </w:rPr>
  </w:style>
  <w:style w:type="paragraph" w:styleId="1244" w:customStyle="1">
    <w:name w:val="style42"/>
    <w:basedOn w:val="674"/>
    <w:uiPriority w:val="0"/>
    <w:qFormat/>
    <w:pPr>
      <w:jc w:val="left"/>
      <w:spacing w:before="100" w:beforeAutospacing="1" w:after="100" w:afterAutospacing="1"/>
      <w:widowControl/>
    </w:pPr>
    <w:rPr>
      <w:rFonts w:ascii="宋体" w:cs="宋体"/>
      <w:color w:val="000000"/>
      <w:sz w:val="15"/>
      <w:szCs w:val="15"/>
    </w:rPr>
  </w:style>
  <w:style w:type="paragraph" w:styleId="1245" w:customStyle="1">
    <w:name w:val="Char Char1 Char Char Char Char Char Char Char Char"/>
    <w:basedOn w:val="674"/>
    <w:uiPriority w:val="0"/>
    <w:qFormat/>
    <w:pPr>
      <w:jc w:val="left"/>
      <w:spacing w:after="160" w:line="240" w:lineRule="exact"/>
      <w:widowControl/>
    </w:pPr>
  </w:style>
  <w:style w:type="paragraph" w:styleId="1246" w:customStyle="1">
    <w:name w:val="技术方案正文样式"/>
    <w:basedOn w:val="674"/>
    <w:uiPriority w:val="0"/>
    <w:qFormat/>
    <w:pPr>
      <w:ind w:firstLine="200"/>
      <w:spacing w:line="400" w:lineRule="exact"/>
    </w:pPr>
    <w:rPr>
      <w:rFonts w:ascii="宋体" w:cs="宋体"/>
      <w:sz w:val="24"/>
      <w:szCs w:val="21"/>
    </w:rPr>
  </w:style>
  <w:style w:type="paragraph" w:styleId="1247" w:customStyle="1">
    <w:name w:val="D&amp;L"/>
    <w:basedOn w:val="941"/>
    <w:uiPriority w:val="0"/>
    <w:qFormat/>
    <w:pPr>
      <w:spacing w:line="240" w:lineRule="atLeast"/>
      <w:pBdr>
        <w:bottom w:val="single" w:color="000000" w:sz="18" w:space="1"/>
      </w:pBdr>
    </w:pPr>
    <w:rPr>
      <w:rFonts w:ascii="Calibri" w:hAnsi="Calibri"/>
      <w:sz w:val="24"/>
      <w:szCs w:val="20"/>
    </w:rPr>
  </w:style>
  <w:style w:type="paragraph" w:styleId="1248" w:customStyle="1">
    <w:name w:val="样式 标题 2 + Times New Roman 四号 非加粗 段前: 5 磅 段后: 0 磅 行距: 固定值 20..."/>
    <w:basedOn w:val="898"/>
    <w:uiPriority w:val="0"/>
    <w:qFormat/>
    <w:pPr>
      <w:jc w:val="both"/>
      <w:spacing w:before="100" w:after="0" w:line="400" w:lineRule="exact"/>
    </w:pPr>
    <w:rPr>
      <w:rFonts w:ascii="Times New Roman" w:hAnsi="Times New Roman" w:eastAsia="黑体" w:cs="宋体"/>
      <w:b w:val="0"/>
      <w:bCs w:val="0"/>
      <w:sz w:val="28"/>
      <w:szCs w:val="20"/>
    </w:rPr>
  </w:style>
  <w:style w:type="paragraph" w:styleId="1249" w:customStyle="1">
    <w:name w:val="Char Char Char Char Char Char Char1 Char"/>
    <w:basedOn w:val="674"/>
    <w:uiPriority w:val="0"/>
    <w:qFormat/>
    <w:rPr>
      <w:rFonts w:ascii="Tahoma" w:hAnsi="Tahoma"/>
      <w:sz w:val="24"/>
      <w:szCs w:val="20"/>
    </w:rPr>
  </w:style>
  <w:style w:type="paragraph" w:styleId="1250" w:customStyle="1">
    <w:name w:val="TOC 标题2"/>
    <w:basedOn w:val="897"/>
    <w:next w:val="674"/>
    <w:uiPriority w:val="39"/>
    <w:qFormat/>
    <w:pPr>
      <w:jc w:val="both"/>
      <w:keepLines/>
      <w:spacing w:before="480" w:line="276" w:lineRule="auto"/>
      <w:widowControl/>
      <w:outlineLvl w:val="9"/>
    </w:pPr>
    <w:rPr>
      <w:rFonts w:ascii="Cambria" w:hAnsi="Cambria" w:eastAsia="宋体"/>
      <w:b/>
      <w:color w:val="365f91"/>
      <w:szCs w:val="20"/>
    </w:rPr>
  </w:style>
  <w:style w:type="character" w:styleId="1251" w:customStyle="1">
    <w:name w:val="无间隔 字符"/>
    <w:link w:val="998"/>
    <w:uiPriority w:val="0"/>
    <w:qFormat/>
    <w:rPr>
      <w:rFonts w:ascii="Times New Roman" w:hAnsi="Times New Roman"/>
      <w:sz w:val="21"/>
      <w:szCs w:val="21"/>
    </w:rPr>
  </w:style>
  <w:style w:type="paragraph" w:styleId="1252" w:customStyle="1">
    <w:name w:val="Normal_0"/>
    <w:uiPriority w:val="0"/>
    <w:qFormat/>
    <w:rPr>
      <w:rFonts w:ascii="黑体" w:hAnsi="黑体" w:eastAsia="黑体" w:cs="Times New Roman"/>
      <w:b/>
      <w:sz w:val="32"/>
      <w:szCs w:val="24"/>
      <w:lang w:val="en-US" w:eastAsia="zh-CN" w:bidi="ar-SA"/>
    </w:rPr>
  </w:style>
  <w:style w:type="paragraph" w:styleId="125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1"/>
    <w:uiPriority w:val="0"/>
    <w:qFormat/>
    <w:rPr>
      <w:rFonts w:ascii="黑体" w:hAnsi="黑体" w:eastAsia="黑体" w:cs="Times New Roman"/>
      <w:b/>
      <w:sz w:val="32"/>
      <w:szCs w:val="24"/>
      <w:lang w:val="en-US" w:eastAsia="zh-CN" w:bidi="ar-SA"/>
    </w:rPr>
  </w:style>
  <w:style w:type="paragraph" w:styleId="125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Normal_2"/>
    <w:uiPriority w:val="0"/>
    <w:qFormat/>
    <w:rPr>
      <w:rFonts w:ascii="黑体" w:hAnsi="黑体" w:eastAsia="黑体" w:cs="Times New Roman"/>
      <w:b/>
      <w:sz w:val="32"/>
      <w:szCs w:val="24"/>
      <w:lang w:val="en-US" w:eastAsia="zh-CN" w:bidi="ar-SA"/>
    </w:rPr>
  </w:style>
  <w:style w:type="paragraph" w:styleId="125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Normal_3"/>
    <w:uiPriority w:val="0"/>
    <w:qFormat/>
    <w:rPr>
      <w:rFonts w:ascii="黑体" w:hAnsi="黑体" w:eastAsia="黑体" w:cs="Times New Roman"/>
      <w:b/>
      <w:sz w:val="32"/>
      <w:szCs w:val="24"/>
      <w:lang w:val="en-US" w:eastAsia="zh-CN" w:bidi="ar-SA"/>
    </w:rPr>
  </w:style>
  <w:style w:type="paragraph" w:styleId="1261" w:customStyle="1">
    <w:name w:val="Normal_4"/>
    <w:uiPriority w:val="0"/>
    <w:qFormat/>
    <w:rPr>
      <w:rFonts w:ascii="黑体" w:hAnsi="黑体" w:eastAsia="黑体" w:cs="Times New Roman"/>
      <w:b/>
      <w:sz w:val="32"/>
      <w:szCs w:val="24"/>
      <w:lang w:val="en-US" w:eastAsia="zh-CN" w:bidi="ar-SA"/>
    </w:rPr>
  </w:style>
  <w:style w:type="paragraph" w:styleId="1262" w:customStyle="1">
    <w:name w:val="Normal_5"/>
    <w:uiPriority w:val="0"/>
    <w:qFormat/>
    <w:rPr>
      <w:rFonts w:ascii="黑体" w:hAnsi="黑体" w:eastAsia="黑体" w:cs="Times New Roman"/>
      <w:b/>
      <w:sz w:val="32"/>
      <w:szCs w:val="24"/>
      <w:lang w:val="en-US" w:eastAsia="zh-CN" w:bidi="ar-SA"/>
    </w:rPr>
  </w:style>
  <w:style w:type="paragraph" w:styleId="126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Normal_6"/>
    <w:uiPriority w:val="0"/>
    <w:qFormat/>
    <w:rPr>
      <w:rFonts w:ascii="黑体" w:hAnsi="黑体" w:eastAsia="黑体" w:cs="Times New Roman"/>
      <w:b/>
      <w:sz w:val="32"/>
      <w:szCs w:val="24"/>
      <w:lang w:val="en-US" w:eastAsia="zh-CN" w:bidi="ar-SA"/>
    </w:rPr>
  </w:style>
  <w:style w:type="paragraph" w:styleId="126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66" w:customStyle="1">
    <w:name w:val="Normal_7"/>
    <w:uiPriority w:val="0"/>
    <w:qFormat/>
    <w:rPr>
      <w:rFonts w:ascii="黑体" w:hAnsi="黑体" w:eastAsia="黑体" w:cs="Times New Roman"/>
      <w:b/>
      <w:sz w:val="32"/>
      <w:szCs w:val="24"/>
      <w:lang w:val="en-US" w:eastAsia="zh-CN" w:bidi="ar-SA"/>
    </w:rPr>
  </w:style>
  <w:style w:type="paragraph" w:styleId="1267" w:customStyle="1">
    <w:name w:val="Normal_8"/>
    <w:uiPriority w:val="0"/>
    <w:qFormat/>
    <w:rPr>
      <w:rFonts w:ascii="Times New Roman" w:hAnsi="Times New Roman" w:eastAsia="Times New Roman" w:cs="Times New Roman"/>
      <w:sz w:val="24"/>
      <w:szCs w:val="24"/>
      <w:lang w:val="en-US" w:eastAsia="zh-CN" w:bidi="ar-SA"/>
    </w:rPr>
  </w:style>
  <w:style w:type="paragraph" w:styleId="1268" w:customStyle="1">
    <w:name w:val="Normal_9"/>
    <w:uiPriority w:val="0"/>
    <w:qFormat/>
    <w:rPr>
      <w:rFonts w:ascii="黑体" w:hAnsi="黑体" w:eastAsia="黑体" w:cs="Times New Roman"/>
      <w:b/>
      <w:sz w:val="32"/>
      <w:szCs w:val="24"/>
      <w:lang w:val="en-US" w:eastAsia="zh-CN" w:bidi="ar-SA"/>
    </w:rPr>
  </w:style>
  <w:style w:type="paragraph" w:styleId="126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70" w:customStyle="1">
    <w:name w:val="Normal_10"/>
    <w:uiPriority w:val="0"/>
    <w:qFormat/>
    <w:rPr>
      <w:rFonts w:ascii="黑体" w:hAnsi="黑体" w:eastAsia="黑体" w:cs="Times New Roman"/>
      <w:b/>
      <w:sz w:val="32"/>
      <w:szCs w:val="24"/>
      <w:lang w:val="en-US" w:eastAsia="zh-CN" w:bidi="ar-SA"/>
    </w:rPr>
  </w:style>
  <w:style w:type="paragraph" w:styleId="127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正文缩进_0"/>
    <w:basedOn w:val="1271"/>
    <w:link w:val="1273"/>
    <w:uiPriority w:val="0"/>
    <w:unhideWhenUsed/>
    <w:qFormat/>
    <w:pPr>
      <w:ind w:firstLine="420"/>
    </w:pPr>
    <w:rPr>
      <w:szCs w:val="22"/>
    </w:rPr>
  </w:style>
  <w:style w:type="character" w:styleId="1273" w:customStyle="1">
    <w:name w:val="正文缩进 Char1_0"/>
    <w:link w:val="1272"/>
    <w:uiPriority w:val="0"/>
    <w:qFormat/>
    <w:rPr>
      <w:rFonts w:ascii="Times New Roman" w:hAnsi="Times New Roman"/>
      <w:sz w:val="21"/>
      <w:szCs w:val="22"/>
    </w:rPr>
  </w:style>
  <w:style w:type="paragraph" w:styleId="1274" w:customStyle="1">
    <w:name w:val="纯文本_0"/>
    <w:basedOn w:val="1271"/>
    <w:link w:val="1275"/>
    <w:uiPriority w:val="0"/>
    <w:unhideWhenUsed/>
    <w:qFormat/>
    <w:rPr>
      <w:rFonts w:ascii="宋体" w:hAnsi="Courier New"/>
      <w:szCs w:val="21"/>
    </w:rPr>
  </w:style>
  <w:style w:type="character" w:styleId="1275" w:customStyle="1">
    <w:name w:val="纯文本 Char_0"/>
    <w:link w:val="1274"/>
    <w:uiPriority w:val="0"/>
    <w:qFormat/>
    <w:rPr>
      <w:rFonts w:ascii="宋体" w:hAnsi="Courier New"/>
      <w:sz w:val="21"/>
      <w:szCs w:val="21"/>
    </w:rPr>
  </w:style>
  <w:style w:type="paragraph" w:styleId="1276" w:customStyle="1">
    <w:name w:val="Normal_11"/>
    <w:uiPriority w:val="0"/>
    <w:qFormat/>
    <w:rPr>
      <w:rFonts w:ascii="黑体" w:hAnsi="黑体" w:eastAsia="黑体" w:cs="Times New Roman"/>
      <w:b/>
      <w:sz w:val="32"/>
      <w:szCs w:val="24"/>
      <w:lang w:val="en-US" w:eastAsia="zh-CN" w:bidi="ar-SA"/>
    </w:rPr>
  </w:style>
  <w:style w:type="paragraph" w:styleId="127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Normal_12"/>
    <w:uiPriority w:val="0"/>
    <w:qFormat/>
    <w:rPr>
      <w:rFonts w:ascii="黑体" w:hAnsi="黑体" w:eastAsia="黑体" w:cs="Times New Roman"/>
      <w:b/>
      <w:sz w:val="32"/>
      <w:szCs w:val="24"/>
      <w:lang w:val="en-US" w:eastAsia="zh-CN" w:bidi="ar-SA"/>
    </w:rPr>
  </w:style>
  <w:style w:type="paragraph" w:styleId="127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3"/>
    <w:uiPriority w:val="0"/>
    <w:qFormat/>
    <w:rPr>
      <w:rFonts w:ascii="黑体" w:hAnsi="黑体" w:eastAsia="黑体" w:cs="Times New Roman"/>
      <w:b/>
      <w:sz w:val="32"/>
      <w:szCs w:val="24"/>
      <w:lang w:val="en-US" w:eastAsia="zh-CN" w:bidi="ar-SA"/>
    </w:rPr>
  </w:style>
  <w:style w:type="paragraph" w:styleId="128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14"/>
    <w:uiPriority w:val="0"/>
    <w:qFormat/>
    <w:rPr>
      <w:rFonts w:ascii="黑体" w:hAnsi="黑体" w:eastAsia="黑体" w:cs="Times New Roman"/>
      <w:b/>
      <w:sz w:val="32"/>
      <w:szCs w:val="24"/>
      <w:lang w:val="en-US" w:eastAsia="zh-CN" w:bidi="ar-SA"/>
    </w:rPr>
  </w:style>
  <w:style w:type="paragraph" w:styleId="128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15"/>
    <w:uiPriority w:val="0"/>
    <w:qFormat/>
    <w:rPr>
      <w:rFonts w:ascii="黑体" w:hAnsi="黑体" w:eastAsia="黑体" w:cs="Times New Roman"/>
      <w:b/>
      <w:sz w:val="32"/>
      <w:szCs w:val="24"/>
      <w:lang w:val="en-US" w:eastAsia="zh-CN" w:bidi="ar-SA"/>
    </w:rPr>
  </w:style>
  <w:style w:type="paragraph" w:styleId="128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Normal_17"/>
    <w:uiPriority w:val="0"/>
    <w:qFormat/>
    <w:rPr>
      <w:rFonts w:ascii="黑体" w:hAnsi="黑体" w:eastAsia="黑体" w:cs="Times New Roman"/>
      <w:b/>
      <w:sz w:val="32"/>
      <w:szCs w:val="24"/>
      <w:lang w:val="en-US" w:eastAsia="zh-CN" w:bidi="ar-SA"/>
    </w:rPr>
  </w:style>
  <w:style w:type="paragraph" w:styleId="1289" w:customStyle="1">
    <w:name w:val="Normal_18"/>
    <w:uiPriority w:val="0"/>
    <w:qFormat/>
    <w:rPr>
      <w:rFonts w:ascii="黑体" w:hAnsi="黑体" w:eastAsia="黑体" w:cs="Times New Roman"/>
      <w:b/>
      <w:sz w:val="32"/>
      <w:szCs w:val="24"/>
      <w:lang w:val="en-US" w:eastAsia="zh-CN" w:bidi="ar-SA"/>
    </w:rPr>
  </w:style>
  <w:style w:type="paragraph" w:styleId="129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91" w:customStyle="1">
    <w:name w:val="Normal_0_0"/>
    <w:uiPriority w:val="0"/>
    <w:qFormat/>
    <w:rPr>
      <w:rFonts w:ascii="黑体" w:hAnsi="黑体" w:eastAsia="黑体" w:cs="Times New Roman"/>
      <w:b/>
      <w:sz w:val="40"/>
      <w:szCs w:val="24"/>
      <w:lang w:val="en-US" w:eastAsia="zh-CN" w:bidi="ar-SA"/>
    </w:rPr>
  </w:style>
  <w:style w:type="paragraph" w:styleId="1292" w:customStyle="1">
    <w:name w:val="Normal_1_0"/>
    <w:uiPriority w:val="0"/>
    <w:qFormat/>
    <w:rPr>
      <w:rFonts w:ascii="Times New Roman" w:hAnsi="Times New Roman" w:eastAsia="Times New Roman" w:cs="Times New Roman"/>
      <w:sz w:val="24"/>
      <w:szCs w:val="24"/>
      <w:lang w:val="en-US" w:eastAsia="zh-CN" w:bidi="ar-SA"/>
    </w:rPr>
  </w:style>
  <w:style w:type="paragraph" w:styleId="1293" w:customStyle="1">
    <w:name w:val="Normal1"/>
    <w:uiPriority w:val="0"/>
    <w:qFormat/>
    <w:rPr>
      <w:rFonts w:ascii="Times New Roman" w:hAnsi="Times New Roman" w:eastAsia="Times New Roman" w:cs="Times New Roman"/>
      <w:sz w:val="24"/>
      <w:szCs w:val="24"/>
      <w:lang w:val="en-US" w:eastAsia="zh-CN" w:bidi="ar-SA"/>
    </w:rPr>
  </w:style>
  <w:style w:type="paragraph" w:styleId="1294"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正文_2"/>
    <w:next w:val="1297"/>
    <w:uiPriority w:val="0"/>
    <w:qFormat/>
    <w:pPr>
      <w:jc w:val="both"/>
      <w:widowControl w:val="off"/>
    </w:pPr>
    <w:rPr>
      <w:rFonts w:ascii="Calibri" w:hAnsi="Calibri" w:eastAsia="宋体" w:cs="Times New Roman"/>
      <w:sz w:val="21"/>
      <w:szCs w:val="22"/>
      <w:lang w:val="en-US" w:eastAsia="zh-CN" w:bidi="ar-SA"/>
    </w:rPr>
  </w:style>
  <w:style w:type="paragraph" w:styleId="1297" w:customStyle="1">
    <w:name w:val="正文文本缩进_0"/>
    <w:basedOn w:val="1005"/>
    <w:uiPriority w:val="0"/>
    <w:semiHidden/>
    <w:qFormat/>
    <w:pPr>
      <w:ind w:firstLine="301"/>
      <w:spacing w:line="200" w:lineRule="exact"/>
    </w:pPr>
    <w:rPr>
      <w:rFonts w:hAnsi="Courier New"/>
      <w:spacing w:val="-4"/>
      <w:sz w:val="18"/>
      <w:szCs w:val="20"/>
    </w:rPr>
  </w:style>
  <w:style w:type="character" w:styleId="1298" w:customStyle="1">
    <w:name w:val="正文1 Char"/>
    <w:link w:val="1015"/>
    <w:uiPriority w:val="0"/>
    <w:qFormat/>
    <w:rPr>
      <w:rFonts w:ascii="Times New Roman" w:hAnsi="Times New Roman"/>
      <w:szCs w:val="24"/>
    </w:rPr>
  </w:style>
  <w:style w:type="paragraph" w:styleId="1299" w:customStyle="1">
    <w:name w:val="标题 2_0"/>
    <w:basedOn w:val="1300"/>
    <w:next w:val="1300"/>
    <w:link w:val="1303"/>
    <w:uiPriority w:val="0"/>
    <w:qFormat/>
    <w:pPr>
      <w:keepLines/>
      <w:keepNext/>
      <w:spacing w:before="260" w:after="260" w:line="413" w:lineRule="auto"/>
      <w:outlineLvl w:val="1"/>
    </w:pPr>
    <w:rPr>
      <w:rFonts w:ascii="Arial" w:hAnsi="Arial" w:eastAsia="黑体"/>
      <w:b/>
      <w:sz w:val="32"/>
      <w:szCs w:val="20"/>
    </w:rPr>
  </w:style>
  <w:style w:type="paragraph" w:styleId="130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正文1_1"/>
    <w:basedOn w:val="1300"/>
    <w:link w:val="1302"/>
    <w:uiPriority w:val="0"/>
    <w:qFormat/>
    <w:pPr>
      <w:ind w:left="357" w:firstLine="420"/>
      <w:jc w:val="left"/>
      <w:spacing w:line="360" w:lineRule="auto"/>
      <w:widowControl/>
    </w:pPr>
    <w:rPr>
      <w:szCs w:val="20"/>
    </w:rPr>
  </w:style>
  <w:style w:type="character" w:styleId="1302" w:customStyle="1">
    <w:name w:val="正文1 Char_0"/>
    <w:link w:val="1301"/>
    <w:uiPriority w:val="0"/>
    <w:qFormat/>
    <w:rPr>
      <w:sz w:val="21"/>
    </w:rPr>
  </w:style>
  <w:style w:type="character" w:styleId="1303" w:customStyle="1">
    <w:name w:val="标题 2 Char_0"/>
    <w:link w:val="1299"/>
    <w:uiPriority w:val="0"/>
    <w:qFormat/>
    <w:rPr>
      <w:rFonts w:ascii="Arial" w:hAnsi="Arial" w:eastAsia="黑体"/>
      <w:b/>
      <w:sz w:val="32"/>
    </w:rPr>
  </w:style>
  <w:style w:type="paragraph" w:styleId="1304" w:customStyle="1">
    <w:name w:val="标题 4_0"/>
    <w:basedOn w:val="1305"/>
    <w:next w:val="1005"/>
    <w:link w:val="1306"/>
    <w:uiPriority w:val="0"/>
    <w:unhideWhenUsed/>
    <w:qFormat/>
    <w:pPr>
      <w:keepLines/>
      <w:keepNext/>
      <w:spacing w:before="280" w:after="290" w:line="372" w:lineRule="auto"/>
      <w:outlineLvl w:val="3"/>
    </w:pPr>
    <w:rPr>
      <w:rFonts w:ascii="Arial" w:hAnsi="Arial" w:eastAsia="黑体"/>
      <w:b/>
      <w:sz w:val="28"/>
      <w:szCs w:val="20"/>
    </w:rPr>
  </w:style>
  <w:style w:type="paragraph" w:styleId="1305" w:customStyle="1">
    <w:name w:val="正文_4_0"/>
    <w:uiPriority w:val="0"/>
    <w:qFormat/>
    <w:pPr>
      <w:jc w:val="both"/>
      <w:widowControl w:val="off"/>
    </w:pPr>
    <w:rPr>
      <w:rFonts w:ascii="Times New Roman" w:hAnsi="Times New Roman" w:eastAsia="宋体" w:cs="Times New Roman"/>
      <w:sz w:val="21"/>
      <w:szCs w:val="24"/>
      <w:lang w:val="en-US" w:eastAsia="zh-CN" w:bidi="ar-SA"/>
    </w:rPr>
  </w:style>
  <w:style w:type="character" w:styleId="1306" w:customStyle="1">
    <w:name w:val="标题 4 Char_0"/>
    <w:link w:val="1304"/>
    <w:uiPriority w:val="0"/>
    <w:qFormat/>
    <w:rPr>
      <w:rFonts w:ascii="Arial" w:hAnsi="Arial" w:eastAsia="黑体"/>
      <w:b/>
      <w:sz w:val="28"/>
    </w:rPr>
  </w:style>
  <w:style w:type="paragraph" w:styleId="1307" w:customStyle="1">
    <w:name w:val="正文_21_0"/>
    <w:uiPriority w:val="0"/>
    <w:qFormat/>
    <w:pPr>
      <w:jc w:val="both"/>
      <w:widowControl w:val="off"/>
    </w:pPr>
    <w:rPr>
      <w:rFonts w:ascii="Times New Roman" w:hAnsi="Times New Roman" w:eastAsia="宋体" w:cs="Times New Roman"/>
      <w:sz w:val="21"/>
      <w:szCs w:val="22"/>
      <w:lang w:val="en-US" w:eastAsia="zh-CN" w:bidi="ar-SA"/>
    </w:rPr>
  </w:style>
  <w:style w:type="paragraph" w:styleId="1308" w:customStyle="1">
    <w:name w:val="Normal_19"/>
    <w:basedOn w:val="1296"/>
    <w:next w:val="1005"/>
    <w:uiPriority w:val="0"/>
    <w:qFormat/>
  </w:style>
  <w:style w:type="paragraph" w:styleId="1309" w:customStyle="1">
    <w:name w:val="正文_21"/>
    <w:basedOn w:val="1310"/>
    <w:next w:val="721"/>
    <w:uiPriority w:val="0"/>
    <w:qFormat/>
    <w:rPr>
      <w:rFonts w:ascii="Times New Roman" w:hAnsi="Times New Roman"/>
    </w:rPr>
  </w:style>
  <w:style w:type="paragraph" w:styleId="1310" w:customStyle="1">
    <w:name w:val="正文_17_0"/>
    <w:uiPriority w:val="0"/>
    <w:qFormat/>
    <w:pPr>
      <w:jc w:val="both"/>
      <w:widowControl w:val="off"/>
    </w:pPr>
    <w:rPr>
      <w:rFonts w:ascii="Calibri" w:hAnsi="Calibri" w:eastAsia="宋体" w:cs="Times New Roman"/>
      <w:sz w:val="21"/>
      <w:szCs w:val="24"/>
      <w:lang w:val="en-US" w:eastAsia="zh-CN" w:bidi="ar-SA"/>
    </w:rPr>
  </w:style>
  <w:style w:type="paragraph" w:styleId="1311" w:customStyle="1">
    <w:name w:val="正文_5_0"/>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2_0"/>
    <w:uiPriority w:val="0"/>
    <w:qFormat/>
    <w:rPr>
      <w:rFonts w:ascii="黑体" w:hAnsi="黑体" w:eastAsia="黑体" w:cs="Times New Roman"/>
      <w:b/>
      <w:sz w:val="32"/>
      <w:szCs w:val="24"/>
      <w:lang w:val="en-US" w:eastAsia="zh-CN" w:bidi="ar-SA"/>
    </w:rPr>
  </w:style>
  <w:style w:type="paragraph" w:styleId="131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14"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17" w:customStyle="1">
    <w:name w:val="Normal_5_0"/>
    <w:uiPriority w:val="0"/>
    <w:qFormat/>
    <w:rPr>
      <w:rFonts w:ascii="黑体" w:hAnsi="黑体" w:eastAsia="黑体" w:cs="Times New Roman"/>
      <w:b/>
      <w:sz w:val="32"/>
      <w:szCs w:val="24"/>
      <w:lang w:val="en-US" w:eastAsia="zh-CN" w:bidi="ar-SA"/>
    </w:rPr>
  </w:style>
  <w:style w:type="paragraph" w:styleId="1318" w:customStyle="1">
    <w:name w:val="Normal_6_0"/>
    <w:uiPriority w:val="0"/>
    <w:qFormat/>
    <w:pPr>
      <w:jc w:val="both"/>
      <w:widowControl w:val="off"/>
    </w:pPr>
    <w:rPr>
      <w:rFonts w:ascii="Calibri" w:hAnsi="Calibri" w:eastAsia="宋体" w:cs="Times New Roman"/>
      <w:sz w:val="21"/>
      <w:szCs w:val="22"/>
      <w:lang w:val="en-US" w:eastAsia="zh-CN" w:bidi="ar-SA"/>
    </w:rPr>
  </w:style>
  <w:style w:type="paragraph" w:styleId="1319" w:customStyle="1">
    <w:name w:val="Normal_7_0"/>
    <w:uiPriority w:val="0"/>
    <w:qFormat/>
    <w:rPr>
      <w:rFonts w:ascii="黑体" w:hAnsi="黑体" w:eastAsia="黑体" w:cs="Times New Roman"/>
      <w:b/>
      <w:sz w:val="32"/>
      <w:szCs w:val="24"/>
      <w:lang w:val="en-US" w:eastAsia="zh-CN" w:bidi="ar-SA"/>
    </w:rPr>
  </w:style>
  <w:style w:type="paragraph" w:styleId="132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正文_4_0_0"/>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8_0"/>
    <w:uiPriority w:val="0"/>
    <w:qFormat/>
    <w:rPr>
      <w:rFonts w:ascii="黑体" w:hAnsi="黑体" w:eastAsia="黑体" w:cs="Times New Roman"/>
      <w:b/>
      <w:sz w:val="32"/>
      <w:szCs w:val="24"/>
      <w:lang w:val="en-US" w:eastAsia="zh-CN" w:bidi="ar-SA"/>
    </w:rPr>
  </w:style>
  <w:style w:type="paragraph" w:styleId="1323" w:customStyle="1">
    <w:name w:val="Normal_9_0"/>
    <w:uiPriority w:val="0"/>
    <w:qFormat/>
    <w:rPr>
      <w:rFonts w:ascii="Times New Roman" w:hAnsi="Times New Roman" w:eastAsia="Times New Roman" w:cs="Times New Roman"/>
      <w:sz w:val="24"/>
      <w:szCs w:val="24"/>
      <w:lang w:val="en-US" w:eastAsia="zh-CN" w:bidi="ar-SA"/>
    </w:rPr>
  </w:style>
  <w:style w:type="paragraph" w:styleId="1324" w:customStyle="1">
    <w:name w:val="Normal_10_0"/>
    <w:uiPriority w:val="0"/>
    <w:qFormat/>
    <w:rPr>
      <w:rFonts w:ascii="Times New Roman" w:hAnsi="Times New Roman" w:eastAsia="Times New Roman" w:cs="Times New Roman"/>
      <w:sz w:val="24"/>
      <w:szCs w:val="24"/>
      <w:lang w:val="en-US" w:eastAsia="zh-CN" w:bidi="ar-SA"/>
    </w:rPr>
  </w:style>
  <w:style w:type="paragraph" w:styleId="1325" w:customStyle="1">
    <w:name w:val="Normal_11_0"/>
    <w:uiPriority w:val="0"/>
    <w:qFormat/>
    <w:rPr>
      <w:rFonts w:ascii="黑体" w:hAnsi="黑体" w:eastAsia="黑体" w:cs="Times New Roman"/>
      <w:b/>
      <w:sz w:val="32"/>
      <w:szCs w:val="24"/>
      <w:lang w:val="en-US" w:eastAsia="zh-CN" w:bidi="ar-SA"/>
    </w:rPr>
  </w:style>
  <w:style w:type="paragraph" w:styleId="132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3_0"/>
    <w:uiPriority w:val="0"/>
    <w:qFormat/>
    <w:rPr>
      <w:rFonts w:ascii="黑体" w:hAnsi="黑体" w:eastAsia="黑体" w:cs="Times New Roman"/>
      <w:b/>
      <w:sz w:val="32"/>
      <w:szCs w:val="24"/>
      <w:lang w:val="en-US" w:eastAsia="zh-CN" w:bidi="ar-SA"/>
    </w:rPr>
  </w:style>
  <w:style w:type="paragraph" w:styleId="133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33" w:customStyle="1">
    <w:name w:val="Normal_14_0"/>
    <w:uiPriority w:val="0"/>
    <w:qFormat/>
    <w:rPr>
      <w:rFonts w:ascii="黑体" w:hAnsi="黑体" w:eastAsia="黑体" w:cs="Times New Roman"/>
      <w:b/>
      <w:sz w:val="32"/>
      <w:szCs w:val="24"/>
      <w:lang w:val="en-US" w:eastAsia="zh-CN" w:bidi="ar-SA"/>
    </w:rPr>
  </w:style>
  <w:style w:type="paragraph" w:styleId="1334"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36" w:customStyle="1">
    <w:name w:val="Normal_14_0_0"/>
    <w:uiPriority w:val="0"/>
    <w:qFormat/>
    <w:rPr>
      <w:rFonts w:ascii="黑体" w:hAnsi="黑体" w:eastAsia="黑体" w:cs="Times New Roman"/>
      <w:b/>
      <w:sz w:val="32"/>
      <w:szCs w:val="24"/>
      <w:lang w:val="en-US" w:eastAsia="zh-CN" w:bidi="ar-SA"/>
    </w:rPr>
  </w:style>
  <w:style w:type="paragraph" w:styleId="1337"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Normal_15_0"/>
    <w:uiPriority w:val="0"/>
    <w:qFormat/>
    <w:rPr>
      <w:rFonts w:ascii="黑体" w:hAnsi="黑体" w:eastAsia="黑体" w:cs="Times New Roman"/>
      <w:b/>
      <w:sz w:val="32"/>
      <w:szCs w:val="24"/>
      <w:lang w:val="en-US" w:eastAsia="zh-CN" w:bidi="ar-SA"/>
    </w:rPr>
  </w:style>
  <w:style w:type="paragraph" w:styleId="133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6_0"/>
    <w:uiPriority w:val="0"/>
    <w:qFormat/>
    <w:rPr>
      <w:rFonts w:ascii="黑体" w:hAnsi="黑体" w:eastAsia="黑体" w:cs="Times New Roman"/>
      <w:b/>
      <w:sz w:val="32"/>
      <w:szCs w:val="24"/>
      <w:lang w:val="en-US" w:eastAsia="zh-CN" w:bidi="ar-SA"/>
    </w:rPr>
  </w:style>
  <w:style w:type="paragraph" w:styleId="1341" w:customStyle="1">
    <w:name w:val="Normal_0_2"/>
    <w:uiPriority w:val="0"/>
    <w:qFormat/>
    <w:rPr>
      <w:rFonts w:ascii="黑体" w:hAnsi="黑体" w:eastAsia="黑体" w:cs="Times New Roman"/>
      <w:b/>
      <w:sz w:val="32"/>
      <w:szCs w:val="24"/>
      <w:lang w:val="en-US" w:eastAsia="zh-CN" w:bidi="ar-SA"/>
    </w:rPr>
  </w:style>
  <w:style w:type="paragraph" w:styleId="1342" w:customStyle="1">
    <w:name w:val="Normal_1_2"/>
    <w:uiPriority w:val="0"/>
    <w:qFormat/>
    <w:rPr>
      <w:rFonts w:ascii="Times New Roman" w:hAnsi="Times New Roman" w:eastAsia="Times New Roman" w:cs="Times New Roman"/>
      <w:sz w:val="24"/>
      <w:szCs w:val="24"/>
      <w:lang w:val="en-US" w:eastAsia="zh-CN" w:bidi="ar-SA"/>
    </w:rPr>
  </w:style>
  <w:style w:type="paragraph" w:styleId="1343" w:customStyle="1">
    <w:name w:val="Normal_0_3"/>
    <w:uiPriority w:val="0"/>
    <w:qFormat/>
    <w:rPr>
      <w:rFonts w:ascii="黑体" w:hAnsi="黑体" w:eastAsia="黑体" w:cs="Times New Roman"/>
      <w:b/>
      <w:sz w:val="32"/>
      <w:szCs w:val="24"/>
      <w:lang w:val="en-US" w:eastAsia="zh-CN" w:bidi="ar-SA"/>
    </w:rPr>
  </w:style>
  <w:style w:type="paragraph" w:styleId="1344" w:customStyle="1">
    <w:name w:val="正文_19"/>
    <w:uiPriority w:val="0"/>
    <w:qFormat/>
    <w:pPr>
      <w:jc w:val="both"/>
      <w:widowControl w:val="off"/>
    </w:pPr>
    <w:rPr>
      <w:rFonts w:ascii="Calibri" w:hAnsi="Calibri" w:eastAsia="宋体" w:cs="Times New Roman"/>
      <w:sz w:val="21"/>
      <w:szCs w:val="22"/>
      <w:lang w:val="en-US" w:eastAsia="zh-CN" w:bidi="ar-SA"/>
    </w:rPr>
  </w:style>
  <w:style w:type="table" w:styleId="1345" w:customStyle="1">
    <w:name w:val="Table Normal"/>
    <w:uiPriority w:val="0"/>
    <w:unhideWhenUsed/>
    <w:qFormat/>
    <w:tblPr>
      <w:tblCellMar>
        <w:left w:w="0" w:type="dxa"/>
        <w:top w:w="0" w:type="dxa"/>
        <w:right w:w="0" w:type="dxa"/>
        <w:bottom w:w="0" w:type="dxa"/>
      </w:tblCellMar>
    </w:tblPr>
  </w:style>
  <w:style w:type="paragraph" w:styleId="1346" w:customStyle="1">
    <w:name w:val="Normal_19_0"/>
    <w:basedOn w:val="1296"/>
    <w:next w:val="1005"/>
    <w:uiPriority w:val="0"/>
    <w:qFormat/>
    <w:pPr>
      <w:jc w:val="left"/>
      <w:widowControl/>
    </w:pPr>
    <w:rPr>
      <w:rFonts w:ascii="Times New Roman" w:hAnsi="Times New Roman" w:eastAsia="Times New Roman"/>
      <w:sz w:val="24"/>
      <w:szCs w:val="24"/>
    </w:rPr>
  </w:style>
  <w:style w:type="paragraph" w:styleId="1347" w:customStyle="1">
    <w:name w:val="正文_3_0_0"/>
    <w:basedOn w:val="1300"/>
    <w:uiPriority w:val="0"/>
    <w:qFormat/>
    <w:rPr>
      <w:rFonts w:ascii="Times New Roman" w:hAnsi="Times New Roman"/>
      <w:szCs w:val="20"/>
    </w:rPr>
  </w:style>
  <w:style w:type="paragraph" w:styleId="1348" w:customStyle="1">
    <w:name w:val="标题 4_0_0"/>
    <w:basedOn w:val="1334"/>
    <w:next w:val="1347"/>
    <w:uiPriority w:val="0"/>
    <w:qFormat/>
    <w:pPr>
      <w:keepLines/>
      <w:keepNext/>
      <w:spacing w:before="280" w:after="290" w:line="372" w:lineRule="auto"/>
      <w:outlineLvl w:val="3"/>
    </w:pPr>
    <w:rPr>
      <w:rFonts w:ascii="Arial" w:hAnsi="Arial" w:eastAsia="黑体" w:cs="Arial"/>
      <w:b/>
      <w:sz w:val="28"/>
    </w:rPr>
  </w:style>
  <w:style w:type="paragraph" w:styleId="1349" w:customStyle="1">
    <w:name w:val="标题 3_0_1"/>
    <w:next w:val="1347"/>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正文文本缩进 2_1_0"/>
    <w:basedOn w:val="1334"/>
    <w:uiPriority w:val="0"/>
    <w:qFormat/>
    <w:pPr>
      <w:ind w:left="420"/>
      <w:spacing w:after="120" w:line="480" w:lineRule="auto"/>
    </w:pPr>
    <w:rPr>
      <w:rFonts w:cs="Calibri"/>
    </w:rPr>
  </w:style>
  <w:style w:type="paragraph" w:styleId="1351" w:customStyle="1">
    <w:name w:val="正文_5_1"/>
    <w:basedOn w:val="1300"/>
    <w:uiPriority w:val="0"/>
    <w:qFormat/>
    <w:rPr>
      <w:rFonts w:ascii="Times New Roman" w:hAnsi="Times New Roman"/>
      <w:szCs w:val="20"/>
    </w:rPr>
  </w:style>
  <w:style w:type="paragraph" w:styleId="1352" w:customStyle="1">
    <w:name w:val="正文_22"/>
    <w:basedOn w:val="1300"/>
    <w:uiPriority w:val="0"/>
    <w:qFormat/>
    <w:rPr>
      <w:rFonts w:ascii="Times New Roman" w:hAnsi="Times New Roman"/>
    </w:rPr>
  </w:style>
  <w:style w:type="paragraph" w:styleId="1353" w:customStyle="1">
    <w:name w:val="正文_0_2_0"/>
    <w:basedOn w:val="1300"/>
    <w:uiPriority w:val="0"/>
    <w:qFormat/>
    <w:rPr>
      <w:rFonts w:ascii="Times New Roman" w:hAnsi="Times New Roman"/>
      <w:szCs w:val="24"/>
    </w:rPr>
  </w:style>
  <w:style w:type="paragraph" w:styleId="1354" w:customStyle="1">
    <w:name w:val="正文文本_1_0"/>
    <w:basedOn w:val="1334"/>
    <w:uiPriority w:val="0"/>
    <w:qFormat/>
    <w:pPr>
      <w:spacing w:after="120"/>
    </w:pPr>
    <w:rPr>
      <w:rFonts w:cs="Calibri"/>
    </w:rPr>
  </w:style>
  <w:style w:type="paragraph" w:styleId="1355" w:customStyle="1">
    <w:name w:val="Normal_16_0_0"/>
    <w:basedOn w:val="1310"/>
    <w:uiPriority w:val="0"/>
    <w:qFormat/>
    <w:pPr>
      <w:jc w:val="left"/>
      <w:widowControl/>
    </w:pPr>
    <w:rPr>
      <w:rFonts w:hint="eastAsia" w:ascii="黑体" w:hAnsi="宋体" w:eastAsia="黑体"/>
      <w:b/>
      <w:sz w:val="32"/>
    </w:rPr>
  </w:style>
  <w:style w:type="paragraph" w:styleId="1356" w:customStyle="1">
    <w:name w:val="Char Char Char Char Char Char Char Char Char Char3"/>
    <w:basedOn w:val="674"/>
    <w:uiPriority w:val="0"/>
    <w:qFormat/>
    <w:rPr>
      <w:rFonts w:ascii="Tahoma" w:hAnsi="Tahoma"/>
      <w:sz w:val="24"/>
      <w:szCs w:val="20"/>
    </w:rPr>
  </w:style>
  <w:style w:type="paragraph" w:styleId="1357"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35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_16_0"/>
    <w:uiPriority w:val="0"/>
    <w:qFormat/>
    <w:pPr>
      <w:jc w:val="both"/>
      <w:widowControl w:val="off"/>
    </w:pPr>
    <w:rPr>
      <w:rFonts w:ascii="Calibri" w:hAnsi="Calibri" w:eastAsia="宋体" w:cs="Times New Roman"/>
      <w:lang w:val="en-US" w:eastAsia="zh-CN" w:bidi="ar-SA"/>
    </w:rPr>
  </w:style>
  <w:style w:type="paragraph" w:styleId="1360" w:customStyle="1">
    <w:name w:val="正文_16_1"/>
    <w:uiPriority w:val="0"/>
    <w:qFormat/>
    <w:pPr>
      <w:jc w:val="both"/>
      <w:widowControl w:val="off"/>
    </w:pPr>
    <w:rPr>
      <w:rFonts w:ascii="Calibri" w:hAnsi="Calibri" w:eastAsia="宋体" w:cs="Times New Roman"/>
      <w:szCs w:val="24"/>
      <w:lang w:val="en-US" w:eastAsia="zh-CN" w:bidi="ar-SA"/>
    </w:rPr>
  </w:style>
  <w:style w:type="paragraph" w:styleId="1361" w:customStyle="1">
    <w:name w:val="正文_15_1"/>
    <w:uiPriority w:val="0"/>
    <w:qFormat/>
    <w:pPr>
      <w:jc w:val="both"/>
      <w:widowControl w:val="off"/>
    </w:pPr>
    <w:rPr>
      <w:rFonts w:ascii="Calibri" w:hAnsi="Calibri" w:eastAsia="宋体" w:cs="Times New Roman"/>
      <w:szCs w:val="24"/>
      <w:lang w:val="en-US" w:eastAsia="zh-CN" w:bidi="ar-SA"/>
    </w:rPr>
  </w:style>
  <w:style w:type="paragraph" w:styleId="1362" w:customStyle="1">
    <w:name w:val="正文首行缩进1"/>
    <w:uiPriority w:val="0"/>
    <w:qFormat/>
    <w:pPr>
      <w:ind w:firstLine="200"/>
      <w:spacing w:line="360" w:lineRule="auto"/>
    </w:pPr>
    <w:rPr>
      <w:rFonts w:ascii="仿宋_GB2312" w:hAnsi="Times New Roman" w:eastAsia="仿宋_GB2312" w:cs="Times New Roman"/>
      <w:b/>
      <w:sz w:val="30"/>
      <w:szCs w:val="30"/>
      <w:lang w:val="en-US" w:eastAsia="zh-CN" w:bidi="ar-SA"/>
    </w:rPr>
  </w:style>
  <w:style w:type="paragraph" w:styleId="1363"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64" w:customStyle="1">
    <w:name w:val="TOC Heading_0"/>
    <w:next w:val="1309"/>
    <w:uiPriority w:val="0"/>
    <w:qFormat/>
    <w:pPr>
      <w:jc w:val="both"/>
      <w:keepLines/>
      <w:keepNext/>
      <w:spacing w:before="340" w:after="330" w:line="576" w:lineRule="auto"/>
      <w:widowControl w:val="off"/>
    </w:pPr>
    <w:rPr>
      <w:rFonts w:ascii="Calibri" w:hAnsi="Calibri" w:eastAsia="Times New Roman" w:cs="Times New Roman"/>
      <w:b/>
      <w:bCs/>
      <w:sz w:val="44"/>
      <w:szCs w:val="44"/>
      <w:lang w:val="en-US" w:eastAsia="zh-CN" w:bidi="ar-SA"/>
    </w:rPr>
  </w:style>
  <w:style w:type="paragraph" w:styleId="1365" w:customStyle="1">
    <w:name w:val="标题 1_0"/>
    <w:next w:val="1309"/>
    <w:uiPriority w:val="0"/>
    <w:qFormat/>
    <w:pPr>
      <w:jc w:val="both"/>
      <w:keepLines/>
      <w:keepNext/>
      <w:spacing w:before="340" w:after="330" w:line="576" w:lineRule="auto"/>
      <w:widowControl w:val="off"/>
      <w:outlineLvl w:val="0"/>
    </w:pPr>
    <w:rPr>
      <w:rFonts w:ascii="Calibri" w:hAnsi="Calibri" w:eastAsia="宋体" w:cs="Times New Roman"/>
      <w:b/>
      <w:bCs/>
      <w:sz w:val="44"/>
      <w:szCs w:val="44"/>
      <w:lang w:val="en-US" w:eastAsia="zh-CN" w:bidi="ar-SA"/>
    </w:rPr>
  </w:style>
  <w:style w:type="paragraph" w:styleId="1366" w:customStyle="1">
    <w:name w:val="标题 4_1"/>
    <w:next w:val="1309"/>
    <w:uiPriority w:val="0"/>
    <w:qFormat/>
    <w:pPr>
      <w:jc w:val="both"/>
      <w:keepLines/>
      <w:keepNext/>
      <w:spacing w:before="280" w:after="290" w:line="372" w:lineRule="auto"/>
      <w:widowControl w:val="off"/>
      <w:outlineLvl w:val="3"/>
    </w:pPr>
    <w:rPr>
      <w:rFonts w:ascii="Cambria" w:hAnsi="Cambria" w:eastAsia="Times New Roman" w:cs="Times New Roman"/>
      <w:b/>
      <w:bCs/>
      <w:sz w:val="28"/>
      <w:szCs w:val="28"/>
      <w:lang w:val="en-US" w:eastAsia="zh-CN" w:bidi="ar-SA"/>
    </w:rPr>
  </w:style>
  <w:style w:type="paragraph" w:styleId="1367" w:customStyle="1">
    <w:name w:val="正文_3_1"/>
    <w:uiPriority w:val="0"/>
    <w:qFormat/>
    <w:pPr>
      <w:jc w:val="both"/>
      <w:widowControl w:val="off"/>
    </w:pPr>
    <w:rPr>
      <w:rFonts w:ascii="Calibri" w:hAnsi="Calibri" w:eastAsia="宋体" w:cs="Times New Roman"/>
      <w:lang w:val="en-US" w:eastAsia="zh-CN" w:bidi="ar-SA"/>
    </w:rPr>
  </w:style>
  <w:style w:type="paragraph" w:styleId="1368" w:customStyle="1">
    <w:name w:val="标题 3_6"/>
    <w:next w:val="1309"/>
    <w:uiPriority w:val="0"/>
    <w:qFormat/>
    <w:pPr>
      <w:jc w:val="both"/>
      <w:keepLines/>
      <w:keepNext/>
      <w:spacing w:before="260" w:after="260" w:line="413" w:lineRule="auto"/>
      <w:widowControl w:val="off"/>
      <w:outlineLvl w:val="2"/>
    </w:pPr>
    <w:rPr>
      <w:rFonts w:ascii="Calibri" w:hAnsi="Calibri" w:eastAsia="Times New Roman" w:cs="Times New Roman"/>
      <w:b/>
      <w:bCs/>
      <w:sz w:val="32"/>
      <w:szCs w:val="32"/>
      <w:lang w:val="en-US" w:eastAsia="zh-CN" w:bidi="ar-SA"/>
    </w:rPr>
  </w:style>
  <w:style w:type="paragraph" w:styleId="1369" w:customStyle="1">
    <w:name w:val="正文_21_1"/>
    <w:uiPriority w:val="0"/>
    <w:qFormat/>
    <w:pPr>
      <w:jc w:val="both"/>
      <w:widowControl w:val="off"/>
    </w:pPr>
    <w:rPr>
      <w:rFonts w:ascii="Times New Roman" w:hAnsi="Times New Roman" w:eastAsia="宋体" w:cs="Times New Roman"/>
      <w:lang w:val="en-US" w:eastAsia="zh-CN" w:bidi="ar-SA"/>
    </w:rPr>
  </w:style>
  <w:style w:type="paragraph" w:styleId="1370" w:customStyle="1">
    <w:name w:val="正文文本_2"/>
    <w:uiPriority w:val="0"/>
    <w:qFormat/>
    <w:pPr>
      <w:ind w:left="72" w:right="30"/>
      <w:jc w:val="center"/>
      <w:spacing w:after="60" w:line="360" w:lineRule="atLeast"/>
      <w:widowControl w:val="off"/>
    </w:pPr>
    <w:rPr>
      <w:rFonts w:ascii="Times New Roman" w:hAnsi="Times New Roman" w:eastAsia="Times New Roman" w:cs="Times New Roman"/>
      <w:sz w:val="21"/>
      <w:szCs w:val="22"/>
      <w:lang w:val="en-US" w:eastAsia="zh-CN" w:bidi="ar-SA"/>
    </w:rPr>
  </w:style>
  <w:style w:type="paragraph" w:styleId="1371" w:customStyle="1">
    <w:name w:val="Char Char Char Char Char Char Char Char Char Char4"/>
    <w:uiPriority w:val="0"/>
    <w:qFormat/>
    <w:pPr>
      <w:jc w:val="both"/>
      <w:widowControl w:val="off"/>
    </w:pPr>
    <w:rPr>
      <w:rFonts w:ascii="Tahoma" w:hAnsi="Tahoma" w:eastAsia="宋体" w:cs="Times New Roman"/>
      <w:sz w:val="24"/>
      <w:lang w:val="en-US" w:eastAsia="zh-CN" w:bidi="ar-SA"/>
    </w:rPr>
  </w:style>
  <w:style w:type="paragraph" w:styleId="1372" w:customStyle="1">
    <w:name w:val="正文3"/>
    <w:basedOn w:val="674"/>
    <w:uiPriority w:val="0"/>
    <w:qFormat/>
    <w:rPr>
      <w:rFonts w:ascii="Times New Roman" w:hAnsi="Times New Roman"/>
      <w:sz w:val="24"/>
      <w:szCs w:val="24"/>
    </w:rPr>
  </w:style>
  <w:style w:type="character" w:styleId="1373" w:customStyle="1">
    <w:name w:val="15"/>
    <w:basedOn w:val="684"/>
    <w:uiPriority w:val="0"/>
    <w:qFormat/>
    <w:rPr>
      <w:rFonts w:hint="default" w:ascii="Calibri" w:hAnsi="Calibri" w:eastAsia="宋体" w:cs="Times New Roman"/>
      <w:sz w:val="21"/>
      <w:szCs w:val="21"/>
    </w:rPr>
  </w:style>
  <w:style w:type="paragraph" w:styleId="1374" w:customStyle="1">
    <w:name w:val="正文_5_2"/>
    <w:basedOn w:val="674"/>
    <w:uiPriority w:val="0"/>
    <w:qFormat/>
    <w:pPr>
      <w:jc w:val="left"/>
      <w:spacing w:beforeAutospacing="1" w:after="160" w:line="252" w:lineRule="auto"/>
      <w:widowControl/>
    </w:pPr>
    <w:rPr>
      <w:rFonts w:ascii="Times New Roman" w:hAnsi="Times New Roman"/>
      <w:sz w:val="22"/>
    </w:rPr>
  </w:style>
  <w:style w:type="paragraph" w:styleId="1375" w:customStyle="1">
    <w:name w:val="正文_23"/>
    <w:basedOn w:val="674"/>
    <w:uiPriority w:val="0"/>
    <w:qFormat/>
    <w:rPr>
      <w:rFonts w:ascii="Times New Roman" w:hAnsi="Times New Roman"/>
      <w:szCs w:val="21"/>
    </w:rPr>
  </w:style>
  <w:style w:type="character" w:styleId="1376" w:customStyle="1">
    <w:name w:val="disabled"/>
    <w:basedOn w:val="684"/>
    <w:uiPriority w:val="0"/>
    <w:qFormat/>
    <w:rPr>
      <w:color w:val="dddddd"/>
    </w:rPr>
  </w:style>
  <w:style w:type="character" w:styleId="1377" w:customStyle="1">
    <w:name w:val="current"/>
    <w:basedOn w:val="684"/>
    <w:uiPriority w:val="0"/>
    <w:qFormat/>
    <w:rPr>
      <w:b/>
      <w:bCs/>
      <w:color w:val="ffffff"/>
      <w:shd w:val="clear" w:color="auto" w:fill="0075cc"/>
    </w:rPr>
  </w:style>
  <w:style w:type="character" w:styleId="1378" w:customStyle="1">
    <w:name w:val="current1"/>
    <w:basedOn w:val="684"/>
    <w:uiPriority w:val="0"/>
    <w:qFormat/>
    <w:rPr>
      <w:b/>
      <w:bCs/>
      <w:color w:val="dddddd"/>
      <w:shd w:val="clear" w:color="auto" w:fill="0075cc"/>
    </w:rPr>
  </w:style>
  <w:style w:type="character" w:styleId="1379" w:customStyle="1">
    <w:name w:val="hover11"/>
    <w:basedOn w:val="684"/>
    <w:uiPriority w:val="0"/>
    <w:qFormat/>
    <w:rPr>
      <w:color w:val="5fb878"/>
    </w:rPr>
  </w:style>
  <w:style w:type="character" w:styleId="1380" w:customStyle="1">
    <w:name w:val="hover12"/>
    <w:basedOn w:val="684"/>
    <w:uiPriority w:val="0"/>
    <w:qFormat/>
    <w:rPr>
      <w:color w:val="427fda"/>
    </w:rPr>
  </w:style>
  <w:style w:type="character" w:styleId="1381" w:customStyle="1">
    <w:name w:val="hover13"/>
    <w:basedOn w:val="684"/>
    <w:uiPriority w:val="0"/>
    <w:qFormat/>
    <w:rPr>
      <w:color w:val="5fb878"/>
    </w:rPr>
  </w:style>
  <w:style w:type="character" w:styleId="1382" w:customStyle="1">
    <w:name w:val="hover14"/>
    <w:basedOn w:val="684"/>
    <w:uiPriority w:val="0"/>
    <w:qFormat/>
    <w:rPr>
      <w:color w:val="ffffff"/>
    </w:rPr>
  </w:style>
  <w:style w:type="character" w:styleId="1383" w:customStyle="1">
    <w:name w:val="layui-this4"/>
    <w:basedOn w:val="684"/>
    <w:uiPriority w:val="0"/>
    <w:qFormat/>
    <w:rPr>
      <w:shd w:val="clear" w:color="auto" w:fill="ffffff"/>
    </w:rPr>
  </w:style>
  <w:style w:type="character" w:styleId="1384" w:customStyle="1">
    <w:name w:val="first-child"/>
    <w:basedOn w:val="684"/>
    <w:uiPriority w:val="0"/>
    <w:qFormat/>
  </w:style>
  <w:style w:type="character" w:styleId="1385" w:customStyle="1">
    <w:name w:val="layui-laypage-curr"/>
    <w:basedOn w:val="684"/>
    <w:uiPriority w:val="0"/>
    <w:qFormat/>
  </w:style>
  <w:style w:type="character" w:styleId="1386" w:customStyle="1">
    <w:name w:val="layui-this"/>
    <w:basedOn w:val="684"/>
    <w:uiPriority w:val="0"/>
    <w:qFormat/>
    <w:rPr>
      <w:shd w:val="clear" w:color="auto" w:fill="ffffff"/>
    </w:rPr>
  </w:style>
  <w:style w:type="paragraph" w:styleId="1387" w:customStyle="1">
    <w:name w:val="Normal_21"/>
    <w:uiPriority w:val="0"/>
    <w:qFormat/>
    <w:rPr>
      <w:rFonts w:ascii="黑体" w:hAnsi="黑体" w:eastAsia="黑体" w:cs="黑体"/>
      <w:b/>
      <w:sz w:val="32"/>
      <w:szCs w:val="24"/>
      <w:lang w:val="en-US" w:eastAsia="zh-CN" w:bidi="ar-SA"/>
    </w:rPr>
  </w:style>
  <w:style w:type="paragraph" w:styleId="1388" w:customStyle="1">
    <w:name w:val="正文首行缩进 2_0"/>
    <w:basedOn w:val="1297"/>
    <w:next w:val="1005"/>
    <w:uiPriority w:val="99"/>
    <w:unhideWhenUsed/>
    <w:qFormat/>
    <w:pPr>
      <w:ind w:firstLine="420"/>
    </w:pPr>
  </w:style>
  <w:style w:type="paragraph" w:styleId="1389" w:customStyle="1">
    <w:name w:val="正文_1_2"/>
    <w:uiPriority w:val="0"/>
    <w:qFormat/>
    <w:pPr>
      <w:jc w:val="both"/>
      <w:widowControl w:val="off"/>
    </w:pPr>
    <w:rPr>
      <w:rFonts w:ascii="Calibri" w:hAnsi="Calibri" w:eastAsia="宋体" w:cs="Times New Roman"/>
      <w:sz w:val="21"/>
      <w:szCs w:val="22"/>
      <w:lang w:val="en-US" w:eastAsia="zh-CN" w:bidi="ar-SA"/>
    </w:rPr>
  </w:style>
  <w:style w:type="character" w:styleId="1390" w:customStyle="1">
    <w:name w:val="文档结构图 字符1"/>
    <w:basedOn w:val="684"/>
    <w:uiPriority w:val="99"/>
    <w:semiHidden/>
    <w:qFormat/>
    <w:rPr>
      <w:rFonts w:ascii="Microsoft YaHei UI" w:hAnsi="Calibri" w:eastAsia="Microsoft YaHei UI"/>
      <w:sz w:val="18"/>
      <w:szCs w:val="18"/>
    </w:rPr>
  </w:style>
  <w:style w:type="character" w:styleId="1391" w:customStyle="1">
    <w:name w:val="正文文本 3 字符1"/>
    <w:basedOn w:val="684"/>
    <w:uiPriority w:val="99"/>
    <w:semiHidden/>
    <w:qFormat/>
    <w:rPr>
      <w:rFonts w:ascii="Calibri" w:hAnsi="Calibri"/>
      <w:sz w:val="16"/>
      <w:szCs w:val="16"/>
    </w:rPr>
  </w:style>
  <w:style w:type="character" w:styleId="1392" w:customStyle="1">
    <w:name w:val="HTML 地址 字符1"/>
    <w:basedOn w:val="684"/>
    <w:uiPriority w:val="99"/>
    <w:semiHidden/>
    <w:qFormat/>
    <w:rPr>
      <w:rFonts w:ascii="Calibri" w:hAnsi="Calibri"/>
      <w:i/>
      <w:iCs/>
      <w:sz w:val="21"/>
      <w:szCs w:val="22"/>
    </w:rPr>
  </w:style>
  <w:style w:type="character" w:styleId="1393" w:customStyle="1">
    <w:name w:val="纯文本 字符1"/>
    <w:basedOn w:val="684"/>
    <w:uiPriority w:val="99"/>
    <w:semiHidden/>
    <w:rPr>
      <w:rFonts w:hAnsi="Courier New" w:cs="Courier New" w:asciiTheme="minorEastAsia" w:eastAsiaTheme="minorEastAsia"/>
      <w:sz w:val="21"/>
      <w:szCs w:val="22"/>
    </w:rPr>
  </w:style>
  <w:style w:type="character" w:styleId="1394" w:customStyle="1">
    <w:name w:val="日期 字符1"/>
    <w:basedOn w:val="684"/>
    <w:uiPriority w:val="99"/>
    <w:semiHidden/>
    <w:rPr>
      <w:rFonts w:ascii="Calibri" w:hAnsi="Calibri"/>
      <w:sz w:val="21"/>
      <w:szCs w:val="22"/>
    </w:rPr>
  </w:style>
  <w:style w:type="character" w:styleId="1395" w:customStyle="1">
    <w:name w:val="正文文本缩进 2 字符1"/>
    <w:basedOn w:val="684"/>
    <w:uiPriority w:val="99"/>
    <w:semiHidden/>
    <w:qFormat/>
    <w:rPr>
      <w:rFonts w:ascii="Calibri" w:hAnsi="Calibri"/>
      <w:sz w:val="21"/>
      <w:szCs w:val="22"/>
    </w:rPr>
  </w:style>
  <w:style w:type="character" w:styleId="1396" w:customStyle="1">
    <w:name w:val="批注框文本 字符1"/>
    <w:basedOn w:val="684"/>
    <w:uiPriority w:val="99"/>
    <w:semiHidden/>
    <w:qFormat/>
    <w:rPr>
      <w:rFonts w:ascii="Calibri" w:hAnsi="Calibri"/>
      <w:sz w:val="18"/>
      <w:szCs w:val="18"/>
    </w:rPr>
  </w:style>
  <w:style w:type="character" w:styleId="1397" w:customStyle="1">
    <w:name w:val="正文文本缩进 3 字符1"/>
    <w:basedOn w:val="684"/>
    <w:uiPriority w:val="99"/>
    <w:semiHidden/>
    <w:rPr>
      <w:rFonts w:ascii="Calibri" w:hAnsi="Calibri"/>
      <w:sz w:val="16"/>
      <w:szCs w:val="16"/>
    </w:rPr>
  </w:style>
  <w:style w:type="character" w:styleId="1398" w:customStyle="1">
    <w:name w:val="正文文本 2 字符1"/>
    <w:basedOn w:val="684"/>
    <w:uiPriority w:val="99"/>
    <w:semiHidden/>
    <w:qFormat/>
    <w:rPr>
      <w:rFonts w:ascii="Calibri" w:hAnsi="Calibri"/>
      <w:sz w:val="21"/>
      <w:szCs w:val="22"/>
    </w:rPr>
  </w:style>
  <w:style w:type="character" w:styleId="1399" w:customStyle="1">
    <w:name w:val="HTML 预设格式 字符1"/>
    <w:basedOn w:val="684"/>
    <w:uiPriority w:val="99"/>
    <w:semiHidden/>
    <w:qFormat/>
    <w:rPr>
      <w:rFonts w:ascii="Courier New" w:hAnsi="Courier New" w:cs="Courier New"/>
    </w:rPr>
  </w:style>
  <w:style w:type="table" w:styleId="1400" w:customStyle="1">
    <w:name w:val="网格型2"/>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01" w:customStyle="1">
    <w:name w:val="_Style 47"/>
    <w:uiPriority w:val="99"/>
    <w:qFormat/>
    <w:pPr>
      <w:jc w:val="both"/>
      <w:widowControl w:val="off"/>
    </w:pPr>
    <w:rPr>
      <w:rFonts w:ascii="Calibri" w:hAnsi="Calibri" w:eastAsia="宋体" w:cs="Times New Roman"/>
      <w:sz w:val="28"/>
      <w:szCs w:val="28"/>
      <w:lang w:val="en-US" w:eastAsia="zh-CN" w:bidi="ar-SA"/>
    </w:rPr>
  </w:style>
  <w:style w:type="paragraph" w:styleId="1402" w:customStyle="1">
    <w:name w:val="Char Char Char Char3"/>
    <w:next w:val="722"/>
    <w:uiPriority w:val="99"/>
    <w:semiHidden/>
    <w:qFormat/>
    <w:pPr>
      <w:ind w:firstLine="200"/>
      <w:spacing w:line="360" w:lineRule="auto"/>
    </w:pPr>
    <w:rPr>
      <w:rFonts w:ascii="Times New Roman" w:hAnsi="Times New Roman" w:eastAsia="仿宋_GB2312" w:cs="Times New Roman"/>
      <w:sz w:val="24"/>
      <w:szCs w:val="24"/>
      <w:lang w:val="en-US" w:eastAsia="zh-CN" w:bidi="ar-SA"/>
    </w:rPr>
  </w:style>
  <w:style w:type="paragraph" w:styleId="1403" w:customStyle="1">
    <w:name w:val="Char Char Char Char Char Char"/>
    <w:basedOn w:val="674"/>
    <w:uiPriority w:val="0"/>
    <w:qFormat/>
    <w:rPr>
      <w:rFonts w:ascii="仿宋_GB2312" w:hAnsi="Times New Roman" w:eastAsia="仿宋_GB2312"/>
      <w:b/>
      <w:sz w:val="32"/>
      <w:szCs w:val="32"/>
    </w:rPr>
  </w:style>
  <w:style w:type="paragraph" w:styleId="1404" w:customStyle="1">
    <w:name w:val="_Style 13"/>
    <w:basedOn w:val="674"/>
    <w:uiPriority w:val="0"/>
    <w:qFormat/>
    <w:pPr>
      <w:jc w:val="left"/>
      <w:spacing w:after="160" w:line="240" w:lineRule="exact"/>
      <w:widowControl/>
    </w:pPr>
    <w:rPr>
      <w:rFonts w:ascii="Times New Roman" w:hAnsi="Times New Roman"/>
      <w:sz w:val="28"/>
      <w:szCs w:val="20"/>
    </w:rPr>
  </w:style>
  <w:style w:type="character" w:styleId="1405" w:customStyle="1">
    <w:name w:val="无间隔 Char"/>
    <w:uiPriority w:val="0"/>
    <w:qFormat/>
    <w:rPr>
      <w:rFonts w:ascii="Calibri" w:hAnsi="Calibri" w:eastAsia="宋体" w:cs="Times New Roman"/>
      <w:sz w:val="22"/>
    </w:rPr>
  </w:style>
  <w:style w:type="paragraph" w:styleId="1406" w:customStyle="1">
    <w:name w:val="contentarticle"/>
    <w:basedOn w:val="674"/>
    <w:uiPriority w:val="0"/>
    <w:qFormat/>
    <w:pPr>
      <w:jc w:val="left"/>
      <w:spacing w:before="100" w:beforeAutospacing="1" w:after="100" w:afterAutospacing="1"/>
      <w:widowControl/>
    </w:pPr>
    <w:rPr>
      <w:rFonts w:ascii="宋体" w:hAnsi="宋体" w:cs="宋体"/>
      <w:sz w:val="24"/>
      <w:szCs w:val="24"/>
    </w:rPr>
  </w:style>
  <w:style w:type="character" w:styleId="1407" w:customStyle="1">
    <w:name w:val="p21"/>
    <w:uiPriority w:val="0"/>
    <w:qFormat/>
    <w:rPr>
      <w:rFonts w:cs="Times New Roman"/>
      <w:sz w:val="9"/>
      <w:szCs w:val="9"/>
    </w:rPr>
  </w:style>
  <w:style w:type="paragraph" w:styleId="1408" w:customStyle="1">
    <w:name w:val="t_black_12_b"/>
    <w:basedOn w:val="674"/>
    <w:uiPriority w:val="0"/>
    <w:qFormat/>
    <w:pPr>
      <w:jc w:val="left"/>
      <w:widowControl/>
    </w:pPr>
    <w:rPr>
      <w:rFonts w:ascii="宋体" w:hAnsi="宋体" w:cs="宋体"/>
      <w:b/>
      <w:bCs/>
      <w:color w:val="212121"/>
      <w:sz w:val="9"/>
      <w:szCs w:val="9"/>
    </w:rPr>
  </w:style>
  <w:style w:type="character" w:styleId="1409" w:customStyle="1">
    <w:name w:val="newscontent"/>
    <w:uiPriority w:val="0"/>
    <w:qFormat/>
    <w:rPr>
      <w:rFonts w:cs="Times New Roman"/>
    </w:rPr>
  </w:style>
  <w:style w:type="paragraph" w:styleId="1410" w:customStyle="1">
    <w:name w:val="样式 标题 3 + (中文) 黑体 小四 非加粗 段前: 7.8 磅 段后: 0 磅 行距: 固定值 20 磅"/>
    <w:basedOn w:val="677"/>
    <w:uiPriority w:val="0"/>
    <w:qFormat/>
    <w:pPr>
      <w:spacing w:before="0" w:after="0" w:line="400" w:lineRule="exact"/>
    </w:pPr>
    <w:rPr>
      <w:rFonts w:ascii="Times New Roman" w:hAnsi="Times New Roman" w:eastAsia="黑体" w:cs="宋体"/>
      <w:sz w:val="24"/>
      <w:szCs w:val="20"/>
    </w:rPr>
  </w:style>
  <w:style w:type="character" w:styleId="1411" w:customStyle="1">
    <w:name w:val="样式1 Char"/>
    <w:link w:val="982"/>
    <w:uiPriority w:val="0"/>
    <w:qFormat/>
    <w:rPr>
      <w:rFonts w:ascii="宋体" w:hAnsi="宋体"/>
      <w:sz w:val="21"/>
      <w:szCs w:val="21"/>
    </w:rPr>
  </w:style>
  <w:style w:type="paragraph" w:styleId="1412" w:customStyle="1">
    <w:name w:val="附录一级条标题"/>
    <w:basedOn w:val="1413"/>
    <w:next w:val="1104"/>
    <w:uiPriority w:val="0"/>
    <w:qFormat/>
    <w:pPr>
      <w:numPr>
        <w:ilvl w:val="2"/>
      </w:numPr>
      <w:outlineLvl w:val="2"/>
    </w:pPr>
  </w:style>
  <w:style w:type="paragraph" w:styleId="1413" w:customStyle="1">
    <w:name w:val="附录章标题"/>
    <w:next w:val="1104"/>
    <w:uiPriority w:val="0"/>
    <w:qFormat/>
    <w:pPr>
      <w:numPr>
        <w:ilvl w:val="1"/>
        <w:numId w:val="4"/>
      </w:numPr>
      <w:jc w:val="both"/>
      <w:outlineLvl w:val="1"/>
    </w:pPr>
    <w:rPr>
      <w:rFonts w:ascii="黑体" w:hAnsi="Calibri" w:eastAsia="黑体" w:cs="Times New Roman"/>
      <w:sz w:val="21"/>
      <w:szCs w:val="22"/>
      <w:lang w:val="en-US" w:eastAsia="zh-CN" w:bidi="ar-SA"/>
    </w:rPr>
  </w:style>
  <w:style w:type="paragraph" w:styleId="1414" w:customStyle="1">
    <w:name w:val="附录表标题"/>
    <w:next w:val="1104"/>
    <w:uiPriority w:val="0"/>
    <w:qFormat/>
    <w:pPr>
      <w:numPr>
        <w:ilvl w:val="0"/>
        <w:numId w:val="5"/>
      </w:numPr>
      <w:jc w:val="center"/>
    </w:pPr>
    <w:rPr>
      <w:rFonts w:ascii="黑体" w:hAnsi="Calibri" w:eastAsia="黑体" w:cs="Times New Roman"/>
      <w:sz w:val="21"/>
      <w:szCs w:val="22"/>
      <w:lang w:val="en-US" w:eastAsia="zh-CN" w:bidi="ar-SA"/>
    </w:rPr>
  </w:style>
  <w:style w:type="character" w:styleId="1415" w:customStyle="1">
    <w:name w:val="font51"/>
    <w:uiPriority w:val="0"/>
    <w:qFormat/>
    <w:rPr>
      <w:rFonts w:ascii="Times New Roman" w:hAnsi="Times New Roman" w:cs="Times New Roman"/>
      <w:color w:val="000000"/>
      <w:sz w:val="20"/>
      <w:szCs w:val="20"/>
      <w:u w:val="none"/>
    </w:rPr>
  </w:style>
  <w:style w:type="character" w:styleId="1416" w:customStyle="1">
    <w:name w:val="font31"/>
    <w:uiPriority w:val="0"/>
    <w:qFormat/>
    <w:rPr>
      <w:rFonts w:ascii="宋体" w:hAnsi="宋体" w:eastAsia="宋体" w:cs="宋体"/>
      <w:color w:val="000000"/>
      <w:sz w:val="20"/>
      <w:szCs w:val="20"/>
      <w:u w:val="none"/>
    </w:rPr>
  </w:style>
  <w:style w:type="character" w:styleId="1417" w:customStyle="1">
    <w:name w:val="nava181"/>
    <w:uiPriority w:val="0"/>
    <w:qFormat/>
    <w:rPr>
      <w:color w:val="445566"/>
      <w:spacing w:val="330"/>
      <w:sz w:val="21"/>
      <w:u w:val="none"/>
    </w:rPr>
  </w:style>
  <w:style w:type="character" w:styleId="1418" w:customStyle="1">
    <w:name w:val="发布"/>
    <w:uiPriority w:val="0"/>
    <w:qFormat/>
    <w:rPr>
      <w:rFonts w:ascii="黑体" w:eastAsia="黑体" w:cs="Times New Roman"/>
      <w:spacing w:val="22"/>
      <w:position w:val="3"/>
      <w:sz w:val="28"/>
    </w:rPr>
  </w:style>
  <w:style w:type="character" w:styleId="1419" w:customStyle="1">
    <w:name w:val="个人撰写风格"/>
    <w:uiPriority w:val="0"/>
    <w:qFormat/>
    <w:rPr>
      <w:rFonts w:ascii="Arial" w:hAnsi="Arial" w:eastAsia="宋体" w:cs="Arial"/>
      <w:color w:val="auto"/>
      <w:sz w:val="20"/>
    </w:rPr>
  </w:style>
  <w:style w:type="character" w:styleId="1420" w:customStyle="1">
    <w:name w:val="font01"/>
    <w:uiPriority w:val="0"/>
    <w:qFormat/>
    <w:rPr>
      <w:rFonts w:ascii="宋体" w:hAnsi="宋体" w:eastAsia="宋体" w:cs="宋体"/>
      <w:color w:val="000000"/>
      <w:sz w:val="24"/>
      <w:szCs w:val="24"/>
      <w:u w:val="none"/>
    </w:rPr>
  </w:style>
  <w:style w:type="character" w:styleId="1421" w:customStyle="1">
    <w:name w:val="个人答复风格"/>
    <w:uiPriority w:val="0"/>
    <w:qFormat/>
    <w:rPr>
      <w:rFonts w:ascii="Arial" w:hAnsi="Arial" w:eastAsia="宋体" w:cs="Arial"/>
      <w:color w:val="auto"/>
      <w:sz w:val="20"/>
    </w:rPr>
  </w:style>
  <w:style w:type="character" w:styleId="1422" w:customStyle="1">
    <w:name w:val="HTML Address Char"/>
    <w:uiPriority w:val="0"/>
    <w:qFormat/>
    <w:rPr>
      <w:rFonts w:cs="Times New Roman"/>
      <w:i/>
      <w:iCs/>
      <w:sz w:val="24"/>
      <w:szCs w:val="24"/>
    </w:rPr>
  </w:style>
  <w:style w:type="character" w:styleId="1423" w:customStyle="1">
    <w:name w:val="Date Char"/>
    <w:uiPriority w:val="0"/>
    <w:qFormat/>
    <w:rPr>
      <w:rFonts w:cs="Times New Roman"/>
      <w:sz w:val="24"/>
      <w:szCs w:val="24"/>
    </w:rPr>
  </w:style>
  <w:style w:type="character" w:styleId="1424" w:customStyle="1">
    <w:name w:val="font11"/>
    <w:uiPriority w:val="0"/>
    <w:qFormat/>
    <w:rPr>
      <w:rFonts w:ascii="黑体" w:hAnsi="宋体" w:eastAsia="黑体" w:cs="黑体"/>
      <w:b/>
      <w:color w:val="000000"/>
      <w:sz w:val="44"/>
      <w:szCs w:val="44"/>
      <w:u w:val="none"/>
      <w:vertAlign w:val="superscript"/>
    </w:rPr>
  </w:style>
  <w:style w:type="character" w:styleId="1425" w:customStyle="1">
    <w:name w:val="Title Char1"/>
    <w:uiPriority w:val="0"/>
    <w:qFormat/>
    <w:rPr>
      <w:rFonts w:ascii="Cambria" w:hAnsi="Cambria" w:cs="Times New Roman"/>
      <w:b/>
      <w:bCs/>
      <w:sz w:val="32"/>
      <w:szCs w:val="32"/>
    </w:rPr>
  </w:style>
  <w:style w:type="character" w:styleId="1426" w:customStyle="1">
    <w:name w:val="Footnote Text Char1"/>
    <w:uiPriority w:val="99"/>
    <w:semiHidden/>
    <w:qFormat/>
    <w:rPr>
      <w:sz w:val="18"/>
      <w:szCs w:val="18"/>
    </w:rPr>
  </w:style>
  <w:style w:type="character" w:styleId="1427" w:customStyle="1">
    <w:name w:val="HTML Address Char1"/>
    <w:uiPriority w:val="99"/>
    <w:semiHidden/>
    <w:qFormat/>
    <w:rPr>
      <w:i/>
      <w:iCs/>
    </w:rPr>
  </w:style>
  <w:style w:type="character" w:styleId="1428" w:customStyle="1">
    <w:name w:val="Date Char1"/>
    <w:basedOn w:val="684"/>
    <w:uiPriority w:val="99"/>
    <w:semiHidden/>
    <w:qFormat/>
  </w:style>
  <w:style w:type="paragraph" w:styleId="1429" w:customStyle="1">
    <w:name w:val="xl46"/>
    <w:basedOn w:val="674"/>
    <w:uiPriority w:val="0"/>
    <w:qFormat/>
    <w:pPr>
      <w:jc w:val="left"/>
      <w:spacing w:before="100" w:beforeAutospacing="1" w:after="100" w:afterAutospacing="1"/>
      <w:widowControl/>
    </w:pPr>
    <w:rPr>
      <w:rFonts w:ascii="宋体" w:hAnsi="宋体"/>
      <w:sz w:val="20"/>
      <w:szCs w:val="20"/>
    </w:rPr>
  </w:style>
  <w:style w:type="paragraph" w:styleId="1430" w:customStyle="1">
    <w:name w:val="font0"/>
    <w:basedOn w:val="674"/>
    <w:uiPriority w:val="0"/>
    <w:qFormat/>
    <w:pPr>
      <w:jc w:val="left"/>
      <w:spacing w:before="100" w:beforeAutospacing="1" w:after="100" w:afterAutospacing="1"/>
      <w:widowControl/>
    </w:pPr>
    <w:rPr>
      <w:rFonts w:ascii="宋体" w:hAnsi="宋体"/>
      <w:sz w:val="24"/>
      <w:szCs w:val="24"/>
    </w:rPr>
  </w:style>
  <w:style w:type="paragraph" w:styleId="1431" w:customStyle="1">
    <w:name w:val="编号列项（三级）"/>
    <w:uiPriority w:val="0"/>
    <w:qFormat/>
    <w:pPr>
      <w:ind w:left="800" w:hanging="200"/>
    </w:pPr>
    <w:rPr>
      <w:rFonts w:ascii="宋体" w:hAnsi="Times New Roman" w:eastAsia="宋体" w:cs="Times New Roman"/>
      <w:sz w:val="21"/>
      <w:szCs w:val="28"/>
      <w:lang w:val="en-US" w:eastAsia="zh-CN" w:bidi="ar-SA"/>
    </w:rPr>
  </w:style>
  <w:style w:type="paragraph" w:styleId="1432" w:customStyle="1">
    <w:name w:val="正文表标题"/>
    <w:next w:val="674"/>
    <w:uiPriority w:val="0"/>
    <w:qFormat/>
    <w:pPr>
      <w:jc w:val="center"/>
    </w:pPr>
    <w:rPr>
      <w:rFonts w:ascii="黑体" w:hAnsi="Times New Roman" w:eastAsia="黑体" w:cs="Times New Roman"/>
      <w:sz w:val="21"/>
      <w:szCs w:val="28"/>
      <w:lang w:val="en-US" w:eastAsia="zh-CN" w:bidi="ar-SA"/>
    </w:rPr>
  </w:style>
  <w:style w:type="paragraph" w:styleId="1433" w:customStyle="1">
    <w:name w:val="标准标志"/>
    <w:next w:val="674"/>
    <w:uiPriority w:val="0"/>
    <w:qFormat/>
    <w:pPr>
      <w:jc w:val="right"/>
      <w:spacing w:line="240" w:lineRule="atLeast"/>
      <w:shd w:val="solid" w:color="ffffff" w:fill="ffffff"/>
      <w:framePr w:w="2268" w:h="1392" w:wrap="around" w:vAnchor="margin" w:hAnchor="margin" w:x="6748" w:y="171" w:hRule="exact"/>
    </w:pPr>
    <w:rPr>
      <w:rFonts w:ascii="Times New Roman" w:hAnsi="Times New Roman" w:eastAsia="宋体" w:cs="Times New Roman"/>
      <w:b/>
      <w:sz w:val="96"/>
      <w:szCs w:val="28"/>
      <w:lang w:val="en-US" w:eastAsia="zh-CN" w:bidi="ar-SA"/>
    </w:rPr>
  </w:style>
  <w:style w:type="paragraph" w:styleId="1434" w:customStyle="1">
    <w:name w:val="附录二级条标题"/>
    <w:basedOn w:val="1412"/>
    <w:next w:val="1104"/>
    <w:uiPriority w:val="0"/>
    <w:qFormat/>
    <w:pPr>
      <w:numPr>
        <w:ilvl w:val="0"/>
        <w:numId w:val="0"/>
      </w:numPr>
      <w:ind w:left="3780" w:hanging="420"/>
      <w:tabs>
        <w:tab w:val="left" w:pos="3780" w:leader="none"/>
      </w:tabs>
      <w:outlineLvl w:val="3"/>
    </w:pPr>
    <w:rPr>
      <w:rFonts w:hAnsi="Times New Roman"/>
      <w:szCs w:val="20"/>
    </w:rPr>
  </w:style>
  <w:style w:type="paragraph" w:styleId="1435" w:customStyle="1">
    <w:name w:val="封面标准文稿编辑信息"/>
    <w:uiPriority w:val="0"/>
    <w:qFormat/>
    <w:pPr>
      <w:jc w:val="center"/>
      <w:spacing w:before="180" w:line="180" w:lineRule="exact"/>
    </w:pPr>
    <w:rPr>
      <w:rFonts w:ascii="宋体" w:hAnsi="Times New Roman" w:eastAsia="宋体" w:cs="Times New Roman"/>
      <w:sz w:val="21"/>
      <w:szCs w:val="28"/>
      <w:lang w:val="en-US" w:eastAsia="zh-CN" w:bidi="ar-SA"/>
    </w:rPr>
  </w:style>
  <w:style w:type="paragraph" w:styleId="1436" w:customStyle="1">
    <w:name w:val="正文图标题"/>
    <w:next w:val="1104"/>
    <w:uiPriority w:val="0"/>
    <w:qFormat/>
    <w:pPr>
      <w:ind w:left="765" w:hanging="765"/>
      <w:jc w:val="center"/>
      <w:tabs>
        <w:tab w:val="left" w:pos="1290" w:leader="none"/>
      </w:tabs>
    </w:pPr>
    <w:rPr>
      <w:rFonts w:ascii="黑体" w:hAnsi="Times New Roman" w:eastAsia="黑体" w:cs="Times New Roman"/>
      <w:sz w:val="21"/>
      <w:szCs w:val="28"/>
      <w:lang w:val="en-US" w:eastAsia="zh-CN" w:bidi="ar-SA"/>
    </w:rPr>
  </w:style>
  <w:style w:type="paragraph" w:styleId="1437" w:customStyle="1">
    <w:name w:val="封面一致性程度标识"/>
    <w:uiPriority w:val="0"/>
    <w:qFormat/>
    <w:pPr>
      <w:jc w:val="center"/>
      <w:spacing w:before="440" w:line="400" w:lineRule="exact"/>
    </w:pPr>
    <w:rPr>
      <w:rFonts w:ascii="宋体" w:hAnsi="Times New Roman" w:eastAsia="宋体" w:cs="Times New Roman"/>
      <w:sz w:val="28"/>
      <w:szCs w:val="28"/>
      <w:lang w:val="en-US" w:eastAsia="zh-CN" w:bidi="ar-SA"/>
    </w:rPr>
  </w:style>
  <w:style w:type="paragraph" w:styleId="1438" w:customStyle="1">
    <w:name w:val="标准书眉_奇数页"/>
    <w:next w:val="674"/>
    <w:uiPriority w:val="0"/>
    <w:qFormat/>
    <w:pPr>
      <w:jc w:val="right"/>
      <w:spacing w:after="120"/>
      <w:tabs>
        <w:tab w:val="center" w:pos="4154" w:leader="none"/>
        <w:tab w:val="right" w:pos="8306" w:leader="none"/>
      </w:tabs>
    </w:pPr>
    <w:rPr>
      <w:rFonts w:ascii="Times New Roman" w:hAnsi="Times New Roman" w:eastAsia="宋体" w:cs="Times New Roman"/>
      <w:sz w:val="21"/>
      <w:szCs w:val="28"/>
      <w:lang w:val="en-US" w:eastAsia="zh-CN" w:bidi="ar-SA"/>
    </w:rPr>
  </w:style>
  <w:style w:type="paragraph" w:styleId="1439" w:customStyle="1">
    <w:name w:val="xl45"/>
    <w:basedOn w:val="674"/>
    <w:uiPriority w:val="0"/>
    <w:qFormat/>
    <w:pPr>
      <w:jc w:val="left"/>
      <w:spacing w:before="100" w:beforeAutospacing="1" w:after="100" w:afterAutospacing="1"/>
      <w:widowControl/>
    </w:pPr>
    <w:rPr>
      <w:rFonts w:ascii="Times New Roman" w:hAnsi="Times New Roman"/>
      <w:sz w:val="20"/>
      <w:szCs w:val="20"/>
    </w:rPr>
  </w:style>
  <w:style w:type="paragraph" w:styleId="1440" w:customStyle="1">
    <w:name w:val="附录标识"/>
    <w:basedOn w:val="1107"/>
    <w:uiPriority w:val="0"/>
    <w:qFormat/>
    <w:pPr>
      <w:ind w:left="2100"/>
      <w:spacing w:after="200"/>
      <w:tabs>
        <w:tab w:val="left" w:pos="2460" w:leader="none"/>
        <w:tab w:val="left" w:pos="6405" w:leader="none"/>
      </w:tabs>
    </w:pPr>
    <w:rPr>
      <w:sz w:val="21"/>
      <w:szCs w:val="28"/>
    </w:rPr>
  </w:style>
  <w:style w:type="paragraph" w:styleId="1441" w:customStyle="1">
    <w:name w:val="注："/>
    <w:next w:val="674"/>
    <w:uiPriority w:val="0"/>
    <w:qFormat/>
    <w:pPr>
      <w:ind w:left="840" w:hanging="420"/>
      <w:jc w:val="both"/>
      <w:widowControl w:val="off"/>
      <w:tabs>
        <w:tab w:val="left" w:pos="840" w:leader="none"/>
      </w:tabs>
    </w:pPr>
    <w:rPr>
      <w:rFonts w:ascii="宋体" w:hAnsi="Times New Roman" w:eastAsia="宋体" w:cs="Times New Roman"/>
      <w:sz w:val="18"/>
      <w:szCs w:val="28"/>
      <w:lang w:val="en-US" w:eastAsia="zh-CN" w:bidi="ar-SA"/>
    </w:rPr>
  </w:style>
  <w:style w:type="paragraph" w:styleId="1442" w:customStyle="1">
    <w:name w:val="示例"/>
    <w:next w:val="1104"/>
    <w:uiPriority w:val="0"/>
    <w:qFormat/>
    <w:pPr>
      <w:ind w:left="900" w:firstLine="419"/>
      <w:jc w:val="both"/>
      <w:tabs>
        <w:tab w:val="left" w:pos="816" w:leader="none"/>
        <w:tab w:val="left" w:pos="1290" w:leader="none"/>
      </w:tabs>
    </w:pPr>
    <w:rPr>
      <w:rFonts w:ascii="宋体" w:hAnsi="Times New Roman" w:eastAsia="宋体" w:cs="Times New Roman"/>
      <w:sz w:val="18"/>
      <w:szCs w:val="28"/>
      <w:lang w:val="en-US" w:eastAsia="zh-CN" w:bidi="ar-SA"/>
    </w:rPr>
  </w:style>
  <w:style w:type="paragraph" w:styleId="1443" w:customStyle="1">
    <w:name w:val="数字编号列项（二级）"/>
    <w:uiPriority w:val="0"/>
    <w:qFormat/>
    <w:pPr>
      <w:ind w:left="1260" w:hanging="420"/>
      <w:jc w:val="both"/>
    </w:pPr>
    <w:rPr>
      <w:rFonts w:ascii="宋体" w:hAnsi="Times New Roman" w:eastAsia="宋体" w:cs="Times New Roman"/>
      <w:sz w:val="21"/>
      <w:szCs w:val="28"/>
      <w:lang w:val="en-US" w:eastAsia="zh-CN" w:bidi="ar-SA"/>
    </w:rPr>
  </w:style>
  <w:style w:type="paragraph" w:styleId="1444" w:customStyle="1">
    <w:name w:val="xl43"/>
    <w:basedOn w:val="674"/>
    <w:uiPriority w:val="0"/>
    <w:qFormat/>
    <w:pPr>
      <w:jc w:val="right"/>
      <w:spacing w:before="100" w:beforeAutospacing="1" w:after="100" w:afterAutospacing="1"/>
      <w:widowControl/>
    </w:pPr>
    <w:rPr>
      <w:rFonts w:ascii="Times New Roman" w:hAnsi="Times New Roman"/>
      <w:sz w:val="20"/>
      <w:szCs w:val="20"/>
    </w:rPr>
  </w:style>
  <w:style w:type="paragraph" w:styleId="144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szCs w:val="28"/>
      <w:lang w:val="en-US" w:eastAsia="zh-CN" w:bidi="ar-SA"/>
    </w:rPr>
  </w:style>
  <w:style w:type="paragraph" w:styleId="1446" w:customStyle="1">
    <w:name w:val="标准书脚_偶数页"/>
    <w:uiPriority w:val="0"/>
    <w:qFormat/>
    <w:pPr>
      <w:spacing w:before="120"/>
    </w:pPr>
    <w:rPr>
      <w:rFonts w:ascii="Times New Roman" w:hAnsi="Times New Roman" w:eastAsia="宋体" w:cs="Times New Roman"/>
      <w:sz w:val="18"/>
      <w:szCs w:val="28"/>
      <w:lang w:val="en-US" w:eastAsia="zh-CN" w:bidi="ar-SA"/>
    </w:rPr>
  </w:style>
  <w:style w:type="paragraph" w:styleId="1447" w:customStyle="1">
    <w:name w:val="标准称谓"/>
    <w:next w:val="674"/>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szCs w:val="28"/>
      <w:lang w:val="en-US" w:eastAsia="zh-CN" w:bidi="ar-SA"/>
    </w:rPr>
  </w:style>
  <w:style w:type="paragraph" w:styleId="1448" w:customStyle="1">
    <w:name w:val="封面标准文稿类别"/>
    <w:uiPriority w:val="0"/>
    <w:qFormat/>
    <w:pPr>
      <w:jc w:val="center"/>
      <w:spacing w:before="440" w:line="400" w:lineRule="exact"/>
    </w:pPr>
    <w:rPr>
      <w:rFonts w:ascii="宋体" w:hAnsi="Times New Roman" w:eastAsia="宋体" w:cs="Times New Roman"/>
      <w:sz w:val="24"/>
      <w:szCs w:val="28"/>
      <w:lang w:val="en-US" w:eastAsia="zh-CN" w:bidi="ar-SA"/>
    </w:rPr>
  </w:style>
  <w:style w:type="paragraph" w:styleId="1449" w:customStyle="1">
    <w:name w:val="标准书眉一"/>
    <w:uiPriority w:val="0"/>
    <w:qFormat/>
    <w:pPr>
      <w:jc w:val="both"/>
    </w:pPr>
    <w:rPr>
      <w:rFonts w:ascii="Times New Roman" w:hAnsi="Times New Roman" w:eastAsia="宋体" w:cs="Times New Roman"/>
      <w:sz w:val="28"/>
      <w:szCs w:val="28"/>
      <w:lang w:val="en-US" w:eastAsia="zh-CN" w:bidi="ar-SA"/>
    </w:rPr>
  </w:style>
  <w:style w:type="paragraph" w:styleId="1450" w:customStyle="1">
    <w:name w:val="目次、标准名称标题"/>
    <w:basedOn w:val="1107"/>
    <w:next w:val="1104"/>
    <w:uiPriority w:val="0"/>
    <w:qFormat/>
    <w:pPr>
      <w:spacing w:line="460" w:lineRule="exact"/>
    </w:pPr>
    <w:rPr>
      <w:szCs w:val="28"/>
    </w:rPr>
  </w:style>
  <w:style w:type="paragraph" w:styleId="1451" w:customStyle="1">
    <w:name w:val="xl52"/>
    <w:basedOn w:val="674"/>
    <w:uiPriority w:val="0"/>
    <w:qFormat/>
    <w:pPr>
      <w:jc w:val="left"/>
      <w:spacing w:before="100" w:beforeAutospacing="1" w:after="100" w:afterAutospacing="1"/>
      <w:widowControl/>
    </w:pPr>
    <w:rPr>
      <w:rFonts w:ascii="宋体" w:hAnsi="宋体"/>
      <w:sz w:val="20"/>
      <w:szCs w:val="20"/>
    </w:rPr>
  </w:style>
  <w:style w:type="paragraph" w:styleId="1452" w:customStyle="1">
    <w:name w:val="标准书眉_偶数页"/>
    <w:basedOn w:val="1438"/>
    <w:next w:val="674"/>
    <w:uiPriority w:val="0"/>
    <w:qFormat/>
    <w:pPr>
      <w:jc w:val="left"/>
    </w:pPr>
  </w:style>
  <w:style w:type="paragraph" w:styleId="1453" w:customStyle="1">
    <w:name w:val="xl49"/>
    <w:basedOn w:val="674"/>
    <w:uiPriority w:val="0"/>
    <w:qFormat/>
    <w:pPr>
      <w:jc w:val="left"/>
      <w:spacing w:before="100" w:beforeAutospacing="1" w:after="100" w:afterAutospacing="1"/>
      <w:widowControl/>
    </w:pPr>
    <w:rPr>
      <w:rFonts w:ascii="Times New Roman" w:hAnsi="Times New Roman"/>
      <w:sz w:val="20"/>
      <w:szCs w:val="20"/>
    </w:rPr>
  </w:style>
  <w:style w:type="paragraph" w:styleId="1454" w:customStyle="1">
    <w:name w:val="其他发布部门"/>
    <w:basedOn w:val="1455"/>
    <w:uiPriority w:val="0"/>
    <w:qFormat/>
    <w:pPr>
      <w:spacing w:line="240" w:lineRule="atLeast"/>
      <w:framePr w:wrap="around"/>
    </w:pPr>
    <w:rPr>
      <w:rFonts w:ascii="黑体" w:eastAsia="黑体"/>
      <w:b w:val="0"/>
    </w:rPr>
  </w:style>
  <w:style w:type="paragraph" w:styleId="1455" w:customStyle="1">
    <w:name w:val="发布部门"/>
    <w:next w:val="110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szCs w:val="28"/>
      <w:lang w:val="en-US" w:eastAsia="zh-CN" w:bidi="ar-SA"/>
    </w:rPr>
  </w:style>
  <w:style w:type="paragraph" w:styleId="1456" w:customStyle="1">
    <w:name w:val="xl44"/>
    <w:basedOn w:val="674"/>
    <w:uiPriority w:val="0"/>
    <w:qFormat/>
    <w:pPr>
      <w:jc w:val="center"/>
      <w:spacing w:before="100" w:beforeAutospacing="1" w:after="100" w:afterAutospacing="1"/>
      <w:widowControl/>
    </w:pPr>
    <w:rPr>
      <w:rFonts w:ascii="宋体" w:hAnsi="宋体"/>
      <w:sz w:val="20"/>
      <w:szCs w:val="20"/>
    </w:rPr>
  </w:style>
  <w:style w:type="paragraph" w:styleId="1457" w:customStyle="1">
    <w:name w:val="xl48"/>
    <w:basedOn w:val="674"/>
    <w:uiPriority w:val="0"/>
    <w:qFormat/>
    <w:pPr>
      <w:jc w:val="left"/>
      <w:spacing w:before="100" w:beforeAutospacing="1" w:after="100" w:afterAutospacing="1"/>
      <w:widowControl/>
      <w:pBdr>
        <w:bottom w:val="single" w:color="auto" w:sz="4" w:space="0"/>
      </w:pBdr>
    </w:pPr>
    <w:rPr>
      <w:rFonts w:ascii="宋体" w:hAnsi="宋体"/>
      <w:sz w:val="20"/>
      <w:szCs w:val="20"/>
    </w:rPr>
  </w:style>
  <w:style w:type="paragraph" w:styleId="1458" w:customStyle="1">
    <w:name w:val="xl4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0"/>
      <w:szCs w:val="20"/>
    </w:rPr>
  </w:style>
  <w:style w:type="paragraph" w:styleId="1459" w:customStyle="1">
    <w:name w:val="附录四级条标题"/>
    <w:basedOn w:val="1460"/>
    <w:next w:val="1104"/>
    <w:uiPriority w:val="0"/>
    <w:qFormat/>
    <w:pPr>
      <w:numPr>
        <w:ilvl w:val="5"/>
      </w:numPr>
      <w:ind w:left="3780" w:hanging="420"/>
      <w:tabs>
        <w:tab w:val="left" w:pos="3780" w:leader="none"/>
      </w:tabs>
      <w:outlineLvl w:val="5"/>
    </w:pPr>
  </w:style>
  <w:style w:type="paragraph" w:styleId="1460" w:customStyle="1">
    <w:name w:val="附录三级条标题"/>
    <w:basedOn w:val="1434"/>
    <w:next w:val="1104"/>
    <w:uiPriority w:val="0"/>
    <w:qFormat/>
    <w:pPr>
      <w:numPr>
        <w:ilvl w:val="4"/>
      </w:numPr>
      <w:ind w:left="3780" w:hanging="420"/>
      <w:outlineLvl w:val="4"/>
    </w:pPr>
  </w:style>
  <w:style w:type="paragraph" w:styleId="1461" w:customStyle="1">
    <w:name w:val="列项◆（三级）"/>
    <w:uiPriority w:val="0"/>
    <w:qFormat/>
    <w:pPr>
      <w:ind w:left="800" w:hanging="200"/>
      <w:tabs>
        <w:tab w:val="left" w:pos="720" w:leader="none"/>
      </w:tabs>
    </w:pPr>
    <w:rPr>
      <w:rFonts w:ascii="宋体" w:hAnsi="Times New Roman" w:eastAsia="宋体" w:cs="Times New Roman"/>
      <w:sz w:val="21"/>
      <w:szCs w:val="28"/>
      <w:lang w:val="en-US" w:eastAsia="zh-CN" w:bidi="ar-SA"/>
    </w:rPr>
  </w:style>
  <w:style w:type="paragraph" w:styleId="1462"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szCs w:val="28"/>
      <w:lang w:val="en-US" w:eastAsia="zh-CN" w:bidi="ar-SA"/>
    </w:rPr>
  </w:style>
  <w:style w:type="paragraph" w:styleId="1463" w:customStyle="1">
    <w:name w:val="字母编号列项（一级）"/>
    <w:uiPriority w:val="0"/>
    <w:qFormat/>
    <w:pPr>
      <w:ind w:left="840" w:hanging="420"/>
      <w:jc w:val="both"/>
    </w:pPr>
    <w:rPr>
      <w:rFonts w:ascii="宋体" w:hAnsi="Times New Roman" w:eastAsia="宋体" w:cs="Times New Roman"/>
      <w:sz w:val="21"/>
      <w:szCs w:val="28"/>
      <w:lang w:val="en-US" w:eastAsia="zh-CN" w:bidi="ar-SA"/>
    </w:rPr>
  </w:style>
  <w:style w:type="paragraph" w:styleId="1464" w:customStyle="1">
    <w:name w:val="封面正文"/>
    <w:uiPriority w:val="0"/>
    <w:qFormat/>
    <w:pPr>
      <w:jc w:val="both"/>
    </w:pPr>
    <w:rPr>
      <w:rFonts w:ascii="Times New Roman" w:hAnsi="Times New Roman" w:eastAsia="宋体" w:cs="Times New Roman"/>
      <w:sz w:val="28"/>
      <w:szCs w:val="28"/>
      <w:lang w:val="en-US" w:eastAsia="zh-CN" w:bidi="ar-SA"/>
    </w:rPr>
  </w:style>
  <w:style w:type="paragraph" w:styleId="1465" w:customStyle="1">
    <w:name w:val="列项●（二级）"/>
    <w:uiPriority w:val="0"/>
    <w:qFormat/>
    <w:pPr>
      <w:ind w:left="600" w:hanging="200"/>
      <w:jc w:val="both"/>
      <w:tabs>
        <w:tab w:val="left" w:pos="360" w:leader="none"/>
        <w:tab w:val="left" w:pos="760" w:leader="none"/>
        <w:tab w:val="left" w:pos="840" w:leader="none"/>
      </w:tabs>
    </w:pPr>
    <w:rPr>
      <w:rFonts w:ascii="宋体" w:hAnsi="Times New Roman" w:eastAsia="宋体" w:cs="Times New Roman"/>
      <w:sz w:val="21"/>
      <w:szCs w:val="28"/>
      <w:lang w:val="en-US" w:eastAsia="zh-CN" w:bidi="ar-SA"/>
    </w:rPr>
  </w:style>
  <w:style w:type="paragraph" w:styleId="1466" w:customStyle="1">
    <w:name w:val="xl51"/>
    <w:basedOn w:val="674"/>
    <w:uiPriority w:val="0"/>
    <w:qFormat/>
    <w:pPr>
      <w:jc w:val="left"/>
      <w:spacing w:before="100" w:beforeAutospacing="1" w:after="100" w:afterAutospacing="1"/>
      <w:widowControl/>
    </w:pPr>
    <w:rPr>
      <w:rFonts w:ascii="Times New Roman" w:hAnsi="Times New Roman"/>
      <w:sz w:val="20"/>
      <w:szCs w:val="20"/>
    </w:rPr>
  </w:style>
  <w:style w:type="paragraph" w:styleId="1467" w:customStyle="1">
    <w:name w:val="注×："/>
    <w:uiPriority w:val="0"/>
    <w:qFormat/>
    <w:pPr>
      <w:ind w:left="900" w:hanging="500"/>
      <w:jc w:val="both"/>
      <w:widowControl w:val="off"/>
      <w:tabs>
        <w:tab w:val="left" w:pos="630" w:leader="none"/>
      </w:tabs>
    </w:pPr>
    <w:rPr>
      <w:rFonts w:ascii="宋体" w:hAnsi="Times New Roman" w:eastAsia="宋体" w:cs="Times New Roman"/>
      <w:sz w:val="18"/>
      <w:szCs w:val="28"/>
      <w:lang w:val="en-US" w:eastAsia="zh-CN" w:bidi="ar-SA"/>
    </w:rPr>
  </w:style>
  <w:style w:type="paragraph" w:styleId="1468" w:customStyle="1">
    <w:name w:val="目次、索引正文"/>
    <w:uiPriority w:val="0"/>
    <w:qFormat/>
    <w:pPr>
      <w:jc w:val="both"/>
      <w:spacing w:line="320" w:lineRule="exact"/>
    </w:pPr>
    <w:rPr>
      <w:rFonts w:ascii="宋体" w:hAnsi="Times New Roman" w:eastAsia="宋体" w:cs="Times New Roman"/>
      <w:sz w:val="21"/>
      <w:szCs w:val="28"/>
      <w:lang w:val="en-US" w:eastAsia="zh-CN" w:bidi="ar-SA"/>
    </w:rPr>
  </w:style>
  <w:style w:type="paragraph" w:styleId="1469" w:customStyle="1">
    <w:name w:val="列项——（一级）"/>
    <w:uiPriority w:val="0"/>
    <w:qFormat/>
    <w:pPr>
      <w:ind w:left="200" w:hanging="200"/>
      <w:jc w:val="both"/>
      <w:widowControl w:val="off"/>
      <w:tabs>
        <w:tab w:val="left" w:pos="720" w:leader="none"/>
        <w:tab w:val="left" w:pos="854" w:leader="none"/>
        <w:tab w:val="left" w:pos="1545" w:leader="none"/>
      </w:tabs>
    </w:pPr>
    <w:rPr>
      <w:rFonts w:ascii="宋体" w:hAnsi="Times New Roman" w:eastAsia="宋体" w:cs="Times New Roman"/>
      <w:sz w:val="21"/>
      <w:szCs w:val="28"/>
      <w:lang w:val="en-US" w:eastAsia="zh-CN" w:bidi="ar-SA"/>
    </w:rPr>
  </w:style>
  <w:style w:type="paragraph" w:styleId="1470" w:customStyle="1">
    <w:name w:val="附录五级条标题"/>
    <w:basedOn w:val="1459"/>
    <w:next w:val="1104"/>
    <w:uiPriority w:val="0"/>
    <w:qFormat/>
    <w:pPr>
      <w:numPr>
        <w:ilvl w:val="6"/>
      </w:numPr>
      <w:ind w:left="3780" w:hanging="420"/>
      <w:outlineLvl w:val="6"/>
    </w:pPr>
  </w:style>
  <w:style w:type="paragraph" w:styleId="1471" w:customStyle="1">
    <w:name w:val="xl53"/>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0"/>
      <w:szCs w:val="20"/>
    </w:rPr>
  </w:style>
  <w:style w:type="paragraph" w:styleId="1472" w:customStyle="1">
    <w:name w:val="Char Char Char Char2"/>
    <w:next w:val="722"/>
    <w:uiPriority w:val="99"/>
    <w:semiHidden/>
    <w:qFormat/>
    <w:pPr>
      <w:ind w:firstLine="200"/>
      <w:spacing w:line="360" w:lineRule="auto"/>
    </w:pPr>
    <w:rPr>
      <w:rFonts w:ascii="Times New Roman" w:hAnsi="Times New Roman" w:eastAsia="仿宋_GB2312" w:cs="Times New Roman"/>
      <w:sz w:val="24"/>
      <w:szCs w:val="24"/>
      <w:lang w:val="en-US" w:eastAsia="zh-CN" w:bidi="ar-SA"/>
    </w:rPr>
  </w:style>
  <w:style w:type="paragraph" w:styleId="1473" w:customStyle="1">
    <w:name w:val="标准书脚_奇数页"/>
    <w:uiPriority w:val="0"/>
    <w:qFormat/>
    <w:pPr>
      <w:jc w:val="right"/>
      <w:spacing w:before="120"/>
    </w:pPr>
    <w:rPr>
      <w:rFonts w:ascii="Times New Roman" w:hAnsi="Times New Roman" w:eastAsia="宋体" w:cs="Times New Roman"/>
      <w:sz w:val="18"/>
      <w:szCs w:val="28"/>
      <w:lang w:val="en-US" w:eastAsia="zh-CN" w:bidi="ar-SA"/>
    </w:rPr>
  </w:style>
  <w:style w:type="paragraph" w:styleId="1474" w:customStyle="1">
    <w:name w:val="封面标准代替信息"/>
    <w:basedOn w:val="1475"/>
    <w:uiPriority w:val="0"/>
    <w:qFormat/>
    <w:pPr>
      <w:spacing w:before="57"/>
      <w:framePr w:wrap="around"/>
    </w:pPr>
    <w:rPr>
      <w:rFonts w:ascii="宋体"/>
      <w:sz w:val="21"/>
    </w:rPr>
  </w:style>
  <w:style w:type="paragraph" w:styleId="1475" w:customStyle="1">
    <w:name w:val="封面标准号2"/>
    <w:basedOn w:val="1118"/>
    <w:uiPriority w:val="0"/>
    <w:qFormat/>
    <w:pPr>
      <w:spacing w:before="357" w:line="280" w:lineRule="exact"/>
      <w:framePr w:w="9138" w:h="1244" w:wrap="around" w:vAnchor="page" w:hAnchor="margin" w:y="2908" w:hRule="exact"/>
    </w:pPr>
    <w:rPr>
      <w:szCs w:val="28"/>
    </w:rPr>
  </w:style>
  <w:style w:type="paragraph" w:styleId="1476" w:customStyle="1">
    <w:name w:val="附录图标题"/>
    <w:next w:val="1104"/>
    <w:uiPriority w:val="0"/>
    <w:qFormat/>
    <w:pPr>
      <w:ind w:left="450" w:hanging="450"/>
      <w:jc w:val="center"/>
      <w:tabs>
        <w:tab w:val="left" w:pos="360" w:leader="none"/>
        <w:tab w:val="left" w:pos="450" w:leader="none"/>
      </w:tabs>
    </w:pPr>
    <w:rPr>
      <w:rFonts w:ascii="黑体" w:hAnsi="Times New Roman" w:eastAsia="黑体" w:cs="Times New Roman"/>
      <w:sz w:val="21"/>
      <w:szCs w:val="28"/>
      <w:lang w:val="en-US" w:eastAsia="zh-CN" w:bidi="ar-SA"/>
    </w:rPr>
  </w:style>
  <w:style w:type="paragraph" w:styleId="1477" w:customStyle="1">
    <w:name w:val="xl50"/>
    <w:basedOn w:val="674"/>
    <w:uiPriority w:val="0"/>
    <w:qFormat/>
    <w:pPr>
      <w:jc w:val="center"/>
      <w:spacing w:before="100" w:beforeAutospacing="1" w:after="100" w:afterAutospacing="1"/>
      <w:widowControl/>
      <w:pBdr>
        <w:top w:val="single" w:color="auto" w:sz="4" w:space="0"/>
      </w:pBdr>
    </w:pPr>
    <w:rPr>
      <w:rFonts w:ascii="宋体" w:hAnsi="宋体"/>
      <w:sz w:val="20"/>
      <w:szCs w:val="20"/>
    </w:rPr>
  </w:style>
  <w:style w:type="paragraph" w:styleId="1478" w:customStyle="1">
    <w:name w:val="图表脚注"/>
    <w:next w:val="1104"/>
    <w:uiPriority w:val="0"/>
    <w:qFormat/>
    <w:pPr>
      <w:ind w:left="300" w:hanging="100"/>
      <w:jc w:val="both"/>
    </w:pPr>
    <w:rPr>
      <w:rFonts w:ascii="宋体" w:hAnsi="Times New Roman" w:eastAsia="宋体" w:cs="Times New Roman"/>
      <w:sz w:val="18"/>
      <w:szCs w:val="28"/>
      <w:lang w:val="en-US" w:eastAsia="zh-CN" w:bidi="ar-SA"/>
    </w:rPr>
  </w:style>
  <w:style w:type="paragraph" w:styleId="1479" w:customStyle="1">
    <w:name w:val="实施日期"/>
    <w:basedOn w:val="1462"/>
    <w:uiPriority w:val="0"/>
    <w:qFormat/>
    <w:pPr>
      <w:jc w:val="right"/>
      <w:framePr w:hSpace="0" w:wrap="around" w:xAlign="right"/>
    </w:pPr>
  </w:style>
  <w:style w:type="paragraph" w:styleId="1480" w:customStyle="1">
    <w:name w:val="其他标准称谓"/>
    <w:uiPriority w:val="0"/>
    <w:qFormat/>
    <w:pPr>
      <w:jc w:val="both"/>
      <w:spacing w:line="240" w:lineRule="atLeast"/>
    </w:pPr>
    <w:rPr>
      <w:rFonts w:ascii="黑体" w:hAnsi="宋体" w:eastAsia="黑体" w:cs="Times New Roman"/>
      <w:sz w:val="52"/>
      <w:szCs w:val="28"/>
      <w:lang w:val="en-US" w:eastAsia="zh-CN" w:bidi="ar-SA"/>
    </w:rPr>
  </w:style>
  <w:style w:type="paragraph" w:styleId="1481" w:customStyle="1">
    <w:name w:val="封面标准英文名称"/>
    <w:uiPriority w:val="0"/>
    <w:qFormat/>
    <w:pPr>
      <w:jc w:val="center"/>
      <w:spacing w:before="370" w:line="400" w:lineRule="exact"/>
      <w:widowControl w:val="off"/>
    </w:pPr>
    <w:rPr>
      <w:rFonts w:ascii="Times New Roman" w:hAnsi="Times New Roman" w:eastAsia="宋体" w:cs="Times New Roman"/>
      <w:sz w:val="28"/>
      <w:szCs w:val="28"/>
      <w:lang w:val="en-US" w:eastAsia="zh-CN" w:bidi="ar-SA"/>
    </w:rPr>
  </w:style>
  <w:style w:type="paragraph" w:styleId="1482" w:customStyle="1">
    <w:name w:val="参考文献、索引标题"/>
    <w:basedOn w:val="1107"/>
    <w:next w:val="674"/>
    <w:uiPriority w:val="0"/>
    <w:qFormat/>
    <w:pPr>
      <w:spacing w:after="200"/>
    </w:pPr>
    <w:rPr>
      <w:sz w:val="21"/>
      <w:szCs w:val="28"/>
    </w:rPr>
  </w:style>
  <w:style w:type="paragraph" w:styleId="1483" w:customStyle="1">
    <w:name w:val="条文脚注"/>
    <w:basedOn w:val="711"/>
    <w:uiPriority w:val="0"/>
    <w:qFormat/>
    <w:pPr>
      <w:ind w:left="780" w:hanging="360"/>
      <w:spacing w:after="0"/>
    </w:pPr>
    <w:rPr>
      <w:rFonts w:ascii="宋体"/>
      <w:szCs w:val="18"/>
    </w:rPr>
  </w:style>
  <w:style w:type="paragraph" w:styleId="1484" w:customStyle="1">
    <w:name w:val="xl68"/>
    <w:basedOn w:val="674"/>
    <w:uiPriority w:val="0"/>
    <w:qFormat/>
    <w:pPr>
      <w:jc w:val="left"/>
      <w:spacing w:before="100" w:beforeAutospacing="1" w:after="100" w:afterAutospacing="1"/>
      <w:widowControl/>
    </w:pPr>
    <w:rPr>
      <w:rFonts w:ascii="宋体" w:hAnsi="宋体" w:cs="宋体"/>
      <w:color w:val="ff0000"/>
      <w:sz w:val="24"/>
      <w:szCs w:val="24"/>
    </w:rPr>
  </w:style>
  <w:style w:type="paragraph" w:styleId="1485" w:customStyle="1">
    <w:name w:val="xl69"/>
    <w:basedOn w:val="674"/>
    <w:uiPriority w:val="0"/>
    <w:qFormat/>
    <w:pPr>
      <w:jc w:val="left"/>
      <w:spacing w:before="100" w:beforeAutospacing="1" w:after="100" w:afterAutospacing="1"/>
      <w:widowControl/>
    </w:pPr>
    <w:rPr>
      <w:rFonts w:ascii="宋体" w:hAnsi="宋体" w:cs="宋体"/>
      <w:sz w:val="24"/>
      <w:szCs w:val="24"/>
    </w:rPr>
  </w:style>
  <w:style w:type="paragraph" w:styleId="1486" w:customStyle="1">
    <w:name w:val="xl70"/>
    <w:basedOn w:val="674"/>
    <w:uiPriority w:val="0"/>
    <w:qFormat/>
    <w:pPr>
      <w:jc w:val="left"/>
      <w:spacing w:before="100" w:beforeAutospacing="1" w:after="100" w:afterAutospacing="1"/>
      <w:widowControl/>
    </w:pPr>
    <w:rPr>
      <w:rFonts w:ascii="宋体" w:hAnsi="宋体" w:cs="宋体"/>
      <w:sz w:val="24"/>
      <w:szCs w:val="24"/>
    </w:rPr>
  </w:style>
  <w:style w:type="paragraph" w:styleId="1487" w:customStyle="1">
    <w:name w:val="xl71"/>
    <w:basedOn w:val="674"/>
    <w:uiPriority w:val="0"/>
    <w:qFormat/>
    <w:pPr>
      <w:jc w:val="left"/>
      <w:spacing w:before="100" w:beforeAutospacing="1" w:after="100" w:afterAutospacing="1"/>
      <w:widowControl/>
    </w:pPr>
    <w:rPr>
      <w:rFonts w:ascii="宋体" w:hAnsi="宋体" w:cs="宋体"/>
      <w:sz w:val="24"/>
      <w:szCs w:val="24"/>
    </w:rPr>
  </w:style>
  <w:style w:type="paragraph" w:styleId="1488" w:customStyle="1">
    <w:name w:val="xl7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9" w:customStyle="1">
    <w:name w:val="xl7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0" w:customStyle="1">
    <w:name w:val="xl7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1" w:customStyle="1">
    <w:name w:val="xl75"/>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2" w:customStyle="1">
    <w:name w:val="xl7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3" w:customStyle="1">
    <w:name w:val="xl77"/>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4" w:customStyle="1">
    <w:name w:val="xl7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5" w:customStyle="1">
    <w:name w:val="xl7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6" w:customStyle="1">
    <w:name w:val="xl8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7" w:customStyle="1">
    <w:name w:val="xl81"/>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8" w:customStyle="1">
    <w:name w:val="xl8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9" w:customStyle="1">
    <w:name w:val="xl83"/>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0" w:customStyle="1">
    <w:name w:val="xl8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1" w:customStyle="1">
    <w:name w:val="xl8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xl8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3" w:customStyle="1">
    <w:name w:val="xl8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04" w:customStyle="1">
    <w:name w:val="xl8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5" w:customStyle="1">
    <w:name w:val="xl8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6" w:customStyle="1">
    <w:name w:val="xl9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7" w:customStyle="1">
    <w:name w:val="xl91"/>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8" w:customStyle="1">
    <w:name w:val="样式 标题 2 + 黑色"/>
    <w:basedOn w:val="676"/>
    <w:uiPriority w:val="0"/>
    <w:qFormat/>
    <w:pPr>
      <w:ind w:left="720"/>
      <w:jc w:val="center"/>
      <w:spacing w:before="0" w:after="0"/>
      <w:tabs>
        <w:tab w:val="left" w:pos="7475" w:leader="none"/>
      </w:tabs>
    </w:pPr>
    <w:rPr>
      <w:rFonts w:ascii="宋体" w:hAnsi="宋体" w:eastAsia="仿宋" w:cs="Times New Roman"/>
      <w:b/>
      <w:color w:val="000000"/>
      <w:sz w:val="21"/>
      <w:szCs w:val="21"/>
    </w:rPr>
  </w:style>
  <w:style w:type="paragraph" w:styleId="1509" w:customStyle="1">
    <w:name w:val="章"/>
    <w:basedOn w:val="674"/>
    <w:uiPriority w:val="0"/>
    <w:qFormat/>
    <w:pPr>
      <w:jc w:val="left"/>
      <w:outlineLvl w:val="0"/>
    </w:pPr>
    <w:rPr>
      <w:rFonts w:ascii="Times New Roman" w:hAnsi="Times New Roman"/>
      <w:b/>
      <w:bCs/>
      <w:sz w:val="28"/>
      <w:szCs w:val="24"/>
    </w:rPr>
  </w:style>
  <w:style w:type="paragraph" w:styleId="1510" w:customStyle="1">
    <w:name w:val="样式 标题 1 + 宋体 黑色 段前: 18 磅"/>
    <w:basedOn w:val="675"/>
    <w:uiPriority w:val="0"/>
    <w:qFormat/>
    <w:pPr>
      <w:ind w:left="550" w:hanging="550"/>
      <w:jc w:val="center"/>
      <w:spacing w:before="240" w:after="240"/>
    </w:pPr>
    <w:rPr>
      <w:rFonts w:ascii="仿宋" w:hAnsi="宋体" w:eastAsia="仿宋" w:cs="宋体"/>
      <w:b/>
      <w:bCs/>
      <w:color w:val="000000"/>
      <w:sz w:val="30"/>
      <w:szCs w:val="28"/>
    </w:rPr>
  </w:style>
  <w:style w:type="paragraph" w:styleId="1511" w:customStyle="1">
    <w:name w:val="样式 标题 1 + 宋体 黑色 左侧:  0 厘米 首行缩进:  0 厘米 段前: 18 磅"/>
    <w:basedOn w:val="675"/>
    <w:uiPriority w:val="0"/>
    <w:qFormat/>
    <w:pPr>
      <w:ind w:left="550" w:hanging="550"/>
      <w:jc w:val="center"/>
      <w:spacing w:before="240" w:after="240" w:line="360" w:lineRule="auto"/>
    </w:pPr>
    <w:rPr>
      <w:rFonts w:ascii="仿宋" w:hAnsi="宋体" w:eastAsia="仿宋" w:cs="Times New Roman"/>
      <w:b/>
      <w:bCs/>
      <w:color w:val="000000"/>
      <w:sz w:val="30"/>
      <w:szCs w:val="28"/>
    </w:rPr>
  </w:style>
  <w:style w:type="paragraph" w:styleId="1512" w:customStyle="1">
    <w:name w:val="样式 标题 1 + 宋体 黑色 左侧:  0 厘米 首行缩进:  0 厘米 段前: 16 磅 段后: 16 磅"/>
    <w:basedOn w:val="675"/>
    <w:uiPriority w:val="0"/>
    <w:qFormat/>
    <w:pPr>
      <w:spacing w:before="320" w:after="320"/>
    </w:pPr>
    <w:rPr>
      <w:rFonts w:ascii="仿宋" w:hAnsi="宋体" w:eastAsia="仿宋" w:cs="宋体"/>
      <w:b/>
      <w:bCs/>
      <w:color w:val="000000"/>
      <w:sz w:val="36"/>
      <w:szCs w:val="30"/>
    </w:rPr>
  </w:style>
  <w:style w:type="paragraph" w:styleId="1513" w:customStyle="1">
    <w:name w:val="样式 标题 1 + 宋体 黑色 左侧:  0 厘米 首行缩进:  0 厘米"/>
    <w:basedOn w:val="675"/>
    <w:uiPriority w:val="0"/>
    <w:qFormat/>
    <w:pPr>
      <w:jc w:val="center"/>
      <w:spacing w:before="120" w:after="120"/>
    </w:pPr>
    <w:rPr>
      <w:rFonts w:ascii="仿宋" w:hAnsi="宋体" w:eastAsia="仿宋" w:cs="Times New Roman"/>
      <w:b/>
      <w:color w:val="000000"/>
      <w:sz w:val="30"/>
      <w:szCs w:val="32"/>
    </w:rPr>
  </w:style>
  <w:style w:type="paragraph" w:styleId="1514" w:customStyle="1">
    <w:name w:val="1"/>
    <w:basedOn w:val="674"/>
    <w:next w:val="713"/>
    <w:uiPriority w:val="0"/>
    <w:qFormat/>
    <w:pPr>
      <w:ind w:firstLine="561"/>
      <w:spacing w:before="360"/>
    </w:pPr>
    <w:rPr>
      <w:rFonts w:ascii="宋体" w:hAnsi="宋体"/>
      <w:sz w:val="28"/>
      <w:szCs w:val="20"/>
    </w:rPr>
  </w:style>
  <w:style w:type="character" w:styleId="1515" w:customStyle="1">
    <w:name w:val="样式 标题 2 + 黑色 Char"/>
    <w:uiPriority w:val="0"/>
    <w:qFormat/>
    <w:rPr>
      <w:rFonts w:ascii="宋体" w:hAnsi="宋体" w:eastAsia="宋体" w:cs="Times New Roman"/>
      <w:color w:val="000000"/>
      <w:sz w:val="30"/>
      <w:szCs w:val="30"/>
      <w:lang w:val="en-US" w:eastAsia="zh-CN" w:bidi="ar-SA"/>
    </w:rPr>
  </w:style>
  <w:style w:type="paragraph" w:styleId="1516" w:customStyle="1">
    <w:name w:val="Char2"/>
    <w:basedOn w:val="674"/>
    <w:uiPriority w:val="0"/>
    <w:qFormat/>
    <w:rPr>
      <w:rFonts w:ascii="Times New Roman" w:hAnsi="Times New Roman"/>
      <w:sz w:val="28"/>
      <w:szCs w:val="20"/>
    </w:rPr>
  </w:style>
  <w:style w:type="character" w:styleId="1517" w:customStyle="1">
    <w:name w:val="样式4 Char"/>
    <w:link w:val="1233"/>
    <w:uiPriority w:val="0"/>
    <w:qFormat/>
    <w:rPr>
      <w:rFonts w:ascii="Calibri" w:hAnsi="Calibri"/>
      <w:b/>
      <w:bCs/>
      <w:sz w:val="28"/>
      <w:szCs w:val="28"/>
    </w:rPr>
  </w:style>
  <w:style w:type="paragraph" w:styleId="1518" w:customStyle="1">
    <w:name w:val="序号标题"/>
    <w:basedOn w:val="1096"/>
    <w:link w:val="1520"/>
    <w:uiPriority w:val="0"/>
    <w:qFormat/>
    <w:pPr>
      <w:numPr>
        <w:ilvl w:val="0"/>
        <w:numId w:val="6"/>
      </w:numPr>
      <w:ind w:left="561" w:firstLine="0"/>
    </w:pPr>
    <w:rPr>
      <w:rFonts w:ascii="仿宋" w:hAnsi="仿宋" w:eastAsia="仿宋"/>
      <w:sz w:val="28"/>
      <w:szCs w:val="28"/>
    </w:rPr>
  </w:style>
  <w:style w:type="character" w:styleId="1519" w:customStyle="1">
    <w:name w:val="列表段落 字符"/>
    <w:basedOn w:val="684"/>
    <w:link w:val="1096"/>
    <w:uiPriority w:val="34"/>
    <w:qFormat/>
    <w:rPr>
      <w:rFonts w:ascii="Calibri" w:hAnsi="Calibri"/>
      <w:sz w:val="21"/>
      <w:szCs w:val="22"/>
    </w:rPr>
  </w:style>
  <w:style w:type="character" w:styleId="1520" w:customStyle="1">
    <w:name w:val="序号标题 Char"/>
    <w:link w:val="1518"/>
    <w:uiPriority w:val="0"/>
    <w:qFormat/>
    <w:rPr>
      <w:rFonts w:ascii="仿宋" w:hAnsi="仿宋" w:eastAsia="仿宋"/>
      <w:sz w:val="28"/>
      <w:szCs w:val="28"/>
    </w:rPr>
  </w:style>
  <w:style w:type="character" w:styleId="1521" w:customStyle="1">
    <w:name w:val="页眉 Char1"/>
    <w:uiPriority w:val="0"/>
    <w:qFormat/>
    <w:rPr>
      <w:sz w:val="18"/>
      <w:szCs w:val="18"/>
    </w:rPr>
  </w:style>
  <w:style w:type="character" w:styleId="1522" w:customStyle="1">
    <w:name w:val="正文文本 字符1"/>
    <w:basedOn w:val="684"/>
    <w:link w:val="693"/>
    <w:uiPriority w:val="0"/>
    <w:qFormat/>
    <w:rPr>
      <w:rFonts w:ascii="宋体" w:hAnsi="宋体"/>
      <w:sz w:val="24"/>
      <w:szCs w:val="24"/>
    </w:rPr>
  </w:style>
  <w:style w:type="numbering" w:styleId="24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管永硕</cp:lastModifiedBy>
  <cp:revision>22</cp:revision>
  <dcterms:created xsi:type="dcterms:W3CDTF">2026-07-10T11:26:00Z</dcterms:created>
  <dcterms:modified xsi:type="dcterms:W3CDTF">2026-08-03T09:25:56Z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601580E1903C43F19ACE95E5274F9A91_13</vt:lpwstr>
  </property>
  <property fmtid="{D5CDD505-2E9C-101B-9397-08002B2CF9AE}" pid="4" name="KSOTemplateDocerSaveRecord">
    <vt:lpwstr>eyJoZGlkIjoiNWI0MmI1M2NjMDdiOGRlNDFkZDljMzFkYzA2ZmVlN2EiLCJ1c2VySWQiOiIyNzA1NTgyNDQifQ==</vt:lpwstr>
  </property>
</Properties>
</file>