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4"/>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20823272"/>
      <w:r/>
      <w:bookmarkStart w:id="2" w:name="_Toc523127445"/>
      <w:r/>
      <w:bookmarkStart w:id="3" w:name="_Toc16938516"/>
      <w:r/>
      <w:bookmarkStart w:id="4" w:name="_Toc479757206"/>
      <w:r/>
      <w:bookmarkStart w:id="5" w:name="_Toc513029200"/>
      <w:r>
        <w:rPr>
          <w:rFonts w:hint="eastAsia" w:ascii="Arial" w:hAnsi="Arial" w:eastAsia="黑体"/>
          <w:b/>
          <w:bCs/>
          <w:color w:val="000000"/>
          <w:sz w:val="84"/>
          <w:szCs w:val="24"/>
          <w:highlight w:val="none"/>
        </w:rPr>
      </w:r>
      <w:r/>
    </w:p>
    <w:p>
      <w:pPr>
        <w:pStyle w:val="1033"/>
        <w:rPr>
          <w:rFonts w:hint="eastAsia"/>
          <w:color w:val="000000"/>
          <w:highlight w:val="none"/>
        </w:rPr>
      </w:pPr>
      <w:r>
        <w:rPr>
          <w:rFonts w:hint="eastAsia"/>
          <w:color w:val="000000"/>
          <w:highlight w:val="none"/>
        </w:rPr>
      </w:r>
      <w:r/>
    </w:p>
    <w:p>
      <w:pPr>
        <w:pStyle w:val="1050"/>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954"/>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项目名称：南京鼓楼医院数据中心综合运维监控平台</w:t>
      </w:r>
      <w:r>
        <w:rPr>
          <w:rFonts w:hint="eastAsia" w:ascii="Times New Roman" w:hAnsi="Times New Roman" w:eastAsia="宋体" w:cs="Times New Roman"/>
          <w:b/>
          <w:bCs w:val="0"/>
          <w:color w:val="000000"/>
          <w:sz w:val="32"/>
          <w:szCs w:val="32"/>
          <w:highlight w:val="none"/>
          <w:u w:val="none"/>
          <w:lang w:val="en-US" w:eastAsia="zh-CN"/>
        </w:rPr>
        <w:t xml:space="preserve"> </w:t>
      </w:r>
      <w:r>
        <w:rPr>
          <w:rFonts w:eastAsia="宋体" w:cs="Times New Roman"/>
          <w:b/>
          <w:color w:val="000000"/>
          <w:sz w:val="30"/>
          <w:szCs w:val="30"/>
          <w:highlight w:val="none"/>
          <w:u w:val="single"/>
          <w:lang w:val="en-US" w:eastAsia="zh-CN"/>
        </w:rPr>
      </w:r>
      <w:r/>
    </w:p>
    <w:p>
      <w:pPr>
        <w:pStyle w:val="954"/>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项目编号：JSZC-320100-JZCG-G2026-0248</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954"/>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9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50"/>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954"/>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2026年8月</w:t>
      </w:r>
      <w:r>
        <w:rPr>
          <w:rFonts w:hint="eastAsia" w:ascii="Times New Roman" w:hAnsi="Times New Roman" w:eastAsia="宋体" w:cs="Times New Roman"/>
          <w:b/>
          <w:bCs w:val="0"/>
          <w:color w:val="000000"/>
          <w:sz w:val="32"/>
          <w:szCs w:val="32"/>
          <w:highlight w:val="none"/>
          <w:u w:val="none"/>
          <w:lang w:val="en-US" w:eastAsia="zh-CN"/>
        </w:rPr>
      </w:r>
      <w:r/>
    </w:p>
    <w:p>
      <w:pPr>
        <w:pStyle w:val="954"/>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54"/>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54"/>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1033"/>
        <w:rPr>
          <w:rFonts w:hint="eastAsia"/>
          <w:color w:val="000000"/>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pPr>
      <w:r>
        <w:rPr>
          <w:rFonts w:hint="eastAsia"/>
          <w:color w:val="000000"/>
          <w:highlight w:val="none"/>
        </w:rPr>
      </w:r>
      <w:r/>
    </w:p>
    <w:p>
      <w:pPr>
        <w:pStyle w:val="954"/>
        <w:rPr>
          <w:rFonts w:hint="eastAsia"/>
        </w:rPr>
      </w:pPr>
      <w:r>
        <w:rPr>
          <w:rFonts w:hint="eastAsia"/>
        </w:rPr>
      </w:r>
      <w:r/>
    </w:p>
    <w:p>
      <w:pPr>
        <w:pStyle w:val="954"/>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954"/>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95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95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95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95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17</w:t>
      </w:r>
      <w:r>
        <w:rPr>
          <w:rFonts w:hint="eastAsia" w:ascii="黑体" w:hAnsi="宋体" w:eastAsia="黑体" w:cs="Times New Roman"/>
          <w:color w:val="000000"/>
          <w:sz w:val="36"/>
          <w:szCs w:val="21"/>
          <w:highlight w:val="none"/>
        </w:rPr>
      </w:r>
      <w:r/>
    </w:p>
    <w:p>
      <w:pPr>
        <w:pStyle w:val="95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23</w:t>
      </w:r>
      <w:r>
        <w:rPr>
          <w:rFonts w:hint="eastAsia" w:ascii="黑体" w:hAnsi="宋体" w:eastAsia="黑体" w:cs="Times New Roman"/>
          <w:color w:val="000000"/>
          <w:sz w:val="36"/>
          <w:szCs w:val="21"/>
          <w:highlight w:val="none"/>
        </w:rPr>
      </w:r>
      <w:r/>
    </w:p>
    <w:p>
      <w:pPr>
        <w:pStyle w:val="95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27</w:t>
      </w:r>
      <w:r>
        <w:rPr>
          <w:rFonts w:hint="eastAsia" w:ascii="黑体" w:hAnsi="宋体" w:eastAsia="黑体" w:cs="Times New Roman"/>
          <w:color w:val="000000"/>
          <w:sz w:val="36"/>
          <w:szCs w:val="21"/>
          <w:highlight w:val="none"/>
        </w:rPr>
      </w:r>
      <w:r/>
    </w:p>
    <w:p>
      <w:pPr>
        <w:pStyle w:val="954"/>
        <w:rPr>
          <w:rFonts w:hint="eastAsia"/>
          <w:color w:val="000000"/>
          <w:highlight w:val="none"/>
        </w:rPr>
      </w:pPr>
      <w:r>
        <w:rPr>
          <w:rFonts w:hint="eastAsia"/>
          <w:color w:val="000000"/>
          <w:highlight w:val="none"/>
        </w:rPr>
      </w:r>
      <w:r/>
    </w:p>
    <w:p>
      <w:pPr>
        <w:pStyle w:val="954"/>
        <w:rPr>
          <w:rFonts w:hint="eastAsia"/>
          <w:color w:val="000000"/>
          <w:highlight w:val="none"/>
        </w:rPr>
      </w:pPr>
      <w:r>
        <w:rPr>
          <w:rFonts w:hint="eastAsia"/>
          <w:color w:val="000000"/>
          <w:highlight w:val="none"/>
        </w:rPr>
      </w:r>
      <w:r/>
    </w:p>
    <w:p>
      <w:pPr>
        <w:pStyle w:val="954"/>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95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28359079"/>
      <w:r/>
      <w:bookmarkStart w:id="7" w:name="_Toc35393790"/>
      <w:r/>
      <w:bookmarkStart w:id="8" w:name="_Toc35393621"/>
      <w:r/>
      <w:bookmarkStart w:id="9" w:name="_Toc38985263"/>
      <w:r/>
      <w:bookmarkStart w:id="10" w:name="_Toc28359002"/>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954"/>
        <w:ind w:firstLine="480"/>
        <w:pageBreakBefore w:val="0"/>
        <w:spacing w:line="240" w:lineRule="auto"/>
        <w:widowControl w:val="off"/>
        <w:rPr>
          <w:rFonts w:ascii="宋体" w:hAnsi="宋体"/>
          <w:color w:val="000000"/>
          <w:sz w:val="24"/>
          <w:szCs w:val="24"/>
          <w:highlight w:val="none"/>
        </w:rPr>
      </w:pPr>
      <w:r/>
      <w:bookmarkEnd w:id="11"/>
      <w:r>
        <w:rPr>
          <w:rFonts w:hint="eastAsia" w:ascii="宋体" w:hAnsi="宋体"/>
          <w:color w:val="000000"/>
          <w:sz w:val="24"/>
          <w:szCs w:val="24"/>
          <w:highlight w:val="none"/>
        </w:rPr>
        <w:t xml:space="preserve">1.项目编号：JSZC-320100-JZCG-G2026-0248</w:t>
      </w:r>
      <w:r>
        <w:rPr>
          <w:rFonts w:ascii="宋体" w:hAnsi="宋体"/>
          <w:color w:val="000000"/>
          <w:sz w:val="24"/>
          <w:szCs w:val="24"/>
          <w:highlight w:val="none"/>
        </w:rPr>
      </w:r>
      <w:r/>
    </w:p>
    <w:p>
      <w:pPr>
        <w:pStyle w:val="954"/>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lang w:bidi="ar"/>
        </w:rPr>
        <w:t xml:space="preserve">南京鼓楼医院数据中心运维监控平台</w:t>
      </w:r>
      <w:r>
        <w:rPr>
          <w:rFonts w:hint="eastAsia" w:ascii="宋体" w:hAnsi="宋体" w:eastAsia="宋体"/>
          <w:color w:val="000000"/>
          <w:sz w:val="24"/>
          <w:szCs w:val="24"/>
          <w:highlight w:val="none"/>
          <w:lang w:eastAsia="zh-CN"/>
        </w:rPr>
      </w:r>
      <w:r/>
    </w:p>
    <w:p>
      <w:pPr>
        <w:pStyle w:val="954"/>
        <w:ind w:firstLine="48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25万元</w:t>
      </w:r>
      <w:r>
        <w:rPr>
          <w:rFonts w:ascii="宋体" w:hAnsi="宋体"/>
          <w:color w:val="000000"/>
          <w:sz w:val="24"/>
          <w:szCs w:val="24"/>
          <w:highlight w:val="none"/>
        </w:rPr>
      </w:r>
      <w:r/>
    </w:p>
    <w:p>
      <w:pPr>
        <w:pStyle w:val="954"/>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22万元</w:t>
      </w:r>
      <w:r>
        <w:rPr>
          <w:rFonts w:hint="eastAsia" w:ascii="宋体" w:hAnsi="宋体" w:eastAsia="宋体" w:cs="Times New Roman"/>
          <w:color w:val="000000"/>
          <w:sz w:val="24"/>
          <w:szCs w:val="24"/>
          <w:highlight w:val="none"/>
          <w:lang w:val="en-US" w:eastAsia="zh-CN"/>
        </w:rPr>
      </w:r>
      <w:r/>
    </w:p>
    <w:p>
      <w:pPr>
        <w:pStyle w:val="954"/>
        <w:ind w:firstLine="480"/>
        <w:pageBreakBefore w:val="0"/>
        <w:spacing w:line="24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为确保医院数据中心的稳定、高效和安全运行，医院需建设数据中心运维监控平台，实现集中化监控数据中心各类设备、规范化管理设备生命周期、流程化处理各类告警事件，提高工作效率，保障数据中心运维质量。</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954"/>
        <w:ind w:firstLine="48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ascii="宋体" w:hAnsi="宋体" w:cs="宋体"/>
          <w:color w:val="000000"/>
          <w:sz w:val="24"/>
          <w:szCs w:val="24"/>
        </w:rPr>
        <w:t xml:space="preserve">合同签订后</w:t>
      </w:r>
      <w:r>
        <w:rPr>
          <w:rFonts w:hint="eastAsia" w:ascii="宋体" w:hAnsi="宋体"/>
          <w:color w:val="000000"/>
          <w:sz w:val="24"/>
          <w:szCs w:val="24"/>
        </w:rPr>
        <w:t xml:space="preserve">60</w:t>
      </w:r>
      <w:r>
        <w:rPr>
          <w:rFonts w:ascii="宋体" w:hAnsi="宋体" w:cs="宋体"/>
          <w:color w:val="000000"/>
          <w:sz w:val="24"/>
          <w:szCs w:val="24"/>
        </w:rPr>
        <w:t xml:space="preserve">天内</w:t>
      </w:r>
      <w:r>
        <w:rPr>
          <w:rFonts w:hint="eastAsia" w:ascii="宋体" w:hAnsi="宋体" w:cs="宋体"/>
          <w:color w:val="000000"/>
          <w:sz w:val="24"/>
          <w:szCs w:val="24"/>
        </w:rPr>
        <w:t xml:space="preserve">完成系统开发及交付整体验收工作</w:t>
      </w:r>
      <w:r>
        <w:rPr>
          <w:rFonts w:hint="eastAsia" w:ascii="宋体" w:hAnsi="宋体" w:cs="宋体"/>
          <w:color w:val="000000"/>
          <w:sz w:val="24"/>
          <w:szCs w:val="24"/>
          <w:highlight w:val="none"/>
          <w:lang w:eastAsia="zh-CN"/>
        </w:rPr>
      </w:r>
      <w:r/>
    </w:p>
    <w:p>
      <w:pPr>
        <w:pStyle w:val="954"/>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954"/>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ascii="宋体" w:hAnsi="宋体" w:eastAsia="宋体" w:cs="宋体"/>
          <w:color w:val="000000"/>
          <w:sz w:val="24"/>
          <w:szCs w:val="24"/>
          <w:highlight w:val="none"/>
          <w:lang w:val="en-US" w:eastAsia="zh-CN"/>
        </w:rPr>
      </w:r>
      <w:r/>
    </w:p>
    <w:p>
      <w:pPr>
        <w:pStyle w:val="954"/>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95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38985264"/>
      <w:r/>
      <w:bookmarkStart w:id="13" w:name="_Toc28359003"/>
      <w:r/>
      <w:bookmarkStart w:id="14" w:name="_Toc28359080"/>
      <w:r/>
      <w:bookmarkStart w:id="15" w:name="_Toc35393791"/>
      <w:r/>
      <w:bookmarkStart w:id="16" w:name="_Toc35393622"/>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954"/>
        <w:ind w:firstLine="480"/>
        <w:pageBreakBefore w:val="0"/>
        <w:spacing w:line="252" w:lineRule="auto"/>
        <w:widowControl w:val="off"/>
        <w:rPr>
          <w:rFonts w:hint="eastAsia" w:ascii="宋体" w:hAnsi="宋体"/>
          <w:color w:val="000000"/>
          <w:sz w:val="24"/>
          <w:szCs w:val="24"/>
          <w:highlight w:val="none"/>
        </w:rPr>
      </w:pPr>
      <w:r/>
      <w:bookmarkStart w:id="17" w:name="_Toc35393623"/>
      <w:r/>
      <w:bookmarkStart w:id="18" w:name="_Toc28359081"/>
      <w:r/>
      <w:bookmarkStart w:id="19" w:name="_Toc28359004"/>
      <w:r/>
      <w:bookmarkStart w:id="20" w:name="_Toc35393792"/>
      <w:r/>
      <w:bookmarkStart w:id="21"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54"/>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54"/>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954"/>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s="Times New Roman"/>
          <w:color w:val="000000"/>
          <w:sz w:val="24"/>
          <w:szCs w:val="24"/>
          <w:highlight w:val="none"/>
          <w:lang w:val="zh-CN" w:eastAsia="zh-CN"/>
        </w:rPr>
      </w:r>
      <w:r/>
    </w:p>
    <w:p>
      <w:pPr>
        <w:pStyle w:val="954"/>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95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954"/>
        <w:ind w:firstLine="480"/>
        <w:pageBreakBefore w:val="0"/>
        <w:spacing w:line="240" w:lineRule="auto"/>
        <w:widowControl w:val="off"/>
        <w:rPr>
          <w:rFonts w:ascii="宋体" w:hAnsi="宋体" w:cs="宋体"/>
          <w:color w:val="000000"/>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954"/>
        <w:ind w:firstLine="480"/>
        <w:pageBreakBefore w:val="0"/>
        <w:spacing w:line="240"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95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954"/>
        <w:ind w:firstLine="480"/>
        <w:pageBreakBefore w:val="0"/>
        <w:spacing w:line="240" w:lineRule="auto"/>
        <w:widowControl w:val="off"/>
        <w:rPr>
          <w:rFonts w:hint="eastAsia" w:ascii="宋体" w:hAnsi="宋体" w:eastAsia="宋体"/>
          <w:bCs/>
          <w:color w:val="000000"/>
          <w:sz w:val="24"/>
          <w:szCs w:val="24"/>
          <w:highlight w:val="none"/>
          <w:u w:val="single"/>
          <w:lang w:val="en-US" w:eastAsia="zh-CN"/>
        </w:rPr>
      </w:pPr>
      <w:r/>
      <w:bookmarkStart w:id="27" w:name="_Toc28359084"/>
      <w:r/>
      <w:bookmarkStart w:id="28" w:name="_Toc28359007"/>
      <w:r/>
      <w:bookmarkStart w:id="29" w:name="_Toc35393794"/>
      <w:r/>
      <w:bookmarkStart w:id="30" w:name="_Toc35393625"/>
      <w:r/>
      <w:bookmarkStart w:id="31" w:name="_Toc38985267"/>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Times New Roman" w:hAnsi="Times New Roman" w:eastAsia="宋体" w:cs="Times New Roman"/>
          <w:b/>
          <w:bCs/>
          <w:color w:val="000000"/>
          <w:sz w:val="24"/>
          <w:szCs w:val="24"/>
          <w:highlight w:val="none"/>
          <w:u w:val="none"/>
          <w:lang w:val="en-US" w:eastAsia="zh-CN"/>
        </w:rPr>
        <w:t xml:space="preserve">20</w:t>
      </w:r>
      <w:r>
        <w:rPr>
          <w:rFonts w:hint="eastAsia" w:ascii="Times New Roman" w:hAnsi="Times New Roman" w:eastAsia="宋体" w:cs="Times New Roman"/>
          <w:b/>
          <w:bCs/>
          <w:color w:val="000000"/>
          <w:sz w:val="24"/>
          <w:szCs w:val="24"/>
          <w:highlight w:val="none"/>
          <w:u w:val="none"/>
          <w:lang w:val="en-US" w:eastAsia="zh-CN"/>
        </w:rPr>
        <w:t xml:space="preserve">26</w:t>
      </w:r>
      <w:r>
        <w:rPr>
          <w:rFonts w:hint="eastAsia" w:ascii="Times New Roman" w:hAnsi="Times New Roman" w:eastAsia="Times New Roman" w:cs="Times New Roman"/>
          <w:b/>
          <w:bCs/>
          <w:color w:val="000000"/>
          <w:sz w:val="24"/>
          <w:szCs w:val="24"/>
          <w:highlight w:val="none"/>
          <w:u w:val="none"/>
        </w:rPr>
        <w:t xml:space="preserve">年8</w:t>
      </w:r>
      <w:r>
        <w:rPr>
          <w:rFonts w:hint="eastAsia" w:ascii="Times New Roman" w:hAnsi="Times New Roman" w:eastAsia="Times New Roman" w:cs="Times New Roman"/>
          <w:b/>
          <w:bCs/>
          <w:color w:val="000000"/>
          <w:sz w:val="24"/>
          <w:szCs w:val="24"/>
          <w:highlight w:val="none"/>
          <w:u w:val="none"/>
        </w:rPr>
        <w:t xml:space="preserve">月28</w:t>
      </w:r>
      <w:r>
        <w:rPr>
          <w:rFonts w:hint="eastAsia" w:ascii="Times New Roman" w:hAnsi="Times New Roman" w:eastAsia="Times New Roman" w:cs="Times New Roman"/>
          <w:b/>
          <w:bCs/>
          <w:color w:val="000000"/>
          <w:sz w:val="24"/>
          <w:szCs w:val="24"/>
          <w:highlight w:val="none"/>
          <w:u w:val="none"/>
        </w:rPr>
        <w:t xml:space="preserve">日</w:t>
      </w:r>
      <w:r>
        <w:rPr>
          <w:rFonts w:hint="eastAsia" w:ascii="Times New Roman" w:hAnsi="Times New Roman" w:eastAsia="宋体" w:cs="Times New Roman"/>
          <w:b/>
          <w:bCs/>
          <w:color w:val="000000"/>
          <w:sz w:val="24"/>
          <w:szCs w:val="24"/>
          <w:highlight w:val="none"/>
          <w:u w:val="none"/>
          <w:lang w:val="en-US" w:eastAsia="zh-CN"/>
        </w:rPr>
        <w:t xml:space="preserve">14</w:t>
      </w:r>
      <w:r>
        <w:rPr>
          <w:rFonts w:hint="eastAsia" w:ascii="Times New Roman" w:hAnsi="Times New Roman" w:eastAsia="Times New Roman" w:cs="Times New Roman"/>
          <w:b/>
          <w:bCs/>
          <w:color w:val="000000"/>
          <w:sz w:val="24"/>
          <w:szCs w:val="24"/>
          <w:highlight w:val="none"/>
          <w:u w:val="none"/>
          <w:lang w:val="en-US" w:eastAsia="zh-CN"/>
        </w:rPr>
        <w:t xml:space="preserve">时00</w:t>
      </w:r>
      <w:r>
        <w:rPr>
          <w:rFonts w:hint="eastAsia" w:ascii="Times New Roman" w:hAnsi="Times New Roman" w:eastAsia="Times New Roman" w:cs="Times New Roman"/>
          <w:b/>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954"/>
        <w:ind w:firstLine="480"/>
        <w:pageBreakBefore w:val="0"/>
        <w:spacing w:line="240"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95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954"/>
        <w:ind w:firstLine="480"/>
        <w:pageBreakBefore w:val="0"/>
        <w:spacing w:line="240" w:lineRule="auto"/>
        <w:widowControl w:val="off"/>
        <w:rPr>
          <w:rFonts w:hint="eastAsia" w:ascii="宋体" w:hAnsi="宋体" w:cs="宋体"/>
          <w:color w:val="000000"/>
          <w:sz w:val="24"/>
          <w:szCs w:val="24"/>
          <w:highlight w:val="none"/>
        </w:rPr>
      </w:pPr>
      <w:r/>
      <w:bookmarkStart w:id="32" w:name="_Toc35393795"/>
      <w:r/>
      <w:bookmarkStart w:id="33" w:name="_Toc38985268"/>
      <w:r/>
      <w:bookmarkStart w:id="34" w:name="_Toc35393626"/>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95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954"/>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35393796"/>
      <w:r/>
      <w:bookmarkStart w:id="36" w:name="_Toc28359085"/>
      <w:r/>
      <w:bookmarkStart w:id="37" w:name="_Toc38985269"/>
      <w:r/>
      <w:bookmarkStart w:id="38" w:name="_Toc28359008"/>
      <w:r/>
      <w:bookmarkStart w:id="39" w:name="_Toc35393627"/>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954"/>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954"/>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954"/>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954"/>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954"/>
        <w:ind w:firstLine="480"/>
        <w:tabs>
          <w:tab w:val="left" w:pos="900" w:leader="none"/>
        </w:tabs>
        <w:rPr>
          <w:rFonts w:hint="eastAsia" w:ascii="宋体" w:hAnsi="宋体"/>
          <w:color w:val="000000"/>
          <w:sz w:val="24"/>
        </w:rPr>
      </w:pPr>
      <w:r>
        <w:rPr>
          <w:rFonts w:hint="eastAsia" w:ascii="宋体" w:hAnsi="宋体"/>
          <w:color w:val="000000"/>
          <w:sz w:val="24"/>
        </w:rPr>
        <w:t xml:space="preserve">采购人《质疑函》收件人：张</w:t>
      </w:r>
      <w:r>
        <w:rPr>
          <w:rFonts w:ascii="宋体" w:hAnsi="宋体"/>
          <w:color w:val="000000"/>
          <w:sz w:val="24"/>
        </w:rPr>
        <w:t xml:space="preserve">老师</w:t>
      </w:r>
      <w:r>
        <w:rPr>
          <w:rFonts w:hint="eastAsia" w:ascii="宋体" w:hAnsi="宋体"/>
          <w:color w:val="000000"/>
          <w:sz w:val="24"/>
        </w:rPr>
        <w:t xml:space="preserve">，收件地址：</w:t>
      </w:r>
      <w:r>
        <w:rPr>
          <w:rFonts w:hint="eastAsia" w:ascii="宋体" w:hAnsi="宋体" w:cs="宋体"/>
          <w:color w:val="000000"/>
          <w:sz w:val="24"/>
          <w:szCs w:val="24"/>
        </w:rPr>
        <w:t xml:space="preserve">南京市玄武区双龙巷5号4楼410（南京鼓楼医院医用物资采购中心），</w:t>
      </w:r>
      <w:r>
        <w:rPr>
          <w:rFonts w:hint="eastAsia" w:ascii="宋体" w:hAnsi="宋体"/>
          <w:color w:val="000000"/>
          <w:sz w:val="24"/>
        </w:rPr>
        <w:t xml:space="preserve">联系电话：</w:t>
      </w:r>
      <w:r>
        <w:rPr>
          <w:rFonts w:ascii="宋体" w:hAnsi="宋体"/>
          <w:color w:val="000000"/>
          <w:sz w:val="24"/>
        </w:rPr>
        <w:t xml:space="preserve">025-83105006</w:t>
      </w:r>
      <w:r>
        <w:rPr>
          <w:rFonts w:hint="eastAsia" w:ascii="宋体" w:hAnsi="宋体"/>
          <w:color w:val="000000"/>
          <w:sz w:val="24"/>
        </w:rPr>
        <w:t xml:space="preserve">。</w:t>
      </w:r>
      <w:r>
        <w:rPr>
          <w:rFonts w:hint="eastAsia" w:ascii="宋体" w:hAnsi="宋体"/>
          <w:color w:val="000000"/>
          <w:sz w:val="24"/>
        </w:rPr>
      </w:r>
      <w:r/>
    </w:p>
    <w:p>
      <w:pPr>
        <w:pStyle w:val="954"/>
        <w:ind w:firstLine="480"/>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957"/>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954"/>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954"/>
        <w:ind w:firstLine="480"/>
        <w:rPr>
          <w:rFonts w:ascii="宋体" w:hAnsi="宋体"/>
          <w:color w:val="000000"/>
          <w:sz w:val="24"/>
          <w:szCs w:val="24"/>
        </w:rPr>
      </w:pPr>
      <w:r/>
      <w:bookmarkStart w:id="40" w:name="_Toc28359009"/>
      <w:r/>
      <w:bookmarkStart w:id="41" w:name="_Toc28359086"/>
      <w:r>
        <w:rPr>
          <w:rFonts w:hint="eastAsia" w:ascii="宋体" w:hAnsi="宋体"/>
          <w:color w:val="000000"/>
          <w:sz w:val="24"/>
          <w:szCs w:val="24"/>
        </w:rPr>
        <w:t xml:space="preserve">名  称：南京鼓楼医院          </w:t>
      </w:r>
      <w:r>
        <w:rPr>
          <w:rFonts w:ascii="宋体" w:hAnsi="宋体"/>
          <w:color w:val="000000"/>
          <w:sz w:val="24"/>
          <w:szCs w:val="24"/>
        </w:rPr>
      </w:r>
      <w:r/>
    </w:p>
    <w:p>
      <w:pPr>
        <w:pStyle w:val="954"/>
        <w:ind w:firstLine="480"/>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南京市鼓楼区中山路321号</w:t>
      </w:r>
      <w:r>
        <w:rPr>
          <w:rFonts w:hint="eastAsia" w:ascii="宋体" w:hAnsi="宋体"/>
          <w:color w:val="000000"/>
          <w:sz w:val="24"/>
          <w:szCs w:val="24"/>
        </w:rPr>
        <w:t xml:space="preserve">    </w:t>
      </w:r>
      <w:r>
        <w:rPr>
          <w:rFonts w:ascii="宋体" w:hAnsi="宋体"/>
          <w:color w:val="000000"/>
          <w:sz w:val="24"/>
          <w:szCs w:val="24"/>
        </w:rPr>
      </w:r>
      <w:r/>
    </w:p>
    <w:p>
      <w:pPr>
        <w:pStyle w:val="954"/>
        <w:ind w:firstLine="480"/>
        <w:rPr>
          <w:rFonts w:ascii="宋体" w:hAnsi="宋体"/>
          <w:color w:val="000000"/>
          <w:sz w:val="24"/>
          <w:szCs w:val="24"/>
        </w:rPr>
      </w:pPr>
      <w:r>
        <w:rPr>
          <w:rFonts w:hint="eastAsia" w:ascii="宋体" w:hAnsi="宋体"/>
          <w:color w:val="000000"/>
          <w:sz w:val="24"/>
          <w:szCs w:val="24"/>
        </w:rPr>
        <w:t xml:space="preserve">联系人：张老师 </w:t>
      </w:r>
      <w:r>
        <w:rPr>
          <w:rFonts w:ascii="宋体" w:hAnsi="宋体"/>
          <w:color w:val="000000"/>
          <w:sz w:val="24"/>
          <w:szCs w:val="24"/>
        </w:rPr>
      </w:r>
      <w:r/>
    </w:p>
    <w:p>
      <w:pPr>
        <w:pStyle w:val="954"/>
        <w:ind w:firstLine="480"/>
        <w:rPr>
          <w:rFonts w:hint="eastAsia" w:ascii="宋体" w:hAnsi="宋体" w:eastAsia="宋体" w:cs="Times New Roman"/>
          <w:color w:val="000000"/>
          <w:sz w:val="24"/>
          <w:szCs w:val="24"/>
          <w:highlight w:val="none"/>
          <w:u w:val="none"/>
          <w:lang w:val="en-US" w:eastAsia="zh-CN"/>
        </w:rPr>
      </w:pPr>
      <w:r>
        <w:rPr>
          <w:rFonts w:hint="eastAsia" w:ascii="宋体" w:hAnsi="宋体"/>
          <w:color w:val="000000"/>
          <w:sz w:val="24"/>
          <w:szCs w:val="24"/>
        </w:rPr>
        <w:t xml:space="preserve">联系电话：025-</w:t>
      </w:r>
      <w:r>
        <w:rPr>
          <w:rFonts w:ascii="宋体" w:hAnsi="宋体"/>
          <w:color w:val="000000"/>
          <w:sz w:val="24"/>
          <w:szCs w:val="24"/>
        </w:rPr>
        <w:t xml:space="preserve">83105006</w:t>
      </w:r>
      <w:r>
        <w:rPr>
          <w:rFonts w:hint="eastAsia" w:ascii="宋体" w:hAnsi="宋体"/>
          <w:color w:val="000000"/>
          <w:sz w:val="24"/>
          <w:szCs w:val="24"/>
        </w:rPr>
        <w:t xml:space="preserve"> </w:t>
      </w:r>
      <w:r>
        <w:rPr>
          <w:rFonts w:hint="eastAsia" w:ascii="宋体" w:hAnsi="宋体" w:eastAsia="宋体" w:cs="Times New Roman"/>
          <w:color w:val="000000"/>
          <w:sz w:val="24"/>
          <w:szCs w:val="24"/>
          <w:highlight w:val="none"/>
          <w:u w:val="none"/>
          <w:lang w:val="en-US" w:eastAsia="zh-CN"/>
        </w:rPr>
      </w:r>
      <w:r/>
    </w:p>
    <w:p>
      <w:pPr>
        <w:pStyle w:val="954"/>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954"/>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南京市建邺区江东中路265号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954"/>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联系人：孙先生</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954"/>
        <w:ind w:firstLine="480"/>
        <w:pageBreakBefore w:val="0"/>
        <w:spacing w:line="240"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025-68505990</w:t>
      </w: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u w:val="none"/>
        </w:rPr>
      </w:r>
      <w:r/>
    </w:p>
    <w:p>
      <w:pPr>
        <w:pStyle w:val="103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Hlt16619350"/>
      <w:r/>
      <w:bookmarkStart w:id="43" w:name="_Toc16938590"/>
      <w:r/>
      <w:bookmarkStart w:id="44" w:name="_Toc20823346"/>
      <w:r/>
      <w:bookmarkStart w:id="45" w:name="_Toc120614244"/>
      <w:r/>
      <w:bookmarkStart w:id="46" w:name="_Toc479757211"/>
      <w:r/>
      <w:bookmarkStart w:id="47" w:name="_Toc462564139"/>
      <w:r>
        <w:rPr>
          <w:rFonts w:ascii="黑体" w:eastAsia="黑体"/>
          <w:bCs/>
          <w:color w:val="000000"/>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95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r>
        <w:rPr>
          <w:rFonts w:hint="eastAsia" w:ascii="方正楷体_GBK" w:hAnsi="方正楷体_GBK" w:eastAsia="方正楷体_GBK" w:cs="方正楷体_GBK"/>
          <w:b/>
          <w:bCs/>
          <w:color w:val="000000"/>
          <w:sz w:val="28"/>
          <w:szCs w:val="28"/>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95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r>
        <w:rPr>
          <w:rFonts w:hint="eastAsia" w:ascii="方正楷体_GBK" w:hAnsi="方正楷体_GBK" w:eastAsia="方正楷体_GBK" w:cs="方正楷体_GBK"/>
          <w:b/>
          <w:bCs/>
          <w:color w:val="000000"/>
          <w:sz w:val="28"/>
          <w:szCs w:val="28"/>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95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r>
        <w:rPr>
          <w:rFonts w:hint="eastAsia" w:ascii="方正楷体_GBK" w:hAnsi="方正楷体_GBK" w:eastAsia="方正楷体_GBK" w:cs="方正楷体_GBK"/>
          <w:b/>
          <w:bCs/>
          <w:color w:val="000000"/>
          <w:sz w:val="28"/>
          <w:szCs w:val="28"/>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95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r>
        <w:rPr>
          <w:rFonts w:hint="eastAsia" w:ascii="方正楷体_GBK" w:hAnsi="方正楷体_GBK" w:eastAsia="方正楷体_GBK" w:cs="方正楷体_GBK"/>
          <w:b/>
          <w:bCs/>
          <w:color w:val="000000"/>
          <w:sz w:val="28"/>
          <w:szCs w:val="28"/>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95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95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95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r>
        <w:rPr>
          <w:rFonts w:hint="eastAsia" w:ascii="方正楷体_GBK" w:hAnsi="方正楷体_GBK" w:eastAsia="方正楷体_GBK" w:cs="方正楷体_GBK"/>
          <w:b/>
          <w:bCs/>
          <w:color w:val="000000"/>
          <w:sz w:val="28"/>
          <w:szCs w:val="28"/>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95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r>
        <w:rPr>
          <w:rFonts w:hint="eastAsia" w:ascii="方正楷体_GBK" w:hAnsi="方正楷体_GBK" w:eastAsia="方正楷体_GBK" w:cs="方正楷体_GBK"/>
          <w:b/>
          <w:bCs/>
          <w:color w:val="000000"/>
          <w:sz w:val="28"/>
          <w:szCs w:val="28"/>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95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95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r>
        <w:rPr>
          <w:rFonts w:hint="eastAsia" w:ascii="方正楷体_GBK" w:hAnsi="方正楷体_GBK" w:eastAsia="方正楷体_GBK" w:cs="方正楷体_GBK"/>
          <w:b/>
          <w:bCs/>
          <w:color w:val="000000"/>
          <w:sz w:val="28"/>
          <w:szCs w:val="28"/>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95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r>
        <w:rPr>
          <w:rFonts w:hint="eastAsia" w:ascii="方正楷体_GBK" w:hAnsi="方正楷体_GBK" w:eastAsia="方正楷体_GBK" w:cs="方正楷体_GBK"/>
          <w:b/>
          <w:bCs/>
          <w:color w:val="000000"/>
          <w:sz w:val="28"/>
          <w:szCs w:val="28"/>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954"/>
        <w:ind w:firstLine="492"/>
        <w:keepLines w:val="0"/>
        <w:keepNext w:val="0"/>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0.投标报价</w:t>
      </w:r>
      <w:r>
        <w:rPr>
          <w:rFonts w:ascii="方正楷体_GBK" w:hAnsi="方正楷体_GBK" w:eastAsia="方正楷体_GBK" w:cs="方正楷体_GBK"/>
          <w:b/>
          <w:bCs/>
          <w:color w:val="000000"/>
          <w:sz w:val="28"/>
          <w:szCs w:val="28"/>
          <w:highlight w:val="none"/>
          <w:lang w:val="en-US"/>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color w:val="000000"/>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95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color w:val="000000"/>
          <w:sz w:val="24"/>
          <w:highlight w:val="none"/>
          <w:lang w:val="zh-CN"/>
        </w:rPr>
      </w:r>
      <w:r/>
    </w:p>
    <w:p>
      <w:pPr>
        <w:pStyle w:val="958"/>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rPr>
          <w:rFonts w:ascii="方正楷体_GBK" w:hAnsi="方正楷体_GBK" w:eastAsia="方正楷体_GBK" w:cs="方正楷体_GBK"/>
          <w:b/>
          <w:bCs/>
          <w:color w:val="000000"/>
          <w:sz w:val="28"/>
          <w:szCs w:val="28"/>
          <w:highlight w:val="none"/>
          <w:lang w:val="en-US" w:eastAsia="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5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r>
        <w:rPr>
          <w:rFonts w:hint="eastAsia" w:ascii="方正楷体_GBK" w:hAnsi="方正楷体_GBK" w:eastAsia="方正楷体_GBK" w:cs="方正楷体_GBK"/>
          <w:b/>
          <w:bCs/>
          <w:color w:val="000000"/>
          <w:sz w:val="28"/>
          <w:szCs w:val="28"/>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95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57"/>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9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投标文件的递交</w:t>
      </w:r>
      <w:r>
        <w:rPr>
          <w:rFonts w:hint="eastAsia" w:ascii="方正楷体_GBK" w:hAnsi="方正楷体_GBK" w:eastAsia="方正楷体_GBK" w:cs="方正楷体_GBK"/>
          <w:b/>
          <w:bCs/>
          <w:color w:val="000000"/>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color w:val="000000"/>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9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投标文件的撤回和修改</w:t>
      </w:r>
      <w:r>
        <w:rPr>
          <w:rFonts w:hint="eastAsia" w:ascii="方正楷体_GBK" w:hAnsi="方正楷体_GBK" w:eastAsia="方正楷体_GBK" w:cs="方正楷体_GBK"/>
          <w:b/>
          <w:bCs/>
          <w:color w:val="000000"/>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95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9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r>
        <w:rPr>
          <w:rFonts w:hint="eastAsia" w:ascii="方正楷体_GBK" w:hAnsi="方正楷体_GBK" w:eastAsia="方正楷体_GBK" w:cs="方正楷体_GBK"/>
          <w:b/>
          <w:bCs/>
          <w:color w:val="000000"/>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954"/>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954"/>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9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r>
        <w:rPr>
          <w:rFonts w:hint="eastAsia" w:ascii="方正楷体_GBK" w:hAnsi="方正楷体_GBK" w:eastAsia="方正楷体_GBK" w:cs="方正楷体_GBK"/>
          <w:b/>
          <w:bCs/>
          <w:color w:val="000000"/>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9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954"/>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954"/>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954"/>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954"/>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954"/>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54"/>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54"/>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954"/>
        <w:ind w:firstLine="420"/>
        <w:spacing w:line="240" w:lineRule="auto"/>
        <w:rPr>
          <w:rFonts w:hint="eastAsia" w:ascii="宋体" w:hAnsi="宋体" w:eastAsia="宋体" w:cs="Times New Roman"/>
          <w:color w:val="000000"/>
          <w:sz w:val="24"/>
          <w:szCs w:val="24"/>
          <w:highlight w:val="none"/>
          <w:lang w:val="en-US"/>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4"/>
          <w:highlight w:val="none"/>
          <w:lang w:val="en-US"/>
        </w:rPr>
      </w:r>
      <w:r/>
    </w:p>
    <w:p>
      <w:pPr>
        <w:pStyle w:val="954"/>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954"/>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9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954"/>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54"/>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954"/>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954"/>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rPr>
          <w:rFonts w:hint="eastAsia" w:ascii="宋体" w:hAnsi="宋体" w:eastAsia="宋体" w:cs="Times New Roman"/>
          <w:color w:val="000000"/>
          <w:sz w:val="24"/>
          <w:highlight w:val="none"/>
          <w:lang w:val="zh-CN" w:eastAsia="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954"/>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954"/>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954"/>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954"/>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954"/>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954"/>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954"/>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954"/>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95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9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确定中标单位</w:t>
      </w:r>
      <w:r>
        <w:rPr>
          <w:rFonts w:hint="eastAsia" w:ascii="方正楷体_GBK" w:hAnsi="方正楷体_GBK" w:eastAsia="方正楷体_GBK" w:cs="方正楷体_GBK"/>
          <w:b/>
          <w:bCs/>
          <w:color w:val="000000"/>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9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95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9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9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95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954"/>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95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54"/>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954"/>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957"/>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58"/>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954"/>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954"/>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954"/>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954"/>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954"/>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954"/>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954"/>
        <w:ind w:firstLine="420"/>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color w:val="000000"/>
          <w:sz w:val="24"/>
          <w:highlight w:val="none"/>
          <w:lang w:val="zh-CN"/>
        </w:rPr>
      </w:r>
      <w:r/>
    </w:p>
    <w:p>
      <w:pPr>
        <w:pStyle w:val="958"/>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highlight w:val="none"/>
        </w:rPr>
      </w:r>
      <w:r/>
    </w:p>
    <w:p>
      <w:pPr>
        <w:pStyle w:val="954"/>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954"/>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954"/>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958"/>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954"/>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对</w:t>
      </w:r>
      <w:r>
        <w:rPr>
          <w:rFonts w:hint="eastAsia" w:ascii="宋体"/>
          <w:bCs/>
          <w:color w:val="000000"/>
          <w:sz w:val="24"/>
          <w:szCs w:val="24"/>
          <w:highlight w:val="none"/>
        </w:rPr>
        <w:t xml:space="preserve">商品包装和快递包装有具体要求的，政府采购合同中应当载明对</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提供产品及相关快递服务的具体包装要求和履约验收相关条款，</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须严格执行，必要时应按照要求在履约验收环节出具检测报告。</w:t>
      </w:r>
      <w:r>
        <w:rPr>
          <w:rFonts w:hint="eastAsia" w:ascii="宋体" w:hAnsi="宋体"/>
          <w:color w:val="000000"/>
          <w:sz w:val="24"/>
          <w:highlight w:val="none"/>
        </w:rPr>
      </w:r>
      <w:r/>
    </w:p>
    <w:p>
      <w:pPr>
        <w:pStyle w:val="954"/>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.2 采购产品中涉及数据中心相关设备、运维服务的，应按照《关于印发</w:t>
      </w:r>
      <w:r>
        <w:rPr>
          <w:rFonts w:hint="eastAsia" w:ascii="宋体" w:hAnsi="宋体"/>
          <w:color w:val="000000"/>
          <w:sz w:val="24"/>
          <w:highlight w:val="none"/>
          <w:lang w:val="en-US" w:eastAsia="zh-CN"/>
        </w:rPr>
        <w:t xml:space="preserve">&lt;</w:t>
      </w:r>
      <w:r>
        <w:rPr>
          <w:rFonts w:hint="eastAsia" w:ascii="宋体" w:hAnsi="宋体"/>
          <w:color w:val="000000"/>
          <w:sz w:val="24"/>
          <w:highlight w:val="none"/>
        </w:rPr>
        <w:t xml:space="preserve">绿色数据中心政府采购需求标准（试行）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应按合同约定提供设备或服务。</w:t>
      </w:r>
      <w:r>
        <w:rPr>
          <w:rFonts w:hint="eastAsia" w:ascii="宋体" w:hAnsi="宋体"/>
          <w:color w:val="000000"/>
          <w:sz w:val="24"/>
          <w:highlight w:val="none"/>
        </w:rPr>
      </w:r>
      <w:r/>
    </w:p>
    <w:p>
      <w:pPr>
        <w:pStyle w:val="954"/>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.3 采购产品中涉及涂料、胶黏剂、油墨、清洗剂等挥发性有机物产品的，属于强制性标准的，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应当提供符合国家和江苏省相关VOCs 含量限制标准的产品。采购产品中涉及通用类货物、家具的，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应当优先使用低挥发性原辅材料，采购人将使用低VOCs含量的涂料、胶黏剂等纳入政府采购合同条款的，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必须严格执行。</w:t>
      </w:r>
      <w:r>
        <w:rPr>
          <w:rFonts w:hint="eastAsia" w:ascii="宋体" w:hAnsi="宋体"/>
          <w:color w:val="000000"/>
          <w:sz w:val="24"/>
          <w:highlight w:val="none"/>
        </w:rPr>
      </w:r>
      <w:r/>
    </w:p>
    <w:p>
      <w:pPr>
        <w:pStyle w:val="954"/>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.4 采购产品中涉及数据库、操作系统、通用服务器、工作站、一体式计算机、便携式计算机、台式计算机的，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所提供的上述产品进行验收，必要时可以委托依法取得检测、认证资质的机构进行检测、认证。</w:t>
      </w:r>
      <w:r>
        <w:rPr>
          <w:rFonts w:hint="eastAsia" w:ascii="宋体" w:hAnsi="宋体"/>
          <w:color w:val="000000"/>
          <w:sz w:val="24"/>
          <w:highlight w:val="none"/>
        </w:rPr>
      </w:r>
      <w:r/>
    </w:p>
    <w:p>
      <w:pPr>
        <w:pStyle w:val="958"/>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954"/>
        <w:ind w:firstLine="42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958"/>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954"/>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highlight w:val="none"/>
          <w:lang w:val="zh-CN"/>
        </w:rPr>
      </w:r>
      <w:r/>
    </w:p>
    <w:p>
      <w:pPr>
        <w:pStyle w:val="954"/>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highlight w:val="none"/>
          <w:lang w:val="zh-CN"/>
        </w:rPr>
      </w:r>
      <w:r/>
    </w:p>
    <w:p>
      <w:pPr>
        <w:pStyle w:val="958"/>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954"/>
        <w:ind w:firstLine="420"/>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highlight w:val="none"/>
          <w:lang w:val="en-US" w:eastAsia="zh-CN"/>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954"/>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rPr>
          <w:rFonts w:hint="eastAsia" w:ascii="宋体" w:hAnsi="宋体"/>
          <w:color w:val="000000"/>
          <w:sz w:val="24"/>
          <w:szCs w:val="22"/>
          <w:highlight w:val="none"/>
          <w:lang w:val="zh-CN"/>
        </w:rPr>
      </w:r>
      <w:r/>
    </w:p>
    <w:p>
      <w:pPr>
        <w:pStyle w:val="954"/>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rPr>
          <w:rFonts w:hint="eastAsia" w:ascii="宋体" w:hAnsi="宋体"/>
          <w:color w:val="000000"/>
          <w:sz w:val="24"/>
          <w:szCs w:val="22"/>
          <w:highlight w:val="none"/>
          <w:lang w:val="zh-CN"/>
        </w:rPr>
      </w:r>
      <w:r/>
    </w:p>
    <w:p>
      <w:pPr>
        <w:pStyle w:val="954"/>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highlight w:val="none"/>
          <w:lang w:val="zh-CN"/>
        </w:rPr>
      </w:r>
      <w:r/>
    </w:p>
    <w:p>
      <w:pPr>
        <w:pStyle w:val="954"/>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954"/>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954"/>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highlight w:val="none"/>
          <w:lang w:val="zh-CN"/>
        </w:rPr>
      </w:r>
      <w:r/>
    </w:p>
    <w:p>
      <w:pPr>
        <w:pStyle w:val="954"/>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rPr>
          <w:rFonts w:hint="eastAsia" w:ascii="宋体" w:hAnsi="宋体"/>
          <w:color w:val="000000"/>
          <w:sz w:val="24"/>
          <w:szCs w:val="22"/>
          <w:highlight w:val="none"/>
          <w:lang w:val="zh-CN"/>
        </w:rPr>
      </w:r>
      <w:r/>
    </w:p>
    <w:p>
      <w:pPr>
        <w:pStyle w:val="954"/>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highlight w:val="none"/>
          <w:lang w:val="zh-CN"/>
        </w:rPr>
      </w:r>
      <w:r/>
    </w:p>
    <w:p>
      <w:pPr>
        <w:pStyle w:val="954"/>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954"/>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954"/>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.4对本国产品的支持政策</w:t>
      </w:r>
      <w:r>
        <w:rPr>
          <w:rFonts w:ascii="宋体" w:hAnsi="宋体"/>
          <w:color w:val="000000"/>
          <w:sz w:val="24"/>
          <w:highlight w:val="none"/>
        </w:rPr>
      </w:r>
      <w:r/>
    </w:p>
    <w:p>
      <w:pPr>
        <w:pStyle w:val="954"/>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954"/>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.5政策执行要求</w:t>
      </w:r>
      <w:r>
        <w:rPr>
          <w:rFonts w:ascii="宋体" w:hAnsi="宋体"/>
          <w:color w:val="000000"/>
          <w:sz w:val="24"/>
          <w:highlight w:val="none"/>
        </w:rPr>
      </w:r>
      <w:r/>
    </w:p>
    <w:p>
      <w:pPr>
        <w:pStyle w:val="954"/>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954"/>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提供其他证明材料。</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color w:val="000000"/>
          <w:sz w:val="24"/>
          <w:highlight w:val="none"/>
        </w:rPr>
      </w:r>
      <w:r/>
    </w:p>
    <w:p>
      <w:pPr>
        <w:pStyle w:val="954"/>
        <w:ind w:firstLine="420"/>
        <w:rPr>
          <w:color w:val="000000"/>
          <w:highlight w:val="none"/>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bookmarkStart w:id="49" w:name="_Toc16938558"/>
      <w:r/>
      <w:bookmarkStart w:id="50" w:name="_Toc20823314"/>
      <w:r/>
      <w:bookmarkStart w:id="51" w:name="_Toc479757207"/>
      <w:r/>
      <w:bookmarkStart w:id="52" w:name="_Toc513029242"/>
      <w:r/>
      <w:bookmarkStart w:id="53" w:name="_Toc120614221"/>
      <w:r>
        <w:rPr>
          <w:color w:val="000000"/>
          <w:highlight w:val="none"/>
        </w:rPr>
      </w:r>
      <w:r/>
    </w:p>
    <w:p>
      <w:pPr>
        <w:pStyle w:val="959"/>
        <w:ind w:firstLine="422"/>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color w:val="000000"/>
          <w:sz w:val="28"/>
          <w:highlight w:val="none"/>
          <w:lang w:val="zh-CN" w:eastAsia="zh-CN"/>
        </w:rPr>
        <w:t xml:space="preserve">4</w:t>
      </w:r>
      <w:r>
        <w:rPr>
          <w:rFonts w:hint="eastAsia" w:ascii="方正楷体_GBK" w:hAnsi="方正楷体_GBK" w:eastAsia="方正楷体_GBK" w:cs="方正楷体_GBK"/>
          <w:b/>
          <w:bCs/>
          <w:color w:val="000000"/>
          <w:sz w:val="28"/>
          <w:highlight w:val="none"/>
          <w:lang w:val="en-US" w:eastAsia="zh-CN"/>
        </w:rPr>
        <w:t xml:space="preserve">1</w:t>
      </w:r>
      <w:r>
        <w:rPr>
          <w:rFonts w:hint="eastAsia" w:ascii="方正楷体_GBK" w:hAnsi="方正楷体_GBK" w:eastAsia="方正楷体_GBK" w:cs="方正楷体_GBK"/>
          <w:b/>
          <w:bCs/>
          <w:color w:val="000000"/>
          <w:sz w:val="28"/>
          <w:highlight w:val="none"/>
          <w:lang w:val="zh-CN" w:eastAsia="zh-CN"/>
        </w:rPr>
        <w:t xml:space="preserve">.</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954"/>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 数据交易标的包括数据产品、数据服务、数据工具。</w:t>
      </w:r>
      <w:r>
        <w:rPr>
          <w:rFonts w:hint="eastAsia" w:ascii="宋体" w:hAnsi="宋体" w:eastAsia="宋体" w:cs="Times New Roman"/>
          <w:color w:val="000000"/>
          <w:sz w:val="24"/>
          <w:highlight w:val="none"/>
          <w:lang w:val="zh-CN" w:eastAsia="zh-CN"/>
        </w:rPr>
      </w:r>
      <w:r/>
    </w:p>
    <w:p>
      <w:pPr>
        <w:pStyle w:val="954"/>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数据产品是指用于交易的数据和数据衍生产品，包括但不限于数据集、数据分析报告、数据可视化产品、数据指数、API数据、加密数据等。</w:t>
      </w:r>
      <w:r>
        <w:rPr>
          <w:rFonts w:hint="eastAsia" w:ascii="宋体" w:hAnsi="宋体" w:eastAsia="宋体" w:cs="Times New Roman"/>
          <w:color w:val="000000"/>
          <w:sz w:val="24"/>
          <w:highlight w:val="none"/>
          <w:lang w:val="zh-CN" w:eastAsia="zh-CN"/>
        </w:rPr>
      </w:r>
      <w:r/>
    </w:p>
    <w:p>
      <w:pPr>
        <w:pStyle w:val="954"/>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954"/>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zh-CN" w:eastAsia="zh-CN"/>
        </w:rPr>
      </w:r>
      <w:r/>
    </w:p>
    <w:p>
      <w:pPr>
        <w:pStyle w:val="1033"/>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954"/>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54" w:name="_Toc16938559"/>
      <w:r/>
      <w:bookmarkStart w:id="55" w:name="_Toc20823315"/>
      <w:r/>
      <w:bookmarkStart w:id="56" w:name="_Toc513029243"/>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1033"/>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r/>
    </w:p>
    <w:p>
      <w:pPr>
        <w:pStyle w:val="954"/>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954"/>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954"/>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954"/>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954"/>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954"/>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95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954"/>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954"/>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954"/>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954"/>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95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95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95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954"/>
        <w:spacing w:line="240" w:lineRule="auto"/>
        <w:rPr>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color w:val="000000"/>
          <w:highlight w:val="none"/>
        </w:rPr>
      </w:r>
      <w:r/>
    </w:p>
    <w:p>
      <w:pPr>
        <w:pStyle w:val="95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95"/>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95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95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95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95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95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95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95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95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954"/>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00"/>
          <w:sz w:val="24"/>
          <w:szCs w:val="24"/>
          <w:highlight w:val="none"/>
          <w:lang w:val="en-US" w:eastAsia="zh-CN"/>
        </w:rPr>
        <w:t xml:space="preserve">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954"/>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954"/>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w:t>
      </w:r>
      <w:r>
        <w:rPr>
          <w:rFonts w:hint="eastAsia" w:ascii="宋体" w:hAnsi="宋体" w:eastAsia="宋体" w:cs="Courier New"/>
          <w:b w:val="0"/>
          <w:bCs w:val="0"/>
          <w:color w:val="000000"/>
          <w:sz w:val="24"/>
          <w:szCs w:val="24"/>
          <w:highlight w:val="none"/>
          <w:lang w:val="en-US" w:eastAsia="zh-CN"/>
        </w:rPr>
        <w:t xml:space="preserve">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954"/>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w:t>
      </w:r>
      <w:r>
        <w:rPr>
          <w:rFonts w:hint="eastAsia" w:ascii="宋体" w:hAnsi="宋体" w:eastAsia="宋体" w:cs="Courier New"/>
          <w:b w:val="0"/>
          <w:bCs w:val="0"/>
          <w:color w:val="000000"/>
          <w:sz w:val="24"/>
          <w:szCs w:val="24"/>
          <w:highlight w:val="none"/>
          <w:lang w:val="en-US" w:eastAsia="zh-CN"/>
        </w:rPr>
        <w:t xml:space="preserve">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954"/>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w:t>
      </w:r>
      <w:r>
        <w:rPr>
          <w:rFonts w:hint="eastAsia" w:ascii="宋体" w:hAnsi="宋体" w:eastAsia="宋体" w:cs="Courier New"/>
          <w:b w:val="0"/>
          <w:bCs w:val="0"/>
          <w:color w:val="000000"/>
          <w:sz w:val="24"/>
          <w:szCs w:val="24"/>
          <w:highlight w:val="none"/>
          <w:lang w:val="en-US" w:eastAsia="zh-CN"/>
        </w:rPr>
        <w:t xml:space="preserve">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954"/>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95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9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54"/>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5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95"/>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5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00"/>
          <w:sz w:val="24"/>
          <w:szCs w:val="24"/>
          <w:highlight w:val="none"/>
          <w:lang w:val="en-US" w:eastAsia="zh-CN"/>
        </w:rPr>
        <w:t xml:space="preserve"> 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9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w:t>
      </w:r>
      <w:r>
        <w:rPr>
          <w:rFonts w:hint="eastAsia" w:ascii="宋体" w:hAnsi="宋体" w:eastAsia="宋体" w:cs="Courier New"/>
          <w:color w:val="000000"/>
          <w:sz w:val="24"/>
          <w:szCs w:val="24"/>
          <w:highlight w:val="none"/>
          <w:lang w:val="en-US" w:eastAsia="zh-CN"/>
        </w:rPr>
        <w:t xml:space="preserve"> 系统开发完成并验收合格后，甲方支付合同总价款的</w:t>
      </w:r>
      <w:r>
        <w:rPr>
          <w:rFonts w:hint="eastAsia"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95"/>
        <w:spacing w:line="264" w:lineRule="auto"/>
        <w:rPr>
          <w:rFonts w:hint="eastAsia"/>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rPr>
          <w:rFonts w:hint="eastAsia"/>
          <w:color w:val="000000"/>
          <w:highlight w:val="none"/>
          <w:lang w:val="en-US" w:eastAsia="zh-CN"/>
        </w:rPr>
      </w:r>
      <w:r/>
    </w:p>
    <w:p>
      <w:pPr>
        <w:pStyle w:val="99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95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95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954"/>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95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95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95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95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95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95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954"/>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ascii="宋体" w:hAnsi="宋体" w:eastAsia="宋体" w:cs="Courier New"/>
          <w:color w:val="000000"/>
          <w:sz w:val="24"/>
          <w:szCs w:val="24"/>
          <w:highlight w:val="none"/>
          <w:lang w:val="en-US" w:eastAsia="zh-CN"/>
        </w:rPr>
      </w:r>
      <w:r/>
    </w:p>
    <w:p>
      <w:pPr>
        <w:pStyle w:val="954"/>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r>
      <w:r/>
    </w:p>
    <w:p>
      <w:pPr>
        <w:pStyle w:val="954"/>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rPr>
      </w:pPr>
      <w:r>
        <w:rPr>
          <w:rFonts w:hint="eastAsia" w:ascii="宋体" w:hAnsi="宋体" w:eastAsia="宋体" w:cs="Courier New"/>
          <w:b w:val="0"/>
          <w:bCs w:val="0"/>
          <w:color w:val="000000"/>
          <w:sz w:val="24"/>
          <w:szCs w:val="24"/>
          <w:highlight w:val="none"/>
        </w:rPr>
        <w:t xml:space="preserve">十一、违约责任</w:t>
      </w:r>
      <w:r>
        <w:rPr>
          <w:rFonts w:hint="eastAsia" w:ascii="宋体" w:hAnsi="宋体" w:eastAsia="宋体" w:cs="Courier New"/>
          <w:b w:val="0"/>
          <w:bCs w:val="0"/>
          <w:color w:val="000000"/>
          <w:sz w:val="24"/>
          <w:szCs w:val="24"/>
          <w:highlight w:val="none"/>
        </w:rPr>
      </w:r>
      <w:r/>
    </w:p>
    <w:p>
      <w:pPr>
        <w:pStyle w:val="95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0.1% </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95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0.01%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 </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954"/>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0.1%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95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954"/>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95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95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95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95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95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95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95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95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95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95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95"/>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95"/>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bookmarkEnd w:id="54"/>
      <w:r/>
      <w:bookmarkEnd w:id="55"/>
      <w:r/>
      <w:bookmarkEnd w:id="56"/>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95"/>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95"/>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95"/>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95"/>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95"/>
        <w:ind w:firstLine="528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w:t>
      </w:r>
      <w:r>
        <w:rPr>
          <w:rFonts w:hint="eastAsia" w:hAnsi="宋体" w:eastAsia="宋体" w:cs="Courier New"/>
          <w:color w:val="000000"/>
          <w:sz w:val="24"/>
          <w:szCs w:val="24"/>
          <w:highlight w:val="none"/>
        </w:rPr>
      </w:r>
      <w:r/>
    </w:p>
    <w:p>
      <w:pPr>
        <w:pStyle w:val="995"/>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54"/>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954"/>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95"/>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107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2"/>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3"/>
      <w:r/>
      <w:bookmarkEnd w:id="44"/>
      <w:r/>
      <w:bookmarkEnd w:id="45"/>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4"/>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7" w:name="_Toc26554093"/>
      <w:r/>
      <w:bookmarkStart w:id="58"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954"/>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954"/>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954"/>
        <w:ind w:firstLine="480"/>
        <w:spacing w:line="264" w:lineRule="auto"/>
        <w:rPr>
          <w:rFonts w:hint="eastAsia" w:ascii="宋体" w:hAnsi="宋体" w:cs="Courier New"/>
          <w:color w:val="000000"/>
          <w:sz w:val="24"/>
          <w:szCs w:val="24"/>
          <w:lang w:val="zh-CN"/>
        </w:rPr>
      </w:pPr>
      <w:r>
        <w:rPr>
          <w:rFonts w:hint="eastAsia" w:ascii="宋体" w:hAnsi="宋体" w:cs="Courier New"/>
          <w:color w:val="000000"/>
          <w:sz w:val="24"/>
          <w:szCs w:val="24"/>
          <w:lang w:val="zh-CN"/>
        </w:rPr>
        <w:t xml:space="preserve">南京鼓楼医院足多院区一体化运营与安全保障核心需求，构建“双活核心+容灾备份+分级防护”的全域信息化数据中心架构体系，各院区网络架构实现二层互通，多个院区之间通过波分设备进行互联。</w:t>
      </w:r>
      <w:r>
        <w:rPr>
          <w:rFonts w:hint="eastAsia" w:ascii="宋体" w:hAnsi="宋体" w:cs="Courier New"/>
          <w:color w:val="000000"/>
          <w:sz w:val="24"/>
          <w:szCs w:val="24"/>
          <w:lang w:val="zh-CN"/>
        </w:rPr>
      </w:r>
      <w:r/>
    </w:p>
    <w:p>
      <w:pPr>
        <w:pStyle w:val="954"/>
        <w:ind w:firstLine="480"/>
        <w:spacing w:line="264" w:lineRule="auto"/>
        <w:rPr>
          <w:rFonts w:ascii="宋体" w:hAnsi="宋体" w:cs="Courier New"/>
          <w:color w:val="000000"/>
          <w:sz w:val="24"/>
          <w:szCs w:val="24"/>
          <w:lang w:val="zh-CN"/>
        </w:rPr>
      </w:pPr>
      <w:r>
        <w:rPr>
          <w:rFonts w:hint="eastAsia" w:ascii="宋体" w:hAnsi="宋体" w:cs="Courier New"/>
          <w:color w:val="000000"/>
          <w:sz w:val="24"/>
          <w:szCs w:val="24"/>
          <w:lang w:val="zh-CN"/>
        </w:rPr>
        <w:t xml:space="preserve">随着医院业务的快速发展、各类IT资源的更新迭代，数据中心逐步呈现出设备类型繁多、网络结构复杂、运维工作量大、规范管理难度高等特点，及时发现和处理数据中心出现的软硬件、网络等方面的问题并规范处理，对于保障医院各项业务的平稳运行至关重要。为确保医院数据中心的稳定、高效和安全运行，医院需建设数据中心运维监控平台，实现集中化监控数据中心各类设备、规范化管理设备生命周期、流程化处理各类告警事件，提高工作效率，保障数据中心运维质量。</w:t>
      </w:r>
      <w:r>
        <w:rPr>
          <w:rFonts w:ascii="宋体" w:hAnsi="宋体" w:cs="Courier New"/>
          <w:color w:val="000000"/>
          <w:sz w:val="24"/>
          <w:szCs w:val="24"/>
          <w:lang w:val="zh-CN"/>
        </w:rPr>
      </w:r>
      <w:r/>
    </w:p>
    <w:p>
      <w:pPr>
        <w:pStyle w:val="954"/>
        <w:ind w:firstLine="480"/>
        <w:spacing w:line="264" w:lineRule="auto"/>
        <w:rPr>
          <w:rFonts w:ascii="宋体" w:hAnsi="宋体"/>
          <w:color w:val="000000"/>
          <w:sz w:val="24"/>
          <w:szCs w:val="24"/>
        </w:rPr>
      </w:pPr>
      <w:r>
        <w:rPr>
          <w:rFonts w:hint="eastAsia" w:ascii="宋体" w:hAnsi="宋体"/>
          <w:color w:val="000000"/>
          <w:sz w:val="24"/>
          <w:szCs w:val="24"/>
        </w:rPr>
        <w:t xml:space="preserve">（二）项目目标</w:t>
      </w:r>
      <w:r>
        <w:rPr>
          <w:rFonts w:ascii="宋体" w:hAnsi="宋体"/>
          <w:color w:val="000000"/>
          <w:sz w:val="24"/>
          <w:szCs w:val="24"/>
        </w:rPr>
      </w:r>
      <w:r/>
    </w:p>
    <w:p>
      <w:pPr>
        <w:pStyle w:val="954"/>
        <w:ind w:firstLine="480"/>
        <w:spacing w:line="264" w:lineRule="auto"/>
        <w:rPr>
          <w:rFonts w:ascii="黑体" w:hAnsi="黑体" w:eastAsia="黑体" w:cs="黑体"/>
          <w:color w:val="000000"/>
          <w:sz w:val="24"/>
          <w:szCs w:val="24"/>
        </w:rPr>
      </w:pPr>
      <w:r>
        <w:rPr>
          <w:rFonts w:ascii="宋体" w:hAnsi="宋体" w:cs="Courier New"/>
          <w:color w:val="000000"/>
          <w:sz w:val="24"/>
          <w:szCs w:val="24"/>
          <w:lang w:val="zh-CN"/>
        </w:rPr>
        <w:t xml:space="preserve">本次系统建设的总体目标是建立一个易于维护、易于扩展、易于使用的数据中心</w:t>
      </w:r>
      <w:r>
        <w:rPr>
          <w:rFonts w:hint="eastAsia" w:ascii="宋体" w:hAnsi="宋体" w:cs="Courier New"/>
          <w:color w:val="000000"/>
          <w:sz w:val="24"/>
          <w:szCs w:val="24"/>
          <w:lang w:val="zh-CN"/>
        </w:rPr>
        <w:t xml:space="preserve">运维监控</w:t>
      </w:r>
      <w:r>
        <w:rPr>
          <w:rFonts w:ascii="宋体" w:hAnsi="宋体" w:cs="Courier New"/>
          <w:color w:val="000000"/>
          <w:sz w:val="24"/>
          <w:szCs w:val="24"/>
          <w:lang w:val="zh-CN"/>
        </w:rPr>
        <w:t xml:space="preserve">平台，</w:t>
      </w:r>
      <w:r>
        <w:rPr>
          <w:rFonts w:hint="eastAsia" w:ascii="宋体" w:hAnsi="宋体" w:cs="Courier New"/>
          <w:color w:val="000000"/>
          <w:sz w:val="24"/>
          <w:szCs w:val="24"/>
          <w:lang w:val="zh-CN"/>
        </w:rPr>
        <w:t xml:space="preserve">监控范围涵盖各个院区的数据中心、信息机房及弱电间的重要IT</w:t>
      </w:r>
      <w:r>
        <w:rPr>
          <w:rFonts w:ascii="宋体" w:hAnsi="宋体" w:cs="Courier New"/>
          <w:color w:val="000000"/>
          <w:sz w:val="24"/>
          <w:szCs w:val="24"/>
          <w:lang w:val="zh-CN"/>
        </w:rPr>
        <w:t xml:space="preserve">资产</w:t>
      </w:r>
      <w:r>
        <w:rPr>
          <w:rFonts w:hint="eastAsia" w:ascii="宋体" w:hAnsi="宋体" w:cs="Courier New"/>
          <w:color w:val="000000"/>
          <w:sz w:val="24"/>
          <w:szCs w:val="24"/>
          <w:lang w:val="zh-CN"/>
        </w:rPr>
        <w:t xml:space="preserve">、网络设备等，通过</w:t>
      </w:r>
      <w:r>
        <w:rPr>
          <w:rFonts w:ascii="宋体" w:hAnsi="宋体" w:cs="Courier New"/>
          <w:color w:val="000000"/>
          <w:sz w:val="24"/>
          <w:szCs w:val="24"/>
          <w:lang w:val="zh-CN"/>
        </w:rPr>
        <w:t xml:space="preserve">数</w:t>
      </w:r>
      <w:r>
        <w:rPr>
          <w:rFonts w:hint="eastAsia" w:ascii="宋体" w:hAnsi="宋体" w:cs="Courier New"/>
          <w:color w:val="000000"/>
          <w:sz w:val="24"/>
          <w:szCs w:val="24"/>
          <w:lang w:val="zh-CN"/>
        </w:rPr>
        <w:t xml:space="preserve">字</w:t>
      </w:r>
      <w:r>
        <w:rPr>
          <w:rFonts w:ascii="宋体" w:hAnsi="宋体" w:cs="Courier New"/>
          <w:color w:val="000000"/>
          <w:sz w:val="24"/>
          <w:szCs w:val="24"/>
          <w:lang w:val="zh-CN"/>
        </w:rPr>
        <w:t xml:space="preserve">化、智能化</w:t>
      </w:r>
      <w:r>
        <w:rPr>
          <w:rFonts w:hint="eastAsia" w:ascii="宋体" w:hAnsi="宋体" w:cs="Courier New"/>
          <w:color w:val="000000"/>
          <w:sz w:val="24"/>
          <w:szCs w:val="24"/>
          <w:lang w:val="zh-CN"/>
        </w:rPr>
        <w:t xml:space="preserve">、统一化</w:t>
      </w:r>
      <w:r>
        <w:rPr>
          <w:rFonts w:ascii="宋体" w:hAnsi="宋体" w:cs="Courier New"/>
          <w:color w:val="000000"/>
          <w:sz w:val="24"/>
          <w:szCs w:val="24"/>
          <w:lang w:val="zh-CN"/>
        </w:rPr>
        <w:t xml:space="preserve">的</w:t>
      </w:r>
      <w:r>
        <w:rPr>
          <w:rFonts w:hint="eastAsia" w:ascii="宋体" w:hAnsi="宋体" w:cs="Courier New"/>
          <w:color w:val="000000"/>
          <w:sz w:val="24"/>
          <w:szCs w:val="24"/>
          <w:lang w:val="zh-CN"/>
        </w:rPr>
        <w:t xml:space="preserve">运维监控管理，掌控</w:t>
      </w:r>
      <w:r>
        <w:rPr>
          <w:rFonts w:ascii="宋体" w:hAnsi="宋体" w:cs="Courier New"/>
          <w:color w:val="000000"/>
          <w:sz w:val="24"/>
          <w:szCs w:val="24"/>
          <w:lang w:val="zh-CN"/>
        </w:rPr>
        <w:t xml:space="preserve">IT系统中物理资产</w:t>
      </w:r>
      <w:r>
        <w:rPr>
          <w:rFonts w:hint="eastAsia" w:ascii="宋体" w:hAnsi="宋体" w:cs="Courier New"/>
          <w:color w:val="000000"/>
          <w:sz w:val="24"/>
          <w:szCs w:val="24"/>
          <w:lang w:val="zh-CN"/>
        </w:rPr>
        <w:t xml:space="preserve">（网络设备、</w:t>
      </w:r>
      <w:r>
        <w:rPr>
          <w:rFonts w:ascii="宋体" w:hAnsi="宋体" w:cs="Courier New"/>
          <w:color w:val="000000"/>
          <w:sz w:val="24"/>
          <w:szCs w:val="24"/>
          <w:lang w:val="zh-CN"/>
        </w:rPr>
        <w:t xml:space="preserve">服务器、存储、安全设备</w:t>
      </w:r>
      <w:r>
        <w:rPr>
          <w:rFonts w:hint="eastAsia" w:ascii="宋体" w:hAnsi="宋体" w:cs="Courier New"/>
          <w:color w:val="000000"/>
          <w:sz w:val="24"/>
          <w:szCs w:val="24"/>
          <w:lang w:val="zh-CN"/>
        </w:rPr>
        <w:t xml:space="preserve">、环境动力设备</w:t>
      </w:r>
      <w:r>
        <w:rPr>
          <w:rFonts w:ascii="宋体" w:hAnsi="宋体" w:cs="Courier New"/>
          <w:color w:val="000000"/>
          <w:sz w:val="24"/>
          <w:szCs w:val="24"/>
          <w:lang w:val="zh-CN"/>
        </w:rPr>
        <w:t xml:space="preserve">等）、虚拟资产（云</w:t>
      </w:r>
      <w:r>
        <w:rPr>
          <w:rFonts w:hint="eastAsia" w:ascii="宋体" w:hAnsi="宋体" w:cs="Courier New"/>
          <w:color w:val="000000"/>
          <w:sz w:val="24"/>
          <w:szCs w:val="24"/>
          <w:lang w:val="zh-CN"/>
        </w:rPr>
        <w:t xml:space="preserve">平台、虚拟机</w:t>
      </w:r>
      <w:r>
        <w:rPr>
          <w:rFonts w:ascii="宋体" w:hAnsi="宋体" w:cs="Courier New"/>
          <w:color w:val="000000"/>
          <w:sz w:val="24"/>
          <w:szCs w:val="24"/>
          <w:lang w:val="zh-CN"/>
        </w:rPr>
        <w:t xml:space="preserve">）</w:t>
      </w:r>
      <w:r>
        <w:rPr>
          <w:rFonts w:hint="eastAsia" w:ascii="宋体" w:hAnsi="宋体" w:cs="Courier New"/>
          <w:color w:val="000000"/>
          <w:sz w:val="24"/>
          <w:szCs w:val="24"/>
          <w:lang w:val="zh-CN"/>
        </w:rPr>
        <w:t xml:space="preserve">、IP资源、网络链路</w:t>
      </w:r>
      <w:r>
        <w:rPr>
          <w:rFonts w:ascii="宋体" w:hAnsi="宋体" w:cs="Courier New"/>
          <w:color w:val="000000"/>
          <w:sz w:val="24"/>
          <w:szCs w:val="24"/>
          <w:lang w:val="zh-CN"/>
        </w:rPr>
        <w:t xml:space="preserve">的运行状况</w:t>
      </w:r>
      <w:r>
        <w:rPr>
          <w:rFonts w:hint="eastAsia" w:ascii="宋体" w:hAnsi="宋体" w:cs="Courier New"/>
          <w:color w:val="000000"/>
          <w:sz w:val="24"/>
          <w:szCs w:val="24"/>
          <w:lang w:val="zh-CN"/>
        </w:rPr>
        <w:t xml:space="preserve">，各类告警通过平台分权推送，实现集中化、体系化的IT资源监控，提高数据中心运维工作效率和质量。</w:t>
      </w:r>
      <w:r>
        <w:rPr>
          <w:rFonts w:ascii="黑体" w:hAnsi="黑体" w:eastAsia="黑体" w:cs="黑体"/>
          <w:color w:val="000000"/>
          <w:sz w:val="24"/>
          <w:szCs w:val="24"/>
        </w:rPr>
      </w:r>
      <w:r/>
    </w:p>
    <w:p>
      <w:pPr>
        <w:pStyle w:val="954"/>
        <w:ind w:firstLine="480"/>
        <w:spacing w:line="264"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）项目建设遵循标准</w:t>
      </w:r>
      <w:r>
        <w:rPr>
          <w:rFonts w:hint="eastAsia" w:ascii="宋体" w:hAnsi="宋体" w:eastAsia="宋体" w:cs="Times New Roman"/>
          <w:color w:val="000000"/>
          <w:sz w:val="24"/>
          <w:szCs w:val="24"/>
          <w:lang w:eastAsia="zh-CN"/>
        </w:rPr>
      </w:r>
      <w:r/>
    </w:p>
    <w:p>
      <w:pPr>
        <w:pStyle w:val="954"/>
        <w:ind w:firstLine="480"/>
        <w:spacing w:line="264" w:lineRule="auto"/>
        <w:rPr>
          <w:rFonts w:hint="eastAsia" w:ascii="宋体" w:hAnsi="宋体" w:eastAsia="宋体" w:cs="黑体"/>
          <w:color w:val="000000"/>
          <w:sz w:val="24"/>
          <w:szCs w:val="24"/>
        </w:rPr>
      </w:pPr>
      <w:r>
        <w:rPr>
          <w:rFonts w:hint="eastAsia" w:ascii="宋体" w:hAnsi="宋体" w:eastAsia="宋体" w:cs="黑体"/>
          <w:color w:val="000000"/>
          <w:sz w:val="24"/>
          <w:szCs w:val="24"/>
        </w:rPr>
        <w:t xml:space="preserve">《数据中心设计规范》（GB 50174-2017）</w:t>
      </w:r>
      <w:r>
        <w:rPr>
          <w:rFonts w:hint="eastAsia" w:ascii="宋体" w:hAnsi="宋体" w:eastAsia="宋体" w:cs="黑体"/>
          <w:color w:val="000000"/>
          <w:sz w:val="24"/>
          <w:szCs w:val="24"/>
        </w:rPr>
      </w:r>
      <w:r/>
    </w:p>
    <w:p>
      <w:pPr>
        <w:pStyle w:val="954"/>
        <w:ind w:firstLine="480"/>
        <w:spacing w:line="264" w:lineRule="auto"/>
        <w:rPr>
          <w:rFonts w:hint="eastAsia" w:ascii="宋体" w:hAnsi="宋体" w:eastAsia="宋体" w:cs="黑体"/>
          <w:color w:val="000000"/>
          <w:sz w:val="24"/>
          <w:szCs w:val="24"/>
        </w:rPr>
      </w:pPr>
      <w:r>
        <w:rPr>
          <w:rFonts w:hint="eastAsia" w:ascii="宋体" w:hAnsi="宋体" w:eastAsia="宋体" w:cs="黑体"/>
          <w:color w:val="000000"/>
          <w:sz w:val="24"/>
          <w:szCs w:val="24"/>
        </w:rPr>
        <w:t xml:space="preserve">《数据中心综合监控系统工程技术标准》（GB/T 51409-2020）</w:t>
      </w:r>
      <w:r>
        <w:rPr>
          <w:rFonts w:hint="eastAsia" w:ascii="宋体" w:hAnsi="宋体" w:eastAsia="宋体" w:cs="黑体"/>
          <w:color w:val="000000"/>
          <w:sz w:val="24"/>
          <w:szCs w:val="24"/>
        </w:rPr>
      </w:r>
      <w:r/>
    </w:p>
    <w:p>
      <w:pPr>
        <w:pStyle w:val="954"/>
        <w:ind w:firstLine="480"/>
        <w:spacing w:line="264" w:lineRule="auto"/>
        <w:rPr>
          <w:rFonts w:hint="eastAsia" w:ascii="宋体" w:hAnsi="宋体" w:eastAsia="宋体" w:cs="黑体"/>
          <w:color w:val="000000"/>
          <w:sz w:val="24"/>
          <w:szCs w:val="24"/>
        </w:rPr>
      </w:pPr>
      <w:r>
        <w:rPr>
          <w:rFonts w:hint="eastAsia" w:ascii="宋体" w:hAnsi="宋体" w:eastAsia="宋体" w:cs="黑体"/>
          <w:color w:val="000000"/>
          <w:sz w:val="24"/>
          <w:szCs w:val="24"/>
        </w:rPr>
        <w:t xml:space="preserve">《计算机场地通用规范》（GB/T 2887-2011）</w:t>
      </w:r>
      <w:r>
        <w:rPr>
          <w:rFonts w:hint="eastAsia" w:ascii="宋体" w:hAnsi="宋体" w:eastAsia="宋体" w:cs="黑体"/>
          <w:color w:val="000000"/>
          <w:sz w:val="24"/>
          <w:szCs w:val="24"/>
        </w:rPr>
      </w:r>
      <w:r/>
    </w:p>
    <w:p>
      <w:pPr>
        <w:pStyle w:val="954"/>
        <w:ind w:firstLine="480"/>
        <w:spacing w:line="264" w:lineRule="auto"/>
        <w:rPr>
          <w:rFonts w:hint="eastAsia" w:ascii="宋体" w:hAnsi="宋体" w:eastAsia="宋体" w:cs="黑体"/>
          <w:color w:val="000000"/>
          <w:sz w:val="24"/>
          <w:szCs w:val="24"/>
        </w:rPr>
      </w:pPr>
      <w:r>
        <w:rPr>
          <w:rFonts w:hint="eastAsia" w:ascii="宋体" w:hAnsi="宋体" w:eastAsia="宋体" w:cs="黑体"/>
          <w:color w:val="000000"/>
          <w:sz w:val="24"/>
          <w:szCs w:val="24"/>
        </w:rPr>
        <w:t xml:space="preserve">《计算机场地安全要求》（GB/T 9361-2011）</w:t>
      </w:r>
      <w:r>
        <w:rPr>
          <w:rFonts w:hint="eastAsia" w:ascii="宋体" w:hAnsi="宋体" w:eastAsia="宋体" w:cs="黑体"/>
          <w:color w:val="000000"/>
          <w:sz w:val="24"/>
          <w:szCs w:val="24"/>
        </w:rPr>
      </w:r>
      <w:r/>
    </w:p>
    <w:p>
      <w:pPr>
        <w:pStyle w:val="954"/>
        <w:ind w:firstLine="480"/>
        <w:spacing w:line="264" w:lineRule="auto"/>
        <w:rPr>
          <w:rFonts w:hint="eastAsia" w:ascii="宋体" w:hAnsi="宋体" w:eastAsia="宋体" w:cs="黑体"/>
          <w:color w:val="000000"/>
          <w:sz w:val="24"/>
          <w:szCs w:val="24"/>
        </w:rPr>
      </w:pPr>
      <w:r>
        <w:rPr>
          <w:rFonts w:hint="eastAsia" w:ascii="宋体" w:hAnsi="宋体" w:eastAsia="宋体" w:cs="黑体"/>
          <w:color w:val="000000"/>
          <w:sz w:val="24"/>
          <w:szCs w:val="24"/>
        </w:rPr>
        <w:t xml:space="preserve">《信息安全技术 网络安全等级保护基本要求》（GB/T 22239-2019）</w:t>
      </w:r>
      <w:r>
        <w:rPr>
          <w:rFonts w:hint="eastAsia" w:ascii="宋体" w:hAnsi="宋体" w:eastAsia="宋体" w:cs="黑体"/>
          <w:color w:val="000000"/>
          <w:sz w:val="24"/>
          <w:szCs w:val="24"/>
        </w:rPr>
      </w:r>
      <w:r/>
    </w:p>
    <w:p>
      <w:pPr>
        <w:pStyle w:val="954"/>
        <w:ind w:firstLine="480"/>
        <w:spacing w:line="264" w:lineRule="auto"/>
        <w:rPr>
          <w:rFonts w:hint="eastAsia" w:ascii="宋体" w:hAnsi="宋体" w:eastAsia="宋体" w:cs="黑体"/>
          <w:color w:val="000000"/>
          <w:sz w:val="24"/>
          <w:szCs w:val="24"/>
        </w:rPr>
      </w:pPr>
      <w:r>
        <w:rPr>
          <w:rFonts w:hint="eastAsia" w:ascii="宋体" w:hAnsi="宋体" w:eastAsia="宋体" w:cs="黑体"/>
          <w:color w:val="000000"/>
          <w:sz w:val="24"/>
          <w:szCs w:val="24"/>
        </w:rPr>
        <w:t xml:space="preserve">《信息安全技术 网络安全等级保护安全设计技术要求》（GB/T 25070-2019）</w:t>
      </w:r>
      <w:r>
        <w:rPr>
          <w:rFonts w:hint="eastAsia" w:ascii="宋体" w:hAnsi="宋体" w:eastAsia="宋体" w:cs="黑体"/>
          <w:color w:val="000000"/>
          <w:sz w:val="24"/>
          <w:szCs w:val="24"/>
        </w:rPr>
      </w:r>
      <w:r/>
    </w:p>
    <w:p>
      <w:pPr>
        <w:pStyle w:val="954"/>
        <w:ind w:firstLine="480"/>
        <w:spacing w:line="264" w:lineRule="auto"/>
        <w:rPr>
          <w:rFonts w:hint="eastAsia" w:ascii="宋体" w:hAnsi="宋体" w:eastAsia="宋体" w:cs="黑体"/>
          <w:color w:val="000000"/>
          <w:sz w:val="24"/>
          <w:szCs w:val="24"/>
        </w:rPr>
      </w:pPr>
      <w:r>
        <w:rPr>
          <w:rFonts w:hint="eastAsia" w:ascii="宋体" w:hAnsi="宋体" w:eastAsia="宋体" w:cs="黑体"/>
          <w:color w:val="000000"/>
          <w:sz w:val="24"/>
          <w:szCs w:val="24"/>
        </w:rPr>
        <w:t xml:space="preserve">《信息技术服务 运行维护 第1部分：通用要求》（GB/T 28827.1-2012）</w:t>
      </w:r>
      <w:r>
        <w:rPr>
          <w:rFonts w:hint="eastAsia" w:ascii="宋体" w:hAnsi="宋体" w:eastAsia="宋体" w:cs="黑体"/>
          <w:color w:val="000000"/>
          <w:sz w:val="24"/>
          <w:szCs w:val="24"/>
        </w:rPr>
      </w:r>
      <w:r/>
    </w:p>
    <w:p>
      <w:pPr>
        <w:pStyle w:val="954"/>
        <w:ind w:firstLine="480"/>
        <w:spacing w:line="264" w:lineRule="auto"/>
        <w:rPr>
          <w:rFonts w:hint="eastAsia" w:ascii="宋体" w:hAnsi="宋体" w:eastAsia="宋体" w:cs="黑体"/>
          <w:color w:val="000000"/>
          <w:sz w:val="24"/>
          <w:szCs w:val="24"/>
        </w:rPr>
      </w:pPr>
      <w:r>
        <w:rPr>
          <w:rFonts w:hint="eastAsia" w:ascii="宋体" w:hAnsi="宋体" w:eastAsia="宋体" w:cs="黑体"/>
          <w:color w:val="000000"/>
          <w:sz w:val="24"/>
          <w:szCs w:val="24"/>
        </w:rPr>
        <w:t xml:space="preserve">《信息技术服务 运行维护 第4部分：数据中心服务要求》（GB/T 28827.4-2019）</w:t>
      </w:r>
      <w:r>
        <w:rPr>
          <w:rFonts w:hint="eastAsia" w:ascii="宋体" w:hAnsi="宋体" w:eastAsia="宋体" w:cs="黑体"/>
          <w:color w:val="000000"/>
          <w:sz w:val="24"/>
          <w:szCs w:val="24"/>
        </w:rPr>
      </w:r>
      <w:r/>
    </w:p>
    <w:p>
      <w:pPr>
        <w:pStyle w:val="954"/>
        <w:ind w:firstLine="480"/>
        <w:spacing w:line="264" w:lineRule="auto"/>
        <w:rPr>
          <w:rFonts w:hint="eastAsia" w:ascii="宋体" w:hAnsi="宋体" w:eastAsia="宋体" w:cs="黑体"/>
          <w:color w:val="000000"/>
          <w:sz w:val="24"/>
          <w:szCs w:val="24"/>
        </w:rPr>
      </w:pPr>
      <w:r>
        <w:rPr>
          <w:rFonts w:hint="eastAsia" w:ascii="宋体" w:hAnsi="宋体" w:eastAsia="宋体" w:cs="黑体"/>
          <w:color w:val="000000"/>
          <w:sz w:val="24"/>
          <w:szCs w:val="24"/>
        </w:rPr>
        <w:t xml:space="preserve">《医疗卫生机构网络安全管理办法》（国卫规划发〔2022〕29号）</w:t>
      </w:r>
      <w:r>
        <w:rPr>
          <w:rFonts w:hint="eastAsia" w:ascii="宋体" w:hAnsi="宋体" w:eastAsia="宋体" w:cs="黑体"/>
          <w:color w:val="000000"/>
          <w:sz w:val="24"/>
          <w:szCs w:val="24"/>
        </w:rPr>
      </w:r>
      <w:r/>
    </w:p>
    <w:p>
      <w:pPr>
        <w:pStyle w:val="954"/>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color w:val="000000"/>
          <w:sz w:val="24"/>
          <w:szCs w:val="24"/>
        </w:rPr>
        <w:t xml:space="preserve">以及遵循国家、行业及地方现行的规范和标准。</w:t>
      </w:r>
      <w:r>
        <w:rPr>
          <w:rFonts w:hint="eastAsia" w:ascii="宋体" w:hAnsi="宋体" w:eastAsia="宋体" w:cs="宋体"/>
          <w:bCs/>
          <w:color w:val="000000"/>
          <w:sz w:val="24"/>
          <w:szCs w:val="24"/>
          <w:highlight w:val="none"/>
          <w:lang w:eastAsia="zh-CN"/>
        </w:rPr>
      </w:r>
      <w:r/>
    </w:p>
    <w:p>
      <w:pPr>
        <w:pStyle w:val="954"/>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1077"/>
        <w:tblW w:w="500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79"/>
        <w:gridCol w:w="1938"/>
        <w:gridCol w:w="1074"/>
        <w:gridCol w:w="1021"/>
        <w:gridCol w:w="1516"/>
        <w:gridCol w:w="1885"/>
        <w:gridCol w:w="1559"/>
      </w:tblGrid>
      <w:tr>
        <w:trPr>
          <w:trHeight w:val="735"/>
        </w:trPr>
        <w:tc>
          <w:tcPr>
            <w:tcW w:w="399" w:type="dxa"/>
            <w:vAlign w:val="center"/>
            <w:textDirection w:val="lrTb"/>
            <w:noWrap w:val="false"/>
          </w:tcPr>
          <w:p>
            <w:pPr>
              <w:pStyle w:val="954"/>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991" w:type="dxa"/>
            <w:vAlign w:val="center"/>
            <w:textDirection w:val="lrTb"/>
            <w:noWrap w:val="false"/>
          </w:tcPr>
          <w:p>
            <w:pPr>
              <w:pStyle w:val="954"/>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549" w:type="dxa"/>
            <w:vAlign w:val="center"/>
            <w:textDirection w:val="lrTb"/>
            <w:noWrap w:val="false"/>
          </w:tcPr>
          <w:p>
            <w:pPr>
              <w:pStyle w:val="954"/>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522" w:type="dxa"/>
            <w:vAlign w:val="center"/>
            <w:textDirection w:val="lrTb"/>
            <w:noWrap w:val="false"/>
          </w:tcPr>
          <w:p>
            <w:pPr>
              <w:pStyle w:val="954"/>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775" w:type="dxa"/>
            <w:vAlign w:val="center"/>
            <w:textDirection w:val="lrTb"/>
            <w:noWrap w:val="false"/>
          </w:tcPr>
          <w:p>
            <w:pPr>
              <w:pStyle w:val="954"/>
              <w:jc w:val="center"/>
              <w:spacing w:line="264"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rPr>
            </w:r>
            <w:r/>
          </w:p>
        </w:tc>
        <w:tc>
          <w:tcPr>
            <w:tcW w:w="964" w:type="dxa"/>
            <w:vAlign w:val="center"/>
            <w:textDirection w:val="lrTb"/>
            <w:noWrap w:val="false"/>
          </w:tcPr>
          <w:p>
            <w:pPr>
              <w:pStyle w:val="954"/>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797" w:type="dxa"/>
            <w:vAlign w:val="center"/>
            <w:textDirection w:val="lrTb"/>
            <w:noWrap w:val="false"/>
          </w:tcPr>
          <w:p>
            <w:pPr>
              <w:pStyle w:val="954"/>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r>
      <w:tr>
        <w:trPr>
          <w:trHeight w:val="552"/>
        </w:trPr>
        <w:tc>
          <w:tcPr>
            <w:tcW w:w="399" w:type="dxa"/>
            <w:vAlign w:val="center"/>
            <w:textDirection w:val="lrTb"/>
            <w:noWrap w:val="false"/>
          </w:tcPr>
          <w:p>
            <w:pPr>
              <w:pStyle w:val="954"/>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991" w:type="dxa"/>
            <w:vAlign w:val="center"/>
            <w:textDirection w:val="lrTb"/>
            <w:noWrap w:val="false"/>
          </w:tcPr>
          <w:p>
            <w:pPr>
              <w:pStyle w:val="954"/>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cs="宋体"/>
                <w:bCs/>
                <w:color w:val="000000"/>
                <w:sz w:val="24"/>
                <w:szCs w:val="24"/>
              </w:rPr>
              <w:t xml:space="preserve">数据中心运维监控平台</w:t>
            </w:r>
            <w:r>
              <w:rPr>
                <w:rFonts w:hint="eastAsia" w:ascii="宋体" w:hAnsi="宋体" w:eastAsia="宋体" w:cs="Times New Roman"/>
                <w:bCs/>
                <w:color w:val="000000"/>
                <w:sz w:val="24"/>
                <w:szCs w:val="24"/>
                <w:highlight w:val="none"/>
              </w:rPr>
            </w:r>
            <w:r/>
          </w:p>
        </w:tc>
        <w:tc>
          <w:tcPr>
            <w:tcW w:w="549" w:type="dxa"/>
            <w:vAlign w:val="center"/>
            <w:textDirection w:val="lrTb"/>
            <w:noWrap w:val="false"/>
          </w:tcPr>
          <w:p>
            <w:pPr>
              <w:pStyle w:val="954"/>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522" w:type="dxa"/>
            <w:vAlign w:val="center"/>
            <w:textDirection w:val="lrTb"/>
            <w:noWrap w:val="false"/>
          </w:tcPr>
          <w:p>
            <w:pPr>
              <w:pStyle w:val="954"/>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775" w:type="dxa"/>
            <w:vAlign w:val="center"/>
            <w:textDirection w:val="lrTb"/>
            <w:noWrap w:val="false"/>
          </w:tcPr>
          <w:p>
            <w:pPr>
              <w:pStyle w:val="954"/>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主要产品</w:t>
            </w:r>
            <w:r>
              <w:rPr>
                <w:rFonts w:hint="eastAsia" w:ascii="宋体" w:hAnsi="宋体" w:eastAsia="宋体" w:cs="Times New Roman"/>
                <w:bCs/>
                <w:color w:val="000000"/>
                <w:sz w:val="24"/>
                <w:szCs w:val="24"/>
                <w:highlight w:val="none"/>
              </w:rPr>
            </w:r>
            <w:r/>
          </w:p>
        </w:tc>
        <w:tc>
          <w:tcPr>
            <w:tcW w:w="964" w:type="dxa"/>
            <w:vAlign w:val="center"/>
            <w:textDirection w:val="lrTb"/>
            <w:noWrap w:val="false"/>
          </w:tcPr>
          <w:p>
            <w:pPr>
              <w:pStyle w:val="954"/>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797" w:type="dxa"/>
            <w:vAlign w:val="center"/>
            <w:textDirection w:val="lrTb"/>
            <w:noWrap w:val="false"/>
          </w:tcPr>
          <w:p>
            <w:pPr>
              <w:pStyle w:val="954"/>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r>
    </w:tbl>
    <w:p>
      <w:pPr>
        <w:pStyle w:val="954"/>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954"/>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134"/>
        <w:gridCol w:w="8011"/>
      </w:tblGrid>
      <w:tr>
        <w:trPr/>
        <w:tc>
          <w:tcPr>
            <w:tcW w:w="410" w:type="dxa"/>
            <w:vAlign w:val="center"/>
            <w:textDirection w:val="lrTb"/>
            <w:noWrap w:val="false"/>
          </w:tcPr>
          <w:p>
            <w:pPr>
              <w:pStyle w:val="954"/>
              <w:jc w:val="center"/>
              <w:spacing w:line="300" w:lineRule="exact"/>
              <w:rPr>
                <w:color w:val="000000"/>
              </w:rPr>
            </w:pPr>
            <w:r>
              <w:rPr>
                <w:color w:val="000000"/>
              </w:rPr>
              <w:t xml:space="preserve">序号</w:t>
            </w:r>
            <w:r>
              <w:rPr>
                <w:color w:val="000000"/>
              </w:rPr>
            </w:r>
            <w:r/>
          </w:p>
        </w:tc>
        <w:tc>
          <w:tcPr>
            <w:shd w:val="clear" w:color="auto" w:fill="ffffff"/>
            <w:tcW w:w="569" w:type="dxa"/>
            <w:vAlign w:val="center"/>
            <w:textDirection w:val="lrTb"/>
            <w:noWrap w:val="false"/>
          </w:tcPr>
          <w:p>
            <w:pPr>
              <w:pStyle w:val="954"/>
              <w:jc w:val="center"/>
              <w:spacing w:line="300" w:lineRule="exact"/>
              <w:rPr>
                <w:color w:val="000000"/>
              </w:rPr>
            </w:pPr>
            <w:r>
              <w:rPr>
                <w:color w:val="000000"/>
              </w:rPr>
              <w:t xml:space="preserve">功能模块</w:t>
            </w:r>
            <w:r>
              <w:rPr>
                <w:color w:val="000000"/>
              </w:rPr>
            </w:r>
            <w:r/>
          </w:p>
        </w:tc>
        <w:tc>
          <w:tcPr>
            <w:shd w:val="clear" w:color="auto" w:fill="ffffff"/>
            <w:tcW w:w="4021" w:type="dxa"/>
            <w:vAlign w:val="center"/>
            <w:textDirection w:val="lrTb"/>
            <w:noWrap w:val="false"/>
          </w:tcPr>
          <w:p>
            <w:pPr>
              <w:pStyle w:val="954"/>
              <w:jc w:val="center"/>
              <w:spacing w:line="300" w:lineRule="exact"/>
              <w:rPr>
                <w:color w:val="000000"/>
              </w:rPr>
            </w:pPr>
            <w:r>
              <w:rPr>
                <w:color w:val="000000"/>
              </w:rPr>
              <w:t xml:space="preserve">参数描述</w:t>
            </w:r>
            <w:r>
              <w:rPr>
                <w:color w:val="000000"/>
              </w:rPr>
            </w:r>
            <w:r/>
          </w:p>
        </w:tc>
      </w:tr>
      <w:tr>
        <w:trPr/>
        <w:tc>
          <w:tcPr>
            <w:tcW w:w="410" w:type="dxa"/>
            <w:vAlign w:val="center"/>
            <w:textDirection w:val="lrTb"/>
            <w:noWrap/>
          </w:tcPr>
          <w:p>
            <w:pPr>
              <w:pStyle w:val="954"/>
              <w:jc w:val="center"/>
              <w:spacing w:line="300" w:lineRule="exact"/>
              <w:rPr>
                <w:color w:val="000000"/>
              </w:rPr>
            </w:pPr>
            <w:r>
              <w:rPr>
                <w:rFonts w:hint="eastAsia"/>
                <w:color w:val="000000"/>
              </w:rPr>
              <w:t xml:space="preserve">1</w:t>
            </w:r>
            <w:r>
              <w:rPr>
                <w:color w:val="000000"/>
              </w:rPr>
            </w:r>
            <w:r/>
          </w:p>
        </w:tc>
        <w:tc>
          <w:tcPr>
            <w:shd w:val="clear" w:color="auto" w:fill="ffffff"/>
            <w:tcW w:w="569" w:type="dxa"/>
            <w:vAlign w:val="center"/>
            <w:textDirection w:val="lrTb"/>
            <w:noWrap w:val="false"/>
          </w:tcPr>
          <w:p>
            <w:pPr>
              <w:pStyle w:val="954"/>
              <w:jc w:val="center"/>
              <w:spacing w:line="300" w:lineRule="exact"/>
              <w:rPr>
                <w:color w:val="000000"/>
              </w:rPr>
            </w:pPr>
            <w:r>
              <w:rPr>
                <w:color w:val="000000"/>
              </w:rPr>
              <w:t xml:space="preserve">工作中心</w:t>
            </w:r>
            <w:r>
              <w:rPr>
                <w:color w:val="000000"/>
              </w:rPr>
            </w:r>
            <w:r/>
          </w:p>
        </w:tc>
        <w:tc>
          <w:tcPr>
            <w:shd w:val="clear" w:color="auto" w:fill="ffffff"/>
            <w:tcW w:w="4021" w:type="dxa"/>
            <w:vAlign w:val="center"/>
            <w:textDirection w:val="lrTb"/>
            <w:noWrap w:val="false"/>
          </w:tcPr>
          <w:p>
            <w:pPr>
              <w:pStyle w:val="954"/>
              <w:numPr>
                <w:ilvl w:val="0"/>
                <w:numId w:val="5"/>
              </w:numPr>
              <w:jc w:val="left"/>
              <w:spacing w:line="300" w:lineRule="exact"/>
              <w:widowControl/>
              <w:rPr>
                <w:color w:val="000000"/>
              </w:rPr>
            </w:pPr>
            <w:r>
              <w:rPr>
                <w:rFonts w:hint="eastAsia"/>
                <w:color w:val="000000"/>
              </w:rPr>
              <w:t xml:space="preserve">支持应用级流程可视化编排，支持节点柔性配置与流程拓扑自定义构建，适配复杂运维场景的个性化需求。</w:t>
            </w:r>
            <w:r>
              <w:rPr>
                <w:color w:val="000000"/>
              </w:rPr>
            </w:r>
            <w:r/>
          </w:p>
          <w:p>
            <w:pPr>
              <w:pStyle w:val="954"/>
              <w:numPr>
                <w:ilvl w:val="0"/>
                <w:numId w:val="5"/>
              </w:numPr>
              <w:jc w:val="left"/>
              <w:spacing w:line="300" w:lineRule="exact"/>
              <w:widowControl/>
              <w:rPr>
                <w:color w:val="000000"/>
              </w:rPr>
            </w:pPr>
            <w:r>
              <w:rPr>
                <w:rFonts w:hint="eastAsia"/>
                <w:color w:val="000000"/>
              </w:rPr>
              <w:t xml:space="preserve">提供流程全链路追溯能力，通过可视化流程图直观呈现流转节点、处理状态及历史处理记录，确保处理过程全透明、可追溯。</w:t>
            </w:r>
            <w:r>
              <w:rPr>
                <w:color w:val="000000"/>
              </w:rPr>
            </w:r>
            <w:r/>
          </w:p>
          <w:p>
            <w:pPr>
              <w:pStyle w:val="954"/>
              <w:spacing w:line="300" w:lineRule="exact"/>
              <w:rPr>
                <w:color w:val="000000"/>
              </w:rPr>
            </w:pPr>
            <w:r>
              <w:rPr>
                <w:rFonts w:hint="eastAsia"/>
                <w:color w:val="000000"/>
              </w:rPr>
              <w:t xml:space="preserve">3.支持对告警工单的每个处理节点进行独立的权限控制，构建精细化分级授权体系；可自定义流程发起人、处理角色、节点任务标签及操作指令集，可与院内消息平台联动，支持在关键节点自动触发手机短信等通知，驱动流程自动流转。</w:t>
            </w:r>
            <w:r>
              <w:rPr>
                <w:color w:val="000000"/>
              </w:rPr>
            </w:r>
            <w:r/>
          </w:p>
          <w:p>
            <w:pPr>
              <w:pStyle w:val="954"/>
              <w:spacing w:line="300" w:lineRule="exact"/>
              <w:rPr>
                <w:color w:val="000000"/>
              </w:rPr>
            </w:pPr>
            <w:r>
              <w:rPr>
                <w:rFonts w:hint="eastAsia"/>
                <w:color w:val="000000"/>
              </w:rPr>
              <w:t xml:space="preserve">4.实现任务工单全生命周期自动化流转，内置超时工单智能预警机制，对超时的工单进行自动产生催办通知，确保事件得到及时响应。</w:t>
            </w:r>
            <w:r>
              <w:rPr>
                <w:color w:val="000000"/>
              </w:rPr>
            </w:r>
            <w:r/>
          </w:p>
          <w:p>
            <w:pPr>
              <w:pStyle w:val="954"/>
              <w:spacing w:line="300" w:lineRule="exact"/>
              <w:rPr>
                <w:color w:val="000000"/>
              </w:rPr>
            </w:pPr>
            <w:r>
              <w:rPr>
                <w:rFonts w:hint="eastAsia" w:ascii="宋体" w:hAnsi="宋体" w:cs="宋体"/>
                <w:color w:val="000000"/>
              </w:rPr>
              <w:t xml:space="preserve">★</w:t>
            </w:r>
            <w:r>
              <w:rPr>
                <w:rFonts w:hint="eastAsia"/>
                <w:color w:val="000000"/>
              </w:rPr>
              <w:t xml:space="preserve">5.工作中心控制台融合物理资产、虚拟资产、环境动力、IP资源、波分设备等多维度事件中台，支持在工单详情页面通过点击资产名称直接查看设备的详细信息；提供事件总量统计、未处理队列监控、已完结归档溯源等全景化数据汇总。</w:t>
            </w:r>
            <w:r>
              <w:rPr>
                <w:color w:val="000000"/>
              </w:rPr>
            </w:r>
            <w:r/>
          </w:p>
          <w:p>
            <w:pPr>
              <w:pStyle w:val="954"/>
              <w:spacing w:line="300" w:lineRule="exact"/>
              <w:rPr>
                <w:color w:val="000000"/>
              </w:rPr>
            </w:pPr>
            <w:r>
              <w:rPr>
                <w:rFonts w:hint="eastAsia"/>
                <w:color w:val="000000"/>
              </w:rPr>
              <w:t xml:space="preserve">6.归档记录提供日历视图模式，直观浏览已归档的工单、历史告警及其详细处理日志，历史数据支持保留至少六个月，实现运维数据时间维度可视化。</w:t>
            </w:r>
            <w:r>
              <w:rPr>
                <w:color w:val="000000"/>
              </w:rPr>
            </w:r>
            <w:r/>
          </w:p>
          <w:p>
            <w:pPr>
              <w:pStyle w:val="954"/>
              <w:spacing w:line="300" w:lineRule="exact"/>
              <w:rPr>
                <w:color w:val="000000"/>
              </w:rPr>
            </w:pPr>
            <w:r>
              <w:rPr>
                <w:rFonts w:hint="eastAsia"/>
                <w:color w:val="000000"/>
              </w:rPr>
              <w:t xml:space="preserve">7. 提供告警工单极速处置能力，涵盖一键处理、告警忽略等快捷操作。</w:t>
            </w:r>
            <w:r>
              <w:rPr>
                <w:color w:val="000000"/>
              </w:rPr>
            </w:r>
            <w:r/>
          </w:p>
          <w:p>
            <w:pPr>
              <w:pStyle w:val="954"/>
              <w:spacing w:line="300" w:lineRule="exact"/>
              <w:rPr>
                <w:color w:val="000000"/>
              </w:rPr>
            </w:pPr>
            <w:r>
              <w:rPr>
                <w:rFonts w:hint="eastAsia" w:ascii="微软雅黑" w:hAnsi="微软雅黑" w:eastAsia="微软雅黑" w:cs="微软雅黑"/>
                <w:color w:val="000000"/>
              </w:rPr>
              <w:t xml:space="preserve">▲</w:t>
            </w:r>
            <w:r>
              <w:rPr>
                <w:rFonts w:hint="eastAsia"/>
                <w:color w:val="000000"/>
              </w:rPr>
              <w:t xml:space="preserve">8.基于历史工单数据构建结构化运维知识库，自动匹配同类工单场景，支持标准化处理方案一键调取复用。</w:t>
            </w:r>
            <w:r>
              <w:rPr>
                <w:color w:val="000000"/>
              </w:rPr>
            </w:r>
            <w:r/>
          </w:p>
        </w:tc>
      </w:tr>
      <w:tr>
        <w:trPr/>
        <w:tc>
          <w:tcPr>
            <w:tcW w:w="410" w:type="dxa"/>
            <w:vAlign w:val="center"/>
            <w:textDirection w:val="lrTb"/>
            <w:noWrap/>
          </w:tcPr>
          <w:p>
            <w:pPr>
              <w:pStyle w:val="954"/>
              <w:jc w:val="center"/>
              <w:spacing w:line="300" w:lineRule="exact"/>
              <w:rPr>
                <w:color w:val="000000"/>
              </w:rPr>
            </w:pPr>
            <w:r>
              <w:rPr>
                <w:rFonts w:hint="eastAsia"/>
                <w:color w:val="000000"/>
              </w:rPr>
              <w:t xml:space="preserve">2</w:t>
            </w:r>
            <w:r>
              <w:rPr>
                <w:color w:val="000000"/>
              </w:rPr>
            </w:r>
            <w:r/>
          </w:p>
        </w:tc>
        <w:tc>
          <w:tcPr>
            <w:shd w:val="clear" w:color="auto" w:fill="ffffff"/>
            <w:tcW w:w="569" w:type="dxa"/>
            <w:vAlign w:val="center"/>
            <w:textDirection w:val="lrTb"/>
            <w:noWrap w:val="false"/>
          </w:tcPr>
          <w:p>
            <w:pPr>
              <w:pStyle w:val="954"/>
              <w:jc w:val="center"/>
              <w:spacing w:line="300" w:lineRule="exact"/>
              <w:rPr>
                <w:color w:val="000000"/>
              </w:rPr>
            </w:pPr>
            <w:r>
              <w:rPr>
                <w:color w:val="000000"/>
              </w:rPr>
              <w:t xml:space="preserve">物理资产</w:t>
            </w:r>
            <w:r>
              <w:rPr>
                <w:color w:val="000000"/>
              </w:rPr>
            </w:r>
            <w:r/>
          </w:p>
        </w:tc>
        <w:tc>
          <w:tcPr>
            <w:shd w:val="clear" w:color="auto" w:fill="ffffff"/>
            <w:tcW w:w="4021" w:type="dxa"/>
            <w:vAlign w:val="center"/>
            <w:textDirection w:val="lrTb"/>
            <w:noWrap w:val="false"/>
          </w:tcPr>
          <w:p>
            <w:pPr>
              <w:pStyle w:val="954"/>
              <w:numPr>
                <w:ilvl w:val="0"/>
                <w:numId w:val="6"/>
              </w:numPr>
              <w:jc w:val="left"/>
              <w:spacing w:line="300" w:lineRule="exact"/>
              <w:widowControl/>
              <w:rPr>
                <w:color w:val="000000"/>
              </w:rPr>
            </w:pPr>
            <w:r>
              <w:rPr>
                <w:rFonts w:hint="eastAsia" w:ascii="宋体" w:hAnsi="宋体" w:cs="宋体"/>
                <w:color w:val="000000"/>
              </w:rPr>
              <w:t xml:space="preserve">★</w:t>
            </w:r>
            <w:r>
              <w:rPr>
                <w:rFonts w:hint="eastAsia"/>
                <w:color w:val="000000"/>
              </w:rPr>
              <w:t xml:space="preserve">支持多厂商、多型号、多类型设备的集中纳管与统一监控，通过可视化视图精准还原设备机柜部署、占用情况，实现资产物理位置的精准可视化管理。</w:t>
            </w:r>
            <w:r>
              <w:rPr>
                <w:color w:val="000000"/>
              </w:rPr>
            </w:r>
            <w:r/>
          </w:p>
          <w:p>
            <w:pPr>
              <w:pStyle w:val="954"/>
              <w:numPr>
                <w:ilvl w:val="0"/>
                <w:numId w:val="6"/>
              </w:numPr>
              <w:jc w:val="left"/>
              <w:spacing w:line="300" w:lineRule="exact"/>
              <w:widowControl/>
              <w:rPr>
                <w:color w:val="000000"/>
              </w:rPr>
            </w:pPr>
            <w:r>
              <w:rPr>
                <w:rFonts w:hint="eastAsia"/>
                <w:color w:val="000000"/>
              </w:rPr>
              <w:t xml:space="preserve">支持从物理位置（如数据中心机房、机柜、U位）、设备类别（如服务器、交换机、存储）、归属业务、资产运维等核心维度，构建灵活可配的资产导航与展示视图，满足不同角色的管理需求。</w:t>
            </w:r>
            <w:r>
              <w:rPr>
                <w:color w:val="000000"/>
              </w:rPr>
            </w:r>
            <w:r/>
          </w:p>
          <w:p>
            <w:pPr>
              <w:pStyle w:val="954"/>
              <w:spacing w:line="300" w:lineRule="exact"/>
              <w:rPr>
                <w:color w:val="000000"/>
              </w:rPr>
            </w:pPr>
            <w:r>
              <w:rPr>
                <w:rFonts w:hint="eastAsia"/>
                <w:color w:val="000000"/>
              </w:rPr>
              <w:t xml:space="preserve">3.支持为每项资产建立完整的电子档案，支持资产全维度核心信息关联绑定，涵盖归属台账、预案知识库、IP配置等关键元数据。</w:t>
            </w:r>
            <w:r>
              <w:rPr>
                <w:color w:val="000000"/>
              </w:rPr>
            </w:r>
            <w:r/>
          </w:p>
          <w:p>
            <w:pPr>
              <w:pStyle w:val="954"/>
              <w:spacing w:line="300" w:lineRule="exact"/>
              <w:rPr>
                <w:color w:val="000000"/>
              </w:rPr>
            </w:pPr>
            <w:r>
              <w:rPr>
                <w:rFonts w:hint="eastAsia"/>
                <w:color w:val="000000"/>
              </w:rPr>
              <w:t xml:space="preserve">4.采用SNMP、IPMI等非代理、标准化协议对接架构，在不影响设备正常运行的前提下实现资产配置信息、运行状态、网络参数及拓扑关系的全域监控覆盖：</w:t>
            </w:r>
            <w:r>
              <w:rPr>
                <w:color w:val="000000"/>
              </w:rPr>
            </w:r>
            <w:r/>
          </w:p>
          <w:p>
            <w:pPr>
              <w:pStyle w:val="954"/>
              <w:spacing w:line="300" w:lineRule="exact"/>
              <w:rPr>
                <w:color w:val="000000"/>
              </w:rPr>
            </w:pPr>
            <w:r>
              <w:rPr>
                <w:rFonts w:hint="eastAsia"/>
                <w:color w:val="000000"/>
              </w:rPr>
              <w:t xml:space="preserve">服务器：设备基础画像（品牌、型号、序列号）、硬件资源负载（CPU、内存、磁盘利用率）、核心组件健康状态（Raid控制器、PCIe设备、电源、风扇在线状态）、网络端口性能指标（上下行流量、丢包率、错包率、端口连通性）；</w:t>
            </w:r>
            <w:r>
              <w:rPr>
                <w:color w:val="000000"/>
              </w:rPr>
            </w:r>
            <w:r/>
          </w:p>
          <w:p>
            <w:pPr>
              <w:pStyle w:val="954"/>
              <w:spacing w:line="300" w:lineRule="exact"/>
              <w:rPr>
                <w:color w:val="000000"/>
              </w:rPr>
            </w:pPr>
            <w:r>
              <w:rPr>
                <w:rFonts w:hint="eastAsia"/>
                <w:color w:val="000000"/>
              </w:rPr>
              <w:t xml:space="preserve">网络设备：设备基础画像（品牌、型号、序列号）、板卡资源负载（CPU、内存、磁盘利用率）、网络端口性能指标（上下行流量、丢包率、错包率、光衰、端口连通性）。</w:t>
            </w:r>
            <w:r>
              <w:rPr>
                <w:color w:val="000000"/>
              </w:rPr>
            </w:r>
            <w:r/>
          </w:p>
          <w:p>
            <w:pPr>
              <w:pStyle w:val="954"/>
              <w:spacing w:line="300" w:lineRule="exact"/>
              <w:rPr>
                <w:color w:val="000000"/>
              </w:rPr>
            </w:pPr>
            <w:r>
              <w:rPr>
                <w:rFonts w:hint="eastAsia"/>
                <w:color w:val="000000"/>
              </w:rPr>
              <w:t xml:space="preserve">5.支持监控任务模块化配置，内置配置信息、性能指标、流量数据、网络状态、故障等多维度任务引擎，各引擎支持独立定时调度策略定制。</w:t>
            </w:r>
            <w:r>
              <w:rPr>
                <w:color w:val="000000"/>
              </w:rPr>
            </w:r>
            <w:r/>
          </w:p>
          <w:p>
            <w:pPr>
              <w:pStyle w:val="954"/>
              <w:spacing w:line="300" w:lineRule="exact"/>
              <w:rPr>
                <w:color w:val="000000"/>
              </w:rPr>
            </w:pPr>
            <w:r>
              <w:rPr>
                <w:rFonts w:hint="eastAsia"/>
                <w:color w:val="000000"/>
              </w:rPr>
              <w:t xml:space="preserve">6.提供网络设备（交换机、路由器等）在线配置查询、历史配置备份及配置差异智能比对功能，高亮显示变更内容。</w:t>
            </w:r>
            <w:r>
              <w:rPr>
                <w:color w:val="000000"/>
              </w:rPr>
            </w:r>
            <w:r/>
          </w:p>
          <w:p>
            <w:pPr>
              <w:pStyle w:val="954"/>
              <w:spacing w:line="300" w:lineRule="exact"/>
              <w:rPr>
                <w:color w:val="000000"/>
              </w:rPr>
            </w:pPr>
            <w:r>
              <w:rPr>
                <w:rFonts w:hint="eastAsia"/>
                <w:color w:val="000000"/>
              </w:rPr>
              <w:t xml:space="preserve">7.构建设备全生命周期数字化管理体系，覆盖在用、库存、维修、借出、报废等全状态流转，自动生成生命周期变更记录台账。</w:t>
            </w:r>
            <w:r>
              <w:rPr>
                <w:color w:val="000000"/>
              </w:rPr>
            </w:r>
            <w:r/>
          </w:p>
          <w:p>
            <w:pPr>
              <w:pStyle w:val="954"/>
              <w:spacing w:line="300" w:lineRule="exact"/>
              <w:rPr>
                <w:color w:val="000000"/>
              </w:rPr>
            </w:pPr>
            <w:r>
              <w:rPr>
                <w:rFonts w:hint="eastAsia"/>
                <w:color w:val="000000"/>
              </w:rPr>
              <w:t xml:space="preserve">8.支持设备运行指标差异化阈值定制，可为同类型、不同用途的设备配置不同的策略阈值，结合智能工作流，在指标超出设定阈值时触发工单自动创建与闭环跟踪，实现故障处置自动化流转。</w:t>
            </w:r>
            <w:r>
              <w:rPr>
                <w:color w:val="000000"/>
              </w:rPr>
            </w:r>
            <w:r/>
          </w:p>
          <w:p>
            <w:pPr>
              <w:pStyle w:val="954"/>
              <w:spacing w:line="300" w:lineRule="exact"/>
              <w:rPr>
                <w:color w:val="000000"/>
              </w:rPr>
            </w:pPr>
            <w:r>
              <w:rPr>
                <w:rFonts w:hint="eastAsia" w:ascii="微软雅黑" w:hAnsi="微软雅黑" w:eastAsia="微软雅黑" w:cs="微软雅黑"/>
                <w:color w:val="000000"/>
              </w:rPr>
              <w:t xml:space="preserve">▲</w:t>
            </w:r>
            <w:r>
              <w:rPr>
                <w:rFonts w:hint="eastAsia"/>
                <w:color w:val="000000"/>
              </w:rPr>
              <w:t xml:space="preserve">9.支持堆叠设备智能化识别，精准呈现堆叠组与堆叠成员设备的运行状态与性能数据。</w:t>
            </w:r>
            <w:r>
              <w:rPr>
                <w:color w:val="000000"/>
              </w:rPr>
            </w:r>
            <w:r/>
          </w:p>
        </w:tc>
      </w:tr>
      <w:tr>
        <w:trPr>
          <w:trHeight w:val="50"/>
        </w:trPr>
        <w:tc>
          <w:tcPr>
            <w:tcW w:w="410" w:type="dxa"/>
            <w:vAlign w:val="center"/>
            <w:textDirection w:val="lrTb"/>
            <w:noWrap/>
          </w:tcPr>
          <w:p>
            <w:pPr>
              <w:pStyle w:val="954"/>
              <w:jc w:val="center"/>
              <w:spacing w:line="300" w:lineRule="exact"/>
              <w:rPr>
                <w:color w:val="000000"/>
              </w:rPr>
            </w:pPr>
            <w:r>
              <w:rPr>
                <w:rFonts w:hint="eastAsia"/>
                <w:color w:val="000000"/>
              </w:rPr>
              <w:t xml:space="preserve">3</w:t>
            </w:r>
            <w:r>
              <w:rPr>
                <w:color w:val="000000"/>
              </w:rPr>
            </w:r>
            <w:r/>
          </w:p>
        </w:tc>
        <w:tc>
          <w:tcPr>
            <w:shd w:val="clear" w:color="auto" w:fill="ffffff"/>
            <w:tcW w:w="569" w:type="dxa"/>
            <w:vAlign w:val="center"/>
            <w:textDirection w:val="lrTb"/>
            <w:noWrap w:val="false"/>
          </w:tcPr>
          <w:p>
            <w:pPr>
              <w:pStyle w:val="954"/>
              <w:jc w:val="center"/>
              <w:spacing w:line="300" w:lineRule="exact"/>
              <w:rPr>
                <w:color w:val="000000"/>
              </w:rPr>
            </w:pPr>
            <w:r>
              <w:rPr>
                <w:color w:val="000000"/>
              </w:rPr>
              <w:t xml:space="preserve">虚拟资产</w:t>
            </w:r>
            <w:r>
              <w:rPr>
                <w:color w:val="000000"/>
              </w:rPr>
            </w:r>
            <w:r/>
          </w:p>
        </w:tc>
        <w:tc>
          <w:tcPr>
            <w:shd w:val="clear" w:color="auto" w:fill="ffffff"/>
            <w:tcW w:w="4021" w:type="dxa"/>
            <w:vAlign w:val="center"/>
            <w:textDirection w:val="lrTb"/>
            <w:noWrap w:val="false"/>
          </w:tcPr>
          <w:p>
            <w:pPr>
              <w:pStyle w:val="954"/>
              <w:spacing w:line="300" w:lineRule="exact"/>
              <w:rPr>
                <w:color w:val="000000"/>
              </w:rPr>
            </w:pPr>
            <w:r>
              <w:rPr>
                <w:rFonts w:hint="eastAsia"/>
                <w:color w:val="000000"/>
              </w:rPr>
              <w:t xml:space="preserve">1.采用云原生轻量化、非代理对接架构，实现私有云虚拟服务器资产的统一纳管，构建云平台带外监控能力，在不影响云平台正常运行的前提下保障云资源全域可视。</w:t>
            </w:r>
            <w:r>
              <w:rPr>
                <w:color w:val="000000"/>
              </w:rPr>
            </w:r>
            <w:r/>
          </w:p>
          <w:p>
            <w:pPr>
              <w:pStyle w:val="954"/>
              <w:spacing w:line="300" w:lineRule="exact"/>
              <w:rPr>
                <w:color w:val="000000"/>
              </w:rPr>
            </w:pPr>
            <w:r>
              <w:rPr>
                <w:rFonts w:hint="eastAsia"/>
                <w:color w:val="000000"/>
              </w:rPr>
              <w:t xml:space="preserve">2.支持按云平台维度实现集群内虚拟服务器核心指标监控与</w:t>
            </w:r>
            <w:r>
              <w:rPr>
                <w:rFonts w:hint="eastAsia" w:ascii="宋体" w:hAnsi="宋体" w:cs="宋体"/>
                <w:color w:val="000000"/>
              </w:rPr>
              <w:t xml:space="preserve">历史数据留存</w:t>
            </w:r>
            <w:r>
              <w:rPr>
                <w:rFonts w:hint="eastAsia"/>
                <w:color w:val="000000"/>
              </w:rPr>
              <w:t xml:space="preserve">，涵盖数量统计、操作系统类型、硬件资源（CPU、内存、硬盘及分区容量、网卡）、进程详情、网络流量，以及开关机、创建删除等生命周期事件；支持虚拟机进程深度洞察，包括运行时长、资源占用等维度数据。</w:t>
            </w:r>
            <w:r>
              <w:rPr>
                <w:color w:val="000000"/>
              </w:rPr>
            </w:r>
            <w:r/>
          </w:p>
          <w:p>
            <w:pPr>
              <w:pStyle w:val="954"/>
              <w:spacing w:line="300" w:lineRule="exact"/>
              <w:rPr>
                <w:color w:val="000000"/>
              </w:rPr>
            </w:pPr>
            <w:r>
              <w:rPr>
                <w:rFonts w:hint="eastAsia" w:ascii="微软雅黑" w:hAnsi="微软雅黑" w:eastAsia="微软雅黑" w:cs="微软雅黑"/>
                <w:color w:val="000000"/>
              </w:rPr>
              <w:t xml:space="preserve">▲</w:t>
            </w:r>
            <w:r>
              <w:rPr>
                <w:rFonts w:hint="eastAsia"/>
                <w:color w:val="000000"/>
              </w:rPr>
              <w:t xml:space="preserve">3.支持为虚拟机绑定归属信息，包括所属业务、负责人、联系电话，支持将虚拟机告警精准推送至业务负责人。（需提供系统截图并加盖公章）</w:t>
            </w:r>
            <w:r>
              <w:rPr>
                <w:color w:val="000000"/>
              </w:rPr>
            </w:r>
            <w:r/>
          </w:p>
          <w:p>
            <w:pPr>
              <w:pStyle w:val="954"/>
              <w:spacing w:line="300" w:lineRule="exact"/>
              <w:rPr>
                <w:color w:val="000000"/>
              </w:rPr>
            </w:pPr>
            <w:r>
              <w:rPr>
                <w:rFonts w:hint="eastAsia"/>
                <w:color w:val="000000"/>
              </w:rPr>
              <w:t xml:space="preserve">4.提供私有云虚拟服务器物理宿主机精准定位能力，直观呈现虚拟机所在物理服务器并支持一键跳转查看该物理服务器的的运行状态与资源负载概况。</w:t>
            </w:r>
            <w:r>
              <w:rPr>
                <w:color w:val="000000"/>
              </w:rPr>
            </w:r>
            <w:r/>
          </w:p>
          <w:p>
            <w:pPr>
              <w:pStyle w:val="954"/>
              <w:spacing w:line="300" w:lineRule="exact"/>
              <w:rPr>
                <w:color w:val="000000"/>
              </w:rPr>
            </w:pPr>
            <w:r>
              <w:rPr>
                <w:rFonts w:hint="eastAsia"/>
                <w:color w:val="000000"/>
              </w:rPr>
              <w:t xml:space="preserve">5.进行集群资源智能分析，支持虚拟服务器总数、运行数、关闭数等核心指标统计；支持虚拟服务器全生命周期跟踪（创建时间、运行时长、变更记录），定期采集资源配置信息；系统支持通过轻量化对接实现系统进程深度监控。</w:t>
            </w:r>
            <w:r>
              <w:rPr>
                <w:color w:val="000000"/>
              </w:rPr>
            </w:r>
            <w:r/>
          </w:p>
          <w:p>
            <w:pPr>
              <w:pStyle w:val="954"/>
              <w:spacing w:line="300" w:lineRule="exact"/>
              <w:rPr>
                <w:color w:val="000000"/>
              </w:rPr>
            </w:pPr>
            <w:r>
              <w:rPr>
                <w:rFonts w:hint="eastAsia"/>
                <w:color w:val="000000"/>
              </w:rPr>
              <w:t xml:space="preserve">6.支持以智慧可视化的方式展示虚拟化主机的整体运行状况，支持资产多维度筛选与告警精准过滤，提供筛选结果智能轮播展示功能，聚焦关键资源。</w:t>
            </w:r>
            <w:r>
              <w:rPr>
                <w:color w:val="000000"/>
              </w:rPr>
            </w:r>
            <w:r/>
          </w:p>
        </w:tc>
      </w:tr>
      <w:tr>
        <w:trPr>
          <w:trHeight w:val="50"/>
        </w:trPr>
        <w:tc>
          <w:tcPr>
            <w:tcW w:w="410" w:type="dxa"/>
            <w:vAlign w:val="center"/>
            <w:textDirection w:val="lrTb"/>
            <w:noWrap/>
          </w:tcPr>
          <w:p>
            <w:pPr>
              <w:pStyle w:val="954"/>
              <w:jc w:val="center"/>
              <w:spacing w:line="300" w:lineRule="exact"/>
              <w:rPr>
                <w:color w:val="000000"/>
              </w:rPr>
            </w:pPr>
            <w:r>
              <w:rPr>
                <w:rFonts w:hint="eastAsia"/>
                <w:color w:val="000000"/>
              </w:rPr>
              <w:t xml:space="preserve">4</w:t>
            </w:r>
            <w:r>
              <w:rPr>
                <w:color w:val="000000"/>
              </w:rPr>
            </w:r>
            <w:r/>
          </w:p>
        </w:tc>
        <w:tc>
          <w:tcPr>
            <w:shd w:val="clear" w:color="auto" w:fill="ffffff"/>
            <w:tcW w:w="569" w:type="dxa"/>
            <w:vAlign w:val="center"/>
            <w:textDirection w:val="lrTb"/>
            <w:noWrap w:val="false"/>
          </w:tcPr>
          <w:p>
            <w:pPr>
              <w:pStyle w:val="954"/>
              <w:jc w:val="center"/>
              <w:spacing w:line="300" w:lineRule="exact"/>
              <w:rPr>
                <w:color w:val="000000"/>
              </w:rPr>
            </w:pPr>
            <w:r>
              <w:rPr>
                <w:rFonts w:hint="eastAsia"/>
                <w:color w:val="000000"/>
              </w:rPr>
              <w:t xml:space="preserve">环境动力</w:t>
            </w:r>
            <w:r>
              <w:rPr>
                <w:color w:val="000000"/>
              </w:rPr>
            </w:r>
            <w:r/>
          </w:p>
        </w:tc>
        <w:tc>
          <w:tcPr>
            <w:shd w:val="clear" w:color="auto" w:fill="ffffff"/>
            <w:tcW w:w="4021" w:type="dxa"/>
            <w:vAlign w:val="center"/>
            <w:textDirection w:val="lrTb"/>
            <w:noWrap w:val="false"/>
          </w:tcPr>
          <w:p>
            <w:pPr>
              <w:pStyle w:val="954"/>
              <w:numPr>
                <w:ilvl w:val="0"/>
                <w:numId w:val="7"/>
              </w:numPr>
              <w:jc w:val="left"/>
              <w:spacing w:line="300" w:lineRule="exact"/>
              <w:widowControl/>
              <w:rPr>
                <w:color w:val="000000"/>
              </w:rPr>
            </w:pPr>
            <w:r>
              <w:rPr>
                <w:rFonts w:hint="eastAsia"/>
                <w:color w:val="000000"/>
              </w:rPr>
              <w:t xml:space="preserve">具备完善的环境监控管理功能，可实现对数据中心UPS、精密空调、温湿度、烟感、漏水检测等各类感应设备的检测与集中管理，全面覆盖机房环境核心监测点。</w:t>
            </w:r>
            <w:r>
              <w:rPr>
                <w:color w:val="000000"/>
              </w:rPr>
            </w:r>
            <w:r/>
          </w:p>
          <w:p>
            <w:pPr>
              <w:pStyle w:val="954"/>
              <w:numPr>
                <w:ilvl w:val="0"/>
                <w:numId w:val="7"/>
              </w:numPr>
              <w:jc w:val="left"/>
              <w:spacing w:line="300" w:lineRule="exact"/>
              <w:widowControl/>
              <w:rPr>
                <w:color w:val="000000"/>
              </w:rPr>
            </w:pPr>
            <w:r>
              <w:rPr>
                <w:rFonts w:hint="eastAsia"/>
                <w:color w:val="000000"/>
              </w:rPr>
              <w:t xml:space="preserve">支持与现有环境监控系统无缝对接，实现环境数据的统一汇聚与集中展示。</w:t>
            </w:r>
            <w:r>
              <w:rPr>
                <w:color w:val="000000"/>
              </w:rPr>
            </w:r>
            <w:r/>
          </w:p>
          <w:p>
            <w:pPr>
              <w:pStyle w:val="954"/>
              <w:numPr>
                <w:ilvl w:val="0"/>
                <w:numId w:val="7"/>
              </w:numPr>
              <w:jc w:val="left"/>
              <w:spacing w:line="300" w:lineRule="exact"/>
              <w:widowControl/>
              <w:rPr>
                <w:color w:val="000000"/>
              </w:rPr>
            </w:pPr>
            <w:r>
              <w:rPr>
                <w:rFonts w:hint="eastAsia"/>
                <w:color w:val="000000"/>
              </w:rPr>
              <w:t xml:space="preserve">支持3D可视化系统联调配置，实现真实3D场景与环境动力数据的实时联动，直观呈现机房环境运行状态，提升机房环境管理可视化水平。</w:t>
            </w:r>
            <w:r>
              <w:rPr>
                <w:color w:val="000000"/>
              </w:rPr>
            </w:r>
            <w:r/>
          </w:p>
          <w:p>
            <w:pPr>
              <w:pStyle w:val="954"/>
              <w:numPr>
                <w:ilvl w:val="0"/>
                <w:numId w:val="7"/>
              </w:numPr>
              <w:jc w:val="left"/>
              <w:spacing w:line="300" w:lineRule="exact"/>
              <w:widowControl/>
              <w:rPr>
                <w:color w:val="000000"/>
              </w:rPr>
            </w:pPr>
            <w:r>
              <w:rPr>
                <w:rFonts w:hint="eastAsia"/>
                <w:color w:val="000000"/>
              </w:rPr>
              <w:t xml:space="preserve">具备主动与被动双重数据采集能力，可根据责任部门、责任人等条件，实现流程节点自动推送，自动创建告警工单并跟踪处理进度，确保环境异常事件及时处置、形成闭环。</w:t>
            </w:r>
            <w:r>
              <w:rPr>
                <w:color w:val="000000"/>
              </w:rPr>
            </w:r>
            <w:r/>
          </w:p>
        </w:tc>
      </w:tr>
      <w:tr>
        <w:trPr/>
        <w:tc>
          <w:tcPr>
            <w:tcW w:w="410" w:type="dxa"/>
            <w:vAlign w:val="center"/>
            <w:textDirection w:val="lrTb"/>
            <w:noWrap/>
          </w:tcPr>
          <w:p>
            <w:pPr>
              <w:pStyle w:val="954"/>
              <w:jc w:val="center"/>
              <w:spacing w:line="300" w:lineRule="exact"/>
              <w:rPr>
                <w:color w:val="000000"/>
              </w:rPr>
            </w:pPr>
            <w:r>
              <w:rPr>
                <w:rFonts w:hint="eastAsia"/>
                <w:color w:val="000000"/>
              </w:rPr>
              <w:t xml:space="preserve">5</w:t>
            </w:r>
            <w:r>
              <w:rPr>
                <w:color w:val="000000"/>
              </w:rPr>
            </w:r>
            <w:r/>
          </w:p>
        </w:tc>
        <w:tc>
          <w:tcPr>
            <w:shd w:val="clear" w:color="auto" w:fill="ffffff"/>
            <w:tcW w:w="569" w:type="dxa"/>
            <w:vAlign w:val="center"/>
            <w:textDirection w:val="lrTb"/>
            <w:noWrap w:val="false"/>
          </w:tcPr>
          <w:p>
            <w:pPr>
              <w:pStyle w:val="954"/>
              <w:jc w:val="center"/>
              <w:spacing w:line="300" w:lineRule="exact"/>
              <w:rPr>
                <w:color w:val="000000"/>
              </w:rPr>
            </w:pPr>
            <w:r>
              <w:rPr>
                <w:color w:val="000000"/>
              </w:rPr>
              <w:t xml:space="preserve">IP资源</w:t>
            </w:r>
            <w:r>
              <w:rPr>
                <w:color w:val="000000"/>
              </w:rPr>
            </w:r>
            <w:r/>
          </w:p>
        </w:tc>
        <w:tc>
          <w:tcPr>
            <w:shd w:val="clear" w:color="auto" w:fill="ffffff"/>
            <w:tcW w:w="4021" w:type="dxa"/>
            <w:vAlign w:val="center"/>
            <w:textDirection w:val="lrTb"/>
            <w:noWrap w:val="false"/>
          </w:tcPr>
          <w:p>
            <w:pPr>
              <w:pStyle w:val="954"/>
              <w:spacing w:line="300" w:lineRule="exact"/>
              <w:rPr>
                <w:color w:val="000000"/>
              </w:rPr>
            </w:pPr>
            <w:r>
              <w:rPr>
                <w:rFonts w:hint="eastAsia"/>
                <w:color w:val="000000"/>
              </w:rPr>
              <w:t xml:space="preserve">1.支持IPv4/IPv6双栈IP地址动态管理，内置智能统计引擎，自动完成网段汇总、使用详情统计、离线状态监控、未用资源盘点等全面数据梳理。</w:t>
            </w:r>
            <w:r>
              <w:rPr>
                <w:color w:val="000000"/>
              </w:rPr>
            </w:r>
            <w:r/>
          </w:p>
          <w:p>
            <w:pPr>
              <w:pStyle w:val="954"/>
              <w:spacing w:line="300" w:lineRule="exact"/>
              <w:rPr>
                <w:color w:val="000000"/>
              </w:rPr>
            </w:pPr>
            <w:r>
              <w:rPr>
                <w:rFonts w:hint="eastAsia"/>
                <w:color w:val="000000"/>
              </w:rPr>
              <w:t xml:space="preserve">2.构建全网IP地址资源动态管控体系，支持归属部门、使用人及地点等元数据标准化登记，实现IP资源多维度管理。</w:t>
            </w:r>
            <w:r>
              <w:rPr>
                <w:color w:val="000000"/>
              </w:rPr>
            </w:r>
            <w:r/>
          </w:p>
          <w:p>
            <w:pPr>
              <w:pStyle w:val="954"/>
              <w:spacing w:line="300" w:lineRule="exact"/>
              <w:rPr>
                <w:color w:val="000000"/>
              </w:rPr>
            </w:pPr>
            <w:r>
              <w:rPr>
                <w:rFonts w:hint="eastAsia"/>
                <w:color w:val="000000"/>
              </w:rPr>
              <w:t xml:space="preserve">3.支持重点IP网段设备IP迁入/迁出行为自动汇总，实现重要IP资源使用状态可视化管控。</w:t>
            </w:r>
            <w:r>
              <w:rPr>
                <w:color w:val="000000"/>
              </w:rPr>
            </w:r>
            <w:r/>
          </w:p>
          <w:p>
            <w:pPr>
              <w:pStyle w:val="954"/>
              <w:spacing w:line="300" w:lineRule="exact"/>
              <w:rPr>
                <w:color w:val="000000"/>
              </w:rPr>
            </w:pPr>
            <w:r>
              <w:rPr>
                <w:rFonts w:hint="eastAsia"/>
                <w:color w:val="000000"/>
              </w:rPr>
              <w:t xml:space="preserve">4.自动采集IP地址全维度关键信息，包括在线状态、关联MAC地址、所在设备端口、物理位置及最近状态更新时间；实现IP地址四级精准定位（机房-机柜-设备-端口）。</w:t>
            </w:r>
            <w:r>
              <w:rPr>
                <w:color w:val="000000"/>
              </w:rPr>
            </w:r>
            <w:r/>
          </w:p>
          <w:p>
            <w:pPr>
              <w:pStyle w:val="954"/>
              <w:spacing w:line="300" w:lineRule="exact"/>
              <w:rPr>
                <w:color w:val="000000"/>
              </w:rPr>
            </w:pPr>
            <w:r>
              <w:rPr>
                <w:rFonts w:hint="eastAsia"/>
                <w:color w:val="000000"/>
              </w:rPr>
              <w:t xml:space="preserve">5.支持IP地理分布精细化管理（至楼宇、楼层级别），提供网段视角与位置视角双模式维护体系，适配不同运维场景需求。</w:t>
            </w:r>
            <w:r>
              <w:rPr>
                <w:color w:val="000000"/>
              </w:rPr>
            </w:r>
            <w:r/>
          </w:p>
          <w:p>
            <w:pPr>
              <w:pStyle w:val="954"/>
              <w:spacing w:line="300" w:lineRule="exact"/>
              <w:rPr>
                <w:color w:val="000000"/>
              </w:rPr>
            </w:pPr>
            <w:r>
              <w:rPr>
                <w:rFonts w:hint="eastAsia"/>
                <w:color w:val="000000"/>
              </w:rPr>
              <w:t xml:space="preserve">6.内置IP及MAC地址智能检索引擎，支持关键词快速匹配与目标网段自动跳转，提升IP资源查询效率。</w:t>
            </w:r>
            <w:r>
              <w:rPr>
                <w:color w:val="000000"/>
              </w:rPr>
            </w:r>
            <w:r/>
          </w:p>
          <w:p>
            <w:pPr>
              <w:pStyle w:val="954"/>
              <w:spacing w:line="300" w:lineRule="exact"/>
              <w:rPr>
                <w:color w:val="000000"/>
              </w:rPr>
            </w:pPr>
            <w:r>
              <w:rPr>
                <w:rFonts w:hint="eastAsia" w:ascii="微软雅黑" w:hAnsi="微软雅黑" w:eastAsia="微软雅黑" w:cs="微软雅黑"/>
                <w:color w:val="000000"/>
              </w:rPr>
              <w:t xml:space="preserve">▲</w:t>
            </w:r>
            <w:r>
              <w:rPr>
                <w:rFonts w:hint="eastAsia"/>
                <w:color w:val="000000"/>
              </w:rPr>
              <w:t xml:space="preserve">7.支持IP与MAC地址关联，自动统计IP与MAC对应关系，支持IP与设备端口精准映射，可实时调取端口流量趋势图。</w:t>
            </w:r>
            <w:r>
              <w:rPr>
                <w:color w:val="000000"/>
              </w:rPr>
            </w:r>
            <w:r/>
          </w:p>
          <w:p>
            <w:pPr>
              <w:pStyle w:val="954"/>
              <w:spacing w:line="300" w:lineRule="exact"/>
              <w:rPr>
                <w:color w:val="000000"/>
              </w:rPr>
            </w:pPr>
            <w:r>
              <w:rPr>
                <w:rFonts w:hint="eastAsia"/>
                <w:color w:val="000000"/>
              </w:rPr>
              <w:t xml:space="preserve">8.提供IP路径智能寻踪，支持自定义源目IP地址，自动模拟并图形化展示数据包在网络中的实际传输路径，包括经过的每一跳设备。内置IP地址智能回收机制，自动将长期离线IP资源转为未使用状态，实现IP资源高效复用。</w:t>
            </w:r>
            <w:r>
              <w:rPr>
                <w:color w:val="000000"/>
              </w:rPr>
            </w:r>
            <w:r/>
          </w:p>
        </w:tc>
      </w:tr>
      <w:tr>
        <w:trPr/>
        <w:tc>
          <w:tcPr>
            <w:tcW w:w="410" w:type="dxa"/>
            <w:vAlign w:val="center"/>
            <w:textDirection w:val="lrTb"/>
            <w:noWrap/>
          </w:tcPr>
          <w:p>
            <w:pPr>
              <w:pStyle w:val="954"/>
              <w:jc w:val="center"/>
              <w:spacing w:line="300" w:lineRule="exact"/>
              <w:rPr>
                <w:color w:val="000000"/>
              </w:rPr>
            </w:pPr>
            <w:r>
              <w:rPr>
                <w:rFonts w:hint="eastAsia"/>
                <w:color w:val="000000"/>
              </w:rPr>
              <w:t xml:space="preserve">6</w:t>
            </w:r>
            <w:r>
              <w:rPr>
                <w:color w:val="000000"/>
              </w:rPr>
            </w:r>
            <w:r/>
          </w:p>
        </w:tc>
        <w:tc>
          <w:tcPr>
            <w:shd w:val="clear" w:color="auto" w:fill="ffffff"/>
            <w:tcW w:w="569" w:type="dxa"/>
            <w:vAlign w:val="center"/>
            <w:textDirection w:val="lrTb"/>
            <w:noWrap w:val="false"/>
          </w:tcPr>
          <w:p>
            <w:pPr>
              <w:pStyle w:val="954"/>
              <w:jc w:val="center"/>
              <w:spacing w:line="300" w:lineRule="exact"/>
              <w:rPr>
                <w:color w:val="000000"/>
              </w:rPr>
            </w:pPr>
            <w:r>
              <w:rPr>
                <w:color w:val="000000"/>
              </w:rPr>
              <w:t xml:space="preserve">静态拓扑</w:t>
            </w:r>
            <w:r>
              <w:rPr>
                <w:color w:val="000000"/>
              </w:rPr>
            </w:r>
            <w:r/>
          </w:p>
        </w:tc>
        <w:tc>
          <w:tcPr>
            <w:shd w:val="clear" w:color="auto" w:fill="ffffff"/>
            <w:tcW w:w="4021" w:type="dxa"/>
            <w:vAlign w:val="center"/>
            <w:textDirection w:val="lrTb"/>
            <w:noWrap w:val="false"/>
          </w:tcPr>
          <w:p>
            <w:pPr>
              <w:pStyle w:val="954"/>
              <w:spacing w:line="300" w:lineRule="exact"/>
              <w:rPr>
                <w:color w:val="000000"/>
              </w:rPr>
            </w:pPr>
            <w:r>
              <w:rPr>
                <w:rFonts w:hint="eastAsia"/>
                <w:color w:val="000000"/>
              </w:rPr>
              <w:t xml:space="preserve">1.支持网络拓扑扫描、自动生成、手动绘制、统一存档，实现拓扑资源规范化管理。</w:t>
            </w:r>
            <w:r>
              <w:rPr>
                <w:color w:val="000000"/>
              </w:rPr>
            </w:r>
            <w:r/>
          </w:p>
          <w:p>
            <w:pPr>
              <w:pStyle w:val="954"/>
              <w:spacing w:line="300" w:lineRule="exact"/>
              <w:rPr>
                <w:color w:val="000000"/>
              </w:rPr>
            </w:pPr>
            <w:r>
              <w:rPr>
                <w:rFonts w:hint="eastAsia"/>
                <w:color w:val="000000"/>
              </w:rPr>
              <w:t xml:space="preserve">2.支持拓扑图资产元素与设备运行数据动态绑定，在静态拓扑视图基础上，实时呈现资产核心信息（名称、类别、IP地址、品牌、型号、机房/机柜/U位）、告警状态、基础性能指标（CPU、内存利用率）、端口接入IP、端口性能（上下行流量、负载率）及链路性能（流量、带宽）等动态数据，实现拓扑与数据深度融合。</w:t>
            </w:r>
            <w:r>
              <w:rPr>
                <w:color w:val="000000"/>
              </w:rPr>
            </w:r>
            <w:r/>
          </w:p>
          <w:p>
            <w:pPr>
              <w:pStyle w:val="954"/>
              <w:spacing w:line="300" w:lineRule="exact"/>
              <w:rPr>
                <w:color w:val="000000"/>
              </w:rPr>
            </w:pPr>
            <w:r>
              <w:rPr>
                <w:rFonts w:hint="eastAsia"/>
                <w:color w:val="000000"/>
              </w:rPr>
              <w:t xml:space="preserve">3. 支持在拓扑图界面直接调用远程工具，实现目标设备一键快捷访问。</w:t>
            </w:r>
            <w:r>
              <w:rPr>
                <w:color w:val="000000"/>
              </w:rPr>
            </w:r>
            <w:r/>
          </w:p>
          <w:p>
            <w:pPr>
              <w:pStyle w:val="954"/>
              <w:spacing w:line="300" w:lineRule="exact"/>
              <w:rPr>
                <w:color w:val="000000"/>
              </w:rPr>
            </w:pPr>
            <w:r>
              <w:rPr>
                <w:rFonts w:hint="eastAsia" w:ascii="微软雅黑" w:hAnsi="微软雅黑" w:eastAsia="微软雅黑" w:cs="微软雅黑"/>
                <w:color w:val="000000"/>
              </w:rPr>
              <w:t xml:space="preserve">▲</w:t>
            </w:r>
            <w:r>
              <w:rPr>
                <w:rFonts w:hint="eastAsia"/>
                <w:color w:val="000000"/>
              </w:rPr>
              <w:t xml:space="preserve">4.实现多维度拓扑联动定位能力，构建总拓扑-分支拓扑-设备-端口四级关联体系；支持告警内容逐层下钻，从总拓扑精准定位至单个设备的具体端口。</w:t>
            </w:r>
            <w:r>
              <w:rPr>
                <w:color w:val="000000"/>
              </w:rPr>
            </w:r>
            <w:r/>
          </w:p>
        </w:tc>
      </w:tr>
      <w:tr>
        <w:trPr/>
        <w:tc>
          <w:tcPr>
            <w:tcW w:w="410" w:type="dxa"/>
            <w:vAlign w:val="center"/>
            <w:textDirection w:val="lrTb"/>
            <w:noWrap/>
          </w:tcPr>
          <w:p>
            <w:pPr>
              <w:pStyle w:val="954"/>
              <w:jc w:val="center"/>
              <w:spacing w:line="300" w:lineRule="exact"/>
              <w:rPr>
                <w:color w:val="000000"/>
              </w:rPr>
            </w:pPr>
            <w:r>
              <w:rPr>
                <w:rFonts w:hint="eastAsia"/>
                <w:color w:val="000000"/>
              </w:rPr>
              <w:t xml:space="preserve">7</w:t>
            </w:r>
            <w:r>
              <w:rPr>
                <w:color w:val="000000"/>
              </w:rPr>
            </w:r>
            <w:r/>
          </w:p>
        </w:tc>
        <w:tc>
          <w:tcPr>
            <w:shd w:val="clear" w:color="auto" w:fill="ffffff"/>
            <w:tcW w:w="569" w:type="dxa"/>
            <w:vAlign w:val="center"/>
            <w:textDirection w:val="lrTb"/>
            <w:noWrap w:val="false"/>
          </w:tcPr>
          <w:p>
            <w:pPr>
              <w:pStyle w:val="954"/>
              <w:jc w:val="center"/>
              <w:spacing w:line="300" w:lineRule="exact"/>
              <w:rPr>
                <w:color w:val="000000"/>
              </w:rPr>
            </w:pPr>
            <w:r>
              <w:rPr>
                <w:rFonts w:hint="eastAsia"/>
                <w:color w:val="000000"/>
              </w:rPr>
              <w:t xml:space="preserve">波分设备监控管理</w:t>
            </w:r>
            <w:r>
              <w:rPr>
                <w:color w:val="000000"/>
              </w:rPr>
            </w:r>
            <w:r/>
          </w:p>
        </w:tc>
        <w:tc>
          <w:tcPr>
            <w:shd w:val="clear" w:color="auto" w:fill="ffffff"/>
            <w:tcW w:w="4021" w:type="dxa"/>
            <w:vAlign w:val="center"/>
            <w:textDirection w:val="lrTb"/>
            <w:noWrap w:val="false"/>
          </w:tcPr>
          <w:p>
            <w:pPr>
              <w:pStyle w:val="954"/>
              <w:spacing w:line="300" w:lineRule="exact"/>
              <w:rPr>
                <w:color w:val="000000"/>
              </w:rPr>
            </w:pPr>
            <w:r>
              <w:rPr>
                <w:rFonts w:hint="eastAsia" w:ascii="微软雅黑" w:hAnsi="微软雅黑" w:eastAsia="微软雅黑" w:cs="微软雅黑"/>
                <w:color w:val="000000"/>
              </w:rPr>
              <w:t xml:space="preserve">▲</w:t>
            </w:r>
            <w:r>
              <w:rPr>
                <w:rFonts w:hint="eastAsia"/>
                <w:color w:val="000000"/>
              </w:rPr>
              <w:t xml:space="preserve">1. 实现与院内现有的华为波分设备O</w:t>
            </w:r>
            <w:r>
              <w:rPr>
                <w:color w:val="000000"/>
              </w:rPr>
              <w:t xml:space="preserve">ptiX OSN </w:t>
            </w:r>
            <w:r>
              <w:rPr>
                <w:rFonts w:hint="eastAsia"/>
                <w:color w:val="000000"/>
              </w:rPr>
              <w:t xml:space="preserve">1</w:t>
            </w:r>
            <w:r>
              <w:rPr>
                <w:color w:val="000000"/>
              </w:rPr>
              <w:t xml:space="preserve">800V</w:t>
            </w:r>
            <w:r>
              <w:rPr>
                <w:rFonts w:hint="eastAsia"/>
                <w:color w:val="000000"/>
              </w:rPr>
              <w:t xml:space="preserve">和Op</w:t>
            </w:r>
            <w:r>
              <w:rPr>
                <w:color w:val="000000"/>
              </w:rPr>
              <w:t xml:space="preserve">tiXtrans E6608T</w:t>
            </w:r>
            <w:r>
              <w:rPr>
                <w:rFonts w:hint="eastAsia"/>
                <w:color w:val="000000"/>
              </w:rPr>
              <w:t xml:space="preserve">管理平台标准化对接，同步展示网元连通拓扑结构，在不影响波分设备正常运行的前提下实现波分资源全域可视（中标后提供实际对接获取上述型号波分设备的网元属性信息和互联链路信息情况截图并加盖公章）。</w:t>
            </w:r>
            <w:r>
              <w:rPr>
                <w:color w:val="000000"/>
              </w:rPr>
            </w:r>
            <w:r/>
          </w:p>
          <w:p>
            <w:pPr>
              <w:pStyle w:val="954"/>
              <w:spacing w:line="300" w:lineRule="exact"/>
              <w:rPr>
                <w:color w:val="000000"/>
              </w:rPr>
            </w:pPr>
            <w:r>
              <w:rPr>
                <w:rFonts w:hint="eastAsia"/>
                <w:color w:val="000000"/>
              </w:rPr>
              <w:t xml:space="preserve">2.通过定时任务实现网元属性信息（类型、ID、连接模式、端口、主机版本）、连通链路信息（纤缆类型、源宿网元/端口/IP）、端口信息（网元名称、槽位ID、端口、输入/输出光功率）的全面监控，实现拓扑与真实数据动态联动，保障数据实时性。</w:t>
            </w:r>
            <w:r>
              <w:rPr>
                <w:color w:val="000000"/>
              </w:rPr>
            </w:r>
            <w:r/>
          </w:p>
          <w:p>
            <w:pPr>
              <w:pStyle w:val="954"/>
              <w:spacing w:line="300" w:lineRule="exact"/>
              <w:rPr>
                <w:color w:val="000000"/>
              </w:rPr>
            </w:pPr>
            <w:r>
              <w:rPr>
                <w:rFonts w:hint="eastAsia"/>
                <w:color w:val="000000"/>
              </w:rPr>
              <w:t xml:space="preserve">3.支持网元告警信息（名称、等级、来源、定位信息、次数、时间）智能采集与分级推送处理，提升告警响应效率。</w:t>
            </w:r>
            <w:r>
              <w:rPr>
                <w:color w:val="000000"/>
              </w:rPr>
            </w:r>
            <w:r/>
          </w:p>
          <w:p>
            <w:pPr>
              <w:pStyle w:val="954"/>
              <w:spacing w:line="300" w:lineRule="exact"/>
              <w:rPr>
                <w:color w:val="000000"/>
              </w:rPr>
            </w:pPr>
            <w:r>
              <w:rPr>
                <w:rFonts w:hint="eastAsia"/>
                <w:color w:val="000000"/>
              </w:rPr>
              <w:t xml:space="preserve">4.融合波分设备与网络设备链路数据，构建端到端统一可视化视图，直观呈现跨区域网络实际连通状态，实现跨层故障的快速定位。</w:t>
            </w:r>
            <w:r>
              <w:rPr>
                <w:color w:val="000000"/>
              </w:rPr>
            </w:r>
            <w:r/>
          </w:p>
        </w:tc>
      </w:tr>
      <w:tr>
        <w:trPr/>
        <w:tc>
          <w:tcPr>
            <w:tcW w:w="410" w:type="dxa"/>
            <w:vAlign w:val="center"/>
            <w:textDirection w:val="lrTb"/>
            <w:noWrap/>
          </w:tcPr>
          <w:p>
            <w:pPr>
              <w:pStyle w:val="954"/>
              <w:jc w:val="center"/>
              <w:spacing w:line="300" w:lineRule="exact"/>
              <w:rPr>
                <w:color w:val="000000"/>
              </w:rPr>
            </w:pPr>
            <w:r>
              <w:rPr>
                <w:rFonts w:hint="eastAsia"/>
                <w:color w:val="000000"/>
              </w:rPr>
              <w:t xml:space="preserve">8</w:t>
            </w:r>
            <w:r>
              <w:rPr>
                <w:color w:val="000000"/>
              </w:rPr>
            </w:r>
            <w:r/>
          </w:p>
        </w:tc>
        <w:tc>
          <w:tcPr>
            <w:shd w:val="clear" w:color="auto" w:fill="ffffff"/>
            <w:tcW w:w="569" w:type="dxa"/>
            <w:vAlign w:val="center"/>
            <w:textDirection w:val="lrTb"/>
            <w:noWrap w:val="false"/>
          </w:tcPr>
          <w:p>
            <w:pPr>
              <w:pStyle w:val="954"/>
              <w:jc w:val="center"/>
              <w:spacing w:line="300" w:lineRule="exact"/>
              <w:rPr>
                <w:color w:val="000000"/>
              </w:rPr>
            </w:pPr>
            <w:r>
              <w:rPr>
                <w:rFonts w:hint="eastAsia"/>
                <w:color w:val="000000"/>
              </w:rPr>
              <w:t xml:space="preserve">服务</w:t>
            </w:r>
            <w:r>
              <w:rPr>
                <w:color w:val="000000"/>
              </w:rPr>
            </w:r>
            <w:r/>
          </w:p>
        </w:tc>
        <w:tc>
          <w:tcPr>
            <w:shd w:val="clear" w:color="auto" w:fill="ffffff"/>
            <w:tcW w:w="4021" w:type="dxa"/>
            <w:vAlign w:val="center"/>
            <w:textDirection w:val="lrTb"/>
            <w:noWrap w:val="false"/>
          </w:tcPr>
          <w:p>
            <w:pPr>
              <w:pStyle w:val="954"/>
              <w:spacing w:line="300" w:lineRule="exact"/>
              <w:rPr>
                <w:color w:val="000000"/>
              </w:rPr>
            </w:pPr>
            <w:r>
              <w:rPr>
                <w:rFonts w:hint="eastAsia" w:ascii="宋体" w:hAnsi="宋体" w:cs="宋体"/>
                <w:color w:val="000000"/>
              </w:rPr>
              <w:t xml:space="preserve">★</w:t>
            </w:r>
            <w:r>
              <w:rPr>
                <w:rFonts w:hint="eastAsia"/>
                <w:color w:val="000000"/>
              </w:rPr>
              <w:t xml:space="preserve">投标产品的原厂7</w:t>
            </w:r>
            <w:r>
              <w:rPr>
                <w:color w:val="000000"/>
              </w:rPr>
              <w:t xml:space="preserve">*24</w:t>
            </w:r>
            <w:r>
              <w:rPr>
                <w:rFonts w:hint="eastAsia"/>
                <w:color w:val="000000"/>
              </w:rPr>
              <w:t xml:space="preserve">小时技术服务，系统验收前提供投标产品的原厂每周不少于4人天的现场开发服务，系统验收后质保期内提供投标产品的原厂每周不少于2人天的现场运维服务，系统需根据医院的功能需求进行相应的开发与调整。（中标后提供原厂售后承诺函并加盖公章）</w:t>
            </w:r>
            <w:r>
              <w:rPr>
                <w:color w:val="000000"/>
              </w:rPr>
            </w:r>
            <w:r/>
          </w:p>
        </w:tc>
      </w:tr>
      <w:tr>
        <w:trPr/>
        <w:tc>
          <w:tcPr>
            <w:tcW w:w="410" w:type="dxa"/>
            <w:vAlign w:val="center"/>
            <w:textDirection w:val="lrTb"/>
            <w:noWrap/>
          </w:tcPr>
          <w:p>
            <w:pPr>
              <w:pStyle w:val="954"/>
              <w:jc w:val="center"/>
              <w:spacing w:line="300" w:lineRule="exact"/>
              <w:rPr>
                <w:color w:val="000000"/>
              </w:rPr>
            </w:pPr>
            <w:r>
              <w:rPr>
                <w:rFonts w:hint="eastAsia"/>
                <w:color w:val="000000"/>
              </w:rPr>
              <w:t xml:space="preserve">9</w:t>
            </w:r>
            <w:r>
              <w:rPr>
                <w:color w:val="000000"/>
              </w:rPr>
            </w:r>
            <w:r/>
          </w:p>
        </w:tc>
        <w:tc>
          <w:tcPr>
            <w:shd w:val="clear" w:color="auto" w:fill="ffffff"/>
            <w:tcW w:w="569" w:type="dxa"/>
            <w:vAlign w:val="center"/>
            <w:textDirection w:val="lrTb"/>
            <w:noWrap w:val="false"/>
          </w:tcPr>
          <w:p>
            <w:pPr>
              <w:pStyle w:val="954"/>
              <w:jc w:val="center"/>
              <w:spacing w:line="300" w:lineRule="exact"/>
              <w:rPr>
                <w:color w:val="000000"/>
              </w:rPr>
            </w:pPr>
            <w:r>
              <w:rPr>
                <w:rFonts w:hint="eastAsia"/>
                <w:color w:val="000000"/>
              </w:rPr>
              <w:t xml:space="preserve">授权</w:t>
            </w:r>
            <w:r>
              <w:rPr>
                <w:color w:val="000000"/>
              </w:rPr>
            </w:r>
            <w:r/>
          </w:p>
        </w:tc>
        <w:tc>
          <w:tcPr>
            <w:shd w:val="clear" w:color="auto" w:fill="ffffff"/>
            <w:tcW w:w="4021" w:type="dxa"/>
            <w:vAlign w:val="center"/>
            <w:textDirection w:val="lrTb"/>
            <w:noWrap w:val="false"/>
          </w:tcPr>
          <w:p>
            <w:pPr>
              <w:pStyle w:val="954"/>
              <w:spacing w:line="300" w:lineRule="exact"/>
              <w:rPr>
                <w:color w:val="000000"/>
              </w:rPr>
            </w:pPr>
            <w:r>
              <w:rPr>
                <w:rFonts w:hint="eastAsia" w:ascii="宋体" w:hAnsi="宋体" w:cs="宋体"/>
                <w:color w:val="000000"/>
              </w:rPr>
              <w:t xml:space="preserve">★</w:t>
            </w:r>
            <w:r>
              <w:rPr>
                <w:rFonts w:hint="eastAsia"/>
                <w:color w:val="000000"/>
              </w:rPr>
              <w:t xml:space="preserve">系统提供永久使用授权，不限授权点位数量。</w:t>
            </w:r>
            <w:r>
              <w:rPr>
                <w:color w:val="000000"/>
              </w:rPr>
            </w:r>
            <w:r/>
          </w:p>
        </w:tc>
      </w:tr>
    </w:tbl>
    <w:p>
      <w:pPr>
        <w:pStyle w:val="954"/>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outlineLvl w:val="9"/>
      </w:pPr>
      <w:r>
        <w:rPr>
          <w:rFonts w:hint="eastAsia" w:ascii="黑体" w:hAnsi="黑体" w:eastAsia="黑体" w:cs="黑体"/>
          <w:color w:val="000000"/>
          <w:sz w:val="24"/>
          <w:szCs w:val="24"/>
          <w:highlight w:val="none"/>
          <w:lang w:val="en-US" w:eastAsia="zh-CN"/>
        </w:rPr>
      </w:r>
      <w:r/>
    </w:p>
    <w:p>
      <w:pPr>
        <w:pStyle w:val="954"/>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954"/>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954"/>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eastAsia="zh-CN"/>
        </w:rPr>
        <w:t xml:space="preserve">配套</w:t>
      </w:r>
      <w:r>
        <w:rPr>
          <w:rFonts w:hint="eastAsia" w:ascii="宋体" w:hAnsi="宋体" w:eastAsia="宋体" w:cs="宋体"/>
          <w:color w:val="000000"/>
          <w:sz w:val="24"/>
          <w:szCs w:val="24"/>
          <w:highlight w:val="none"/>
        </w:rPr>
        <w:t xml:space="preserve">服务等所有含税费用。同时，还应包含支付给员工的工资和国家强制缴纳的各种社会保障资金，以及</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认为需要的其他费用等。</w:t>
      </w:r>
      <w:r>
        <w:rPr>
          <w:rFonts w:hint="eastAsia" w:ascii="宋体" w:hAnsi="宋体" w:eastAsia="宋体" w:cs="宋体"/>
          <w:color w:val="000000"/>
          <w:sz w:val="24"/>
          <w:szCs w:val="24"/>
          <w:highlight w:val="none"/>
        </w:rPr>
      </w:r>
      <w:r/>
    </w:p>
    <w:p>
      <w:pPr>
        <w:pStyle w:val="954"/>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的任何错漏、优惠、竞争性报价不得作为减轻责任、减少服务、增加收费、降低服务质量的理由。</w:t>
      </w:r>
      <w:r>
        <w:rPr>
          <w:rFonts w:hint="eastAsia" w:ascii="宋体" w:hAnsi="宋体" w:eastAsia="宋体" w:cs="宋体"/>
          <w:color w:val="000000"/>
          <w:sz w:val="24"/>
          <w:szCs w:val="24"/>
          <w:highlight w:val="none"/>
        </w:rPr>
      </w:r>
      <w:r/>
    </w:p>
    <w:p>
      <w:pPr>
        <w:pStyle w:val="954"/>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报价除包含</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文件中列明的项目外还应包括保障服务正常运行应当具有的物资和服务，对服务正常运行应当具有的物资和服务理解不一致的以采购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理解为准。</w:t>
      </w:r>
      <w:r>
        <w:rPr>
          <w:rFonts w:hint="eastAsia" w:ascii="宋体" w:hAnsi="宋体" w:eastAsia="宋体" w:cs="宋体"/>
          <w:color w:val="000000"/>
          <w:sz w:val="24"/>
          <w:szCs w:val="24"/>
          <w:highlight w:val="none"/>
        </w:rPr>
      </w:r>
      <w:r/>
    </w:p>
    <w:p>
      <w:pPr>
        <w:pStyle w:val="954"/>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2.实施要求</w:t>
      </w:r>
      <w:r>
        <w:rPr>
          <w:rFonts w:hint="eastAsia" w:ascii="宋体" w:hAnsi="宋体" w:cs="宋体"/>
          <w:bCs/>
          <w:color w:val="000000"/>
          <w:sz w:val="24"/>
          <w:szCs w:val="24"/>
        </w:rPr>
      </w:r>
      <w:r/>
    </w:p>
    <w:p>
      <w:pPr>
        <w:pStyle w:val="954"/>
        <w:ind w:firstLine="480"/>
        <w:spacing w:line="264" w:lineRule="auto"/>
        <w:rPr>
          <w:rFonts w:ascii="宋体" w:hAnsi="宋体" w:cs="宋体"/>
          <w:color w:val="000000"/>
          <w:sz w:val="24"/>
          <w:szCs w:val="24"/>
        </w:rPr>
      </w:pPr>
      <w:r>
        <w:rPr>
          <w:rFonts w:ascii="宋体" w:hAnsi="宋体" w:cs="宋体"/>
          <w:color w:val="000000"/>
          <w:sz w:val="24"/>
          <w:szCs w:val="24"/>
        </w:rPr>
        <w:t xml:space="preserve">（1）总体要求</w:t>
      </w:r>
      <w:r>
        <w:rPr>
          <w:rFonts w:ascii="宋体" w:hAnsi="宋体" w:cs="宋体"/>
          <w:color w:val="000000"/>
          <w:sz w:val="24"/>
          <w:szCs w:val="24"/>
        </w:rPr>
      </w:r>
      <w:r/>
    </w:p>
    <w:p>
      <w:pPr>
        <w:pStyle w:val="954"/>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rPr>
          <w:rFonts w:ascii="宋体" w:hAnsi="宋体" w:cs="宋体"/>
          <w:color w:val="000000"/>
          <w:sz w:val="24"/>
          <w:szCs w:val="24"/>
        </w:rPr>
      </w:r>
      <w:r/>
    </w:p>
    <w:p>
      <w:pPr>
        <w:pStyle w:val="954"/>
        <w:ind w:firstLine="480"/>
        <w:spacing w:line="264" w:lineRule="auto"/>
        <w:rPr>
          <w:rFonts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质量及对接要求</w:t>
      </w:r>
      <w:r>
        <w:rPr>
          <w:rFonts w:ascii="宋体" w:hAnsi="宋体" w:cs="宋体"/>
          <w:color w:val="000000"/>
          <w:sz w:val="24"/>
          <w:szCs w:val="24"/>
        </w:rPr>
      </w:r>
      <w:r/>
    </w:p>
    <w:p>
      <w:pPr>
        <w:pStyle w:val="954"/>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供应商提供的系统能够根据采购人实际需求与医院各院区所有信息系统、集成平台做对接及集成（对接人：施工 联系电话：</w:t>
      </w:r>
      <w:r>
        <w:rPr>
          <w:rFonts w:ascii="宋体" w:hAnsi="宋体" w:cs="宋体"/>
          <w:color w:val="000000"/>
          <w:sz w:val="24"/>
          <w:szCs w:val="24"/>
        </w:rPr>
        <w:t xml:space="preserve">025-83106666转60653</w:t>
      </w:r>
      <w:r>
        <w:rPr>
          <w:rFonts w:hint="eastAsia" w:ascii="宋体" w:hAnsi="宋体" w:cs="宋体"/>
          <w:color w:val="000000"/>
          <w:sz w:val="24"/>
          <w:szCs w:val="24"/>
        </w:rPr>
        <w:t xml:space="preserve">）：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ascii="宋体" w:hAnsi="宋体" w:cs="宋体"/>
          <w:color w:val="000000"/>
          <w:sz w:val="24"/>
          <w:szCs w:val="24"/>
        </w:rPr>
      </w:r>
      <w:r/>
    </w:p>
    <w:p>
      <w:pPr>
        <w:pStyle w:val="954"/>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（3）验收要求</w:t>
      </w:r>
      <w:r>
        <w:rPr>
          <w:rFonts w:hint="eastAsia" w:ascii="宋体" w:hAnsi="宋体" w:cs="宋体"/>
          <w:bCs/>
          <w:color w:val="000000"/>
          <w:sz w:val="24"/>
          <w:szCs w:val="24"/>
        </w:rPr>
      </w:r>
      <w:r/>
    </w:p>
    <w:p>
      <w:pPr>
        <w:pStyle w:val="954"/>
        <w:ind w:firstLine="480"/>
        <w:spacing w:line="264" w:lineRule="auto"/>
        <w:rPr>
          <w:rFonts w:ascii="宋体" w:hAnsi="宋体"/>
          <w:color w:val="000000"/>
          <w:sz w:val="24"/>
          <w:szCs w:val="24"/>
        </w:rPr>
      </w:pPr>
      <w:r>
        <w:rPr>
          <w:rFonts w:hint="eastAsia" w:ascii="宋体" w:hAnsi="宋体"/>
          <w:color w:val="000000"/>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ascii="宋体" w:hAnsi="宋体"/>
          <w:color w:val="000000"/>
          <w:sz w:val="24"/>
          <w:szCs w:val="24"/>
        </w:rPr>
      </w:r>
      <w:r/>
    </w:p>
    <w:p>
      <w:pPr>
        <w:pStyle w:val="954"/>
        <w:ind w:firstLine="480"/>
        <w:spacing w:line="264" w:lineRule="auto"/>
        <w:rPr>
          <w:rFonts w:ascii="宋体" w:hAnsi="宋体"/>
          <w:color w:val="000000"/>
          <w:sz w:val="24"/>
          <w:szCs w:val="24"/>
        </w:rPr>
      </w:pPr>
      <w:r>
        <w:rPr>
          <w:rFonts w:hint="eastAsia" w:ascii="宋体" w:hAnsi="宋体"/>
          <w:color w:val="000000"/>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color w:val="000000"/>
          <w:sz w:val="24"/>
          <w:szCs w:val="24"/>
          <w:lang w:bidi="ar"/>
        </w:rPr>
        <w:t xml:space="preserve">形成验收文件作</w:t>
      </w:r>
      <w:r>
        <w:rPr>
          <w:rFonts w:hint="eastAsia" w:ascii="宋体" w:hAnsi="宋体"/>
          <w:color w:val="000000"/>
          <w:sz w:val="24"/>
          <w:szCs w:val="24"/>
        </w:rPr>
        <w:t xml:space="preserve">为验收依据。验收测试合格后，双方签署验收协议，系统试运行。</w:t>
      </w:r>
      <w:r>
        <w:rPr>
          <w:rFonts w:ascii="宋体" w:hAnsi="宋体"/>
          <w:color w:val="000000"/>
          <w:sz w:val="24"/>
          <w:szCs w:val="24"/>
        </w:rPr>
      </w:r>
      <w:r/>
    </w:p>
    <w:p>
      <w:pPr>
        <w:pStyle w:val="954"/>
        <w:ind w:firstLine="480"/>
        <w:spacing w:line="264" w:lineRule="auto"/>
        <w:rPr>
          <w:rFonts w:ascii="宋体" w:hAnsi="宋体" w:cs="宋体"/>
          <w:bCs/>
          <w:color w:val="000000"/>
          <w:sz w:val="24"/>
          <w:szCs w:val="24"/>
        </w:rPr>
      </w:pPr>
      <w:r>
        <w:rPr>
          <w:rFonts w:hint="eastAsia" w:ascii="宋体" w:hAnsi="宋体"/>
          <w:color w:val="000000"/>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ascii="宋体" w:hAnsi="宋体" w:cs="宋体"/>
          <w:bCs/>
          <w:color w:val="000000"/>
          <w:sz w:val="24"/>
          <w:szCs w:val="24"/>
        </w:rPr>
      </w:r>
      <w:r/>
    </w:p>
    <w:p>
      <w:pPr>
        <w:pStyle w:val="954"/>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（4）维保要求</w:t>
      </w:r>
      <w:r>
        <w:rPr>
          <w:rFonts w:ascii="宋体" w:hAnsi="宋体" w:cs="宋体"/>
          <w:bCs/>
          <w:color w:val="000000"/>
          <w:sz w:val="24"/>
          <w:szCs w:val="24"/>
        </w:rPr>
      </w:r>
      <w:r/>
    </w:p>
    <w:p>
      <w:pPr>
        <w:pStyle w:val="954"/>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①维保期：供应商应确保本次采购所有项目的安全稳定的运行，</w:t>
      </w:r>
      <w:r>
        <w:rPr>
          <w:rFonts w:hint="eastAsia" w:ascii="宋体" w:hAnsi="宋体" w:cs="宋体"/>
          <w:b/>
          <w:bCs/>
          <w:color w:val="000000"/>
          <w:sz w:val="24"/>
          <w:szCs w:val="24"/>
        </w:rPr>
        <w:t xml:space="preserve">并提供不低于2年维保服务</w:t>
      </w:r>
      <w:r>
        <w:rPr>
          <w:rFonts w:hint="eastAsia" w:ascii="宋体" w:hAnsi="宋体" w:cs="宋体"/>
          <w:color w:val="000000"/>
          <w:sz w:val="24"/>
          <w:szCs w:val="24"/>
        </w:rPr>
        <w:t xml:space="preserve">（自验收报告签字确认日起，开始进入维保期，相关费用包含在本次报价中）。维保期内，本合同项目所有技术和服务发生任何非人为故障，由供应商负责系统恢复。</w:t>
      </w:r>
      <w:r>
        <w:rPr>
          <w:rFonts w:ascii="宋体" w:hAnsi="宋体" w:cs="宋体"/>
          <w:color w:val="000000"/>
          <w:sz w:val="24"/>
          <w:szCs w:val="24"/>
        </w:rPr>
      </w:r>
      <w:r/>
    </w:p>
    <w:p>
      <w:pPr>
        <w:pStyle w:val="954"/>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②维保期内，对采购人提出的合理服务要求，供应商必须即时进行电话、邮件及远程网络支持，并在4小时内到场服务，小型故障恢复时间为4个小时内，严重故障恢复时间为24小时内，并及时有效的提供解决方案。如不到场，采购人有权自行处理，相关费用由供应商负责。</w:t>
      </w:r>
      <w:r>
        <w:rPr>
          <w:rFonts w:ascii="宋体" w:hAnsi="宋体" w:cs="宋体"/>
          <w:color w:val="000000"/>
          <w:sz w:val="24"/>
          <w:szCs w:val="24"/>
        </w:rPr>
      </w:r>
      <w:r/>
    </w:p>
    <w:p>
      <w:pPr>
        <w:pStyle w:val="954"/>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③供应商须提供定期回访服务，对采购人提出的合理优化建议应提供升级服务。</w:t>
      </w:r>
      <w:r>
        <w:rPr>
          <w:rFonts w:ascii="宋体" w:hAnsi="宋体" w:cs="宋体"/>
          <w:color w:val="000000"/>
          <w:sz w:val="24"/>
          <w:szCs w:val="24"/>
        </w:rPr>
      </w:r>
      <w:r/>
    </w:p>
    <w:p>
      <w:pPr>
        <w:pStyle w:val="954"/>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④所有的服务方式均为供应商上门保修，即由供应商派员到系统使用现场进行故障恢复，由此产生的一切费用均由供应商承担。</w:t>
      </w:r>
      <w:r>
        <w:rPr>
          <w:rFonts w:ascii="宋体" w:hAnsi="宋体" w:cs="宋体"/>
          <w:color w:val="000000"/>
          <w:sz w:val="24"/>
          <w:szCs w:val="24"/>
        </w:rPr>
      </w:r>
      <w:r/>
    </w:p>
    <w:p>
      <w:pPr>
        <w:pStyle w:val="954"/>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⑤本采购项目出保后每年的维护费不超过合同总金额的5%。</w:t>
      </w:r>
      <w:r>
        <w:rPr>
          <w:rFonts w:ascii="宋体" w:hAnsi="宋体" w:cs="宋体"/>
          <w:color w:val="000000"/>
          <w:sz w:val="24"/>
          <w:szCs w:val="24"/>
        </w:rPr>
      </w:r>
      <w:r/>
    </w:p>
    <w:p>
      <w:pPr>
        <w:pStyle w:val="954"/>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⑥质保期内供应商提供的系统软件升级，保证采购人使用最新版本软件。质保期满后软件版本内终身升级。</w:t>
      </w:r>
      <w:r>
        <w:rPr>
          <w:rFonts w:ascii="宋体" w:hAnsi="宋体" w:cs="宋体"/>
          <w:color w:val="000000"/>
          <w:sz w:val="24"/>
          <w:szCs w:val="24"/>
        </w:rPr>
      </w:r>
      <w:r/>
    </w:p>
    <w:p>
      <w:pPr>
        <w:pStyle w:val="954"/>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（5）人员要求</w:t>
      </w:r>
      <w:r>
        <w:rPr>
          <w:rFonts w:ascii="宋体" w:hAnsi="宋体" w:cs="宋体"/>
          <w:bCs/>
          <w:color w:val="000000"/>
          <w:sz w:val="24"/>
          <w:szCs w:val="24"/>
        </w:rPr>
      </w:r>
      <w:r/>
    </w:p>
    <w:p>
      <w:pPr>
        <w:pStyle w:val="954"/>
        <w:ind w:firstLine="480"/>
        <w:spacing w:line="264" w:lineRule="auto"/>
        <w:rPr>
          <w:rFonts w:ascii="宋体" w:hAnsi="宋体"/>
          <w:color w:val="000000"/>
          <w:sz w:val="24"/>
          <w:szCs w:val="24"/>
        </w:rPr>
      </w:pPr>
      <w:r>
        <w:rPr>
          <w:rFonts w:hint="eastAsia" w:ascii="宋体" w:hAnsi="宋体"/>
          <w:color w:val="000000"/>
          <w:sz w:val="24"/>
          <w:szCs w:val="24"/>
        </w:rPr>
        <w:t xml:space="preserve">①项目经理：1人。</w:t>
      </w:r>
      <w:r>
        <w:rPr>
          <w:rFonts w:ascii="宋体" w:hAnsi="宋体"/>
          <w:color w:val="000000"/>
          <w:sz w:val="24"/>
          <w:szCs w:val="24"/>
        </w:rPr>
      </w:r>
      <w:r/>
    </w:p>
    <w:p>
      <w:pPr>
        <w:pStyle w:val="9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②技术负责人：1人。</w:t>
      </w:r>
      <w:r>
        <w:rPr>
          <w:rFonts w:hint="eastAsia" w:ascii="宋体" w:hAnsi="宋体"/>
          <w:color w:val="000000"/>
          <w:sz w:val="24"/>
          <w:szCs w:val="24"/>
        </w:rPr>
      </w:r>
      <w:r/>
    </w:p>
    <w:p>
      <w:pPr>
        <w:pStyle w:val="954"/>
        <w:spacing w:line="264" w:lineRule="auto"/>
        <w:rPr>
          <w:rFonts w:ascii="宋体" w:hAnsi="宋体"/>
          <w:color w:val="000000"/>
          <w:sz w:val="24"/>
          <w:szCs w:val="24"/>
        </w:rPr>
      </w:pPr>
      <w:r>
        <w:rPr>
          <w:rFonts w:hint="eastAsia" w:ascii="宋体" w:hAnsi="宋体"/>
          <w:color w:val="000000"/>
          <w:sz w:val="24"/>
          <w:szCs w:val="24"/>
        </w:rPr>
        <w:t xml:space="preserve">    ③开发实施人员：不少于3人。 </w:t>
      </w:r>
      <w:r>
        <w:rPr>
          <w:rFonts w:ascii="宋体" w:hAnsi="宋体"/>
          <w:color w:val="000000"/>
          <w:sz w:val="24"/>
          <w:szCs w:val="24"/>
        </w:rPr>
      </w:r>
      <w:r/>
    </w:p>
    <w:p>
      <w:pPr>
        <w:pStyle w:val="954"/>
        <w:ind w:firstLine="480"/>
        <w:spacing w:line="264" w:lineRule="auto"/>
        <w:rPr>
          <w:rFonts w:ascii="宋体" w:hAnsi="宋体"/>
          <w:color w:val="000000"/>
          <w:sz w:val="24"/>
          <w:szCs w:val="24"/>
        </w:rPr>
      </w:pPr>
      <w:r>
        <w:rPr>
          <w:rFonts w:hint="eastAsia" w:ascii="宋体" w:hAnsi="宋体"/>
          <w:color w:val="000000"/>
          <w:sz w:val="24"/>
          <w:szCs w:val="24"/>
        </w:rPr>
        <w:t xml:space="preserve">④项目组所有人员必须为供应商正式工作人员，不得兼任其他项目工作，未经采购人同意，人员不得更换。 </w:t>
      </w:r>
      <w:r>
        <w:rPr>
          <w:rFonts w:ascii="宋体" w:hAnsi="宋体"/>
          <w:color w:val="000000"/>
          <w:sz w:val="24"/>
          <w:szCs w:val="24"/>
        </w:rPr>
      </w:r>
      <w:r/>
    </w:p>
    <w:p>
      <w:pPr>
        <w:pStyle w:val="954"/>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（6）知识产权及保密要求</w:t>
      </w:r>
      <w:r>
        <w:rPr>
          <w:rFonts w:hint="eastAsia" w:ascii="宋体" w:hAnsi="宋体" w:cs="宋体"/>
          <w:bCs/>
          <w:color w:val="000000"/>
          <w:sz w:val="24"/>
          <w:szCs w:val="24"/>
        </w:rPr>
      </w:r>
      <w:r/>
    </w:p>
    <w:p>
      <w:pPr>
        <w:pStyle w:val="9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color w:val="000000"/>
          <w:sz w:val="24"/>
          <w:szCs w:val="24"/>
        </w:rPr>
      </w:r>
      <w:r/>
    </w:p>
    <w:p>
      <w:pPr>
        <w:pStyle w:val="9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color w:val="000000"/>
          <w:sz w:val="24"/>
          <w:szCs w:val="24"/>
        </w:rPr>
      </w:r>
      <w:r/>
    </w:p>
    <w:p>
      <w:pPr>
        <w:pStyle w:val="9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③供应商须按照与采购人签订的《信息安全保密承诺书》的约定严格履行各项保密义务。</w:t>
      </w:r>
      <w:r>
        <w:rPr>
          <w:rFonts w:hint="eastAsia" w:ascii="宋体" w:hAnsi="宋体"/>
          <w:color w:val="000000"/>
          <w:sz w:val="24"/>
          <w:szCs w:val="24"/>
        </w:rPr>
      </w:r>
      <w:r/>
    </w:p>
    <w:p>
      <w:pPr>
        <w:pStyle w:val="9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④采购人与供应商都拥有本项目定制开发部分的知识产权。交付项应包括但不限于如下内容：</w:t>
      </w:r>
      <w:r>
        <w:rPr>
          <w:rFonts w:hint="eastAsia" w:ascii="宋体" w:hAnsi="宋体"/>
          <w:color w:val="000000"/>
          <w:sz w:val="24"/>
          <w:szCs w:val="24"/>
        </w:rPr>
      </w:r>
      <w:r/>
    </w:p>
    <w:p>
      <w:pPr>
        <w:pStyle w:val="9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满足采购人需求的、完整的、可最终良好运行的系统。</w:t>
      </w:r>
      <w:r>
        <w:rPr>
          <w:rFonts w:hint="eastAsia" w:ascii="宋体" w:hAnsi="宋体"/>
          <w:color w:val="000000"/>
          <w:sz w:val="24"/>
          <w:szCs w:val="24"/>
        </w:rPr>
      </w:r>
      <w:r/>
    </w:p>
    <w:p>
      <w:pPr>
        <w:pStyle w:val="9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color w:val="000000"/>
          <w:sz w:val="24"/>
          <w:szCs w:val="24"/>
        </w:rPr>
      </w:r>
      <w:r/>
    </w:p>
    <w:p>
      <w:pPr>
        <w:pStyle w:val="9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提供项目的最终版本部署包及产品永久授权。</w:t>
      </w:r>
      <w:r>
        <w:rPr>
          <w:rFonts w:hint="eastAsia" w:ascii="宋体" w:hAnsi="宋体"/>
          <w:color w:val="000000"/>
          <w:sz w:val="24"/>
          <w:szCs w:val="24"/>
        </w:rPr>
      </w:r>
      <w:r/>
    </w:p>
    <w:p>
      <w:pPr>
        <w:pStyle w:val="95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（7）建设成果要求</w:t>
      </w:r>
      <w:r>
        <w:rPr>
          <w:rFonts w:hint="eastAsia" w:ascii="宋体" w:hAnsi="宋体" w:cs="宋体"/>
          <w:color w:val="000000"/>
          <w:sz w:val="24"/>
          <w:szCs w:val="24"/>
        </w:rPr>
      </w:r>
      <w:r/>
    </w:p>
    <w:p>
      <w:pPr>
        <w:pStyle w:val="9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供应商在项目建设的各个阶段及时提交建设成果，主要包括但不限于以下内容：</w:t>
      </w:r>
      <w:r>
        <w:rPr>
          <w:rFonts w:hint="eastAsia" w:ascii="宋体" w:hAnsi="宋体"/>
          <w:color w:val="000000"/>
          <w:sz w:val="24"/>
          <w:szCs w:val="24"/>
        </w:rPr>
      </w:r>
      <w:r/>
    </w:p>
    <w:p>
      <w:pPr>
        <w:pStyle w:val="9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①项目启动阶段：项目实施方案。 </w:t>
      </w:r>
      <w:r>
        <w:rPr>
          <w:rFonts w:hint="eastAsia" w:ascii="宋体" w:hAnsi="宋体"/>
          <w:color w:val="000000"/>
          <w:sz w:val="24"/>
          <w:szCs w:val="24"/>
        </w:rPr>
      </w:r>
      <w:r/>
    </w:p>
    <w:p>
      <w:pPr>
        <w:pStyle w:val="9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②业务需求分析阶段：需求调研方案、需求分析说明书。</w:t>
      </w:r>
      <w:r>
        <w:rPr>
          <w:rFonts w:hint="eastAsia" w:ascii="宋体" w:hAnsi="宋体"/>
          <w:color w:val="000000"/>
          <w:sz w:val="24"/>
          <w:szCs w:val="24"/>
        </w:rPr>
      </w:r>
      <w:r/>
    </w:p>
    <w:p>
      <w:pPr>
        <w:pStyle w:val="9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③系统设计、开发阶段：需求规格说明书、概要设计说明书、详细设计说明书、数据库设计说明书、系统接口说明书。 </w:t>
      </w:r>
      <w:r>
        <w:rPr>
          <w:rFonts w:hint="eastAsia" w:ascii="宋体" w:hAnsi="宋体"/>
          <w:color w:val="000000"/>
          <w:sz w:val="24"/>
          <w:szCs w:val="24"/>
        </w:rPr>
      </w:r>
      <w:r/>
    </w:p>
    <w:p>
      <w:pPr>
        <w:pStyle w:val="9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④系统实施阶段：系统上线部署方案、软件安装说明书、软件使用说明书、系统安装光盘、系统培训方案、系统培训手册。 </w:t>
      </w:r>
      <w:r>
        <w:rPr>
          <w:rFonts w:hint="eastAsia" w:ascii="宋体" w:hAnsi="宋体"/>
          <w:color w:val="000000"/>
          <w:sz w:val="24"/>
          <w:szCs w:val="24"/>
        </w:rPr>
      </w:r>
      <w:r/>
    </w:p>
    <w:p>
      <w:pPr>
        <w:pStyle w:val="9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⑤项目验收阶段：测试报告、项目验收方案、系统运行报告、项目验收报告。 </w:t>
      </w:r>
      <w:r>
        <w:rPr>
          <w:rFonts w:hint="eastAsia" w:ascii="宋体" w:hAnsi="宋体"/>
          <w:color w:val="000000"/>
          <w:sz w:val="24"/>
          <w:szCs w:val="24"/>
        </w:rPr>
      </w:r>
      <w:r/>
    </w:p>
    <w:p>
      <w:pPr>
        <w:pStyle w:val="9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⑥运行维护阶段：系统维护方案、系统维护手册、系统运行维护记录。</w:t>
      </w:r>
      <w:r>
        <w:rPr>
          <w:rFonts w:hint="eastAsia" w:ascii="宋体" w:hAnsi="宋体"/>
          <w:color w:val="000000"/>
          <w:sz w:val="24"/>
          <w:szCs w:val="24"/>
        </w:rPr>
      </w:r>
      <w:r/>
    </w:p>
    <w:p>
      <w:pPr>
        <w:pStyle w:val="9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（8）信创适配要求</w:t>
      </w:r>
      <w:r>
        <w:rPr>
          <w:rFonts w:hint="eastAsia" w:ascii="宋体" w:hAnsi="宋体"/>
          <w:color w:val="000000"/>
          <w:sz w:val="24"/>
          <w:szCs w:val="24"/>
        </w:rPr>
      </w:r>
      <w:r/>
    </w:p>
    <w:p>
      <w:pPr>
        <w:pStyle w:val="9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项目涉及的软件、硬件产品满足信创要求。</w:t>
      </w:r>
      <w:r>
        <w:rPr>
          <w:rFonts w:hint="eastAsia" w:ascii="宋体" w:hAnsi="宋体"/>
          <w:color w:val="000000"/>
          <w:sz w:val="24"/>
          <w:szCs w:val="24"/>
        </w:rPr>
      </w:r>
      <w:r/>
    </w:p>
    <w:p>
      <w:pPr>
        <w:pStyle w:val="9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（9）网络安全等级保护测评要求</w:t>
      </w:r>
      <w:r>
        <w:rPr>
          <w:rFonts w:hint="eastAsia" w:ascii="宋体" w:hAnsi="宋体"/>
          <w:color w:val="000000"/>
          <w:sz w:val="24"/>
          <w:szCs w:val="24"/>
        </w:rPr>
      </w:r>
      <w:r/>
    </w:p>
    <w:p>
      <w:pPr>
        <w:pStyle w:val="954"/>
        <w:ind w:firstLine="480"/>
        <w:spacing w:line="264" w:lineRule="auto"/>
        <w:rPr>
          <w:rFonts w:ascii="宋体" w:hAnsi="宋体"/>
          <w:color w:val="000000"/>
          <w:sz w:val="24"/>
          <w:szCs w:val="24"/>
        </w:rPr>
      </w:pPr>
      <w:r>
        <w:rPr>
          <w:rFonts w:hint="eastAsia" w:ascii="宋体" w:hAnsi="宋体"/>
          <w:color w:val="000000"/>
          <w:sz w:val="24"/>
          <w:szCs w:val="24"/>
        </w:rPr>
        <w:t xml:space="preserve">供应商配合采购人，做好系统通过等保测评相关准备工作。</w:t>
      </w:r>
      <w:r>
        <w:rPr>
          <w:rFonts w:ascii="宋体" w:hAnsi="宋体"/>
          <w:color w:val="000000"/>
          <w:sz w:val="24"/>
          <w:szCs w:val="24"/>
        </w:rPr>
      </w:r>
      <w:r/>
    </w:p>
    <w:p>
      <w:pPr>
        <w:pStyle w:val="9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（10）网络安全和数据安全要求，外包网络安全管理要求</w:t>
      </w:r>
      <w:r>
        <w:rPr>
          <w:rFonts w:hint="eastAsia" w:ascii="宋体" w:hAnsi="宋体"/>
          <w:color w:val="000000"/>
          <w:sz w:val="24"/>
          <w:szCs w:val="24"/>
        </w:rPr>
      </w:r>
      <w:r/>
    </w:p>
    <w:p>
      <w:pPr>
        <w:pStyle w:val="954"/>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符合网络安全和密码应用要求，符合国家安全可靠应用政策规定。</w:t>
      </w:r>
      <w:r>
        <w:rPr>
          <w:rFonts w:hint="eastAsia" w:ascii="宋体" w:hAnsi="宋体" w:cs="宋体"/>
          <w:bCs/>
          <w:color w:val="000000"/>
          <w:sz w:val="24"/>
          <w:szCs w:val="24"/>
        </w:rPr>
      </w:r>
      <w:r/>
    </w:p>
    <w:p>
      <w:pPr>
        <w:pStyle w:val="954"/>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付款条件</w:t>
      </w:r>
      <w:r>
        <w:rPr>
          <w:rFonts w:ascii="宋体" w:hAnsi="宋体" w:cs="宋体"/>
          <w:color w:val="000000"/>
          <w:sz w:val="24"/>
          <w:szCs w:val="24"/>
        </w:rPr>
      </w:r>
      <w:r/>
    </w:p>
    <w:p>
      <w:pPr>
        <w:pStyle w:val="954"/>
        <w:ind w:firstLine="480"/>
        <w:spacing w:line="264" w:lineRule="auto"/>
        <w:rPr>
          <w:rFonts w:ascii="宋体" w:hAnsi="宋体" w:cs="宋体"/>
          <w:color w:val="000000"/>
          <w:sz w:val="24"/>
          <w:szCs w:val="24"/>
        </w:rPr>
      </w:pPr>
      <w:r>
        <w:rPr>
          <w:rFonts w:ascii="宋体" w:hAnsi="宋体" w:cs="宋体"/>
          <w:color w:val="000000"/>
          <w:sz w:val="24"/>
          <w:szCs w:val="24"/>
        </w:rPr>
        <w:t xml:space="preserve">以合同文本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954"/>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交付时间及地点</w:t>
      </w:r>
      <w:r>
        <w:rPr>
          <w:rFonts w:ascii="宋体" w:hAnsi="宋体" w:cs="宋体"/>
          <w:color w:val="000000"/>
          <w:sz w:val="24"/>
          <w:szCs w:val="24"/>
        </w:rPr>
      </w:r>
      <w:r/>
    </w:p>
    <w:p>
      <w:pPr>
        <w:pStyle w:val="954"/>
        <w:ind w:firstLine="480"/>
        <w:spacing w:line="264" w:lineRule="auto"/>
        <w:rPr>
          <w:rFonts w:ascii="宋体" w:hAnsi="宋体" w:cs="宋体"/>
          <w:color w:val="000000"/>
          <w:sz w:val="24"/>
          <w:szCs w:val="24"/>
        </w:rPr>
      </w:pPr>
      <w:r>
        <w:rPr>
          <w:rFonts w:ascii="宋体" w:hAnsi="宋体" w:cs="宋体"/>
          <w:color w:val="000000"/>
          <w:sz w:val="24"/>
          <w:szCs w:val="24"/>
        </w:rPr>
        <w:t xml:space="preserve">（1）交付时间：合同签订后</w:t>
      </w:r>
      <w:r>
        <w:rPr>
          <w:rFonts w:hint="eastAsia" w:ascii="宋体" w:hAnsi="宋体"/>
          <w:color w:val="000000"/>
          <w:sz w:val="24"/>
          <w:szCs w:val="24"/>
        </w:rPr>
        <w:t xml:space="preserve">60</w:t>
      </w:r>
      <w:r>
        <w:rPr>
          <w:rFonts w:ascii="宋体" w:hAnsi="宋体" w:cs="宋体"/>
          <w:color w:val="000000"/>
          <w:sz w:val="24"/>
          <w:szCs w:val="24"/>
        </w:rPr>
        <w:t xml:space="preserve">天内</w:t>
      </w:r>
      <w:r>
        <w:rPr>
          <w:rFonts w:hint="eastAsia" w:ascii="宋体" w:hAnsi="宋体" w:cs="宋体"/>
          <w:color w:val="000000"/>
          <w:sz w:val="24"/>
          <w:szCs w:val="24"/>
        </w:rPr>
        <w:t xml:space="preserve">完成系统开发及到货交付整体验收工作</w:t>
      </w:r>
      <w:r>
        <w:rPr>
          <w:rFonts w:ascii="宋体" w:hAnsi="宋体" w:cs="宋体"/>
          <w:color w:val="000000"/>
          <w:sz w:val="24"/>
          <w:szCs w:val="24"/>
        </w:rPr>
        <w:t xml:space="preserve">。</w:t>
      </w:r>
      <w:r>
        <w:rPr>
          <w:rFonts w:ascii="宋体" w:hAnsi="宋体" w:cs="宋体"/>
          <w:color w:val="000000"/>
          <w:sz w:val="24"/>
          <w:szCs w:val="24"/>
        </w:rPr>
      </w:r>
      <w:r/>
    </w:p>
    <w:p>
      <w:pPr>
        <w:pStyle w:val="954"/>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5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5.履约保证金</w:t>
      </w:r>
      <w:r>
        <w:rPr>
          <w:rFonts w:hint="eastAsia" w:ascii="宋体" w:hAnsi="宋体" w:cs="宋体"/>
          <w:color w:val="000000"/>
          <w:sz w:val="24"/>
          <w:szCs w:val="24"/>
        </w:rPr>
      </w:r>
      <w:r/>
    </w:p>
    <w:p>
      <w:pPr>
        <w:pStyle w:val="954"/>
        <w:ind w:firstLine="480"/>
        <w:spacing w:line="264" w:lineRule="auto"/>
        <w:rPr>
          <w:rFonts w:ascii="宋体" w:hAnsi="宋体" w:eastAsia="宋体" w:cs="宋体"/>
          <w:color w:val="000000"/>
          <w:sz w:val="24"/>
          <w:szCs w:val="24"/>
          <w:highlight w:val="none"/>
          <w:lang w:val="en-US" w:eastAsia="zh-CN"/>
        </w:rPr>
      </w:pPr>
      <w:r>
        <w:rPr>
          <w:rFonts w:ascii="宋体" w:hAnsi="宋体" w:cs="宋体"/>
          <w:color w:val="000000"/>
          <w:sz w:val="24"/>
          <w:szCs w:val="24"/>
        </w:rPr>
        <w:t xml:space="preserve">以合同文本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eastAsia="宋体" w:cs="宋体"/>
          <w:color w:val="000000"/>
          <w:sz w:val="24"/>
          <w:szCs w:val="24"/>
          <w:highlight w:val="none"/>
          <w:lang w:val="en-US" w:eastAsia="zh-CN"/>
        </w:rPr>
      </w:r>
      <w:r/>
    </w:p>
    <w:p>
      <w:pPr>
        <w:pStyle w:val="954"/>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954"/>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招标文件中要求提供证明材料的，投标人签订合同时应按招标文件要求和投标文件响应内容向采购人提供相应证明材料原件核验，</w:t>
      </w:r>
      <w:r>
        <w:rPr>
          <w:rFonts w:hint="eastAsia" w:ascii="宋体" w:hAnsi="宋体" w:cs="宋体"/>
          <w:color w:val="000000"/>
          <w:sz w:val="24"/>
          <w:szCs w:val="24"/>
          <w:highlight w:val="none"/>
          <w:lang w:val="en-US" w:eastAsia="zh-CN"/>
        </w:rPr>
        <w:t xml:space="preserve">否则</w:t>
      </w:r>
      <w:r>
        <w:rPr>
          <w:rFonts w:hint="eastAsia" w:ascii="宋体" w:hAnsi="宋体" w:eastAsia="宋体" w:cs="宋体"/>
          <w:color w:val="000000"/>
          <w:sz w:val="24"/>
          <w:szCs w:val="24"/>
          <w:highlight w:val="none"/>
          <w:lang w:val="en-US" w:eastAsia="zh-CN"/>
        </w:rPr>
        <w:t xml:space="preserve">采购人将取消其中标资格。</w:t>
      </w:r>
      <w:r>
        <w:rPr>
          <w:rFonts w:hint="eastAsia" w:ascii="宋体" w:hAnsi="宋体" w:eastAsia="宋体" w:cs="宋体"/>
          <w:color w:val="000000"/>
          <w:sz w:val="24"/>
          <w:szCs w:val="24"/>
          <w:highlight w:val="none"/>
          <w:lang w:val="en-US" w:eastAsia="zh-CN"/>
        </w:rPr>
      </w:r>
      <w:r/>
    </w:p>
    <w:p>
      <w:pPr>
        <w:pStyle w:val="954"/>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投标人在签订合同应按采购人要求提供上述相关证明材料原件供采购人核验，</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eastAsia="宋体" w:cs="宋体"/>
          <w:color w:val="000000"/>
          <w:sz w:val="24"/>
          <w:szCs w:val="24"/>
          <w:highlight w:val="none"/>
          <w:lang w:val="en-US" w:eastAsia="zh-CN"/>
        </w:rPr>
      </w:r>
      <w:r/>
    </w:p>
    <w:p>
      <w:pPr>
        <w:pStyle w:val="954"/>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954"/>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须将视频文件压缩为*.zip文件上传（单个文件不得大于50M，所有文件</w:t>
      </w:r>
      <w:r>
        <w:rPr>
          <w:rFonts w:hint="eastAsia" w:ascii="宋体" w:hAnsi="宋体" w:eastAsia="宋体" w:cs="宋体"/>
          <w:color w:val="000000"/>
          <w:sz w:val="24"/>
          <w:szCs w:val="24"/>
          <w:highlight w:val="none"/>
          <w:lang w:val="en-US" w:eastAsia="zh-CN"/>
        </w:rPr>
        <w:t xml:space="preserve">合计</w:t>
      </w:r>
      <w:r>
        <w:rPr>
          <w:rFonts w:hint="eastAsia" w:ascii="宋体" w:hAnsi="宋体" w:eastAsia="宋体" w:cs="宋体"/>
          <w:color w:val="000000"/>
          <w:sz w:val="24"/>
          <w:szCs w:val="24"/>
          <w:highlight w:val="none"/>
        </w:rPr>
        <w:t xml:space="preserve">不得大于300M）。文件上传方式见</w:t>
      </w:r>
      <w:r>
        <w:rPr>
          <w:rFonts w:hint="eastAsia" w:ascii="宋体" w:hAnsi="宋体" w:eastAsia="宋体" w:cs="宋体"/>
          <w:color w:val="000000"/>
          <w:sz w:val="24"/>
          <w:szCs w:val="24"/>
          <w:highlight w:val="none"/>
          <w:lang w:val="en-US" w:eastAsia="zh-CN"/>
        </w:rPr>
        <w:t xml:space="preserve">苏采云系统操作指南</w:t>
      </w:r>
      <w:r>
        <w:rPr>
          <w:rFonts w:hint="eastAsia" w:ascii="宋体" w:hAnsi="宋体" w:eastAsia="宋体" w:cs="宋体"/>
          <w:color w:val="000000"/>
          <w:sz w:val="24"/>
          <w:szCs w:val="24"/>
          <w:highlight w:val="none"/>
        </w:rPr>
        <w:t xml:space="preserve">，上传的演示视频将作为投标文件的组成部分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54"/>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2.演示内容</w:t>
      </w:r>
      <w:r>
        <w:rPr>
          <w:rFonts w:hint="eastAsia" w:ascii="宋体" w:hAnsi="宋体" w:eastAsia="宋体" w:cs="Times New Roman"/>
          <w:b w:val="0"/>
          <w:bCs w:val="0"/>
          <w:color w:val="000000"/>
          <w:spacing w:val="0"/>
          <w:sz w:val="24"/>
          <w:szCs w:val="24"/>
          <w:highlight w:val="none"/>
          <w:lang w:val="en-US" w:eastAsia="zh-CN"/>
        </w:rPr>
        <w:t xml:space="preserve">及演示时长</w:t>
      </w:r>
      <w:r>
        <w:rPr>
          <w:rFonts w:hint="eastAsia" w:ascii="宋体" w:hAnsi="宋体" w:eastAsia="宋体" w:cs="Times New Roman"/>
          <w:color w:val="000000"/>
          <w:sz w:val="24"/>
          <w:szCs w:val="24"/>
          <w:highlight w:val="none"/>
          <w:lang w:val="en-US" w:eastAsia="zh-CN"/>
        </w:rPr>
        <w:t xml:space="preserve">详见“第五章  评标方法与评标标准”。</w:t>
      </w:r>
      <w:r>
        <w:rPr>
          <w:rFonts w:hint="eastAsia" w:ascii="宋体" w:hAnsi="宋体" w:eastAsia="宋体" w:cs="Times New Roman"/>
          <w:color w:val="000000"/>
          <w:sz w:val="24"/>
          <w:szCs w:val="24"/>
          <w:highlight w:val="none"/>
          <w:lang w:val="en-US" w:eastAsia="zh-CN"/>
        </w:rPr>
      </w:r>
      <w:r/>
    </w:p>
    <w:p>
      <w:pPr>
        <w:pStyle w:val="954"/>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4"/>
        <w:rPr>
          <w:rFonts w:hint="eastAsia"/>
          <w:color w:val="000000"/>
          <w:highlight w:val="none"/>
        </w:rPr>
      </w:pPr>
      <w:r>
        <w:rPr>
          <w:rFonts w:hint="eastAsia"/>
          <w:color w:val="000000"/>
          <w:highlight w:val="none"/>
        </w:rPr>
      </w:r>
      <w:r/>
    </w:p>
    <w:p>
      <w:pPr>
        <w:pStyle w:val="954"/>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color w:val="000000"/>
          <w:highlight w:val="none"/>
        </w:rPr>
        <w:br w:type="page" w:clear="all"/>
      </w:r>
      <w:bookmarkStart w:id="59"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954"/>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954"/>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954"/>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954"/>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954"/>
              <w:jc w:val="center"/>
              <w:spacing w:before="122" w:line="288" w:lineRule="auto"/>
              <w:rPr>
                <w:rFonts w:ascii="宋体" w:hAnsi="宋体" w:cs="宋体"/>
                <w:b/>
                <w:bCs/>
                <w:color w:val="000000"/>
                <w:spacing w:val="-3"/>
              </w:rPr>
            </w:pPr>
            <w:r>
              <w:rPr>
                <w:rFonts w:ascii="宋体" w:hAnsi="宋体" w:cs="宋体"/>
                <w:b/>
                <w:bCs/>
                <w:color w:val="000000"/>
                <w:spacing w:val="-3"/>
              </w:rPr>
              <w:t xml:space="preserve">序号</w:t>
            </w:r>
            <w:r>
              <w:rPr>
                <w:rFonts w:ascii="宋体" w:hAnsi="宋体" w:cs="宋体"/>
                <w:b/>
                <w:bCs/>
                <w:color w:val="000000"/>
                <w:spacing w:val="-3"/>
              </w:rPr>
            </w:r>
            <w:r/>
          </w:p>
        </w:tc>
        <w:tc>
          <w:tcPr>
            <w:tcW w:w="1179" w:type="dxa"/>
            <w:vAlign w:val="top"/>
            <w:textDirection w:val="lrTb"/>
            <w:noWrap w:val="false"/>
          </w:tcPr>
          <w:p>
            <w:pPr>
              <w:pStyle w:val="954"/>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评审因素</w:t>
            </w:r>
            <w:r>
              <w:rPr>
                <w:rFonts w:ascii="宋体" w:hAnsi="宋体" w:cs="宋体"/>
                <w:b/>
                <w:bCs/>
                <w:color w:val="000000"/>
                <w:spacing w:val="-3"/>
              </w:rPr>
            </w:r>
            <w:r/>
          </w:p>
        </w:tc>
        <w:tc>
          <w:tcPr>
            <w:tcW w:w="6330" w:type="dxa"/>
            <w:vAlign w:val="top"/>
            <w:textDirection w:val="lrTb"/>
            <w:noWrap w:val="false"/>
          </w:tcPr>
          <w:p>
            <w:pPr>
              <w:pStyle w:val="954"/>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评审细则</w:t>
            </w:r>
            <w:r>
              <w:rPr>
                <w:rFonts w:ascii="宋体" w:hAnsi="宋体" w:cs="宋体"/>
                <w:b/>
                <w:bCs/>
                <w:color w:val="000000"/>
                <w:spacing w:val="-3"/>
              </w:rPr>
            </w:r>
            <w:r/>
          </w:p>
        </w:tc>
        <w:tc>
          <w:tcPr>
            <w:tcW w:w="647" w:type="dxa"/>
            <w:vAlign w:val="top"/>
            <w:textDirection w:val="lrTb"/>
            <w:noWrap w:val="false"/>
          </w:tcPr>
          <w:p>
            <w:pPr>
              <w:pStyle w:val="954"/>
              <w:jc w:val="center"/>
              <w:spacing w:before="122" w:line="288" w:lineRule="auto"/>
              <w:rPr>
                <w:rFonts w:ascii="宋体" w:hAnsi="宋体" w:cs="宋体"/>
                <w:b/>
                <w:bCs/>
                <w:color w:val="000000"/>
                <w:spacing w:val="-3"/>
              </w:rPr>
            </w:pPr>
            <w:r>
              <w:rPr>
                <w:rFonts w:ascii="宋体" w:hAnsi="宋体" w:cs="宋体"/>
                <w:b/>
                <w:bCs/>
                <w:color w:val="000000"/>
                <w:spacing w:val="-3"/>
              </w:rPr>
              <w:t xml:space="preserve">分值</w:t>
            </w:r>
            <w:r>
              <w:rPr>
                <w:rFonts w:ascii="宋体" w:hAnsi="宋体" w:cs="宋体"/>
                <w:b/>
                <w:bCs/>
                <w:color w:val="000000"/>
                <w:spacing w:val="-3"/>
              </w:rPr>
            </w:r>
            <w:r/>
          </w:p>
        </w:tc>
        <w:tc>
          <w:tcPr>
            <w:tcW w:w="900" w:type="dxa"/>
            <w:vAlign w:val="top"/>
            <w:textDirection w:val="lrTb"/>
            <w:noWrap w:val="false"/>
          </w:tcPr>
          <w:p>
            <w:pPr>
              <w:pStyle w:val="954"/>
              <w:jc w:val="center"/>
              <w:spacing w:before="122" w:line="288" w:lineRule="auto"/>
              <w:rPr>
                <w:rFonts w:ascii="宋体" w:hAnsi="宋体" w:cs="宋体"/>
                <w:b/>
                <w:bCs/>
                <w:color w:val="000000"/>
                <w:spacing w:val="-3"/>
              </w:rPr>
            </w:pPr>
            <w:r>
              <w:rPr>
                <w:rFonts w:ascii="宋体" w:hAnsi="宋体" w:cs="宋体"/>
                <w:b/>
                <w:bCs/>
                <w:color w:val="000000"/>
                <w:spacing w:val="-3"/>
              </w:rPr>
              <w:t xml:space="preserve">类型</w:t>
            </w:r>
            <w:r>
              <w:rPr>
                <w:rFonts w:ascii="宋体" w:hAnsi="宋体" w:cs="宋体"/>
                <w:b/>
                <w:bCs/>
                <w:color w:val="000000"/>
                <w:spacing w:val="-3"/>
              </w:rPr>
            </w:r>
            <w:r/>
          </w:p>
        </w:tc>
      </w:tr>
      <w:tr>
        <w:trPr>
          <w:trHeight w:val="460"/>
        </w:trPr>
        <w:tc>
          <w:tcPr>
            <w:gridSpan w:val="5"/>
            <w:tcW w:w="9575" w:type="dxa"/>
            <w:vAlign w:val="top"/>
            <w:textDirection w:val="lrTb"/>
            <w:noWrap w:val="false"/>
          </w:tcPr>
          <w:p>
            <w:pPr>
              <w:pStyle w:val="954"/>
              <w:ind w:left="114"/>
              <w:spacing w:before="122" w:line="264"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rHeight w:val="1030"/>
        </w:trPr>
        <w:tc>
          <w:tcPr>
            <w:tcW w:w="519" w:type="dxa"/>
            <w:vAlign w:val="center"/>
            <w:textDirection w:val="lrTb"/>
            <w:noWrap w:val="false"/>
          </w:tcPr>
          <w:p>
            <w:pPr>
              <w:pStyle w:val="954"/>
              <w:jc w:val="center"/>
              <w:spacing w:before="68" w:line="264"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79" w:type="dxa"/>
            <w:vAlign w:val="center"/>
            <w:textDirection w:val="lrTb"/>
            <w:noWrap w:val="false"/>
          </w:tcPr>
          <w:p>
            <w:pPr>
              <w:pStyle w:val="954"/>
              <w:jc w:val="left"/>
              <w:spacing w:before="68" w:line="264" w:lineRule="auto"/>
              <w:rPr>
                <w:rFonts w:ascii="宋体" w:hAnsi="宋体" w:cs="宋体"/>
                <w:color w:val="000000"/>
              </w:rPr>
            </w:pPr>
            <w:r>
              <w:rPr>
                <w:rFonts w:ascii="宋体" w:hAnsi="宋体" w:cs="宋体"/>
                <w:color w:val="000000"/>
                <w:spacing w:val="-2"/>
              </w:rPr>
              <w:t xml:space="preserve">价格分</w:t>
            </w:r>
            <w:r>
              <w:rPr>
                <w:rFonts w:ascii="宋体" w:hAnsi="宋体" w:cs="宋体"/>
                <w:color w:val="000000"/>
              </w:rPr>
            </w:r>
            <w:r/>
          </w:p>
        </w:tc>
        <w:tc>
          <w:tcPr>
            <w:tcW w:w="6330" w:type="dxa"/>
            <w:vAlign w:val="center"/>
            <w:textDirection w:val="lrTb"/>
            <w:noWrap w:val="false"/>
          </w:tcPr>
          <w:p>
            <w:pPr>
              <w:pStyle w:val="1032"/>
              <w:ind w:left="0"/>
              <w:rPr>
                <w:rFonts w:hint="eastAsia"/>
                <w:color w:val="000000"/>
              </w:rPr>
            </w:pPr>
            <w:r>
              <w:rPr>
                <w:color w:val="000000"/>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color w:val="000000"/>
              </w:rPr>
              <w:t xml:space="preserve">价格分值（小数点保留两位）</w:t>
            </w:r>
            <w:r>
              <w:rPr>
                <w:rFonts w:hint="eastAsia"/>
                <w:color w:val="000000"/>
              </w:rPr>
            </w:r>
            <w:r/>
          </w:p>
          <w:p>
            <w:pPr>
              <w:pStyle w:val="1032"/>
              <w:ind w:left="0"/>
              <w:rPr>
                <w:color w:val="000000"/>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color w:val="000000"/>
              </w:rPr>
            </w:r>
            <w:r/>
          </w:p>
        </w:tc>
        <w:tc>
          <w:tcPr>
            <w:tcW w:w="647" w:type="dxa"/>
            <w:vAlign w:val="center"/>
            <w:textDirection w:val="lrTb"/>
            <w:noWrap w:val="false"/>
          </w:tcPr>
          <w:p>
            <w:pPr>
              <w:pStyle w:val="954"/>
              <w:jc w:val="center"/>
              <w:spacing w:before="68" w:line="264" w:lineRule="auto"/>
              <w:rPr>
                <w:rFonts w:ascii="宋体" w:hAnsi="宋体" w:cs="宋体"/>
                <w:color w:val="000000"/>
              </w:rPr>
            </w:pPr>
            <w:r>
              <w:rPr>
                <w:rFonts w:ascii="宋体" w:hAnsi="宋体" w:cs="宋体"/>
                <w:color w:val="000000"/>
              </w:rPr>
              <w:t xml:space="preserve">20</w:t>
            </w:r>
            <w:r>
              <w:rPr>
                <w:rFonts w:ascii="宋体" w:hAnsi="宋体" w:cs="宋体"/>
                <w:color w:val="000000"/>
              </w:rPr>
            </w:r>
            <w:r/>
          </w:p>
        </w:tc>
        <w:tc>
          <w:tcPr>
            <w:tcW w:w="900" w:type="dxa"/>
            <w:vAlign w:val="center"/>
            <w:textDirection w:val="lrTb"/>
            <w:noWrap w:val="false"/>
          </w:tcPr>
          <w:p>
            <w:pPr>
              <w:pStyle w:val="954"/>
              <w:jc w:val="center"/>
              <w:spacing w:before="68" w:line="264" w:lineRule="auto"/>
              <w:rPr>
                <w:rFonts w:hint="eastAsia" w:ascii="宋体" w:hAnsi="宋体" w:cs="宋体"/>
                <w:color w:val="000000"/>
              </w:rPr>
            </w:pPr>
            <w:r>
              <w:rPr>
                <w:rFonts w:hint="eastAsia" w:ascii="宋体" w:hAnsi="宋体" w:cs="宋体"/>
                <w:color w:val="000000"/>
              </w:rPr>
              <w:t xml:space="preserve">价格分</w:t>
            </w:r>
            <w:r>
              <w:rPr>
                <w:rFonts w:hint="eastAsia" w:ascii="宋体" w:hAnsi="宋体" w:cs="宋体"/>
                <w:color w:val="000000"/>
              </w:rPr>
            </w:r>
            <w:r/>
          </w:p>
        </w:tc>
      </w:tr>
      <w:tr>
        <w:trPr>
          <w:trHeight w:val="460"/>
        </w:trPr>
        <w:tc>
          <w:tcPr>
            <w:gridSpan w:val="5"/>
            <w:tcW w:w="9575" w:type="dxa"/>
            <w:vAlign w:val="top"/>
            <w:textDirection w:val="lrTb"/>
            <w:noWrap w:val="false"/>
          </w:tcPr>
          <w:p>
            <w:pPr>
              <w:pStyle w:val="954"/>
              <w:ind w:left="114"/>
              <w:spacing w:before="123" w:line="264" w:lineRule="auto"/>
              <w:rPr>
                <w:rFonts w:ascii="宋体" w:hAnsi="宋体" w:cs="宋体"/>
                <w:color w:val="000000"/>
              </w:rPr>
            </w:pPr>
            <w:r>
              <w:rPr>
                <w:rFonts w:hint="eastAsia" w:ascii="宋体" w:hAnsi="宋体" w:cs="宋体"/>
                <w:b/>
                <w:bCs/>
                <w:color w:val="000000"/>
                <w:spacing w:val="-3"/>
              </w:rPr>
              <w:t xml:space="preserve">2.技术</w:t>
            </w:r>
            <w:r>
              <w:rPr>
                <w:rFonts w:ascii="宋体" w:hAnsi="宋体" w:cs="宋体"/>
                <w:color w:val="000000"/>
              </w:rPr>
            </w:r>
            <w:r/>
          </w:p>
        </w:tc>
      </w:tr>
      <w:tr>
        <w:trPr>
          <w:trHeight w:val="479"/>
        </w:trPr>
        <w:tc>
          <w:tcPr>
            <w:tcW w:w="519" w:type="dxa"/>
            <w:vAlign w:val="center"/>
            <w:textDirection w:val="lrTb"/>
            <w:noWrap w:val="false"/>
          </w:tcPr>
          <w:p>
            <w:pPr>
              <w:pStyle w:val="954"/>
              <w:jc w:val="center"/>
              <w:spacing w:before="68" w:line="264" w:lineRule="auto"/>
              <w:rPr>
                <w:rFonts w:ascii="宋体" w:hAnsi="宋体" w:cs="宋体"/>
                <w:color w:val="000000"/>
                <w:spacing w:val="-2"/>
              </w:rPr>
            </w:pPr>
            <w:r>
              <w:rPr>
                <w:rFonts w:ascii="宋体" w:hAnsi="宋体" w:cs="宋体"/>
                <w:color w:val="000000"/>
                <w:spacing w:val="-2"/>
              </w:rPr>
              <w:t xml:space="preserve">2.1</w:t>
            </w:r>
            <w:r>
              <w:rPr>
                <w:rFonts w:ascii="宋体" w:hAnsi="宋体" w:cs="宋体"/>
                <w:color w:val="000000"/>
                <w:spacing w:val="-2"/>
              </w:rPr>
            </w:r>
            <w:r/>
          </w:p>
        </w:tc>
        <w:tc>
          <w:tcPr>
            <w:tcW w:w="1179" w:type="dxa"/>
            <w:vAlign w:val="center"/>
            <w:textDirection w:val="lrTb"/>
            <w:noWrap w:val="false"/>
          </w:tcPr>
          <w:p>
            <w:pPr>
              <w:pStyle w:val="954"/>
              <w:jc w:val="left"/>
              <w:spacing w:before="68" w:line="264" w:lineRule="auto"/>
              <w:rPr>
                <w:rFonts w:hint="eastAsia" w:ascii="宋体" w:hAnsi="宋体" w:cs="宋体"/>
                <w:color w:val="000000"/>
                <w:spacing w:val="-2"/>
              </w:rPr>
            </w:pPr>
            <w:r>
              <w:rPr>
                <w:rFonts w:hint="eastAsia"/>
                <w:color w:val="000000"/>
              </w:rPr>
              <w:t xml:space="preserve">产品技术参数</w:t>
            </w:r>
            <w:r>
              <w:rPr>
                <w:rFonts w:hint="eastAsia" w:ascii="宋体" w:hAnsi="宋体" w:cs="宋体"/>
                <w:color w:val="000000"/>
                <w:spacing w:val="-2"/>
              </w:rPr>
            </w:r>
            <w:r/>
          </w:p>
        </w:tc>
        <w:tc>
          <w:tcPr>
            <w:tcW w:w="6330" w:type="dxa"/>
            <w:vAlign w:val="center"/>
            <w:textDirection w:val="lrTb"/>
            <w:noWrap w:val="false"/>
          </w:tcPr>
          <w:p>
            <w:pPr>
              <w:pStyle w:val="954"/>
              <w:jc w:val="left"/>
              <w:spacing w:line="264" w:lineRule="auto"/>
              <w:rPr>
                <w:color w:val="000000"/>
              </w:rPr>
            </w:pPr>
            <w:r>
              <w:rPr>
                <w:rFonts w:hint="eastAsia" w:ascii="宋体" w:hAnsi="宋体" w:cs="宋体"/>
                <w:color w:val="000000"/>
              </w:rPr>
              <w:t xml:space="preserve">产品</w:t>
            </w:r>
            <w:r>
              <w:rPr>
                <w:rFonts w:ascii="宋体" w:hAnsi="宋体" w:cs="宋体"/>
                <w:color w:val="000000"/>
              </w:rPr>
              <w:t xml:space="preserve">技术参数全部满足招标要求的得满分</w:t>
            </w:r>
            <w:r>
              <w:rPr>
                <w:rFonts w:hint="eastAsia" w:ascii="宋体" w:hAnsi="宋体" w:cs="宋体"/>
                <w:color w:val="000000"/>
              </w:rPr>
              <w:t xml:space="preserve">，</w:t>
            </w:r>
            <w:r>
              <w:rPr>
                <w:rFonts w:ascii="宋体" w:hAnsi="宋体" w:cs="宋体"/>
                <w:color w:val="000000"/>
              </w:rPr>
              <w:t xml:space="preserve">打★指标为必须满足项，如有负偏离将作为无效投标</w:t>
            </w:r>
            <w:r>
              <w:rPr>
                <w:rFonts w:hint="eastAsia" w:ascii="宋体" w:hAnsi="宋体" w:cs="宋体"/>
                <w:color w:val="000000"/>
              </w:rPr>
              <w:t xml:space="preserve">，</w:t>
            </w:r>
            <w:r>
              <w:rPr>
                <w:rFonts w:ascii="宋体" w:hAnsi="宋体" w:cs="宋体"/>
                <w:color w:val="000000"/>
              </w:rPr>
              <w:t xml:space="preserve">打▲指标为重要指标</w:t>
            </w:r>
            <w:r>
              <w:rPr>
                <w:rFonts w:hint="eastAsia" w:ascii="宋体" w:hAnsi="宋体" w:cs="宋体"/>
                <w:color w:val="000000"/>
                <w:lang w:eastAsia="zh-CN"/>
              </w:rPr>
              <w:t xml:space="preserve">（</w:t>
            </w:r>
            <w:r>
              <w:rPr>
                <w:rFonts w:hint="eastAsia" w:ascii="宋体" w:hAnsi="宋体" w:cs="宋体"/>
                <w:color w:val="000000"/>
                <w:lang w:val="en-US" w:eastAsia="zh-CN"/>
              </w:rPr>
              <w:t xml:space="preserve">共6项</w:t>
            </w:r>
            <w:r>
              <w:rPr>
                <w:rFonts w:hint="eastAsia" w:ascii="宋体" w:hAnsi="宋体" w:cs="宋体"/>
                <w:color w:val="000000"/>
                <w:lang w:eastAsia="zh-CN"/>
              </w:rPr>
              <w:t xml:space="preserve">）</w:t>
            </w:r>
            <w:r>
              <w:rPr>
                <w:rFonts w:ascii="宋体" w:hAnsi="宋体" w:cs="宋体"/>
                <w:color w:val="000000"/>
              </w:rPr>
              <w:t xml:space="preserve">，</w:t>
            </w:r>
            <w:r>
              <w:rPr>
                <w:rFonts w:hint="eastAsia" w:ascii="宋体" w:hAnsi="宋体" w:cs="宋体"/>
                <w:color w:val="000000"/>
              </w:rPr>
              <w:t xml:space="preserve">有1项负偏离扣</w:t>
            </w:r>
            <w:r>
              <w:rPr>
                <w:rFonts w:ascii="宋体" w:hAnsi="宋体" w:cs="宋体"/>
                <w:color w:val="000000"/>
              </w:rPr>
              <w:t xml:space="preserve">2</w:t>
            </w:r>
            <w:r>
              <w:rPr>
                <w:rFonts w:hint="eastAsia" w:ascii="宋体" w:hAnsi="宋体" w:cs="宋体"/>
                <w:color w:val="000000"/>
              </w:rPr>
              <w:t xml:space="preserve">分，其余指标</w:t>
            </w:r>
            <w:r>
              <w:rPr>
                <w:rFonts w:hint="eastAsia" w:ascii="宋体" w:hAnsi="宋体" w:cs="宋体"/>
                <w:color w:val="000000"/>
                <w:lang w:eastAsia="zh-CN"/>
              </w:rPr>
              <w:t xml:space="preserve">（</w:t>
            </w:r>
            <w:r>
              <w:rPr>
                <w:rFonts w:hint="eastAsia" w:ascii="宋体" w:hAnsi="宋体" w:cs="宋体"/>
                <w:color w:val="000000"/>
                <w:lang w:val="en-US" w:eastAsia="zh-CN"/>
              </w:rPr>
              <w:t xml:space="preserve">共35项</w:t>
            </w:r>
            <w:r>
              <w:rPr>
                <w:rFonts w:hint="eastAsia" w:ascii="宋体" w:hAnsi="宋体" w:cs="宋体"/>
                <w:color w:val="000000"/>
                <w:lang w:eastAsia="zh-CN"/>
              </w:rPr>
              <w:t xml:space="preserve">）</w:t>
            </w:r>
            <w:r>
              <w:rPr>
                <w:rFonts w:hint="eastAsia" w:ascii="宋体" w:hAnsi="宋体" w:cs="宋体"/>
                <w:color w:val="000000"/>
              </w:rPr>
              <w:t xml:space="preserve">有1项负偏离扣</w:t>
            </w:r>
            <w:r>
              <w:rPr>
                <w:rFonts w:ascii="宋体" w:hAnsi="宋体" w:cs="宋体"/>
                <w:color w:val="000000"/>
              </w:rPr>
              <w:t xml:space="preserve">0.4</w:t>
            </w:r>
            <w:r>
              <w:rPr>
                <w:rFonts w:hint="eastAsia" w:ascii="宋体" w:hAnsi="宋体" w:cs="宋体"/>
                <w:color w:val="000000"/>
              </w:rPr>
              <w:t xml:space="preserve">分。</w:t>
            </w:r>
            <w:r>
              <w:rPr>
                <w:color w:val="000000"/>
              </w:rPr>
            </w:r>
            <w:r/>
          </w:p>
        </w:tc>
        <w:tc>
          <w:tcPr>
            <w:tcW w:w="647" w:type="dxa"/>
            <w:vAlign w:val="center"/>
            <w:textDirection w:val="lrTb"/>
            <w:noWrap w:val="false"/>
          </w:tcPr>
          <w:p>
            <w:pPr>
              <w:pStyle w:val="954"/>
              <w:jc w:val="center"/>
              <w:spacing w:before="68" w:line="264" w:lineRule="auto"/>
              <w:rPr>
                <w:rFonts w:ascii="宋体" w:hAnsi="宋体" w:cs="宋体"/>
                <w:color w:val="000000"/>
              </w:rPr>
            </w:pPr>
            <w:r>
              <w:rPr>
                <w:rFonts w:ascii="宋体" w:hAnsi="宋体" w:cs="宋体"/>
                <w:color w:val="000000"/>
              </w:rPr>
              <w:t xml:space="preserve">26</w:t>
            </w:r>
            <w:r>
              <w:rPr>
                <w:rFonts w:ascii="宋体" w:hAnsi="宋体" w:cs="宋体"/>
                <w:color w:val="000000"/>
              </w:rPr>
            </w:r>
            <w:r/>
          </w:p>
        </w:tc>
        <w:tc>
          <w:tcPr>
            <w:tcW w:w="900" w:type="dxa"/>
            <w:vAlign w:val="center"/>
            <w:textDirection w:val="lrTb"/>
            <w:noWrap w:val="false"/>
          </w:tcPr>
          <w:p>
            <w:pPr>
              <w:pStyle w:val="954"/>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315"/>
        </w:trPr>
        <w:tc>
          <w:tcPr>
            <w:tcW w:w="519" w:type="dxa"/>
            <w:vAlign w:val="center"/>
            <w:textDirection w:val="lrTb"/>
            <w:noWrap w:val="false"/>
          </w:tcPr>
          <w:p>
            <w:pPr>
              <w:pStyle w:val="954"/>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2</w:t>
            </w:r>
            <w:r>
              <w:rPr>
                <w:rFonts w:ascii="宋体" w:hAnsi="宋体" w:cs="宋体"/>
                <w:color w:val="000000"/>
                <w:spacing w:val="-2"/>
              </w:rPr>
              <w:t xml:space="preserve">.2</w:t>
            </w:r>
            <w:r>
              <w:rPr>
                <w:rFonts w:hint="eastAsia" w:ascii="宋体" w:hAnsi="宋体" w:cs="宋体"/>
                <w:color w:val="000000"/>
                <w:spacing w:val="-2"/>
              </w:rPr>
            </w:r>
            <w:r/>
          </w:p>
        </w:tc>
        <w:tc>
          <w:tcPr>
            <w:tcW w:w="1179" w:type="dxa"/>
            <w:vAlign w:val="center"/>
            <w:textDirection w:val="lrTb"/>
            <w:noWrap w:val="false"/>
          </w:tcPr>
          <w:p>
            <w:pPr>
              <w:pStyle w:val="954"/>
              <w:spacing w:line="264" w:lineRule="auto"/>
              <w:rPr>
                <w:rFonts w:hint="eastAsia"/>
                <w:color w:val="000000"/>
              </w:rPr>
            </w:pPr>
            <w:r>
              <w:rPr>
                <w:rFonts w:hint="eastAsia"/>
                <w:color w:val="000000"/>
              </w:rPr>
              <w:t xml:space="preserve">需求理解</w:t>
            </w:r>
            <w:r>
              <w:rPr>
                <w:rFonts w:hint="eastAsia"/>
                <w:color w:val="000000"/>
              </w:rPr>
            </w:r>
            <w:r/>
          </w:p>
        </w:tc>
        <w:tc>
          <w:tcPr>
            <w:tcW w:w="6330" w:type="dxa"/>
            <w:vAlign w:val="center"/>
            <w:textDirection w:val="lrTb"/>
            <w:noWrap w:val="false"/>
          </w:tcPr>
          <w:p>
            <w:pPr>
              <w:pStyle w:val="954"/>
              <w:rPr>
                <w:rFonts w:ascii="宋体" w:hAnsi="宋体" w:cs="宋体"/>
                <w:color w:val="000000"/>
              </w:rPr>
            </w:pPr>
            <w:r>
              <w:rPr>
                <w:rFonts w:hint="eastAsia"/>
                <w:color w:val="000000"/>
              </w:rPr>
              <w:t xml:space="preserve">根据本项目采购需求编制方案，内容包含：</w:t>
            </w:r>
            <w:r>
              <w:rPr>
                <w:rFonts w:hint="eastAsia" w:ascii="宋体" w:hAnsi="宋体" w:cs="宋体"/>
                <w:color w:val="000000"/>
              </w:rPr>
              <w:t xml:space="preserve">1.业务需求分析；2.</w:t>
            </w:r>
            <w:r>
              <w:rPr>
                <w:rFonts w:ascii="宋体" w:hAnsi="宋体" w:cs="宋体"/>
                <w:color w:val="000000"/>
              </w:rPr>
              <w:t xml:space="preserve">建设目标</w:t>
            </w:r>
            <w:r>
              <w:rPr>
                <w:rFonts w:hint="eastAsia" w:ascii="宋体" w:hAnsi="宋体" w:cs="宋体"/>
                <w:color w:val="000000"/>
              </w:rPr>
              <w:t xml:space="preserve">分析；3.</w:t>
            </w:r>
            <w:r>
              <w:rPr>
                <w:rFonts w:ascii="宋体" w:hAnsi="宋体" w:cs="宋体"/>
                <w:color w:val="000000"/>
              </w:rPr>
              <w:t xml:space="preserve">建设依据、必要性</w:t>
            </w:r>
            <w:r>
              <w:rPr>
                <w:rFonts w:hint="eastAsia" w:ascii="宋体" w:hAnsi="宋体" w:cs="宋体"/>
                <w:color w:val="000000"/>
              </w:rPr>
              <w:t xml:space="preserve">分析；4.</w:t>
            </w:r>
            <w:r>
              <w:rPr>
                <w:rFonts w:ascii="宋体" w:hAnsi="宋体" w:cs="宋体"/>
                <w:color w:val="000000"/>
              </w:rPr>
              <w:t xml:space="preserve">重点难点</w:t>
            </w:r>
            <w:r>
              <w:rPr>
                <w:rFonts w:hint="eastAsia" w:ascii="宋体" w:hAnsi="宋体" w:cs="宋体"/>
                <w:color w:val="000000"/>
              </w:rPr>
              <w:t xml:space="preserve">分析。</w:t>
            </w:r>
            <w:r>
              <w:rPr>
                <w:rFonts w:hint="eastAsia"/>
                <w:color w:val="000000"/>
              </w:rPr>
              <w:t xml:space="preserve">以上每项内容逐项评分：</w:t>
            </w:r>
            <w:r>
              <w:rPr>
                <w:rFonts w:ascii="宋体" w:hAnsi="宋体" w:cs="宋体"/>
                <w:color w:val="000000"/>
              </w:rPr>
            </w:r>
            <w:r/>
          </w:p>
          <w:p>
            <w:pPr>
              <w:pStyle w:val="954"/>
              <w:rPr>
                <w:rFonts w:ascii="宋体" w:hAnsi="宋体" w:cs="宋体"/>
                <w:color w:val="000000"/>
              </w:rPr>
            </w:pPr>
            <w:r>
              <w:rPr>
                <w:rFonts w:hint="eastAsia" w:ascii="宋体" w:hAnsi="宋体" w:cs="宋体"/>
                <w:color w:val="000000"/>
              </w:rPr>
              <w:t xml:space="preserve">（1）业务需求分析：</w:t>
            </w:r>
            <w:r>
              <w:rPr>
                <w:rFonts w:ascii="宋体" w:hAnsi="宋体" w:cs="宋体"/>
                <w:color w:val="000000"/>
              </w:rPr>
            </w:r>
            <w:r/>
          </w:p>
          <w:p>
            <w:pPr>
              <w:pStyle w:val="954"/>
              <w:rPr>
                <w:rFonts w:ascii="宋体" w:hAnsi="宋体" w:cs="宋体"/>
                <w:color w:val="000000"/>
              </w:rPr>
            </w:pPr>
            <w:r>
              <w:rPr>
                <w:rFonts w:hint="eastAsia" w:ascii="宋体" w:hAnsi="宋体" w:cs="宋体"/>
                <w:color w:val="000000"/>
              </w:rPr>
              <w:t xml:space="preserve">业务需求分析内容</w:t>
            </w:r>
            <w:r>
              <w:rPr>
                <w:rFonts w:ascii="宋体" w:hAnsi="宋体" w:cs="宋体"/>
                <w:color w:val="000000"/>
              </w:rPr>
              <w:t xml:space="preserve">完整深刻、针对性强、紧贴采购需求的，得</w:t>
            </w:r>
            <w:r>
              <w:rPr>
                <w:rFonts w:hint="eastAsia" w:ascii="宋体" w:hAnsi="宋体" w:cs="宋体"/>
                <w:color w:val="000000"/>
              </w:rPr>
              <w:t xml:space="preserve">1</w:t>
            </w:r>
            <w:r>
              <w:rPr>
                <w:rFonts w:ascii="宋体" w:hAnsi="宋体" w:cs="宋体"/>
                <w:color w:val="000000"/>
              </w:rPr>
              <w:t xml:space="preserve">分；</w:t>
            </w:r>
            <w:r>
              <w:rPr>
                <w:rFonts w:ascii="宋体" w:hAnsi="宋体" w:cs="宋体"/>
                <w:color w:val="000000"/>
              </w:rPr>
            </w:r>
            <w:r/>
          </w:p>
          <w:p>
            <w:pPr>
              <w:pStyle w:val="954"/>
              <w:rPr>
                <w:rFonts w:ascii="宋体" w:hAnsi="宋体" w:cs="宋体"/>
                <w:color w:val="000000"/>
              </w:rPr>
            </w:pPr>
            <w:r>
              <w:rPr>
                <w:rFonts w:hint="eastAsia" w:ascii="宋体" w:hAnsi="宋体" w:cs="宋体"/>
                <w:color w:val="000000"/>
              </w:rPr>
              <w:t xml:space="preserve">业务需求分析内容基本完整、针对性较强、较符合需求的，得0.5分；</w:t>
            </w:r>
            <w:r>
              <w:rPr>
                <w:rFonts w:ascii="宋体" w:hAnsi="宋体" w:cs="宋体"/>
                <w:color w:val="000000"/>
              </w:rPr>
            </w:r>
            <w:r/>
          </w:p>
          <w:p>
            <w:pPr>
              <w:pStyle w:val="954"/>
              <w:rPr>
                <w:rFonts w:ascii="宋体" w:hAnsi="宋体" w:cs="宋体"/>
                <w:color w:val="000000"/>
              </w:rPr>
            </w:pPr>
            <w:r>
              <w:rPr>
                <w:rFonts w:hint="eastAsia" w:ascii="宋体" w:hAnsi="宋体" w:cs="宋体"/>
                <w:color w:val="000000"/>
              </w:rPr>
              <w:t xml:space="preserve">未提供或提供</w:t>
            </w:r>
            <w:r>
              <w:rPr>
                <w:rFonts w:hint="eastAsia"/>
                <w:color w:val="000000"/>
              </w:rPr>
              <w:t xml:space="preserve">的内容完全</w:t>
            </w:r>
            <w:r>
              <w:rPr>
                <w:rFonts w:hint="eastAsia" w:ascii="宋体" w:hAnsi="宋体" w:cs="宋体"/>
                <w:color w:val="000000"/>
              </w:rPr>
              <w:t xml:space="preserve">不符合采购需求的不得分。</w:t>
            </w:r>
            <w:r>
              <w:rPr>
                <w:rFonts w:ascii="宋体" w:hAnsi="宋体" w:cs="宋体"/>
                <w:color w:val="000000"/>
              </w:rPr>
              <w:t xml:space="preserve"> </w:t>
            </w:r>
            <w:r>
              <w:rPr>
                <w:rFonts w:ascii="宋体" w:hAnsi="宋体" w:cs="宋体"/>
                <w:color w:val="000000"/>
              </w:rPr>
            </w:r>
            <w:r/>
          </w:p>
          <w:p>
            <w:pPr>
              <w:pStyle w:val="954"/>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建设目标</w:t>
            </w:r>
            <w:r>
              <w:rPr>
                <w:rFonts w:hint="eastAsia" w:ascii="宋体" w:hAnsi="宋体" w:cs="宋体"/>
                <w:color w:val="000000"/>
              </w:rPr>
              <w:t xml:space="preserve">分析：</w:t>
            </w:r>
            <w:r>
              <w:rPr>
                <w:rFonts w:ascii="宋体" w:hAnsi="宋体" w:cs="宋体"/>
                <w:color w:val="000000"/>
              </w:rPr>
            </w:r>
            <w:r/>
          </w:p>
          <w:p>
            <w:pPr>
              <w:pStyle w:val="954"/>
              <w:rPr>
                <w:rFonts w:ascii="宋体" w:hAnsi="宋体" w:cs="宋体"/>
                <w:color w:val="000000"/>
              </w:rPr>
            </w:pPr>
            <w:r>
              <w:rPr>
                <w:rFonts w:ascii="宋体" w:hAnsi="宋体" w:cs="宋体"/>
                <w:color w:val="000000"/>
              </w:rPr>
              <w:t xml:space="preserve">建设目标</w:t>
            </w:r>
            <w:r>
              <w:rPr>
                <w:rFonts w:hint="eastAsia" w:ascii="宋体" w:hAnsi="宋体" w:cs="宋体"/>
                <w:color w:val="000000"/>
              </w:rPr>
              <w:t xml:space="preserve">分析准确、深度贴合业务科室建设目标的，得1分；</w:t>
            </w:r>
            <w:r>
              <w:rPr>
                <w:rFonts w:ascii="宋体" w:hAnsi="宋体" w:cs="宋体"/>
                <w:color w:val="000000"/>
              </w:rPr>
            </w:r>
            <w:r/>
          </w:p>
          <w:p>
            <w:pPr>
              <w:pStyle w:val="954"/>
              <w:rPr>
                <w:rFonts w:ascii="宋体" w:hAnsi="宋体" w:cs="宋体"/>
                <w:color w:val="000000"/>
              </w:rPr>
            </w:pPr>
            <w:r>
              <w:rPr>
                <w:rFonts w:ascii="宋体" w:hAnsi="宋体" w:cs="宋体"/>
                <w:color w:val="000000"/>
              </w:rPr>
              <w:t xml:space="preserve">建设目标</w:t>
            </w:r>
            <w:r>
              <w:rPr>
                <w:rFonts w:hint="eastAsia" w:ascii="宋体" w:hAnsi="宋体" w:cs="宋体"/>
                <w:color w:val="000000"/>
              </w:rPr>
              <w:t xml:space="preserve">分析较准确、基本符合业务科室建设目标的，得0.5分；</w:t>
            </w:r>
            <w:r>
              <w:rPr>
                <w:rFonts w:ascii="宋体" w:hAnsi="宋体" w:cs="宋体"/>
                <w:color w:val="000000"/>
              </w:rPr>
            </w:r>
            <w:r/>
          </w:p>
          <w:p>
            <w:pPr>
              <w:pStyle w:val="954"/>
              <w:rPr>
                <w:rFonts w:ascii="宋体" w:hAnsi="宋体" w:cs="宋体"/>
                <w:color w:val="000000"/>
              </w:rPr>
            </w:pPr>
            <w:r>
              <w:rPr>
                <w:rFonts w:hint="eastAsia" w:ascii="宋体" w:hAnsi="宋体" w:cs="宋体"/>
                <w:color w:val="000000"/>
              </w:rPr>
              <w:t xml:space="preserve">未提供或提供</w:t>
            </w:r>
            <w:r>
              <w:rPr>
                <w:rFonts w:hint="eastAsia"/>
                <w:color w:val="000000"/>
              </w:rPr>
              <w:t xml:space="preserve">的内容完全</w:t>
            </w:r>
            <w:r>
              <w:rPr>
                <w:rFonts w:hint="eastAsia" w:ascii="宋体" w:hAnsi="宋体" w:cs="宋体"/>
                <w:color w:val="000000"/>
              </w:rPr>
              <w:t xml:space="preserve">不符合采购需求的不得分。</w:t>
            </w:r>
            <w:r>
              <w:rPr>
                <w:rFonts w:ascii="宋体" w:hAnsi="宋体" w:cs="宋体"/>
                <w:color w:val="000000"/>
              </w:rPr>
            </w:r>
            <w:r/>
          </w:p>
          <w:p>
            <w:pPr>
              <w:pStyle w:val="954"/>
              <w:rPr>
                <w:rFonts w:ascii="宋体" w:hAnsi="宋体" w:cs="宋体"/>
                <w:color w:val="000000"/>
              </w:rPr>
            </w:pPr>
            <w:r>
              <w:rPr>
                <w:rFonts w:hint="eastAsia" w:ascii="宋体" w:hAnsi="宋体" w:cs="宋体"/>
                <w:color w:val="000000"/>
              </w:rPr>
              <w:t xml:space="preserve">（3）建设依据、必要性分析：</w:t>
            </w:r>
            <w:r>
              <w:rPr>
                <w:rFonts w:ascii="宋体" w:hAnsi="宋体" w:cs="宋体"/>
                <w:color w:val="000000"/>
              </w:rPr>
            </w:r>
            <w:r/>
          </w:p>
          <w:p>
            <w:pPr>
              <w:pStyle w:val="954"/>
              <w:rPr>
                <w:rFonts w:ascii="宋体" w:hAnsi="宋体" w:cs="宋体"/>
                <w:color w:val="000000"/>
              </w:rPr>
            </w:pPr>
            <w:r>
              <w:rPr>
                <w:rFonts w:hint="eastAsia" w:ascii="宋体" w:hAnsi="宋体" w:cs="宋体"/>
                <w:color w:val="000000"/>
              </w:rPr>
              <w:t xml:space="preserve">建设依据与必要性分析内容完整、分析科学的，得1分；</w:t>
            </w:r>
            <w:r>
              <w:rPr>
                <w:rFonts w:ascii="宋体" w:hAnsi="宋体" w:cs="宋体"/>
                <w:color w:val="000000"/>
              </w:rPr>
            </w:r>
            <w:r/>
          </w:p>
          <w:p>
            <w:pPr>
              <w:pStyle w:val="954"/>
              <w:rPr>
                <w:rFonts w:ascii="宋体" w:hAnsi="宋体" w:cs="宋体"/>
                <w:color w:val="000000"/>
              </w:rPr>
            </w:pPr>
            <w:r>
              <w:rPr>
                <w:rFonts w:hint="eastAsia" w:ascii="宋体" w:hAnsi="宋体" w:cs="宋体"/>
                <w:color w:val="000000"/>
              </w:rPr>
              <w:t xml:space="preserve">建设依据与必要性分析内容较完整、分析较科学的，得0.5分；</w:t>
            </w:r>
            <w:r>
              <w:rPr>
                <w:rFonts w:ascii="宋体" w:hAnsi="宋体" w:cs="宋体"/>
                <w:color w:val="000000"/>
              </w:rPr>
            </w:r>
            <w:r/>
          </w:p>
          <w:p>
            <w:pPr>
              <w:pStyle w:val="954"/>
              <w:rPr>
                <w:rFonts w:ascii="宋体" w:hAnsi="宋体" w:cs="宋体"/>
                <w:color w:val="000000"/>
              </w:rPr>
            </w:pPr>
            <w:r>
              <w:rPr>
                <w:rFonts w:hint="eastAsia" w:ascii="宋体" w:hAnsi="宋体" w:cs="宋体"/>
                <w:color w:val="000000"/>
              </w:rPr>
              <w:t xml:space="preserve">未提供或提供</w:t>
            </w:r>
            <w:r>
              <w:rPr>
                <w:rFonts w:hint="eastAsia"/>
                <w:color w:val="000000"/>
              </w:rPr>
              <w:t xml:space="preserve">的内容完全</w:t>
            </w:r>
            <w:r>
              <w:rPr>
                <w:rFonts w:hint="eastAsia" w:ascii="宋体" w:hAnsi="宋体" w:cs="宋体"/>
                <w:color w:val="000000"/>
              </w:rPr>
              <w:t xml:space="preserve">不符合采购需求的不得分。</w:t>
            </w:r>
            <w:r>
              <w:rPr>
                <w:rFonts w:ascii="宋体" w:hAnsi="宋体" w:cs="宋体"/>
                <w:color w:val="000000"/>
              </w:rPr>
            </w:r>
            <w:r/>
          </w:p>
          <w:p>
            <w:pPr>
              <w:pStyle w:val="954"/>
              <w:rPr>
                <w:rFonts w:ascii="宋体" w:hAnsi="宋体" w:cs="宋体"/>
                <w:color w:val="000000"/>
              </w:rPr>
            </w:pPr>
            <w:r>
              <w:rPr>
                <w:rFonts w:hint="eastAsia" w:ascii="宋体" w:hAnsi="宋体" w:cs="宋体"/>
                <w:color w:val="000000"/>
              </w:rPr>
              <w:t xml:space="preserve">（4）</w:t>
            </w:r>
            <w:r>
              <w:rPr>
                <w:rFonts w:ascii="宋体" w:hAnsi="宋体" w:cs="宋体"/>
                <w:color w:val="000000"/>
              </w:rPr>
              <w:t xml:space="preserve">重点难点</w:t>
            </w:r>
            <w:r>
              <w:rPr>
                <w:rFonts w:hint="eastAsia" w:ascii="宋体" w:hAnsi="宋体" w:cs="宋体"/>
                <w:color w:val="000000"/>
              </w:rPr>
              <w:t xml:space="preserve">分析：</w:t>
            </w:r>
            <w:r>
              <w:rPr>
                <w:rFonts w:ascii="宋体" w:hAnsi="宋体" w:cs="宋体"/>
                <w:color w:val="000000"/>
              </w:rPr>
            </w:r>
            <w:r/>
          </w:p>
          <w:p>
            <w:pPr>
              <w:pStyle w:val="954"/>
              <w:rPr>
                <w:rFonts w:ascii="宋体" w:hAnsi="宋体" w:cs="宋体"/>
                <w:color w:val="000000"/>
              </w:rPr>
            </w:pPr>
            <w:r>
              <w:rPr>
                <w:rFonts w:hint="eastAsia" w:ascii="宋体" w:hAnsi="宋体" w:cs="宋体"/>
                <w:color w:val="000000"/>
              </w:rPr>
              <w:t xml:space="preserve">重难点分析清晰完整，内容详细具体的，得1分；</w:t>
            </w:r>
            <w:r>
              <w:rPr>
                <w:rFonts w:ascii="宋体" w:hAnsi="宋体" w:cs="宋体"/>
                <w:color w:val="000000"/>
              </w:rPr>
            </w:r>
            <w:r/>
          </w:p>
          <w:p>
            <w:pPr>
              <w:pStyle w:val="954"/>
              <w:rPr>
                <w:rFonts w:ascii="宋体" w:hAnsi="宋体" w:cs="宋体"/>
                <w:color w:val="000000"/>
              </w:rPr>
            </w:pPr>
            <w:r>
              <w:rPr>
                <w:rFonts w:hint="eastAsia" w:ascii="宋体" w:hAnsi="宋体" w:cs="宋体"/>
                <w:color w:val="000000"/>
              </w:rPr>
              <w:t xml:space="preserve">重难点分析较清晰完整，内容较详细具体得，得0.5分；</w:t>
            </w:r>
            <w:r>
              <w:rPr>
                <w:rFonts w:ascii="宋体" w:hAnsi="宋体" w:cs="宋体"/>
                <w:color w:val="000000"/>
              </w:rPr>
            </w:r>
            <w:r/>
          </w:p>
          <w:p>
            <w:pPr>
              <w:pStyle w:val="954"/>
              <w:rPr>
                <w:rFonts w:hint="eastAsia"/>
                <w:color w:val="000000"/>
              </w:rPr>
            </w:pPr>
            <w:r>
              <w:rPr>
                <w:rFonts w:hint="eastAsia" w:ascii="宋体" w:hAnsi="宋体" w:cs="宋体"/>
                <w:color w:val="000000"/>
              </w:rPr>
              <w:t xml:space="preserve">未提供或提供</w:t>
            </w:r>
            <w:r>
              <w:rPr>
                <w:rFonts w:hint="eastAsia"/>
                <w:color w:val="000000"/>
              </w:rPr>
              <w:t xml:space="preserve">的内容完全</w:t>
            </w:r>
            <w:r>
              <w:rPr>
                <w:rFonts w:hint="eastAsia" w:ascii="宋体" w:hAnsi="宋体" w:cs="宋体"/>
                <w:color w:val="000000"/>
              </w:rPr>
              <w:t xml:space="preserve">不符合采购需求的不得分。</w:t>
            </w:r>
            <w:r>
              <w:rPr>
                <w:rFonts w:hint="eastAsia"/>
                <w:color w:val="000000"/>
              </w:rPr>
            </w:r>
            <w:r/>
          </w:p>
        </w:tc>
        <w:tc>
          <w:tcPr>
            <w:tcW w:w="647" w:type="dxa"/>
            <w:vAlign w:val="center"/>
            <w:textDirection w:val="lrTb"/>
            <w:noWrap w:val="false"/>
          </w:tcPr>
          <w:p>
            <w:pPr>
              <w:pStyle w:val="954"/>
              <w:jc w:val="center"/>
              <w:spacing w:before="68" w:line="264"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900" w:type="dxa"/>
            <w:vAlign w:val="center"/>
            <w:textDirection w:val="lrTb"/>
            <w:noWrap w:val="false"/>
          </w:tcPr>
          <w:p>
            <w:pPr>
              <w:pStyle w:val="954"/>
              <w:jc w:val="center"/>
              <w:spacing w:before="68" w:line="264" w:lineRule="auto"/>
              <w:rPr>
                <w:rFonts w:hint="eastAsia" w:ascii="宋体" w:hAnsi="宋体" w:cs="宋体"/>
                <w:color w:val="000000"/>
              </w:rPr>
            </w:pPr>
            <w:r>
              <w:rPr>
                <w:rFonts w:hint="eastAsia" w:ascii="宋体" w:hAnsi="宋体" w:cs="宋体"/>
                <w:color w:val="000000"/>
                <w:spacing w:val="-4"/>
              </w:rPr>
              <w:t xml:space="preserve">主观分</w:t>
            </w:r>
            <w:r>
              <w:rPr>
                <w:rFonts w:hint="eastAsia" w:ascii="宋体" w:hAnsi="宋体" w:cs="宋体"/>
                <w:color w:val="000000"/>
              </w:rPr>
            </w:r>
            <w:r/>
          </w:p>
        </w:tc>
      </w:tr>
      <w:tr>
        <w:trPr>
          <w:trHeight w:val="315"/>
        </w:trPr>
        <w:tc>
          <w:tcPr>
            <w:tcW w:w="519" w:type="dxa"/>
            <w:vAlign w:val="center"/>
            <w:textDirection w:val="lrTb"/>
            <w:noWrap w:val="false"/>
          </w:tcPr>
          <w:p>
            <w:pPr>
              <w:pStyle w:val="954"/>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2.3</w:t>
            </w:r>
            <w:r>
              <w:rPr>
                <w:rFonts w:hint="eastAsia" w:ascii="宋体" w:hAnsi="宋体" w:cs="宋体"/>
                <w:color w:val="000000"/>
                <w:spacing w:val="-2"/>
              </w:rPr>
            </w:r>
            <w:r/>
          </w:p>
        </w:tc>
        <w:tc>
          <w:tcPr>
            <w:tcW w:w="1179" w:type="dxa"/>
            <w:vAlign w:val="center"/>
            <w:textDirection w:val="lrTb"/>
            <w:noWrap w:val="false"/>
          </w:tcPr>
          <w:p>
            <w:pPr>
              <w:pStyle w:val="954"/>
              <w:spacing w:line="264" w:lineRule="auto"/>
              <w:rPr>
                <w:rFonts w:hint="eastAsia"/>
                <w:color w:val="000000"/>
              </w:rPr>
            </w:pPr>
            <w:r>
              <w:rPr>
                <w:rFonts w:hint="eastAsia"/>
                <w:color w:val="000000"/>
              </w:rPr>
              <w:t xml:space="preserve">总体技术方案</w:t>
            </w:r>
            <w:r>
              <w:rPr>
                <w:rFonts w:hint="eastAsia"/>
                <w:color w:val="000000"/>
              </w:rPr>
            </w:r>
            <w:r/>
          </w:p>
        </w:tc>
        <w:tc>
          <w:tcPr>
            <w:tcW w:w="6330" w:type="dxa"/>
            <w:vAlign w:val="center"/>
            <w:textDirection w:val="lrTb"/>
            <w:noWrap w:val="false"/>
          </w:tcPr>
          <w:p>
            <w:pPr>
              <w:pStyle w:val="954"/>
              <w:jc w:val="left"/>
              <w:spacing w:line="264" w:lineRule="auto"/>
              <w:widowControl/>
              <w:rPr>
                <w:rFonts w:hint="eastAsia"/>
                <w:color w:val="000000"/>
              </w:rPr>
            </w:pPr>
            <w:r>
              <w:rPr>
                <w:rFonts w:hint="eastAsia"/>
                <w:color w:val="000000"/>
              </w:rPr>
              <w:t xml:space="preserve">根据本项目采购需求编制方案，内容包含：1.</w:t>
            </w:r>
            <w:r>
              <w:rPr>
                <w:color w:val="000000"/>
              </w:rPr>
              <w:t xml:space="preserve">总体设计</w:t>
            </w:r>
            <w:r>
              <w:rPr>
                <w:rFonts w:hint="eastAsia"/>
                <w:color w:val="000000"/>
              </w:rPr>
              <w:t xml:space="preserve">；2.</w:t>
            </w:r>
            <w:r>
              <w:rPr>
                <w:color w:val="000000"/>
              </w:rPr>
              <w:t xml:space="preserve">架构设计</w:t>
            </w:r>
            <w:r>
              <w:rPr>
                <w:rFonts w:hint="eastAsia"/>
                <w:color w:val="000000"/>
              </w:rPr>
              <w:t xml:space="preserve">；3.</w:t>
            </w:r>
            <w:r>
              <w:rPr>
                <w:color w:val="000000"/>
              </w:rPr>
              <w:t xml:space="preserve">关键技术描述和说明</w:t>
            </w:r>
            <w:r>
              <w:rPr>
                <w:rFonts w:hint="eastAsia"/>
                <w:color w:val="000000"/>
              </w:rPr>
              <w:t xml:space="preserve">；4.安全解决方案</w:t>
            </w:r>
            <w:r>
              <w:rPr>
                <w:color w:val="000000"/>
              </w:rPr>
              <w:t xml:space="preserve">。</w:t>
            </w:r>
            <w:r>
              <w:rPr>
                <w:rFonts w:hint="eastAsia"/>
                <w:color w:val="000000"/>
              </w:rPr>
              <w:t xml:space="preserve">以上每项内容逐项评分：</w:t>
            </w:r>
            <w:r>
              <w:rPr>
                <w:rFonts w:hint="eastAsia"/>
                <w:color w:val="000000"/>
              </w:rPr>
            </w:r>
            <w:r/>
          </w:p>
          <w:p>
            <w:pPr>
              <w:pStyle w:val="954"/>
              <w:jc w:val="left"/>
              <w:spacing w:line="264" w:lineRule="auto"/>
              <w:widowControl/>
              <w:rPr>
                <w:color w:val="000000"/>
              </w:rPr>
            </w:pPr>
            <w:r>
              <w:rPr>
                <w:rFonts w:hint="eastAsia"/>
                <w:color w:val="000000"/>
              </w:rPr>
              <w:t xml:space="preserve">（1）</w:t>
            </w:r>
            <w:r>
              <w:rPr>
                <w:color w:val="000000"/>
              </w:rPr>
              <w:t xml:space="preserve">总体设计</w:t>
            </w:r>
            <w:r>
              <w:rPr>
                <w:rFonts w:hint="eastAsia"/>
                <w:color w:val="000000"/>
              </w:rPr>
              <w:t xml:space="preserve">：</w:t>
            </w:r>
            <w:r>
              <w:rPr>
                <w:color w:val="000000"/>
              </w:rPr>
            </w:r>
            <w:r/>
          </w:p>
          <w:p>
            <w:pPr>
              <w:pStyle w:val="954"/>
              <w:jc w:val="left"/>
              <w:spacing w:line="264" w:lineRule="auto"/>
              <w:widowControl/>
              <w:rPr>
                <w:color w:val="000000"/>
              </w:rPr>
            </w:pPr>
            <w:r>
              <w:rPr>
                <w:color w:val="000000"/>
              </w:rPr>
              <w:t xml:space="preserve">总体设计</w:t>
            </w:r>
            <w:r>
              <w:rPr>
                <w:rFonts w:hint="eastAsia"/>
                <w:color w:val="000000"/>
              </w:rPr>
              <w:t xml:space="preserve">科学、具有前瞻性、紧贴采购需求的，得1分；</w:t>
            </w:r>
            <w:r>
              <w:rPr>
                <w:color w:val="000000"/>
              </w:rPr>
            </w:r>
            <w:r/>
          </w:p>
          <w:p>
            <w:pPr>
              <w:pStyle w:val="954"/>
              <w:jc w:val="left"/>
              <w:spacing w:line="264" w:lineRule="auto"/>
              <w:widowControl/>
              <w:rPr>
                <w:color w:val="000000"/>
              </w:rPr>
            </w:pPr>
            <w:r>
              <w:rPr>
                <w:color w:val="000000"/>
              </w:rPr>
              <w:t xml:space="preserve">总体设计</w:t>
            </w:r>
            <w:r>
              <w:rPr>
                <w:rFonts w:hint="eastAsia"/>
                <w:color w:val="000000"/>
              </w:rPr>
              <w:t xml:space="preserve">较科学、较有前瞻性、基本符合采购需求的，得0.5分；</w:t>
            </w:r>
            <w:r>
              <w:rPr>
                <w:color w:val="000000"/>
              </w:rPr>
            </w:r>
            <w:r/>
          </w:p>
          <w:p>
            <w:pPr>
              <w:pStyle w:val="954"/>
              <w:jc w:val="left"/>
              <w:spacing w:line="264" w:lineRule="auto"/>
              <w:widowControl/>
              <w:rPr>
                <w:color w:val="000000"/>
              </w:rPr>
            </w:pPr>
            <w:r>
              <w:rPr>
                <w:rFonts w:hint="eastAsia"/>
                <w:color w:val="000000"/>
              </w:rPr>
              <w:t xml:space="preserve">未提供或提供的内容完全不符合采购需求的不得分。</w:t>
            </w:r>
            <w:r>
              <w:rPr>
                <w:color w:val="000000"/>
              </w:rPr>
            </w:r>
            <w:r/>
          </w:p>
          <w:p>
            <w:pPr>
              <w:pStyle w:val="954"/>
              <w:jc w:val="left"/>
              <w:spacing w:line="264" w:lineRule="auto"/>
              <w:widowControl/>
              <w:rPr>
                <w:color w:val="000000"/>
              </w:rPr>
            </w:pPr>
            <w:r>
              <w:rPr>
                <w:color w:val="000000"/>
              </w:rPr>
              <w:t xml:space="preserve">（</w:t>
            </w:r>
            <w:r>
              <w:rPr>
                <w:rFonts w:hint="eastAsia"/>
                <w:color w:val="000000"/>
              </w:rPr>
              <w:t xml:space="preserve">2</w:t>
            </w:r>
            <w:r>
              <w:rPr>
                <w:color w:val="000000"/>
              </w:rPr>
              <w:t xml:space="preserve">）架构设计</w:t>
            </w:r>
            <w:r>
              <w:rPr>
                <w:rFonts w:hint="eastAsia"/>
                <w:color w:val="000000"/>
              </w:rPr>
              <w:t xml:space="preserve">：</w:t>
            </w:r>
            <w:r>
              <w:rPr>
                <w:color w:val="000000"/>
              </w:rPr>
            </w:r>
            <w:r/>
          </w:p>
          <w:p>
            <w:pPr>
              <w:pStyle w:val="954"/>
              <w:jc w:val="left"/>
              <w:spacing w:line="264" w:lineRule="auto"/>
              <w:widowControl/>
              <w:rPr>
                <w:color w:val="000000"/>
              </w:rPr>
            </w:pPr>
            <w:r>
              <w:rPr>
                <w:color w:val="000000"/>
              </w:rPr>
              <w:t xml:space="preserve">架构设计</w:t>
            </w:r>
            <w:r>
              <w:rPr>
                <w:rFonts w:hint="eastAsia"/>
                <w:color w:val="000000"/>
              </w:rPr>
              <w:t xml:space="preserve">科学、具有前瞻性、紧贴采购需求的，得1分；</w:t>
            </w:r>
            <w:r>
              <w:rPr>
                <w:color w:val="000000"/>
              </w:rPr>
            </w:r>
            <w:r/>
          </w:p>
          <w:p>
            <w:pPr>
              <w:pStyle w:val="954"/>
              <w:jc w:val="left"/>
              <w:spacing w:line="264" w:lineRule="auto"/>
              <w:widowControl/>
              <w:rPr>
                <w:color w:val="000000"/>
              </w:rPr>
            </w:pPr>
            <w:r>
              <w:rPr>
                <w:color w:val="000000"/>
              </w:rPr>
              <w:t xml:space="preserve">架构设计</w:t>
            </w:r>
            <w:r>
              <w:rPr>
                <w:rFonts w:hint="eastAsia"/>
                <w:color w:val="000000"/>
              </w:rPr>
              <w:t xml:space="preserve">较科学、较有前瞻性、基本符合采购需求的，得0.5分；</w:t>
            </w:r>
            <w:r>
              <w:rPr>
                <w:color w:val="000000"/>
              </w:rPr>
            </w:r>
            <w:r/>
          </w:p>
          <w:p>
            <w:pPr>
              <w:pStyle w:val="954"/>
              <w:jc w:val="left"/>
              <w:spacing w:line="264" w:lineRule="auto"/>
              <w:widowControl/>
              <w:rPr>
                <w:color w:val="000000"/>
              </w:rPr>
            </w:pPr>
            <w:r>
              <w:rPr>
                <w:rFonts w:hint="eastAsia"/>
                <w:color w:val="000000"/>
              </w:rPr>
              <w:t xml:space="preserve">未提供或提供的内容完全不符合采购需求的不得分。</w:t>
            </w:r>
            <w:r>
              <w:rPr>
                <w:color w:val="000000"/>
              </w:rPr>
            </w:r>
            <w:r/>
          </w:p>
          <w:p>
            <w:pPr>
              <w:pStyle w:val="954"/>
              <w:jc w:val="left"/>
              <w:spacing w:line="264" w:lineRule="auto"/>
              <w:widowControl/>
              <w:rPr>
                <w:color w:val="000000"/>
              </w:rPr>
            </w:pPr>
            <w:r>
              <w:rPr>
                <w:color w:val="000000"/>
              </w:rPr>
              <w:t xml:space="preserve">（</w:t>
            </w:r>
            <w:r>
              <w:rPr>
                <w:rFonts w:hint="eastAsia"/>
                <w:color w:val="000000"/>
              </w:rPr>
              <w:t xml:space="preserve">3</w:t>
            </w:r>
            <w:r>
              <w:rPr>
                <w:color w:val="000000"/>
              </w:rPr>
              <w:t xml:space="preserve">）关键技术</w:t>
            </w:r>
            <w:r>
              <w:rPr>
                <w:rFonts w:hint="eastAsia"/>
                <w:color w:val="000000"/>
              </w:rPr>
              <w:t xml:space="preserve">描述和说明：</w:t>
            </w:r>
            <w:r>
              <w:rPr>
                <w:color w:val="000000"/>
              </w:rPr>
            </w:r>
            <w:r/>
          </w:p>
          <w:p>
            <w:pPr>
              <w:pStyle w:val="954"/>
              <w:jc w:val="left"/>
              <w:spacing w:line="264" w:lineRule="auto"/>
              <w:widowControl/>
              <w:rPr>
                <w:color w:val="000000"/>
              </w:rPr>
            </w:pPr>
            <w:r>
              <w:rPr>
                <w:color w:val="000000"/>
              </w:rPr>
              <w:t xml:space="preserve">关键技术</w:t>
            </w:r>
            <w:r>
              <w:rPr>
                <w:rFonts w:hint="eastAsia"/>
                <w:color w:val="000000"/>
              </w:rPr>
              <w:t xml:space="preserve">描述和说明内容完整、清晰详细的，得1分；</w:t>
            </w:r>
            <w:r>
              <w:rPr>
                <w:color w:val="000000"/>
              </w:rPr>
            </w:r>
            <w:r/>
          </w:p>
          <w:p>
            <w:pPr>
              <w:pStyle w:val="954"/>
              <w:jc w:val="left"/>
              <w:spacing w:line="264" w:lineRule="auto"/>
              <w:widowControl/>
              <w:rPr>
                <w:color w:val="000000"/>
              </w:rPr>
            </w:pPr>
            <w:r>
              <w:rPr>
                <w:color w:val="000000"/>
              </w:rPr>
              <w:t xml:space="preserve">关键技术</w:t>
            </w:r>
            <w:r>
              <w:rPr>
                <w:rFonts w:hint="eastAsia"/>
                <w:color w:val="000000"/>
              </w:rPr>
              <w:t xml:space="preserve">描述和说明内容较完整、清晰较详细的，得0.5分；</w:t>
            </w:r>
            <w:r>
              <w:rPr>
                <w:color w:val="000000"/>
              </w:rPr>
            </w:r>
            <w:r/>
          </w:p>
          <w:p>
            <w:pPr>
              <w:pStyle w:val="954"/>
              <w:jc w:val="left"/>
              <w:spacing w:line="264" w:lineRule="auto"/>
              <w:widowControl/>
              <w:rPr>
                <w:rFonts w:hint="eastAsia"/>
                <w:color w:val="000000"/>
              </w:rPr>
            </w:pPr>
            <w:r>
              <w:rPr>
                <w:rFonts w:hint="eastAsia"/>
                <w:color w:val="000000"/>
              </w:rPr>
              <w:t xml:space="preserve">未提供或提供的内容完全不符合采购需求的不得分。</w:t>
            </w:r>
            <w:r>
              <w:rPr>
                <w:rFonts w:hint="eastAsia"/>
                <w:color w:val="000000"/>
              </w:rPr>
            </w:r>
            <w:r/>
          </w:p>
          <w:p>
            <w:pPr>
              <w:pStyle w:val="954"/>
              <w:jc w:val="left"/>
              <w:spacing w:line="264" w:lineRule="auto"/>
              <w:widowControl/>
              <w:rPr>
                <w:rFonts w:hint="eastAsia"/>
                <w:color w:val="000000"/>
              </w:rPr>
            </w:pPr>
            <w:r>
              <w:rPr>
                <w:rFonts w:hint="eastAsia"/>
                <w:color w:val="000000"/>
              </w:rPr>
              <w:t xml:space="preserve">（4）安全解决方案：</w:t>
            </w:r>
            <w:r>
              <w:rPr>
                <w:rFonts w:hint="eastAsia"/>
                <w:color w:val="000000"/>
              </w:rPr>
            </w:r>
            <w:r/>
          </w:p>
          <w:p>
            <w:pPr>
              <w:pStyle w:val="954"/>
              <w:jc w:val="left"/>
              <w:spacing w:line="264" w:lineRule="auto"/>
              <w:widowControl/>
              <w:rPr>
                <w:rFonts w:hint="eastAsia"/>
                <w:color w:val="000000"/>
              </w:rPr>
            </w:pPr>
            <w:r>
              <w:rPr>
                <w:rFonts w:hint="eastAsia"/>
                <w:color w:val="000000"/>
              </w:rPr>
              <w:t xml:space="preserve">安全解决方案内容完整、清晰详细的，得1分；</w:t>
            </w:r>
            <w:r>
              <w:rPr>
                <w:rFonts w:hint="eastAsia"/>
                <w:color w:val="000000"/>
              </w:rPr>
            </w:r>
            <w:r/>
          </w:p>
          <w:p>
            <w:pPr>
              <w:pStyle w:val="954"/>
              <w:jc w:val="left"/>
              <w:spacing w:line="264" w:lineRule="auto"/>
              <w:widowControl/>
              <w:rPr>
                <w:rFonts w:hint="eastAsia"/>
                <w:color w:val="000000"/>
              </w:rPr>
            </w:pPr>
            <w:r>
              <w:rPr>
                <w:rFonts w:hint="eastAsia"/>
                <w:color w:val="000000"/>
              </w:rPr>
              <w:t xml:space="preserve">安全解决方案内容较完整、清晰较详细的，得0.5分；</w:t>
            </w:r>
            <w:r>
              <w:rPr>
                <w:rFonts w:hint="eastAsia"/>
                <w:color w:val="000000"/>
              </w:rPr>
            </w:r>
            <w:r/>
          </w:p>
          <w:p>
            <w:pPr>
              <w:pStyle w:val="954"/>
              <w:jc w:val="left"/>
              <w:spacing w:line="264" w:lineRule="auto"/>
              <w:widowControl/>
              <w:rPr>
                <w:color w:val="000000"/>
              </w:rPr>
            </w:pPr>
            <w:r>
              <w:rPr>
                <w:rFonts w:hint="eastAsia"/>
                <w:color w:val="000000"/>
              </w:rPr>
              <w:t xml:space="preserve">未提供或提供的内容完全不符合采购需求的不得分。</w:t>
            </w:r>
            <w:r>
              <w:rPr>
                <w:color w:val="000000"/>
              </w:rPr>
            </w:r>
            <w:r/>
          </w:p>
        </w:tc>
        <w:tc>
          <w:tcPr>
            <w:tcW w:w="647" w:type="dxa"/>
            <w:vAlign w:val="center"/>
            <w:textDirection w:val="lrTb"/>
            <w:noWrap w:val="false"/>
          </w:tcPr>
          <w:p>
            <w:pPr>
              <w:pStyle w:val="954"/>
              <w:jc w:val="center"/>
              <w:spacing w:before="68" w:line="264"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900" w:type="dxa"/>
            <w:vAlign w:val="center"/>
            <w:textDirection w:val="lrTb"/>
            <w:noWrap w:val="false"/>
          </w:tcPr>
          <w:p>
            <w:pPr>
              <w:pStyle w:val="954"/>
              <w:jc w:val="center"/>
              <w:spacing w:before="68" w:line="264" w:lineRule="auto"/>
              <w:rPr>
                <w:rFonts w:hint="eastAsia" w:ascii="宋体" w:hAnsi="宋体" w:cs="宋体"/>
                <w:color w:val="000000"/>
              </w:rPr>
            </w:pPr>
            <w:r>
              <w:rPr>
                <w:rFonts w:hint="eastAsia" w:ascii="宋体" w:hAnsi="宋体" w:cs="宋体"/>
                <w:color w:val="000000"/>
                <w:spacing w:val="-4"/>
              </w:rPr>
              <w:t xml:space="preserve">主观分</w:t>
            </w:r>
            <w:r>
              <w:rPr>
                <w:rFonts w:hint="eastAsia" w:ascii="宋体" w:hAnsi="宋体" w:cs="宋体"/>
                <w:color w:val="000000"/>
              </w:rPr>
            </w:r>
            <w:r/>
          </w:p>
        </w:tc>
      </w:tr>
      <w:tr>
        <w:trPr>
          <w:trHeight w:val="315"/>
        </w:trPr>
        <w:tc>
          <w:tcPr>
            <w:tcW w:w="519" w:type="dxa"/>
            <w:vAlign w:val="center"/>
            <w:textDirection w:val="lrTb"/>
            <w:noWrap w:val="false"/>
          </w:tcPr>
          <w:p>
            <w:pPr>
              <w:pStyle w:val="954"/>
              <w:jc w:val="center"/>
              <w:spacing w:line="264" w:lineRule="auto"/>
              <w:rPr>
                <w:rFonts w:hint="eastAsia" w:ascii="宋体" w:hAnsi="宋体" w:cs="宋体"/>
                <w:color w:val="000000"/>
              </w:rPr>
            </w:pPr>
            <w:r>
              <w:rPr>
                <w:rFonts w:hint="eastAsia" w:ascii="宋体" w:hAnsi="宋体" w:cs="宋体"/>
                <w:color w:val="000000"/>
              </w:rPr>
              <w:t xml:space="preserve">2.4</w:t>
            </w:r>
            <w:r>
              <w:rPr>
                <w:rFonts w:hint="eastAsia" w:ascii="宋体" w:hAnsi="宋体" w:cs="宋体"/>
                <w:color w:val="000000"/>
              </w:rPr>
            </w:r>
            <w:r/>
          </w:p>
        </w:tc>
        <w:tc>
          <w:tcPr>
            <w:tcW w:w="1179" w:type="dxa"/>
            <w:vAlign w:val="center"/>
            <w:textDirection w:val="lrTb"/>
            <w:noWrap w:val="false"/>
          </w:tcPr>
          <w:p>
            <w:pPr>
              <w:pStyle w:val="954"/>
              <w:spacing w:line="264" w:lineRule="auto"/>
              <w:rPr>
                <w:rFonts w:hint="eastAsia"/>
                <w:color w:val="000000"/>
              </w:rPr>
            </w:pPr>
            <w:r>
              <w:rPr>
                <w:rFonts w:hint="eastAsia"/>
                <w:color w:val="000000"/>
              </w:rPr>
              <w:t xml:space="preserve">项目实施方案</w:t>
            </w:r>
            <w:r>
              <w:rPr>
                <w:rFonts w:hint="eastAsia"/>
                <w:color w:val="000000"/>
              </w:rPr>
            </w:r>
            <w:r/>
          </w:p>
        </w:tc>
        <w:tc>
          <w:tcPr>
            <w:tcW w:w="6330" w:type="dxa"/>
            <w:vAlign w:val="center"/>
            <w:textDirection w:val="lrTb"/>
            <w:noWrap w:val="false"/>
          </w:tcPr>
          <w:p>
            <w:pPr>
              <w:pStyle w:val="954"/>
              <w:jc w:val="left"/>
              <w:spacing w:line="264" w:lineRule="auto"/>
              <w:widowControl/>
              <w:rPr>
                <w:rFonts w:ascii="宋体" w:hAnsi="宋体" w:cs="宋体"/>
                <w:color w:val="000000"/>
              </w:rPr>
            </w:pPr>
            <w:r>
              <w:rPr>
                <w:rFonts w:hint="eastAsia"/>
                <w:color w:val="000000"/>
              </w:rPr>
              <w:t xml:space="preserve">根据本项目采购需求编制方案，内容包含：</w:t>
            </w:r>
            <w:r>
              <w:rPr>
                <w:rFonts w:hint="eastAsia" w:ascii="宋体" w:hAnsi="宋体" w:cs="宋体"/>
                <w:color w:val="000000"/>
              </w:rPr>
              <w:t xml:space="preserve">1.项目实施方案；2.调试测试方案；3.项目管理方案。</w:t>
            </w:r>
            <w:r>
              <w:rPr>
                <w:rFonts w:hint="eastAsia"/>
                <w:color w:val="000000"/>
              </w:rPr>
              <w:t xml:space="preserve">以上每项内容逐项评分：</w:t>
            </w:r>
            <w:r>
              <w:rPr>
                <w:rFonts w:ascii="宋体" w:hAnsi="宋体" w:cs="宋体"/>
                <w:color w:val="000000"/>
              </w:rPr>
            </w:r>
            <w:r/>
          </w:p>
          <w:p>
            <w:pPr>
              <w:pStyle w:val="954"/>
              <w:jc w:val="left"/>
              <w:spacing w:line="264" w:lineRule="auto"/>
              <w:widowControl/>
              <w:rPr>
                <w:rFonts w:ascii="宋体" w:hAnsi="宋体" w:cs="宋体"/>
                <w:color w:val="000000"/>
              </w:rPr>
            </w:pPr>
            <w:r>
              <w:rPr>
                <w:rFonts w:hint="eastAsia" w:ascii="宋体" w:hAnsi="宋体" w:cs="宋体"/>
                <w:color w:val="000000"/>
              </w:rPr>
              <w:t xml:space="preserve">（1）项目实施方案：</w:t>
            </w:r>
            <w:r>
              <w:rPr>
                <w:rFonts w:ascii="宋体" w:hAnsi="宋体" w:cs="宋体"/>
                <w:color w:val="000000"/>
              </w:rPr>
            </w:r>
            <w:r/>
          </w:p>
          <w:p>
            <w:pPr>
              <w:pStyle w:val="954"/>
              <w:jc w:val="left"/>
              <w:spacing w:line="264" w:lineRule="auto"/>
              <w:widowControl/>
              <w:rPr>
                <w:rFonts w:ascii="宋体" w:hAnsi="宋体" w:cs="宋体"/>
                <w:color w:val="000000"/>
              </w:rPr>
            </w:pPr>
            <w:r>
              <w:rPr>
                <w:rFonts w:hint="eastAsia" w:ascii="宋体" w:hAnsi="宋体" w:cs="宋体"/>
                <w:color w:val="000000"/>
              </w:rPr>
              <w:t xml:space="preserve">实施方案</w:t>
            </w:r>
            <w:r>
              <w:rPr>
                <w:rFonts w:ascii="宋体" w:hAnsi="宋体" w:cs="宋体"/>
                <w:color w:val="000000"/>
              </w:rPr>
              <w:t xml:space="preserve">完整深刻、可行性强</w:t>
            </w:r>
            <w:r>
              <w:rPr>
                <w:rFonts w:hint="eastAsia" w:ascii="宋体" w:hAnsi="宋体" w:cs="宋体"/>
                <w:color w:val="000000"/>
              </w:rPr>
              <w:t xml:space="preserve">的，得</w:t>
            </w:r>
            <w:r>
              <w:rPr>
                <w:rFonts w:ascii="宋体" w:hAnsi="宋体" w:cs="宋体"/>
                <w:color w:val="000000"/>
              </w:rPr>
              <w:t xml:space="preserve">2</w:t>
            </w:r>
            <w:r>
              <w:rPr>
                <w:rFonts w:hint="eastAsia" w:ascii="宋体" w:hAnsi="宋体" w:cs="宋体"/>
                <w:color w:val="000000"/>
              </w:rPr>
              <w:t xml:space="preserve">分；</w:t>
            </w:r>
            <w:r>
              <w:rPr>
                <w:rFonts w:ascii="宋体" w:hAnsi="宋体" w:cs="宋体"/>
                <w:color w:val="000000"/>
              </w:rPr>
            </w:r>
            <w:r/>
          </w:p>
          <w:p>
            <w:pPr>
              <w:pStyle w:val="954"/>
              <w:jc w:val="left"/>
              <w:spacing w:line="264" w:lineRule="auto"/>
              <w:widowControl/>
              <w:rPr>
                <w:rFonts w:ascii="宋体" w:hAnsi="宋体" w:cs="宋体"/>
                <w:color w:val="000000"/>
              </w:rPr>
            </w:pPr>
            <w:r>
              <w:rPr>
                <w:rFonts w:hint="eastAsia" w:ascii="宋体" w:hAnsi="宋体" w:cs="宋体"/>
                <w:color w:val="000000"/>
              </w:rPr>
              <w:t xml:space="preserve">实施方案较</w:t>
            </w:r>
            <w:r>
              <w:rPr>
                <w:rFonts w:ascii="宋体" w:hAnsi="宋体" w:cs="宋体"/>
                <w:color w:val="000000"/>
              </w:rPr>
              <w:t xml:space="preserve">完整深刻、可行性</w:t>
            </w:r>
            <w:r>
              <w:rPr>
                <w:rFonts w:hint="eastAsia" w:ascii="宋体" w:hAnsi="宋体" w:cs="宋体"/>
                <w:color w:val="000000"/>
              </w:rPr>
              <w:t xml:space="preserve">较</w:t>
            </w:r>
            <w:r>
              <w:rPr>
                <w:rFonts w:ascii="宋体" w:hAnsi="宋体" w:cs="宋体"/>
                <w:color w:val="000000"/>
              </w:rPr>
              <w:t xml:space="preserve">强</w:t>
            </w:r>
            <w:r>
              <w:rPr>
                <w:rFonts w:hint="eastAsia" w:ascii="宋体" w:hAnsi="宋体" w:cs="宋体"/>
                <w:color w:val="000000"/>
              </w:rPr>
              <w:t xml:space="preserve">的，得</w:t>
            </w:r>
            <w:r>
              <w:rPr>
                <w:rFonts w:ascii="宋体" w:hAnsi="宋体" w:cs="宋体"/>
                <w:color w:val="000000"/>
              </w:rPr>
              <w:t xml:space="preserve">1</w:t>
            </w:r>
            <w:r>
              <w:rPr>
                <w:rFonts w:hint="eastAsia" w:ascii="宋体" w:hAnsi="宋体" w:cs="宋体"/>
                <w:color w:val="000000"/>
              </w:rPr>
              <w:t xml:space="preserve">分；</w:t>
            </w:r>
            <w:r>
              <w:rPr>
                <w:rFonts w:ascii="宋体" w:hAnsi="宋体" w:cs="宋体"/>
                <w:color w:val="000000"/>
              </w:rPr>
            </w:r>
            <w:r/>
          </w:p>
          <w:p>
            <w:pPr>
              <w:pStyle w:val="954"/>
              <w:jc w:val="left"/>
              <w:spacing w:line="264" w:lineRule="auto"/>
              <w:widowControl/>
              <w:rPr>
                <w:rFonts w:ascii="宋体" w:hAnsi="宋体" w:cs="宋体"/>
                <w:color w:val="000000"/>
              </w:rPr>
            </w:pPr>
            <w:r>
              <w:rPr>
                <w:rFonts w:hint="eastAsia" w:ascii="宋体" w:hAnsi="宋体" w:cs="宋体"/>
                <w:color w:val="000000"/>
              </w:rPr>
              <w:t xml:space="preserve">未提供或提供</w:t>
            </w:r>
            <w:r>
              <w:rPr>
                <w:rFonts w:hint="eastAsia"/>
                <w:color w:val="000000"/>
              </w:rPr>
              <w:t xml:space="preserve">的内容完全</w:t>
            </w:r>
            <w:r>
              <w:rPr>
                <w:rFonts w:hint="eastAsia" w:ascii="宋体" w:hAnsi="宋体" w:cs="宋体"/>
                <w:color w:val="000000"/>
              </w:rPr>
              <w:t xml:space="preserve">不符合采购需求的不得分。</w:t>
            </w:r>
            <w:r>
              <w:rPr>
                <w:rFonts w:ascii="宋体" w:hAnsi="宋体" w:cs="宋体"/>
                <w:color w:val="000000"/>
              </w:rPr>
            </w:r>
            <w:r/>
          </w:p>
          <w:p>
            <w:pPr>
              <w:pStyle w:val="954"/>
              <w:jc w:val="left"/>
              <w:spacing w:line="264" w:lineRule="auto"/>
              <w:widowControl/>
              <w:rPr>
                <w:rFonts w:ascii="宋体" w:hAnsi="宋体" w:cs="宋体"/>
                <w:color w:val="000000"/>
              </w:rPr>
            </w:pPr>
            <w:r>
              <w:rPr>
                <w:rFonts w:hint="eastAsia" w:ascii="宋体" w:hAnsi="宋体" w:cs="宋体"/>
                <w:color w:val="000000"/>
              </w:rPr>
              <w:t xml:space="preserve">（2）调试测试方案：</w:t>
            </w:r>
            <w:r>
              <w:rPr>
                <w:rFonts w:ascii="宋体" w:hAnsi="宋体" w:cs="宋体"/>
                <w:color w:val="000000"/>
              </w:rPr>
            </w:r>
            <w:r/>
          </w:p>
          <w:p>
            <w:pPr>
              <w:pStyle w:val="954"/>
              <w:jc w:val="left"/>
              <w:spacing w:line="264" w:lineRule="auto"/>
              <w:widowControl/>
              <w:rPr>
                <w:rFonts w:ascii="宋体" w:hAnsi="宋体" w:cs="宋体"/>
                <w:color w:val="000000"/>
              </w:rPr>
            </w:pPr>
            <w:r>
              <w:rPr>
                <w:rFonts w:hint="eastAsia" w:ascii="宋体" w:hAnsi="宋体" w:cs="宋体"/>
                <w:color w:val="000000"/>
              </w:rPr>
              <w:t xml:space="preserve">调试测试方案</w:t>
            </w:r>
            <w:r>
              <w:rPr>
                <w:rFonts w:ascii="宋体" w:hAnsi="宋体" w:cs="宋体"/>
                <w:color w:val="000000"/>
              </w:rPr>
              <w:t xml:space="preserve">完整深刻、可行性强</w:t>
            </w:r>
            <w:r>
              <w:rPr>
                <w:rFonts w:hint="eastAsia" w:ascii="宋体" w:hAnsi="宋体" w:cs="宋体"/>
                <w:color w:val="000000"/>
              </w:rPr>
              <w:t xml:space="preserve">的，得</w:t>
            </w:r>
            <w:r>
              <w:rPr>
                <w:rFonts w:ascii="宋体" w:hAnsi="宋体" w:cs="宋体"/>
                <w:color w:val="000000"/>
              </w:rPr>
              <w:t xml:space="preserve">2</w:t>
            </w:r>
            <w:r>
              <w:rPr>
                <w:rFonts w:hint="eastAsia" w:ascii="宋体" w:hAnsi="宋体" w:cs="宋体"/>
                <w:color w:val="000000"/>
              </w:rPr>
              <w:t xml:space="preserve">分；</w:t>
            </w:r>
            <w:r>
              <w:rPr>
                <w:rFonts w:ascii="宋体" w:hAnsi="宋体" w:cs="宋体"/>
                <w:color w:val="000000"/>
              </w:rPr>
            </w:r>
            <w:r/>
          </w:p>
          <w:p>
            <w:pPr>
              <w:pStyle w:val="954"/>
              <w:jc w:val="left"/>
              <w:spacing w:line="264" w:lineRule="auto"/>
              <w:widowControl/>
              <w:rPr>
                <w:rFonts w:ascii="宋体" w:hAnsi="宋体" w:cs="宋体"/>
                <w:color w:val="000000"/>
              </w:rPr>
            </w:pPr>
            <w:r>
              <w:rPr>
                <w:rFonts w:hint="eastAsia" w:ascii="宋体" w:hAnsi="宋体" w:cs="宋体"/>
                <w:color w:val="000000"/>
              </w:rPr>
              <w:t xml:space="preserve">调试测试方案较</w:t>
            </w:r>
            <w:r>
              <w:rPr>
                <w:rFonts w:ascii="宋体" w:hAnsi="宋体" w:cs="宋体"/>
                <w:color w:val="000000"/>
              </w:rPr>
              <w:t xml:space="preserve">完整深刻、可行性</w:t>
            </w:r>
            <w:r>
              <w:rPr>
                <w:rFonts w:hint="eastAsia" w:ascii="宋体" w:hAnsi="宋体" w:cs="宋体"/>
                <w:color w:val="000000"/>
              </w:rPr>
              <w:t xml:space="preserve">较</w:t>
            </w:r>
            <w:r>
              <w:rPr>
                <w:rFonts w:ascii="宋体" w:hAnsi="宋体" w:cs="宋体"/>
                <w:color w:val="000000"/>
              </w:rPr>
              <w:t xml:space="preserve">强</w:t>
            </w:r>
            <w:r>
              <w:rPr>
                <w:rFonts w:hint="eastAsia" w:ascii="宋体" w:hAnsi="宋体" w:cs="宋体"/>
                <w:color w:val="000000"/>
              </w:rPr>
              <w:t xml:space="preserve">的，得</w:t>
            </w:r>
            <w:r>
              <w:rPr>
                <w:rFonts w:ascii="宋体" w:hAnsi="宋体" w:cs="宋体"/>
                <w:color w:val="000000"/>
              </w:rPr>
              <w:t xml:space="preserve">1</w:t>
            </w:r>
            <w:r>
              <w:rPr>
                <w:rFonts w:hint="eastAsia" w:ascii="宋体" w:hAnsi="宋体" w:cs="宋体"/>
                <w:color w:val="000000"/>
              </w:rPr>
              <w:t xml:space="preserve">分；</w:t>
            </w:r>
            <w:r>
              <w:rPr>
                <w:rFonts w:ascii="宋体" w:hAnsi="宋体" w:cs="宋体"/>
                <w:color w:val="000000"/>
              </w:rPr>
            </w:r>
            <w:r/>
          </w:p>
          <w:p>
            <w:pPr>
              <w:pStyle w:val="954"/>
              <w:jc w:val="left"/>
              <w:spacing w:line="264" w:lineRule="auto"/>
              <w:widowControl/>
              <w:rPr>
                <w:rFonts w:ascii="宋体" w:hAnsi="宋体" w:cs="宋体"/>
                <w:color w:val="000000"/>
              </w:rPr>
            </w:pPr>
            <w:r>
              <w:rPr>
                <w:rFonts w:hint="eastAsia" w:ascii="宋体" w:hAnsi="宋体" w:cs="宋体"/>
                <w:color w:val="000000"/>
              </w:rPr>
              <w:t xml:space="preserve">未提供或提供</w:t>
            </w:r>
            <w:r>
              <w:rPr>
                <w:rFonts w:hint="eastAsia"/>
                <w:color w:val="000000"/>
              </w:rPr>
              <w:t xml:space="preserve">的内容完全</w:t>
            </w:r>
            <w:r>
              <w:rPr>
                <w:rFonts w:hint="eastAsia" w:ascii="宋体" w:hAnsi="宋体" w:cs="宋体"/>
                <w:color w:val="000000"/>
              </w:rPr>
              <w:t xml:space="preserve">不符合采购需求的不得分。</w:t>
            </w:r>
            <w:r>
              <w:rPr>
                <w:rFonts w:ascii="宋体" w:hAnsi="宋体" w:cs="宋体"/>
                <w:color w:val="000000"/>
              </w:rPr>
            </w:r>
            <w:r/>
          </w:p>
          <w:p>
            <w:pPr>
              <w:pStyle w:val="954"/>
              <w:jc w:val="left"/>
              <w:spacing w:line="264" w:lineRule="auto"/>
              <w:widowControl/>
              <w:rPr>
                <w:rFonts w:ascii="宋体" w:hAnsi="宋体" w:cs="宋体"/>
                <w:color w:val="000000"/>
              </w:rPr>
            </w:pPr>
            <w:r>
              <w:rPr>
                <w:rFonts w:hint="eastAsia" w:ascii="宋体" w:hAnsi="宋体" w:cs="宋体"/>
                <w:color w:val="000000"/>
              </w:rPr>
              <w:t xml:space="preserve">（3）项目管理方案：</w:t>
            </w:r>
            <w:r>
              <w:rPr>
                <w:rFonts w:ascii="宋体" w:hAnsi="宋体" w:cs="宋体"/>
                <w:color w:val="000000"/>
              </w:rPr>
            </w:r>
            <w:r/>
          </w:p>
          <w:p>
            <w:pPr>
              <w:pStyle w:val="954"/>
              <w:jc w:val="left"/>
              <w:spacing w:line="264" w:lineRule="auto"/>
              <w:widowControl/>
              <w:rPr>
                <w:rFonts w:ascii="宋体" w:hAnsi="宋体" w:cs="宋体"/>
                <w:color w:val="000000"/>
              </w:rPr>
            </w:pPr>
            <w:r>
              <w:rPr>
                <w:rFonts w:hint="eastAsia" w:ascii="宋体" w:hAnsi="宋体" w:cs="宋体"/>
                <w:color w:val="000000"/>
              </w:rPr>
              <w:t xml:space="preserve">项目管理方案</w:t>
            </w:r>
            <w:r>
              <w:rPr>
                <w:rFonts w:ascii="宋体" w:hAnsi="宋体" w:cs="宋体"/>
                <w:color w:val="000000"/>
              </w:rPr>
              <w:t xml:space="preserve">完整深刻、可行性强</w:t>
            </w:r>
            <w:r>
              <w:rPr>
                <w:rFonts w:hint="eastAsia" w:ascii="宋体" w:hAnsi="宋体" w:cs="宋体"/>
                <w:color w:val="000000"/>
              </w:rPr>
              <w:t xml:space="preserve">的，得</w:t>
            </w:r>
            <w:r>
              <w:rPr>
                <w:rFonts w:ascii="宋体" w:hAnsi="宋体" w:cs="宋体"/>
                <w:color w:val="000000"/>
              </w:rPr>
              <w:t xml:space="preserve">2</w:t>
            </w:r>
            <w:r>
              <w:rPr>
                <w:rFonts w:hint="eastAsia" w:ascii="宋体" w:hAnsi="宋体" w:cs="宋体"/>
                <w:color w:val="000000"/>
              </w:rPr>
              <w:t xml:space="preserve">分；</w:t>
            </w:r>
            <w:r>
              <w:rPr>
                <w:rFonts w:ascii="宋体" w:hAnsi="宋体" w:cs="宋体"/>
                <w:color w:val="000000"/>
              </w:rPr>
            </w:r>
            <w:r/>
          </w:p>
          <w:p>
            <w:pPr>
              <w:pStyle w:val="954"/>
              <w:jc w:val="left"/>
              <w:spacing w:line="264" w:lineRule="auto"/>
              <w:widowControl/>
              <w:rPr>
                <w:rFonts w:ascii="宋体" w:hAnsi="宋体" w:cs="宋体"/>
                <w:color w:val="000000"/>
              </w:rPr>
            </w:pPr>
            <w:r>
              <w:rPr>
                <w:rFonts w:hint="eastAsia" w:ascii="宋体" w:hAnsi="宋体" w:cs="宋体"/>
                <w:color w:val="000000"/>
              </w:rPr>
              <w:t xml:space="preserve">项目管理方案较</w:t>
            </w:r>
            <w:r>
              <w:rPr>
                <w:rFonts w:ascii="宋体" w:hAnsi="宋体" w:cs="宋体"/>
                <w:color w:val="000000"/>
              </w:rPr>
              <w:t xml:space="preserve">完整深刻、可行性</w:t>
            </w:r>
            <w:r>
              <w:rPr>
                <w:rFonts w:hint="eastAsia" w:ascii="宋体" w:hAnsi="宋体" w:cs="宋体"/>
                <w:color w:val="000000"/>
              </w:rPr>
              <w:t xml:space="preserve">较</w:t>
            </w:r>
            <w:r>
              <w:rPr>
                <w:rFonts w:ascii="宋体" w:hAnsi="宋体" w:cs="宋体"/>
                <w:color w:val="000000"/>
              </w:rPr>
              <w:t xml:space="preserve">强</w:t>
            </w:r>
            <w:r>
              <w:rPr>
                <w:rFonts w:hint="eastAsia" w:ascii="宋体" w:hAnsi="宋体" w:cs="宋体"/>
                <w:color w:val="000000"/>
              </w:rPr>
              <w:t xml:space="preserve">的，得</w:t>
            </w:r>
            <w:r>
              <w:rPr>
                <w:rFonts w:ascii="宋体" w:hAnsi="宋体" w:cs="宋体"/>
                <w:color w:val="000000"/>
              </w:rPr>
              <w:t xml:space="preserve">1</w:t>
            </w:r>
            <w:r>
              <w:rPr>
                <w:rFonts w:hint="eastAsia" w:ascii="宋体" w:hAnsi="宋体" w:cs="宋体"/>
                <w:color w:val="000000"/>
              </w:rPr>
              <w:t xml:space="preserve">分；</w:t>
            </w:r>
            <w:r>
              <w:rPr>
                <w:rFonts w:ascii="宋体" w:hAnsi="宋体" w:cs="宋体"/>
                <w:color w:val="000000"/>
              </w:rPr>
            </w:r>
            <w:r/>
          </w:p>
          <w:p>
            <w:pPr>
              <w:pStyle w:val="954"/>
              <w:jc w:val="left"/>
              <w:spacing w:line="264" w:lineRule="auto"/>
              <w:widowControl/>
              <w:rPr>
                <w:rFonts w:hint="eastAsia"/>
                <w:color w:val="000000"/>
              </w:rPr>
            </w:pPr>
            <w:r>
              <w:rPr>
                <w:rFonts w:hint="eastAsia" w:ascii="宋体" w:hAnsi="宋体" w:cs="宋体"/>
                <w:color w:val="000000"/>
              </w:rPr>
              <w:t xml:space="preserve">未提供或提供</w:t>
            </w:r>
            <w:r>
              <w:rPr>
                <w:rFonts w:hint="eastAsia"/>
                <w:color w:val="000000"/>
              </w:rPr>
              <w:t xml:space="preserve">的内容完全</w:t>
            </w:r>
            <w:r>
              <w:rPr>
                <w:rFonts w:hint="eastAsia" w:ascii="宋体" w:hAnsi="宋体" w:cs="宋体"/>
                <w:color w:val="000000"/>
              </w:rPr>
              <w:t xml:space="preserve">不符合采购需求的不得分。</w:t>
            </w:r>
            <w:r>
              <w:rPr>
                <w:rFonts w:hint="eastAsia"/>
                <w:color w:val="000000"/>
              </w:rPr>
            </w:r>
            <w:r/>
          </w:p>
        </w:tc>
        <w:tc>
          <w:tcPr>
            <w:tcW w:w="647" w:type="dxa"/>
            <w:vAlign w:val="center"/>
            <w:textDirection w:val="lrTb"/>
            <w:noWrap w:val="false"/>
          </w:tcPr>
          <w:p>
            <w:pPr>
              <w:pStyle w:val="954"/>
              <w:jc w:val="center"/>
              <w:spacing w:before="68" w:line="264" w:lineRule="auto"/>
              <w:rPr>
                <w:rFonts w:hint="eastAsia" w:ascii="宋体" w:hAnsi="宋体" w:cs="宋体"/>
                <w:color w:val="000000"/>
              </w:rPr>
            </w:pPr>
            <w:r>
              <w:rPr>
                <w:rFonts w:ascii="宋体" w:hAnsi="宋体" w:cs="宋体"/>
                <w:color w:val="000000"/>
              </w:rPr>
              <w:t xml:space="preserve">6</w:t>
            </w:r>
            <w:r>
              <w:rPr>
                <w:rFonts w:hint="eastAsia" w:ascii="宋体" w:hAnsi="宋体" w:cs="宋体"/>
                <w:color w:val="000000"/>
              </w:rPr>
            </w:r>
            <w:r/>
          </w:p>
        </w:tc>
        <w:tc>
          <w:tcPr>
            <w:tcW w:w="900" w:type="dxa"/>
            <w:vAlign w:val="center"/>
            <w:textDirection w:val="lrTb"/>
            <w:noWrap w:val="false"/>
          </w:tcPr>
          <w:p>
            <w:pPr>
              <w:pStyle w:val="954"/>
              <w:jc w:val="center"/>
              <w:spacing w:before="68" w:line="264" w:lineRule="auto"/>
              <w:rPr>
                <w:rFonts w:hint="eastAsia" w:ascii="宋体" w:hAnsi="宋体" w:cs="宋体"/>
                <w:color w:val="000000"/>
                <w:spacing w:val="-6"/>
              </w:rPr>
            </w:pPr>
            <w:r>
              <w:rPr>
                <w:rFonts w:hint="eastAsia" w:ascii="宋体" w:hAnsi="宋体" w:cs="宋体"/>
                <w:color w:val="000000"/>
                <w:spacing w:val="-4"/>
              </w:rPr>
              <w:t xml:space="preserve">主观分</w:t>
            </w:r>
            <w:r>
              <w:rPr>
                <w:rFonts w:hint="eastAsia" w:ascii="宋体" w:hAnsi="宋体" w:cs="宋体"/>
                <w:color w:val="000000"/>
                <w:spacing w:val="-6"/>
              </w:rPr>
            </w:r>
            <w:r/>
          </w:p>
        </w:tc>
      </w:tr>
      <w:tr>
        <w:trPr>
          <w:trHeight w:val="889"/>
        </w:trPr>
        <w:tc>
          <w:tcPr>
            <w:tcW w:w="519" w:type="dxa"/>
            <w:vAlign w:val="center"/>
            <w:textDirection w:val="lrTb"/>
            <w:noWrap w:val="false"/>
          </w:tcPr>
          <w:p>
            <w:pPr>
              <w:pStyle w:val="954"/>
              <w:jc w:val="center"/>
              <w:spacing w:before="68" w:line="264" w:lineRule="auto"/>
              <w:rPr>
                <w:rFonts w:ascii="宋体" w:hAnsi="宋体" w:cs="宋体"/>
                <w:color w:val="000000"/>
                <w:spacing w:val="-2"/>
              </w:rPr>
            </w:pPr>
            <w:r>
              <w:rPr>
                <w:rFonts w:hint="eastAsia" w:ascii="宋体" w:hAnsi="宋体" w:cs="宋体"/>
                <w:color w:val="000000"/>
                <w:spacing w:val="-2"/>
              </w:rPr>
              <w:t xml:space="preserve">2.6</w:t>
            </w:r>
            <w:r>
              <w:rPr>
                <w:rFonts w:ascii="宋体" w:hAnsi="宋体" w:cs="宋体"/>
                <w:color w:val="000000"/>
                <w:spacing w:val="-2"/>
              </w:rPr>
            </w:r>
            <w:r/>
          </w:p>
        </w:tc>
        <w:tc>
          <w:tcPr>
            <w:tcW w:w="1179" w:type="dxa"/>
            <w:vAlign w:val="center"/>
            <w:textDirection w:val="lrTb"/>
            <w:noWrap w:val="false"/>
          </w:tcPr>
          <w:p>
            <w:pPr>
              <w:pStyle w:val="954"/>
              <w:spacing w:line="264" w:lineRule="auto"/>
              <w:rPr>
                <w:rFonts w:hint="eastAsia"/>
                <w:color w:val="000000"/>
              </w:rPr>
            </w:pPr>
            <w:r>
              <w:rPr>
                <w:rFonts w:hint="eastAsia"/>
                <w:color w:val="000000"/>
              </w:rPr>
              <w:t xml:space="preserve">视频演示</w:t>
            </w:r>
            <w:r>
              <w:rPr>
                <w:rFonts w:hint="eastAsia"/>
                <w:color w:val="000000"/>
              </w:rPr>
            </w:r>
            <w:r/>
          </w:p>
        </w:tc>
        <w:tc>
          <w:tcPr>
            <w:tcW w:w="6330" w:type="dxa"/>
            <w:vAlign w:val="center"/>
            <w:textDirection w:val="lrTb"/>
            <w:noWrap w:val="false"/>
          </w:tcPr>
          <w:p>
            <w:pPr>
              <w:pStyle w:val="954"/>
              <w:jc w:val="left"/>
              <w:spacing w:line="264" w:lineRule="auto"/>
              <w:rPr>
                <w:rFonts w:hint="eastAsia"/>
                <w:color w:val="000000"/>
              </w:rPr>
            </w:pPr>
            <w:r>
              <w:rPr>
                <w:rFonts w:hint="eastAsia"/>
                <w:color w:val="000000"/>
              </w:rPr>
              <w:t xml:space="preserve">评委根据供应商提供的演示视频（总演示时间不超</w:t>
            </w:r>
            <w:r>
              <w:rPr>
                <w:rFonts w:hint="eastAsia" w:ascii="宋体" w:hAnsi="宋体" w:cs="宋体"/>
                <w:color w:val="000000"/>
              </w:rPr>
              <w:t xml:space="preserve">过15分</w:t>
            </w:r>
            <w:r>
              <w:rPr>
                <w:rFonts w:hint="eastAsia"/>
                <w:color w:val="000000"/>
              </w:rPr>
              <w:t xml:space="preserve">钟）综合评分。演示视频包括以下内容： </w:t>
            </w:r>
            <w:r>
              <w:rPr>
                <w:rFonts w:hint="eastAsia"/>
                <w:color w:val="000000"/>
              </w:rPr>
            </w:r>
            <w:r/>
          </w:p>
          <w:p>
            <w:pPr>
              <w:pStyle w:val="954"/>
              <w:rPr>
                <w:rFonts w:hint="eastAsia"/>
                <w:color w:val="000000"/>
              </w:rPr>
            </w:pPr>
            <w:r>
              <w:rPr>
                <w:rFonts w:hint="eastAsia"/>
                <w:color w:val="000000"/>
              </w:rPr>
              <w:t xml:space="preserve">1.支持运维知识库的体系化构建，能够针对不同设备类型配置专属预案文件，具备基于历史工单数据构建结构化运维知识库的能力，可将历史工单的故障情况、处理方案进行提取、归档存储，自动匹配同类工单场景，实现标准化处理方案一键调取复用。</w:t>
            </w:r>
            <w:r>
              <w:rPr>
                <w:rFonts w:hint="eastAsia"/>
                <w:color w:val="000000"/>
              </w:rPr>
            </w:r>
            <w:r/>
          </w:p>
          <w:p>
            <w:pPr>
              <w:pStyle w:val="954"/>
              <w:rPr>
                <w:color w:val="000000"/>
              </w:rPr>
            </w:pPr>
            <w:r>
              <w:rPr>
                <w:rFonts w:hint="eastAsia"/>
                <w:color w:val="000000"/>
              </w:rPr>
              <w:t xml:space="preserve">2.支持硬件设备运行状态与性能数据的全面监控</w:t>
            </w:r>
            <w:r>
              <w:rPr>
                <w:color w:val="000000"/>
              </w:rPr>
              <w:t xml:space="preserve">。具备堆叠设备的智能化识别能力，可精准呈现堆叠组及成员设备的实时运行状态与关键性能指标；监测维度覆盖板卡级资源负载（包括CPU、内存、磁盘利用率），以及网络端口级性能数据（包括上下行流量、丢包率、错包率、光衰值及端口连通性</w:t>
            </w:r>
            <w:r>
              <w:rPr>
                <w:rFonts w:hint="eastAsia"/>
                <w:color w:val="000000"/>
              </w:rPr>
              <w:t xml:space="preserve">）</w:t>
            </w:r>
            <w:r>
              <w:rPr>
                <w:color w:val="000000"/>
              </w:rPr>
              <w:t xml:space="preserve">。</w:t>
            </w:r>
            <w:r>
              <w:rPr>
                <w:color w:val="000000"/>
              </w:rPr>
            </w:r>
            <w:r/>
          </w:p>
          <w:p>
            <w:pPr>
              <w:pStyle w:val="954"/>
              <w:rPr>
                <w:color w:val="000000"/>
              </w:rPr>
            </w:pPr>
            <w:r>
              <w:rPr>
                <w:rFonts w:hint="eastAsia"/>
                <w:color w:val="000000"/>
              </w:rPr>
              <w:t xml:space="preserve">3.支持对虚拟机进行监控，并具备虚拟机业务归属信息的绑定功能。系统支持为虚拟机灵活配置所属业务、负责人及联系电话等资产属性；基于绑定的关联数据，可实现告警信息的精准定向推送，确保将虚拟机的异常告警实时触达对应的业务负责人</w:t>
            </w:r>
            <w:r>
              <w:rPr>
                <w:color w:val="000000"/>
              </w:rPr>
              <w:t xml:space="preserve">。</w:t>
            </w:r>
            <w:r>
              <w:rPr>
                <w:color w:val="000000"/>
              </w:rPr>
            </w:r>
            <w:r/>
          </w:p>
          <w:p>
            <w:pPr>
              <w:pStyle w:val="954"/>
              <w:rPr>
                <w:color w:val="000000"/>
              </w:rPr>
            </w:pPr>
            <w:r>
              <w:rPr>
                <w:rFonts w:hint="eastAsia"/>
                <w:color w:val="000000"/>
              </w:rPr>
              <w:t xml:space="preserve">4.</w:t>
            </w:r>
            <w:r>
              <w:rPr>
                <w:color w:val="000000"/>
              </w:rPr>
              <w:t xml:space="preserve">建立“总拓扑-分支拓扑-设备-端口”四级空间位置关联体系，实现</w:t>
            </w:r>
            <w:r>
              <w:rPr>
                <w:rFonts w:hint="eastAsia"/>
                <w:color w:val="000000"/>
              </w:rPr>
              <w:t xml:space="preserve">空间、位置、层级等</w:t>
            </w:r>
            <w:r>
              <w:rPr>
                <w:color w:val="000000"/>
              </w:rPr>
              <w:t xml:space="preserve">多维度的拓扑联动定位。系统支持告警信息的逐层下钻分析，可从总拓扑视图出发，逐级</w:t>
            </w:r>
            <w:r>
              <w:rPr>
                <w:rFonts w:hint="eastAsia"/>
                <w:color w:val="000000"/>
              </w:rPr>
              <w:t xml:space="preserve">下钻</w:t>
            </w:r>
            <w:r>
              <w:rPr>
                <w:color w:val="000000"/>
              </w:rPr>
              <w:t xml:space="preserve">定位至单个设备的具体故障端口</w:t>
            </w:r>
            <w:r>
              <w:rPr>
                <w:rFonts w:hint="eastAsia"/>
                <w:color w:val="000000"/>
              </w:rPr>
              <w:t xml:space="preserve">。</w:t>
            </w:r>
            <w:r>
              <w:rPr>
                <w:color w:val="000000"/>
              </w:rPr>
            </w:r>
            <w:r/>
          </w:p>
          <w:p>
            <w:pPr>
              <w:pStyle w:val="954"/>
              <w:jc w:val="left"/>
              <w:spacing w:line="264" w:lineRule="auto"/>
              <w:rPr>
                <w:rFonts w:hint="eastAsia" w:ascii="宋体" w:hAnsi="宋体" w:cs="宋体"/>
                <w:color w:val="000000"/>
              </w:rPr>
            </w:pPr>
            <w:r>
              <w:rPr>
                <w:rFonts w:hint="eastAsia"/>
                <w:color w:val="000000"/>
              </w:rPr>
              <w:t xml:space="preserve">5.</w:t>
            </w:r>
            <w:r>
              <w:rPr>
                <w:color w:val="000000"/>
              </w:rPr>
              <w:t xml:space="preserve">支持与波分设备管理平台（</w:t>
            </w:r>
            <w:r>
              <w:rPr>
                <w:rFonts w:hint="eastAsia"/>
                <w:color w:val="000000"/>
              </w:rPr>
              <w:t xml:space="preserve">华为</w:t>
            </w:r>
            <w:r>
              <w:rPr>
                <w:color w:val="000000"/>
              </w:rPr>
              <w:t xml:space="preserve">OptiX OSN 1800V、OptiXtrans E6608T）进行标准化接口对接，融合波分设备与常规网络设备的链路数据。系统可构建多区域、多层级的统一可视化视图，集中展示区域互联线路、内部通信线路及光/电网络层的运行状态，具体指标涵盖告警信息、网元属性、输入输出光功率、互联接口详情、上下行流量及负载情况，支持跨层故障的定位排查。</w:t>
            </w:r>
            <w:r>
              <w:rPr>
                <w:rFonts w:hint="eastAsia" w:ascii="宋体" w:hAnsi="宋体" w:cs="宋体"/>
                <w:color w:val="000000"/>
              </w:rPr>
            </w:r>
            <w:r/>
          </w:p>
          <w:p>
            <w:pPr>
              <w:pStyle w:val="954"/>
              <w:jc w:val="left"/>
              <w:spacing w:line="264" w:lineRule="auto"/>
              <w:rPr>
                <w:rFonts w:hint="eastAsia"/>
                <w:color w:val="000000"/>
              </w:rPr>
            </w:pPr>
            <w:r>
              <w:rPr>
                <w:rFonts w:hint="eastAsia"/>
                <w:color w:val="000000"/>
              </w:rPr>
              <w:t xml:space="preserve">采用类似真实系统演示，每小项功能完整准确演示</w:t>
            </w:r>
            <w:r>
              <w:rPr>
                <w:rFonts w:hint="eastAsia" w:ascii="宋体" w:hAnsi="宋体" w:cs="宋体"/>
                <w:color w:val="000000"/>
              </w:rPr>
              <w:t xml:space="preserve">得</w:t>
            </w:r>
            <w:r>
              <w:rPr>
                <w:rFonts w:ascii="宋体" w:hAnsi="宋体" w:cs="宋体"/>
                <w:color w:val="000000"/>
              </w:rPr>
              <w:t xml:space="preserve">3</w:t>
            </w:r>
            <w:r>
              <w:rPr>
                <w:rFonts w:hint="eastAsia" w:ascii="宋体" w:hAnsi="宋体" w:cs="宋体"/>
                <w:color w:val="000000"/>
              </w:rPr>
              <w:t xml:space="preserve">分</w:t>
            </w:r>
            <w:r>
              <w:rPr>
                <w:rFonts w:hint="eastAsia"/>
                <w:color w:val="000000"/>
              </w:rPr>
              <w:t xml:space="preserve">，</w:t>
            </w:r>
            <w:r>
              <w:rPr>
                <w:rFonts w:hint="eastAsia" w:ascii="宋体" w:hAnsi="宋体" w:cs="宋体"/>
                <w:color w:val="000000"/>
              </w:rPr>
              <w:t xml:space="preserve">不演示或不满足不得分。</w:t>
            </w:r>
            <w:bookmarkStart w:id="60" w:name="OLE_LINK2"/>
            <w:r>
              <w:rPr>
                <w:rFonts w:hint="eastAsia"/>
                <w:color w:val="000000"/>
              </w:rPr>
              <w:t xml:space="preserve">最多</w:t>
            </w:r>
            <w:r>
              <w:rPr>
                <w:rFonts w:hint="eastAsia" w:ascii="宋体" w:hAnsi="宋体" w:cs="宋体"/>
                <w:color w:val="000000"/>
              </w:rPr>
              <w:t xml:space="preserve">得15分</w:t>
            </w:r>
            <w:bookmarkEnd w:id="60"/>
            <w:r>
              <w:rPr>
                <w:rFonts w:hint="eastAsia" w:ascii="宋体" w:hAnsi="宋体" w:cs="宋体"/>
                <w:color w:val="000000"/>
              </w:rPr>
              <w:t xml:space="preserve">。</w:t>
            </w:r>
            <w:r>
              <w:rPr>
                <w:rFonts w:hint="eastAsia"/>
                <w:color w:val="000000"/>
              </w:rPr>
            </w:r>
            <w:r/>
          </w:p>
          <w:p>
            <w:pPr>
              <w:pStyle w:val="954"/>
              <w:jc w:val="left"/>
              <w:spacing w:line="264" w:lineRule="auto"/>
              <w:rPr>
                <w:color w:val="000000"/>
                <w:lang w:val="zh-CN"/>
              </w:rPr>
            </w:pPr>
            <w:r>
              <w:rPr>
                <w:rFonts w:hint="eastAsia" w:ascii="宋体" w:hAnsi="宋体" w:cs="宋体"/>
                <w:bCs/>
                <w:color w:val="000000"/>
              </w:rPr>
              <w:t xml:space="preserve">采用系统原型（DEMO）、PPT等非真实系统演示的，</w:t>
            </w:r>
            <w:r>
              <w:rPr>
                <w:rFonts w:hint="eastAsia"/>
                <w:color w:val="000000"/>
              </w:rPr>
              <w:t xml:space="preserve">每小项功能完整准确演示</w:t>
            </w:r>
            <w:r>
              <w:rPr>
                <w:rFonts w:hint="eastAsia" w:ascii="宋体" w:hAnsi="宋体" w:cs="宋体"/>
                <w:color w:val="000000"/>
              </w:rPr>
              <w:t xml:space="preserve">得</w:t>
            </w:r>
            <w:r>
              <w:rPr>
                <w:rFonts w:hint="eastAsia" w:ascii="宋体" w:hAnsi="宋体" w:cs="宋体"/>
                <w:color w:val="000000"/>
                <w:lang w:val="en-US" w:eastAsia="zh-CN"/>
              </w:rPr>
              <w:t xml:space="preserve">1.5</w:t>
            </w:r>
            <w:r>
              <w:rPr>
                <w:rFonts w:hint="eastAsia" w:ascii="宋体" w:hAnsi="宋体" w:cs="宋体"/>
                <w:color w:val="000000"/>
              </w:rPr>
              <w:t xml:space="preserve">分</w:t>
            </w:r>
            <w:r>
              <w:rPr>
                <w:rFonts w:hint="eastAsia" w:ascii="宋体" w:hAnsi="宋体" w:cs="宋体"/>
                <w:bCs/>
                <w:color w:val="000000"/>
              </w:rPr>
              <w:t xml:space="preserve">，</w:t>
            </w:r>
            <w:r>
              <w:rPr>
                <w:rFonts w:hint="eastAsia"/>
                <w:color w:val="000000"/>
              </w:rPr>
              <w:t xml:space="preserve">最多</w:t>
            </w:r>
            <w:r>
              <w:rPr>
                <w:rFonts w:hint="eastAsia" w:ascii="宋体" w:hAnsi="宋体" w:cs="宋体"/>
                <w:color w:val="000000"/>
              </w:rPr>
              <w:t xml:space="preserve">得7.5分</w:t>
            </w:r>
            <w:r>
              <w:rPr>
                <w:rFonts w:hint="eastAsia" w:ascii="宋体" w:hAnsi="宋体" w:cs="宋体"/>
                <w:bCs/>
                <w:color w:val="000000"/>
              </w:rPr>
              <w:t xml:space="preserve">；未提供视频文件或因供应商自身原因视频文件无法打开或视频画面不清晰无法辨认的不得分。</w:t>
            </w:r>
            <w:r>
              <w:rPr>
                <w:color w:val="000000"/>
                <w:lang w:val="zh-CN"/>
              </w:rPr>
            </w:r>
            <w:r/>
          </w:p>
        </w:tc>
        <w:tc>
          <w:tcPr>
            <w:tcW w:w="647" w:type="dxa"/>
            <w:vAlign w:val="center"/>
            <w:textDirection w:val="lrTb"/>
            <w:noWrap w:val="false"/>
          </w:tcPr>
          <w:p>
            <w:pPr>
              <w:pStyle w:val="954"/>
              <w:jc w:val="center"/>
              <w:spacing w:before="68" w:line="264" w:lineRule="auto"/>
              <w:rPr>
                <w:rFonts w:ascii="宋体" w:hAnsi="宋体" w:cs="宋体"/>
                <w:color w:val="000000"/>
              </w:rPr>
            </w:pPr>
            <w:r>
              <w:rPr>
                <w:rFonts w:hint="eastAsia" w:ascii="宋体" w:hAnsi="宋体" w:cs="宋体"/>
                <w:color w:val="000000"/>
              </w:rPr>
              <w:t xml:space="preserve">15</w:t>
            </w:r>
            <w:r>
              <w:rPr>
                <w:rFonts w:ascii="宋体" w:hAnsi="宋体" w:cs="宋体"/>
                <w:color w:val="000000"/>
              </w:rPr>
            </w:r>
            <w:r/>
          </w:p>
        </w:tc>
        <w:tc>
          <w:tcPr>
            <w:tcW w:w="900" w:type="dxa"/>
            <w:vAlign w:val="center"/>
            <w:textDirection w:val="lrTb"/>
            <w:noWrap w:val="false"/>
          </w:tcPr>
          <w:p>
            <w:pPr>
              <w:pStyle w:val="954"/>
              <w:jc w:val="center"/>
              <w:spacing w:before="68" w:line="264" w:lineRule="auto"/>
              <w:rPr>
                <w:rFonts w:hint="eastAsia" w:ascii="宋体" w:hAnsi="宋体" w:cs="宋体"/>
                <w:color w:val="000000"/>
                <w:spacing w:val="-6"/>
              </w:rPr>
            </w:pPr>
            <w:r>
              <w:rPr>
                <w:rFonts w:hint="eastAsia" w:ascii="宋体" w:hAnsi="宋体" w:cs="宋体"/>
                <w:color w:val="000000"/>
                <w:spacing w:val="-6"/>
              </w:rPr>
              <w:t xml:space="preserve">客观分</w:t>
            </w:r>
            <w:r>
              <w:rPr>
                <w:rFonts w:hint="eastAsia" w:ascii="宋体" w:hAnsi="宋体" w:cs="宋体"/>
                <w:color w:val="000000"/>
                <w:spacing w:val="-6"/>
              </w:rPr>
            </w:r>
            <w:r/>
          </w:p>
        </w:tc>
      </w:tr>
      <w:tr>
        <w:trPr>
          <w:trHeight w:val="472"/>
        </w:trPr>
        <w:tc>
          <w:tcPr>
            <w:gridSpan w:val="5"/>
            <w:tcW w:w="9575" w:type="dxa"/>
            <w:vAlign w:val="center"/>
            <w:textDirection w:val="lrTb"/>
            <w:noWrap w:val="false"/>
          </w:tcPr>
          <w:p>
            <w:pPr>
              <w:pStyle w:val="954"/>
              <w:spacing w:before="68" w:line="264" w:lineRule="auto"/>
              <w:rPr>
                <w:rFonts w:hint="eastAsia" w:ascii="宋体" w:hAnsi="宋体" w:cs="宋体"/>
                <w:color w:val="000000"/>
              </w:rPr>
            </w:pPr>
            <w:r>
              <w:rPr>
                <w:rFonts w:hint="eastAsia" w:ascii="宋体" w:hAnsi="宋体" w:cs="宋体"/>
                <w:b/>
                <w:bCs/>
                <w:color w:val="000000"/>
                <w:spacing w:val="-3"/>
              </w:rPr>
              <w:t xml:space="preserve">3.服务</w:t>
            </w:r>
            <w:r>
              <w:rPr>
                <w:rFonts w:hint="eastAsia" w:ascii="宋体" w:hAnsi="宋体" w:cs="宋体"/>
                <w:color w:val="000000"/>
              </w:rPr>
            </w:r>
            <w:r/>
          </w:p>
        </w:tc>
      </w:tr>
      <w:tr>
        <w:trPr>
          <w:trHeight w:val="195"/>
        </w:trPr>
        <w:tc>
          <w:tcPr>
            <w:tcW w:w="519" w:type="dxa"/>
            <w:vAlign w:val="center"/>
            <w:textDirection w:val="lrTb"/>
            <w:noWrap w:val="false"/>
          </w:tcPr>
          <w:p>
            <w:pPr>
              <w:pStyle w:val="954"/>
              <w:jc w:val="center"/>
              <w:spacing w:before="68" w:line="264" w:lineRule="auto"/>
              <w:rPr>
                <w:rFonts w:ascii="宋体" w:hAnsi="宋体" w:cs="宋体"/>
                <w:color w:val="000000"/>
                <w:spacing w:val="-2"/>
              </w:rPr>
            </w:pPr>
            <w:r>
              <w:rPr>
                <w:rFonts w:hint="eastAsia" w:ascii="宋体" w:hAnsi="宋体" w:cs="宋体"/>
                <w:color w:val="000000"/>
                <w:spacing w:val="-2"/>
              </w:rPr>
              <w:t xml:space="preserve">3.1</w:t>
            </w:r>
            <w:r>
              <w:rPr>
                <w:rFonts w:ascii="宋体" w:hAnsi="宋体" w:cs="宋体"/>
                <w:color w:val="000000"/>
                <w:spacing w:val="-2"/>
              </w:rPr>
            </w:r>
            <w:r/>
          </w:p>
        </w:tc>
        <w:tc>
          <w:tcPr>
            <w:tcW w:w="1179" w:type="dxa"/>
            <w:vAlign w:val="center"/>
            <w:textDirection w:val="lrTb"/>
            <w:noWrap w:val="false"/>
          </w:tcPr>
          <w:p>
            <w:pPr>
              <w:pStyle w:val="954"/>
              <w:spacing w:line="264" w:lineRule="auto"/>
              <w:rPr>
                <w:rFonts w:hint="eastAsia"/>
                <w:color w:val="000000"/>
              </w:rPr>
            </w:pPr>
            <w:r>
              <w:rPr>
                <w:rFonts w:hint="eastAsia"/>
                <w:color w:val="000000"/>
              </w:rPr>
              <w:t xml:space="preserve">维保服务方案</w:t>
            </w:r>
            <w:r>
              <w:rPr>
                <w:rFonts w:hint="eastAsia"/>
                <w:color w:val="000000"/>
              </w:rPr>
            </w:r>
            <w:r/>
          </w:p>
        </w:tc>
        <w:tc>
          <w:tcPr>
            <w:tcW w:w="6330" w:type="dxa"/>
            <w:vAlign w:val="center"/>
            <w:textDirection w:val="lrTb"/>
            <w:noWrap w:val="false"/>
          </w:tcPr>
          <w:p>
            <w:pPr>
              <w:pStyle w:val="954"/>
              <w:jc w:val="left"/>
              <w:spacing w:line="264" w:lineRule="auto"/>
              <w:widowControl/>
              <w:rPr>
                <w:rFonts w:hint="eastAsia" w:ascii="宋体" w:hAnsi="宋体" w:cs="宋体"/>
                <w:color w:val="000000"/>
              </w:rPr>
            </w:pPr>
            <w:r>
              <w:rPr>
                <w:rFonts w:hint="eastAsia"/>
                <w:color w:val="000000"/>
              </w:rPr>
              <w:t xml:space="preserve">根据本项目采购需求编制方案，内容包含：</w:t>
            </w:r>
            <w:r>
              <w:rPr>
                <w:rFonts w:hint="eastAsia" w:ascii="宋体" w:hAnsi="宋体" w:cs="宋体"/>
                <w:color w:val="000000"/>
              </w:rPr>
              <w:t xml:space="preserve">1.</w:t>
            </w:r>
            <w:r>
              <w:rPr>
                <w:rFonts w:hint="eastAsia" w:ascii="宋体" w:hAnsi="宋体" w:cs="宋体"/>
                <w:bCs/>
                <w:color w:val="000000"/>
              </w:rPr>
              <w:t xml:space="preserve">服务保障体系</w:t>
            </w:r>
            <w:r>
              <w:rPr>
                <w:rFonts w:hint="eastAsia" w:ascii="宋体" w:hAnsi="宋体" w:cs="宋体"/>
                <w:color w:val="000000"/>
              </w:rPr>
              <w:t xml:space="preserve">；2.</w:t>
            </w:r>
            <w:r>
              <w:rPr>
                <w:rFonts w:hint="eastAsia" w:ascii="宋体" w:hAnsi="宋体" w:cs="宋体"/>
                <w:bCs/>
                <w:color w:val="000000"/>
              </w:rPr>
              <w:t xml:space="preserve">服务内容</w:t>
            </w:r>
            <w:r>
              <w:rPr>
                <w:rFonts w:hint="eastAsia" w:ascii="宋体" w:hAnsi="宋体" w:cs="宋体"/>
                <w:color w:val="000000"/>
              </w:rPr>
              <w:t xml:space="preserve">；3.</w:t>
            </w:r>
            <w:r>
              <w:rPr>
                <w:rFonts w:hint="eastAsia" w:ascii="宋体" w:hAnsi="宋体" w:cs="宋体"/>
                <w:bCs/>
                <w:color w:val="000000"/>
              </w:rPr>
              <w:t xml:space="preserve">故障解决方案</w:t>
            </w:r>
            <w:r>
              <w:rPr>
                <w:rFonts w:hint="eastAsia" w:ascii="宋体" w:hAnsi="宋体" w:cs="宋体"/>
                <w:color w:val="000000"/>
              </w:rPr>
              <w:t xml:space="preserve">；</w:t>
            </w:r>
            <w:r>
              <w:rPr>
                <w:rFonts w:hint="eastAsia"/>
                <w:color w:val="000000"/>
              </w:rPr>
              <w:t xml:space="preserve">以上每项内容逐项评分：</w:t>
            </w:r>
            <w:r>
              <w:rPr>
                <w:rFonts w:hint="eastAsia" w:ascii="宋体" w:hAnsi="宋体" w:cs="宋体"/>
                <w:color w:val="000000"/>
              </w:rPr>
            </w:r>
            <w:r/>
          </w:p>
          <w:p>
            <w:pPr>
              <w:pStyle w:val="954"/>
              <w:rPr>
                <w:rFonts w:ascii="宋体" w:hAnsi="宋体" w:cs="宋体"/>
                <w:bCs/>
                <w:color w:val="000000"/>
              </w:rPr>
            </w:pPr>
            <w:r>
              <w:rPr>
                <w:rFonts w:hint="eastAsia" w:ascii="宋体" w:hAnsi="宋体" w:cs="宋体"/>
                <w:bCs/>
                <w:color w:val="000000"/>
              </w:rPr>
              <w:t xml:space="preserve">（1）服务保障体系：</w:t>
            </w:r>
            <w:r>
              <w:rPr>
                <w:rFonts w:ascii="宋体" w:hAnsi="宋体" w:cs="宋体"/>
                <w:bCs/>
                <w:color w:val="000000"/>
              </w:rPr>
            </w:r>
            <w:r/>
          </w:p>
          <w:p>
            <w:pPr>
              <w:pStyle w:val="954"/>
              <w:jc w:val="left"/>
              <w:spacing w:line="264" w:lineRule="auto"/>
              <w:widowControl/>
              <w:rPr>
                <w:rFonts w:ascii="宋体" w:hAnsi="宋体" w:cs="宋体"/>
                <w:bCs/>
                <w:color w:val="000000"/>
              </w:rPr>
            </w:pPr>
            <w:r>
              <w:rPr>
                <w:rFonts w:hint="eastAsia" w:ascii="宋体" w:hAnsi="宋体" w:cs="宋体"/>
                <w:bCs/>
                <w:color w:val="000000"/>
              </w:rPr>
              <w:t xml:space="preserve">服务保障体系措施全面完整的，得2分；</w:t>
            </w:r>
            <w:r>
              <w:rPr>
                <w:rFonts w:ascii="宋体" w:hAnsi="宋体" w:cs="宋体"/>
                <w:bCs/>
                <w:color w:val="000000"/>
              </w:rPr>
            </w:r>
            <w:r/>
          </w:p>
          <w:p>
            <w:pPr>
              <w:pStyle w:val="954"/>
              <w:jc w:val="left"/>
              <w:spacing w:line="264" w:lineRule="auto"/>
              <w:widowControl/>
              <w:rPr>
                <w:rFonts w:ascii="宋体" w:hAnsi="宋体" w:cs="宋体"/>
                <w:bCs/>
                <w:color w:val="000000"/>
              </w:rPr>
            </w:pPr>
            <w:r>
              <w:rPr>
                <w:rFonts w:hint="eastAsia" w:ascii="宋体" w:hAnsi="宋体" w:cs="宋体"/>
                <w:bCs/>
                <w:color w:val="000000"/>
              </w:rPr>
              <w:t xml:space="preserve">服务保障体系措施较全面完整的，得1分；</w:t>
            </w:r>
            <w:r>
              <w:rPr>
                <w:rFonts w:ascii="宋体" w:hAnsi="宋体" w:cs="宋体"/>
                <w:bCs/>
                <w:color w:val="000000"/>
              </w:rPr>
            </w:r>
            <w:r/>
          </w:p>
          <w:p>
            <w:pPr>
              <w:pStyle w:val="954"/>
              <w:jc w:val="left"/>
              <w:spacing w:line="264" w:lineRule="auto"/>
              <w:widowControl/>
              <w:rPr>
                <w:rFonts w:ascii="宋体" w:hAnsi="宋体" w:cs="宋体"/>
                <w:bCs/>
                <w:color w:val="000000"/>
              </w:rPr>
            </w:pPr>
            <w:r>
              <w:rPr>
                <w:rFonts w:hint="eastAsia" w:ascii="宋体" w:hAnsi="宋体" w:cs="宋体"/>
                <w:color w:val="000000"/>
              </w:rPr>
              <w:t xml:space="preserve">未提供或提供的内容完全不符合采购需求的不得分。</w:t>
            </w:r>
            <w:r>
              <w:rPr>
                <w:rFonts w:ascii="宋体" w:hAnsi="宋体" w:cs="宋体"/>
                <w:bCs/>
                <w:color w:val="000000"/>
              </w:rPr>
            </w:r>
            <w:r/>
          </w:p>
          <w:p>
            <w:pPr>
              <w:pStyle w:val="954"/>
              <w:jc w:val="left"/>
              <w:spacing w:line="264" w:lineRule="auto"/>
              <w:widowControl/>
              <w:rPr>
                <w:rFonts w:ascii="宋体" w:hAnsi="宋体" w:cs="宋体"/>
                <w:bCs/>
                <w:color w:val="000000"/>
              </w:rPr>
            </w:pPr>
            <w:r>
              <w:rPr>
                <w:rFonts w:hint="eastAsia" w:ascii="宋体" w:hAnsi="宋体" w:cs="宋体"/>
                <w:bCs/>
                <w:color w:val="000000"/>
              </w:rPr>
              <w:t xml:space="preserve">（2）服务内容：</w:t>
            </w:r>
            <w:r>
              <w:rPr>
                <w:rFonts w:ascii="宋体" w:hAnsi="宋体" w:cs="宋体"/>
                <w:bCs/>
                <w:color w:val="000000"/>
              </w:rPr>
            </w:r>
            <w:r/>
          </w:p>
          <w:p>
            <w:pPr>
              <w:pStyle w:val="954"/>
              <w:jc w:val="left"/>
              <w:spacing w:line="264" w:lineRule="auto"/>
              <w:widowControl/>
              <w:rPr>
                <w:rFonts w:ascii="宋体" w:hAnsi="宋体" w:cs="宋体"/>
                <w:bCs/>
                <w:color w:val="000000"/>
              </w:rPr>
            </w:pPr>
            <w:r>
              <w:rPr>
                <w:rFonts w:hint="eastAsia" w:ascii="宋体" w:hAnsi="宋体" w:cs="宋体"/>
                <w:bCs/>
                <w:color w:val="000000"/>
              </w:rPr>
              <w:t xml:space="preserve">服务内容全面完整的，得2分；</w:t>
            </w:r>
            <w:r>
              <w:rPr>
                <w:rFonts w:ascii="宋体" w:hAnsi="宋体" w:cs="宋体"/>
                <w:bCs/>
                <w:color w:val="000000"/>
              </w:rPr>
            </w:r>
            <w:r/>
          </w:p>
          <w:p>
            <w:pPr>
              <w:pStyle w:val="954"/>
              <w:jc w:val="left"/>
              <w:spacing w:line="264" w:lineRule="auto"/>
              <w:widowControl/>
              <w:rPr>
                <w:rFonts w:ascii="宋体" w:hAnsi="宋体" w:cs="宋体"/>
                <w:bCs/>
                <w:color w:val="000000"/>
              </w:rPr>
            </w:pPr>
            <w:r>
              <w:rPr>
                <w:rFonts w:hint="eastAsia" w:ascii="宋体" w:hAnsi="宋体" w:cs="宋体"/>
                <w:bCs/>
                <w:color w:val="000000"/>
              </w:rPr>
              <w:t xml:space="preserve">服务内容较全面完整的，得1分；</w:t>
            </w:r>
            <w:r>
              <w:rPr>
                <w:rFonts w:ascii="宋体" w:hAnsi="宋体" w:cs="宋体"/>
                <w:bCs/>
                <w:color w:val="000000"/>
              </w:rPr>
            </w:r>
            <w:r/>
          </w:p>
          <w:p>
            <w:pPr>
              <w:pStyle w:val="954"/>
              <w:jc w:val="left"/>
              <w:spacing w:line="264" w:lineRule="auto"/>
              <w:widowControl/>
              <w:rPr>
                <w:rFonts w:ascii="宋体" w:hAnsi="宋体" w:cs="宋体"/>
                <w:bCs/>
                <w:color w:val="000000"/>
              </w:rPr>
            </w:pPr>
            <w:r>
              <w:rPr>
                <w:rFonts w:hint="eastAsia" w:ascii="宋体" w:hAnsi="宋体" w:cs="宋体"/>
                <w:color w:val="000000"/>
              </w:rPr>
              <w:t xml:space="preserve">未提供或提供的内容完全不符合采购需求的不得分。</w:t>
            </w:r>
            <w:r>
              <w:rPr>
                <w:rFonts w:ascii="宋体" w:hAnsi="宋体" w:cs="宋体"/>
                <w:bCs/>
                <w:color w:val="000000"/>
              </w:rPr>
            </w:r>
            <w:r/>
          </w:p>
          <w:p>
            <w:pPr>
              <w:pStyle w:val="954"/>
              <w:jc w:val="left"/>
              <w:spacing w:line="264" w:lineRule="auto"/>
              <w:widowControl/>
              <w:rPr>
                <w:rFonts w:ascii="宋体" w:hAnsi="宋体" w:cs="宋体"/>
                <w:bCs/>
                <w:color w:val="000000"/>
              </w:rPr>
            </w:pPr>
            <w:r>
              <w:rPr>
                <w:rFonts w:hint="eastAsia" w:ascii="宋体" w:hAnsi="宋体" w:cs="宋体"/>
                <w:bCs/>
                <w:color w:val="000000"/>
              </w:rPr>
              <w:t xml:space="preserve">（3）故障解决方案：</w:t>
            </w:r>
            <w:r>
              <w:rPr>
                <w:rFonts w:ascii="宋体" w:hAnsi="宋体" w:cs="宋体"/>
                <w:bCs/>
                <w:color w:val="000000"/>
              </w:rPr>
            </w:r>
            <w:r/>
          </w:p>
          <w:p>
            <w:pPr>
              <w:pStyle w:val="954"/>
              <w:jc w:val="left"/>
              <w:spacing w:line="264" w:lineRule="auto"/>
              <w:widowControl/>
              <w:rPr>
                <w:rFonts w:ascii="宋体" w:hAnsi="宋体" w:cs="宋体"/>
                <w:bCs/>
                <w:color w:val="000000"/>
              </w:rPr>
            </w:pPr>
            <w:r>
              <w:rPr>
                <w:rFonts w:hint="eastAsia" w:ascii="宋体" w:hAnsi="宋体" w:cs="宋体"/>
                <w:bCs/>
                <w:color w:val="000000"/>
              </w:rPr>
              <w:t xml:space="preserve">故障解决措施全面完整的，得2分；</w:t>
            </w:r>
            <w:r>
              <w:rPr>
                <w:rFonts w:ascii="宋体" w:hAnsi="宋体" w:cs="宋体"/>
                <w:bCs/>
                <w:color w:val="000000"/>
              </w:rPr>
            </w:r>
            <w:r/>
          </w:p>
          <w:p>
            <w:pPr>
              <w:pStyle w:val="954"/>
              <w:jc w:val="left"/>
              <w:spacing w:line="264" w:lineRule="auto"/>
              <w:widowControl/>
              <w:rPr>
                <w:rFonts w:ascii="宋体" w:hAnsi="宋体" w:cs="宋体"/>
                <w:bCs/>
                <w:color w:val="000000"/>
              </w:rPr>
            </w:pPr>
            <w:r>
              <w:rPr>
                <w:rFonts w:hint="eastAsia" w:ascii="宋体" w:hAnsi="宋体" w:cs="宋体"/>
                <w:bCs/>
                <w:color w:val="000000"/>
              </w:rPr>
              <w:t xml:space="preserve">故障解决措施较全面完整的，得1分；</w:t>
            </w:r>
            <w:r>
              <w:rPr>
                <w:rFonts w:ascii="宋体" w:hAnsi="宋体" w:cs="宋体"/>
                <w:bCs/>
                <w:color w:val="000000"/>
              </w:rPr>
            </w:r>
            <w:r/>
          </w:p>
          <w:p>
            <w:pPr>
              <w:pStyle w:val="954"/>
              <w:jc w:val="left"/>
              <w:spacing w:line="264" w:lineRule="auto"/>
              <w:widowControl/>
              <w:rPr>
                <w:color w:val="000000"/>
                <w:lang w:val="zh-CN"/>
              </w:rPr>
            </w:pPr>
            <w:r>
              <w:rPr>
                <w:rFonts w:hint="eastAsia" w:ascii="宋体" w:hAnsi="宋体" w:cs="宋体"/>
                <w:color w:val="000000"/>
              </w:rPr>
              <w:t xml:space="preserve">未提供或提供的内容完全不符合采购需求的不得分。</w:t>
            </w:r>
            <w:r>
              <w:rPr>
                <w:color w:val="000000"/>
                <w:lang w:val="zh-CN"/>
              </w:rPr>
            </w:r>
            <w:r/>
          </w:p>
        </w:tc>
        <w:tc>
          <w:tcPr>
            <w:tcW w:w="647" w:type="dxa"/>
            <w:vAlign w:val="center"/>
            <w:textDirection w:val="lrTb"/>
            <w:noWrap w:val="false"/>
          </w:tcPr>
          <w:p>
            <w:pPr>
              <w:pStyle w:val="954"/>
              <w:jc w:val="center"/>
              <w:spacing w:before="68" w:line="264"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900" w:type="dxa"/>
            <w:vAlign w:val="center"/>
            <w:textDirection w:val="lrTb"/>
            <w:noWrap w:val="false"/>
          </w:tcPr>
          <w:p>
            <w:pPr>
              <w:pStyle w:val="954"/>
              <w:jc w:val="center"/>
              <w:spacing w:before="68" w:line="264" w:lineRule="auto"/>
              <w:rPr>
                <w:rFonts w:ascii="宋体" w:hAnsi="宋体" w:cs="宋体"/>
                <w:color w:val="000000"/>
                <w:spacing w:val="-6"/>
              </w:rPr>
            </w:pPr>
            <w:r>
              <w:rPr>
                <w:rFonts w:ascii="宋体" w:hAnsi="宋体" w:cs="宋体"/>
                <w:color w:val="000000"/>
                <w:spacing w:val="-6"/>
              </w:rPr>
              <w:t xml:space="preserve">主观分</w:t>
            </w:r>
            <w:r>
              <w:rPr>
                <w:rFonts w:ascii="宋体" w:hAnsi="宋体" w:cs="宋体"/>
                <w:color w:val="000000"/>
                <w:spacing w:val="-6"/>
              </w:rPr>
            </w:r>
            <w:r/>
          </w:p>
        </w:tc>
      </w:tr>
      <w:tr>
        <w:trPr>
          <w:trHeight w:val="195"/>
        </w:trPr>
        <w:tc>
          <w:tcPr>
            <w:tcW w:w="519" w:type="dxa"/>
            <w:vAlign w:val="center"/>
            <w:textDirection w:val="lrTb"/>
            <w:noWrap w:val="false"/>
          </w:tcPr>
          <w:p>
            <w:pPr>
              <w:pStyle w:val="954"/>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3</w:t>
            </w:r>
            <w:r>
              <w:rPr>
                <w:rFonts w:ascii="宋体" w:hAnsi="宋体" w:cs="宋体"/>
                <w:color w:val="000000"/>
                <w:spacing w:val="-2"/>
              </w:rPr>
              <w:t xml:space="preserve">.2</w:t>
            </w:r>
            <w:r>
              <w:rPr>
                <w:rFonts w:hint="eastAsia" w:ascii="宋体" w:hAnsi="宋体" w:cs="宋体"/>
                <w:color w:val="000000"/>
                <w:spacing w:val="-2"/>
              </w:rPr>
            </w:r>
            <w:r/>
          </w:p>
        </w:tc>
        <w:tc>
          <w:tcPr>
            <w:tcW w:w="1179" w:type="dxa"/>
            <w:vAlign w:val="center"/>
            <w:textDirection w:val="lrTb"/>
            <w:noWrap w:val="false"/>
          </w:tcPr>
          <w:p>
            <w:pPr>
              <w:pStyle w:val="954"/>
              <w:jc w:val="both"/>
              <w:rPr>
                <w:color w:val="000000"/>
              </w:rPr>
            </w:pPr>
            <w:r>
              <w:rPr>
                <w:rFonts w:hint="eastAsia"/>
                <w:color w:val="000000"/>
                <w:lang w:val="en-US" w:eastAsia="zh-CN"/>
              </w:rPr>
              <w:t xml:space="preserve">延长维保</w:t>
            </w:r>
            <w:r>
              <w:rPr>
                <w:color w:val="000000"/>
              </w:rPr>
            </w:r>
            <w:r/>
          </w:p>
        </w:tc>
        <w:tc>
          <w:tcPr>
            <w:tcW w:w="6330" w:type="dxa"/>
            <w:vAlign w:val="center"/>
            <w:textDirection w:val="lrTb"/>
            <w:noWrap w:val="false"/>
          </w:tcPr>
          <w:p>
            <w:pPr>
              <w:pStyle w:val="954"/>
              <w:jc w:val="left"/>
              <w:spacing w:line="264" w:lineRule="auto"/>
              <w:widowControl/>
              <w:rPr>
                <w:rFonts w:hint="eastAsia"/>
                <w:color w:val="000000"/>
              </w:rPr>
            </w:pPr>
            <w:r>
              <w:rPr>
                <w:rFonts w:hint="eastAsia"/>
                <w:color w:val="000000"/>
              </w:rPr>
              <w:t xml:space="preserve">投标人提供三年</w:t>
            </w:r>
            <w:r>
              <w:rPr>
                <w:rFonts w:hint="eastAsia"/>
                <w:color w:val="000000"/>
                <w:lang w:val="en-US" w:eastAsia="zh-CN"/>
              </w:rPr>
              <w:t xml:space="preserve">或</w:t>
            </w:r>
            <w:r>
              <w:rPr>
                <w:rFonts w:hint="eastAsia"/>
                <w:color w:val="000000"/>
              </w:rPr>
              <w:t xml:space="preserve">以上维保</w:t>
            </w:r>
            <w:r>
              <w:rPr>
                <w:rFonts w:hint="eastAsia"/>
                <w:color w:val="000000"/>
                <w:lang w:val="en-US" w:eastAsia="zh-CN"/>
              </w:rPr>
              <w:t xml:space="preserve">服务</w:t>
            </w:r>
            <w:r>
              <w:rPr>
                <w:rFonts w:hint="eastAsia"/>
                <w:color w:val="000000"/>
              </w:rPr>
              <w:t xml:space="preserve">（自验收报告签字确认日起开始进入维保期，相关费用包含在本次报价中），得</w:t>
            </w:r>
            <w:r>
              <w:rPr>
                <w:color w:val="000000"/>
              </w:rPr>
              <w:t xml:space="preserve">2</w:t>
            </w:r>
            <w:r>
              <w:rPr>
                <w:rFonts w:hint="eastAsia"/>
                <w:color w:val="000000"/>
              </w:rPr>
              <w:t xml:space="preserve">分。（需提供</w:t>
            </w:r>
            <w:r>
              <w:rPr>
                <w:rFonts w:hint="eastAsia"/>
                <w:color w:val="000000"/>
                <w:lang w:val="en-US" w:eastAsia="zh-CN"/>
              </w:rPr>
              <w:t xml:space="preserve">维</w:t>
            </w:r>
            <w:r>
              <w:rPr>
                <w:rFonts w:hint="eastAsia"/>
                <w:color w:val="000000"/>
              </w:rPr>
              <w:t xml:space="preserve">保承诺函</w:t>
            </w:r>
            <w:r>
              <w:rPr>
                <w:rFonts w:hint="eastAsia"/>
                <w:color w:val="000000"/>
                <w:lang w:val="en-US" w:eastAsia="zh-CN"/>
              </w:rPr>
              <w:t xml:space="preserve">并加盖公章，格式自拟</w:t>
            </w:r>
            <w:r>
              <w:rPr>
                <w:rFonts w:hint="eastAsia"/>
                <w:color w:val="000000"/>
              </w:rPr>
              <w:t xml:space="preserve">）</w:t>
            </w:r>
            <w:r>
              <w:rPr>
                <w:rFonts w:hint="eastAsia"/>
                <w:color w:val="000000"/>
              </w:rPr>
            </w:r>
            <w:r/>
          </w:p>
        </w:tc>
        <w:tc>
          <w:tcPr>
            <w:tcW w:w="647" w:type="dxa"/>
            <w:vAlign w:val="center"/>
            <w:textDirection w:val="lrTb"/>
            <w:noWrap w:val="false"/>
          </w:tcPr>
          <w:p>
            <w:pPr>
              <w:pStyle w:val="954"/>
              <w:jc w:val="center"/>
              <w:spacing w:before="68" w:line="264" w:lineRule="auto"/>
              <w:rPr>
                <w:rFonts w:hint="eastAsia" w:ascii="宋体" w:hAnsi="宋体" w:cs="宋体"/>
                <w:color w:val="000000"/>
              </w:rPr>
            </w:pPr>
            <w:r>
              <w:rPr>
                <w:rFonts w:ascii="宋体" w:hAnsi="宋体" w:cs="宋体"/>
                <w:color w:val="000000"/>
              </w:rPr>
              <w:t xml:space="preserve">2</w:t>
            </w:r>
            <w:r>
              <w:rPr>
                <w:rFonts w:hint="eastAsia" w:ascii="宋体" w:hAnsi="宋体" w:cs="宋体"/>
                <w:color w:val="000000"/>
              </w:rPr>
            </w:r>
            <w:r/>
          </w:p>
        </w:tc>
        <w:tc>
          <w:tcPr>
            <w:tcW w:w="900" w:type="dxa"/>
            <w:vAlign w:val="center"/>
            <w:textDirection w:val="lrTb"/>
            <w:noWrap w:val="false"/>
          </w:tcPr>
          <w:p>
            <w:pPr>
              <w:pStyle w:val="954"/>
              <w:jc w:val="center"/>
              <w:spacing w:before="68" w:line="264" w:lineRule="auto"/>
              <w:rPr>
                <w:rFonts w:ascii="宋体" w:hAnsi="宋体" w:cs="宋体"/>
                <w:color w:val="000000"/>
                <w:spacing w:val="-6"/>
              </w:rPr>
            </w:pPr>
            <w:r>
              <w:rPr>
                <w:rFonts w:ascii="宋体" w:hAnsi="宋体" w:cs="宋体"/>
                <w:color w:val="000000"/>
                <w:spacing w:val="-6"/>
              </w:rPr>
              <w:t xml:space="preserve">客观分</w:t>
            </w:r>
            <w:r>
              <w:rPr>
                <w:rFonts w:ascii="宋体" w:hAnsi="宋体" w:cs="宋体"/>
                <w:color w:val="000000"/>
                <w:spacing w:val="-6"/>
              </w:rPr>
            </w:r>
            <w:r/>
          </w:p>
        </w:tc>
      </w:tr>
      <w:tr>
        <w:trPr>
          <w:trHeight w:val="195"/>
        </w:trPr>
        <w:tc>
          <w:tcPr>
            <w:tcW w:w="519" w:type="dxa"/>
            <w:vAlign w:val="center"/>
            <w:textDirection w:val="lrTb"/>
            <w:noWrap w:val="false"/>
          </w:tcPr>
          <w:p>
            <w:pPr>
              <w:pStyle w:val="954"/>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3</w:t>
            </w:r>
            <w:r>
              <w:rPr>
                <w:rFonts w:ascii="宋体" w:hAnsi="宋体" w:cs="宋体"/>
                <w:color w:val="000000"/>
                <w:spacing w:val="-2"/>
              </w:rPr>
              <w:t xml:space="preserve">.3</w:t>
            </w:r>
            <w:r>
              <w:rPr>
                <w:rFonts w:hint="eastAsia" w:ascii="宋体" w:hAnsi="宋体" w:cs="宋体"/>
                <w:color w:val="000000"/>
                <w:spacing w:val="-2"/>
              </w:rPr>
            </w:r>
            <w:r/>
          </w:p>
        </w:tc>
        <w:tc>
          <w:tcPr>
            <w:tcW w:w="1179" w:type="dxa"/>
            <w:vAlign w:val="center"/>
            <w:textDirection w:val="lrTb"/>
            <w:noWrap w:val="false"/>
          </w:tcPr>
          <w:p>
            <w:pPr>
              <w:pStyle w:val="954"/>
              <w:jc w:val="center"/>
              <w:rPr>
                <w:color w:val="000000"/>
              </w:rPr>
            </w:pPr>
            <w:r>
              <w:rPr>
                <w:rFonts w:hint="eastAsia"/>
                <w:color w:val="000000"/>
              </w:rPr>
              <w:t xml:space="preserve">本地化服务</w:t>
            </w:r>
            <w:r>
              <w:rPr>
                <w:color w:val="000000"/>
              </w:rPr>
            </w:r>
            <w:r/>
          </w:p>
        </w:tc>
        <w:tc>
          <w:tcPr>
            <w:tcW w:w="6330" w:type="dxa"/>
            <w:vAlign w:val="center"/>
            <w:textDirection w:val="lrTb"/>
            <w:noWrap w:val="false"/>
          </w:tcPr>
          <w:p>
            <w:pPr>
              <w:pStyle w:val="954"/>
              <w:jc w:val="left"/>
              <w:spacing w:line="264" w:lineRule="auto"/>
              <w:widowControl/>
              <w:rPr>
                <w:rFonts w:hint="eastAsia" w:eastAsia="宋体"/>
                <w:color w:val="000000"/>
                <w:lang w:eastAsia="zh-CN"/>
              </w:rPr>
            </w:pPr>
            <w:r>
              <w:rPr>
                <w:rFonts w:hint="eastAsia"/>
                <w:color w:val="000000"/>
              </w:rPr>
              <w:t xml:space="preserve">投标人</w:t>
            </w:r>
            <w:r>
              <w:rPr>
                <w:rFonts w:hint="eastAsia"/>
                <w:color w:val="000000"/>
                <w:lang w:val="en-US" w:eastAsia="zh-CN"/>
              </w:rPr>
              <w:t xml:space="preserve">中标后</w:t>
            </w:r>
            <w:r>
              <w:rPr>
                <w:rFonts w:hint="eastAsia"/>
                <w:color w:val="000000"/>
              </w:rPr>
              <w:t xml:space="preserve">提供本地化服务的，得</w:t>
            </w:r>
            <w:r>
              <w:rPr>
                <w:color w:val="000000"/>
              </w:rPr>
              <w:t xml:space="preserve">2</w:t>
            </w:r>
            <w:r>
              <w:rPr>
                <w:rFonts w:hint="eastAsia"/>
                <w:color w:val="000000"/>
              </w:rPr>
              <w:t xml:space="preserve">分。</w:t>
            </w:r>
            <w:r>
              <w:rPr>
                <w:rFonts w:hint="eastAsia"/>
                <w:color w:val="000000"/>
                <w:lang w:eastAsia="zh-CN"/>
              </w:rPr>
              <w:t xml:space="preserve">（</w:t>
            </w:r>
            <w:r>
              <w:rPr>
                <w:rFonts w:hint="eastAsia"/>
                <w:color w:val="000000"/>
                <w:lang w:val="en-US" w:eastAsia="zh-CN"/>
              </w:rPr>
              <w:t xml:space="preserve">提供有效证明材料或承诺书</w:t>
            </w:r>
            <w:r>
              <w:rPr>
                <w:rFonts w:hint="eastAsia"/>
                <w:color w:val="000000"/>
                <w:lang w:eastAsia="zh-CN"/>
              </w:rPr>
              <w:t xml:space="preserve">）</w:t>
            </w:r>
            <w:r>
              <w:rPr>
                <w:rFonts w:hint="eastAsia" w:eastAsia="宋体"/>
                <w:color w:val="000000"/>
                <w:lang w:eastAsia="zh-CN"/>
              </w:rPr>
            </w:r>
            <w:r/>
          </w:p>
        </w:tc>
        <w:tc>
          <w:tcPr>
            <w:tcW w:w="647" w:type="dxa"/>
            <w:vAlign w:val="center"/>
            <w:textDirection w:val="lrTb"/>
            <w:noWrap w:val="false"/>
          </w:tcPr>
          <w:p>
            <w:pPr>
              <w:pStyle w:val="954"/>
              <w:jc w:val="center"/>
              <w:spacing w:before="68" w:line="264" w:lineRule="auto"/>
              <w:rPr>
                <w:rFonts w:hint="eastAsia" w:ascii="宋体" w:hAnsi="宋体" w:cs="宋体"/>
                <w:color w:val="000000"/>
              </w:rPr>
            </w:pPr>
            <w:r>
              <w:rPr>
                <w:rFonts w:ascii="宋体" w:hAnsi="宋体" w:cs="宋体"/>
                <w:color w:val="000000"/>
              </w:rPr>
              <w:t xml:space="preserve">2</w:t>
            </w:r>
            <w:r>
              <w:rPr>
                <w:rFonts w:hint="eastAsia" w:ascii="宋体" w:hAnsi="宋体" w:cs="宋体"/>
                <w:color w:val="000000"/>
              </w:rPr>
            </w:r>
            <w:r/>
          </w:p>
        </w:tc>
        <w:tc>
          <w:tcPr>
            <w:tcW w:w="900" w:type="dxa"/>
            <w:vAlign w:val="center"/>
            <w:textDirection w:val="lrTb"/>
            <w:noWrap w:val="false"/>
          </w:tcPr>
          <w:p>
            <w:pPr>
              <w:pStyle w:val="954"/>
              <w:jc w:val="center"/>
              <w:spacing w:before="68" w:line="264" w:lineRule="auto"/>
              <w:rPr>
                <w:rFonts w:ascii="宋体" w:hAnsi="宋体" w:cs="宋体"/>
                <w:color w:val="000000"/>
                <w:spacing w:val="-6"/>
              </w:rPr>
            </w:pPr>
            <w:r>
              <w:rPr>
                <w:rFonts w:ascii="宋体" w:hAnsi="宋体" w:cs="宋体"/>
                <w:color w:val="000000"/>
                <w:spacing w:val="-6"/>
              </w:rPr>
              <w:t xml:space="preserve">客观分</w:t>
            </w:r>
            <w:r>
              <w:rPr>
                <w:rFonts w:ascii="宋体" w:hAnsi="宋体" w:cs="宋体"/>
                <w:color w:val="000000"/>
                <w:spacing w:val="-6"/>
              </w:rPr>
            </w:r>
            <w:r/>
          </w:p>
        </w:tc>
      </w:tr>
      <w:tr>
        <w:trPr>
          <w:trHeight w:val="269"/>
        </w:trPr>
        <w:tc>
          <w:tcPr>
            <w:gridSpan w:val="5"/>
            <w:tcW w:w="9575" w:type="dxa"/>
            <w:vAlign w:val="top"/>
            <w:textDirection w:val="lrTb"/>
            <w:noWrap w:val="false"/>
          </w:tcPr>
          <w:p>
            <w:pPr>
              <w:pStyle w:val="954"/>
              <w:spacing w:before="123" w:line="264" w:lineRule="auto"/>
              <w:rPr>
                <w:rFonts w:ascii="宋体" w:hAnsi="宋体" w:cs="宋体"/>
                <w:color w:val="000000"/>
              </w:rPr>
            </w:pPr>
            <w:r>
              <w:rPr>
                <w:rFonts w:hint="eastAsia" w:ascii="宋体" w:hAnsi="宋体" w:cs="宋体"/>
                <w:b/>
                <w:bCs/>
                <w:color w:val="000000"/>
                <w:spacing w:val="-3"/>
              </w:rPr>
              <w:t xml:space="preserve">4.履约能力</w:t>
            </w:r>
            <w:r>
              <w:rPr>
                <w:rFonts w:ascii="宋体" w:hAnsi="宋体" w:cs="宋体"/>
                <w:color w:val="000000"/>
              </w:rPr>
            </w:r>
            <w:r/>
          </w:p>
        </w:tc>
      </w:tr>
      <w:tr>
        <w:trPr>
          <w:trHeight w:val="387"/>
        </w:trPr>
        <w:tc>
          <w:tcPr>
            <w:tcW w:w="519" w:type="dxa"/>
            <w:vAlign w:val="center"/>
            <w:textDirection w:val="lrTb"/>
            <w:noWrap w:val="false"/>
          </w:tcPr>
          <w:p>
            <w:pPr>
              <w:pStyle w:val="954"/>
              <w:jc w:val="center"/>
              <w:spacing w:before="68" w:line="264" w:lineRule="auto"/>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.1</w:t>
            </w:r>
            <w:r>
              <w:rPr>
                <w:rFonts w:ascii="宋体" w:hAnsi="宋体" w:cs="宋体"/>
                <w:color w:val="000000"/>
                <w:spacing w:val="-2"/>
              </w:rPr>
            </w:r>
            <w:r/>
          </w:p>
        </w:tc>
        <w:tc>
          <w:tcPr>
            <w:tcW w:w="1179" w:type="dxa"/>
            <w:vAlign w:val="center"/>
            <w:textDirection w:val="lrTb"/>
            <w:noWrap w:val="false"/>
          </w:tcPr>
          <w:p>
            <w:pPr>
              <w:pStyle w:val="954"/>
              <w:spacing w:line="264" w:lineRule="auto"/>
              <w:rPr>
                <w:rFonts w:hint="eastAsia"/>
                <w:color w:val="000000"/>
              </w:rPr>
            </w:pPr>
            <w:r>
              <w:rPr>
                <w:rFonts w:hint="eastAsia"/>
                <w:color w:val="000000"/>
              </w:rPr>
              <w:t xml:space="preserve">履约能力1</w:t>
            </w:r>
            <w:r>
              <w:rPr>
                <w:rFonts w:hint="eastAsia"/>
                <w:color w:val="000000"/>
              </w:rPr>
            </w:r>
            <w:r/>
          </w:p>
        </w:tc>
        <w:tc>
          <w:tcPr>
            <w:tcW w:w="6330" w:type="dxa"/>
            <w:vAlign w:val="center"/>
            <w:textDirection w:val="lrTb"/>
            <w:noWrap w:val="false"/>
          </w:tcPr>
          <w:p>
            <w:pPr>
              <w:pStyle w:val="954"/>
              <w:rPr>
                <w:rFonts w:hint="eastAsia" w:ascii="宋体" w:hAnsi="宋体" w:cs="宋体"/>
                <w:color w:val="000000"/>
              </w:rPr>
            </w:pPr>
            <w:r>
              <w:rPr>
                <w:rFonts w:hint="eastAsia" w:ascii="宋体" w:hAnsi="宋体" w:cs="宋体"/>
                <w:color w:val="000000"/>
              </w:rPr>
              <w:t xml:space="preserve">拟投入本项目的项目经理：</w:t>
            </w:r>
            <w:r>
              <w:rPr>
                <w:rFonts w:hint="eastAsia"/>
                <w:color w:val="000000"/>
              </w:rPr>
              <w:t xml:space="preserve">具备省级人社部门颁发的高级工程师证书（信息与通信专业）、信息系统项目管理师证书的，每有一个得</w:t>
            </w:r>
            <w:r>
              <w:rPr>
                <w:color w:val="000000"/>
              </w:rPr>
              <w:t xml:space="preserve">2</w:t>
            </w:r>
            <w:r>
              <w:rPr>
                <w:rFonts w:hint="eastAsia"/>
                <w:color w:val="000000"/>
              </w:rPr>
              <w:t xml:space="preserve">分，共</w:t>
            </w:r>
            <w:r>
              <w:rPr>
                <w:color w:val="000000"/>
              </w:rPr>
              <w:t xml:space="preserve">4</w:t>
            </w:r>
            <w:r>
              <w:rPr>
                <w:rFonts w:hint="eastAsia"/>
                <w:color w:val="000000"/>
              </w:rPr>
              <w:t xml:space="preserve">分；</w:t>
            </w:r>
            <w:r>
              <w:rPr>
                <w:rFonts w:hint="eastAsia" w:ascii="宋体" w:hAnsi="宋体" w:cs="宋体"/>
                <w:color w:val="000000"/>
              </w:rPr>
            </w:r>
            <w:r/>
          </w:p>
          <w:p>
            <w:pPr>
              <w:pStyle w:val="954"/>
              <w:spacing w:line="264" w:lineRule="auto"/>
              <w:rPr>
                <w:color w:val="000000"/>
              </w:rPr>
            </w:pPr>
            <w:r>
              <w:rPr>
                <w:rFonts w:hint="eastAsia" w:ascii="宋体" w:hAnsi="宋体" w:cs="宋体"/>
                <w:color w:val="000000"/>
              </w:rPr>
              <w:t xml:space="preserve">（提供团队成员证书以及投标人为其缴纳的2026年1月以来任意一个月的社保证明材料，缺一不可）</w:t>
            </w:r>
            <w:r>
              <w:rPr>
                <w:color w:val="000000"/>
              </w:rPr>
            </w:r>
            <w:r/>
          </w:p>
        </w:tc>
        <w:tc>
          <w:tcPr>
            <w:tcW w:w="647" w:type="dxa"/>
            <w:vAlign w:val="center"/>
            <w:textDirection w:val="lrTb"/>
            <w:noWrap w:val="false"/>
          </w:tcPr>
          <w:p>
            <w:pPr>
              <w:pStyle w:val="954"/>
              <w:jc w:val="center"/>
              <w:spacing w:before="68" w:line="264" w:lineRule="auto"/>
              <w:rPr>
                <w:rFonts w:ascii="宋体" w:hAnsi="宋体" w:cs="宋体"/>
                <w:color w:val="000000"/>
              </w:rPr>
            </w:pPr>
            <w:r>
              <w:rPr>
                <w:rFonts w:ascii="宋体" w:hAnsi="宋体" w:cs="宋体"/>
                <w:color w:val="000000"/>
              </w:rPr>
              <w:t xml:space="preserve">4</w:t>
            </w:r>
            <w:r>
              <w:rPr>
                <w:rFonts w:ascii="宋体" w:hAnsi="宋体" w:cs="宋体"/>
                <w:color w:val="000000"/>
              </w:rPr>
            </w:r>
            <w:r/>
          </w:p>
        </w:tc>
        <w:tc>
          <w:tcPr>
            <w:tcW w:w="900" w:type="dxa"/>
            <w:vAlign w:val="center"/>
            <w:textDirection w:val="lrTb"/>
            <w:noWrap w:val="false"/>
          </w:tcPr>
          <w:p>
            <w:pPr>
              <w:pStyle w:val="954"/>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387"/>
        </w:trPr>
        <w:tc>
          <w:tcPr>
            <w:tcW w:w="519" w:type="dxa"/>
            <w:vAlign w:val="center"/>
            <w:textDirection w:val="lrTb"/>
            <w:noWrap w:val="false"/>
          </w:tcPr>
          <w:p>
            <w:pPr>
              <w:pStyle w:val="954"/>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.2</w:t>
            </w:r>
            <w:r>
              <w:rPr>
                <w:rFonts w:hint="eastAsia" w:ascii="宋体" w:hAnsi="宋体" w:cs="宋体"/>
                <w:color w:val="000000"/>
                <w:spacing w:val="-2"/>
              </w:rPr>
            </w:r>
            <w:r/>
          </w:p>
        </w:tc>
        <w:tc>
          <w:tcPr>
            <w:tcW w:w="1179" w:type="dxa"/>
            <w:vAlign w:val="center"/>
            <w:textDirection w:val="lrTb"/>
            <w:noWrap w:val="false"/>
          </w:tcPr>
          <w:p>
            <w:pPr>
              <w:pStyle w:val="954"/>
              <w:jc w:val="center"/>
              <w:rPr>
                <w:color w:val="000000"/>
              </w:rPr>
            </w:pPr>
            <w:r>
              <w:rPr>
                <w:rFonts w:hint="eastAsia"/>
                <w:color w:val="000000"/>
              </w:rPr>
              <w:t xml:space="preserve">履约能力 2</w:t>
            </w:r>
            <w:r>
              <w:rPr>
                <w:color w:val="000000"/>
              </w:rPr>
            </w:r>
            <w:r/>
          </w:p>
        </w:tc>
        <w:tc>
          <w:tcPr>
            <w:tcW w:w="6330" w:type="dxa"/>
            <w:vAlign w:val="center"/>
            <w:textDirection w:val="lrTb"/>
            <w:noWrap w:val="false"/>
          </w:tcPr>
          <w:p>
            <w:pPr>
              <w:pStyle w:val="954"/>
              <w:rPr>
                <w:rFonts w:hint="eastAsia" w:ascii="宋体" w:hAnsi="宋体" w:cs="宋体"/>
                <w:color w:val="000000"/>
              </w:rPr>
            </w:pPr>
            <w:r>
              <w:rPr>
                <w:rFonts w:hint="eastAsia" w:ascii="宋体" w:hAnsi="宋体" w:cs="宋体"/>
                <w:color w:val="000000"/>
              </w:rPr>
              <w:t xml:space="preserve">拟投入本项目的技术负责人：</w:t>
            </w:r>
            <w:r>
              <w:rPr>
                <w:rFonts w:hint="eastAsia"/>
                <w:color w:val="000000"/>
              </w:rPr>
              <w:t xml:space="preserve">具备省级人社部门颁发的高级工程师证书（信息与通信专业）、注册信息安全管理人员证书的，每有一个得</w:t>
            </w:r>
            <w:r>
              <w:rPr>
                <w:color w:val="000000"/>
              </w:rPr>
              <w:t xml:space="preserve">2</w:t>
            </w:r>
            <w:r>
              <w:rPr>
                <w:rFonts w:hint="eastAsia"/>
                <w:color w:val="000000"/>
              </w:rPr>
              <w:t xml:space="preserve">分，共</w:t>
            </w:r>
            <w:r>
              <w:rPr>
                <w:color w:val="000000"/>
              </w:rPr>
              <w:t xml:space="preserve">4</w:t>
            </w:r>
            <w:r>
              <w:rPr>
                <w:rFonts w:hint="eastAsia"/>
                <w:color w:val="000000"/>
              </w:rPr>
              <w:t xml:space="preserve">分；</w:t>
            </w:r>
            <w:r>
              <w:rPr>
                <w:rFonts w:hint="eastAsia" w:ascii="宋体" w:hAnsi="宋体" w:cs="宋体"/>
                <w:color w:val="000000"/>
              </w:rPr>
            </w:r>
            <w:r/>
          </w:p>
          <w:p>
            <w:pPr>
              <w:pStyle w:val="954"/>
              <w:rPr>
                <w:rFonts w:hint="eastAsia"/>
                <w:color w:val="000000"/>
              </w:rPr>
            </w:pPr>
            <w:r>
              <w:rPr>
                <w:rFonts w:ascii="宋体" w:hAnsi="宋体" w:cs="宋体"/>
                <w:color w:val="000000"/>
                <w:lang w:val="zh-CN"/>
              </w:rPr>
              <w:t xml:space="preserve">（提供</w:t>
            </w:r>
            <w:r>
              <w:rPr>
                <w:rFonts w:hint="eastAsia" w:ascii="宋体" w:hAnsi="宋体" w:cs="宋体"/>
                <w:color w:val="000000"/>
                <w:lang w:val="zh-CN"/>
              </w:rPr>
              <w:t xml:space="preserve">人员</w:t>
            </w:r>
            <w:r>
              <w:rPr>
                <w:rFonts w:ascii="宋体" w:hAnsi="宋体" w:cs="宋体"/>
                <w:color w:val="000000"/>
                <w:lang w:val="zh-CN"/>
              </w:rPr>
              <w:t xml:space="preserve">证书</w:t>
            </w:r>
            <w:r>
              <w:rPr>
                <w:rFonts w:hint="eastAsia" w:ascii="宋体" w:hAnsi="宋体" w:cs="宋体"/>
                <w:color w:val="000000"/>
              </w:rPr>
              <w:t xml:space="preserve">及投标人为其缴纳的2026年1月以来任意一个月的社保证明材料，缺一不可）</w:t>
            </w:r>
            <w:r>
              <w:rPr>
                <w:rFonts w:hint="eastAsia"/>
                <w:color w:val="000000"/>
              </w:rPr>
            </w:r>
            <w:r/>
          </w:p>
        </w:tc>
        <w:tc>
          <w:tcPr>
            <w:tcW w:w="647" w:type="dxa"/>
            <w:vAlign w:val="center"/>
            <w:textDirection w:val="lrTb"/>
            <w:noWrap w:val="false"/>
          </w:tcPr>
          <w:p>
            <w:pPr>
              <w:pStyle w:val="954"/>
              <w:jc w:val="center"/>
              <w:spacing w:before="68" w:line="264" w:lineRule="auto"/>
              <w:rPr>
                <w:rFonts w:hint="eastAsia" w:ascii="宋体" w:hAnsi="宋体" w:cs="宋体"/>
                <w:color w:val="000000"/>
              </w:rPr>
            </w:pPr>
            <w:r>
              <w:rPr>
                <w:rFonts w:ascii="宋体" w:hAnsi="宋体" w:cs="宋体"/>
                <w:color w:val="000000"/>
              </w:rPr>
              <w:t xml:space="preserve">4</w:t>
            </w:r>
            <w:r>
              <w:rPr>
                <w:rFonts w:hint="eastAsia" w:ascii="宋体" w:hAnsi="宋体" w:cs="宋体"/>
                <w:color w:val="000000"/>
              </w:rPr>
            </w:r>
            <w:r/>
          </w:p>
        </w:tc>
        <w:tc>
          <w:tcPr>
            <w:tcW w:w="900" w:type="dxa"/>
            <w:vAlign w:val="center"/>
            <w:textDirection w:val="lrTb"/>
            <w:noWrap w:val="false"/>
          </w:tcPr>
          <w:p>
            <w:pPr>
              <w:pStyle w:val="954"/>
              <w:jc w:val="center"/>
              <w:spacing w:before="68" w:line="264" w:lineRule="auto"/>
              <w:rPr>
                <w:rFonts w:hint="eastAsia" w:ascii="宋体" w:hAnsi="宋体" w:cs="宋体"/>
                <w:color w:val="000000"/>
                <w:spacing w:val="-6"/>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spacing w:val="-6"/>
              </w:rPr>
            </w:r>
            <w:r/>
          </w:p>
        </w:tc>
      </w:tr>
      <w:tr>
        <w:trPr>
          <w:trHeight w:val="387"/>
        </w:trPr>
        <w:tc>
          <w:tcPr>
            <w:tcW w:w="519" w:type="dxa"/>
            <w:vAlign w:val="center"/>
            <w:textDirection w:val="lrTb"/>
            <w:noWrap w:val="false"/>
          </w:tcPr>
          <w:p>
            <w:pPr>
              <w:pStyle w:val="954"/>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.3</w:t>
            </w:r>
            <w:r>
              <w:rPr>
                <w:rFonts w:hint="eastAsia" w:ascii="宋体" w:hAnsi="宋体" w:cs="宋体"/>
                <w:color w:val="000000"/>
                <w:spacing w:val="-2"/>
              </w:rPr>
            </w:r>
            <w:r/>
          </w:p>
        </w:tc>
        <w:tc>
          <w:tcPr>
            <w:tcW w:w="1179" w:type="dxa"/>
            <w:vAlign w:val="center"/>
            <w:textDirection w:val="lrTb"/>
            <w:noWrap w:val="false"/>
          </w:tcPr>
          <w:p>
            <w:pPr>
              <w:pStyle w:val="954"/>
              <w:jc w:val="center"/>
              <w:rPr>
                <w:color w:val="000000"/>
              </w:rPr>
            </w:pPr>
            <w:r>
              <w:rPr>
                <w:rFonts w:hint="eastAsia"/>
                <w:color w:val="000000"/>
              </w:rPr>
              <w:t xml:space="preserve">履约能力 3</w:t>
            </w:r>
            <w:r>
              <w:rPr>
                <w:color w:val="000000"/>
              </w:rPr>
            </w:r>
            <w:r/>
          </w:p>
        </w:tc>
        <w:tc>
          <w:tcPr>
            <w:tcW w:w="6330" w:type="dxa"/>
            <w:vAlign w:val="center"/>
            <w:textDirection w:val="lrTb"/>
            <w:noWrap w:val="false"/>
          </w:tcPr>
          <w:p>
            <w:pPr>
              <w:pStyle w:val="954"/>
              <w:rPr>
                <w:rFonts w:hint="eastAsia" w:ascii="宋体" w:hAnsi="宋体" w:cs="宋体"/>
                <w:color w:val="000000"/>
              </w:rPr>
            </w:pPr>
            <w:r>
              <w:rPr>
                <w:rFonts w:hint="eastAsia" w:ascii="宋体" w:hAnsi="宋体" w:cs="宋体"/>
                <w:color w:val="000000"/>
              </w:rPr>
              <w:t xml:space="preserve">项目实施团队能力（不含项目经理和技术负责人）：</w:t>
            </w:r>
            <w:r>
              <w:rPr>
                <w:rFonts w:hint="eastAsia" w:ascii="宋体" w:hAnsi="宋体" w:cs="宋体"/>
                <w:color w:val="000000"/>
              </w:rPr>
            </w:r>
            <w:r/>
          </w:p>
          <w:p>
            <w:pPr>
              <w:pStyle w:val="954"/>
              <w:rPr>
                <w:color w:val="000000"/>
              </w:rPr>
            </w:pPr>
            <w:r>
              <w:rPr>
                <w:rFonts w:hint="eastAsia"/>
                <w:color w:val="000000"/>
              </w:rPr>
              <w:t xml:space="preserve">团队成员具有</w:t>
            </w:r>
            <w:r>
              <w:rPr>
                <w:rFonts w:hint="eastAsia"/>
                <w:color w:val="000000"/>
              </w:rPr>
              <w:t xml:space="preserve">系统架构设计师证书、软件设计师证书、数据库系统工程师证书、网络工程师证书，每提供一项得1分，最高得</w:t>
            </w:r>
            <w:r>
              <w:rPr>
                <w:color w:val="000000"/>
              </w:rPr>
              <w:t xml:space="preserve">3</w:t>
            </w:r>
            <w:r>
              <w:rPr>
                <w:rFonts w:hint="eastAsia"/>
                <w:color w:val="000000"/>
              </w:rPr>
              <w:t xml:space="preserve">分。</w:t>
            </w:r>
            <w:r>
              <w:rPr>
                <w:color w:val="000000"/>
              </w:rPr>
            </w:r>
            <w:r/>
          </w:p>
          <w:p>
            <w:pPr>
              <w:pStyle w:val="954"/>
              <w:rPr>
                <w:rFonts w:hint="eastAsia"/>
                <w:color w:val="000000"/>
              </w:rPr>
            </w:pPr>
            <w:r>
              <w:rPr>
                <w:rFonts w:hint="eastAsia"/>
                <w:color w:val="000000"/>
              </w:rPr>
              <w:t xml:space="preserve">（一人多证或一证多人不重复得分，提供团队成员证书及投标人为其缴纳的2026年1月以来任意一个月的社保证明材料</w:t>
            </w:r>
            <w:r>
              <w:rPr>
                <w:rFonts w:hint="eastAsia" w:ascii="宋体" w:hAnsi="宋体" w:cs="宋体"/>
                <w:color w:val="000000"/>
              </w:rPr>
              <w:t xml:space="preserve">）</w:t>
            </w:r>
            <w:r>
              <w:rPr>
                <w:rFonts w:hint="eastAsia"/>
                <w:color w:val="000000"/>
              </w:rPr>
            </w:r>
            <w:r/>
          </w:p>
        </w:tc>
        <w:tc>
          <w:tcPr>
            <w:tcW w:w="647" w:type="dxa"/>
            <w:vAlign w:val="center"/>
            <w:textDirection w:val="lrTb"/>
            <w:noWrap w:val="false"/>
          </w:tcPr>
          <w:p>
            <w:pPr>
              <w:pStyle w:val="954"/>
              <w:jc w:val="center"/>
              <w:spacing w:before="68" w:line="264"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900" w:type="dxa"/>
            <w:vAlign w:val="center"/>
            <w:textDirection w:val="lrTb"/>
            <w:noWrap w:val="false"/>
          </w:tcPr>
          <w:p>
            <w:pPr>
              <w:pStyle w:val="954"/>
              <w:jc w:val="center"/>
              <w:spacing w:before="68" w:line="264" w:lineRule="auto"/>
              <w:rPr>
                <w:rFonts w:hint="eastAsia" w:ascii="宋体" w:hAnsi="宋体" w:cs="宋体"/>
                <w:color w:val="000000"/>
                <w:spacing w:val="-6"/>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spacing w:val="-6"/>
              </w:rPr>
            </w:r>
            <w:r/>
          </w:p>
        </w:tc>
      </w:tr>
      <w:tr>
        <w:trPr>
          <w:trHeight w:val="383"/>
        </w:trPr>
        <w:tc>
          <w:tcPr>
            <w:tcW w:w="519" w:type="dxa"/>
            <w:vAlign w:val="center"/>
            <w:textDirection w:val="lrTb"/>
            <w:noWrap w:val="false"/>
          </w:tcPr>
          <w:p>
            <w:pPr>
              <w:pStyle w:val="954"/>
              <w:jc w:val="center"/>
              <w:spacing w:before="68" w:line="264" w:lineRule="auto"/>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4</w:t>
            </w:r>
            <w:r>
              <w:rPr>
                <w:rFonts w:ascii="宋体" w:hAnsi="宋体" w:cs="宋体"/>
                <w:color w:val="000000"/>
                <w:spacing w:val="-2"/>
              </w:rPr>
            </w:r>
            <w:r/>
          </w:p>
        </w:tc>
        <w:tc>
          <w:tcPr>
            <w:tcW w:w="1179" w:type="dxa"/>
            <w:vAlign w:val="center"/>
            <w:textDirection w:val="lrTb"/>
            <w:noWrap w:val="false"/>
          </w:tcPr>
          <w:p>
            <w:pPr>
              <w:pStyle w:val="954"/>
              <w:spacing w:line="264" w:lineRule="auto"/>
              <w:rPr>
                <w:rFonts w:hint="eastAsia"/>
                <w:color w:val="000000"/>
              </w:rPr>
            </w:pPr>
            <w:r>
              <w:rPr>
                <w:rFonts w:hint="eastAsia"/>
                <w:color w:val="000000"/>
              </w:rPr>
              <w:t xml:space="preserve">履约能力</w:t>
            </w:r>
            <w:r>
              <w:rPr>
                <w:color w:val="000000"/>
              </w:rPr>
              <w:t xml:space="preserve">4</w:t>
            </w:r>
            <w:r>
              <w:rPr>
                <w:rFonts w:hint="eastAsia"/>
                <w:color w:val="000000"/>
              </w:rPr>
            </w:r>
            <w:r/>
          </w:p>
        </w:tc>
        <w:tc>
          <w:tcPr>
            <w:tcW w:w="6330" w:type="dxa"/>
            <w:vAlign w:val="center"/>
            <w:textDirection w:val="lrTb"/>
            <w:noWrap w:val="false"/>
          </w:tcPr>
          <w:p>
            <w:pPr>
              <w:pStyle w:val="954"/>
              <w:spacing w:line="264" w:lineRule="auto"/>
              <w:rPr>
                <w:rFonts w:hint="eastAsia" w:ascii="宋体" w:hAnsi="宋体" w:cs="宋体"/>
                <w:color w:val="000000"/>
              </w:rPr>
            </w:pPr>
            <w:r>
              <w:rPr>
                <w:rFonts w:hint="eastAsia" w:ascii="宋体" w:hAnsi="宋体" w:cs="宋体"/>
                <w:color w:val="000000"/>
              </w:rPr>
              <w:t xml:space="preserve">投标人具有本项目相关的软件著作权证书，包括</w:t>
            </w:r>
            <w:r>
              <w:rPr>
                <w:rFonts w:hint="eastAsia"/>
                <w:color w:val="000000"/>
              </w:rPr>
              <w:t xml:space="preserve">“综合资源管理”、“运维服务”、“综合监控”</w:t>
            </w:r>
            <w:r>
              <w:rPr>
                <w:rFonts w:hint="eastAsia" w:ascii="宋体" w:hAnsi="宋体" w:cs="宋体"/>
                <w:color w:val="000000"/>
              </w:rPr>
              <w:t xml:space="preserve">等，每提供1个证书得</w:t>
            </w:r>
            <w:r>
              <w:rPr>
                <w:rFonts w:ascii="宋体" w:hAnsi="宋体" w:cs="宋体"/>
                <w:color w:val="000000"/>
              </w:rPr>
              <w:t xml:space="preserve">2</w:t>
            </w:r>
            <w:r>
              <w:rPr>
                <w:rFonts w:hint="eastAsia" w:ascii="宋体" w:hAnsi="宋体" w:cs="宋体"/>
                <w:color w:val="000000"/>
              </w:rPr>
              <w:t xml:space="preserve">分，最多得4分。 </w:t>
            </w:r>
            <w:r>
              <w:rPr>
                <w:rFonts w:hint="eastAsia" w:ascii="宋体" w:hAnsi="宋体" w:cs="宋体"/>
                <w:color w:val="000000"/>
              </w:rPr>
            </w:r>
            <w:r/>
          </w:p>
          <w:p>
            <w:pPr>
              <w:pStyle w:val="954"/>
              <w:spacing w:line="264" w:lineRule="auto"/>
              <w:rPr>
                <w:rFonts w:hint="eastAsia"/>
                <w:color w:val="000000"/>
              </w:rPr>
            </w:pPr>
            <w:r>
              <w:rPr>
                <w:rFonts w:hint="eastAsia" w:ascii="宋体" w:hAnsi="宋体" w:cs="宋体"/>
                <w:color w:val="000000"/>
              </w:rPr>
              <w:t xml:space="preserve">（同类证书不重复得分，所提供证书</w:t>
            </w:r>
            <w:r>
              <w:rPr>
                <w:rFonts w:ascii="宋体" w:hAnsi="宋体" w:cs="宋体"/>
                <w:color w:val="000000"/>
              </w:rPr>
              <w:t xml:space="preserve">“</w:t>
            </w:r>
            <w:r>
              <w:rPr>
                <w:rFonts w:hint="eastAsia" w:ascii="宋体" w:hAnsi="宋体" w:cs="宋体"/>
                <w:color w:val="000000"/>
              </w:rPr>
              <w:t xml:space="preserve">软件名称</w:t>
            </w:r>
            <w:r>
              <w:rPr>
                <w:rFonts w:ascii="宋体" w:hAnsi="宋体" w:cs="宋体"/>
                <w:color w:val="000000"/>
              </w:rPr>
              <w:t xml:space="preserve">”</w:t>
            </w:r>
            <w:r>
              <w:rPr>
                <w:rFonts w:hint="eastAsia" w:ascii="宋体" w:hAnsi="宋体" w:cs="宋体"/>
                <w:color w:val="000000"/>
              </w:rPr>
              <w:t xml:space="preserve">与评分细则规定不同时，应提供符合上述要求的内容（功能）说明及关键信息，否则不予认可。）</w:t>
            </w:r>
            <w:r>
              <w:rPr>
                <w:rFonts w:hint="eastAsia"/>
                <w:color w:val="000000"/>
              </w:rPr>
            </w:r>
            <w:r/>
          </w:p>
        </w:tc>
        <w:tc>
          <w:tcPr>
            <w:tcW w:w="647" w:type="dxa"/>
            <w:vAlign w:val="center"/>
            <w:textDirection w:val="lrTb"/>
            <w:noWrap w:val="false"/>
          </w:tcPr>
          <w:p>
            <w:pPr>
              <w:pStyle w:val="954"/>
              <w:jc w:val="center"/>
              <w:spacing w:before="68" w:line="264" w:lineRule="auto"/>
              <w:rPr>
                <w:rFonts w:hint="eastAsia" w:ascii="宋体" w:hAnsi="宋体" w:cs="宋体"/>
                <w:color w:val="000000"/>
              </w:rPr>
            </w:pPr>
            <w:r>
              <w:rPr>
                <w:rFonts w:ascii="宋体" w:hAnsi="宋体" w:cs="宋体"/>
                <w:color w:val="000000"/>
              </w:rPr>
              <w:t xml:space="preserve">4</w:t>
            </w:r>
            <w:r>
              <w:rPr>
                <w:rFonts w:hint="eastAsia" w:ascii="宋体" w:hAnsi="宋体" w:cs="宋体"/>
                <w:color w:val="000000"/>
              </w:rPr>
            </w:r>
            <w:r/>
          </w:p>
        </w:tc>
        <w:tc>
          <w:tcPr>
            <w:tcW w:w="900" w:type="dxa"/>
            <w:vAlign w:val="center"/>
            <w:textDirection w:val="lrTb"/>
            <w:noWrap w:val="false"/>
          </w:tcPr>
          <w:p>
            <w:pPr>
              <w:pStyle w:val="954"/>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464"/>
        </w:trPr>
        <w:tc>
          <w:tcPr>
            <w:tcW w:w="519" w:type="dxa"/>
            <w:vAlign w:val="center"/>
            <w:textDirection w:val="lrTb"/>
            <w:noWrap w:val="false"/>
          </w:tcPr>
          <w:p>
            <w:pPr>
              <w:pStyle w:val="954"/>
              <w:jc w:val="center"/>
              <w:spacing w:line="264" w:lineRule="auto"/>
              <w:rPr>
                <w:color w:val="000000"/>
              </w:rPr>
            </w:pPr>
            <w:r>
              <w:rPr>
                <w:rFonts w:ascii="宋体" w:hAnsi="宋体" w:cs="宋体"/>
                <w:color w:val="000000"/>
                <w:spacing w:val="-3"/>
              </w:rPr>
              <w:t xml:space="preserve">合</w:t>
            </w:r>
            <w:r>
              <w:rPr>
                <w:rFonts w:ascii="宋体" w:hAnsi="宋体" w:cs="宋体"/>
                <w:color w:val="000000"/>
                <w:spacing w:val="-2"/>
              </w:rPr>
              <w:t xml:space="preserve">计</w:t>
            </w:r>
            <w:r>
              <w:rPr>
                <w:color w:val="000000"/>
              </w:rPr>
            </w:r>
            <w:r/>
          </w:p>
        </w:tc>
        <w:tc>
          <w:tcPr>
            <w:gridSpan w:val="2"/>
            <w:tcW w:w="7509" w:type="dxa"/>
            <w:vAlign w:val="center"/>
            <w:textDirection w:val="lrTb"/>
            <w:noWrap w:val="false"/>
          </w:tcPr>
          <w:p>
            <w:pPr>
              <w:pStyle w:val="954"/>
              <w:ind w:left="172"/>
              <w:jc w:val="center"/>
              <w:spacing w:before="123" w:line="264" w:lineRule="auto"/>
              <w:rPr>
                <w:rFonts w:ascii="宋体" w:hAnsi="宋体" w:cs="宋体"/>
                <w:color w:val="000000"/>
                <w:spacing w:val="-2"/>
              </w:rPr>
            </w:pPr>
            <w:r>
              <w:rPr>
                <w:rFonts w:ascii="宋体" w:hAnsi="宋体" w:cs="宋体"/>
                <w:color w:val="000000"/>
                <w:spacing w:val="-2"/>
              </w:rPr>
            </w:r>
            <w:r/>
          </w:p>
        </w:tc>
        <w:tc>
          <w:tcPr>
            <w:gridSpan w:val="2"/>
            <w:tcW w:w="1547" w:type="dxa"/>
            <w:vAlign w:val="center"/>
            <w:textDirection w:val="lrTb"/>
            <w:noWrap w:val="false"/>
          </w:tcPr>
          <w:p>
            <w:pPr>
              <w:pStyle w:val="954"/>
              <w:jc w:val="center"/>
              <w:spacing w:line="264" w:lineRule="auto"/>
              <w:rPr>
                <w:color w:val="000000"/>
              </w:rPr>
            </w:pPr>
            <w:r>
              <w:rPr>
                <w:rFonts w:ascii="宋体" w:hAnsi="宋体" w:cs="宋体"/>
                <w:color w:val="000000"/>
                <w:spacing w:val="-11"/>
              </w:rPr>
              <w:t xml:space="preserve">100分</w:t>
            </w:r>
            <w:r>
              <w:rPr>
                <w:color w:val="000000"/>
              </w:rPr>
            </w:r>
            <w:r/>
          </w:p>
        </w:tc>
      </w:tr>
    </w:tbl>
    <w:p>
      <w:pPr>
        <w:pStyle w:val="966"/>
        <w:rPr>
          <w:rFonts w:hint="eastAsia"/>
          <w:color w:val="000000"/>
          <w:lang w:eastAsia="zh-CN"/>
        </w:rPr>
      </w:pPr>
      <w:r>
        <w:rPr>
          <w:rFonts w:hint="eastAsia"/>
          <w:color w:val="000000"/>
          <w:lang w:eastAsia="zh-CN"/>
        </w:rPr>
      </w:r>
      <w:r/>
    </w:p>
    <w:p>
      <w:pPr>
        <w:pStyle w:val="954"/>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954"/>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954"/>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1033"/>
        <w:rPr>
          <w:rFonts w:hint="eastAsia"/>
          <w:color w:val="000000"/>
          <w:highlight w:val="none"/>
        </w:rPr>
      </w:pPr>
      <w:r>
        <w:rPr>
          <w:rFonts w:hint="eastAsia"/>
          <w:color w:val="000000"/>
          <w:highlight w:val="none"/>
        </w:rPr>
      </w:r>
      <w:r/>
    </w:p>
    <w:p>
      <w:pPr>
        <w:pStyle w:val="954"/>
        <w:rPr>
          <w:rFonts w:hint="eastAsia"/>
          <w:color w:val="000000"/>
          <w:highlight w:val="none"/>
        </w:rPr>
      </w:pPr>
      <w:r>
        <w:rPr>
          <w:rFonts w:hint="eastAsia"/>
          <w:color w:val="000000"/>
          <w:highlight w:val="none"/>
        </w:rPr>
      </w:r>
      <w:r/>
    </w:p>
    <w:p>
      <w:pPr>
        <w:pStyle w:val="1033"/>
        <w:rPr>
          <w:rFonts w:hint="eastAsia"/>
          <w:color w:val="000000"/>
          <w:highlight w:val="none"/>
        </w:rPr>
      </w:pPr>
      <w:r>
        <w:rPr>
          <w:rFonts w:hint="eastAsia"/>
          <w:color w:val="000000"/>
          <w:highlight w:val="none"/>
        </w:rPr>
      </w:r>
      <w:r/>
    </w:p>
    <w:p>
      <w:pPr>
        <w:pStyle w:val="954"/>
        <w:rPr>
          <w:rFonts w:hint="eastAsia"/>
          <w:color w:val="000000"/>
          <w:highlight w:val="none"/>
        </w:rPr>
      </w:pPr>
      <w:r>
        <w:rPr>
          <w:rFonts w:hint="eastAsia"/>
          <w:color w:val="000000"/>
          <w:highlight w:val="none"/>
        </w:rPr>
      </w:r>
      <w:r/>
    </w:p>
    <w:p>
      <w:pPr>
        <w:pStyle w:val="1033"/>
        <w:rPr>
          <w:rFonts w:hint="eastAsia"/>
          <w:color w:val="000000"/>
          <w:highlight w:val="none"/>
        </w:rPr>
      </w:pPr>
      <w:r>
        <w:rPr>
          <w:rFonts w:hint="eastAsia"/>
          <w:color w:val="000000"/>
          <w:highlight w:val="none"/>
        </w:rPr>
      </w:r>
      <w:r/>
    </w:p>
    <w:p>
      <w:pPr>
        <w:pStyle w:val="954"/>
        <w:rPr>
          <w:rFonts w:hint="eastAsia"/>
          <w:color w:val="000000"/>
          <w:highlight w:val="none"/>
        </w:rPr>
      </w:pPr>
      <w:r>
        <w:rPr>
          <w:rFonts w:hint="eastAsia"/>
          <w:color w:val="000000"/>
          <w:highlight w:val="none"/>
        </w:rPr>
      </w:r>
      <w:r/>
    </w:p>
    <w:p>
      <w:pPr>
        <w:pStyle w:val="1033"/>
        <w:rPr>
          <w:rFonts w:hint="eastAsia"/>
          <w:color w:val="000000"/>
          <w:highlight w:val="none"/>
        </w:rPr>
      </w:pPr>
      <w:r>
        <w:rPr>
          <w:rFonts w:hint="eastAsia"/>
          <w:color w:val="000000"/>
          <w:highlight w:val="none"/>
        </w:rPr>
      </w:r>
      <w:r/>
    </w:p>
    <w:p>
      <w:pPr>
        <w:pStyle w:val="954"/>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57"/>
      <w:r/>
      <w:bookmarkEnd w:id="58"/>
      <w:r/>
      <w:bookmarkEnd w:id="59"/>
      <w:r>
        <w:rPr>
          <w:rFonts w:hint="eastAsia" w:ascii="方正小标宋简体" w:hAnsi="方正小标宋简体" w:eastAsia="方正小标宋简体" w:cs="方正小标宋简体"/>
          <w:color w:val="000000"/>
          <w:sz w:val="36"/>
          <w:szCs w:val="36"/>
          <w:highlight w:val="none"/>
          <w:lang w:val="en-US" w:eastAsia="zh-CN"/>
        </w:rPr>
        <w:t xml:space="preserve">文件格式</w:t>
      </w:r>
      <w:r>
        <w:rPr>
          <w:rFonts w:hint="eastAsia" w:ascii="方正小标宋简体" w:hAnsi="方正小标宋简体" w:eastAsia="方正小标宋简体" w:cs="方正小标宋简体"/>
          <w:color w:val="000000"/>
          <w:sz w:val="36"/>
          <w:szCs w:val="36"/>
          <w:highlight w:val="none"/>
          <w:lang w:val="en-US" w:eastAsia="zh-CN"/>
        </w:rPr>
      </w:r>
      <w:r/>
    </w:p>
    <w:p>
      <w:pPr>
        <w:pStyle w:val="954"/>
        <w:jc w:val="center"/>
        <w:rPr>
          <w:rFonts w:hint="eastAsia" w:ascii="宋体" w:hAnsi="宋体"/>
          <w:b/>
          <w:color w:val="000000"/>
          <w:sz w:val="72"/>
          <w:highlight w:val="none"/>
        </w:rPr>
      </w:pPr>
      <w:r/>
      <w:bookmarkStart w:id="61" w:name="_Toc49090576"/>
      <w:r/>
      <w:bookmarkStart w:id="62" w:name="_Toc26554094"/>
      <w:r/>
      <w:bookmarkStart w:id="63" w:name="_Toc120614282"/>
      <w:r/>
      <w:bookmarkStart w:id="64" w:name="_Hlt26955039"/>
      <w:r/>
      <w:bookmarkEnd w:id="64"/>
      <w:r/>
      <w:bookmarkStart w:id="65" w:name="_Hlt26671244"/>
      <w:r/>
      <w:bookmarkEnd w:id="65"/>
      <w:r>
        <w:rPr>
          <w:rFonts w:hint="eastAsia" w:ascii="宋体" w:hAnsi="宋体"/>
          <w:b/>
          <w:color w:val="000000"/>
          <w:sz w:val="72"/>
          <w:highlight w:val="none"/>
        </w:rPr>
      </w:r>
      <w:r/>
    </w:p>
    <w:p>
      <w:pPr>
        <w:pStyle w:val="954"/>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954"/>
        <w:jc w:val="center"/>
        <w:rPr>
          <w:rFonts w:hint="eastAsia" w:ascii="宋体" w:hAnsi="宋体"/>
          <w:b/>
          <w:color w:val="000000"/>
          <w:sz w:val="72"/>
          <w:highlight w:val="none"/>
        </w:rPr>
      </w:pPr>
      <w:r>
        <w:rPr>
          <w:rFonts w:hint="eastAsia" w:ascii="宋体" w:hAnsi="宋体"/>
          <w:b/>
          <w:color w:val="000000"/>
          <w:sz w:val="72"/>
          <w:highlight w:val="none"/>
        </w:rPr>
      </w:r>
      <w:r/>
    </w:p>
    <w:p>
      <w:pPr>
        <w:pStyle w:val="954"/>
        <w:jc w:val="center"/>
        <w:rPr>
          <w:rFonts w:hint="eastAsia" w:ascii="宋体" w:hAnsi="宋体"/>
          <w:b/>
          <w:color w:val="000000"/>
          <w:sz w:val="72"/>
          <w:highlight w:val="none"/>
        </w:rPr>
      </w:pPr>
      <w:r>
        <w:rPr>
          <w:rFonts w:hint="eastAsia" w:ascii="宋体" w:hAnsi="宋体"/>
          <w:b/>
          <w:color w:val="000000"/>
          <w:sz w:val="72"/>
          <w:highlight w:val="none"/>
        </w:rPr>
      </w:r>
      <w:r/>
    </w:p>
    <w:p>
      <w:pPr>
        <w:pStyle w:val="954"/>
        <w:jc w:val="center"/>
        <w:rPr>
          <w:rFonts w:hint="eastAsia" w:ascii="宋体" w:hAnsi="宋体"/>
          <w:b/>
          <w:color w:val="000000"/>
          <w:sz w:val="36"/>
          <w:highlight w:val="none"/>
        </w:rPr>
      </w:pPr>
      <w:r>
        <w:rPr>
          <w:rFonts w:hint="eastAsia" w:ascii="宋体" w:hAnsi="宋体"/>
          <w:b/>
          <w:color w:val="000000"/>
          <w:sz w:val="36"/>
          <w:highlight w:val="none"/>
        </w:rPr>
      </w:r>
      <w:r/>
    </w:p>
    <w:p>
      <w:pPr>
        <w:pStyle w:val="954"/>
        <w:jc w:val="center"/>
        <w:rPr>
          <w:rFonts w:hint="eastAsia" w:ascii="宋体" w:hAnsi="宋体"/>
          <w:b/>
          <w:color w:val="000000"/>
          <w:sz w:val="36"/>
          <w:highlight w:val="none"/>
        </w:rPr>
      </w:pPr>
      <w:r>
        <w:rPr>
          <w:rFonts w:hint="eastAsia" w:ascii="宋体" w:hAnsi="宋体"/>
          <w:b/>
          <w:color w:val="000000"/>
          <w:sz w:val="36"/>
          <w:highlight w:val="none"/>
        </w:rPr>
      </w:r>
      <w:r/>
    </w:p>
    <w:p>
      <w:pPr>
        <w:pStyle w:val="954"/>
        <w:jc w:val="center"/>
        <w:rPr>
          <w:rFonts w:hint="eastAsia" w:ascii="宋体" w:hAnsi="宋体"/>
          <w:b/>
          <w:color w:val="000000"/>
          <w:sz w:val="36"/>
          <w:highlight w:val="none"/>
        </w:rPr>
      </w:pPr>
      <w:r>
        <w:rPr>
          <w:rFonts w:hint="eastAsia" w:ascii="宋体" w:hAnsi="宋体"/>
          <w:b/>
          <w:color w:val="000000"/>
          <w:sz w:val="36"/>
          <w:highlight w:val="none"/>
        </w:rPr>
      </w:r>
      <w:r/>
    </w:p>
    <w:p>
      <w:pPr>
        <w:pStyle w:val="954"/>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954"/>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95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95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95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4"/>
        <w:spacing w:line="440" w:lineRule="exact"/>
        <w:rPr>
          <w:rFonts w:ascii="宋体" w:hAnsi="宋体"/>
          <w:color w:val="000000"/>
          <w:highlight w:val="none"/>
        </w:rPr>
      </w:pPr>
      <w:r>
        <w:rPr>
          <w:rFonts w:ascii="宋体" w:hAnsi="宋体"/>
          <w:color w:val="000000"/>
          <w:highlight w:val="none"/>
        </w:rPr>
      </w:r>
      <w:r/>
    </w:p>
    <w:p>
      <w:pPr>
        <w:pStyle w:val="954"/>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宋体" w:hAnsi="宋体"/>
          <w:b/>
          <w:bCs/>
          <w:color w:val="000000"/>
          <w:sz w:val="32"/>
          <w:szCs w:val="32"/>
          <w:highlight w:val="none"/>
        </w:rPr>
      </w:r>
      <w:r/>
    </w:p>
    <w:p>
      <w:pPr>
        <w:pStyle w:val="954"/>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954"/>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cs="宋体"/>
          <w:color w:val="000000"/>
          <w:sz w:val="28"/>
          <w:szCs w:val="28"/>
          <w:highlight w:val="none"/>
        </w:rPr>
      </w:r>
      <w:r/>
    </w:p>
    <w:p>
      <w:pPr>
        <w:pStyle w:val="954"/>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、投标函</w:t>
      </w:r>
      <w:r>
        <w:rPr>
          <w:rFonts w:hint="eastAsia" w:ascii="宋体" w:hAnsi="宋体" w:cs="宋体"/>
          <w:color w:val="000000"/>
          <w:sz w:val="28"/>
          <w:szCs w:val="28"/>
          <w:highlight w:val="none"/>
        </w:rPr>
      </w:r>
      <w:r/>
    </w:p>
    <w:p>
      <w:pPr>
        <w:pStyle w:val="954"/>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954"/>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五</w:t>
      </w:r>
      <w:r>
        <w:rPr>
          <w:rFonts w:hint="eastAsia" w:ascii="宋体" w:hAnsi="宋体" w:cs="宋体"/>
          <w:color w:val="000000"/>
          <w:sz w:val="28"/>
          <w:szCs w:val="28"/>
          <w:highlight w:val="none"/>
        </w:rPr>
        <w:t xml:space="preserve">、投标分项报价表（如有）</w:t>
      </w:r>
      <w:r>
        <w:rPr>
          <w:rFonts w:hint="eastAsia" w:ascii="宋体" w:hAnsi="宋体" w:cs="宋体"/>
          <w:color w:val="000000"/>
          <w:sz w:val="28"/>
          <w:szCs w:val="28"/>
          <w:highlight w:val="none"/>
        </w:rPr>
      </w:r>
      <w:r/>
    </w:p>
    <w:p>
      <w:pPr>
        <w:pStyle w:val="954"/>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六</w:t>
      </w:r>
      <w:r>
        <w:rPr>
          <w:rFonts w:hint="eastAsia" w:ascii="宋体" w:hAnsi="宋体" w:cs="宋体"/>
          <w:color w:val="000000"/>
          <w:sz w:val="28"/>
          <w:szCs w:val="28"/>
          <w:highlight w:val="none"/>
        </w:rPr>
        <w:t xml:space="preserve">、技术要求响应及偏离表</w:t>
      </w:r>
      <w:r>
        <w:rPr>
          <w:rFonts w:hint="eastAsia" w:ascii="宋体" w:hAnsi="宋体" w:cs="宋体"/>
          <w:color w:val="000000"/>
          <w:sz w:val="28"/>
          <w:szCs w:val="28"/>
          <w:highlight w:val="none"/>
        </w:rPr>
      </w:r>
      <w:r/>
    </w:p>
    <w:p>
      <w:pPr>
        <w:pStyle w:val="954"/>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七</w:t>
      </w:r>
      <w:r>
        <w:rPr>
          <w:rFonts w:hint="eastAsia" w:ascii="宋体" w:hAnsi="宋体" w:cs="宋体"/>
          <w:color w:val="000000"/>
          <w:sz w:val="28"/>
          <w:szCs w:val="28"/>
          <w:highlight w:val="none"/>
        </w:rPr>
        <w:t xml:space="preserve">、商务要求响应及偏离表</w:t>
      </w:r>
      <w:r>
        <w:rPr>
          <w:rFonts w:hint="eastAsia" w:ascii="宋体" w:hAnsi="宋体" w:cs="宋体"/>
          <w:color w:val="000000"/>
          <w:sz w:val="28"/>
          <w:szCs w:val="28"/>
          <w:highlight w:val="none"/>
        </w:rPr>
      </w:r>
      <w:r/>
    </w:p>
    <w:p>
      <w:pPr>
        <w:pStyle w:val="954"/>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八</w:t>
      </w:r>
      <w:r>
        <w:rPr>
          <w:rFonts w:hint="eastAsia" w:ascii="宋体" w:hAnsi="宋体" w:cs="宋体"/>
          <w:color w:val="000000"/>
          <w:sz w:val="28"/>
          <w:szCs w:val="28"/>
          <w:highlight w:val="none"/>
        </w:rPr>
        <w:t xml:space="preserve">、中小企业声明函（如有）</w:t>
      </w:r>
      <w:r>
        <w:rPr>
          <w:rFonts w:hint="eastAsia" w:ascii="宋体" w:hAnsi="宋体" w:cs="宋体"/>
          <w:color w:val="000000"/>
          <w:sz w:val="28"/>
          <w:szCs w:val="28"/>
          <w:highlight w:val="none"/>
        </w:rPr>
      </w:r>
      <w:r/>
    </w:p>
    <w:p>
      <w:pPr>
        <w:pStyle w:val="954"/>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九</w:t>
      </w:r>
      <w:r>
        <w:rPr>
          <w:rFonts w:hint="eastAsia" w:ascii="宋体" w:hAnsi="宋体" w:cs="宋体"/>
          <w:color w:val="000000"/>
          <w:sz w:val="28"/>
          <w:szCs w:val="28"/>
          <w:highlight w:val="none"/>
        </w:rPr>
        <w:t xml:space="preserve">、残疾人福利性单位声明函（如有）</w:t>
      </w:r>
      <w:r>
        <w:rPr>
          <w:rFonts w:hint="eastAsia" w:ascii="宋体" w:hAnsi="宋体" w:cs="宋体"/>
          <w:color w:val="000000"/>
          <w:sz w:val="28"/>
          <w:szCs w:val="28"/>
          <w:highlight w:val="none"/>
        </w:rPr>
      </w:r>
      <w:r/>
    </w:p>
    <w:p>
      <w:pPr>
        <w:pStyle w:val="95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95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954"/>
        <w:ind w:firstLine="480"/>
        <w:spacing w:line="440" w:lineRule="exact"/>
        <w:rPr>
          <w:rFonts w:ascii="宋体" w:hAnsi="宋体"/>
          <w:color w:val="000000"/>
          <w:sz w:val="24"/>
          <w:highlight w:val="none"/>
        </w:rPr>
      </w:pPr>
      <w:r>
        <w:rPr>
          <w:rFonts w:ascii="宋体" w:hAnsi="宋体"/>
          <w:color w:val="000000"/>
          <w:sz w:val="24"/>
          <w:highlight w:val="none"/>
        </w:rPr>
      </w:r>
      <w:r/>
    </w:p>
    <w:p>
      <w:pPr>
        <w:pStyle w:val="954"/>
        <w:ind w:firstLine="480"/>
        <w:spacing w:line="440" w:lineRule="exact"/>
        <w:rPr>
          <w:rFonts w:ascii="宋体" w:hAnsi="宋体"/>
          <w:color w:val="000000"/>
          <w:sz w:val="24"/>
          <w:highlight w:val="none"/>
        </w:rPr>
      </w:pPr>
      <w:r>
        <w:rPr>
          <w:rFonts w:ascii="宋体" w:hAnsi="宋体"/>
          <w:color w:val="000000"/>
          <w:sz w:val="24"/>
          <w:highlight w:val="none"/>
        </w:rPr>
      </w:r>
      <w:r/>
    </w:p>
    <w:p>
      <w:pPr>
        <w:pStyle w:val="1039"/>
        <w:rPr>
          <w:rFonts w:ascii="宋体" w:hAnsi="宋体"/>
          <w:color w:val="000000"/>
          <w:sz w:val="24"/>
          <w:highlight w:val="none"/>
        </w:rPr>
      </w:pPr>
      <w:r>
        <w:rPr>
          <w:rFonts w:ascii="宋体" w:hAnsi="宋体"/>
          <w:color w:val="000000"/>
          <w:sz w:val="24"/>
          <w:highlight w:val="none"/>
        </w:rPr>
      </w:r>
      <w:r/>
    </w:p>
    <w:p>
      <w:pPr>
        <w:pStyle w:val="1039"/>
        <w:rPr>
          <w:rFonts w:ascii="宋体" w:hAnsi="宋体"/>
          <w:color w:val="000000"/>
          <w:sz w:val="24"/>
          <w:highlight w:val="none"/>
        </w:rPr>
      </w:pPr>
      <w:r>
        <w:rPr>
          <w:rFonts w:ascii="宋体" w:hAnsi="宋体"/>
          <w:color w:val="000000"/>
          <w:sz w:val="24"/>
          <w:highlight w:val="none"/>
        </w:rPr>
      </w:r>
      <w:r/>
    </w:p>
    <w:p>
      <w:pPr>
        <w:pStyle w:val="1039"/>
        <w:rPr>
          <w:rFonts w:ascii="宋体" w:hAnsi="宋体"/>
          <w:color w:val="000000"/>
          <w:sz w:val="24"/>
          <w:highlight w:val="none"/>
        </w:rPr>
      </w:pPr>
      <w:r>
        <w:rPr>
          <w:rFonts w:ascii="宋体" w:hAnsi="宋体"/>
          <w:color w:val="000000"/>
          <w:sz w:val="24"/>
          <w:highlight w:val="none"/>
        </w:rPr>
      </w:r>
      <w:r/>
    </w:p>
    <w:p>
      <w:pPr>
        <w:pStyle w:val="1039"/>
        <w:rPr>
          <w:rFonts w:ascii="宋体" w:hAnsi="宋体"/>
          <w:color w:val="000000"/>
          <w:sz w:val="24"/>
          <w:highlight w:val="none"/>
        </w:rPr>
      </w:pPr>
      <w:r>
        <w:rPr>
          <w:rFonts w:ascii="宋体" w:hAnsi="宋体"/>
          <w:color w:val="000000"/>
          <w:sz w:val="24"/>
          <w:highlight w:val="none"/>
        </w:rPr>
      </w:r>
      <w:r/>
    </w:p>
    <w:p>
      <w:pPr>
        <w:pStyle w:val="1039"/>
        <w:rPr>
          <w:rFonts w:ascii="宋体" w:hAnsi="宋体"/>
          <w:color w:val="000000"/>
          <w:sz w:val="24"/>
          <w:highlight w:val="none"/>
        </w:rPr>
      </w:pPr>
      <w:r>
        <w:rPr>
          <w:rFonts w:ascii="宋体" w:hAnsi="宋体"/>
          <w:color w:val="000000"/>
          <w:sz w:val="24"/>
          <w:highlight w:val="none"/>
        </w:rPr>
      </w:r>
      <w:r/>
    </w:p>
    <w:p>
      <w:pPr>
        <w:pStyle w:val="954"/>
        <w:ind w:firstLine="480"/>
        <w:spacing w:line="440" w:lineRule="exact"/>
        <w:rPr>
          <w:rFonts w:ascii="宋体" w:hAnsi="宋体"/>
          <w:color w:val="000000"/>
          <w:sz w:val="24"/>
          <w:highlight w:val="none"/>
        </w:rPr>
      </w:pPr>
      <w:r>
        <w:rPr>
          <w:rFonts w:ascii="宋体" w:hAnsi="宋体"/>
          <w:color w:val="000000"/>
          <w:sz w:val="24"/>
          <w:highlight w:val="none"/>
        </w:rPr>
      </w:r>
      <w:r/>
    </w:p>
    <w:p>
      <w:pPr>
        <w:pStyle w:val="954"/>
        <w:jc w:val="left"/>
        <w:spacing w:line="360" w:lineRule="auto"/>
        <w:rPr>
          <w:rFonts w:hint="eastAsia" w:ascii="黑体" w:hAnsi="黑体" w:eastAsia="黑体" w:cs="Times New Roman"/>
          <w:i w:val="0"/>
          <w:color w:val="000000"/>
          <w:sz w:val="32"/>
          <w:szCs w:val="32"/>
          <w:highlight w:val="none"/>
          <w:u w:val="none"/>
          <w:lang w:val="en-US" w:eastAsia="zh-CN"/>
        </w:rPr>
      </w:pPr>
      <w:r/>
      <w:bookmarkEnd w:id="61"/>
      <w:r/>
      <w:bookmarkEnd w:id="62"/>
      <w:r/>
      <w:bookmarkEnd w:id="63"/>
      <w:r/>
      <w:bookmarkStart w:id="66" w:name="_Toc120614284"/>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954"/>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954"/>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954"/>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954"/>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954"/>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954"/>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954"/>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54"/>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954"/>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54"/>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954"/>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54"/>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54"/>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54"/>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54"/>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954"/>
        <w:ind w:firstLine="492"/>
        <w:spacing w:line="460" w:lineRule="exact"/>
        <w:rPr>
          <w:color w:val="000000"/>
          <w:sz w:val="24"/>
          <w:szCs w:val="24"/>
          <w:highlight w:val="none"/>
        </w:rPr>
      </w:pPr>
      <w:r>
        <w:rPr>
          <w:color w:val="000000"/>
          <w:sz w:val="24"/>
          <w:szCs w:val="24"/>
          <w:highlight w:val="none"/>
        </w:rPr>
      </w:r>
      <w:r/>
    </w:p>
    <w:p>
      <w:pPr>
        <w:pStyle w:val="1076"/>
        <w:rPr>
          <w:color w:val="000000"/>
          <w:sz w:val="24"/>
          <w:szCs w:val="24"/>
          <w:highlight w:val="none"/>
        </w:rPr>
      </w:pPr>
      <w:r>
        <w:rPr>
          <w:color w:val="000000"/>
          <w:sz w:val="24"/>
          <w:szCs w:val="24"/>
          <w:highlight w:val="none"/>
        </w:rPr>
      </w:r>
      <w:r/>
    </w:p>
    <w:p>
      <w:pPr>
        <w:pStyle w:val="954"/>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54"/>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54"/>
        <w:rPr>
          <w:color w:val="000000"/>
          <w:sz w:val="24"/>
          <w:szCs w:val="24"/>
          <w:highlight w:val="none"/>
        </w:rPr>
      </w:pPr>
      <w:r>
        <w:rPr>
          <w:color w:val="000000"/>
          <w:sz w:val="24"/>
          <w:szCs w:val="24"/>
          <w:highlight w:val="none"/>
        </w:rPr>
      </w:r>
      <w:r/>
    </w:p>
    <w:p>
      <w:pPr>
        <w:pStyle w:val="954"/>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54"/>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954"/>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48"/>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04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104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1048"/>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1048"/>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rPr>
          <w:rFonts w:hint="eastAsia" w:ascii="Times New Roman" w:hAnsi="Times New Roman" w:eastAsia="宋体" w:cs="Times New Roman"/>
          <w:i w:val="0"/>
          <w:color w:val="000000"/>
          <w:sz w:val="24"/>
          <w:szCs w:val="24"/>
          <w:highlight w:val="none"/>
          <w:u w:val="none"/>
        </w:rPr>
      </w:r>
      <w:r/>
    </w:p>
    <w:p>
      <w:pPr>
        <w:pStyle w:val="1048"/>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1048"/>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1048"/>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1048"/>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973"/>
        <w:ind w:firstLine="0"/>
        <w:rPr>
          <w:rFonts w:hint="eastAsia"/>
          <w:color w:val="000000"/>
          <w:highlight w:val="none"/>
        </w:rPr>
      </w:pPr>
      <w:r>
        <w:rPr>
          <w:rFonts w:hint="eastAsia"/>
          <w:color w:val="000000"/>
          <w:highlight w:val="none"/>
        </w:rPr>
      </w:r>
      <w:r/>
    </w:p>
    <w:p>
      <w:pPr>
        <w:pStyle w:val="1048"/>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1048"/>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1048"/>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1048"/>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1048"/>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1048"/>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1048"/>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rPr>
          <w:rFonts w:hint="eastAsia" w:ascii="Times New Roman" w:hAnsi="Times New Roman" w:eastAsia="宋体" w:cs="Times New Roman"/>
          <w:b/>
          <w:bCs/>
          <w:color w:val="000000"/>
          <w:sz w:val="24"/>
          <w:szCs w:val="24"/>
          <w:highlight w:val="none"/>
          <w:u w:val="none"/>
          <w:lang w:val="en-US" w:eastAsia="zh-CN"/>
        </w:rPr>
      </w:r>
      <w:r/>
    </w:p>
    <w:p>
      <w:pPr>
        <w:pStyle w:val="954"/>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楷体" w:hAnsi="楷体" w:eastAsia="楷体"/>
          <w:bCs/>
          <w:color w:val="000000"/>
          <w:sz w:val="24"/>
          <w:szCs w:val="24"/>
          <w:highlight w:val="none"/>
        </w:rPr>
        <w:br w:type="page" w:clear="all"/>
      </w:r>
      <w:r>
        <w:rPr>
          <w:rFonts w:hint="eastAsia" w:ascii="黑体" w:hAnsi="黑体" w:eastAsia="黑体" w:cs="Times New Roman"/>
          <w:i w:val="0"/>
          <w:color w:val="000000"/>
          <w:sz w:val="32"/>
          <w:szCs w:val="32"/>
          <w:highlight w:val="none"/>
          <w:u w:val="none"/>
          <w:lang w:val="en-US" w:eastAsia="zh-CN"/>
        </w:rPr>
        <w:t xml:space="preserve">三、投标函</w:t>
      </w:r>
      <w:r>
        <w:rPr>
          <w:rFonts w:hint="eastAsia" w:ascii="黑体" w:hAnsi="黑体" w:eastAsia="黑体" w:cs="Times New Roman"/>
          <w:i w:val="0"/>
          <w:color w:val="000000"/>
          <w:sz w:val="32"/>
          <w:szCs w:val="32"/>
          <w:highlight w:val="none"/>
          <w:u w:val="none"/>
          <w:lang w:eastAsia="zh-CN"/>
        </w:rPr>
      </w:r>
      <w:r/>
    </w:p>
    <w:p>
      <w:pPr>
        <w:pStyle w:val="954"/>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50"/>
        <w:ind w:firstLine="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rPr>
          <w:rFonts w:hint="eastAsia" w:ascii="宋体" w:hAnsi="宋体"/>
          <w:color w:val="000000"/>
          <w:szCs w:val="21"/>
          <w:highlight w:val="none"/>
          <w:lang w:eastAsia="zh-CN"/>
        </w:rPr>
      </w:r>
      <w:r/>
    </w:p>
    <w:p>
      <w:pPr>
        <w:pStyle w:val="1050"/>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5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w:t>
      </w:r>
      <w:r>
        <w:rPr>
          <w:rFonts w:hint="eastAsia" w:ascii="宋体" w:hAnsi="宋体"/>
          <w:color w:val="000000"/>
          <w:szCs w:val="21"/>
          <w:highlight w:val="none"/>
        </w:rPr>
        <w:t xml:space="preserve">贵</w:t>
      </w:r>
      <w:r>
        <w:rPr>
          <w:rFonts w:hint="eastAsia" w:ascii="宋体" w:hAnsi="宋体"/>
          <w:color w:val="000000"/>
          <w:szCs w:val="21"/>
          <w:highlight w:val="none"/>
        </w:rPr>
        <w:t xml:space="preserve">方提供所需</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5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105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105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1050"/>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1050"/>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我方将根据招标文件的规定，严格履行合同的责任和义务,并保证在招标文件规定的时间完成项目，交付</w:t>
      </w:r>
      <w:r>
        <w:rPr>
          <w:rFonts w:hint="eastAsia" w:ascii="宋体" w:hAnsi="宋体"/>
          <w:color w:val="000000"/>
          <w:szCs w:val="21"/>
          <w:highlight w:val="none"/>
        </w:rPr>
        <w:t xml:space="preserve">贵</w:t>
      </w:r>
      <w:r>
        <w:rPr>
          <w:rFonts w:hint="eastAsia" w:ascii="宋体" w:hAnsi="宋体"/>
          <w:color w:val="000000"/>
          <w:szCs w:val="21"/>
          <w:highlight w:val="none"/>
        </w:rPr>
        <w:t xml:space="preserve">方验收、使用。</w:t>
      </w:r>
      <w:r>
        <w:rPr>
          <w:rFonts w:hint="eastAsia" w:ascii="宋体" w:hAnsi="宋体"/>
          <w:color w:val="000000"/>
          <w:szCs w:val="21"/>
          <w:highlight w:val="none"/>
        </w:rPr>
      </w:r>
      <w:r/>
    </w:p>
    <w:p>
      <w:pPr>
        <w:pStyle w:val="954"/>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66"/>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1050"/>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1050"/>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050"/>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1050"/>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1050"/>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1050"/>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1050"/>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954"/>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1050"/>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1050"/>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954"/>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54"/>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5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四、开标一览表</w:t>
      </w:r>
      <w:r>
        <w:rPr>
          <w:rFonts w:hint="eastAsia" w:ascii="黑体" w:hAnsi="黑体" w:eastAsia="黑体" w:cs="Times New Roman"/>
          <w:i w:val="0"/>
          <w:color w:val="000000"/>
          <w:sz w:val="32"/>
          <w:szCs w:val="32"/>
          <w:highlight w:val="none"/>
          <w:u w:val="none"/>
          <w:lang w:val="en-US" w:eastAsia="zh-CN"/>
        </w:rPr>
      </w:r>
      <w:r/>
    </w:p>
    <w:p>
      <w:pPr>
        <w:pStyle w:val="95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954"/>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954"/>
        <w:ind w:firstLine="0"/>
        <w:keepLines w:val="0"/>
        <w:keepNext w:val="0"/>
        <w:pageBreakBefore w:val="0"/>
        <w:spacing w:line="480" w:lineRule="auto"/>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954"/>
        <w:ind w:firstLine="0"/>
        <w:keepLines w:val="0"/>
        <w:keepNext w:val="0"/>
        <w:pageBreakBefore w:val="0"/>
        <w:spacing w:line="48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54"/>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1050"/>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954"/>
        <w:keepLines w:val="0"/>
        <w:keepNext w:val="0"/>
        <w:pageBreakBefore w:val="0"/>
        <w:spacing w:line="48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954"/>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954"/>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66"/>
        <w:rPr>
          <w:rFonts w:hint="eastAsia"/>
          <w:color w:val="000000"/>
          <w:highlight w:val="none"/>
        </w:rPr>
      </w:pPr>
      <w:r>
        <w:rPr>
          <w:rFonts w:hint="eastAsia"/>
          <w:color w:val="000000"/>
          <w:highlight w:val="none"/>
        </w:rPr>
      </w:r>
      <w:r/>
    </w:p>
    <w:p>
      <w:pPr>
        <w:pStyle w:val="954"/>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966"/>
        <w:rPr>
          <w:rFonts w:hint="eastAsia"/>
          <w:color w:val="000000"/>
          <w:highlight w:val="none"/>
          <w:lang w:val="en-US" w:eastAsia="zh-CN"/>
        </w:rPr>
      </w:pPr>
      <w:r>
        <w:rPr>
          <w:rFonts w:hint="eastAsia"/>
          <w:color w:val="000000"/>
          <w:highlight w:val="none"/>
          <w:lang w:val="en-US" w:eastAsia="zh-CN"/>
        </w:rPr>
      </w:r>
      <w:r/>
    </w:p>
    <w:p>
      <w:pPr>
        <w:pStyle w:val="954"/>
        <w:rPr>
          <w:rFonts w:hint="eastAsia"/>
          <w:color w:val="000000"/>
          <w:highlight w:val="none"/>
          <w:lang w:val="en-US" w:eastAsia="zh-CN"/>
        </w:rPr>
      </w:pPr>
      <w:r>
        <w:rPr>
          <w:rFonts w:hint="eastAsia"/>
          <w:color w:val="000000"/>
          <w:highlight w:val="none"/>
          <w:lang w:val="en-US" w:eastAsia="zh-CN"/>
        </w:rPr>
      </w:r>
      <w:r/>
    </w:p>
    <w:p>
      <w:pPr>
        <w:pStyle w:val="966"/>
        <w:rPr>
          <w:rFonts w:hint="eastAsia"/>
          <w:color w:val="000000"/>
          <w:highlight w:val="none"/>
          <w:lang w:val="en-US" w:eastAsia="zh-CN"/>
        </w:rPr>
      </w:pPr>
      <w:r>
        <w:rPr>
          <w:rFonts w:hint="eastAsia"/>
          <w:color w:val="000000"/>
          <w:highlight w:val="none"/>
          <w:lang w:val="en-US" w:eastAsia="zh-CN"/>
        </w:rPr>
      </w:r>
      <w:r/>
    </w:p>
    <w:p>
      <w:pPr>
        <w:pStyle w:val="1033"/>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4"/>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1033"/>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1033"/>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五、投标分项报价表</w:t>
      </w:r>
      <w:r>
        <w:rPr>
          <w:rFonts w:hint="eastAsia" w:ascii="黑体" w:hAnsi="黑体" w:eastAsia="黑体" w:cs="Times New Roman"/>
          <w:i w:val="0"/>
          <w:color w:val="000000"/>
          <w:sz w:val="32"/>
          <w:szCs w:val="32"/>
          <w:highlight w:val="none"/>
          <w:u w:val="none"/>
          <w:lang w:val="en-US" w:eastAsia="zh-CN"/>
        </w:rPr>
      </w:r>
      <w:r/>
    </w:p>
    <w:p>
      <w:pPr>
        <w:pStyle w:val="95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954"/>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bookmarkStart w:id="67" w:name="OLE_LINK3"/>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954"/>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54"/>
        <w:ind w:right="180"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bookmarkEnd w:id="67"/>
      <w:r>
        <w:rPr>
          <w:rFonts w:hint="eastAsia" w:ascii="宋体" w:hAnsi="宋体" w:eastAsia="宋体" w:cs="Times New Roman"/>
          <w:color w:val="000000"/>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954"/>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w:t>
            </w: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rPr>
                <w:rFonts w:hint="eastAsia" w:ascii="宋体" w:hAnsi="宋体"/>
                <w:color w:val="000000"/>
                <w:sz w:val="24"/>
                <w:szCs w:val="24"/>
                <w:highlight w:val="none"/>
              </w:rPr>
            </w:r>
            <w:r/>
          </w:p>
        </w:tc>
        <w:tc>
          <w:tcPr>
            <w:tcW w:w="1240" w:type="dxa"/>
            <w:vAlign w:val="center"/>
            <w:textDirection w:val="lrTb"/>
            <w:noWrap w:val="false"/>
          </w:tcPr>
          <w:p>
            <w:pPr>
              <w:pStyle w:val="954"/>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954"/>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954"/>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954"/>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954"/>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954"/>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954"/>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954"/>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581" w:type="dxa"/>
            <w:vAlign w:val="center"/>
            <w:vMerge w:val="continue"/>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954"/>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954"/>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954"/>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954"/>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434" w:type="dxa"/>
            <w:vAlign w:val="center"/>
            <w:textDirection w:val="lrTb"/>
            <w:noWrap w:val="false"/>
          </w:tcPr>
          <w:p>
            <w:pPr>
              <w:pStyle w:val="954"/>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954"/>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80" w:type="dxa"/>
            <w:vAlign w:val="center"/>
            <w:textDirection w:val="lrTb"/>
            <w:noWrap w:val="false"/>
          </w:tcPr>
          <w:p>
            <w:pPr>
              <w:pStyle w:val="954"/>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w:t>
            </w:r>
            <w:r>
              <w:rPr>
                <w:rFonts w:hint="eastAsia" w:ascii="宋体" w:hAnsi="宋体"/>
                <w:color w:val="000000"/>
                <w:sz w:val="24"/>
                <w:szCs w:val="24"/>
                <w:highlight w:val="none"/>
                <w:lang w:val="en-US" w:eastAsia="zh-CN"/>
              </w:rPr>
              <w:t xml:space="preserve">报</w:t>
            </w:r>
            <w:r>
              <w:rPr>
                <w:rFonts w:hint="eastAsia" w:ascii="宋体" w:hAnsi="宋体"/>
                <w:color w:val="000000"/>
                <w:sz w:val="24"/>
                <w:szCs w:val="24"/>
                <w:highlight w:val="none"/>
              </w:rPr>
              <w:t xml:space="preserve">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bl>
    <w:p>
      <w:pPr>
        <w:pStyle w:val="954"/>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101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101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w:t>
      </w:r>
      <w:r>
        <w:rPr>
          <w:rFonts w:hint="eastAsia" w:ascii="宋体" w:hAnsi="宋体" w:eastAsia="宋体" w:cs="宋体"/>
          <w:color w:val="000000"/>
          <w:sz w:val="24"/>
          <w:szCs w:val="24"/>
          <w:highlight w:val="none"/>
          <w:lang w:val="en-US" w:eastAsia="zh-CN"/>
        </w:rPr>
        <w:t xml:space="preserve">为完成整个项目所产生的所有费用</w:t>
      </w:r>
      <w:r>
        <w:rPr>
          <w:rFonts w:hint="eastAsia" w:ascii="宋体" w:hAnsi="宋体" w:eastAsia="宋体" w:cs="宋体"/>
          <w:color w:val="000000"/>
          <w:sz w:val="24"/>
          <w:szCs w:val="24"/>
          <w:highlight w:val="none"/>
          <w:lang w:val="en-US" w:eastAsia="zh-CN"/>
        </w:rPr>
        <w:t xml:space="preserve">，招标文件另有规定的除外。</w:t>
      </w:r>
      <w:r>
        <w:rPr>
          <w:rFonts w:hint="eastAsia" w:ascii="宋体" w:hAnsi="宋体" w:eastAsia="宋体" w:cs="宋体"/>
          <w:color w:val="000000"/>
          <w:sz w:val="24"/>
          <w:szCs w:val="24"/>
          <w:highlight w:val="none"/>
          <w:lang w:val="en-US" w:eastAsia="zh-CN"/>
        </w:rPr>
      </w:r>
      <w:r/>
    </w:p>
    <w:p>
      <w:pPr>
        <w:pStyle w:val="101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1019"/>
        <w:ind w:firstLine="480"/>
        <w:jc w:val="both"/>
        <w:keepLines w:val="0"/>
        <w:keepNext w:val="0"/>
        <w:pageBreakBefore w:val="0"/>
        <w:spacing w:before="0" w:beforeAutospacing="0" w:after="0" w:afterAutospacing="0" w:line="360" w:lineRule="auto"/>
        <w:widowControl/>
        <w:rPr>
          <w:rFonts w:hint="eastAsia"/>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color w:val="000000"/>
          <w:highlight w:val="none"/>
        </w:rPr>
        <w:t xml:space="preserve">《投标分项报价表》中的分项名称须与“第四章</w:t>
      </w:r>
      <w:r>
        <w:rPr>
          <w:rFonts w:hint="eastAsia"/>
          <w:b/>
          <w:bCs/>
          <w:color w:val="000000"/>
          <w:highlight w:val="none"/>
          <w:lang w:val="en-US" w:eastAsia="zh-CN"/>
        </w:rPr>
        <w:t xml:space="preserve">采购需求</w:t>
      </w:r>
      <w:r>
        <w:rPr>
          <w:rFonts w:hint="eastAsia"/>
          <w:b/>
          <w:bCs/>
          <w:color w:val="000000"/>
          <w:highlight w:val="none"/>
        </w:rPr>
        <w:t xml:space="preserve">-项目清单”中的</w:t>
      </w:r>
      <w:r>
        <w:rPr>
          <w:rFonts w:hint="eastAsia"/>
          <w:b/>
          <w:bCs/>
          <w:color w:val="000000"/>
          <w:highlight w:val="none"/>
          <w:lang w:val="en-US" w:eastAsia="zh-CN"/>
        </w:rPr>
        <w:t xml:space="preserve">分项</w:t>
      </w:r>
      <w:r>
        <w:rPr>
          <w:rFonts w:hint="eastAsia"/>
          <w:b/>
          <w:bCs/>
          <w:color w:val="000000"/>
          <w:highlight w:val="none"/>
        </w:rPr>
        <w:t xml:space="preserve">名称一一对应，如有缺项、漏项，视为无效投标。</w:t>
      </w:r>
      <w:r>
        <w:rPr>
          <w:rFonts w:hint="eastAsia"/>
          <w:b/>
          <w:bCs/>
          <w:color w:val="000000"/>
          <w:highlight w:val="none"/>
        </w:rPr>
      </w:r>
      <w:r/>
    </w:p>
    <w:p>
      <w:pPr>
        <w:pStyle w:val="101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954"/>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954"/>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br w:type="page" w:clear="all"/>
      </w:r>
      <w:bookmarkEnd w:id="46"/>
      <w:r/>
      <w:bookmarkEnd w:id="47"/>
      <w:r/>
      <w:bookmarkEnd w:id="66"/>
      <w:r>
        <w:rPr>
          <w:rFonts w:hint="eastAsia" w:ascii="黑体" w:hAnsi="黑体" w:eastAsia="黑体" w:cs="Times New Roman"/>
          <w:iCs/>
          <w:color w:val="000000"/>
          <w:sz w:val="32"/>
          <w:szCs w:val="32"/>
          <w:highlight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95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54"/>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954"/>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54"/>
        <w:ind w:right="180" w:firstLine="480"/>
        <w:jc w:val="left"/>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项目编号：                                   采购包号：</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954"/>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4"/>
              <w:jc w:val="center"/>
              <w:rPr>
                <w:color w:val="000000"/>
                <w:highlight w:val="none"/>
              </w:rPr>
            </w:pPr>
            <w:r>
              <w:rPr>
                <w:color w:val="000000"/>
                <w:highlight w:val="none"/>
              </w:rPr>
            </w:r>
            <w:r/>
          </w:p>
          <w:p>
            <w:pPr>
              <w:pStyle w:val="966"/>
              <w:rPr>
                <w:rFonts w:hint="eastAsia"/>
                <w:color w:val="000000"/>
                <w:highlight w:val="none"/>
              </w:rPr>
            </w:pPr>
            <w:r>
              <w:rPr>
                <w:rFonts w:hint="eastAsia"/>
                <w:color w:val="000000"/>
                <w:highlight w:val="none"/>
              </w:rPr>
            </w:r>
            <w:r/>
          </w:p>
        </w:tc>
        <w:tc>
          <w:tcPr>
            <w:tcW w:w="2832"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1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1019"/>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1019"/>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出明确响应，否则视为无效投标。</w:t>
      </w:r>
      <w:r>
        <w:rPr>
          <w:rFonts w:hint="eastAsia"/>
          <w:b/>
          <w:bCs/>
          <w:color w:val="000000"/>
          <w:highlight w:val="none"/>
        </w:rPr>
      </w:r>
      <w:r/>
    </w:p>
    <w:p>
      <w:pPr>
        <w:pStyle w:val="1019"/>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2.技术要求中实质性要求及其他要求明确需要提供证明材料的，签订合同时中标</w:t>
      </w:r>
      <w:r>
        <w:rPr>
          <w:rFonts w:hint="eastAsia"/>
          <w:b/>
          <w:bCs/>
          <w:color w:val="000000"/>
          <w:highlight w:val="none"/>
          <w:lang w:eastAsia="zh-CN"/>
        </w:rPr>
        <w:t xml:space="preserve">人</w:t>
      </w:r>
      <w:r>
        <w:rPr>
          <w:rFonts w:hint="eastAsia"/>
          <w:b/>
          <w:bCs/>
          <w:color w:val="000000"/>
          <w:highlight w:val="none"/>
        </w:rPr>
        <w:t xml:space="preserve">应按招标文件要求和投标文件响应内容提供相应证明材料供采购人核验，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采购人将取消其中标资格。</w:t>
      </w:r>
      <w:r>
        <w:rPr>
          <w:rFonts w:hint="eastAsia"/>
          <w:b/>
          <w:bCs/>
          <w:color w:val="000000"/>
          <w:highlight w:val="none"/>
        </w:rPr>
      </w:r>
      <w:r/>
    </w:p>
    <w:p>
      <w:pPr>
        <w:pStyle w:val="1019"/>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954"/>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95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54"/>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954"/>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54"/>
        <w:ind w:right="180" w:firstLine="480"/>
        <w:spacing w:line="360" w:lineRule="auto"/>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954"/>
              <w:jc w:val="center"/>
              <w:rPr>
                <w:rFonts w:hint="eastAsia" w:ascii="宋体" w:hAnsi="宋体"/>
                <w:color w:val="000000"/>
                <w:sz w:val="24"/>
                <w:szCs w:val="24"/>
                <w:highlight w:val="none"/>
              </w:rPr>
            </w:pPr>
            <w:r/>
            <w:bookmarkStart w:id="68" w:name="_Hlt26671343"/>
            <w:r/>
            <w:bookmarkEnd w:id="68"/>
            <w:r/>
            <w:bookmarkStart w:id="69" w:name="_Hlt26609391"/>
            <w:r/>
            <w:bookmarkEnd w:id="69"/>
            <w:r/>
            <w:bookmarkStart w:id="70" w:name="_Hlt26782999"/>
            <w:r/>
            <w:bookmarkEnd w:id="70"/>
            <w:r/>
            <w:bookmarkStart w:id="71" w:name="_Hlt26580838"/>
            <w:r/>
            <w:bookmarkEnd w:id="71"/>
            <w:r/>
            <w:bookmarkStart w:id="72" w:name="_Hlt26955056"/>
            <w:r/>
            <w:bookmarkEnd w:id="72"/>
            <w:r/>
            <w:bookmarkStart w:id="73" w:name="_Hlt24879081"/>
            <w:r/>
            <w:bookmarkEnd w:id="73"/>
            <w:r/>
            <w:bookmarkStart w:id="74" w:name="_Hlt26955064"/>
            <w:r/>
            <w:bookmarkEnd w:id="74"/>
            <w:r/>
            <w:bookmarkStart w:id="75" w:name="_Hlt26671372"/>
            <w:r/>
            <w:bookmarkEnd w:id="75"/>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954"/>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54"/>
              <w:jc w:val="center"/>
              <w:rPr>
                <w:color w:val="000000"/>
                <w:highlight w:val="none"/>
              </w:rPr>
            </w:pPr>
            <w:r>
              <w:rPr>
                <w:color w:val="000000"/>
                <w:highlight w:val="none"/>
              </w:rPr>
            </w:r>
            <w:r/>
          </w:p>
          <w:p>
            <w:pPr>
              <w:pStyle w:val="966"/>
              <w:rPr>
                <w:rFonts w:hint="eastAsia"/>
                <w:color w:val="000000"/>
                <w:highlight w:val="none"/>
              </w:rPr>
            </w:pPr>
            <w:r>
              <w:rPr>
                <w:rFonts w:hint="eastAsia"/>
                <w:color w:val="000000"/>
                <w:highlight w:val="none"/>
              </w:rPr>
            </w:r>
            <w:r/>
          </w:p>
        </w:tc>
        <w:tc>
          <w:tcPr>
            <w:tcW w:w="2832"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9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54"/>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101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101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54"/>
        <w:rPr>
          <w:color w:val="000000"/>
          <w:highlight w:val="none"/>
        </w:rPr>
      </w:pPr>
      <w:r>
        <w:rPr>
          <w:color w:val="000000"/>
          <w:highlight w:val="none"/>
        </w:rPr>
      </w:r>
      <w:r/>
    </w:p>
    <w:p>
      <w:pPr>
        <w:pStyle w:val="954"/>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3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4"/>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33"/>
        <w:rPr>
          <w:rFonts w:hint="eastAsia"/>
          <w:color w:val="000000"/>
          <w:highlight w:val="none"/>
        </w:rPr>
      </w:pPr>
      <w:r>
        <w:rPr>
          <w:rFonts w:hint="eastAsia"/>
          <w:color w:val="000000"/>
          <w:highlight w:val="none"/>
        </w:rPr>
      </w:r>
      <w:r/>
    </w:p>
    <w:p>
      <w:pPr>
        <w:pStyle w:val="954"/>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54"/>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八、中小企业声明函</w:t>
      </w:r>
      <w:r>
        <w:rPr>
          <w:rFonts w:hint="eastAsia" w:ascii="黑体" w:hAnsi="黑体" w:eastAsia="黑体" w:cs="Times New Roman"/>
          <w:i w:val="0"/>
          <w:iCs/>
          <w:color w:val="000000"/>
          <w:sz w:val="32"/>
          <w:szCs w:val="32"/>
          <w:highlight w:val="none"/>
          <w:u w:val="none"/>
          <w:lang w:val="en-US" w:eastAsia="zh-CN"/>
        </w:rPr>
      </w:r>
      <w:r/>
    </w:p>
    <w:p>
      <w:pPr>
        <w:pStyle w:val="95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54"/>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b/>
          <w:bCs/>
          <w:color w:val="000000"/>
          <w:sz w:val="24"/>
          <w:szCs w:val="24"/>
          <w:highlight w:val="none"/>
        </w:rPr>
        <w:t xml:space="preserve">服务全部由符合政策的</w:t>
      </w:r>
      <w:r>
        <w:rPr>
          <w:rFonts w:hint="eastAsia" w:ascii="宋体" w:hAnsi="宋体"/>
          <w:b/>
          <w:bCs/>
          <w:color w:val="000000"/>
          <w:sz w:val="24"/>
          <w:szCs w:val="24"/>
          <w:highlight w:val="none"/>
          <w:lang w:val="en-US" w:eastAsia="zh-CN"/>
        </w:rPr>
        <w:t xml:space="preserve">中</w:t>
      </w:r>
      <w:r>
        <w:rPr>
          <w:rFonts w:hint="eastAsia" w:ascii="宋体" w:hAnsi="宋体"/>
          <w:b/>
          <w:bCs/>
          <w:color w:val="000000"/>
          <w:sz w:val="24"/>
          <w:szCs w:val="24"/>
          <w:highlight w:val="none"/>
        </w:rPr>
        <w:t xml:space="preserve">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954"/>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w:t>
      </w:r>
      <w:r>
        <w:rPr>
          <w:rFonts w:hint="eastAsia" w:ascii="宋体" w:hAnsi="宋体"/>
          <w:color w:val="000000"/>
          <w:sz w:val="24"/>
          <w:szCs w:val="24"/>
          <w:highlight w:val="none"/>
          <w:u w:val="none"/>
          <w:lang w:eastAsia="zh-CN"/>
        </w:rPr>
        <w:t xml:space="preserve">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954"/>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954"/>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54"/>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954"/>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1033"/>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54"/>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954"/>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54"/>
        <w:ind w:firstLine="600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color w:val="000000"/>
          <w:sz w:val="24"/>
          <w:szCs w:val="24"/>
          <w:highlight w:val="none"/>
          <w:lang w:eastAsia="zh-CN"/>
        </w:rPr>
      </w:r>
      <w:r/>
    </w:p>
    <w:p>
      <w:pPr>
        <w:pStyle w:val="954"/>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54"/>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954"/>
        <w:ind w:firstLine="480"/>
        <w:keepLines w:val="0"/>
        <w:keepNext w:val="0"/>
        <w:pageBreakBefore w:val="0"/>
        <w:spacing w:line="360" w:lineRule="auto"/>
        <w:widowControl w:val="off"/>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采购项目中，服务</w:t>
      </w:r>
      <w:r>
        <w:rPr>
          <w:rFonts w:hint="eastAsia" w:ascii="宋体" w:hAnsi="宋体" w:eastAsia="宋体" w:cs="Times New Roman"/>
          <w:b/>
          <w:bCs/>
          <w:color w:val="000000"/>
          <w:sz w:val="24"/>
          <w:szCs w:val="24"/>
          <w:highlight w:val="none"/>
          <w:lang w:val="en-US" w:eastAsia="zh-CN"/>
        </w:rPr>
        <w:t xml:space="preserve">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中小企业承接，</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sz w:val="24"/>
          <w:szCs w:val="24"/>
          <w:highlight w:val="none"/>
          <w:lang w:val="en-US" w:eastAsia="zh-CN"/>
        </w:rPr>
        <w:t xml:space="preserve">。招标文件第四章采购需求“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w:t>
      </w:r>
      <w:r>
        <w:rPr>
          <w:rFonts w:hint="eastAsia" w:ascii="宋体" w:hAnsi="宋体" w:eastAsia="宋体" w:cs="Times New Roman"/>
          <w:b/>
          <w:bCs/>
          <w:color w:val="000000"/>
          <w:sz w:val="24"/>
          <w:szCs w:val="24"/>
          <w:highlight w:val="none"/>
          <w:lang w:eastAsia="zh-CN"/>
        </w:rPr>
        <w:t xml:space="preserve">服务</w:t>
      </w:r>
      <w:r>
        <w:rPr>
          <w:rFonts w:hint="eastAsia" w:ascii="宋体" w:hAnsi="宋体" w:eastAsia="宋体" w:cs="Times New Roman"/>
          <w:b/>
          <w:bCs/>
          <w:color w:val="000000"/>
          <w:sz w:val="24"/>
          <w:szCs w:val="24"/>
          <w:highlight w:val="none"/>
          <w:lang w:val="en-US" w:eastAsia="zh-CN"/>
        </w:rPr>
        <w:t xml:space="preserve">”产品需在此声明函中的“标的名称”中全部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填写承接</w:t>
      </w:r>
      <w:r>
        <w:rPr>
          <w:rFonts w:hint="eastAsia" w:ascii="宋体" w:hAnsi="宋体" w:eastAsia="宋体" w:cs="Times New Roman"/>
          <w:b/>
          <w:bCs/>
          <w:color w:val="000000"/>
          <w:sz w:val="24"/>
          <w:szCs w:val="24"/>
          <w:highlight w:val="none"/>
          <w:lang w:eastAsia="zh-CN"/>
        </w:rPr>
        <w:t xml:space="preserve">企业</w:t>
      </w:r>
      <w:r>
        <w:rPr>
          <w:rFonts w:hint="eastAsia" w:ascii="宋体" w:hAnsi="宋体" w:eastAsia="宋体" w:cs="Times New Roman"/>
          <w:b/>
          <w:bCs/>
          <w:color w:val="000000"/>
          <w:sz w:val="24"/>
          <w:szCs w:val="24"/>
          <w:highlight w:val="none"/>
          <w:lang w:val="en-US" w:eastAsia="zh-CN"/>
        </w:rPr>
        <w:t xml:space="preserve">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954"/>
        <w:ind w:firstLine="0"/>
        <w:jc w:val="left"/>
        <w:spacing w:line="360" w:lineRule="auto"/>
        <w:rPr>
          <w:rFonts w:hint="eastAsia" w:ascii="黑体" w:hAnsi="黑体" w:eastAsia="黑体"/>
          <w:b w:val="0"/>
          <w:color w:val="000000"/>
          <w:sz w:val="32"/>
          <w:szCs w:val="32"/>
          <w:highlight w:val="none"/>
        </w:rPr>
      </w:pPr>
      <w:r>
        <w:rPr>
          <w:rFonts w:hint="eastAsia" w:ascii="宋体" w:hAnsi="宋体" w:eastAsia="宋体" w:cs="Times New Roman"/>
          <w:b/>
          <w:bCs/>
          <w:color w:val="000000"/>
          <w:sz w:val="24"/>
          <w:szCs w:val="24"/>
          <w:highlight w:val="none"/>
          <w:lang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九、</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95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54"/>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54"/>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1033"/>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54"/>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954"/>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54"/>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54"/>
        <w:ind w:firstLine="480"/>
        <w:spacing w:line="480" w:lineRule="exact"/>
        <w:rPr>
          <w:rFonts w:ascii="宋体" w:hAnsi="宋体"/>
          <w:color w:val="000000"/>
          <w:sz w:val="24"/>
          <w:highlight w:val="none"/>
        </w:rPr>
      </w:pPr>
      <w:r>
        <w:rPr>
          <w:rFonts w:ascii="宋体" w:hAnsi="宋体"/>
          <w:color w:val="000000"/>
          <w:sz w:val="24"/>
          <w:highlight w:val="none"/>
        </w:rPr>
      </w:r>
      <w:r/>
    </w:p>
    <w:p>
      <w:pPr>
        <w:pStyle w:val="954"/>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54"/>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54"/>
        <w:numPr>
          <w:ilvl w:val="0"/>
          <w:numId w:val="0"/>
        </w:numPr>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954"/>
        <w:numPr>
          <w:ilvl w:val="0"/>
          <w:numId w:val="0"/>
        </w:numPr>
        <w:ind w:firstLine="0"/>
        <w:jc w:val="center"/>
        <w:widowControl/>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954"/>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9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5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5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54"/>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95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5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54"/>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9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5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5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54"/>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9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54"/>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4"/>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954"/>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954"/>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954"/>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954"/>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95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95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95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95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95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954"/>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rPr>
        <w:rStyle w:val="1027"/>
        <w:rFonts w:ascii="宋体" w:hAnsi="宋体"/>
      </w:rPr>
      <w:framePr w:wrap="around" w:vAnchor="text" w:hAnchor="margin" w:xAlign="center" w:y="1"/>
    </w:pPr>
    <w:r>
      <w:rPr>
        <w:rFonts w:ascii="宋体" w:hAnsi="宋体"/>
      </w:rPr>
      <w:fldChar w:fldCharType="begin"/>
    </w:r>
    <w:r>
      <w:rPr>
        <w:rStyle w:val="1027"/>
        <w:rFonts w:ascii="宋体" w:hAnsi="宋体"/>
      </w:rPr>
      <w:instrText xml:space="preserve">PAGE  </w:instrText>
    </w:r>
    <w:r>
      <w:rPr>
        <w:rFonts w:ascii="宋体" w:hAnsi="宋体"/>
      </w:rPr>
      <w:fldChar w:fldCharType="separate"/>
    </w:r>
    <w:r>
      <w:rPr>
        <w:rStyle w:val="1027"/>
        <w:rFonts w:ascii="宋体" w:hAnsi="宋体"/>
      </w:rPr>
      <w:t xml:space="preserve">３５</w:t>
    </w:r>
    <w:r>
      <w:rPr>
        <w:rFonts w:ascii="宋体" w:hAnsi="宋体"/>
      </w:rPr>
      <w:fldChar w:fldCharType="end"/>
    </w:r>
    <w:r>
      <w:rPr>
        <w:rStyle w:val="1027"/>
        <w:rFonts w:ascii="宋体" w:hAnsi="宋体"/>
      </w:rPr>
    </w:r>
    <w:r/>
  </w:p>
  <w:p>
    <w:pPr>
      <w:pStyle w:val="100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rPr>
        <w:rStyle w:val="1027"/>
      </w:rPr>
      <w:framePr w:wrap="around" w:vAnchor="text" w:hAnchor="margin" w:xAlign="center" w:y="1"/>
    </w:pPr>
    <w:r>
      <w:fldChar w:fldCharType="begin"/>
    </w:r>
    <w:r>
      <w:rPr>
        <w:rStyle w:val="1027"/>
      </w:rPr>
      <w:instrText xml:space="preserve">PAGE  </w:instrText>
    </w:r>
    <w:r>
      <w:fldChar w:fldCharType="separate"/>
    </w:r>
    <w:r>
      <w:rPr>
        <w:rStyle w:val="1027"/>
      </w:rPr>
      <w:t xml:space="preserve">1</w:t>
    </w:r>
    <w:r>
      <w:fldChar w:fldCharType="end"/>
    </w:r>
    <w:r>
      <w:rPr>
        <w:rStyle w:val="1027"/>
      </w:rPr>
    </w:r>
    <w:r/>
  </w:p>
  <w:p>
    <w:pPr>
      <w:pStyle w:val="100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91801"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91800" cy="301572"/>
                      </a:xfrm>
                      <a:prstGeom prst="rect">
                        <a:avLst/>
                      </a:prstGeom>
                      <a:noFill/>
                      <a:ln>
                        <a:noFill/>
                      </a:ln>
                    </wps:spPr>
                    <wps:txbx>
                      <w:txbxContent>
                        <w:p>
                          <w:pPr>
                            <w:pStyle w:val="1004"/>
                            <w:tabs>
                              <w:tab w:val="clear" w:pos="4153" w:leader="none"/>
                              <w:tab w:val="clear" w:pos="8306" w:leader="none"/>
                            </w:tabs>
                            <w:rPr>
                              <w:rStyle w:val="1027"/>
                              <w:rFonts w:ascii="宋体" w:hAnsi="宋体"/>
                            </w:rPr>
                          </w:pPr>
                          <w:r>
                            <w:rPr>
                              <w:rFonts w:ascii="宋体" w:hAnsi="宋体"/>
                            </w:rPr>
                            <w:fldChar w:fldCharType="begin"/>
                          </w:r>
                          <w:r>
                            <w:rPr>
                              <w:rStyle w:val="1027"/>
                              <w:rFonts w:ascii="宋体" w:hAnsi="宋体"/>
                            </w:rPr>
                            <w:instrText xml:space="preserve">PAGE  </w:instrText>
                          </w:r>
                          <w:r>
                            <w:rPr>
                              <w:rFonts w:ascii="宋体" w:hAnsi="宋体"/>
                            </w:rPr>
                            <w:fldChar w:fldCharType="separate"/>
                          </w:r>
                          <w:r>
                            <w:rPr>
                              <w:rStyle w:val="1027"/>
                              <w:rFonts w:ascii="宋体" w:hAnsi="宋体"/>
                            </w:rPr>
                            <w:t xml:space="preserve">３５</w:t>
                          </w:r>
                          <w:r>
                            <w:rPr>
                              <w:rFonts w:ascii="宋体" w:hAnsi="宋体"/>
                            </w:rPr>
                            <w:fldChar w:fldCharType="end"/>
                          </w:r>
                          <w:r>
                            <w:rPr>
                              <w:rStyle w:val="1027"/>
                              <w:rFonts w:ascii="宋体" w:hAnsi="宋体"/>
                            </w:rPr>
                          </w:r>
                          <w:r/>
                        </w:p>
                        <w:p>
                          <w:pPr>
                            <w:pStyle w:val="954"/>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5.1pt;height:23.7pt;mso-wrap-distance-left:9.0pt;mso-wrap-distance-top:0.0pt;mso-wrap-distance-right:9.0pt;mso-wrap-distance-bottom:0.0pt;visibility:visible;" filled="f" stroked="f">
              <v:textbox inset="0,0,0,0">
                <w:txbxContent>
                  <w:p>
                    <w:pPr>
                      <w:pStyle w:val="1004"/>
                      <w:tabs>
                        <w:tab w:val="clear" w:pos="4153" w:leader="none"/>
                        <w:tab w:val="clear" w:pos="8306" w:leader="none"/>
                      </w:tabs>
                      <w:rPr>
                        <w:rStyle w:val="1027"/>
                        <w:rFonts w:ascii="宋体" w:hAnsi="宋体"/>
                      </w:rPr>
                    </w:pPr>
                    <w:r>
                      <w:rPr>
                        <w:rFonts w:ascii="宋体" w:hAnsi="宋体"/>
                      </w:rPr>
                      <w:fldChar w:fldCharType="begin"/>
                    </w:r>
                    <w:r>
                      <w:rPr>
                        <w:rStyle w:val="1027"/>
                        <w:rFonts w:ascii="宋体" w:hAnsi="宋体"/>
                      </w:rPr>
                      <w:instrText xml:space="preserve">PAGE  </w:instrText>
                    </w:r>
                    <w:r>
                      <w:rPr>
                        <w:rFonts w:ascii="宋体" w:hAnsi="宋体"/>
                      </w:rPr>
                      <w:fldChar w:fldCharType="separate"/>
                    </w:r>
                    <w:r>
                      <w:rPr>
                        <w:rStyle w:val="1027"/>
                        <w:rFonts w:ascii="宋体" w:hAnsi="宋体"/>
                      </w:rPr>
                      <w:t xml:space="preserve">３５</w:t>
                    </w:r>
                    <w:r>
                      <w:rPr>
                        <w:rFonts w:ascii="宋体" w:hAnsi="宋体"/>
                      </w:rPr>
                      <w:fldChar w:fldCharType="end"/>
                    </w:r>
                    <w:r>
                      <w:rPr>
                        <w:rStyle w:val="1027"/>
                        <w:rFonts w:ascii="宋体" w:hAnsi="宋体"/>
                      </w:rPr>
                    </w:r>
                    <w:r/>
                  </w:p>
                  <w:p>
                    <w:pPr>
                      <w:pStyle w:val="954"/>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pPr>
                          <w:r>
                            <w:fldChar w:fldCharType="begin"/>
                          </w:r>
                          <w:r>
                            <w:instrText xml:space="preserve"> PAGE  \* MERGEFORMAT </w:instrText>
                          </w:r>
                          <w:r>
                            <w:fldChar w:fldCharType="separate"/>
                          </w:r>
                          <w:r>
                            <w:t xml:space="preserve">１</w:t>
                          </w:r>
                          <w:r>
                            <w:fldChar w:fldCharType="end"/>
                          </w:r>
                          <w:r/>
                        </w:p>
                        <w:p>
                          <w:pPr>
                            <w:pStyle w:val="95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pPr>
                    <w:r>
                      <w:fldChar w:fldCharType="begin"/>
                    </w:r>
                    <w:r>
                      <w:instrText xml:space="preserve"> PAGE  \* MERGEFORMAT </w:instrText>
                    </w:r>
                    <w:r>
                      <w:fldChar w:fldCharType="separate"/>
                    </w:r>
                    <w:r>
                      <w:t xml:space="preserve">１</w:t>
                    </w:r>
                    <w:r>
                      <w:fldChar w:fldCharType="end"/>
                    </w:r>
                    <w:r/>
                  </w:p>
                  <w:p>
                    <w:pPr>
                      <w:pStyle w:val="95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95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54"/>
        <w:ind w:left="1440" w:hanging="360"/>
      </w:pPr>
      <w:rPr>
        <w:rFonts w:ascii="Courier New" w:hAnsi="Courier New" w:eastAsia="Courier New" w:cs="Courier New"/>
      </w:rPr>
    </w:lvl>
    <w:lvl w:ilvl="2">
      <w:start w:val="1"/>
      <w:numFmt w:val="bullet"/>
      <w:isLgl w:val="false"/>
      <w:suff w:val="tab"/>
      <w:lvlText w:val="§"/>
      <w:lvlJc w:val="left"/>
      <w:pPr>
        <w:pStyle w:val="954"/>
        <w:ind w:left="2160" w:hanging="360"/>
      </w:pPr>
      <w:rPr>
        <w:rFonts w:ascii="Wingdings" w:hAnsi="Wingdings" w:eastAsia="Wingdings" w:cs="Wingdings"/>
      </w:rPr>
    </w:lvl>
    <w:lvl w:ilvl="3">
      <w:start w:val="1"/>
      <w:numFmt w:val="bullet"/>
      <w:isLgl w:val="false"/>
      <w:suff w:val="tab"/>
      <w:lvlText w:val="·"/>
      <w:lvlJc w:val="left"/>
      <w:pPr>
        <w:pStyle w:val="954"/>
        <w:ind w:left="2880" w:hanging="360"/>
      </w:pPr>
      <w:rPr>
        <w:rFonts w:ascii="Symbol" w:hAnsi="Symbol" w:eastAsia="Symbol" w:cs="Symbol"/>
      </w:rPr>
    </w:lvl>
    <w:lvl w:ilvl="4">
      <w:start w:val="1"/>
      <w:numFmt w:val="bullet"/>
      <w:isLgl w:val="false"/>
      <w:suff w:val="tab"/>
      <w:lvlText w:val="o"/>
      <w:lvlJc w:val="left"/>
      <w:pPr>
        <w:pStyle w:val="954"/>
        <w:ind w:left="3600" w:hanging="360"/>
      </w:pPr>
      <w:rPr>
        <w:rFonts w:ascii="Courier New" w:hAnsi="Courier New" w:eastAsia="Courier New" w:cs="Courier New"/>
      </w:rPr>
    </w:lvl>
    <w:lvl w:ilvl="5">
      <w:start w:val="1"/>
      <w:numFmt w:val="bullet"/>
      <w:isLgl w:val="false"/>
      <w:suff w:val="tab"/>
      <w:lvlText w:val="§"/>
      <w:lvlJc w:val="left"/>
      <w:pPr>
        <w:pStyle w:val="954"/>
        <w:ind w:left="4320" w:hanging="360"/>
      </w:pPr>
      <w:rPr>
        <w:rFonts w:ascii="Wingdings" w:hAnsi="Wingdings" w:eastAsia="Wingdings" w:cs="Wingdings"/>
      </w:rPr>
    </w:lvl>
    <w:lvl w:ilvl="6">
      <w:start w:val="1"/>
      <w:numFmt w:val="bullet"/>
      <w:isLgl w:val="false"/>
      <w:suff w:val="tab"/>
      <w:lvlText w:val="·"/>
      <w:lvlJc w:val="left"/>
      <w:pPr>
        <w:pStyle w:val="954"/>
        <w:ind w:left="5040" w:hanging="360"/>
      </w:pPr>
      <w:rPr>
        <w:rFonts w:ascii="Symbol" w:hAnsi="Symbol" w:eastAsia="Symbol" w:cs="Symbol"/>
      </w:rPr>
    </w:lvl>
    <w:lvl w:ilvl="7">
      <w:start w:val="1"/>
      <w:numFmt w:val="bullet"/>
      <w:isLgl w:val="false"/>
      <w:suff w:val="tab"/>
      <w:lvlText w:val="o"/>
      <w:lvlJc w:val="left"/>
      <w:pPr>
        <w:pStyle w:val="954"/>
        <w:ind w:left="5760" w:hanging="360"/>
      </w:pPr>
      <w:rPr>
        <w:rFonts w:ascii="Courier New" w:hAnsi="Courier New" w:eastAsia="Courier New" w:cs="Courier New"/>
      </w:rPr>
    </w:lvl>
    <w:lvl w:ilvl="8">
      <w:start w:val="1"/>
      <w:numFmt w:val="bullet"/>
      <w:isLgl w:val="false"/>
      <w:suff w:val="tab"/>
      <w:lvlText w:val="§"/>
      <w:lvlJc w:val="left"/>
      <w:pPr>
        <w:pStyle w:val="954"/>
        <w:ind w:left="6480" w:hanging="360"/>
      </w:pPr>
      <w:rPr>
        <w:rFonts w:ascii="Wingdings" w:hAnsi="Wingdings" w:eastAsia="Wingdings" w:cs="Wingdings"/>
      </w:rPr>
    </w:lvl>
  </w:abstractNum>
  <w:abstractNum w:abstractNumId="3">
    <w:multiLevelType w:val="hybridMultilevel"/>
    <w:lvl w:ilvl="0">
      <w:start w:val="1"/>
      <w:numFmt w:val="upperLetter"/>
      <w:pStyle w:val="1042"/>
      <w:isLgl w:val="false"/>
      <w:suff w:val="tab"/>
      <w:lvlText w:val="附录%1."/>
      <w:lvlJc w:val="left"/>
      <w:pPr>
        <w:pStyle w:val="95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9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59"/>
      <w:isLgl w:val="false"/>
      <w:suff w:val="tab"/>
      <w:lvlText w:val="%1."/>
      <w:lvlJc w:val="left"/>
      <w:pPr>
        <w:pStyle w:val="954"/>
        <w:ind w:left="709" w:hanging="709"/>
        <w:tabs>
          <w:tab w:val="num" w:pos="709" w:leader="none"/>
        </w:tabs>
      </w:pPr>
      <w:rPr>
        <w:rFonts w:hint="eastAsia"/>
      </w:rPr>
    </w:lvl>
    <w:lvl w:ilvl="1">
      <w:start w:val="1"/>
      <w:numFmt w:val="decimal"/>
      <w:isLgl w:val="false"/>
      <w:suff w:val="tab"/>
      <w:lvlText w:val="%1.%2"/>
      <w:lvlJc w:val="left"/>
      <w:pPr>
        <w:pStyle w:val="954"/>
        <w:ind w:left="709" w:hanging="709"/>
        <w:tabs>
          <w:tab w:val="num" w:pos="709" w:leader="none"/>
        </w:tabs>
      </w:pPr>
      <w:rPr>
        <w:rFonts w:hint="eastAsia"/>
      </w:rPr>
    </w:lvl>
    <w:lvl w:ilvl="2">
      <w:start w:val="1"/>
      <w:numFmt w:val="decimal"/>
      <w:isLgl w:val="false"/>
      <w:suff w:val="tab"/>
      <w:lvlText w:val="%1.%2.%3."/>
      <w:lvlJc w:val="left"/>
      <w:pPr>
        <w:pStyle w:val="954"/>
        <w:ind w:left="425" w:hanging="425"/>
        <w:tabs>
          <w:tab w:val="num" w:pos="425" w:leader="none"/>
        </w:tabs>
      </w:pPr>
      <w:rPr>
        <w:rFonts w:hint="eastAsia"/>
      </w:rPr>
    </w:lvl>
    <w:lvl w:ilvl="3">
      <w:start w:val="1"/>
      <w:numFmt w:val="decimal"/>
      <w:isLgl w:val="false"/>
      <w:suff w:val="tab"/>
      <w:lvlText w:val="%1.%2.%3.%4."/>
      <w:lvlJc w:val="left"/>
      <w:pPr>
        <w:pStyle w:val="954"/>
        <w:ind w:left="851" w:hanging="851"/>
        <w:tabs>
          <w:tab w:val="num" w:pos="851" w:leader="none"/>
        </w:tabs>
      </w:pPr>
      <w:rPr>
        <w:rFonts w:hint="eastAsia"/>
      </w:rPr>
    </w:lvl>
    <w:lvl w:ilvl="4">
      <w:start w:val="1"/>
      <w:numFmt w:val="decimal"/>
      <w:isLgl w:val="false"/>
      <w:suff w:val="tab"/>
      <w:lvlText w:val="%1.%2.%3.%4.%5."/>
      <w:lvlJc w:val="left"/>
      <w:pPr>
        <w:pStyle w:val="954"/>
        <w:ind w:left="992" w:hanging="992"/>
        <w:tabs>
          <w:tab w:val="num" w:pos="992" w:leader="none"/>
        </w:tabs>
      </w:pPr>
      <w:rPr>
        <w:rFonts w:hint="eastAsia"/>
      </w:rPr>
    </w:lvl>
    <w:lvl w:ilvl="5">
      <w:start w:val="1"/>
      <w:numFmt w:val="decimal"/>
      <w:isLgl w:val="false"/>
      <w:suff w:val="tab"/>
      <w:lvlText w:val="%1.%2.%3.%4.%5.%6."/>
      <w:lvlJc w:val="left"/>
      <w:pPr>
        <w:pStyle w:val="954"/>
        <w:ind w:left="1134" w:hanging="1134"/>
        <w:tabs>
          <w:tab w:val="num" w:pos="1134" w:leader="none"/>
        </w:tabs>
      </w:pPr>
      <w:rPr>
        <w:rFonts w:hint="eastAsia"/>
      </w:rPr>
    </w:lvl>
    <w:lvl w:ilvl="6">
      <w:start w:val="1"/>
      <w:numFmt w:val="decimal"/>
      <w:isLgl w:val="false"/>
      <w:suff w:val="tab"/>
      <w:lvlText w:val="%1.%2.%3.%4.%5.%6.%7."/>
      <w:lvlJc w:val="left"/>
      <w:pPr>
        <w:pStyle w:val="954"/>
        <w:ind w:left="1276" w:hanging="1276"/>
        <w:tabs>
          <w:tab w:val="num" w:pos="1276" w:leader="none"/>
        </w:tabs>
      </w:pPr>
      <w:rPr>
        <w:rFonts w:hint="eastAsia"/>
      </w:rPr>
    </w:lvl>
    <w:lvl w:ilvl="7">
      <w:start w:val="1"/>
      <w:numFmt w:val="decimal"/>
      <w:isLgl w:val="false"/>
      <w:suff w:val="tab"/>
      <w:lvlText w:val="%1.%2.%3.%4.%5.%6.%7.%8."/>
      <w:lvlJc w:val="left"/>
      <w:pPr>
        <w:pStyle w:val="954"/>
        <w:ind w:left="1418" w:hanging="1418"/>
        <w:tabs>
          <w:tab w:val="num" w:pos="1418" w:leader="none"/>
        </w:tabs>
      </w:pPr>
      <w:rPr>
        <w:rFonts w:hint="eastAsia"/>
      </w:rPr>
    </w:lvl>
    <w:lvl w:ilvl="8">
      <w:start w:val="1"/>
      <w:numFmt w:val="decimal"/>
      <w:isLgl w:val="false"/>
      <w:suff w:val="tab"/>
      <w:lvlText w:val="%1.%2.%3.%4.%5.%6.%7.%8.%9."/>
      <w:lvlJc w:val="left"/>
      <w:pPr>
        <w:pStyle w:val="954"/>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954"/>
        <w:ind w:left="0" w:firstLine="0"/>
      </w:pPr>
      <w:rPr>
        <w:rFonts w:hint="eastAsia"/>
      </w:rPr>
    </w:lvl>
    <w:lvl w:ilvl="1">
      <w:start w:val="1"/>
      <w:numFmt w:val="decimal"/>
      <w:isLgl w:val="false"/>
      <w:suff w:val="nothing"/>
      <w:lvlText w:val="%2、"/>
      <w:lvlJc w:val="left"/>
      <w:pPr>
        <w:pStyle w:val="954"/>
        <w:ind w:left="0" w:firstLine="0"/>
      </w:pPr>
      <w:rPr>
        <w:rFonts w:hint="eastAsia"/>
      </w:rPr>
    </w:lvl>
    <w:lvl w:ilvl="2">
      <w:start w:val="1"/>
      <w:numFmt w:val="decimal"/>
      <w:isLgl w:val="false"/>
      <w:suff w:val="nothing"/>
      <w:lvlText w:val="%2.%3 "/>
      <w:lvlJc w:val="left"/>
      <w:pPr>
        <w:pStyle w:val="954"/>
        <w:ind w:left="0" w:firstLine="0"/>
      </w:pPr>
      <w:rPr>
        <w:rFonts w:hint="eastAsia"/>
      </w:rPr>
    </w:lvl>
    <w:lvl w:ilvl="3">
      <w:start w:val="1"/>
      <w:numFmt w:val="decimal"/>
      <w:isLgl w:val="false"/>
      <w:suff w:val="nothing"/>
      <w:lvlText w:val="%2.%3.%4 "/>
      <w:lvlJc w:val="left"/>
      <w:pPr>
        <w:pStyle w:val="954"/>
        <w:ind w:left="0" w:firstLine="0"/>
      </w:pPr>
      <w:rPr>
        <w:rFonts w:hint="eastAsia"/>
      </w:rPr>
    </w:lvl>
    <w:lvl w:ilvl="4">
      <w:start w:val="1"/>
      <w:numFmt w:val="decimal"/>
      <w:isLgl w:val="false"/>
      <w:suff w:val="nothing"/>
      <w:lvlText w:val="%2.%3.%4.%5 "/>
      <w:lvlJc w:val="left"/>
      <w:pPr>
        <w:pStyle w:val="954"/>
        <w:ind w:left="0" w:firstLine="0"/>
      </w:pPr>
      <w:rPr>
        <w:rFonts w:hint="eastAsia"/>
      </w:rPr>
    </w:lvl>
    <w:lvl w:ilvl="5">
      <w:start w:val="1"/>
      <w:numFmt w:val="decimal"/>
      <w:pStyle w:val="960"/>
      <w:isLgl w:val="false"/>
      <w:suff w:val="nothing"/>
      <w:lvlText w:val=""/>
      <w:lvlJc w:val="left"/>
      <w:pPr>
        <w:pStyle w:val="954"/>
        <w:ind w:left="0" w:firstLine="0"/>
      </w:pPr>
      <w:rPr>
        <w:rFonts w:hint="eastAsia"/>
      </w:rPr>
    </w:lvl>
    <w:lvl w:ilvl="6">
      <w:start w:val="1"/>
      <w:numFmt w:val="decimal"/>
      <w:pStyle w:val="961"/>
      <w:isLgl w:val="false"/>
      <w:suff w:val="nothing"/>
      <w:lvlText w:val=""/>
      <w:lvlJc w:val="left"/>
      <w:pPr>
        <w:pStyle w:val="954"/>
        <w:ind w:left="0" w:firstLine="0"/>
      </w:pPr>
      <w:rPr>
        <w:rFonts w:hint="eastAsia"/>
      </w:rPr>
    </w:lvl>
    <w:lvl w:ilvl="7">
      <w:start w:val="1"/>
      <w:numFmt w:val="decimal"/>
      <w:pStyle w:val="962"/>
      <w:isLgl w:val="false"/>
      <w:suff w:val="nothing"/>
      <w:lvlText w:val=""/>
      <w:lvlJc w:val="left"/>
      <w:pPr>
        <w:pStyle w:val="954"/>
        <w:ind w:left="0" w:firstLine="0"/>
      </w:pPr>
      <w:rPr>
        <w:rFonts w:hint="eastAsia"/>
      </w:rPr>
    </w:lvl>
    <w:lvl w:ilvl="8">
      <w:start w:val="1"/>
      <w:numFmt w:val="decimal"/>
      <w:pStyle w:val="963"/>
      <w:isLgl w:val="false"/>
      <w:suff w:val="nothing"/>
      <w:lvlText w:val=""/>
      <w:lvlJc w:val="left"/>
      <w:pPr>
        <w:pStyle w:val="954"/>
        <w:ind w:left="0" w:firstLine="0"/>
      </w:pPr>
      <w:rPr>
        <w:rFonts w:hint="eastAsia"/>
      </w:rPr>
    </w:lvl>
  </w:abstractNum>
  <w:num w:numId="1">
    <w:abstractNumId w:val="6"/>
  </w:num>
  <w:num w:numId="2">
    <w:abstractNumId w:val="3"/>
  </w:num>
  <w:num w:numId="3">
    <w:abstractNumId w:val="5"/>
  </w:num>
  <w:num w:numId="4">
    <w:abstractNumId w:val="2"/>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name w:val="Heading 1"/>
    <w:basedOn w:val="954"/>
    <w:next w:val="954"/>
    <w:link w:val="777"/>
    <w:uiPriority w:val="9"/>
    <w:qFormat/>
    <w:pPr>
      <w:keepLines/>
      <w:keepNext/>
      <w:spacing w:before="480" w:after="200"/>
      <w:outlineLvl w:val="0"/>
    </w:pPr>
    <w:rPr>
      <w:rFonts w:ascii="Arial" w:hAnsi="Arial" w:eastAsia="Arial" w:cs="Arial"/>
      <w:sz w:val="40"/>
      <w:szCs w:val="40"/>
    </w:rPr>
  </w:style>
  <w:style w:type="character" w:styleId="777">
    <w:name w:val="Heading 1 Char"/>
    <w:link w:val="776"/>
    <w:uiPriority w:val="9"/>
    <w:rPr>
      <w:rFonts w:ascii="Arial" w:hAnsi="Arial" w:eastAsia="Arial" w:cs="Arial"/>
      <w:sz w:val="40"/>
      <w:szCs w:val="40"/>
    </w:rPr>
  </w:style>
  <w:style w:type="paragraph" w:styleId="778">
    <w:name w:val="Heading 2"/>
    <w:basedOn w:val="954"/>
    <w:next w:val="954"/>
    <w:link w:val="779"/>
    <w:uiPriority w:val="9"/>
    <w:unhideWhenUsed/>
    <w:qFormat/>
    <w:pPr>
      <w:keepLines/>
      <w:keepNext/>
      <w:spacing w:before="360" w:after="200"/>
      <w:outlineLvl w:val="1"/>
    </w:pPr>
    <w:rPr>
      <w:rFonts w:ascii="Arial" w:hAnsi="Arial" w:eastAsia="Arial" w:cs="Arial"/>
      <w:sz w:val="34"/>
    </w:rPr>
  </w:style>
  <w:style w:type="character" w:styleId="779">
    <w:name w:val="Heading 2 Char"/>
    <w:link w:val="778"/>
    <w:uiPriority w:val="9"/>
    <w:rPr>
      <w:rFonts w:ascii="Arial" w:hAnsi="Arial" w:eastAsia="Arial" w:cs="Arial"/>
      <w:sz w:val="34"/>
    </w:rPr>
  </w:style>
  <w:style w:type="paragraph" w:styleId="780">
    <w:name w:val="Heading 3"/>
    <w:basedOn w:val="954"/>
    <w:next w:val="954"/>
    <w:link w:val="781"/>
    <w:uiPriority w:val="9"/>
    <w:unhideWhenUsed/>
    <w:qFormat/>
    <w:pPr>
      <w:keepLines/>
      <w:keepNext/>
      <w:spacing w:before="320" w:after="200"/>
      <w:outlineLvl w:val="2"/>
    </w:pPr>
    <w:rPr>
      <w:rFonts w:ascii="Arial" w:hAnsi="Arial" w:eastAsia="Arial" w:cs="Arial"/>
      <w:sz w:val="30"/>
      <w:szCs w:val="30"/>
    </w:rPr>
  </w:style>
  <w:style w:type="character" w:styleId="781">
    <w:name w:val="Heading 3 Char"/>
    <w:link w:val="780"/>
    <w:uiPriority w:val="9"/>
    <w:rPr>
      <w:rFonts w:ascii="Arial" w:hAnsi="Arial" w:eastAsia="Arial" w:cs="Arial"/>
      <w:sz w:val="30"/>
      <w:szCs w:val="30"/>
    </w:rPr>
  </w:style>
  <w:style w:type="paragraph" w:styleId="782">
    <w:name w:val="Heading 4"/>
    <w:basedOn w:val="954"/>
    <w:next w:val="954"/>
    <w:link w:val="783"/>
    <w:uiPriority w:val="9"/>
    <w:unhideWhenUsed/>
    <w:qFormat/>
    <w:pPr>
      <w:keepLines/>
      <w:keepNext/>
      <w:spacing w:before="320" w:after="200"/>
      <w:outlineLvl w:val="3"/>
    </w:pPr>
    <w:rPr>
      <w:rFonts w:ascii="Arial" w:hAnsi="Arial" w:eastAsia="Arial" w:cs="Arial"/>
      <w:b/>
      <w:bCs/>
      <w:sz w:val="26"/>
      <w:szCs w:val="26"/>
    </w:rPr>
  </w:style>
  <w:style w:type="character" w:styleId="783">
    <w:name w:val="Heading 4 Char"/>
    <w:link w:val="782"/>
    <w:uiPriority w:val="9"/>
    <w:rPr>
      <w:rFonts w:ascii="Arial" w:hAnsi="Arial" w:eastAsia="Arial" w:cs="Arial"/>
      <w:b/>
      <w:bCs/>
      <w:sz w:val="26"/>
      <w:szCs w:val="26"/>
    </w:rPr>
  </w:style>
  <w:style w:type="paragraph" w:styleId="784">
    <w:name w:val="Heading 5"/>
    <w:basedOn w:val="954"/>
    <w:next w:val="954"/>
    <w:link w:val="785"/>
    <w:uiPriority w:val="9"/>
    <w:unhideWhenUsed/>
    <w:qFormat/>
    <w:pPr>
      <w:keepLines/>
      <w:keepNext/>
      <w:spacing w:before="320" w:after="200"/>
      <w:outlineLvl w:val="4"/>
    </w:pPr>
    <w:rPr>
      <w:rFonts w:ascii="Arial" w:hAnsi="Arial" w:eastAsia="Arial" w:cs="Arial"/>
      <w:b/>
      <w:bCs/>
      <w:sz w:val="24"/>
      <w:szCs w:val="24"/>
    </w:rPr>
  </w:style>
  <w:style w:type="character" w:styleId="785">
    <w:name w:val="Heading 5 Char"/>
    <w:link w:val="784"/>
    <w:uiPriority w:val="9"/>
    <w:rPr>
      <w:rFonts w:ascii="Arial" w:hAnsi="Arial" w:eastAsia="Arial" w:cs="Arial"/>
      <w:b/>
      <w:bCs/>
      <w:sz w:val="24"/>
      <w:szCs w:val="24"/>
    </w:rPr>
  </w:style>
  <w:style w:type="paragraph" w:styleId="786">
    <w:name w:val="Heading 6"/>
    <w:basedOn w:val="954"/>
    <w:next w:val="954"/>
    <w:link w:val="787"/>
    <w:uiPriority w:val="9"/>
    <w:unhideWhenUsed/>
    <w:qFormat/>
    <w:pPr>
      <w:keepLines/>
      <w:keepNext/>
      <w:spacing w:before="320" w:after="200"/>
      <w:outlineLvl w:val="5"/>
    </w:pPr>
    <w:rPr>
      <w:rFonts w:ascii="Arial" w:hAnsi="Arial" w:eastAsia="Arial" w:cs="Arial"/>
      <w:b/>
      <w:bCs/>
      <w:sz w:val="22"/>
      <w:szCs w:val="22"/>
    </w:rPr>
  </w:style>
  <w:style w:type="character" w:styleId="787">
    <w:name w:val="Heading 6 Char"/>
    <w:link w:val="786"/>
    <w:uiPriority w:val="9"/>
    <w:rPr>
      <w:rFonts w:ascii="Arial" w:hAnsi="Arial" w:eastAsia="Arial" w:cs="Arial"/>
      <w:b/>
      <w:bCs/>
      <w:sz w:val="22"/>
      <w:szCs w:val="22"/>
    </w:rPr>
  </w:style>
  <w:style w:type="paragraph" w:styleId="788">
    <w:name w:val="Heading 7"/>
    <w:basedOn w:val="954"/>
    <w:next w:val="954"/>
    <w:link w:val="789"/>
    <w:uiPriority w:val="9"/>
    <w:unhideWhenUsed/>
    <w:qFormat/>
    <w:pPr>
      <w:keepLines/>
      <w:keepNext/>
      <w:spacing w:before="320" w:after="200"/>
      <w:outlineLvl w:val="6"/>
    </w:pPr>
    <w:rPr>
      <w:rFonts w:ascii="Arial" w:hAnsi="Arial" w:eastAsia="Arial" w:cs="Arial"/>
      <w:b/>
      <w:bCs/>
      <w:i/>
      <w:iCs/>
      <w:sz w:val="22"/>
      <w:szCs w:val="22"/>
    </w:rPr>
  </w:style>
  <w:style w:type="character" w:styleId="789">
    <w:name w:val="Heading 7 Char"/>
    <w:link w:val="788"/>
    <w:uiPriority w:val="9"/>
    <w:rPr>
      <w:rFonts w:ascii="Arial" w:hAnsi="Arial" w:eastAsia="Arial" w:cs="Arial"/>
      <w:b/>
      <w:bCs/>
      <w:i/>
      <w:iCs/>
      <w:sz w:val="22"/>
      <w:szCs w:val="22"/>
    </w:rPr>
  </w:style>
  <w:style w:type="paragraph" w:styleId="790">
    <w:name w:val="Heading 8"/>
    <w:basedOn w:val="954"/>
    <w:next w:val="954"/>
    <w:link w:val="791"/>
    <w:uiPriority w:val="9"/>
    <w:unhideWhenUsed/>
    <w:qFormat/>
    <w:pPr>
      <w:keepLines/>
      <w:keepNext/>
      <w:spacing w:before="320" w:after="200"/>
      <w:outlineLvl w:val="7"/>
    </w:pPr>
    <w:rPr>
      <w:rFonts w:ascii="Arial" w:hAnsi="Arial" w:eastAsia="Arial" w:cs="Arial"/>
      <w:i/>
      <w:iCs/>
      <w:sz w:val="22"/>
      <w:szCs w:val="22"/>
    </w:rPr>
  </w:style>
  <w:style w:type="character" w:styleId="791">
    <w:name w:val="Heading 8 Char"/>
    <w:link w:val="790"/>
    <w:uiPriority w:val="9"/>
    <w:rPr>
      <w:rFonts w:ascii="Arial" w:hAnsi="Arial" w:eastAsia="Arial" w:cs="Arial"/>
      <w:i/>
      <w:iCs/>
      <w:sz w:val="22"/>
      <w:szCs w:val="22"/>
    </w:rPr>
  </w:style>
  <w:style w:type="paragraph" w:styleId="792">
    <w:name w:val="Heading 9"/>
    <w:basedOn w:val="954"/>
    <w:next w:val="954"/>
    <w:link w:val="793"/>
    <w:uiPriority w:val="9"/>
    <w:unhideWhenUsed/>
    <w:qFormat/>
    <w:pPr>
      <w:keepLines/>
      <w:keepNext/>
      <w:spacing w:before="320" w:after="200"/>
      <w:outlineLvl w:val="8"/>
    </w:pPr>
    <w:rPr>
      <w:rFonts w:ascii="Arial" w:hAnsi="Arial" w:eastAsia="Arial" w:cs="Arial"/>
      <w:i/>
      <w:iCs/>
      <w:sz w:val="21"/>
      <w:szCs w:val="21"/>
    </w:rPr>
  </w:style>
  <w:style w:type="character" w:styleId="793">
    <w:name w:val="Heading 9 Char"/>
    <w:link w:val="792"/>
    <w:uiPriority w:val="9"/>
    <w:rPr>
      <w:rFonts w:ascii="Arial" w:hAnsi="Arial" w:eastAsia="Arial" w:cs="Arial"/>
      <w:i/>
      <w:iCs/>
      <w:sz w:val="21"/>
      <w:szCs w:val="21"/>
    </w:rPr>
  </w:style>
  <w:style w:type="paragraph" w:styleId="794">
    <w:name w:val="List Paragraph"/>
    <w:basedOn w:val="954"/>
    <w:uiPriority w:val="34"/>
    <w:qFormat/>
    <w:pPr>
      <w:contextualSpacing/>
      <w:ind w:left="720"/>
    </w:pPr>
  </w:style>
  <w:style w:type="paragraph" w:styleId="795">
    <w:name w:val="No Spacing"/>
    <w:uiPriority w:val="1"/>
    <w:qFormat/>
    <w:pPr>
      <w:spacing w:before="0" w:after="0" w:line="240" w:lineRule="auto"/>
    </w:pPr>
  </w:style>
  <w:style w:type="paragraph" w:styleId="796">
    <w:name w:val="Title"/>
    <w:basedOn w:val="954"/>
    <w:next w:val="954"/>
    <w:link w:val="797"/>
    <w:uiPriority w:val="10"/>
    <w:qFormat/>
    <w:pPr>
      <w:contextualSpacing/>
      <w:spacing w:before="300" w:after="200"/>
    </w:pPr>
    <w:rPr>
      <w:sz w:val="48"/>
      <w:szCs w:val="48"/>
    </w:rPr>
  </w:style>
  <w:style w:type="character" w:styleId="797">
    <w:name w:val="Title Char"/>
    <w:link w:val="796"/>
    <w:uiPriority w:val="10"/>
    <w:rPr>
      <w:sz w:val="48"/>
      <w:szCs w:val="48"/>
    </w:rPr>
  </w:style>
  <w:style w:type="paragraph" w:styleId="798">
    <w:name w:val="Subtitle"/>
    <w:basedOn w:val="954"/>
    <w:next w:val="954"/>
    <w:link w:val="799"/>
    <w:uiPriority w:val="11"/>
    <w:qFormat/>
    <w:pPr>
      <w:spacing w:before="200" w:after="200"/>
    </w:pPr>
    <w:rPr>
      <w:sz w:val="24"/>
      <w:szCs w:val="24"/>
    </w:rPr>
  </w:style>
  <w:style w:type="character" w:styleId="799">
    <w:name w:val="Subtitle Char"/>
    <w:link w:val="798"/>
    <w:uiPriority w:val="11"/>
    <w:rPr>
      <w:sz w:val="24"/>
      <w:szCs w:val="24"/>
    </w:rPr>
  </w:style>
  <w:style w:type="paragraph" w:styleId="800">
    <w:name w:val="Quote"/>
    <w:basedOn w:val="954"/>
    <w:next w:val="954"/>
    <w:link w:val="801"/>
    <w:uiPriority w:val="29"/>
    <w:qFormat/>
    <w:pPr>
      <w:ind w:left="720" w:right="720"/>
    </w:pPr>
    <w:rPr>
      <w:i/>
    </w:rPr>
  </w:style>
  <w:style w:type="character" w:styleId="801">
    <w:name w:val="Quote Char"/>
    <w:link w:val="800"/>
    <w:uiPriority w:val="29"/>
    <w:rPr>
      <w:i/>
    </w:rPr>
  </w:style>
  <w:style w:type="paragraph" w:styleId="802">
    <w:name w:val="Intense Quote"/>
    <w:basedOn w:val="954"/>
    <w:next w:val="954"/>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name w:val="Intense Quote Char"/>
    <w:link w:val="802"/>
    <w:uiPriority w:val="30"/>
    <w:rPr>
      <w:i/>
    </w:rPr>
  </w:style>
  <w:style w:type="paragraph" w:styleId="804">
    <w:name w:val="Header"/>
    <w:basedOn w:val="954"/>
    <w:link w:val="805"/>
    <w:uiPriority w:val="99"/>
    <w:unhideWhenUsed/>
    <w:pPr>
      <w:spacing w:after="0" w:line="240" w:lineRule="auto"/>
      <w:tabs>
        <w:tab w:val="center" w:pos="7143" w:leader="none"/>
        <w:tab w:val="right" w:pos="14287" w:leader="none"/>
      </w:tabs>
    </w:pPr>
  </w:style>
  <w:style w:type="character" w:styleId="805">
    <w:name w:val="Header Char"/>
    <w:link w:val="804"/>
    <w:uiPriority w:val="99"/>
  </w:style>
  <w:style w:type="paragraph" w:styleId="806">
    <w:name w:val="Footer"/>
    <w:basedOn w:val="954"/>
    <w:link w:val="809"/>
    <w:uiPriority w:val="99"/>
    <w:unhideWhenUsed/>
    <w:pPr>
      <w:spacing w:after="0" w:line="240" w:lineRule="auto"/>
      <w:tabs>
        <w:tab w:val="center" w:pos="7143" w:leader="none"/>
        <w:tab w:val="right" w:pos="14287" w:leader="none"/>
      </w:tabs>
    </w:pPr>
  </w:style>
  <w:style w:type="character" w:styleId="807">
    <w:name w:val="Footer Char"/>
    <w:link w:val="806"/>
    <w:uiPriority w:val="99"/>
  </w:style>
  <w:style w:type="paragraph" w:styleId="808">
    <w:name w:val="Caption"/>
    <w:basedOn w:val="954"/>
    <w:next w:val="954"/>
    <w:uiPriority w:val="35"/>
    <w:semiHidden/>
    <w:unhideWhenUsed/>
    <w:qFormat/>
    <w:pPr>
      <w:spacing w:line="276" w:lineRule="auto"/>
    </w:pPr>
    <w:rPr>
      <w:b/>
      <w:bCs/>
      <w:color w:val="4f81bd" w:themeColor="accent1"/>
      <w:sz w:val="18"/>
      <w:szCs w:val="18"/>
    </w:rPr>
  </w:style>
  <w:style w:type="character" w:styleId="809">
    <w:name w:val="Caption Char"/>
    <w:basedOn w:val="808"/>
    <w:link w:val="806"/>
    <w:uiPriority w:val="99"/>
  </w:style>
  <w:style w:type="table" w:styleId="8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6">
    <w:name w:val="Hyperlink"/>
    <w:uiPriority w:val="99"/>
    <w:unhideWhenUsed/>
    <w:rPr>
      <w:color w:val="0000ff" w:themeColor="hyperlink"/>
      <w:u w:val="single"/>
    </w:rPr>
  </w:style>
  <w:style w:type="paragraph" w:styleId="937">
    <w:name w:val="footnote text"/>
    <w:basedOn w:val="954"/>
    <w:link w:val="938"/>
    <w:uiPriority w:val="99"/>
    <w:semiHidden/>
    <w:unhideWhenUsed/>
    <w:pPr>
      <w:spacing w:after="40" w:line="240" w:lineRule="auto"/>
    </w:pPr>
    <w:rPr>
      <w:sz w:val="18"/>
    </w:rPr>
  </w:style>
  <w:style w:type="character" w:styleId="938">
    <w:name w:val="Footnote Text Char"/>
    <w:link w:val="937"/>
    <w:uiPriority w:val="99"/>
    <w:rPr>
      <w:sz w:val="18"/>
    </w:rPr>
  </w:style>
  <w:style w:type="character" w:styleId="939">
    <w:name w:val="footnote reference"/>
    <w:uiPriority w:val="99"/>
    <w:unhideWhenUsed/>
    <w:rPr>
      <w:vertAlign w:val="superscript"/>
    </w:rPr>
  </w:style>
  <w:style w:type="paragraph" w:styleId="940">
    <w:name w:val="endnote text"/>
    <w:basedOn w:val="954"/>
    <w:link w:val="941"/>
    <w:uiPriority w:val="99"/>
    <w:semiHidden/>
    <w:unhideWhenUsed/>
    <w:pPr>
      <w:spacing w:after="0" w:line="240" w:lineRule="auto"/>
    </w:pPr>
    <w:rPr>
      <w:sz w:val="20"/>
    </w:rPr>
  </w:style>
  <w:style w:type="character" w:styleId="941">
    <w:name w:val="Endnote Text Char"/>
    <w:link w:val="940"/>
    <w:uiPriority w:val="99"/>
    <w:rPr>
      <w:sz w:val="20"/>
    </w:rPr>
  </w:style>
  <w:style w:type="character" w:styleId="942">
    <w:name w:val="endnote reference"/>
    <w:uiPriority w:val="99"/>
    <w:semiHidden/>
    <w:unhideWhenUsed/>
    <w:rPr>
      <w:vertAlign w:val="superscript"/>
    </w:rPr>
  </w:style>
  <w:style w:type="paragraph" w:styleId="943">
    <w:name w:val="toc 1"/>
    <w:basedOn w:val="954"/>
    <w:next w:val="954"/>
    <w:uiPriority w:val="39"/>
    <w:unhideWhenUsed/>
    <w:pPr>
      <w:ind w:left="0" w:right="0" w:firstLine="0"/>
      <w:spacing w:after="57"/>
    </w:pPr>
  </w:style>
  <w:style w:type="paragraph" w:styleId="944">
    <w:name w:val="toc 2"/>
    <w:basedOn w:val="954"/>
    <w:next w:val="954"/>
    <w:uiPriority w:val="39"/>
    <w:unhideWhenUsed/>
    <w:pPr>
      <w:ind w:left="283" w:right="0" w:firstLine="0"/>
      <w:spacing w:after="57"/>
    </w:pPr>
  </w:style>
  <w:style w:type="paragraph" w:styleId="945">
    <w:name w:val="toc 3"/>
    <w:basedOn w:val="954"/>
    <w:next w:val="954"/>
    <w:uiPriority w:val="39"/>
    <w:unhideWhenUsed/>
    <w:pPr>
      <w:ind w:left="567" w:right="0" w:firstLine="0"/>
      <w:spacing w:after="57"/>
    </w:pPr>
  </w:style>
  <w:style w:type="paragraph" w:styleId="946">
    <w:name w:val="toc 4"/>
    <w:basedOn w:val="954"/>
    <w:next w:val="954"/>
    <w:uiPriority w:val="39"/>
    <w:unhideWhenUsed/>
    <w:pPr>
      <w:ind w:left="850" w:right="0" w:firstLine="0"/>
      <w:spacing w:after="57"/>
    </w:pPr>
  </w:style>
  <w:style w:type="paragraph" w:styleId="947">
    <w:name w:val="toc 5"/>
    <w:basedOn w:val="954"/>
    <w:next w:val="954"/>
    <w:uiPriority w:val="39"/>
    <w:unhideWhenUsed/>
    <w:pPr>
      <w:ind w:left="1134" w:right="0" w:firstLine="0"/>
      <w:spacing w:after="57"/>
    </w:pPr>
  </w:style>
  <w:style w:type="paragraph" w:styleId="948">
    <w:name w:val="toc 6"/>
    <w:basedOn w:val="954"/>
    <w:next w:val="954"/>
    <w:uiPriority w:val="39"/>
    <w:unhideWhenUsed/>
    <w:pPr>
      <w:ind w:left="1417" w:right="0" w:firstLine="0"/>
      <w:spacing w:after="57"/>
    </w:pPr>
  </w:style>
  <w:style w:type="paragraph" w:styleId="949">
    <w:name w:val="toc 7"/>
    <w:basedOn w:val="954"/>
    <w:next w:val="954"/>
    <w:uiPriority w:val="39"/>
    <w:unhideWhenUsed/>
    <w:pPr>
      <w:ind w:left="1701" w:right="0" w:firstLine="0"/>
      <w:spacing w:after="57"/>
    </w:pPr>
  </w:style>
  <w:style w:type="paragraph" w:styleId="950">
    <w:name w:val="toc 8"/>
    <w:basedOn w:val="954"/>
    <w:next w:val="954"/>
    <w:uiPriority w:val="39"/>
    <w:unhideWhenUsed/>
    <w:pPr>
      <w:ind w:left="1984" w:right="0" w:firstLine="0"/>
      <w:spacing w:after="57"/>
    </w:pPr>
  </w:style>
  <w:style w:type="paragraph" w:styleId="951">
    <w:name w:val="toc 9"/>
    <w:basedOn w:val="954"/>
    <w:next w:val="954"/>
    <w:uiPriority w:val="39"/>
    <w:unhideWhenUsed/>
    <w:pPr>
      <w:ind w:left="2268" w:right="0" w:firstLine="0"/>
      <w:spacing w:after="57"/>
    </w:pPr>
  </w:style>
  <w:style w:type="paragraph" w:styleId="952">
    <w:name w:val="TOC Heading"/>
    <w:uiPriority w:val="39"/>
    <w:unhideWhenUsed/>
  </w:style>
  <w:style w:type="paragraph" w:styleId="953">
    <w:name w:val="table of figures"/>
    <w:basedOn w:val="954"/>
    <w:next w:val="954"/>
    <w:uiPriority w:val="99"/>
    <w:unhideWhenUsed/>
    <w:pPr>
      <w:spacing w:after="0" w:afterAutospacing="0"/>
    </w:pPr>
  </w:style>
  <w:style w:type="paragraph" w:styleId="954" w:default="1">
    <w:name w:val="Normal"/>
    <w:next w:val="966"/>
    <w:link w:val="954"/>
    <w:qFormat/>
    <w:pPr>
      <w:jc w:val="both"/>
      <w:widowControl w:val="off"/>
    </w:pPr>
    <w:rPr>
      <w:rFonts w:ascii="Times New Roman" w:hAnsi="Times New Roman"/>
      <w:sz w:val="21"/>
      <w:szCs w:val="21"/>
      <w:lang w:val="en-US" w:eastAsia="zh-CN" w:bidi="ar-SA"/>
    </w:rPr>
  </w:style>
  <w:style w:type="paragraph" w:styleId="955">
    <w:name w:val="标题 1"/>
    <w:basedOn w:val="954"/>
    <w:next w:val="954"/>
    <w:link w:val="971"/>
    <w:qFormat/>
    <w:pPr>
      <w:jc w:val="center"/>
      <w:keepNext/>
      <w:outlineLvl w:val="0"/>
    </w:pPr>
    <w:rPr>
      <w:rFonts w:ascii="楷体_GB2312" w:eastAsia="楷体_GB2312"/>
      <w:sz w:val="28"/>
      <w:szCs w:val="28"/>
    </w:rPr>
  </w:style>
  <w:style w:type="paragraph" w:styleId="956">
    <w:name w:val="标题 2"/>
    <w:basedOn w:val="954"/>
    <w:next w:val="973"/>
    <w:link w:val="972"/>
    <w:qFormat/>
    <w:pPr>
      <w:jc w:val="center"/>
      <w:keepLines/>
      <w:keepNext/>
      <w:spacing w:before="260" w:after="260" w:line="416" w:lineRule="auto"/>
      <w:outlineLvl w:val="1"/>
    </w:pPr>
    <w:rPr>
      <w:rFonts w:ascii="Arial" w:hAnsi="Arial" w:eastAsia="幼圆" w:cs="Arial"/>
      <w:b/>
      <w:bCs/>
      <w:sz w:val="44"/>
      <w:szCs w:val="44"/>
    </w:rPr>
  </w:style>
  <w:style w:type="paragraph" w:styleId="957">
    <w:name w:val="标题 3"/>
    <w:basedOn w:val="954"/>
    <w:next w:val="973"/>
    <w:link w:val="975"/>
    <w:qFormat/>
    <w:pPr>
      <w:keepLines/>
      <w:keepNext/>
      <w:spacing w:before="260" w:after="260" w:line="416" w:lineRule="auto"/>
      <w:outlineLvl w:val="2"/>
    </w:pPr>
    <w:rPr>
      <w:b/>
      <w:bCs/>
      <w:sz w:val="32"/>
      <w:szCs w:val="32"/>
    </w:rPr>
  </w:style>
  <w:style w:type="paragraph" w:styleId="958">
    <w:name w:val="标题 4"/>
    <w:basedOn w:val="954"/>
    <w:next w:val="973"/>
    <w:link w:val="976"/>
    <w:qFormat/>
    <w:pPr>
      <w:keepLines/>
      <w:keepNext/>
      <w:spacing w:before="280" w:after="290" w:line="376" w:lineRule="auto"/>
      <w:outlineLvl w:val="3"/>
    </w:pPr>
    <w:rPr>
      <w:rFonts w:ascii="Arial" w:hAnsi="Arial" w:eastAsia="黑体" w:cs="Arial"/>
      <w:b/>
      <w:bCs/>
      <w:sz w:val="28"/>
      <w:szCs w:val="28"/>
    </w:rPr>
  </w:style>
  <w:style w:type="paragraph" w:styleId="959">
    <w:name w:val="标题 5"/>
    <w:basedOn w:val="954"/>
    <w:next w:val="973"/>
    <w:link w:val="977"/>
    <w:qFormat/>
    <w:pPr>
      <w:keepNext/>
      <w:outlineLvl w:val="4"/>
    </w:pPr>
    <w:rPr>
      <w:rFonts w:ascii="宋体"/>
      <w:color w:val="000000"/>
      <w:sz w:val="28"/>
      <w:szCs w:val="28"/>
    </w:rPr>
  </w:style>
  <w:style w:type="paragraph" w:styleId="960">
    <w:name w:val="标题 6"/>
    <w:basedOn w:val="954"/>
    <w:next w:val="954"/>
    <w:link w:val="978"/>
    <w:qFormat/>
    <w:pPr>
      <w:numPr>
        <w:ilvl w:val="5"/>
        <w:numId w:val="1"/>
      </w:numPr>
      <w:keepLines/>
      <w:keepNext/>
      <w:spacing w:before="240" w:after="64" w:line="320" w:lineRule="auto"/>
      <w:outlineLvl w:val="5"/>
    </w:pPr>
    <w:rPr>
      <w:rFonts w:ascii="Arial" w:hAnsi="Arial" w:eastAsia="黑体"/>
      <w:b/>
      <w:bCs/>
      <w:sz w:val="24"/>
      <w:szCs w:val="24"/>
    </w:rPr>
  </w:style>
  <w:style w:type="paragraph" w:styleId="961">
    <w:name w:val="标题 7"/>
    <w:basedOn w:val="954"/>
    <w:next w:val="954"/>
    <w:link w:val="979"/>
    <w:qFormat/>
    <w:pPr>
      <w:numPr>
        <w:ilvl w:val="6"/>
        <w:numId w:val="1"/>
      </w:numPr>
      <w:keepLines/>
      <w:keepNext/>
      <w:spacing w:before="240" w:after="64" w:line="320" w:lineRule="auto"/>
      <w:outlineLvl w:val="6"/>
    </w:pPr>
    <w:rPr>
      <w:b/>
      <w:bCs/>
      <w:sz w:val="24"/>
      <w:szCs w:val="24"/>
    </w:rPr>
  </w:style>
  <w:style w:type="paragraph" w:styleId="962">
    <w:name w:val="标题 8"/>
    <w:basedOn w:val="954"/>
    <w:next w:val="954"/>
    <w:link w:val="980"/>
    <w:qFormat/>
    <w:pPr>
      <w:numPr>
        <w:ilvl w:val="7"/>
        <w:numId w:val="1"/>
      </w:numPr>
      <w:keepLines/>
      <w:keepNext/>
      <w:spacing w:before="240" w:after="64" w:line="320" w:lineRule="auto"/>
      <w:outlineLvl w:val="7"/>
    </w:pPr>
    <w:rPr>
      <w:rFonts w:ascii="Arial" w:hAnsi="Arial" w:eastAsia="黑体"/>
      <w:sz w:val="24"/>
      <w:szCs w:val="24"/>
    </w:rPr>
  </w:style>
  <w:style w:type="paragraph" w:styleId="963">
    <w:name w:val="标题 9"/>
    <w:basedOn w:val="954"/>
    <w:next w:val="954"/>
    <w:link w:val="981"/>
    <w:qFormat/>
    <w:pPr>
      <w:numPr>
        <w:ilvl w:val="8"/>
        <w:numId w:val="1"/>
      </w:numPr>
      <w:keepLines/>
      <w:keepNext/>
      <w:spacing w:before="240" w:after="64" w:line="320" w:lineRule="auto"/>
      <w:outlineLvl w:val="8"/>
    </w:pPr>
    <w:rPr>
      <w:rFonts w:ascii="Arial" w:hAnsi="Arial" w:eastAsia="黑体"/>
    </w:rPr>
  </w:style>
  <w:style w:type="character" w:styleId="964">
    <w:name w:val="默认段落字体"/>
    <w:next w:val="964"/>
    <w:link w:val="954"/>
    <w:uiPriority w:val="1"/>
    <w:unhideWhenUsed/>
  </w:style>
  <w:style w:type="table" w:styleId="965">
    <w:name w:val="普通表格"/>
    <w:next w:val="965"/>
    <w:link w:val="954"/>
    <w:uiPriority w:val="99"/>
    <w:unhideWhenUsed/>
    <w:tblPr/>
  </w:style>
  <w:style w:type="paragraph" w:styleId="966">
    <w:name w:val="正文首行缩进 2"/>
    <w:basedOn w:val="967"/>
    <w:next w:val="954"/>
    <w:link w:val="970"/>
    <w:pPr>
      <w:ind w:firstLine="420"/>
      <w:spacing w:line="360" w:lineRule="auto"/>
    </w:pPr>
    <w:rPr>
      <w:rFonts w:ascii="宋体" w:hAnsi="宋体" w:eastAsia="宋体"/>
      <w:sz w:val="21"/>
      <w:szCs w:val="20"/>
    </w:rPr>
  </w:style>
  <w:style w:type="paragraph" w:styleId="967">
    <w:name w:val="正文文本缩进"/>
    <w:basedOn w:val="954"/>
    <w:next w:val="969"/>
    <w:link w:val="968"/>
    <w:pPr>
      <w:ind w:firstLine="645"/>
    </w:pPr>
    <w:rPr>
      <w:rFonts w:ascii="楷体_GB2312" w:eastAsia="楷体_GB2312"/>
      <w:sz w:val="32"/>
      <w:szCs w:val="32"/>
    </w:rPr>
  </w:style>
  <w:style w:type="character" w:styleId="968">
    <w:name w:val="正文文本缩进 Char"/>
    <w:next w:val="968"/>
    <w:link w:val="967"/>
    <w:rPr>
      <w:rFonts w:ascii="楷体_GB2312" w:hAnsi="Times New Roman" w:eastAsia="楷体_GB2312" w:cs="Times New Roman"/>
      <w:sz w:val="32"/>
      <w:szCs w:val="32"/>
    </w:rPr>
  </w:style>
  <w:style w:type="paragraph" w:styleId="969">
    <w:name w:val="寄信人地址"/>
    <w:basedOn w:val="954"/>
    <w:next w:val="969"/>
    <w:link w:val="954"/>
    <w:qFormat/>
    <w:rPr>
      <w:rFonts w:ascii="Arial" w:hAnsi="Arial" w:eastAsia="宋体" w:cs="宋体"/>
    </w:rPr>
  </w:style>
  <w:style w:type="character" w:styleId="970">
    <w:name w:val="正文首行缩进 2 Char"/>
    <w:next w:val="970"/>
    <w:link w:val="966"/>
    <w:rPr>
      <w:rFonts w:ascii="宋体" w:hAnsi="宋体" w:eastAsia="宋体" w:cs="Times New Roman"/>
      <w:sz w:val="32"/>
      <w:szCs w:val="20"/>
    </w:rPr>
  </w:style>
  <w:style w:type="character" w:styleId="971">
    <w:name w:val="标题 1 Char"/>
    <w:next w:val="971"/>
    <w:link w:val="955"/>
    <w:rPr>
      <w:rFonts w:ascii="楷体_GB2312" w:hAnsi="Times New Roman" w:eastAsia="楷体_GB2312" w:cs="Times New Roman"/>
      <w:sz w:val="28"/>
      <w:szCs w:val="28"/>
    </w:rPr>
  </w:style>
  <w:style w:type="character" w:styleId="972">
    <w:name w:val="标题 2 Char"/>
    <w:next w:val="972"/>
    <w:link w:val="956"/>
    <w:rPr>
      <w:rFonts w:ascii="Arial" w:hAnsi="Arial" w:eastAsia="幼圆" w:cs="Arial"/>
      <w:b/>
      <w:bCs/>
      <w:sz w:val="44"/>
      <w:szCs w:val="44"/>
    </w:rPr>
  </w:style>
  <w:style w:type="paragraph" w:styleId="973">
    <w:name w:val="正文缩进"/>
    <w:basedOn w:val="954"/>
    <w:next w:val="973"/>
    <w:link w:val="974"/>
    <w:pPr>
      <w:ind w:firstLine="420"/>
    </w:pPr>
  </w:style>
  <w:style w:type="character" w:styleId="974">
    <w:name w:val="正文缩进 Char"/>
    <w:next w:val="974"/>
    <w:link w:val="973"/>
    <w:rPr>
      <w:rFonts w:ascii="Times New Roman" w:hAnsi="Times New Roman" w:eastAsia="宋体" w:cs="Times New Roman"/>
      <w:szCs w:val="21"/>
    </w:rPr>
  </w:style>
  <w:style w:type="character" w:styleId="975">
    <w:name w:val="标题 3 Char"/>
    <w:next w:val="975"/>
    <w:link w:val="957"/>
    <w:rPr>
      <w:rFonts w:ascii="Times New Roman" w:hAnsi="Times New Roman" w:eastAsia="宋体" w:cs="Times New Roman"/>
      <w:b/>
      <w:bCs/>
      <w:sz w:val="32"/>
      <w:szCs w:val="32"/>
    </w:rPr>
  </w:style>
  <w:style w:type="character" w:styleId="976">
    <w:name w:val="标题 4 Char"/>
    <w:next w:val="976"/>
    <w:link w:val="958"/>
    <w:rPr>
      <w:rFonts w:ascii="Arial" w:hAnsi="Arial" w:eastAsia="黑体" w:cs="Arial"/>
      <w:b/>
      <w:bCs/>
      <w:sz w:val="28"/>
      <w:szCs w:val="28"/>
    </w:rPr>
  </w:style>
  <w:style w:type="character" w:styleId="977">
    <w:name w:val="标题 5 Char"/>
    <w:next w:val="977"/>
    <w:link w:val="959"/>
    <w:rPr>
      <w:rFonts w:ascii="宋体" w:hAnsi="Times New Roman" w:eastAsia="宋体" w:cs="Times New Roman"/>
      <w:color w:val="000000"/>
      <w:sz w:val="28"/>
      <w:szCs w:val="28"/>
    </w:rPr>
  </w:style>
  <w:style w:type="character" w:styleId="978">
    <w:name w:val="标题 6 Char"/>
    <w:next w:val="978"/>
    <w:link w:val="960"/>
    <w:rPr>
      <w:rFonts w:ascii="Arial" w:hAnsi="Arial" w:eastAsia="黑体" w:cs="Times New Roman"/>
      <w:b/>
      <w:bCs/>
      <w:sz w:val="24"/>
      <w:szCs w:val="24"/>
    </w:rPr>
  </w:style>
  <w:style w:type="character" w:styleId="979">
    <w:name w:val="标题 7 Char"/>
    <w:next w:val="979"/>
    <w:link w:val="961"/>
    <w:rPr>
      <w:rFonts w:ascii="Times New Roman" w:hAnsi="Times New Roman" w:eastAsia="宋体" w:cs="Times New Roman"/>
      <w:b/>
      <w:bCs/>
      <w:sz w:val="24"/>
      <w:szCs w:val="24"/>
    </w:rPr>
  </w:style>
  <w:style w:type="character" w:styleId="980">
    <w:name w:val="标题 8 Char"/>
    <w:next w:val="980"/>
    <w:link w:val="962"/>
    <w:rPr>
      <w:rFonts w:ascii="Arial" w:hAnsi="Arial" w:eastAsia="黑体" w:cs="Times New Roman"/>
      <w:sz w:val="24"/>
      <w:szCs w:val="24"/>
    </w:rPr>
  </w:style>
  <w:style w:type="character" w:styleId="981">
    <w:name w:val="标题 9 Char"/>
    <w:next w:val="981"/>
    <w:link w:val="963"/>
    <w:rPr>
      <w:rFonts w:ascii="Arial" w:hAnsi="Arial" w:eastAsia="黑体" w:cs="Times New Roman"/>
      <w:szCs w:val="21"/>
    </w:rPr>
  </w:style>
  <w:style w:type="paragraph" w:styleId="982">
    <w:name w:val="列表 3"/>
    <w:basedOn w:val="954"/>
    <w:next w:val="982"/>
    <w:link w:val="954"/>
    <w:pPr>
      <w:ind w:left="100" w:hanging="200"/>
    </w:pPr>
  </w:style>
  <w:style w:type="paragraph" w:styleId="983">
    <w:name w:val="目录 7"/>
    <w:basedOn w:val="954"/>
    <w:next w:val="954"/>
    <w:link w:val="954"/>
    <w:semiHidden/>
    <w:pPr>
      <w:ind w:left="1260"/>
      <w:jc w:val="left"/>
    </w:pPr>
  </w:style>
  <w:style w:type="paragraph" w:styleId="984">
    <w:name w:val="文档结构图"/>
    <w:basedOn w:val="954"/>
    <w:next w:val="984"/>
    <w:link w:val="985"/>
    <w:semiHidden/>
    <w:pPr>
      <w:shd w:val="clear" w:color="auto" w:fill="000080"/>
    </w:pPr>
  </w:style>
  <w:style w:type="character" w:styleId="985">
    <w:name w:val="文档结构图 Char"/>
    <w:next w:val="985"/>
    <w:link w:val="984"/>
    <w:semiHidden/>
    <w:rPr>
      <w:rFonts w:ascii="Times New Roman" w:hAnsi="Times New Roman" w:eastAsia="宋体" w:cs="Times New Roman"/>
      <w:szCs w:val="21"/>
      <w:shd w:val="clear" w:color="auto" w:fill="000080"/>
    </w:rPr>
  </w:style>
  <w:style w:type="paragraph" w:styleId="986">
    <w:name w:val="批注文字"/>
    <w:basedOn w:val="954"/>
    <w:next w:val="986"/>
    <w:link w:val="987"/>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87">
    <w:name w:val="批注文字 Char"/>
    <w:next w:val="987"/>
    <w:link w:val="986"/>
    <w:semiHidden/>
    <w:rPr>
      <w:rFonts w:ascii="Times New Roman" w:hAnsi="Times New Roman" w:eastAsia="宋体" w:cs="Times New Roman"/>
      <w:szCs w:val="21"/>
    </w:rPr>
  </w:style>
  <w:style w:type="paragraph" w:styleId="988">
    <w:name w:val="正文文本 3"/>
    <w:basedOn w:val="954"/>
    <w:next w:val="988"/>
    <w:link w:val="989"/>
    <w:rPr>
      <w:rFonts w:ascii="仿宋_GB2312" w:hAnsi="Arial" w:eastAsia="仿宋_GB2312"/>
      <w:sz w:val="32"/>
      <w:szCs w:val="32"/>
    </w:rPr>
  </w:style>
  <w:style w:type="character" w:styleId="989">
    <w:name w:val="正文文本 3 Char"/>
    <w:next w:val="989"/>
    <w:link w:val="988"/>
    <w:rPr>
      <w:rFonts w:ascii="仿宋_GB2312" w:hAnsi="Arial" w:eastAsia="仿宋_GB2312" w:cs="Times New Roman"/>
      <w:sz w:val="32"/>
      <w:szCs w:val="32"/>
    </w:rPr>
  </w:style>
  <w:style w:type="paragraph" w:styleId="990">
    <w:name w:val="正文文本"/>
    <w:basedOn w:val="954"/>
    <w:next w:val="990"/>
    <w:link w:val="991"/>
    <w:rPr>
      <w:rFonts w:ascii="楷体_GB2312" w:hAnsi="Arial" w:eastAsia="楷体_GB2312"/>
      <w:sz w:val="28"/>
      <w:szCs w:val="28"/>
    </w:rPr>
  </w:style>
  <w:style w:type="character" w:styleId="991">
    <w:name w:val="正文文本 Char"/>
    <w:next w:val="991"/>
    <w:link w:val="990"/>
    <w:rPr>
      <w:rFonts w:ascii="楷体_GB2312" w:hAnsi="Arial" w:eastAsia="楷体_GB2312" w:cs="Times New Roman"/>
      <w:sz w:val="28"/>
      <w:szCs w:val="28"/>
    </w:rPr>
  </w:style>
  <w:style w:type="paragraph" w:styleId="992">
    <w:name w:val="列表 2"/>
    <w:basedOn w:val="954"/>
    <w:next w:val="992"/>
    <w:link w:val="954"/>
    <w:pPr>
      <w:ind w:left="100" w:hanging="200"/>
    </w:pPr>
  </w:style>
  <w:style w:type="paragraph" w:styleId="993">
    <w:name w:val="目录 5"/>
    <w:basedOn w:val="954"/>
    <w:next w:val="954"/>
    <w:link w:val="954"/>
    <w:semiHidden/>
    <w:pPr>
      <w:ind w:left="840"/>
      <w:jc w:val="left"/>
    </w:pPr>
  </w:style>
  <w:style w:type="paragraph" w:styleId="994">
    <w:name w:val="目录 3"/>
    <w:basedOn w:val="954"/>
    <w:next w:val="954"/>
    <w:link w:val="954"/>
    <w:semiHidden/>
    <w:pPr>
      <w:ind w:left="420"/>
      <w:jc w:val="left"/>
    </w:pPr>
    <w:rPr>
      <w:i/>
      <w:iCs/>
      <w:szCs w:val="24"/>
    </w:rPr>
  </w:style>
  <w:style w:type="paragraph" w:styleId="995">
    <w:name w:val="纯文本"/>
    <w:basedOn w:val="954"/>
    <w:next w:val="995"/>
    <w:link w:val="996"/>
    <w:rPr>
      <w:rFonts w:ascii="宋体" w:hAnsi="Courier New" w:cs="Courier New"/>
    </w:rPr>
  </w:style>
  <w:style w:type="character" w:styleId="996">
    <w:name w:val="纯文本 Char"/>
    <w:next w:val="996"/>
    <w:link w:val="995"/>
    <w:rPr>
      <w:rFonts w:ascii="宋体" w:hAnsi="Courier New" w:eastAsia="宋体" w:cs="Courier New"/>
      <w:szCs w:val="21"/>
    </w:rPr>
  </w:style>
  <w:style w:type="paragraph" w:styleId="997">
    <w:name w:val="目录 8"/>
    <w:basedOn w:val="954"/>
    <w:next w:val="954"/>
    <w:link w:val="954"/>
    <w:semiHidden/>
    <w:pPr>
      <w:ind w:left="1470"/>
      <w:jc w:val="left"/>
    </w:pPr>
  </w:style>
  <w:style w:type="paragraph" w:styleId="998">
    <w:name w:val="日期"/>
    <w:basedOn w:val="954"/>
    <w:next w:val="954"/>
    <w:link w:val="999"/>
    <w:rPr>
      <w:sz w:val="24"/>
      <w:szCs w:val="24"/>
    </w:rPr>
  </w:style>
  <w:style w:type="character" w:styleId="999">
    <w:name w:val="日期 Char"/>
    <w:next w:val="999"/>
    <w:link w:val="998"/>
    <w:rPr>
      <w:rFonts w:ascii="Times New Roman" w:hAnsi="Times New Roman" w:eastAsia="宋体" w:cs="Times New Roman"/>
      <w:sz w:val="24"/>
      <w:szCs w:val="24"/>
    </w:rPr>
  </w:style>
  <w:style w:type="paragraph" w:styleId="1000">
    <w:name w:val="正文文本缩进 2"/>
    <w:basedOn w:val="954"/>
    <w:next w:val="1000"/>
    <w:link w:val="1001"/>
    <w:pPr>
      <w:ind w:left="630" w:firstLine="645"/>
    </w:pPr>
    <w:rPr>
      <w:rFonts w:ascii="Arial" w:hAnsi="Arial" w:eastAsia="仿宋_GB2312" w:cs="Arial"/>
      <w:sz w:val="32"/>
      <w:szCs w:val="32"/>
    </w:rPr>
  </w:style>
  <w:style w:type="character" w:styleId="1001">
    <w:name w:val="正文文本缩进 2 Char"/>
    <w:next w:val="1001"/>
    <w:link w:val="1000"/>
    <w:rPr>
      <w:rFonts w:ascii="Arial" w:hAnsi="Arial" w:eastAsia="仿宋_GB2312" w:cs="Arial"/>
      <w:sz w:val="32"/>
      <w:szCs w:val="32"/>
    </w:rPr>
  </w:style>
  <w:style w:type="paragraph" w:styleId="1002">
    <w:name w:val="批注框文本"/>
    <w:basedOn w:val="954"/>
    <w:next w:val="1002"/>
    <w:link w:val="1003"/>
    <w:semiHidden/>
    <w:rPr>
      <w:sz w:val="18"/>
      <w:szCs w:val="18"/>
    </w:rPr>
  </w:style>
  <w:style w:type="character" w:styleId="1003">
    <w:name w:val="批注框文本 Char"/>
    <w:next w:val="1003"/>
    <w:link w:val="1002"/>
    <w:semiHidden/>
    <w:rPr>
      <w:rFonts w:ascii="Times New Roman" w:hAnsi="Times New Roman" w:eastAsia="宋体" w:cs="Times New Roman"/>
      <w:sz w:val="18"/>
      <w:szCs w:val="18"/>
    </w:rPr>
  </w:style>
  <w:style w:type="paragraph" w:styleId="1004">
    <w:name w:val="页脚"/>
    <w:basedOn w:val="954"/>
    <w:next w:val="1004"/>
    <w:link w:val="1005"/>
    <w:pPr>
      <w:jc w:val="left"/>
      <w:tabs>
        <w:tab w:val="center" w:pos="4153" w:leader="none"/>
        <w:tab w:val="right" w:pos="8306" w:leader="none"/>
      </w:tabs>
    </w:pPr>
    <w:rPr>
      <w:sz w:val="18"/>
      <w:szCs w:val="18"/>
    </w:rPr>
  </w:style>
  <w:style w:type="character" w:styleId="1005">
    <w:name w:val="页脚 Char"/>
    <w:next w:val="1005"/>
    <w:link w:val="1004"/>
    <w:rPr>
      <w:rFonts w:ascii="Times New Roman" w:hAnsi="Times New Roman" w:eastAsia="宋体" w:cs="Times New Roman"/>
      <w:sz w:val="18"/>
      <w:szCs w:val="18"/>
    </w:rPr>
  </w:style>
  <w:style w:type="paragraph" w:styleId="1006">
    <w:name w:val="页眉"/>
    <w:basedOn w:val="954"/>
    <w:next w:val="1006"/>
    <w:link w:val="1007"/>
    <w:pPr>
      <w:jc w:val="center"/>
      <w:tabs>
        <w:tab w:val="center" w:pos="4153" w:leader="none"/>
        <w:tab w:val="right" w:pos="8306" w:leader="none"/>
      </w:tabs>
      <w:pBdr>
        <w:bottom w:val="single" w:color="000000" w:sz="6" w:space="1"/>
      </w:pBdr>
    </w:pPr>
    <w:rPr>
      <w:sz w:val="18"/>
      <w:szCs w:val="18"/>
    </w:rPr>
  </w:style>
  <w:style w:type="character" w:styleId="1007">
    <w:name w:val="页眉 Char"/>
    <w:next w:val="1007"/>
    <w:link w:val="1006"/>
    <w:rPr>
      <w:rFonts w:ascii="Times New Roman" w:hAnsi="Times New Roman" w:eastAsia="宋体" w:cs="Times New Roman"/>
      <w:sz w:val="18"/>
      <w:szCs w:val="18"/>
    </w:rPr>
  </w:style>
  <w:style w:type="paragraph" w:styleId="1008">
    <w:name w:val="目录 1"/>
    <w:basedOn w:val="954"/>
    <w:next w:val="954"/>
    <w:link w:val="954"/>
    <w:semiHidden/>
    <w:pPr>
      <w:jc w:val="left"/>
      <w:spacing w:before="120" w:after="120" w:line="400" w:lineRule="exact"/>
      <w:tabs>
        <w:tab w:val="right" w:pos="8720" w:leader="dot"/>
      </w:tabs>
    </w:pPr>
    <w:rPr>
      <w:rFonts w:ascii="宋体" w:hAnsi="宋体"/>
      <w:caps/>
      <w:sz w:val="24"/>
      <w:szCs w:val="24"/>
    </w:rPr>
  </w:style>
  <w:style w:type="paragraph" w:styleId="1009">
    <w:name w:val="目录 4"/>
    <w:basedOn w:val="954"/>
    <w:next w:val="954"/>
    <w:link w:val="954"/>
    <w:semiHidden/>
    <w:pPr>
      <w:ind w:left="630"/>
      <w:jc w:val="left"/>
    </w:pPr>
  </w:style>
  <w:style w:type="paragraph" w:styleId="1010">
    <w:name w:val="列表"/>
    <w:basedOn w:val="954"/>
    <w:next w:val="1010"/>
    <w:link w:val="954"/>
    <w:pPr>
      <w:ind w:left="200" w:hanging="200"/>
    </w:pPr>
  </w:style>
  <w:style w:type="paragraph" w:styleId="1011">
    <w:name w:val="目录 6"/>
    <w:basedOn w:val="954"/>
    <w:next w:val="954"/>
    <w:link w:val="954"/>
    <w:semiHidden/>
    <w:pPr>
      <w:ind w:left="1050"/>
      <w:jc w:val="left"/>
    </w:pPr>
  </w:style>
  <w:style w:type="paragraph" w:styleId="1012">
    <w:name w:val="正文文本缩进 3"/>
    <w:basedOn w:val="954"/>
    <w:next w:val="1012"/>
    <w:link w:val="1013"/>
    <w:pPr>
      <w:ind w:left="645" w:firstLine="645"/>
    </w:pPr>
    <w:rPr>
      <w:rFonts w:ascii="Arial" w:hAnsi="Arial" w:eastAsia="仿宋_GB2312" w:cs="Arial"/>
      <w:color w:val="ffff00"/>
      <w:sz w:val="32"/>
      <w:szCs w:val="32"/>
    </w:rPr>
  </w:style>
  <w:style w:type="character" w:styleId="1013">
    <w:name w:val="正文文本缩进 3 Char"/>
    <w:next w:val="1013"/>
    <w:link w:val="1012"/>
    <w:rPr>
      <w:rFonts w:ascii="Arial" w:hAnsi="Arial" w:eastAsia="仿宋_GB2312" w:cs="Arial"/>
      <w:color w:val="ffff00"/>
      <w:sz w:val="32"/>
      <w:szCs w:val="32"/>
    </w:rPr>
  </w:style>
  <w:style w:type="paragraph" w:styleId="1014">
    <w:name w:val="图表目录"/>
    <w:basedOn w:val="954"/>
    <w:next w:val="954"/>
    <w:link w:val="954"/>
    <w:semiHidden/>
    <w:pPr>
      <w:ind w:left="840" w:hanging="420"/>
    </w:pPr>
  </w:style>
  <w:style w:type="paragraph" w:styleId="1015">
    <w:name w:val="目录 2"/>
    <w:basedOn w:val="954"/>
    <w:next w:val="954"/>
    <w:link w:val="954"/>
    <w:semiHidden/>
    <w:pPr>
      <w:ind w:left="210"/>
      <w:jc w:val="left"/>
    </w:pPr>
    <w:rPr>
      <w:smallCaps/>
      <w:szCs w:val="24"/>
    </w:rPr>
  </w:style>
  <w:style w:type="paragraph" w:styleId="1016">
    <w:name w:val="目录 9"/>
    <w:basedOn w:val="954"/>
    <w:next w:val="954"/>
    <w:link w:val="954"/>
    <w:semiHidden/>
    <w:pPr>
      <w:ind w:left="1680"/>
      <w:jc w:val="left"/>
    </w:pPr>
  </w:style>
  <w:style w:type="paragraph" w:styleId="1017">
    <w:name w:val="正文文本 2"/>
    <w:basedOn w:val="954"/>
    <w:next w:val="1017"/>
    <w:link w:val="1018"/>
    <w:pPr>
      <w:jc w:val="center"/>
      <w:widowControl/>
    </w:pPr>
    <w:rPr>
      <w:rFonts w:ascii="楷体_GB2312" w:eastAsia="楷体_GB2312"/>
      <w:sz w:val="28"/>
      <w:szCs w:val="28"/>
    </w:rPr>
  </w:style>
  <w:style w:type="character" w:styleId="1018">
    <w:name w:val="正文文本 2 Char"/>
    <w:next w:val="1018"/>
    <w:link w:val="1017"/>
    <w:rPr>
      <w:rFonts w:ascii="楷体_GB2312" w:hAnsi="Times New Roman" w:eastAsia="楷体_GB2312" w:cs="Times New Roman"/>
      <w:sz w:val="28"/>
      <w:szCs w:val="28"/>
    </w:rPr>
  </w:style>
  <w:style w:type="paragraph" w:styleId="1019">
    <w:name w:val="普通(网站)"/>
    <w:basedOn w:val="954"/>
    <w:next w:val="1019"/>
    <w:link w:val="954"/>
    <w:uiPriority w:val="99"/>
    <w:pPr>
      <w:jc w:val="left"/>
      <w:spacing w:before="100" w:beforeAutospacing="1" w:after="100" w:afterAutospacing="1"/>
      <w:widowControl/>
    </w:pPr>
    <w:rPr>
      <w:rFonts w:ascii="宋体" w:hAnsi="宋体" w:cs="宋体"/>
      <w:sz w:val="24"/>
      <w:szCs w:val="24"/>
    </w:rPr>
  </w:style>
  <w:style w:type="paragraph" w:styleId="1020">
    <w:name w:val="索引 1"/>
    <w:basedOn w:val="954"/>
    <w:next w:val="954"/>
    <w:link w:val="954"/>
    <w:semiHidden/>
    <w:pPr>
      <w:spacing w:line="240" w:lineRule="atLeast"/>
    </w:pPr>
    <w:rPr>
      <w:b/>
      <w:bCs/>
    </w:rPr>
  </w:style>
  <w:style w:type="paragraph" w:styleId="1021">
    <w:name w:val="批注主题"/>
    <w:basedOn w:val="986"/>
    <w:next w:val="986"/>
    <w:link w:val="1022"/>
    <w:semiHidden/>
    <w:rPr>
      <w:b/>
      <w:bCs/>
    </w:rPr>
  </w:style>
  <w:style w:type="character" w:styleId="1022">
    <w:name w:val="批注主题 Char"/>
    <w:next w:val="1022"/>
    <w:link w:val="1021"/>
    <w:semiHidden/>
    <w:rPr>
      <w:rFonts w:ascii="Times New Roman" w:hAnsi="Times New Roman" w:eastAsia="宋体" w:cs="Times New Roman"/>
      <w:b/>
      <w:bCs/>
      <w:szCs w:val="21"/>
    </w:rPr>
  </w:style>
  <w:style w:type="paragraph" w:styleId="1023">
    <w:name w:val="正文首行缩进"/>
    <w:basedOn w:val="954"/>
    <w:next w:val="1023"/>
    <w:link w:val="1024"/>
    <w:pPr>
      <w:ind w:firstLine="200"/>
      <w:spacing w:line="360" w:lineRule="auto"/>
    </w:pPr>
    <w:rPr>
      <w:rFonts w:ascii="仿宋_GB2312" w:eastAsia="仿宋_GB2312"/>
      <w:sz w:val="30"/>
      <w:szCs w:val="30"/>
    </w:rPr>
  </w:style>
  <w:style w:type="character" w:styleId="1024">
    <w:name w:val="正文首行缩进 Char"/>
    <w:next w:val="1024"/>
    <w:link w:val="1023"/>
    <w:rPr>
      <w:rFonts w:ascii="仿宋_GB2312" w:hAnsi="Times New Roman" w:eastAsia="仿宋_GB2312" w:cs="Times New Roman"/>
      <w:sz w:val="30"/>
      <w:szCs w:val="30"/>
    </w:rPr>
  </w:style>
  <w:style w:type="table" w:styleId="1025">
    <w:name w:val="网格型"/>
    <w:basedOn w:val="965"/>
    <w:next w:val="1025"/>
    <w:link w:val="954"/>
    <w:pPr>
      <w:jc w:val="both"/>
      <w:widowControl w:val="off"/>
    </w:pPr>
    <w:rPr>
      <w:rFonts w:ascii="Times New Roman" w:hAnsi="Times New Roman" w:eastAsia="宋体" w:cs="Times New Roman"/>
      <w:sz w:val="20"/>
      <w:szCs w:val="20"/>
    </w:rPr>
    <w:tblPr/>
  </w:style>
  <w:style w:type="character" w:styleId="1026">
    <w:name w:val="要点"/>
    <w:next w:val="1026"/>
    <w:link w:val="954"/>
    <w:qFormat/>
    <w:rPr>
      <w:b/>
      <w:bCs/>
    </w:rPr>
  </w:style>
  <w:style w:type="character" w:styleId="1027">
    <w:name w:val="页码"/>
    <w:next w:val="1027"/>
    <w:link w:val="954"/>
  </w:style>
  <w:style w:type="character" w:styleId="1028">
    <w:name w:val="已访问的超链接"/>
    <w:next w:val="1028"/>
    <w:link w:val="954"/>
    <w:rPr>
      <w:color w:val="800080"/>
      <w:u w:val="single"/>
    </w:rPr>
  </w:style>
  <w:style w:type="character" w:styleId="1029">
    <w:name w:val="强调"/>
    <w:next w:val="1029"/>
    <w:link w:val="954"/>
    <w:qFormat/>
    <w:rPr>
      <w:i/>
    </w:rPr>
  </w:style>
  <w:style w:type="character" w:styleId="1030">
    <w:name w:val="超链接"/>
    <w:next w:val="1030"/>
    <w:link w:val="954"/>
    <w:rPr>
      <w:color w:val="0000ff"/>
      <w:u w:val="single"/>
    </w:rPr>
  </w:style>
  <w:style w:type="character" w:styleId="1031">
    <w:name w:val="批注引用"/>
    <w:next w:val="1031"/>
    <w:link w:val="954"/>
    <w:semiHidden/>
    <w:rPr>
      <w:sz w:val="21"/>
      <w:szCs w:val="21"/>
    </w:rPr>
  </w:style>
  <w:style w:type="paragraph" w:styleId="1032">
    <w:name w:val="正文1"/>
    <w:basedOn w:val="954"/>
    <w:next w:val="1032"/>
    <w:link w:val="954"/>
    <w:qFormat/>
    <w:pPr>
      <w:ind w:left="350" w:firstLine="0"/>
    </w:pPr>
    <w:rPr>
      <w:rFonts w:cs="Times New Roman"/>
      <w:sz w:val="20"/>
      <w:szCs w:val="24"/>
    </w:rPr>
  </w:style>
  <w:style w:type="paragraph" w:styleId="1033">
    <w:name w:val="索引 41"/>
    <w:basedOn w:val="954"/>
    <w:next w:val="954"/>
    <w:link w:val="954"/>
    <w:semiHidden/>
    <w:qFormat/>
    <w:pPr>
      <w:ind w:left="1260"/>
    </w:pPr>
    <w:rPr>
      <w:rFonts w:ascii="Calibri" w:hAnsi="Calibri" w:eastAsia="Calibri" w:cs="宋体"/>
      <w:sz w:val="20"/>
      <w:lang w:val="zh-CN"/>
    </w:rPr>
  </w:style>
  <w:style w:type="paragraph" w:styleId="1034">
    <w:name w:val="正文首行缩进 21"/>
    <w:basedOn w:val="1035"/>
    <w:next w:val="954"/>
    <w:link w:val="954"/>
    <w:qFormat/>
    <w:pPr>
      <w:ind w:firstLine="420"/>
      <w:spacing w:line="360" w:lineRule="auto"/>
    </w:pPr>
    <w:rPr>
      <w:rFonts w:ascii="宋体" w:hAnsi="宋体" w:eastAsia="宋体"/>
      <w:sz w:val="21"/>
      <w:szCs w:val="20"/>
    </w:rPr>
  </w:style>
  <w:style w:type="paragraph" w:styleId="1035">
    <w:name w:val="正文文本缩进11"/>
    <w:basedOn w:val="954"/>
    <w:next w:val="1036"/>
    <w:link w:val="954"/>
    <w:qFormat/>
    <w:pPr>
      <w:ind w:firstLine="645"/>
    </w:pPr>
    <w:rPr>
      <w:rFonts w:ascii="楷体_GB2312" w:eastAsia="楷体_GB2312"/>
      <w:sz w:val="32"/>
      <w:szCs w:val="32"/>
    </w:rPr>
  </w:style>
  <w:style w:type="paragraph" w:styleId="1036">
    <w:name w:val="寄信人地址1"/>
    <w:basedOn w:val="954"/>
    <w:next w:val="1036"/>
    <w:link w:val="954"/>
    <w:qFormat/>
    <w:rPr>
      <w:rFonts w:ascii="Arial" w:hAnsi="Arial" w:eastAsia="宋体" w:cs="宋体"/>
    </w:rPr>
  </w:style>
  <w:style w:type="paragraph" w:styleId="1037">
    <w:name w:val="标题 41"/>
    <w:basedOn w:val="954"/>
    <w:next w:val="1038"/>
    <w:link w:val="954"/>
    <w:qFormat/>
    <w:pPr>
      <w:keepLines/>
      <w:keepNext/>
      <w:spacing w:before="280" w:after="290" w:line="376" w:lineRule="auto"/>
      <w:outlineLvl w:val="3"/>
    </w:pPr>
    <w:rPr>
      <w:rFonts w:ascii="Arial" w:hAnsi="Arial" w:eastAsia="黑体" w:cs="Arial"/>
      <w:b/>
      <w:bCs/>
      <w:sz w:val="28"/>
      <w:szCs w:val="28"/>
    </w:rPr>
  </w:style>
  <w:style w:type="paragraph" w:styleId="1038">
    <w:name w:val="正文缩进1"/>
    <w:basedOn w:val="954"/>
    <w:next w:val="1038"/>
    <w:link w:val="954"/>
    <w:qFormat/>
    <w:pPr>
      <w:ind w:firstLine="420"/>
    </w:pPr>
  </w:style>
  <w:style w:type="paragraph" w:styleId="1039">
    <w:name w:val="正文文本12"/>
    <w:basedOn w:val="954"/>
    <w:next w:val="1039"/>
    <w:link w:val="954"/>
    <w:uiPriority w:val="1"/>
    <w:qFormat/>
    <w:pPr>
      <w:ind w:left="120"/>
    </w:pPr>
    <w:rPr>
      <w:rFonts w:ascii="宋体" w:hAnsi="宋体" w:eastAsia="宋体" w:cs="宋体"/>
      <w:sz w:val="21"/>
      <w:szCs w:val="21"/>
      <w:lang w:val="zh-CN" w:eastAsia="zh-CN" w:bidi="zh-CN"/>
    </w:rPr>
  </w:style>
  <w:style w:type="character" w:styleId="1040">
    <w:name w:val="font5 Char"/>
    <w:next w:val="1040"/>
    <w:link w:val="954"/>
    <w:rPr>
      <w:rFonts w:ascii="宋体" w:hAnsi="宋体" w:eastAsia="宋体"/>
      <w:sz w:val="28"/>
      <w:szCs w:val="28"/>
      <w:lang w:val="en-US" w:eastAsia="zh-CN" w:bidi="ar-SA"/>
    </w:rPr>
  </w:style>
  <w:style w:type="character" w:styleId="1041">
    <w:name w:val="二级目录 Char"/>
    <w:next w:val="1041"/>
    <w:link w:val="1042"/>
    <w:rPr>
      <w:b/>
      <w:sz w:val="30"/>
      <w:szCs w:val="28"/>
    </w:rPr>
  </w:style>
  <w:style w:type="paragraph" w:styleId="1042">
    <w:name w:val="二级目录"/>
    <w:next w:val="954"/>
    <w:link w:val="1041"/>
    <w:pPr>
      <w:numPr>
        <w:ilvl w:val="0"/>
        <w:numId w:val="2"/>
      </w:numPr>
      <w:tabs>
        <w:tab w:val="left" w:pos="907" w:leader="none"/>
        <w:tab w:val="left" w:pos="1145" w:leader="none"/>
      </w:tabs>
      <w:outlineLvl w:val="1"/>
    </w:pPr>
    <w:rPr>
      <w:b/>
      <w:sz w:val="30"/>
      <w:szCs w:val="28"/>
      <w:lang w:val="en-US" w:eastAsia="zh-CN" w:bidi="ar-SA"/>
    </w:rPr>
  </w:style>
  <w:style w:type="character" w:styleId="1043">
    <w:name w:val="列出段落 Char,Bullet List Char,numbered Char,FooterText Char,List Paragraph1 Char,Paragraphe de liste1 Char"/>
    <w:next w:val="1043"/>
    <w:link w:val="1044"/>
    <w:rPr>
      <w:rFonts w:ascii="Calibri" w:hAnsi="Calibri"/>
      <w:sz w:val="24"/>
      <w:szCs w:val="24"/>
      <w:lang w:eastAsia="en-US" w:bidi="en-US"/>
    </w:rPr>
  </w:style>
  <w:style w:type="paragraph" w:styleId="1044">
    <w:name w:val="列出段落1"/>
    <w:basedOn w:val="954"/>
    <w:next w:val="1044"/>
    <w:link w:val="1043"/>
    <w:qFormat/>
    <w:pPr>
      <w:contextualSpacing/>
      <w:ind w:left="720"/>
      <w:jc w:val="left"/>
      <w:widowControl/>
    </w:pPr>
    <w:rPr>
      <w:rFonts w:ascii="Calibri" w:hAnsi="Calibri" w:eastAsia="宋体" w:cs="Times New Roman"/>
      <w:sz w:val="24"/>
      <w:szCs w:val="24"/>
      <w:lang w:eastAsia="en-US" w:bidi="en-US"/>
    </w:rPr>
  </w:style>
  <w:style w:type="paragraph" w:styleId="1045">
    <w:name w:val="Body Text(ch)"/>
    <w:basedOn w:val="954"/>
    <w:next w:val="990"/>
    <w:link w:val="954"/>
    <w:pPr>
      <w:spacing w:after="120"/>
    </w:pPr>
    <w:rPr>
      <w:rFonts w:ascii="宋体" w:hAnsi="Arial"/>
      <w:bCs/>
      <w:iCs/>
      <w:szCs w:val="24"/>
    </w:rPr>
  </w:style>
  <w:style w:type="paragraph" w:styleId="1046">
    <w:name w:val="xl27"/>
    <w:basedOn w:val="954"/>
    <w:next w:val="1046"/>
    <w:link w:val="9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7">
    <w:name w:val="xl26"/>
    <w:basedOn w:val="954"/>
    <w:next w:val="1047"/>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8">
    <w:name w:val="Char"/>
    <w:basedOn w:val="954"/>
    <w:next w:val="1048"/>
    <w:link w:val="954"/>
    <w:pPr>
      <w:ind w:firstLine="200"/>
      <w:tabs>
        <w:tab w:val="left" w:pos="360" w:leader="none"/>
      </w:tabs>
    </w:pPr>
    <w:rPr>
      <w:sz w:val="28"/>
      <w:szCs w:val="30"/>
    </w:rPr>
  </w:style>
  <w:style w:type="paragraph" w:styleId="1049">
    <w:name w:val=" Char"/>
    <w:basedOn w:val="984"/>
    <w:next w:val="1049"/>
    <w:link w:val="954"/>
    <w:rPr>
      <w:rFonts w:ascii="Tahoma" w:hAnsi="Tahoma"/>
      <w:sz w:val="24"/>
      <w:szCs w:val="24"/>
    </w:rPr>
  </w:style>
  <w:style w:type="paragraph" w:styleId="1050">
    <w:name w:val="普通正文"/>
    <w:basedOn w:val="954"/>
    <w:next w:val="1050"/>
    <w:link w:val="954"/>
    <w:pPr>
      <w:ind w:firstLine="480"/>
      <w:jc w:val="left"/>
      <w:spacing w:before="120" w:after="120" w:line="360" w:lineRule="auto"/>
    </w:pPr>
    <w:rPr>
      <w:rFonts w:ascii="Arial" w:hAnsi="Arial"/>
      <w:sz w:val="24"/>
      <w:szCs w:val="24"/>
    </w:rPr>
  </w:style>
  <w:style w:type="paragraph" w:styleId="1051">
    <w:name w:val="table_lines"/>
    <w:basedOn w:val="954"/>
    <w:next w:val="1051"/>
    <w:link w:val="954"/>
    <w:pPr>
      <w:jc w:val="left"/>
      <w:widowControl/>
    </w:pPr>
    <w:rPr>
      <w:sz w:val="20"/>
      <w:szCs w:val="20"/>
      <w:lang w:val="de-DE" w:eastAsia="de-DE"/>
    </w:rPr>
  </w:style>
  <w:style w:type="paragraph" w:styleId="1052">
    <w:name w:val="附录1"/>
    <w:next w:val="1052"/>
    <w:link w:val="95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53">
    <w:name w:val="font7"/>
    <w:basedOn w:val="954"/>
    <w:next w:val="1053"/>
    <w:link w:val="954"/>
    <w:pPr>
      <w:jc w:val="left"/>
      <w:spacing w:before="100" w:beforeAutospacing="1" w:after="100" w:afterAutospacing="1"/>
      <w:widowControl/>
    </w:pPr>
    <w:rPr>
      <w:rFonts w:hint="eastAsia" w:ascii="宋体" w:hAnsi="宋体"/>
      <w:sz w:val="18"/>
      <w:szCs w:val="18"/>
    </w:rPr>
  </w:style>
  <w:style w:type="paragraph" w:styleId="1054">
    <w:name w:val=" Char Char Char Char"/>
    <w:basedOn w:val="984"/>
    <w:next w:val="1054"/>
    <w:link w:val="954"/>
    <w:pPr>
      <w:spacing w:line="360" w:lineRule="auto"/>
    </w:pPr>
    <w:rPr>
      <w:rFonts w:ascii="Tahoma" w:hAnsi="Tahoma"/>
      <w:sz w:val="24"/>
      <w:szCs w:val="24"/>
    </w:rPr>
  </w:style>
  <w:style w:type="paragraph" w:styleId="1055">
    <w:name w:val="列出段落"/>
    <w:basedOn w:val="954"/>
    <w:next w:val="1055"/>
    <w:link w:val="954"/>
    <w:qFormat/>
    <w:pPr>
      <w:contextualSpacing/>
      <w:ind w:left="720"/>
      <w:jc w:val="left"/>
      <w:widowControl/>
    </w:pPr>
    <w:rPr>
      <w:rFonts w:ascii="Calibri" w:hAnsi="Calibri"/>
      <w:sz w:val="24"/>
      <w:szCs w:val="24"/>
      <w:lang w:eastAsia="en-US" w:bidi="en-US"/>
    </w:rPr>
  </w:style>
  <w:style w:type="paragraph" w:styleId="1056">
    <w:name w:val="4"/>
    <w:basedOn w:val="954"/>
    <w:next w:val="1012"/>
    <w:link w:val="954"/>
    <w:pPr>
      <w:ind w:firstLine="420"/>
      <w:spacing w:line="360" w:lineRule="auto"/>
    </w:pPr>
    <w:rPr>
      <w:color w:val="ff0000"/>
      <w:sz w:val="24"/>
      <w:szCs w:val="24"/>
    </w:rPr>
  </w:style>
  <w:style w:type="paragraph" w:styleId="1057">
    <w:name w:val="普通 (Web)"/>
    <w:basedOn w:val="954"/>
    <w:next w:val="1057"/>
    <w:link w:val="954"/>
    <w:pPr>
      <w:jc w:val="left"/>
      <w:spacing w:before="100" w:beforeAutospacing="1" w:after="100" w:afterAutospacing="1"/>
      <w:widowControl/>
    </w:pPr>
    <w:rPr>
      <w:rFonts w:ascii="宋体" w:hAnsi="宋体"/>
      <w:sz w:val="24"/>
      <w:szCs w:val="24"/>
    </w:rPr>
  </w:style>
  <w:style w:type="paragraph" w:styleId="1058">
    <w:name w:val=" Char Char Char Char Char Char Char Char Char Char"/>
    <w:basedOn w:val="954"/>
    <w:next w:val="1058"/>
    <w:link w:val="954"/>
    <w:pPr>
      <w:spacing w:line="360" w:lineRule="auto"/>
    </w:pPr>
    <w:rPr>
      <w:sz w:val="24"/>
      <w:szCs w:val="20"/>
    </w:rPr>
  </w:style>
  <w:style w:type="paragraph" w:styleId="1059">
    <w:name w:val="样式1"/>
    <w:basedOn w:val="954"/>
    <w:next w:val="1059"/>
    <w:link w:val="954"/>
    <w:pPr>
      <w:numPr>
        <w:ilvl w:val="0"/>
        <w:numId w:val="3"/>
      </w:numPr>
      <w:tabs>
        <w:tab w:val="left" w:pos="709" w:leader="none"/>
      </w:tabs>
    </w:pPr>
    <w:rPr>
      <w:rFonts w:ascii="宋体" w:hAnsi="宋体"/>
    </w:rPr>
  </w:style>
  <w:style w:type="paragraph" w:styleId="1060">
    <w:name w:val="font6"/>
    <w:basedOn w:val="954"/>
    <w:next w:val="1060"/>
    <w:link w:val="954"/>
    <w:pPr>
      <w:jc w:val="left"/>
      <w:spacing w:before="100" w:beforeAutospacing="1" w:after="100" w:afterAutospacing="1"/>
      <w:widowControl/>
    </w:pPr>
    <w:rPr>
      <w:rFonts w:hint="eastAsia" w:ascii="宋体" w:hAnsi="宋体"/>
      <w:sz w:val="28"/>
      <w:szCs w:val="28"/>
      <w:u w:val="single"/>
    </w:rPr>
  </w:style>
  <w:style w:type="paragraph" w:styleId="1061">
    <w:name w:val="xl25"/>
    <w:basedOn w:val="954"/>
    <w:next w:val="1061"/>
    <w:link w:val="95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2">
    <w:name w:val="图标"/>
    <w:basedOn w:val="954"/>
    <w:next w:val="954"/>
    <w:link w:val="95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3">
    <w:name w:val="标题3"/>
    <w:basedOn w:val="954"/>
    <w:next w:val="954"/>
    <w:link w:val="954"/>
    <w:pPr>
      <w:ind w:firstLine="624"/>
      <w:spacing w:line="590" w:lineRule="atLeast"/>
    </w:pPr>
    <w:rPr>
      <w:rFonts w:ascii="方正黑体_GBK" w:eastAsia="方正黑体_GBK"/>
      <w:sz w:val="32"/>
      <w:szCs w:val="32"/>
    </w:rPr>
  </w:style>
  <w:style w:type="paragraph" w:styleId="1064">
    <w:name w:val="xl24"/>
    <w:basedOn w:val="954"/>
    <w:next w:val="1064"/>
    <w:link w:val="9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5">
    <w:name w:val="xl29"/>
    <w:basedOn w:val="954"/>
    <w:next w:val="1065"/>
    <w:link w:val="95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6">
    <w:name w:val="Char Char Char Char Char Char Char Char"/>
    <w:basedOn w:val="954"/>
    <w:next w:val="1066"/>
    <w:link w:val="954"/>
    <w:pPr>
      <w:jc w:val="left"/>
      <w:spacing w:after="160" w:line="240" w:lineRule="exact"/>
      <w:widowControl/>
    </w:pPr>
    <w:rPr>
      <w:rFonts w:ascii="Verdana" w:hAnsi="Verdana"/>
      <w:sz w:val="20"/>
      <w:szCs w:val="20"/>
      <w:lang w:eastAsia="en-US"/>
    </w:rPr>
  </w:style>
  <w:style w:type="paragraph" w:styleId="1067">
    <w:name w:val="xl28"/>
    <w:basedOn w:val="954"/>
    <w:next w:val="1067"/>
    <w:link w:val="95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8">
    <w:name w:val=" Char Char Char Char Char Char Char Char"/>
    <w:basedOn w:val="954"/>
    <w:next w:val="1068"/>
    <w:link w:val="954"/>
    <w:pPr>
      <w:jc w:val="left"/>
      <w:spacing w:after="160" w:line="240" w:lineRule="exact"/>
      <w:widowControl/>
    </w:pPr>
    <w:rPr>
      <w:rFonts w:ascii="Verdana" w:hAnsi="Verdana"/>
      <w:sz w:val="20"/>
      <w:szCs w:val="20"/>
      <w:lang w:eastAsia="en-US"/>
    </w:rPr>
  </w:style>
  <w:style w:type="paragraph" w:styleId="1069">
    <w:name w:val="xl30"/>
    <w:basedOn w:val="954"/>
    <w:next w:val="1069"/>
    <w:link w:val="954"/>
    <w:pPr>
      <w:jc w:val="center"/>
      <w:spacing w:before="100" w:beforeAutospacing="1" w:after="100" w:afterAutospacing="1"/>
      <w:widowControl/>
    </w:pPr>
    <w:rPr>
      <w:rFonts w:ascii="宋体" w:hAnsi="宋体"/>
      <w:b/>
      <w:bCs/>
      <w:sz w:val="36"/>
      <w:szCs w:val="36"/>
    </w:rPr>
  </w:style>
  <w:style w:type="paragraph" w:styleId="1070">
    <w:name w:val="Char Char Char Char"/>
    <w:basedOn w:val="984"/>
    <w:next w:val="1070"/>
    <w:link w:val="954"/>
    <w:pPr>
      <w:spacing w:line="360" w:lineRule="auto"/>
    </w:pPr>
    <w:rPr>
      <w:rFonts w:ascii="Tahoma" w:hAnsi="Tahoma"/>
      <w:sz w:val="24"/>
      <w:szCs w:val="24"/>
    </w:rPr>
  </w:style>
  <w:style w:type="paragraph" w:styleId="1071">
    <w:name w:val="table_1stline"/>
    <w:basedOn w:val="954"/>
    <w:next w:val="1071"/>
    <w:link w:val="954"/>
    <w:pPr>
      <w:jc w:val="left"/>
      <w:spacing w:before="120"/>
      <w:widowControl/>
    </w:pPr>
    <w:rPr>
      <w:bCs/>
      <w:sz w:val="20"/>
      <w:szCs w:val="20"/>
      <w:lang w:val="de-DE" w:eastAsia="de-DE"/>
    </w:rPr>
  </w:style>
  <w:style w:type="paragraph" w:styleId="1072">
    <w:name w:val="font5"/>
    <w:basedOn w:val="954"/>
    <w:next w:val="1072"/>
    <w:link w:val="954"/>
    <w:pPr>
      <w:jc w:val="left"/>
      <w:spacing w:before="100" w:beforeAutospacing="1" w:after="100" w:afterAutospacing="1"/>
      <w:widowControl/>
    </w:pPr>
    <w:rPr>
      <w:rFonts w:hint="eastAsia" w:ascii="宋体" w:hAnsi="宋体"/>
      <w:sz w:val="28"/>
      <w:szCs w:val="28"/>
    </w:rPr>
  </w:style>
  <w:style w:type="paragraph" w:styleId="1073">
    <w:name w:val="标题1"/>
    <w:basedOn w:val="954"/>
    <w:next w:val="954"/>
    <w:link w:val="954"/>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4">
    <w:name w:val="修订"/>
    <w:next w:val="1074"/>
    <w:link w:val="954"/>
    <w:uiPriority w:val="99"/>
    <w:semiHidden/>
    <w:rPr>
      <w:rFonts w:ascii="Times New Roman" w:hAnsi="Times New Roman"/>
      <w:sz w:val="21"/>
      <w:szCs w:val="21"/>
      <w:lang w:val="en-US" w:eastAsia="zh-CN" w:bidi="ar-SA"/>
    </w:rPr>
  </w:style>
  <w:style w:type="paragraph" w:styleId="1075">
    <w:name w:val="无间隔"/>
    <w:next w:val="1075"/>
    <w:link w:val="954"/>
    <w:uiPriority w:val="99"/>
    <w:qFormat/>
    <w:pPr>
      <w:jc w:val="both"/>
      <w:widowControl w:val="off"/>
    </w:pPr>
    <w:rPr>
      <w:rFonts w:ascii="Times New Roman" w:hAnsi="Times New Roman"/>
      <w:sz w:val="21"/>
      <w:szCs w:val="21"/>
      <w:lang w:val="en-US" w:eastAsia="zh-CN" w:bidi="ar-SA"/>
    </w:rPr>
  </w:style>
  <w:style w:type="paragraph" w:styleId="1076">
    <w:name w:val="正文文本 211"/>
    <w:basedOn w:val="954"/>
    <w:next w:val="1076"/>
    <w:link w:val="954"/>
    <w:uiPriority w:val="99"/>
    <w:qFormat/>
    <w:pPr>
      <w:jc w:val="center"/>
    </w:pPr>
    <w:rPr>
      <w:b/>
      <w:bCs/>
      <w:sz w:val="20"/>
      <w:szCs w:val="20"/>
    </w:rPr>
  </w:style>
  <w:style w:type="table" w:styleId="1077">
    <w:name w:val="Table Normal"/>
    <w:next w:val="1077"/>
    <w:link w:val="954"/>
    <w:qFormat/>
    <w:tblPr/>
  </w:style>
  <w:style w:type="paragraph" w:styleId="1078">
    <w:name w:val="正文文本1"/>
    <w:basedOn w:val="954"/>
    <w:next w:val="954"/>
    <w:link w:val="954"/>
    <w:semiHidden/>
    <w:qFormat/>
    <w:rPr>
      <w:rFonts w:ascii="Arial" w:hAnsi="Arial" w:eastAsia="Arial" w:cs="Arial"/>
      <w:sz w:val="21"/>
      <w:szCs w:val="21"/>
      <w:lang w:val="en-US" w:eastAsia="en-US" w:bidi="ar-SA"/>
    </w:rPr>
  </w:style>
  <w:style w:type="paragraph" w:styleId="1079">
    <w:name w:val="纯文本1"/>
    <w:basedOn w:val="954"/>
    <w:next w:val="1079"/>
    <w:link w:val="954"/>
    <w:qFormat/>
    <w:rPr>
      <w:rFonts w:ascii="宋体" w:hAnsi="Courier New" w:cs="Courier New"/>
    </w:rPr>
  </w:style>
  <w:style w:type="table" w:styleId="1080">
    <w:name w:val="网格型1"/>
    <w:basedOn w:val="1081"/>
    <w:next w:val="1080"/>
    <w:link w:val="954"/>
    <w:qFormat/>
    <w:pPr>
      <w:jc w:val="both"/>
      <w:widowControl w:val="off"/>
    </w:pPr>
    <w:tblPr/>
  </w:style>
  <w:style w:type="table" w:styleId="1081">
    <w:name w:val="普通表格1"/>
    <w:next w:val="1081"/>
    <w:link w:val="954"/>
    <w:uiPriority w:val="99"/>
    <w:unhideWhenUsed/>
    <w:qFormat/>
    <w:tblPr/>
  </w:style>
  <w:style w:type="character" w:styleId="1082">
    <w:name w:val="15"/>
    <w:basedOn w:val="964"/>
    <w:next w:val="1082"/>
    <w:link w:val="954"/>
    <w:rPr>
      <w:rFonts w:ascii="Times New Roman" w:hAnsi="Times New Roman" w:cs="Times New Roman"/>
    </w:rPr>
  </w:style>
  <w:style w:type="paragraph" w:styleId="1083">
    <w:name w:val="正文首行缩进 211"/>
    <w:basedOn w:val="1035"/>
    <w:next w:val="954"/>
    <w:link w:val="954"/>
    <w:qFormat/>
    <w:pPr>
      <w:ind w:left="0" w:firstLine="420"/>
      <w:spacing w:after="0" w:line="360" w:lineRule="auto"/>
    </w:pPr>
    <w:rPr>
      <w:rFonts w:ascii="宋体" w:hAnsi="宋体" w:eastAsia="宋体" w:cs="Times New Roman"/>
      <w:szCs w:val="20"/>
    </w:rPr>
  </w:style>
  <w:style w:type="paragraph" w:styleId="1084">
    <w:name w:val="Table Paragraph"/>
    <w:basedOn w:val="954"/>
    <w:next w:val="1084"/>
    <w:link w:val="954"/>
    <w:uiPriority w:val="1"/>
    <w:qFormat/>
    <w:pPr>
      <w:jc w:val="left"/>
    </w:pPr>
    <w:rPr>
      <w:rFonts w:ascii="宋体" w:hAnsi="宋体" w:eastAsia="宋体" w:cs="宋体"/>
      <w:sz w:val="22"/>
      <w:szCs w:val="22"/>
      <w:lang w:val="zh-CN" w:bidi="zh-CN"/>
    </w:rPr>
  </w:style>
  <w:style w:type="character" w:styleId="1085" w:default="1">
    <w:name w:val="Default Paragraph Font"/>
    <w:uiPriority w:val="1"/>
    <w:semiHidden/>
    <w:unhideWhenUsed/>
  </w:style>
  <w:style w:type="numbering" w:styleId="1086" w:default="1">
    <w:name w:val="No List"/>
    <w:uiPriority w:val="99"/>
    <w:semiHidden/>
    <w:unhideWhenUsed/>
  </w:style>
  <w:style w:type="table" w:styleId="10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4</cp:revision>
  <dcterms:created xsi:type="dcterms:W3CDTF">2023-03-16T02:16:00Z</dcterms:created>
  <dcterms:modified xsi:type="dcterms:W3CDTF">2026-08-06T01:09:06Z</dcterms:modified>
</cp:coreProperties>
</file>