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rPr>
          <w:rFonts w:hint="eastAsia" w:ascii="Microsoft New Tai Lue" w:hAnsi="Microsoft New Tai Lue" w:eastAsia="宋体" w:cs="Microsoft New Tai Lue"/>
          <w:b/>
          <w:color w:val="auto"/>
          <w:sz w:val="56"/>
          <w:szCs w:val="56"/>
          <w:highlight w:val="none"/>
          <w:lang w:val="en-US" w:eastAsia="zh-CN" w:bidi="ar-SA"/>
        </w:rPr>
      </w:pPr>
      <w:r>
        <w:rPr>
          <w:rFonts w:hint="eastAsia" w:ascii="Microsoft New Tai Lue" w:hAnsi="Microsoft New Tai Lue" w:cs="Microsoft New Tai Lue"/>
          <w:b/>
          <w:color w:val="auto"/>
          <w:sz w:val="56"/>
          <w:szCs w:val="56"/>
          <w:highlight w:val="none"/>
          <w:lang w:val="en-US" w:eastAsia="zh-CN" w:bidi="ar-SA"/>
        </w:rPr>
        <w:t xml:space="preserve">2026年补充耕地指标交易平台管理[含补充耕地项目监管]</w:t>
      </w:r>
      <w:r/>
    </w:p>
    <w:p>
      <w:pPr>
        <w:pStyle w:val="966"/>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66"/>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66"/>
        <w:jc w:val="center"/>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竞争性磋商</w:t>
      </w:r>
      <w:r>
        <w:rPr>
          <w:rFonts w:ascii="Microsoft New Tai Lue" w:hAnsi="Microsoft New Tai Lue" w:cs="Microsoft New Tai Lue"/>
          <w:b/>
          <w:color w:val="auto"/>
          <w:sz w:val="84"/>
          <w:szCs w:val="84"/>
          <w:highlight w:val="none"/>
        </w:rPr>
        <w:t xml:space="preserve">文件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0"/>
        <w:jc w:val="center"/>
        <w:keepLines w:val="0"/>
        <w:keepNext w:val="0"/>
        <w:pageBreakBefore w:val="0"/>
        <w:spacing w:line="360" w:lineRule="auto"/>
        <w:widowControl w:val="off"/>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rPr>
          <w:rFonts w:hint="eastAsia" w:ascii="Microsoft New Tai Lue" w:hAnsi="Microsoft New Tai Lue" w:cs="Microsoft New Tai Lue"/>
          <w:b/>
          <w:color w:val="auto"/>
          <w:sz w:val="44"/>
          <w:szCs w:val="44"/>
          <w:highlight w:val="none"/>
          <w:lang w:eastAsia="zh-CN"/>
        </w:rPr>
        <w:t xml:space="preserve">JSZC-320000-JITC-C2026-0273</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firstLine="1606"/>
        <w:jc w:val="left"/>
        <w:keepLines w:val="0"/>
        <w:keepNext w:val="0"/>
        <w:pageBreakBefore w:val="0"/>
        <w:spacing w:line="360" w:lineRule="auto"/>
        <w:widowControl w:val="off"/>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 </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购</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 </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人：</w:t>
      </w:r>
      <w:r>
        <w:rPr>
          <w:rFonts w:hint="eastAsia" w:ascii="Microsoft New Tai Lue" w:hAnsi="Microsoft New Tai Lue" w:cs="Microsoft New Tai Lue"/>
          <w:b/>
          <w:color w:val="auto"/>
          <w:sz w:val="32"/>
          <w:highlight w:val="none"/>
          <w:lang w:eastAsia="zh-CN"/>
        </w:rPr>
        <w:t xml:space="preserve">江苏省自然资源厅</w:t>
      </w:r>
      <w:r/>
    </w:p>
    <w:p>
      <w:pPr>
        <w:ind w:firstLine="1606"/>
        <w:jc w:val="left"/>
        <w:keepLines w:val="0"/>
        <w:keepNext w:val="0"/>
        <w:pageBreakBefore w:val="0"/>
        <w:spacing w:line="360" w:lineRule="auto"/>
        <w:widowControl w:val="off"/>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jc w:val="center"/>
        <w:rPr>
          <w:rFonts w:ascii="Microsoft New Tai Lue" w:hAnsi="Microsoft New Tai Lue" w:cs="Microsoft New Tai Lue"/>
          <w:color w:val="auto"/>
          <w:highlight w:val="none"/>
        </w:rPr>
        <w:sectPr>
          <w:headerReference w:type="default" r:id="rId9"/>
          <w:footerReference w:type="default" r:id="rId11"/>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Microsoft New Tai Lue" w:hAnsi="Microsoft New Tai Lue" w:cs="Microsoft New Tai Lue"/>
          <w:b/>
          <w:color w:val="auto"/>
          <w:sz w:val="32"/>
          <w:highlight w:val="none"/>
        </w:rPr>
        <w:t xml:space="preserve">二</w:t>
      </w:r>
      <w:r>
        <w:rPr>
          <w:rFonts w:hint="eastAsia" w:ascii="Microsoft New Tai Lue" w:hAnsi="Microsoft New Tai Lue" w:cs="Microsoft New Tai Lue"/>
          <w:b/>
          <w:color w:val="auto"/>
          <w:sz w:val="32"/>
          <w:highlight w:val="none"/>
        </w:rPr>
        <w:t xml:space="preserve">零二</w:t>
      </w:r>
      <w:r>
        <w:rPr>
          <w:rFonts w:hint="eastAsia" w:ascii="Microsoft New Tai Lue" w:hAnsi="Microsoft New Tai Lue" w:cs="Microsoft New Tai Lue"/>
          <w:b/>
          <w:color w:val="auto"/>
          <w:sz w:val="32"/>
          <w:highlight w:val="none"/>
          <w:lang w:val="en-US" w:eastAsia="zh-CN"/>
        </w:rPr>
        <w:t xml:space="preserve">六</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年</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八</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月</w:t>
      </w:r>
      <w:r/>
    </w:p>
    <w:p>
      <w:pPr>
        <w:jc w:val="center"/>
        <w:spacing w:line="500" w:lineRule="exact"/>
        <w:rPr>
          <w:rFonts w:ascii="Microsoft New Tai Lue" w:hAnsi="Microsoft New Tai Lue" w:cs="Microsoft New Tai Lue"/>
          <w:b/>
          <w:color w:val="auto"/>
          <w:sz w:val="44"/>
          <w:szCs w:val="44"/>
          <w:highlight w:val="none"/>
        </w:rPr>
      </w:pPr>
      <w:r/>
      <w:bookmarkStart w:id="0" w:name="_Toc80264696"/>
      <w:r/>
      <w:bookmarkStart w:id="1" w:name="_Toc531620161"/>
      <w:r>
        <w:rPr>
          <w:rFonts w:ascii="Microsoft New Tai Lue" w:hAnsi="Microsoft New Tai Lue" w:cs="Microsoft New Tai Lue"/>
          <w:b/>
          <w:color w:val="auto"/>
          <w:sz w:val="44"/>
          <w:szCs w:val="44"/>
          <w:highlight w:val="none"/>
        </w:rPr>
        <w:t xml:space="preserve">目   录</w:t>
      </w:r>
      <w:r/>
    </w:p>
    <w:p>
      <w:pPr>
        <w:pStyle w:val="775"/>
        <w:keepLines w:val="0"/>
        <w:keepNext w:val="0"/>
        <w:pageBreakBefore w:val="0"/>
        <w:spacing w:after="0" w:line="480" w:lineRule="auto"/>
        <w:widowControl w:val="off"/>
        <w:tabs>
          <w:tab w:val="right" w:pos="8730" w:leader="dot"/>
        </w:tabs>
        <w:rPr>
          <w:b/>
          <w:bCs/>
          <w:color w:val="auto"/>
          <w:sz w:val="28"/>
          <w:szCs w:val="28"/>
          <w:highlight w:val="none"/>
        </w:rPr>
      </w:pPr>
      <w:r>
        <w:rPr>
          <w:rFonts w:ascii="宋体" w:hAnsi="宋体" w:eastAsia="宋体"/>
          <w:b/>
          <w:bCs/>
          <w:color w:val="auto"/>
          <w:sz w:val="28"/>
          <w:szCs w:val="28"/>
          <w:highlight w:val="none"/>
        </w:rPr>
        <w:fldChar w:fldCharType="begin"/>
      </w:r>
      <w:r>
        <w:rPr>
          <w:rFonts w:ascii="宋体" w:hAnsi="宋体" w:eastAsia="宋体"/>
          <w:b/>
          <w:bCs/>
          <w:color w:val="auto"/>
          <w:sz w:val="28"/>
          <w:szCs w:val="28"/>
          <w:highlight w:val="none"/>
        </w:rPr>
        <w:instrText xml:space="preserve"> TOC \o "1-3" \h \z \u </w:instrText>
      </w:r>
      <w:r>
        <w:rPr>
          <w:rFonts w:ascii="宋体" w:hAnsi="宋体" w:eastAsia="宋体"/>
          <w:b/>
          <w:bCs/>
          <w:color w:val="auto"/>
          <w:sz w:val="28"/>
          <w:szCs w:val="28"/>
          <w:highlight w:val="none"/>
        </w:rPr>
        <w:fldChar w:fldCharType="separate"/>
      </w:r>
      <w:r>
        <w:rPr>
          <w:rFonts w:ascii="宋体" w:hAnsi="宋体" w:eastAsia="宋体"/>
          <w:b/>
          <w:bCs/>
          <w:color w:val="auto"/>
          <w:sz w:val="28"/>
          <w:szCs w:val="28"/>
          <w:highlight w:val="none"/>
        </w:rPr>
        <w:fldChar w:fldCharType="begin"/>
      </w:r>
      <w:r>
        <w:rPr>
          <w:rFonts w:ascii="宋体" w:hAnsi="宋体" w:eastAsia="宋体"/>
          <w:b/>
          <w:bCs/>
          <w:color w:val="auto"/>
          <w:sz w:val="28"/>
          <w:szCs w:val="28"/>
          <w:highlight w:val="none"/>
        </w:rPr>
        <w:instrText xml:space="preserve"> HYPERLINK \l _Toc24602 </w:instrText>
      </w:r>
      <w:r>
        <w:rPr>
          <w:rFonts w:ascii="宋体" w:hAnsi="宋体" w:eastAsia="宋体"/>
          <w:b/>
          <w:bCs/>
          <w:color w:val="auto"/>
          <w:sz w:val="28"/>
          <w:szCs w:val="28"/>
          <w:highlight w:val="none"/>
        </w:rPr>
        <w:fldChar w:fldCharType="separate"/>
      </w:r>
      <w:r>
        <w:rPr>
          <w:rFonts w:ascii="Microsoft New Tai Lue" w:hAnsi="Microsoft New Tai Lue" w:cs="Microsoft New Tai Lue"/>
          <w:b/>
          <w:bCs/>
          <w:color w:val="auto"/>
          <w:sz w:val="28"/>
          <w:szCs w:val="28"/>
          <w:highlight w:val="none"/>
        </w:rPr>
        <w:t xml:space="preserve">第一章 </w:t>
      </w:r>
      <w:r>
        <w:rPr>
          <w:rFonts w:hint="eastAsia" w:ascii="Microsoft New Tai Lue" w:hAnsi="Microsoft New Tai Lue" w:cs="Microsoft New Tai Lue"/>
          <w:b/>
          <w:bCs/>
          <w:color w:val="auto"/>
          <w:sz w:val="28"/>
          <w:szCs w:val="28"/>
          <w:highlight w:val="none"/>
        </w:rPr>
        <w:t xml:space="preserve">竞争性磋商公告</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_Toc24602 \h </w:instrText>
      </w:r>
      <w:r>
        <w:rPr>
          <w:b/>
          <w:bCs/>
          <w:color w:val="auto"/>
          <w:sz w:val="28"/>
          <w:szCs w:val="28"/>
          <w:highlight w:val="none"/>
        </w:rPr>
        <w:fldChar w:fldCharType="separate"/>
      </w:r>
      <w:r>
        <w:rPr>
          <w:b/>
          <w:bCs/>
          <w:color w:val="auto"/>
          <w:sz w:val="28"/>
          <w:szCs w:val="28"/>
          <w:highlight w:val="none"/>
        </w:rPr>
        <w:t xml:space="preserve">2</w:t>
      </w:r>
      <w:r>
        <w:rPr>
          <w:b/>
          <w:bCs/>
          <w:color w:val="auto"/>
          <w:sz w:val="28"/>
          <w:szCs w:val="28"/>
          <w:highlight w:val="none"/>
        </w:rPr>
        <w:fldChar w:fldCharType="end"/>
      </w:r>
      <w:r>
        <w:rPr>
          <w:rFonts w:ascii="宋体" w:hAnsi="宋体" w:eastAsia="宋体"/>
          <w:b/>
          <w:bCs/>
          <w:color w:val="auto"/>
          <w:sz w:val="28"/>
          <w:szCs w:val="28"/>
          <w:highlight w:val="none"/>
        </w:rPr>
        <w:fldChar w:fldCharType="end"/>
      </w:r>
      <w:r/>
    </w:p>
    <w:p>
      <w:pPr>
        <w:pStyle w:val="775"/>
        <w:keepLines w:val="0"/>
        <w:keepNext w:val="0"/>
        <w:pageBreakBefore w:val="0"/>
        <w:spacing w:after="0" w:line="480" w:lineRule="auto"/>
        <w:widowControl w:val="off"/>
        <w:tabs>
          <w:tab w:val="right" w:pos="8730" w:leader="dot"/>
        </w:tabs>
        <w:rPr>
          <w:b/>
          <w:bCs/>
          <w:color w:val="auto"/>
          <w:sz w:val="28"/>
          <w:szCs w:val="28"/>
          <w:highlight w:val="none"/>
        </w:rPr>
      </w:pPr>
      <w:r>
        <w:rPr>
          <w:rFonts w:ascii="宋体" w:hAnsi="宋体" w:eastAsia="宋体"/>
          <w:b/>
          <w:bCs/>
          <w:color w:val="auto"/>
          <w:sz w:val="28"/>
          <w:szCs w:val="28"/>
          <w:highlight w:val="none"/>
        </w:rPr>
        <w:fldChar w:fldCharType="begin"/>
      </w:r>
      <w:r>
        <w:rPr>
          <w:rFonts w:ascii="宋体" w:hAnsi="宋体" w:eastAsia="宋体"/>
          <w:b/>
          <w:bCs/>
          <w:color w:val="auto"/>
          <w:sz w:val="28"/>
          <w:szCs w:val="28"/>
          <w:highlight w:val="none"/>
        </w:rPr>
        <w:instrText xml:space="preserve"> HYPERLINK \l _Toc15516 </w:instrText>
      </w:r>
      <w:r>
        <w:rPr>
          <w:rFonts w:ascii="宋体" w:hAnsi="宋体" w:eastAsia="宋体"/>
          <w:b/>
          <w:bCs/>
          <w:color w:val="auto"/>
          <w:sz w:val="28"/>
          <w:szCs w:val="28"/>
          <w:highlight w:val="none"/>
        </w:rPr>
        <w:fldChar w:fldCharType="separate"/>
      </w:r>
      <w:r>
        <w:rPr>
          <w:rFonts w:ascii="Microsoft New Tai Lue" w:hAnsi="Microsoft New Tai Lue" w:cs="Microsoft New Tai Lue"/>
          <w:b/>
          <w:bCs/>
          <w:color w:val="auto"/>
          <w:sz w:val="28"/>
          <w:szCs w:val="28"/>
          <w:highlight w:val="none"/>
        </w:rPr>
        <w:t xml:space="preserve">第二章 </w:t>
      </w:r>
      <w:r>
        <w:rPr>
          <w:rFonts w:ascii="Microsoft New Tai Lue" w:hAnsi="Microsoft New Tai Lue" w:cs="Microsoft New Tai Lue"/>
          <w:b/>
          <w:bCs/>
          <w:color w:val="auto"/>
          <w:sz w:val="28"/>
          <w:szCs w:val="28"/>
          <w:highlight w:val="none"/>
        </w:rPr>
        <w:t xml:space="preserve">供应商须知</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_Toc15516 \h </w:instrText>
      </w:r>
      <w:r>
        <w:rPr>
          <w:b/>
          <w:bCs/>
          <w:color w:val="auto"/>
          <w:sz w:val="28"/>
          <w:szCs w:val="28"/>
          <w:highlight w:val="none"/>
        </w:rPr>
        <w:fldChar w:fldCharType="separate"/>
      </w:r>
      <w:r>
        <w:rPr>
          <w:b/>
          <w:bCs/>
          <w:color w:val="auto"/>
          <w:sz w:val="28"/>
          <w:szCs w:val="28"/>
          <w:highlight w:val="none"/>
        </w:rPr>
        <w:t xml:space="preserve">6</w:t>
      </w:r>
      <w:r>
        <w:rPr>
          <w:b/>
          <w:bCs/>
          <w:color w:val="auto"/>
          <w:sz w:val="28"/>
          <w:szCs w:val="28"/>
          <w:highlight w:val="none"/>
        </w:rPr>
        <w:fldChar w:fldCharType="end"/>
      </w:r>
      <w:r>
        <w:rPr>
          <w:rFonts w:ascii="宋体" w:hAnsi="宋体" w:eastAsia="宋体"/>
          <w:b/>
          <w:bCs/>
          <w:color w:val="auto"/>
          <w:sz w:val="28"/>
          <w:szCs w:val="28"/>
          <w:highlight w:val="none"/>
        </w:rPr>
        <w:fldChar w:fldCharType="end"/>
      </w:r>
      <w:r/>
    </w:p>
    <w:p>
      <w:pPr>
        <w:pStyle w:val="775"/>
        <w:keepLines w:val="0"/>
        <w:keepNext w:val="0"/>
        <w:pageBreakBefore w:val="0"/>
        <w:spacing w:after="0" w:line="480" w:lineRule="auto"/>
        <w:widowControl w:val="off"/>
        <w:tabs>
          <w:tab w:val="right" w:pos="8730" w:leader="dot"/>
        </w:tabs>
        <w:rPr>
          <w:b/>
          <w:bCs/>
          <w:color w:val="auto"/>
          <w:sz w:val="28"/>
          <w:szCs w:val="28"/>
          <w:highlight w:val="none"/>
        </w:rPr>
      </w:pPr>
      <w:r>
        <w:rPr>
          <w:rFonts w:ascii="宋体" w:hAnsi="宋体" w:eastAsia="宋体"/>
          <w:b/>
          <w:bCs/>
          <w:color w:val="auto"/>
          <w:sz w:val="28"/>
          <w:szCs w:val="28"/>
          <w:highlight w:val="none"/>
        </w:rPr>
        <w:fldChar w:fldCharType="begin"/>
      </w:r>
      <w:r>
        <w:rPr>
          <w:rFonts w:ascii="宋体" w:hAnsi="宋体" w:eastAsia="宋体"/>
          <w:b/>
          <w:bCs/>
          <w:color w:val="auto"/>
          <w:sz w:val="28"/>
          <w:szCs w:val="28"/>
          <w:highlight w:val="none"/>
        </w:rPr>
        <w:instrText xml:space="preserve"> HYPERLINK \l _Toc17301 </w:instrText>
      </w:r>
      <w:r>
        <w:rPr>
          <w:rFonts w:ascii="宋体" w:hAnsi="宋体" w:eastAsia="宋体"/>
          <w:b/>
          <w:bCs/>
          <w:color w:val="auto"/>
          <w:sz w:val="28"/>
          <w:szCs w:val="28"/>
          <w:highlight w:val="none"/>
        </w:rPr>
        <w:fldChar w:fldCharType="separate"/>
      </w:r>
      <w:r>
        <w:rPr>
          <w:rFonts w:hint="eastAsia" w:ascii="宋体" w:hAnsi="宋体" w:cs="宋体"/>
          <w:b/>
          <w:bCs/>
          <w:color w:val="auto"/>
          <w:sz w:val="28"/>
          <w:szCs w:val="28"/>
          <w:highlight w:val="none"/>
        </w:rPr>
        <w:t xml:space="preserve">第三章 合同主要格式条款</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_Toc17301 \h </w:instrText>
      </w:r>
      <w:r>
        <w:rPr>
          <w:b/>
          <w:bCs/>
          <w:color w:val="auto"/>
          <w:sz w:val="28"/>
          <w:szCs w:val="28"/>
          <w:highlight w:val="none"/>
        </w:rPr>
        <w:fldChar w:fldCharType="separate"/>
      </w:r>
      <w:r>
        <w:rPr>
          <w:b/>
          <w:bCs/>
          <w:color w:val="auto"/>
          <w:sz w:val="28"/>
          <w:szCs w:val="28"/>
          <w:highlight w:val="none"/>
        </w:rPr>
        <w:t xml:space="preserve">23</w:t>
      </w:r>
      <w:r>
        <w:rPr>
          <w:b/>
          <w:bCs/>
          <w:color w:val="auto"/>
          <w:sz w:val="28"/>
          <w:szCs w:val="28"/>
          <w:highlight w:val="none"/>
        </w:rPr>
        <w:fldChar w:fldCharType="end"/>
      </w:r>
      <w:r>
        <w:rPr>
          <w:rFonts w:ascii="宋体" w:hAnsi="宋体" w:eastAsia="宋体"/>
          <w:b/>
          <w:bCs/>
          <w:color w:val="auto"/>
          <w:sz w:val="28"/>
          <w:szCs w:val="28"/>
          <w:highlight w:val="none"/>
        </w:rPr>
        <w:fldChar w:fldCharType="end"/>
      </w:r>
      <w:r/>
    </w:p>
    <w:p>
      <w:pPr>
        <w:pStyle w:val="775"/>
        <w:keepLines w:val="0"/>
        <w:keepNext w:val="0"/>
        <w:pageBreakBefore w:val="0"/>
        <w:spacing w:after="0" w:line="480" w:lineRule="auto"/>
        <w:widowControl w:val="off"/>
        <w:tabs>
          <w:tab w:val="right" w:pos="8730" w:leader="dot"/>
        </w:tabs>
        <w:rPr>
          <w:b/>
          <w:bCs/>
          <w:color w:val="auto"/>
          <w:sz w:val="28"/>
          <w:szCs w:val="28"/>
          <w:highlight w:val="none"/>
        </w:rPr>
      </w:pPr>
      <w:r>
        <w:rPr>
          <w:rFonts w:ascii="宋体" w:hAnsi="宋体" w:eastAsia="宋体"/>
          <w:b/>
          <w:bCs/>
          <w:color w:val="auto"/>
          <w:sz w:val="28"/>
          <w:szCs w:val="28"/>
          <w:highlight w:val="none"/>
        </w:rPr>
        <w:fldChar w:fldCharType="begin"/>
      </w:r>
      <w:r>
        <w:rPr>
          <w:rFonts w:ascii="宋体" w:hAnsi="宋体" w:eastAsia="宋体"/>
          <w:b/>
          <w:bCs/>
          <w:color w:val="auto"/>
          <w:sz w:val="28"/>
          <w:szCs w:val="28"/>
          <w:highlight w:val="none"/>
        </w:rPr>
        <w:instrText xml:space="preserve"> HYPERLINK \l _Toc24672 </w:instrText>
      </w:r>
      <w:r>
        <w:rPr>
          <w:rFonts w:ascii="宋体" w:hAnsi="宋体" w:eastAsia="宋体"/>
          <w:b/>
          <w:bCs/>
          <w:color w:val="auto"/>
          <w:sz w:val="28"/>
          <w:szCs w:val="28"/>
          <w:highlight w:val="none"/>
        </w:rPr>
        <w:fldChar w:fldCharType="separate"/>
      </w:r>
      <w:r>
        <w:rPr>
          <w:rFonts w:hint="eastAsia" w:ascii="宋体" w:hAnsi="宋体" w:eastAsia="宋体" w:cs="宋体"/>
          <w:b/>
          <w:bCs/>
          <w:color w:val="auto"/>
          <w:sz w:val="28"/>
          <w:szCs w:val="28"/>
          <w:highlight w:val="none"/>
          <w:lang w:val="en-US" w:eastAsia="zh-CN" w:bidi="ar-SA"/>
        </w:rPr>
        <w:t xml:space="preserve">第四章 采购需求</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_Toc24672 \h </w:instrText>
      </w:r>
      <w:r>
        <w:rPr>
          <w:b/>
          <w:bCs/>
          <w:color w:val="auto"/>
          <w:sz w:val="28"/>
          <w:szCs w:val="28"/>
          <w:highlight w:val="none"/>
        </w:rPr>
        <w:fldChar w:fldCharType="separate"/>
      </w:r>
      <w:r>
        <w:rPr>
          <w:b/>
          <w:bCs/>
          <w:color w:val="auto"/>
          <w:sz w:val="28"/>
          <w:szCs w:val="28"/>
          <w:highlight w:val="none"/>
        </w:rPr>
        <w:t xml:space="preserve">28</w:t>
      </w:r>
      <w:r>
        <w:rPr>
          <w:b/>
          <w:bCs/>
          <w:color w:val="auto"/>
          <w:sz w:val="28"/>
          <w:szCs w:val="28"/>
          <w:highlight w:val="none"/>
        </w:rPr>
        <w:fldChar w:fldCharType="end"/>
      </w:r>
      <w:r>
        <w:rPr>
          <w:rFonts w:ascii="宋体" w:hAnsi="宋体" w:eastAsia="宋体"/>
          <w:b/>
          <w:bCs/>
          <w:color w:val="auto"/>
          <w:sz w:val="28"/>
          <w:szCs w:val="28"/>
          <w:highlight w:val="none"/>
        </w:rPr>
        <w:fldChar w:fldCharType="end"/>
      </w:r>
      <w:r/>
    </w:p>
    <w:p>
      <w:pPr>
        <w:pStyle w:val="775"/>
        <w:keepLines w:val="0"/>
        <w:keepNext w:val="0"/>
        <w:pageBreakBefore w:val="0"/>
        <w:spacing w:after="0" w:line="480" w:lineRule="auto"/>
        <w:widowControl w:val="off"/>
        <w:tabs>
          <w:tab w:val="right" w:pos="8730" w:leader="dot"/>
        </w:tabs>
        <w:rPr>
          <w:b/>
          <w:bCs/>
          <w:color w:val="auto"/>
          <w:sz w:val="28"/>
          <w:szCs w:val="28"/>
          <w:highlight w:val="none"/>
        </w:rPr>
      </w:pPr>
      <w:r>
        <w:rPr>
          <w:rFonts w:ascii="宋体" w:hAnsi="宋体" w:eastAsia="宋体"/>
          <w:b/>
          <w:bCs/>
          <w:color w:val="auto"/>
          <w:sz w:val="28"/>
          <w:szCs w:val="28"/>
          <w:highlight w:val="none"/>
        </w:rPr>
        <w:fldChar w:fldCharType="begin"/>
      </w:r>
      <w:r>
        <w:rPr>
          <w:rFonts w:ascii="宋体" w:hAnsi="宋体" w:eastAsia="宋体"/>
          <w:b/>
          <w:bCs/>
          <w:color w:val="auto"/>
          <w:sz w:val="28"/>
          <w:szCs w:val="28"/>
          <w:highlight w:val="none"/>
        </w:rPr>
        <w:instrText xml:space="preserve"> HYPERLINK \l _Toc26396 </w:instrText>
      </w:r>
      <w:r>
        <w:rPr>
          <w:rFonts w:ascii="宋体" w:hAnsi="宋体" w:eastAsia="宋体"/>
          <w:b/>
          <w:bCs/>
          <w:color w:val="auto"/>
          <w:sz w:val="28"/>
          <w:szCs w:val="28"/>
          <w:highlight w:val="none"/>
        </w:rPr>
        <w:fldChar w:fldCharType="separate"/>
      </w:r>
      <w:r>
        <w:rPr>
          <w:rFonts w:hint="eastAsia" w:ascii="宋体" w:hAnsi="宋体" w:cs="宋体"/>
          <w:b/>
          <w:bCs/>
          <w:color w:val="auto"/>
          <w:sz w:val="28"/>
          <w:szCs w:val="28"/>
          <w:highlight w:val="none"/>
        </w:rPr>
        <w:t xml:space="preserve">第五章 评审方法与评审标准</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_Toc26396 \h </w:instrText>
      </w:r>
      <w:r>
        <w:rPr>
          <w:b/>
          <w:bCs/>
          <w:color w:val="auto"/>
          <w:sz w:val="28"/>
          <w:szCs w:val="28"/>
          <w:highlight w:val="none"/>
        </w:rPr>
        <w:fldChar w:fldCharType="separate"/>
      </w:r>
      <w:r>
        <w:rPr>
          <w:b/>
          <w:bCs/>
          <w:color w:val="auto"/>
          <w:sz w:val="28"/>
          <w:szCs w:val="28"/>
          <w:highlight w:val="none"/>
        </w:rPr>
        <w:t xml:space="preserve">29</w:t>
      </w:r>
      <w:r>
        <w:rPr>
          <w:b/>
          <w:bCs/>
          <w:color w:val="auto"/>
          <w:sz w:val="28"/>
          <w:szCs w:val="28"/>
          <w:highlight w:val="none"/>
        </w:rPr>
        <w:fldChar w:fldCharType="end"/>
      </w:r>
      <w:r>
        <w:rPr>
          <w:rFonts w:ascii="宋体" w:hAnsi="宋体" w:eastAsia="宋体"/>
          <w:b/>
          <w:bCs/>
          <w:color w:val="auto"/>
          <w:sz w:val="28"/>
          <w:szCs w:val="28"/>
          <w:highlight w:val="none"/>
        </w:rPr>
        <w:fldChar w:fldCharType="end"/>
      </w:r>
      <w:r/>
    </w:p>
    <w:p>
      <w:pPr>
        <w:pStyle w:val="775"/>
        <w:keepLines w:val="0"/>
        <w:keepNext w:val="0"/>
        <w:pageBreakBefore w:val="0"/>
        <w:spacing w:after="0" w:line="480" w:lineRule="auto"/>
        <w:widowControl w:val="off"/>
        <w:tabs>
          <w:tab w:val="right" w:pos="8730" w:leader="dot"/>
        </w:tabs>
        <w:rPr>
          <w:b/>
          <w:bCs/>
          <w:color w:val="auto"/>
          <w:sz w:val="28"/>
          <w:szCs w:val="28"/>
          <w:highlight w:val="none"/>
        </w:rPr>
      </w:pPr>
      <w:r>
        <w:rPr>
          <w:rFonts w:ascii="宋体" w:hAnsi="宋体" w:eastAsia="宋体"/>
          <w:b/>
          <w:bCs/>
          <w:color w:val="auto"/>
          <w:sz w:val="28"/>
          <w:szCs w:val="28"/>
          <w:highlight w:val="none"/>
        </w:rPr>
        <w:fldChar w:fldCharType="begin"/>
      </w:r>
      <w:r>
        <w:rPr>
          <w:rFonts w:ascii="宋体" w:hAnsi="宋体" w:eastAsia="宋体"/>
          <w:b/>
          <w:bCs/>
          <w:color w:val="auto"/>
          <w:sz w:val="28"/>
          <w:szCs w:val="28"/>
          <w:highlight w:val="none"/>
        </w:rPr>
        <w:instrText xml:space="preserve"> HYPERLINK \l _Toc15228 </w:instrText>
      </w:r>
      <w:r>
        <w:rPr>
          <w:rFonts w:ascii="宋体" w:hAnsi="宋体" w:eastAsia="宋体"/>
          <w:b/>
          <w:bCs/>
          <w:color w:val="auto"/>
          <w:sz w:val="28"/>
          <w:szCs w:val="28"/>
          <w:highlight w:val="none"/>
        </w:rPr>
        <w:fldChar w:fldCharType="separate"/>
      </w:r>
      <w:r>
        <w:rPr>
          <w:rFonts w:ascii="Microsoft New Tai Lue" w:hAnsi="Microsoft New Tai Lue" w:eastAsia="宋体" w:cs="Microsoft New Tai Lue"/>
          <w:b/>
          <w:bCs/>
          <w:color w:val="auto"/>
          <w:sz w:val="28"/>
          <w:szCs w:val="28"/>
          <w:highlight w:val="none"/>
          <w:lang w:val="en-US" w:eastAsia="zh-CN" w:bidi="ar-SA"/>
        </w:rPr>
        <w:t xml:space="preserve">第六章 </w:t>
      </w:r>
      <w:r>
        <w:rPr>
          <w:rFonts w:hint="eastAsia" w:ascii="Microsoft New Tai Lue" w:hAnsi="Microsoft New Tai Lue" w:eastAsia="宋体" w:cs="Microsoft New Tai Lue"/>
          <w:b/>
          <w:bCs/>
          <w:color w:val="auto"/>
          <w:sz w:val="28"/>
          <w:szCs w:val="28"/>
          <w:highlight w:val="none"/>
          <w:lang w:val="en-US" w:eastAsia="zh-CN" w:bidi="ar-SA"/>
        </w:rPr>
        <w:t xml:space="preserve">响应文件格式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_Toc15228 \h </w:instrText>
      </w:r>
      <w:r>
        <w:rPr>
          <w:b/>
          <w:bCs/>
          <w:color w:val="auto"/>
          <w:sz w:val="28"/>
          <w:szCs w:val="28"/>
          <w:highlight w:val="none"/>
        </w:rPr>
        <w:fldChar w:fldCharType="separate"/>
      </w:r>
      <w:r>
        <w:rPr>
          <w:b/>
          <w:bCs/>
          <w:color w:val="auto"/>
          <w:sz w:val="28"/>
          <w:szCs w:val="28"/>
          <w:highlight w:val="none"/>
        </w:rPr>
        <w:t xml:space="preserve">33</w:t>
      </w:r>
      <w:r>
        <w:rPr>
          <w:b/>
          <w:bCs/>
          <w:color w:val="auto"/>
          <w:sz w:val="28"/>
          <w:szCs w:val="28"/>
          <w:highlight w:val="none"/>
        </w:rPr>
        <w:fldChar w:fldCharType="end"/>
      </w:r>
      <w:r>
        <w:rPr>
          <w:rFonts w:ascii="宋体" w:hAnsi="宋体" w:eastAsia="宋体"/>
          <w:b/>
          <w:bCs/>
          <w:color w:val="auto"/>
          <w:sz w:val="28"/>
          <w:szCs w:val="28"/>
          <w:highlight w:val="none"/>
        </w:rPr>
        <w:fldChar w:fldCharType="end"/>
      </w:r>
      <w:r/>
    </w:p>
    <w:p>
      <w:pPr>
        <w:pStyle w:val="775"/>
        <w:keepLines w:val="0"/>
        <w:keepNext w:val="0"/>
        <w:pageBreakBefore w:val="0"/>
        <w:spacing w:after="0" w:line="480" w:lineRule="auto"/>
        <w:widowControl w:val="off"/>
        <w:tabs>
          <w:tab w:val="right" w:pos="8730" w:leader="dot"/>
        </w:tabs>
        <w:rPr>
          <w:rFonts w:ascii="Microsoft New Tai Lue" w:hAnsi="Microsoft New Tai Lue" w:cs="Microsoft New Tai Lue"/>
          <w:color w:val="auto"/>
          <w:highlight w:val="none"/>
        </w:rPr>
      </w:pPr>
      <w:r>
        <w:rPr>
          <w:rFonts w:ascii="宋体" w:hAnsi="宋体" w:eastAsia="宋体"/>
          <w:b/>
          <w:bCs/>
          <w:color w:val="auto"/>
          <w:sz w:val="28"/>
          <w:szCs w:val="28"/>
          <w:highlight w:val="none"/>
        </w:rPr>
        <w:fldChar w:fldCharType="end"/>
      </w:r>
      <w:bookmarkEnd w:id="0"/>
      <w:r/>
      <w:bookmarkEnd w:id="1"/>
      <w:r/>
      <w:r/>
    </w:p>
    <w:p>
      <w:pPr>
        <w:pStyle w:val="985"/>
        <w:numPr>
          <w:ilvl w:val="0"/>
          <w:numId w:val="2"/>
        </w:numPr>
        <w:rPr>
          <w:rFonts w:ascii="Microsoft New Tai Lue" w:hAnsi="Microsoft New Tai Lue" w:cs="Microsoft New Tai Lue"/>
          <w:color w:val="auto"/>
          <w:highlight w:val="none"/>
        </w:rPr>
      </w:pPr>
      <w:r/>
      <w:bookmarkStart w:id="2" w:name="_Toc107246211"/>
      <w:r/>
      <w:bookmarkStart w:id="3" w:name="_Toc80264697"/>
      <w:r/>
      <w:bookmarkStart w:id="4" w:name="_Toc80792688"/>
      <w:r>
        <w:rPr>
          <w:rFonts w:hint="eastAsia" w:ascii="Microsoft New Tai Lue" w:hAnsi="Microsoft New Tai Lue" w:cs="Microsoft New Tai Lue"/>
          <w:color w:val="auto"/>
          <w:highlight w:val="none"/>
        </w:rPr>
        <w:br w:type="page" w:clear="all"/>
      </w:r>
      <w:bookmarkStart w:id="5" w:name="_Toc24602"/>
      <w:r>
        <w:rPr>
          <w:rFonts w:hint="eastAsia" w:ascii="Microsoft New Tai Lue" w:hAnsi="Microsoft New Tai Lue" w:cs="Microsoft New Tai Lue"/>
          <w:color w:val="auto"/>
          <w:highlight w:val="none"/>
        </w:rPr>
        <w:t xml:space="preserve">竞争性磋商公告</w:t>
      </w:r>
      <w:bookmarkEnd w:id="2"/>
      <w:r/>
      <w:bookmarkEnd w:id="5"/>
      <w:r/>
      <w:r/>
    </w:p>
    <w:p>
      <w:pPr>
        <w:ind w:firstLine="420"/>
        <w:spacing w:line="360" w:lineRule="auto"/>
        <w:rPr>
          <w:rFonts w:ascii="Microsoft New Tai Lue" w:hAnsi="Microsoft New Tai Lue" w:cs="Microsoft New Tai Lue"/>
          <w:bCs/>
          <w:color w:val="auto"/>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auto"/>
          <w:szCs w:val="21"/>
          <w:highlight w:val="none"/>
          <w:u w:val="single"/>
          <w:lang w:eastAsia="zh-CN"/>
        </w:rPr>
        <w:t xml:space="preserve">2026年补充耕地指标交易平台管理[含补充耕地项目监管]</w:t>
      </w:r>
      <w:r>
        <w:rPr>
          <w:rFonts w:hint="eastAsia" w:ascii="Microsoft New Tai Lue" w:hAnsi="Microsoft New Tai Lue" w:cs="Microsoft New Tai Lue"/>
          <w:bCs/>
          <w:color w:val="auto"/>
          <w:szCs w:val="21"/>
          <w:highlight w:val="none"/>
        </w:rPr>
        <w:t xml:space="preserve">采购</w:t>
      </w:r>
      <w:r>
        <w:rPr>
          <w:rFonts w:ascii="Microsoft New Tai Lue" w:hAnsi="Microsoft New Tai Lue" w:cs="Microsoft New Tai Lue"/>
          <w:bCs/>
          <w:color w:val="auto"/>
          <w:szCs w:val="21"/>
          <w:highlight w:val="none"/>
        </w:rPr>
        <w:t xml:space="preserve">项目的潜在</w:t>
      </w:r>
      <w:r>
        <w:rPr>
          <w:rFonts w:hint="eastAsia" w:ascii="Microsoft New Tai Lue" w:hAnsi="Microsoft New Tai Lue" w:cs="Microsoft New Tai Lue"/>
          <w:bCs/>
          <w:color w:val="auto"/>
          <w:szCs w:val="21"/>
          <w:highlight w:val="none"/>
        </w:rPr>
        <w:t xml:space="preserve">供应商</w:t>
      </w:r>
      <w:r>
        <w:rPr>
          <w:rFonts w:ascii="Microsoft New Tai Lue" w:hAnsi="Microsoft New Tai Lue" w:cs="Microsoft New Tai Lue"/>
          <w:bCs/>
          <w:color w:val="auto"/>
          <w:szCs w:val="21"/>
          <w:highlight w:val="none"/>
        </w:rPr>
        <w:t xml:space="preserve">应在</w:t>
      </w:r>
      <w:r>
        <w:rPr>
          <w:rFonts w:ascii="Microsoft New Tai Lue" w:hAnsi="Microsoft New Tai Lue" w:cs="Microsoft New Tai Lue"/>
          <w:bCs/>
          <w:color w:val="auto"/>
          <w:szCs w:val="21"/>
          <w:highlight w:val="none"/>
          <w:u w:val="single"/>
        </w:rPr>
        <w:t xml:space="preserve"> </w:t>
      </w:r>
      <w:r>
        <w:rPr>
          <w:rFonts w:hint="eastAsia" w:ascii="宋体" w:hAnsi="宋体" w:cs="宋体"/>
          <w:bCs/>
          <w:color w:val="auto"/>
          <w:szCs w:val="21"/>
          <w:highlight w:val="none"/>
          <w:u w:val="single"/>
          <w:lang w:val="en-US" w:eastAsia="zh-CN" w:bidi="ar"/>
        </w:rPr>
        <w:t xml:space="preserve">江苏政府采购网</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获取</w:t>
      </w:r>
      <w:r>
        <w:rPr>
          <w:rFonts w:hint="eastAsia" w:ascii="Microsoft New Tai Lue" w:hAnsi="Microsoft New Tai Lue" w:cs="Microsoft New Tai Lue"/>
          <w:bCs/>
          <w:color w:val="auto"/>
          <w:szCs w:val="21"/>
          <w:highlight w:val="none"/>
        </w:rPr>
        <w:t xml:space="preserve">磋商文件</w:t>
      </w:r>
      <w:r>
        <w:rPr>
          <w:rFonts w:ascii="Microsoft New Tai Lue" w:hAnsi="Microsoft New Tai Lue" w:cs="Microsoft New Tai Lue"/>
          <w:bCs/>
          <w:color w:val="auto"/>
          <w:szCs w:val="21"/>
          <w:highlight w:val="none"/>
        </w:rPr>
        <w:t xml:space="preserve">，并于</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rPr>
        <w:t xml:space="preserve">202</w:t>
      </w:r>
      <w:r>
        <w:rPr>
          <w:rFonts w:hint="eastAsia" w:ascii="Microsoft New Tai Lue" w:hAnsi="Microsoft New Tai Lue" w:cs="Microsoft New Tai Lue"/>
          <w:bCs/>
          <w:color w:val="auto"/>
          <w:szCs w:val="21"/>
          <w:highlight w:val="none"/>
          <w:u w:val="single"/>
          <w:lang w:val="en-US" w:eastAsia="zh-CN"/>
        </w:rPr>
        <w:t xml:space="preserve">6</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8</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18</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日</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09</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点</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3</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u w:val="single"/>
        </w:rPr>
        <w:t xml:space="preserve">分</w:t>
      </w:r>
      <w:r>
        <w:rPr>
          <w:rFonts w:ascii="Microsoft New Tai Lue" w:hAnsi="Microsoft New Tai Lue" w:cs="Microsoft New Tai Lue"/>
          <w:bCs/>
          <w:color w:val="auto"/>
          <w:szCs w:val="21"/>
          <w:highlight w:val="none"/>
        </w:rPr>
        <w:t xml:space="preserve">（北京时间）</w:t>
      </w:r>
      <w:r>
        <w:rPr>
          <w:rFonts w:hint="eastAsia" w:ascii="Microsoft New Tai Lue" w:hAnsi="Microsoft New Tai Lue" w:cs="Microsoft New Tai Lue"/>
          <w:bCs/>
          <w:color w:val="auto"/>
          <w:szCs w:val="21"/>
          <w:highlight w:val="none"/>
        </w:rPr>
        <w:t xml:space="preserve">前提交响应</w:t>
      </w:r>
      <w:r>
        <w:rPr>
          <w:rFonts w:ascii="Microsoft New Tai Lue" w:hAnsi="Microsoft New Tai Lue" w:cs="Microsoft New Tai Lue"/>
          <w:bCs/>
          <w:color w:val="auto"/>
          <w:szCs w:val="21"/>
          <w:highlight w:val="none"/>
        </w:rPr>
        <w:t xml:space="preserve">文件。</w:t>
      </w:r>
      <w:r/>
    </w:p>
    <w:p>
      <w:pPr>
        <w:spacing w:line="360" w:lineRule="auto"/>
        <w:rPr>
          <w:rFonts w:ascii="Microsoft New Tai Lue" w:hAnsi="Microsoft New Tai Lue" w:cs="Microsoft New Tai Lue"/>
          <w:b/>
          <w:bCs/>
          <w:color w:val="auto"/>
          <w:szCs w:val="44"/>
          <w:highlight w:val="none"/>
        </w:rPr>
      </w:pPr>
      <w:r/>
      <w:bookmarkStart w:id="6" w:name="_Toc93909065"/>
      <w:r/>
      <w:bookmarkStart w:id="7" w:name="_Toc96347851"/>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6"/>
      <w:r/>
      <w:bookmarkEnd w:id="7"/>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1.1</w:t>
      </w: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JSZC-320000-JITC-C2026-0273</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1.2</w:t>
      </w:r>
      <w:r>
        <w:rPr>
          <w:rFonts w:ascii="Microsoft New Tai Lue" w:hAnsi="Microsoft New Tai Lue" w:cs="Microsoft New Tai Lue"/>
          <w:bCs/>
          <w:color w:val="auto"/>
          <w:szCs w:val="21"/>
          <w:highlight w:val="none"/>
        </w:rPr>
        <w:t xml:space="preserve">项目名称：</w:t>
      </w:r>
      <w:r>
        <w:rPr>
          <w:rFonts w:hint="eastAsia" w:ascii="Microsoft New Tai Lue" w:hAnsi="Microsoft New Tai Lue" w:cs="Microsoft New Tai Lue"/>
          <w:bCs/>
          <w:color w:val="auto"/>
          <w:szCs w:val="21"/>
          <w:highlight w:val="none"/>
          <w:lang w:eastAsia="zh-CN"/>
        </w:rPr>
        <w:t xml:space="preserve">2026年补充耕地指标交易平台管理[含补充耕地项目监管]</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采购方式：竞争性磋商</w:t>
      </w:r>
      <w:r/>
    </w:p>
    <w:p>
      <w:pPr>
        <w:ind w:firstLine="420"/>
        <w:spacing w:line="360" w:lineRule="auto"/>
        <w:rPr>
          <w:color w:val="auto"/>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4预算金额：</w:t>
      </w:r>
      <w:r>
        <w:rPr>
          <w:rFonts w:hint="eastAsia" w:ascii="宋体" w:hAnsi="宋体" w:cs="宋体"/>
          <w:b/>
          <w:color w:val="auto"/>
          <w:szCs w:val="21"/>
          <w:highlight w:val="none"/>
          <w:lang w:val="en-US" w:eastAsia="zh-CN"/>
        </w:rPr>
        <w:t xml:space="preserve">108</w:t>
      </w:r>
      <w:r>
        <w:rPr>
          <w:rFonts w:hint="eastAsia" w:ascii="Microsoft New Tai Lue" w:hAnsi="Microsoft New Tai Lue" w:cs="Microsoft New Tai Lue"/>
          <w:bCs/>
          <w:color w:val="auto"/>
          <w:szCs w:val="21"/>
          <w:highlight w:val="none"/>
          <w:lang w:val="en-US" w:eastAsia="zh-CN"/>
        </w:rPr>
        <w:t xml:space="preserve">万元</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1.5最高限价：</w:t>
      </w:r>
      <w:r>
        <w:rPr>
          <w:rFonts w:hint="eastAsia" w:ascii="宋体" w:hAnsi="宋体" w:cs="宋体"/>
          <w:b/>
          <w:color w:val="auto"/>
          <w:szCs w:val="21"/>
          <w:highlight w:val="none"/>
        </w:rPr>
        <w:t xml:space="preserve">本项目</w:t>
      </w:r>
      <w:r>
        <w:rPr>
          <w:rFonts w:hint="eastAsia" w:ascii="宋体" w:hAnsi="宋体" w:cs="宋体"/>
          <w:b/>
          <w:color w:val="auto"/>
          <w:szCs w:val="21"/>
          <w:highlight w:val="none"/>
          <w:lang w:val="en-US" w:eastAsia="zh-CN"/>
        </w:rPr>
        <w:t xml:space="preserve">最高限</w:t>
      </w:r>
      <w:r>
        <w:rPr>
          <w:rFonts w:hint="eastAsia" w:ascii="宋体" w:hAnsi="宋体" w:cs="宋体"/>
          <w:b/>
          <w:color w:val="auto"/>
          <w:szCs w:val="21"/>
          <w:highlight w:val="none"/>
          <w:lang w:val="en-US" w:eastAsia="zh-CN"/>
        </w:rPr>
        <w:t xml:space="preserve">价为108万元</w:t>
      </w:r>
      <w:r>
        <w:rPr>
          <w:rFonts w:hint="eastAsia" w:ascii="宋体" w:hAnsi="宋体" w:eastAsia="宋体" w:cs="宋体"/>
          <w:b/>
          <w:color w:val="auto"/>
          <w:szCs w:val="21"/>
          <w:highlight w:val="none"/>
          <w:lang w:val="en-US" w:eastAsia="zh-CN"/>
        </w:rPr>
        <w:t xml:space="preserve">，</w:t>
      </w:r>
      <w:r>
        <w:rPr>
          <w:rFonts w:hint="eastAsia" w:ascii="宋体" w:hAnsi="宋体" w:cs="宋体"/>
          <w:b/>
          <w:color w:val="auto"/>
          <w:szCs w:val="21"/>
          <w:highlight w:val="none"/>
          <w:lang w:val="en-US" w:eastAsia="zh-CN"/>
        </w:rPr>
        <w:t xml:space="preserve">供应商响应</w:t>
      </w:r>
      <w:r>
        <w:rPr>
          <w:rFonts w:hint="eastAsia" w:ascii="宋体" w:hAnsi="宋体" w:eastAsia="宋体" w:cs="宋体"/>
          <w:b/>
          <w:color w:val="auto"/>
          <w:szCs w:val="21"/>
          <w:highlight w:val="none"/>
          <w:lang w:val="en-US" w:eastAsia="zh-CN"/>
        </w:rPr>
        <w:t xml:space="preserve">报价不得超过上述金额，否则将作无效标处理。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6采购需求</w:t>
      </w:r>
      <w:r>
        <w:rPr>
          <w:rFonts w:hint="eastAsia" w:ascii="Microsoft New Tai Lue" w:hAnsi="Microsoft New Tai Lue" w:cs="Microsoft New Tai Lue"/>
          <w:bCs/>
          <w:color w:val="auto"/>
          <w:szCs w:val="21"/>
          <w:highlight w:val="none"/>
          <w:lang w:eastAsia="zh-CN"/>
        </w:rPr>
        <w:t xml:space="preserve">：</w:t>
      </w:r>
      <w:r>
        <w:rPr>
          <w:rFonts w:hint="eastAsia" w:ascii="宋体" w:hAnsi="宋体" w:cs="宋体"/>
          <w:bCs/>
          <w:color w:val="auto"/>
          <w:szCs w:val="21"/>
          <w:highlight w:val="none"/>
          <w:lang w:val="en-US" w:eastAsia="zh-CN"/>
        </w:rPr>
        <w:t xml:space="preserve">按要求开展2026年补充耕地指标交易平台管理工作和补充耕地项目的监管工作，在规定时间内完成相关技术服务工作，形成相关成果数据、工作分析报告。工作主要包括以下内容：江苏省补充耕地指标交易平台管理工作，开展对拟交易项目进行内、外业的审核；补充耕地项目立项阶段、验收阶段的合规性进行监管。具体详见采购文件第四章《采购需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标段划分：本项目共划分1个标段。</w:t>
      </w:r>
      <w:r/>
    </w:p>
    <w:p>
      <w:pPr>
        <w:ind w:firstLine="420"/>
        <w:spacing w:line="360" w:lineRule="auto"/>
        <w:rPr>
          <w:rFonts w:hint="eastAsia" w:ascii="宋体" w:hAnsi="宋体" w:eastAsia="宋体" w:cs="宋体"/>
          <w:b/>
          <w:bCs w:val="0"/>
          <w:color w:val="auto"/>
          <w:szCs w:val="21"/>
          <w:highlight w:val="none"/>
          <w:lang w:val="zh-CN"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合同履行期限：</w:t>
      </w:r>
      <w:r>
        <w:rPr>
          <w:rFonts w:hint="eastAsia" w:ascii="宋体" w:hAnsi="宋体" w:cs="宋体"/>
          <w:color w:val="auto"/>
          <w:sz w:val="21"/>
          <w:szCs w:val="21"/>
          <w:highlight w:val="none"/>
          <w:lang w:val="en-US" w:eastAsia="zh-CN" w:bidi="ar"/>
        </w:rPr>
        <w:t xml:space="preserve">2026年12月31日前。</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本项目是否接受联合体投标：不接受</w:t>
      </w:r>
      <w:r/>
    </w:p>
    <w:p>
      <w:pPr>
        <w:ind w:firstLine="420"/>
        <w:spacing w:line="360" w:lineRule="auto"/>
        <w:rPr>
          <w:rFonts w:hint="eastAsia" w:ascii="Microsoft New Tai Lue" w:hAnsi="Microsoft New Tai Lue" w:cs="Microsoft New Tai Lue"/>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本项目是否接受进口产品：不接受</w:t>
      </w:r>
      <w:r/>
    </w:p>
    <w:p>
      <w:pPr>
        <w:spacing w:line="360" w:lineRule="auto"/>
        <w:rPr>
          <w:rFonts w:ascii="Microsoft New Tai Lue" w:hAnsi="Microsoft New Tai Lue" w:cs="Microsoft New Tai Lue"/>
          <w:b/>
          <w:bCs/>
          <w:color w:val="auto"/>
          <w:szCs w:val="44"/>
          <w:highlight w:val="none"/>
        </w:rPr>
      </w:pPr>
      <w:r/>
      <w:bookmarkStart w:id="8" w:name="_Toc80264698"/>
      <w:r/>
      <w:bookmarkStart w:id="9" w:name="_Toc80792689"/>
      <w:r/>
      <w:bookmarkStart w:id="10" w:name="_Toc93909066"/>
      <w:r/>
      <w:bookmarkStart w:id="11" w:name="_Toc96347852"/>
      <w:r>
        <w:rPr>
          <w:rFonts w:ascii="Microsoft New Tai Lue" w:hAnsi="Microsoft New Tai Lue" w:cs="Microsoft New Tai Lue"/>
          <w:b/>
          <w:bCs/>
          <w:color w:val="auto"/>
          <w:szCs w:val="44"/>
          <w:highlight w:val="none"/>
        </w:rPr>
        <w:t xml:space="preserve">二、</w:t>
      </w:r>
      <w:bookmarkEnd w:id="8"/>
      <w:r>
        <w:rPr>
          <w:rFonts w:ascii="Microsoft New Tai Lue" w:hAnsi="Microsoft New Tai Lue" w:cs="Microsoft New Tai Lue"/>
          <w:b/>
          <w:bCs/>
          <w:color w:val="auto"/>
          <w:szCs w:val="44"/>
          <w:highlight w:val="none"/>
        </w:rPr>
        <w:t xml:space="preserve">申请人的资格要求</w:t>
      </w:r>
      <w:bookmarkEnd w:id="9"/>
      <w:r/>
      <w:bookmarkEnd w:id="10"/>
      <w:r>
        <w:rPr>
          <w:rFonts w:ascii="Microsoft New Tai Lue" w:hAnsi="Microsoft New Tai Lue" w:cs="Microsoft New Tai Lue"/>
          <w:b/>
          <w:bCs/>
          <w:color w:val="auto"/>
          <w:szCs w:val="44"/>
          <w:highlight w:val="none"/>
        </w:rPr>
        <w:t xml:space="preserve">：</w:t>
      </w:r>
      <w:bookmarkEnd w:id="11"/>
      <w:r/>
      <w:r/>
    </w:p>
    <w:p>
      <w:pPr>
        <w:ind w:firstLine="420"/>
        <w:spacing w:line="360" w:lineRule="auto"/>
        <w:rPr>
          <w:rFonts w:hint="eastAsia" w:ascii="宋体" w:hAnsi="宋体" w:cs="宋体"/>
          <w:bCs/>
          <w:color w:val="auto"/>
          <w:szCs w:val="21"/>
          <w:highlight w:val="none"/>
        </w:rPr>
      </w:pPr>
      <w:r/>
      <w:bookmarkStart w:id="12" w:name="_Toc96347853"/>
      <w:r/>
      <w:bookmarkStart w:id="13" w:name="_Toc80792690"/>
      <w:r/>
      <w:bookmarkStart w:id="14" w:name="_Toc80264699"/>
      <w:r/>
      <w:bookmarkStart w:id="15" w:name="_Toc93909067"/>
      <w:r>
        <w:rPr>
          <w:rFonts w:hint="eastAsia" w:ascii="宋体" w:hAnsi="宋体" w:cs="宋体"/>
          <w:bCs/>
          <w:color w:val="auto"/>
          <w:szCs w:val="21"/>
          <w:highlight w:val="none"/>
        </w:rPr>
        <w:t xml:space="preserve">2.1满足《中华人民共和国政府采购法》第二十二条规定：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2.1.1法人或者其他组织的营业执照等证明文件，自然人的身份证明；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2.1.2具有良好的商业信誉和健全的财务会计制度（</w:t>
      </w:r>
      <w:r>
        <w:rPr>
          <w:rFonts w:hint="eastAsia" w:ascii="宋体" w:hAnsi="宋体" w:cs="宋体"/>
          <w:color w:val="auto"/>
          <w:szCs w:val="21"/>
          <w:highlight w:val="none"/>
        </w:rPr>
        <w:t xml:space="preserve">提供参加本次政府采购活动前半年内（202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01</w:t>
      </w:r>
      <w:r>
        <w:rPr>
          <w:rFonts w:hint="eastAsia" w:ascii="宋体" w:hAnsi="宋体" w:cs="宋体"/>
          <w:color w:val="auto"/>
          <w:szCs w:val="21"/>
          <w:highlight w:val="none"/>
        </w:rPr>
        <w:t xml:space="preserve">月以来）至少一个月的会计报表，或者提供</w:t>
      </w:r>
      <w:r>
        <w:rPr>
          <w:rFonts w:hint="eastAsia" w:ascii="宋体" w:hAnsi="宋体" w:cs="宋体"/>
          <w:color w:val="auto"/>
          <w:szCs w:val="21"/>
          <w:highlight w:val="none"/>
          <w:lang w:val="en-US" w:eastAsia="zh-CN"/>
        </w:rPr>
        <w:t xml:space="preserve">2025年度</w:t>
      </w:r>
      <w:r>
        <w:rPr>
          <w:rFonts w:hint="eastAsia" w:ascii="宋体" w:hAnsi="宋体" w:cs="宋体"/>
          <w:color w:val="auto"/>
          <w:szCs w:val="21"/>
          <w:highlight w:val="none"/>
        </w:rPr>
        <w:t xml:space="preserve">的财务报告，或投标截止时间前六个月内银行出具的资信证明，或财政部门认可的政府采购专业担保机构出具的投标担保函）（法人或者其他组织成立未满一年的可以不提供</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2.1.4有依法缴纳税收和社会保障资金的良好记录（提供参加本次政府采购活动前半年内（202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01</w:t>
      </w:r>
      <w:r>
        <w:rPr>
          <w:rFonts w:hint="eastAsia" w:ascii="宋体" w:hAnsi="宋体" w:cs="宋体"/>
          <w:bCs/>
          <w:color w:val="auto"/>
          <w:szCs w:val="21"/>
          <w:highlight w:val="none"/>
        </w:rPr>
        <w:t xml:space="preserve">月以来）至少一个月缴纳税收和社会保险的凭证，依法享受免缴、缓缴的，提供证明材料）；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2.1.6法律、行政法规规定的其他条件。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2.2落实政府采购政策需满足的资格要求：</w:t>
      </w:r>
      <w:r/>
    </w:p>
    <w:p>
      <w:pPr>
        <w:ind w:firstLine="420"/>
        <w:jc w:val="left"/>
        <w:spacing w:line="360" w:lineRule="auto"/>
        <w:rPr>
          <w:rFonts w:hint="eastAsia" w:hAnsi="宋体" w:cs="宋体"/>
          <w:b/>
          <w:bCs/>
          <w:color w:val="auto"/>
          <w:position w:val="0"/>
          <w:sz w:val="21"/>
          <w:szCs w:val="21"/>
          <w:highlight w:val="none"/>
        </w:rPr>
      </w:pPr>
      <w:r>
        <w:rPr>
          <w:rFonts w:hint="eastAsia" w:ascii="宋体" w:hAnsi="宋体" w:cs="宋体"/>
          <w:bCs/>
          <w:color w:val="auto"/>
          <w:szCs w:val="21"/>
          <w:highlight w:val="none"/>
        </w:rPr>
        <w:t xml:space="preserve">2.2.1 中小企业政策</w:t>
      </w:r>
      <w:r>
        <w:rPr>
          <w:rFonts w:hint="eastAsia" w:ascii="宋体" w:hAnsi="宋体" w:cs="宋体"/>
          <w:bCs/>
          <w:color w:val="auto"/>
          <w:szCs w:val="21"/>
          <w:highlight w:val="none"/>
          <w:lang w:eastAsia="zh-CN"/>
        </w:rPr>
        <w:t xml:space="preserve">：</w:t>
      </w:r>
      <w:r>
        <w:rPr>
          <w:rFonts w:hint="eastAsia" w:hAnsi="宋体" w:cs="宋体"/>
          <w:b/>
          <w:bCs/>
          <w:color w:val="auto"/>
          <w:position w:val="0"/>
          <w:sz w:val="21"/>
          <w:szCs w:val="21"/>
          <w:highlight w:val="none"/>
        </w:rPr>
        <w:t xml:space="preserve">本项目不面向中小企业预留采购份额。</w:t>
      </w:r>
      <w:r/>
    </w:p>
    <w:p>
      <w:pPr>
        <w:ind w:firstLine="420"/>
        <w:spacing w:line="360" w:lineRule="auto"/>
        <w:rPr>
          <w:rFonts w:ascii="Microsoft New Tai Lue" w:hAnsi="Microsoft New Tai Lue" w:cs="Microsoft New Tai Lue"/>
          <w:bCs/>
          <w:color w:val="auto"/>
          <w:szCs w:val="21"/>
          <w:highlight w:val="none"/>
        </w:rPr>
      </w:pPr>
      <w:r>
        <w:rPr>
          <w:rFonts w:hint="eastAsia" w:ascii="宋体" w:hAnsi="宋体" w:cs="宋体"/>
          <w:bCs/>
          <w:color w:val="auto"/>
          <w:szCs w:val="21"/>
          <w:highlight w:val="none"/>
        </w:rPr>
        <w:t xml:space="preserve">2.2.2其它落实政府采购政策的资格要求：无</w:t>
      </w:r>
      <w:r>
        <w:rPr>
          <w:rFonts w:hint="eastAsia" w:ascii="Microsoft New Tai Lue" w:hAnsi="Microsoft New Tai Lue" w:cs="Microsoft New Tai Lue"/>
          <w:bCs/>
          <w:color w:val="auto"/>
          <w:szCs w:val="21"/>
          <w:highlight w:val="none"/>
        </w:rPr>
        <w:t xml:space="preserve">。</w:t>
      </w:r>
      <w:r/>
    </w:p>
    <w:p>
      <w:pPr>
        <w:ind w:firstLine="420"/>
        <w:spacing w:line="360" w:lineRule="auto"/>
        <w:rPr>
          <w:rFonts w:ascii="Microsoft New Tai Lue" w:hAnsi="Microsoft New Tai Lue" w:cs="Microsoft New Tai Lue"/>
          <w:b/>
          <w:bCs w:val="0"/>
          <w:color w:val="auto"/>
          <w:szCs w:val="21"/>
          <w:highlight w:val="none"/>
        </w:rPr>
      </w:pPr>
      <w:r>
        <w:rPr>
          <w:rFonts w:ascii="Microsoft New Tai Lue" w:hAnsi="Microsoft New Tai Lue" w:cs="Microsoft New Tai Lue"/>
          <w:b w:val="0"/>
          <w:bCs/>
          <w:color w:val="auto"/>
          <w:szCs w:val="21"/>
          <w:highlight w:val="none"/>
        </w:rPr>
        <w:t xml:space="preserve">2.</w:t>
      </w:r>
      <w:r>
        <w:rPr>
          <w:rFonts w:hint="eastAsia" w:ascii="Microsoft New Tai Lue" w:hAnsi="Microsoft New Tai Lue" w:cs="Microsoft New Tai Lue"/>
          <w:b w:val="0"/>
          <w:bCs/>
          <w:color w:val="auto"/>
          <w:szCs w:val="21"/>
          <w:highlight w:val="none"/>
        </w:rPr>
        <w:t xml:space="preserve">3本项目的特定资格要求：</w:t>
      </w:r>
      <w:bookmarkEnd w:id="12"/>
      <w:r/>
      <w:bookmarkEnd w:id="13"/>
      <w:r/>
      <w:bookmarkEnd w:id="14"/>
      <w:r/>
      <w:bookmarkEnd w:id="15"/>
      <w:r/>
      <w:r/>
    </w:p>
    <w:p>
      <w:pPr>
        <w:pStyle w:val="960"/>
        <w:ind w:firstLine="420"/>
        <w:spacing w:line="360" w:lineRule="auto"/>
        <w:rPr>
          <w:rFonts w:hint="eastAsia" w:ascii="宋体" w:hAnsi="宋体" w:cs="宋体"/>
          <w:b/>
          <w:bCs/>
          <w:color w:val="auto"/>
          <w:szCs w:val="21"/>
          <w:highlight w:val="none"/>
          <w:lang w:bidi="ar"/>
        </w:rPr>
      </w:pPr>
      <w:r>
        <w:rPr>
          <w:rFonts w:hint="eastAsia" w:ascii="宋体" w:hAnsi="宋体" w:cs="宋体"/>
          <w:bCs/>
          <w:color w:val="auto"/>
          <w:szCs w:val="21"/>
          <w:highlight w:val="none"/>
        </w:rPr>
        <w:t xml:space="preserve">2.3.1特定资格条件：</w:t>
      </w:r>
      <w:r>
        <w:rPr>
          <w:rFonts w:hint="eastAsia" w:ascii="宋体" w:hAnsi="宋体" w:cs="宋体"/>
          <w:b/>
          <w:bCs/>
          <w:color w:val="auto"/>
          <w:szCs w:val="21"/>
          <w:highlight w:val="none"/>
          <w:lang w:bidi="ar"/>
        </w:rPr>
        <w:t xml:space="preserve">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2.3.2供应商存在下列情形的不得参加本次采购活动：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cs="Microsoft New Tai Lue"/>
          <w:bCs/>
          <w:color w:val="auto"/>
          <w:szCs w:val="21"/>
          <w:highlight w:val="none"/>
        </w:rPr>
      </w:pPr>
      <w:r>
        <w:rPr>
          <w:rFonts w:hint="eastAsia" w:ascii="宋体" w:hAnsi="宋体" w:cs="宋体"/>
          <w:bCs/>
          <w:color w:val="auto"/>
          <w:szCs w:val="21"/>
          <w:highlight w:val="none"/>
        </w:rPr>
        <w:t xml:space="preserve">2.3.2.3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p>
    <w:p>
      <w:pPr>
        <w:spacing w:line="360" w:lineRule="auto"/>
        <w:rPr>
          <w:rFonts w:ascii="Microsoft New Tai Lue" w:hAnsi="Microsoft New Tai Lue" w:eastAsia="宋体" w:cs="Microsoft New Tai Lue"/>
          <w:b/>
          <w:bCs/>
          <w:color w:val="auto"/>
          <w:szCs w:val="44"/>
          <w:highlight w:val="none"/>
          <w:lang w:eastAsia="zh-CN"/>
        </w:rPr>
      </w:pPr>
      <w:r>
        <w:rPr>
          <w:rFonts w:hint="eastAsia" w:ascii="Microsoft New Tai Lue" w:hAnsi="Microsoft New Tai Lue" w:eastAsia="宋体" w:cs="Microsoft New Tai Lue"/>
          <w:b/>
          <w:bCs/>
          <w:color w:val="auto"/>
          <w:szCs w:val="44"/>
          <w:highlight w:val="none"/>
          <w:lang w:eastAsia="zh-CN"/>
        </w:rPr>
        <w:t xml:space="preserve">三、获取采购文件</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bookmarkStart w:id="16" w:name="_Toc28359005"/>
      <w:r/>
      <w:bookmarkStart w:id="17" w:name="_Toc28359082"/>
      <w:r/>
      <w:bookmarkStart w:id="18" w:name="_Toc35393624"/>
      <w:r/>
      <w:bookmarkStart w:id="19" w:name="_Toc38985266"/>
      <w:r/>
      <w:bookmarkStart w:id="20" w:name="_Toc35393793"/>
      <w:r>
        <w:rPr>
          <w:rFonts w:hint="eastAsia" w:ascii="Microsoft New Tai Lue" w:hAnsi="Microsoft New Tai Lue" w:eastAsia="宋体" w:cs="Microsoft New Tai Lue"/>
          <w:bCs/>
          <w:color w:val="auto"/>
          <w:szCs w:val="21"/>
          <w:highlight w:val="none"/>
          <w:lang w:eastAsia="zh-CN"/>
        </w:rPr>
        <w:t xml:space="preserve">时间：自采购公告发布之日起5个工作日</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地点：江苏政府采购网</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方式：网站下载</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售价：0.00元</w:t>
      </w:r>
      <w:r/>
    </w:p>
    <w:p>
      <w:pPr>
        <w:spacing w:line="360" w:lineRule="auto"/>
        <w:rPr>
          <w:rFonts w:hint="eastAsia" w:ascii="Microsoft New Tai Lue" w:hAnsi="Microsoft New Tai Lue" w:eastAsia="宋体" w:cs="Microsoft New Tai Lue"/>
          <w:b/>
          <w:bCs/>
          <w:color w:val="auto"/>
          <w:szCs w:val="44"/>
          <w:highlight w:val="none"/>
          <w:lang w:eastAsia="zh-CN"/>
        </w:rPr>
      </w:pPr>
      <w:r>
        <w:rPr>
          <w:rFonts w:hint="eastAsia" w:ascii="Microsoft New Tai Lue" w:hAnsi="Microsoft New Tai Lue" w:eastAsia="宋体" w:cs="Microsoft New Tai Lue"/>
          <w:b/>
          <w:bCs/>
          <w:color w:val="auto"/>
          <w:szCs w:val="44"/>
          <w:highlight w:val="none"/>
          <w:lang w:eastAsia="zh-CN"/>
        </w:rPr>
        <w:t xml:space="preserve">四、</w:t>
      </w:r>
      <w:bookmarkEnd w:id="16"/>
      <w:r/>
      <w:bookmarkEnd w:id="17"/>
      <w:r>
        <w:rPr>
          <w:rFonts w:hint="eastAsia" w:ascii="Microsoft New Tai Lue" w:hAnsi="Microsoft New Tai Lue" w:eastAsia="宋体" w:cs="Microsoft New Tai Lue"/>
          <w:b/>
          <w:bCs/>
          <w:color w:val="auto"/>
          <w:szCs w:val="44"/>
          <w:highlight w:val="none"/>
          <w:lang w:eastAsia="zh-CN"/>
        </w:rPr>
        <w:t xml:space="preserve">响应文件</w:t>
      </w:r>
      <w:bookmarkEnd w:id="18"/>
      <w:r/>
      <w:bookmarkEnd w:id="19"/>
      <w:r/>
      <w:bookmarkEnd w:id="20"/>
      <w:r>
        <w:rPr>
          <w:rFonts w:hint="eastAsia" w:ascii="Microsoft New Tai Lue" w:hAnsi="Microsoft New Tai Lue" w:eastAsia="宋体" w:cs="Microsoft New Tai Lue"/>
          <w:b/>
          <w:bCs/>
          <w:color w:val="auto"/>
          <w:szCs w:val="44"/>
          <w:highlight w:val="none"/>
          <w:lang w:eastAsia="zh-CN"/>
        </w:rPr>
        <w:t xml:space="preserve">提交</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截</w:t>
      </w:r>
      <w:bookmarkStart w:id="21" w:name="OLE_LINK104"/>
      <w:r>
        <w:rPr>
          <w:rFonts w:hint="eastAsia" w:ascii="Microsoft New Tai Lue" w:hAnsi="Microsoft New Tai Lue" w:eastAsia="宋体" w:cs="Microsoft New Tai Lue"/>
          <w:bCs/>
          <w:color w:val="auto"/>
          <w:szCs w:val="21"/>
          <w:highlight w:val="none"/>
          <w:lang w:eastAsia="zh-CN"/>
        </w:rPr>
        <w:t xml:space="preserve">止</w:t>
      </w:r>
      <w:bookmarkStart w:id="22" w:name="OLE_LINK105"/>
      <w:r>
        <w:rPr>
          <w:rFonts w:hint="eastAsia" w:ascii="Microsoft New Tai Lue" w:hAnsi="Microsoft New Tai Lue" w:eastAsia="宋体" w:cs="Microsoft New Tai Lue"/>
          <w:bCs/>
          <w:color w:val="auto"/>
          <w:szCs w:val="21"/>
          <w:highlight w:val="none"/>
          <w:lang w:eastAsia="zh-CN"/>
        </w:rPr>
        <w:t xml:space="preserve">时间：202</w:t>
      </w:r>
      <w:r>
        <w:rPr>
          <w:rFonts w:hint="eastAsia" w:ascii="Microsoft New Tai Lue" w:hAnsi="Microsoft New Tai Lue" w:eastAsia="宋体" w:cs="Microsoft New Tai Lue"/>
          <w:bCs/>
          <w:color w:val="auto"/>
          <w:szCs w:val="21"/>
          <w:highlight w:val="none"/>
          <w:lang w:val="en-US" w:eastAsia="zh-CN"/>
        </w:rPr>
        <w:t xml:space="preserve">6年 </w:t>
      </w:r>
      <w:r>
        <w:rPr>
          <w:rFonts w:hint="eastAsia" w:ascii="Microsoft New Tai Lue" w:hAnsi="Microsoft New Tai Lue" w:cs="Microsoft New Tai Lue"/>
          <w:bCs/>
          <w:color w:val="auto"/>
          <w:szCs w:val="21"/>
          <w:highlight w:val="none"/>
          <w:lang w:val="en-US" w:eastAsia="zh-CN"/>
        </w:rPr>
        <w:t xml:space="preserve">8</w:t>
      </w:r>
      <w:r>
        <w:rPr>
          <w:rFonts w:hint="eastAsia" w:ascii="Microsoft New Tai Lue" w:hAnsi="Microsoft New Tai Lue" w:eastAsia="宋体" w:cs="Microsoft New Tai Lue"/>
          <w:bCs/>
          <w:color w:val="auto"/>
          <w:szCs w:val="21"/>
          <w:highlight w:val="none"/>
          <w:lang w:val="en-US" w:eastAsia="zh-CN"/>
        </w:rPr>
        <w:t xml:space="preserve"> 月</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cs="Microsoft New Tai Lue"/>
          <w:bCs/>
          <w:color w:val="auto"/>
          <w:szCs w:val="21"/>
          <w:highlight w:val="none"/>
          <w:lang w:val="en-US" w:eastAsia="zh-CN"/>
        </w:rPr>
        <w:t xml:space="preserve">18</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val="en-US" w:eastAsia="zh-CN"/>
        </w:rPr>
        <w:t xml:space="preserve">日</w:t>
      </w:r>
      <w:r>
        <w:rPr>
          <w:rFonts w:hint="eastAsia" w:ascii="Microsoft New Tai Lue" w:hAnsi="Microsoft New Tai Lue" w:eastAsia="宋体" w:cs="Microsoft New Tai Lue"/>
          <w:bCs/>
          <w:color w:val="auto"/>
          <w:szCs w:val="21"/>
          <w:highlight w:val="none"/>
          <w:lang w:eastAsia="zh-CN"/>
        </w:rPr>
        <w:t xml:space="preserve">  </w:t>
      </w:r>
      <w:r>
        <w:rPr>
          <w:rFonts w:hint="eastAsia" w:ascii="Microsoft New Tai Lue" w:hAnsi="Microsoft New Tai Lue" w:eastAsia="宋体" w:cs="Microsoft New Tai Lue"/>
          <w:bCs/>
          <w:color w:val="auto"/>
          <w:szCs w:val="21"/>
          <w:highlight w:val="none"/>
          <w:lang w:val="en-US" w:eastAsia="zh-CN"/>
        </w:rPr>
        <w:t xml:space="preserve">09</w:t>
      </w:r>
      <w:r>
        <w:rPr>
          <w:rFonts w:hint="eastAsia" w:ascii="Microsoft New Tai Lue" w:hAnsi="Microsoft New Tai Lue" w:eastAsia="宋体" w:cs="Microsoft New Tai Lue"/>
          <w:bCs/>
          <w:color w:val="auto"/>
          <w:szCs w:val="21"/>
          <w:highlight w:val="none"/>
          <w:lang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w:t>
      </w:r>
      <w:bookmarkEnd w:id="21"/>
      <w:r/>
      <w:bookmarkEnd w:id="22"/>
      <w:r/>
      <w:bookmarkStart w:id="23" w:name="OLE_LINK86"/>
      <w:r>
        <w:rPr>
          <w:rFonts w:hint="eastAsia" w:ascii="Microsoft New Tai Lue" w:hAnsi="Microsoft New Tai Lue" w:eastAsia="宋体" w:cs="Microsoft New Tai Lue"/>
          <w:bCs/>
          <w:color w:val="auto"/>
          <w:szCs w:val="21"/>
          <w:highlight w:val="none"/>
          <w:lang w:eastAsia="zh-CN"/>
        </w:rPr>
        <w:t xml:space="preserve">江苏省政府采购交易系统（以下简称“苏采云系统”）</w:t>
      </w:r>
      <w:bookmarkEnd w:id="23"/>
      <w:r/>
      <w:r/>
    </w:p>
    <w:p>
      <w:pPr>
        <w:spacing w:line="360" w:lineRule="auto"/>
        <w:rPr>
          <w:rFonts w:hint="eastAsia" w:ascii="Microsoft New Tai Lue" w:hAnsi="Microsoft New Tai Lue" w:eastAsia="宋体" w:cs="Microsoft New Tai Lue"/>
          <w:b/>
          <w:bCs/>
          <w:color w:val="auto"/>
          <w:szCs w:val="44"/>
          <w:highlight w:val="none"/>
          <w:lang w:eastAsia="zh-CN"/>
        </w:rPr>
      </w:pPr>
      <w:r/>
      <w:bookmarkStart w:id="24" w:name="_Toc38985267"/>
      <w:r/>
      <w:bookmarkStart w:id="25" w:name="_Toc28359084"/>
      <w:r/>
      <w:bookmarkStart w:id="26" w:name="_Toc35393794"/>
      <w:r/>
      <w:bookmarkStart w:id="27" w:name="_Toc28359007"/>
      <w:r/>
      <w:bookmarkStart w:id="28" w:name="_Toc35393625"/>
      <w:r>
        <w:rPr>
          <w:rFonts w:hint="eastAsia" w:ascii="Microsoft New Tai Lue" w:hAnsi="Microsoft New Tai Lue" w:eastAsia="宋体" w:cs="Microsoft New Tai Lue"/>
          <w:b/>
          <w:bCs/>
          <w:color w:val="auto"/>
          <w:szCs w:val="44"/>
          <w:highlight w:val="none"/>
          <w:lang w:eastAsia="zh-CN"/>
        </w:rPr>
        <w:t xml:space="preserve">五、</w:t>
      </w:r>
      <w:bookmarkEnd w:id="24"/>
      <w:r/>
      <w:bookmarkEnd w:id="25"/>
      <w:r/>
      <w:bookmarkEnd w:id="26"/>
      <w:r/>
      <w:bookmarkEnd w:id="27"/>
      <w:r/>
      <w:bookmarkEnd w:id="28"/>
      <w:r>
        <w:rPr>
          <w:rFonts w:hint="eastAsia" w:ascii="Microsoft New Tai Lue" w:hAnsi="Microsoft New Tai Lue" w:eastAsia="宋体" w:cs="Microsoft New Tai Lue"/>
          <w:b/>
          <w:bCs/>
          <w:color w:val="auto"/>
          <w:szCs w:val="44"/>
          <w:highlight w:val="none"/>
          <w:lang w:eastAsia="zh-CN"/>
        </w:rPr>
        <w:t xml:space="preserve">开启</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时间：202</w:t>
      </w:r>
      <w:r>
        <w:rPr>
          <w:rFonts w:hint="eastAsia" w:ascii="Microsoft New Tai Lue" w:hAnsi="Microsoft New Tai Lue" w:eastAsia="宋体" w:cs="Microsoft New Tai Lue"/>
          <w:bCs/>
          <w:color w:val="auto"/>
          <w:szCs w:val="21"/>
          <w:highlight w:val="none"/>
          <w:lang w:val="en-US" w:eastAsia="zh-CN"/>
        </w:rPr>
        <w:t xml:space="preserve">6年 </w:t>
      </w:r>
      <w:r>
        <w:rPr>
          <w:rFonts w:hint="eastAsia" w:ascii="Microsoft New Tai Lue" w:hAnsi="Microsoft New Tai Lue" w:cs="Microsoft New Tai Lue"/>
          <w:bCs/>
          <w:color w:val="auto"/>
          <w:szCs w:val="21"/>
          <w:highlight w:val="none"/>
          <w:lang w:val="en-US" w:eastAsia="zh-CN"/>
        </w:rPr>
        <w:t xml:space="preserve">8</w:t>
      </w:r>
      <w:r>
        <w:rPr>
          <w:rFonts w:hint="eastAsia" w:ascii="Microsoft New Tai Lue" w:hAnsi="Microsoft New Tai Lue" w:eastAsia="宋体" w:cs="Microsoft New Tai Lue"/>
          <w:bCs/>
          <w:color w:val="auto"/>
          <w:szCs w:val="21"/>
          <w:highlight w:val="none"/>
          <w:lang w:val="en-US" w:eastAsia="zh-CN"/>
        </w:rPr>
        <w:t xml:space="preserve"> 月</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cs="Microsoft New Tai Lue"/>
          <w:bCs/>
          <w:color w:val="auto"/>
          <w:szCs w:val="21"/>
          <w:highlight w:val="none"/>
          <w:lang w:val="en-US" w:eastAsia="zh-CN"/>
        </w:rPr>
        <w:t xml:space="preserve">18</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val="en-US" w:eastAsia="zh-CN"/>
        </w:rPr>
        <w:t xml:space="preserve">日</w:t>
      </w:r>
      <w:r>
        <w:rPr>
          <w:rFonts w:hint="eastAsia" w:ascii="Microsoft New Tai Lue" w:hAnsi="Microsoft New Tai Lue" w:eastAsia="宋体" w:cs="Microsoft New Tai Lue"/>
          <w:bCs/>
          <w:color w:val="auto"/>
          <w:szCs w:val="21"/>
          <w:highlight w:val="none"/>
          <w:lang w:eastAsia="zh-CN"/>
        </w:rPr>
        <w:t xml:space="preserve">  </w:t>
      </w:r>
      <w:r>
        <w:rPr>
          <w:rFonts w:hint="eastAsia" w:ascii="Microsoft New Tai Lue" w:hAnsi="Microsoft New Tai Lue" w:eastAsia="宋体" w:cs="Microsoft New Tai Lue"/>
          <w:bCs/>
          <w:color w:val="auto"/>
          <w:szCs w:val="21"/>
          <w:highlight w:val="none"/>
          <w:lang w:val="en-US" w:eastAsia="zh-CN"/>
        </w:rPr>
        <w:t xml:space="preserve">09</w:t>
      </w:r>
      <w:r>
        <w:rPr>
          <w:rFonts w:hint="eastAsia" w:ascii="Microsoft New Tai Lue" w:hAnsi="Microsoft New Tai Lue" w:eastAsia="宋体" w:cs="Microsoft New Tai Lue"/>
          <w:bCs/>
          <w:color w:val="auto"/>
          <w:szCs w:val="21"/>
          <w:highlight w:val="none"/>
          <w:lang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地点：苏采云系统网上开标大厅</w:t>
      </w:r>
      <w:r/>
    </w:p>
    <w:p>
      <w:pPr>
        <w:spacing w:after="0" w:line="360" w:lineRule="auto"/>
        <w:rPr>
          <w:rFonts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 xml:space="preserve">六、公告期限</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自本公告发布之日起3个工作日。</w:t>
      </w:r>
      <w:bookmarkStart w:id="361" w:name="_GoBack"/>
      <w:r/>
      <w:bookmarkEnd w:id="361"/>
      <w:r/>
      <w:r/>
    </w:p>
    <w:p>
      <w:pPr>
        <w:spacing w:line="360" w:lineRule="auto"/>
        <w:rPr>
          <w:rFonts w:ascii="Microsoft New Tai Lue" w:hAnsi="Microsoft New Tai Lue" w:cs="Microsoft New Tai Lue"/>
          <w:b/>
          <w:bCs/>
          <w:color w:val="auto"/>
          <w:szCs w:val="44"/>
          <w:highlight w:val="none"/>
        </w:rPr>
      </w:pPr>
      <w:r/>
      <w:bookmarkStart w:id="29" w:name="_Toc93909070"/>
      <w:r/>
      <w:bookmarkStart w:id="30" w:name="_Toc96347856"/>
      <w:r>
        <w:rPr>
          <w:rFonts w:hint="eastAsia" w:ascii="Microsoft New Tai Lue" w:hAnsi="Microsoft New Tai Lue" w:cs="Microsoft New Tai Lue"/>
          <w:b/>
          <w:bCs/>
          <w:color w:val="auto"/>
          <w:szCs w:val="44"/>
          <w:highlight w:val="none"/>
        </w:rPr>
        <w:t xml:space="preserve">七</w:t>
      </w:r>
      <w:r>
        <w:rPr>
          <w:rFonts w:ascii="Microsoft New Tai Lue" w:hAnsi="Microsoft New Tai Lue" w:cs="Microsoft New Tai Lue"/>
          <w:b/>
          <w:bCs/>
          <w:color w:val="auto"/>
          <w:szCs w:val="44"/>
          <w:highlight w:val="none"/>
        </w:rPr>
        <w:t xml:space="preserve">、其他补充事宜</w:t>
      </w:r>
      <w:bookmarkEnd w:id="29"/>
      <w:r/>
      <w:bookmarkEnd w:id="30"/>
      <w:r/>
      <w:r/>
    </w:p>
    <w:p>
      <w:pPr>
        <w:ind w:firstLine="420"/>
        <w:spacing w:line="360" w:lineRule="auto"/>
        <w:rPr>
          <w:rFonts w:hint="eastAsia" w:ascii="Microsoft New Tai Lue" w:hAnsi="Microsoft New Tai Lue" w:cs="Microsoft New Tai Lue"/>
          <w:color w:val="auto"/>
          <w:szCs w:val="21"/>
          <w:highlight w:val="none"/>
        </w:rPr>
      </w:pPr>
      <w:r/>
      <w:bookmarkStart w:id="31" w:name="_Toc80792694"/>
      <w:r/>
      <w:bookmarkStart w:id="32" w:name="_Toc80264702"/>
      <w:r/>
      <w:bookmarkStart w:id="33" w:name="_Toc96347857"/>
      <w:r/>
      <w:bookmarkStart w:id="34" w:name="_Toc93909071"/>
      <w:r>
        <w:rPr>
          <w:rFonts w:hint="eastAsia" w:ascii="Microsoft New Tai Lue" w:hAnsi="Microsoft New Tai Lue" w:cs="Microsoft New Tai Lue"/>
          <w:color w:val="auto"/>
          <w:szCs w:val="21"/>
          <w:highlight w:val="none"/>
        </w:rPr>
        <w:t xml:space="preserve">1.政府采购支持政策:</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(1)《政府采购促进中小企业发展管理办法》</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(2)《关于政府采购支持监狱企业发展有关问题的通知》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(3)《关于促进残疾人就业政府采购政策的通知》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(4)《关于调整优化节能产品、环境标志产品政府采购执行机制的通知》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(5)《关于做好政府采购支持企业发展有关事项的通知》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2.潜在供应商访问政府采购管理交易系统(苏采云)的网络地址和方法:</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一-制作投标文件-导出加密的投标文件(后缀名为zip)--通过“苏采云”系统上传投标文件。</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(3)“CA数字证书”的办理材料以及供应商操作手册详见:http://jsxcmm. com/help/gys. html.</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 “苏采云”南京地区客服热线025-83633744、025-83633743。</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line="360" w:lineRule="auto"/>
        <w:rPr>
          <w:rFonts w:hint="eastAsia" w:ascii="宋体" w:hAnsi="宋体" w:eastAsia="宋体" w:cs="宋体"/>
          <w:bCs/>
          <w:color w:val="auto"/>
          <w:sz w:val="21"/>
          <w:szCs w:val="21"/>
          <w:highlight w:val="none"/>
        </w:rPr>
      </w:pPr>
      <w:r>
        <w:rPr>
          <w:rFonts w:hint="default" w:ascii="Microsoft New Tai Lue" w:hAnsi="Microsoft New Tai Lue" w:cs="Microsoft New Tai Lue"/>
          <w:color w:val="auto"/>
          <w:szCs w:val="21"/>
          <w:highlight w:val="none"/>
          <w:lang w:val="en-US"/>
        </w:rPr>
        <w:t xml:space="preserve">4</w:t>
      </w:r>
      <w:r>
        <w:rPr>
          <w:rFonts w:hint="eastAsia" w:ascii="Microsoft New Tai Lue" w:hAnsi="Microsoft New Tai Lue" w:cs="Microsoft New Tai Lue"/>
          <w:color w:val="auto"/>
          <w:szCs w:val="21"/>
          <w:highlight w:val="none"/>
        </w:rPr>
        <w:t xml:space="preserve">.有关本次采购的事项若存在变动或修改，敬请及时关注“江苏政府采购网”发布的信息。</w:t>
      </w:r>
      <w:r/>
    </w:p>
    <w:p>
      <w:pPr>
        <w:spacing w:line="360" w:lineRule="auto"/>
        <w:rPr>
          <w:rFonts w:ascii="Microsoft New Tai Lue" w:hAnsi="Microsoft New Tai Lue" w:cs="Microsoft New Tai Lue"/>
          <w:b/>
          <w:bCs/>
          <w:color w:val="auto"/>
          <w:szCs w:val="44"/>
          <w:highlight w:val="none"/>
        </w:rPr>
      </w:pPr>
      <w:r>
        <w:rPr>
          <w:rFonts w:hint="eastAsia" w:ascii="Microsoft New Tai Lue" w:hAnsi="Microsoft New Tai Lue" w:cs="Microsoft New Tai Lue"/>
          <w:b/>
          <w:bCs/>
          <w:color w:val="auto"/>
          <w:szCs w:val="44"/>
          <w:highlight w:val="none"/>
        </w:rPr>
        <w:t xml:space="preserve">八</w:t>
      </w:r>
      <w:r>
        <w:rPr>
          <w:rFonts w:ascii="Microsoft New Tai Lue" w:hAnsi="Microsoft New Tai Lue" w:cs="Microsoft New Tai Lue"/>
          <w:b/>
          <w:bCs/>
          <w:color w:val="auto"/>
          <w:szCs w:val="44"/>
          <w:highlight w:val="none"/>
        </w:rPr>
        <w:t xml:space="preserve">、</w:t>
      </w:r>
      <w:bookmarkEnd w:id="31"/>
      <w:r/>
      <w:bookmarkEnd w:id="32"/>
      <w:r>
        <w:rPr>
          <w:rFonts w:hint="eastAsia" w:ascii="Microsoft New Tai Lue" w:hAnsi="Microsoft New Tai Lue" w:cs="Microsoft New Tai Lue"/>
          <w:b/>
          <w:bCs/>
          <w:color w:val="auto"/>
          <w:szCs w:val="44"/>
          <w:highlight w:val="none"/>
        </w:rPr>
        <w:t xml:space="preserve">凡</w:t>
      </w:r>
      <w:r>
        <w:rPr>
          <w:rFonts w:ascii="Microsoft New Tai Lue" w:hAnsi="Microsoft New Tai Lue" w:cs="Microsoft New Tai Lue"/>
          <w:b/>
          <w:bCs/>
          <w:color w:val="auto"/>
          <w:szCs w:val="44"/>
          <w:highlight w:val="none"/>
        </w:rPr>
        <w:t xml:space="preserve">对本次</w:t>
      </w:r>
      <w:r>
        <w:rPr>
          <w:rFonts w:hint="eastAsia" w:ascii="Microsoft New Tai Lue" w:hAnsi="Microsoft New Tai Lue" w:cs="Microsoft New Tai Lue"/>
          <w:b/>
          <w:bCs/>
          <w:color w:val="auto"/>
          <w:szCs w:val="44"/>
          <w:highlight w:val="none"/>
        </w:rPr>
        <w:t xml:space="preserve">采购</w:t>
      </w:r>
      <w:r>
        <w:rPr>
          <w:rFonts w:ascii="Microsoft New Tai Lue" w:hAnsi="Microsoft New Tai Lue" w:cs="Microsoft New Tai Lue"/>
          <w:b/>
          <w:bCs/>
          <w:color w:val="auto"/>
          <w:szCs w:val="44"/>
          <w:highlight w:val="none"/>
        </w:rPr>
        <w:t xml:space="preserve">提出询问，请按以下方式联系。</w:t>
      </w:r>
      <w:bookmarkEnd w:id="33"/>
      <w:r/>
      <w:bookmarkEnd w:id="34"/>
      <w:r/>
      <w:r/>
    </w:p>
    <w:p>
      <w:pPr>
        <w:ind w:firstLine="525"/>
        <w:spacing w:line="360" w:lineRule="auto"/>
        <w:rPr>
          <w:rFonts w:hint="eastAsia" w:ascii="宋体" w:hAnsi="宋体" w:cs="宋体"/>
          <w:color w:val="auto"/>
          <w:szCs w:val="21"/>
          <w:highlight w:val="none"/>
        </w:rPr>
      </w:pPr>
      <w:r/>
      <w:bookmarkStart w:id="35" w:name="_Toc28359085"/>
      <w:r/>
      <w:bookmarkStart w:id="36" w:name="_Toc71561877"/>
      <w:r/>
      <w:bookmarkStart w:id="37" w:name="_Toc80264704"/>
      <w:r>
        <w:rPr>
          <w:rFonts w:hint="eastAsia" w:ascii="宋体" w:hAnsi="宋体" w:cs="宋体"/>
          <w:color w:val="auto"/>
          <w:szCs w:val="21"/>
          <w:highlight w:val="none"/>
        </w:rPr>
        <w:t xml:space="preserve">1．采购人信息</w:t>
      </w:r>
      <w:r/>
    </w:p>
    <w:p>
      <w:pPr>
        <w:ind w:firstLine="525"/>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名 称：</w:t>
      </w:r>
      <w:r>
        <w:rPr>
          <w:rFonts w:hint="eastAsia" w:ascii="宋体" w:hAnsi="宋体" w:cs="宋体"/>
          <w:bCs/>
          <w:color w:val="auto"/>
          <w:szCs w:val="21"/>
          <w:highlight w:val="none"/>
          <w:lang w:eastAsia="zh-CN"/>
        </w:rPr>
        <w:t xml:space="preserve">江苏省自然资源厅</w:t>
      </w:r>
      <w:r/>
    </w:p>
    <w:p>
      <w:pPr>
        <w:ind w:firstLine="525"/>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地</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址：南京市</w:t>
      </w:r>
      <w:r>
        <w:rPr>
          <w:rFonts w:hint="eastAsia" w:ascii="宋体" w:hAnsi="宋体" w:cs="宋体"/>
          <w:bCs/>
          <w:color w:val="auto"/>
          <w:szCs w:val="21"/>
          <w:highlight w:val="none"/>
          <w:lang w:val="en-US" w:eastAsia="zh-CN"/>
        </w:rPr>
        <w:t xml:space="preserve">水西门大街58号建邺</w:t>
      </w:r>
      <w:r>
        <w:rPr>
          <w:rFonts w:hint="eastAsia" w:ascii="宋体" w:hAnsi="宋体" w:cs="宋体"/>
          <w:bCs/>
          <w:color w:val="auto"/>
          <w:szCs w:val="21"/>
          <w:highlight w:val="none"/>
        </w:rPr>
        <w:t xml:space="preserve">大厦</w:t>
      </w:r>
      <w:r/>
    </w:p>
    <w:p>
      <w:pPr>
        <w:ind w:firstLine="525"/>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联 系 人：</w:t>
      </w:r>
      <w:r>
        <w:rPr>
          <w:rFonts w:hint="eastAsia" w:ascii="宋体" w:hAnsi="宋体" w:cs="宋体"/>
          <w:bCs/>
          <w:color w:val="auto"/>
          <w:szCs w:val="21"/>
          <w:highlight w:val="none"/>
          <w:lang w:val="en-US" w:eastAsia="zh-CN"/>
        </w:rPr>
        <w:t xml:space="preserve">杨老师 </w:t>
      </w:r>
      <w:r/>
    </w:p>
    <w:p>
      <w:pPr>
        <w:ind w:firstLine="525"/>
        <w:spacing w:line="360" w:lineRule="auto"/>
        <w:rPr>
          <w:rFonts w:ascii="宋体" w:hAnsi="宋体" w:eastAsia="宋体" w:cs="宋体"/>
          <w:color w:val="auto"/>
          <w:szCs w:val="21"/>
          <w:highlight w:val="none"/>
          <w:lang w:val="en-US" w:eastAsia="zh-CN"/>
        </w:rPr>
      </w:pPr>
      <w:r>
        <w:rPr>
          <w:rFonts w:hint="eastAsia" w:ascii="宋体" w:hAnsi="宋体" w:cs="宋体"/>
          <w:bCs/>
          <w:color w:val="auto"/>
          <w:szCs w:val="21"/>
          <w:highlight w:val="none"/>
        </w:rPr>
        <w:t xml:space="preserve">联系电话：</w:t>
      </w:r>
      <w:r>
        <w:rPr>
          <w:rFonts w:hint="eastAsia" w:ascii="宋体" w:hAnsi="宋体" w:cs="宋体"/>
          <w:bCs/>
          <w:color w:val="auto"/>
          <w:szCs w:val="21"/>
          <w:highlight w:val="none"/>
          <w:lang w:val="en-US" w:eastAsia="zh-CN"/>
        </w:rPr>
        <w:t xml:space="preserve">025-86599705</w:t>
      </w:r>
      <w:bookmarkEnd w:id="35"/>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称：江苏省招标中心有限公司</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eastAsia="宋体" w:cs="宋体"/>
          <w:color w:val="auto"/>
          <w:sz w:val="21"/>
          <w:szCs w:val="21"/>
          <w:highlight w:val="none"/>
          <w:lang w:val="en-US" w:eastAsia="zh-CN"/>
        </w:rPr>
        <w:t xml:space="preserve">南京市雨花台区宁双路19号C栋3楼 305室</w:t>
      </w:r>
      <w:r/>
    </w:p>
    <w:p>
      <w:pPr>
        <w:ind w:firstLine="525"/>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bidi="ar"/>
        </w:rPr>
        <w:t xml:space="preserve">史平华、张璐</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马继烨、黄锡芳</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bidi="ar"/>
        </w:rPr>
        <w:t xml:space="preserve">15951799162   15605215397</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bidi="ar"/>
        </w:rPr>
        <w:t xml:space="preserve">史平华</w:t>
      </w:r>
      <w:r/>
    </w:p>
    <w:p>
      <w:pPr>
        <w:ind w:firstLine="525"/>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bidi="ar"/>
        </w:rPr>
        <w:t xml:space="preserve">15951799162</w:t>
      </w:r>
      <w:r/>
    </w:p>
    <w:p>
      <w:pPr>
        <w:pStyle w:val="789"/>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pStyle w:val="985"/>
        <w:numPr>
          <w:ilvl w:val="0"/>
          <w:numId w:val="2"/>
        </w:num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36"/>
      <w:r/>
      <w:bookmarkStart w:id="38" w:name="_Toc107246212"/>
      <w:r/>
      <w:bookmarkStart w:id="39" w:name="_Toc15516"/>
      <w:r>
        <w:rPr>
          <w:rFonts w:ascii="Microsoft New Tai Lue" w:hAnsi="Microsoft New Tai Lue" w:cs="Microsoft New Tai Lue"/>
          <w:color w:val="auto"/>
          <w:highlight w:val="none"/>
        </w:rPr>
        <w:t xml:space="preserve">供应商须知</w:t>
      </w:r>
      <w:bookmarkEnd w:id="37"/>
      <w:r/>
      <w:bookmarkEnd w:id="38"/>
      <w:r/>
      <w:bookmarkEnd w:id="39"/>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供应商须知前附表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是对《供应商须知》正文的具体补充和修改，如有矛盾，以本《前附表》为准。</w:t>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61"/>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09"/>
              <w:jc w:val="center"/>
              <w:spacing w:line="360" w:lineRule="auto"/>
              <w:rPr>
                <w:rFonts w:hAnsi="宋体" w:cs="宋体"/>
                <w:b/>
                <w:color w:val="auto"/>
                <w:sz w:val="21"/>
                <w:highlight w:val="none"/>
              </w:rPr>
            </w:pPr>
            <w:r>
              <w:rPr>
                <w:rFonts w:hint="eastAsia" w:hAnsi="宋体" w:cs="宋体"/>
                <w:b/>
                <w:color w:val="auto"/>
                <w:sz w:val="21"/>
                <w:highlight w:val="none"/>
              </w:rPr>
              <w:t xml:space="preserve">序号</w:t>
            </w:r>
            <w:r/>
          </w:p>
        </w:tc>
        <w:tc>
          <w:tcPr>
            <w:tcW w:w="850" w:type="dxa"/>
            <w:vAlign w:val="center"/>
            <w:textDirection w:val="lrTb"/>
            <w:noWrap w:val="false"/>
          </w:tcPr>
          <w:p>
            <w:pPr>
              <w:pStyle w:val="1009"/>
              <w:jc w:val="center"/>
              <w:spacing w:line="360" w:lineRule="auto"/>
              <w:rPr>
                <w:rFonts w:hAnsi="宋体" w:cs="宋体"/>
                <w:b/>
                <w:color w:val="auto"/>
                <w:sz w:val="21"/>
                <w:highlight w:val="none"/>
              </w:rPr>
            </w:pPr>
            <w:r>
              <w:rPr>
                <w:rFonts w:hint="eastAsia" w:hAnsi="宋体" w:cs="宋体"/>
                <w:b/>
                <w:color w:val="auto"/>
                <w:sz w:val="21"/>
                <w:highlight w:val="none"/>
              </w:rPr>
              <w:t xml:space="preserve">条款号</w:t>
            </w:r>
            <w:r/>
          </w:p>
        </w:tc>
        <w:tc>
          <w:tcPr>
            <w:tcW w:w="2835" w:type="dxa"/>
            <w:vAlign w:val="center"/>
            <w:textDirection w:val="lrTb"/>
            <w:noWrap w:val="false"/>
          </w:tcPr>
          <w:p>
            <w:pPr>
              <w:pStyle w:val="1009"/>
              <w:jc w:val="center"/>
              <w:spacing w:line="360" w:lineRule="auto"/>
              <w:rPr>
                <w:rFonts w:hAnsi="宋体" w:cs="宋体"/>
                <w:b/>
                <w:color w:val="auto"/>
                <w:sz w:val="21"/>
                <w:highlight w:val="none"/>
              </w:rPr>
            </w:pPr>
            <w:r>
              <w:rPr>
                <w:rFonts w:hint="eastAsia" w:hAnsi="宋体" w:cs="宋体"/>
                <w:b/>
                <w:color w:val="auto"/>
                <w:sz w:val="21"/>
                <w:highlight w:val="none"/>
              </w:rPr>
              <w:t xml:space="preserve">条款名称</w:t>
            </w:r>
            <w:r/>
          </w:p>
        </w:tc>
        <w:tc>
          <w:tcPr>
            <w:tcW w:w="4982" w:type="dxa"/>
            <w:vAlign w:val="center"/>
            <w:textDirection w:val="lrTb"/>
            <w:noWrap w:val="false"/>
          </w:tcPr>
          <w:p>
            <w:pPr>
              <w:pStyle w:val="1009"/>
              <w:jc w:val="center"/>
              <w:spacing w:line="360" w:lineRule="auto"/>
              <w:rPr>
                <w:rFonts w:hAnsi="宋体" w:cs="宋体"/>
                <w:b/>
                <w:color w:val="auto"/>
                <w:sz w:val="21"/>
                <w:highlight w:val="none"/>
              </w:rPr>
            </w:pPr>
            <w:r>
              <w:rPr>
                <w:rFonts w:hint="eastAsia" w:hAnsi="宋体" w:cs="宋体"/>
                <w:b/>
                <w:color w:val="auto"/>
                <w:sz w:val="21"/>
                <w:highlight w:val="none"/>
              </w:rPr>
              <w:t xml:space="preserve">编列内容规定</w:t>
            </w:r>
            <w:r/>
          </w:p>
        </w:tc>
      </w:tr>
      <w:tr>
        <w:trPr>
          <w:jc w:val="center"/>
        </w:trPr>
        <w:tc>
          <w:tcPr>
            <w:tcW w:w="675"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1</w:t>
            </w:r>
            <w:r/>
          </w:p>
        </w:tc>
        <w:tc>
          <w:tcPr>
            <w:tcW w:w="850"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2.1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采购人</w:t>
            </w:r>
            <w:r/>
          </w:p>
        </w:tc>
        <w:tc>
          <w:tcPr>
            <w:tcW w:w="4982" w:type="dxa"/>
            <w:vAlign w:val="center"/>
            <w:textDirection w:val="lrTb"/>
            <w:noWrap w:val="false"/>
          </w:tcPr>
          <w:p>
            <w:pPr>
              <w:jc w:val="left"/>
              <w:spacing w:before="160" w:line="276" w:lineRule="auto"/>
              <w:rPr>
                <w:rFonts w:hint="eastAsia" w:ascii="宋体" w:hAnsi="宋体" w:eastAsia="宋体" w:cs="宋体"/>
                <w:bCs/>
                <w:color w:val="auto"/>
                <w:szCs w:val="21"/>
                <w:highlight w:val="none"/>
                <w:lang w:eastAsia="zh-CN"/>
              </w:rPr>
            </w:pPr>
            <w:r>
              <w:rPr>
                <w:rFonts w:cs="Microsoft New Tai Lue"/>
                <w:color w:val="auto"/>
                <w:szCs w:val="21"/>
                <w:highlight w:val="none"/>
              </w:rPr>
              <w:t xml:space="preserve">名 </w:t>
            </w:r>
            <w:r>
              <w:rPr>
                <w:rFonts w:hint="eastAsia" w:cs="Microsoft New Tai Lue"/>
                <w:color w:val="auto"/>
                <w:szCs w:val="21"/>
                <w:highlight w:val="none"/>
              </w:rPr>
              <w:t xml:space="preserve"> </w:t>
            </w:r>
            <w:r>
              <w:rPr>
                <w:rFonts w:cs="Microsoft New Tai Lue"/>
                <w:color w:val="auto"/>
                <w:szCs w:val="21"/>
                <w:highlight w:val="none"/>
              </w:rPr>
              <w:t xml:space="preserve">称：</w:t>
            </w:r>
            <w:r>
              <w:rPr>
                <w:rFonts w:hint="eastAsia" w:ascii="宋体" w:hAnsi="宋体" w:cs="宋体"/>
                <w:bCs/>
                <w:color w:val="auto"/>
                <w:szCs w:val="21"/>
                <w:highlight w:val="none"/>
                <w:lang w:eastAsia="zh-CN"/>
              </w:rPr>
              <w:t xml:space="preserve">江苏省自然资源厅</w:t>
            </w:r>
            <w:r/>
          </w:p>
          <w:p>
            <w:pPr>
              <w:jc w:val="left"/>
              <w:spacing w:before="160" w:line="27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地  址：南京市</w:t>
            </w:r>
            <w:r>
              <w:rPr>
                <w:rFonts w:hint="eastAsia" w:ascii="宋体" w:hAnsi="宋体" w:cs="宋体"/>
                <w:bCs/>
                <w:color w:val="auto"/>
                <w:szCs w:val="21"/>
                <w:highlight w:val="none"/>
                <w:lang w:val="en-US" w:eastAsia="zh-CN"/>
              </w:rPr>
              <w:t xml:space="preserve">水西门大街58号建邺</w:t>
            </w:r>
            <w:r>
              <w:rPr>
                <w:rFonts w:hint="eastAsia" w:ascii="宋体" w:hAnsi="宋体" w:cs="宋体"/>
                <w:bCs/>
                <w:color w:val="auto"/>
                <w:szCs w:val="21"/>
                <w:highlight w:val="none"/>
              </w:rPr>
              <w:t xml:space="preserve">大厦</w:t>
            </w:r>
            <w:r/>
          </w:p>
          <w:p>
            <w:pPr>
              <w:jc w:val="left"/>
              <w:spacing w:before="160" w:line="276"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val="en-US" w:eastAsia="zh-CN"/>
              </w:rPr>
              <w:t xml:space="preserve">杨老师 </w:t>
            </w:r>
            <w:r/>
          </w:p>
          <w:p>
            <w:pPr>
              <w:pStyle w:val="1006"/>
              <w:spacing w:before="160" w:line="276" w:lineRule="auto"/>
              <w:rPr>
                <w:rFonts w:eastAsia="宋体"/>
                <w:color w:val="auto"/>
                <w:sz w:val="21"/>
                <w:szCs w:val="21"/>
                <w:highlight w:val="none"/>
                <w:lang w:val="en-US" w:eastAsia="zh-CN"/>
              </w:rPr>
            </w:pPr>
            <w:r>
              <w:rPr>
                <w:rFonts w:hint="eastAsia"/>
                <w:bCs/>
                <w:color w:val="auto"/>
                <w:szCs w:val="21"/>
                <w:highlight w:val="none"/>
              </w:rPr>
              <w:t xml:space="preserve">联系电话</w:t>
            </w:r>
            <w:r>
              <w:rPr>
                <w:rFonts w:hint="eastAsia"/>
                <w:bCs/>
                <w:color w:val="auto"/>
                <w:szCs w:val="21"/>
                <w:highlight w:val="none"/>
                <w:lang w:val="en-US"/>
              </w:rPr>
              <w:t xml:space="preserve">：</w:t>
            </w:r>
            <w:r>
              <w:rPr>
                <w:rFonts w:hint="eastAsia"/>
                <w:bCs/>
                <w:color w:val="auto"/>
                <w:szCs w:val="21"/>
                <w:highlight w:val="none"/>
                <w:lang w:val="en-US" w:eastAsia="zh-CN"/>
              </w:rPr>
              <w:t xml:space="preserve">025-86599705</w:t>
            </w:r>
            <w:r/>
          </w:p>
        </w:tc>
      </w:tr>
      <w:tr>
        <w:trPr>
          <w:jc w:val="center"/>
        </w:trPr>
        <w:tc>
          <w:tcPr>
            <w:tcW w:w="675"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2</w:t>
            </w:r>
            <w:r/>
          </w:p>
        </w:tc>
        <w:tc>
          <w:tcPr>
            <w:tcW w:w="850"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2.2</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采购代理机构</w:t>
            </w:r>
            <w:r/>
          </w:p>
        </w:tc>
        <w:tc>
          <w:tcPr>
            <w:tcW w:w="4982" w:type="dxa"/>
            <w:vAlign w:val="center"/>
            <w:textDirection w:val="lrTb"/>
            <w:noWrap w:val="false"/>
          </w:tcPr>
          <w:p>
            <w:pPr>
              <w:pStyle w:val="1006"/>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名 称 ：</w:t>
            </w:r>
            <w:r>
              <w:rPr>
                <w:rFonts w:hint="eastAsia"/>
                <w:color w:val="auto"/>
                <w:sz w:val="21"/>
                <w:szCs w:val="21"/>
                <w:highlight w:val="none"/>
                <w:lang w:val="en-US"/>
              </w:rPr>
              <w:t xml:space="preserve">江苏省招标中心有限公司</w:t>
            </w:r>
            <w:r/>
          </w:p>
          <w:p>
            <w:pPr>
              <w:pStyle w:val="1006"/>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地 址 ：</w:t>
            </w:r>
            <w:r>
              <w:rPr>
                <w:rFonts w:hint="eastAsia" w:ascii="宋体" w:hAnsi="宋体" w:eastAsia="宋体" w:cs="宋体"/>
                <w:color w:val="auto"/>
                <w:sz w:val="21"/>
                <w:szCs w:val="21"/>
                <w:highlight w:val="none"/>
                <w:lang w:val="en-US" w:eastAsia="zh-CN"/>
              </w:rPr>
              <w:t xml:space="preserve">南京市雨花台区宁双路19号C栋3楼 305室</w:t>
            </w:r>
            <w:r/>
          </w:p>
          <w:p>
            <w:pPr>
              <w:pStyle w:val="1006"/>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联系人：史平华</w:t>
            </w:r>
            <w:r/>
          </w:p>
          <w:p>
            <w:pPr>
              <w:pStyle w:val="1006"/>
              <w:spacing w:before="160" w:line="276" w:lineRule="auto"/>
              <w:rPr>
                <w:color w:val="auto"/>
                <w:sz w:val="21"/>
                <w:szCs w:val="21"/>
                <w:highlight w:val="none"/>
                <w:lang w:val="en-US"/>
              </w:rPr>
            </w:pPr>
            <w:r>
              <w:rPr>
                <w:rFonts w:hint="eastAsia"/>
                <w:color w:val="auto"/>
                <w:sz w:val="21"/>
                <w:szCs w:val="21"/>
                <w:highlight w:val="none"/>
                <w:lang w:val="en-US" w:bidi="ar-SA"/>
              </w:rPr>
              <w:t xml:space="preserve">电话：15951799162</w:t>
            </w:r>
            <w:r/>
          </w:p>
        </w:tc>
      </w:tr>
      <w:tr>
        <w:trPr>
          <w:jc w:val="center"/>
        </w:trPr>
        <w:tc>
          <w:tcPr>
            <w:tcW w:w="675"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3</w:t>
            </w:r>
            <w:r/>
          </w:p>
        </w:tc>
        <w:tc>
          <w:tcPr>
            <w:tcW w:w="850"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4</w:t>
            </w:r>
            <w:r/>
          </w:p>
        </w:tc>
        <w:tc>
          <w:tcPr>
            <w:tcW w:w="2835" w:type="dxa"/>
            <w:vAlign w:val="center"/>
            <w:textDirection w:val="lrTb"/>
            <w:noWrap w:val="false"/>
          </w:tcPr>
          <w:p>
            <w:pPr>
              <w:pStyle w:val="1009"/>
              <w:jc w:val="left"/>
              <w:rPr>
                <w:rFonts w:hAnsi="宋体" w:cs="宋体"/>
                <w:color w:val="auto"/>
                <w:sz w:val="21"/>
                <w:highlight w:val="none"/>
              </w:rPr>
            </w:pPr>
            <w:r>
              <w:rPr>
                <w:rFonts w:hint="eastAsia" w:hAnsi="宋体" w:cs="宋体"/>
                <w:color w:val="auto"/>
                <w:sz w:val="21"/>
                <w:highlight w:val="none"/>
              </w:rPr>
              <w:t xml:space="preserve">本项目执行的政府采购政策</w:t>
            </w:r>
            <w:r/>
          </w:p>
        </w:tc>
        <w:tc>
          <w:tcPr>
            <w:tcW w:w="4982"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Pr>
        <w:tc>
          <w:tcPr>
            <w:tcW w:w="675" w:type="dxa"/>
            <w:vAlign w:val="center"/>
            <w:textDirection w:val="lrTb"/>
            <w:noWrap w:val="false"/>
          </w:tcPr>
          <w:p>
            <w:pPr>
              <w:pStyle w:val="979"/>
              <w:ind w:left="-103"/>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tcW w:w="850" w:type="dxa"/>
            <w:vAlign w:val="center"/>
            <w:textDirection w:val="lrTb"/>
            <w:noWrap w:val="false"/>
          </w:tcPr>
          <w:p>
            <w:pPr>
              <w:pStyle w:val="979"/>
              <w:ind w:left="-103"/>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8.1</w:t>
            </w:r>
            <w:r/>
          </w:p>
        </w:tc>
        <w:tc>
          <w:tcPr>
            <w:tcW w:w="2835" w:type="dxa"/>
            <w:vAlign w:val="center"/>
            <w:textDirection w:val="lrTb"/>
            <w:noWrap w:val="false"/>
          </w:tcPr>
          <w:p>
            <w:pPr>
              <w:pStyle w:val="979"/>
              <w:ind w:left="0" w:firstLine="0"/>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现场踏勘</w:t>
            </w:r>
            <w:r/>
          </w:p>
        </w:tc>
        <w:tc>
          <w:tcPr>
            <w:tcW w:w="4982" w:type="dxa"/>
            <w:vAlign w:val="center"/>
            <w:textDirection w:val="lrTb"/>
            <w:noWrap w:val="false"/>
          </w:tcPr>
          <w:p>
            <w:pPr>
              <w:pStyle w:val="790"/>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不组织</w:t>
            </w:r>
            <w:r>
              <w:rPr>
                <w:rFonts w:hint="eastAsia" w:ascii="宋体" w:hAnsi="宋体" w:cs="Microsoft New Tai Lue"/>
                <w:bCs/>
                <w:color w:val="auto"/>
                <w:szCs w:val="21"/>
                <w:highlight w:val="none"/>
                <w:lang w:eastAsia="zh-CN"/>
              </w:rPr>
              <w:t xml:space="preserve">，</w:t>
            </w:r>
            <w:r>
              <w:rPr>
                <w:rFonts w:hint="eastAsia" w:ascii="宋体" w:hAnsi="宋体" w:eastAsia="宋体" w:cs="宋体"/>
                <w:bCs/>
                <w:color w:val="auto"/>
                <w:sz w:val="21"/>
                <w:szCs w:val="21"/>
                <w:highlight w:val="none"/>
                <w:lang w:val="en-US" w:eastAsia="zh-CN" w:bidi="ar-SA"/>
              </w:rPr>
              <w:t xml:space="preserve">采购人不集中组织勘察现场，各潜在供应商可自行踏勘现场。</w:t>
            </w:r>
            <w:r/>
          </w:p>
          <w:p>
            <w:pPr>
              <w:ind w:left="0" w:right="0"/>
              <w:jc w:val="left"/>
              <w:keepLines w:val="0"/>
              <w:keepNext w:val="0"/>
              <w:spacing w:before="156" w:beforeAutospacing="0" w:after="0" w:afterAutospacing="0" w:line="276" w:lineRule="auto"/>
              <w:rPr>
                <w:rFonts w:hint="eastAsia" w:ascii="宋体" w:hAnsi="宋体" w:eastAsia="宋体" w:cs="宋体"/>
                <w:bCs/>
                <w:color w:val="auto"/>
                <w:szCs w:val="21"/>
                <w:highlight w:val="none"/>
                <w:lang w:val="en-US" w:eastAsia="zh-CN"/>
              </w:rPr>
              <w:suppressLineNumbers w:val="0"/>
            </w:pPr>
            <w:r>
              <w:rPr>
                <w:rFonts w:hint="eastAsia" w:cs="宋体"/>
                <w:color w:val="auto"/>
                <w:sz w:val="21"/>
                <w:szCs w:val="21"/>
                <w:highlight w:val="none"/>
                <w:lang w:val="en-US" w:eastAsia="zh-CN"/>
              </w:rPr>
              <w:t xml:space="preserve">各潜在供应商应认真踏勘现场，成交</w:t>
            </w:r>
            <w:r>
              <w:rPr>
                <w:rFonts w:hint="eastAsia" w:cs="宋体"/>
                <w:color w:val="auto"/>
                <w:sz w:val="21"/>
                <w:szCs w:val="21"/>
                <w:highlight w:val="none"/>
              </w:rPr>
              <w:t xml:space="preserve">后不得以不了解现场为由而提出索赔。</w:t>
            </w:r>
            <w:r>
              <w:rPr>
                <w:rFonts w:hint="eastAsia" w:ascii="宋体" w:hAnsi="宋体" w:eastAsia="宋体" w:cs="宋体"/>
                <w:color w:val="auto"/>
                <w:sz w:val="21"/>
                <w:szCs w:val="21"/>
                <w:highlight w:val="none"/>
              </w:rPr>
              <w:t xml:space="preserve">勘察现场所发生的费用由供应商自行承担</w:t>
            </w:r>
            <w:r>
              <w:rPr>
                <w:rFonts w:hint="eastAsia" w:ascii="宋体" w:hAnsi="宋体" w:eastAsia="宋体" w:cs="宋体"/>
                <w:color w:val="auto"/>
                <w:sz w:val="21"/>
                <w:szCs w:val="21"/>
                <w:highlight w:val="none"/>
                <w:lang w:eastAsia="zh-CN"/>
              </w:rPr>
              <w:t xml:space="preserve">。</w:t>
            </w:r>
            <w:r/>
          </w:p>
        </w:tc>
      </w:tr>
      <w:tr>
        <w:trPr>
          <w:jc w:val="center"/>
        </w:trPr>
        <w:tc>
          <w:tcPr>
            <w:tcW w:w="675"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5</w:t>
            </w:r>
            <w:r/>
          </w:p>
        </w:tc>
        <w:tc>
          <w:tcPr>
            <w:tcW w:w="850"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9.1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磋商前答疑会</w:t>
            </w:r>
            <w:r/>
          </w:p>
        </w:tc>
        <w:tc>
          <w:tcPr>
            <w:tcW w:w="4982" w:type="dxa"/>
            <w:vAlign w:val="center"/>
            <w:textDirection w:val="lrTb"/>
            <w:noWrap w:val="false"/>
          </w:tcPr>
          <w:p>
            <w:pPr>
              <w:pStyle w:val="1006"/>
              <w:spacing w:before="160"/>
              <w:rPr>
                <w:bCs/>
                <w:color w:val="auto"/>
                <w:szCs w:val="21"/>
                <w:highlight w:val="none"/>
              </w:rPr>
            </w:pPr>
            <w:r>
              <w:rPr>
                <w:rFonts w:hint="eastAsia"/>
                <w:b/>
                <w:color w:val="auto"/>
                <w:sz w:val="24"/>
                <w:highlight w:val="none"/>
              </w:rPr>
              <w:t xml:space="preserve">■</w:t>
            </w:r>
            <w:r>
              <w:rPr>
                <w:rFonts w:hint="eastAsia"/>
                <w:color w:val="auto"/>
                <w:sz w:val="21"/>
                <w:szCs w:val="21"/>
                <w:highlight w:val="none"/>
                <w:lang w:val="en-US" w:bidi="ar-SA"/>
              </w:rPr>
              <w:t xml:space="preserve">不召开</w:t>
            </w:r>
            <w:r/>
          </w:p>
        </w:tc>
      </w:tr>
      <w:tr>
        <w:trPr>
          <w:jc w:val="center"/>
        </w:trPr>
        <w:tc>
          <w:tcPr>
            <w:tcW w:w="675"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6</w:t>
            </w:r>
            <w:r/>
          </w:p>
        </w:tc>
        <w:tc>
          <w:tcPr>
            <w:tcW w:w="850"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10.1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联合体磋商</w:t>
            </w:r>
            <w:r/>
          </w:p>
        </w:tc>
        <w:tc>
          <w:tcPr>
            <w:tcW w:w="4982" w:type="dxa"/>
            <w:vAlign w:val="center"/>
            <w:textDirection w:val="lrTb"/>
            <w:noWrap w:val="false"/>
          </w:tcPr>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不接受</w:t>
            </w:r>
            <w:r/>
          </w:p>
        </w:tc>
      </w:tr>
      <w:tr>
        <w:trPr>
          <w:jc w:val="center"/>
        </w:trPr>
        <w:tc>
          <w:tcPr>
            <w:tcW w:w="675"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7</w:t>
            </w:r>
            <w:r/>
          </w:p>
        </w:tc>
        <w:tc>
          <w:tcPr>
            <w:tcW w:w="850"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11.1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分包</w:t>
            </w:r>
            <w:r/>
          </w:p>
        </w:tc>
        <w:tc>
          <w:tcPr>
            <w:tcW w:w="4982" w:type="dxa"/>
            <w:vAlign w:val="center"/>
            <w:textDirection w:val="lrTb"/>
            <w:noWrap w:val="false"/>
          </w:tcPr>
          <w:p>
            <w:pPr>
              <w:spacing w:before="156" w:line="276" w:lineRule="auto"/>
              <w:rPr>
                <w:rFonts w:ascii="宋体" w:hAnsi="宋体" w:cs="宋体"/>
                <w:bCs/>
                <w:color w:val="auto"/>
                <w:szCs w:val="21"/>
                <w:highlight w:val="none"/>
              </w:rPr>
            </w:pPr>
            <w:r>
              <w:rPr>
                <w:rFonts w:hint="eastAsia" w:ascii="宋体" w:hAnsi="宋体" w:cs="宋体"/>
                <w:color w:val="auto"/>
                <w:szCs w:val="21"/>
                <w:highlight w:val="none"/>
              </w:rPr>
              <w:t xml:space="preserve">本项目的非主体、非关键性工作是否允许分包： </w:t>
            </w:r>
            <w:r/>
          </w:p>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不允许</w:t>
            </w:r>
            <w:r/>
          </w:p>
        </w:tc>
      </w:tr>
      <w:tr>
        <w:trPr>
          <w:jc w:val="center"/>
        </w:trPr>
        <w:tc>
          <w:tcPr>
            <w:tcW w:w="675"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8</w:t>
            </w:r>
            <w:r/>
          </w:p>
        </w:tc>
        <w:tc>
          <w:tcPr>
            <w:tcW w:w="850"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12.1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样品</w:t>
            </w:r>
            <w:r/>
          </w:p>
        </w:tc>
        <w:tc>
          <w:tcPr>
            <w:tcW w:w="4982" w:type="dxa"/>
            <w:vAlign w:val="center"/>
            <w:textDirection w:val="lrTb"/>
            <w:noWrap w:val="false"/>
          </w:tcPr>
          <w:p>
            <w:pPr>
              <w:spacing w:before="156"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样品提交：</w:t>
            </w:r>
            <w:r/>
          </w:p>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不需要</w:t>
            </w:r>
            <w:r/>
          </w:p>
        </w:tc>
      </w:tr>
      <w:tr>
        <w:trPr>
          <w:jc w:val="center"/>
          <w:trHeight w:val="734"/>
        </w:trPr>
        <w:tc>
          <w:tcPr>
            <w:tcW w:w="675"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9</w:t>
            </w:r>
            <w:r/>
          </w:p>
        </w:tc>
        <w:tc>
          <w:tcPr>
            <w:tcW w:w="850" w:type="dxa"/>
            <w:vAlign w:val="center"/>
            <w:textDirection w:val="lrTb"/>
            <w:noWrap w:val="false"/>
          </w:tcPr>
          <w:p>
            <w:pPr>
              <w:pStyle w:val="1009"/>
              <w:jc w:val="center"/>
              <w:spacing w:line="360" w:lineRule="auto"/>
              <w:rPr>
                <w:rFonts w:hAnsi="宋体" w:cs="宋体"/>
                <w:color w:val="auto"/>
                <w:sz w:val="21"/>
                <w:highlight w:val="none"/>
              </w:rPr>
            </w:pPr>
            <w:r>
              <w:rPr>
                <w:rFonts w:hint="eastAsia" w:hAnsi="宋体" w:cs="宋体"/>
                <w:color w:val="auto"/>
                <w:sz w:val="21"/>
                <w:highlight w:val="none"/>
              </w:rPr>
              <w:t xml:space="preserve">13.1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详见磋商文件第一章《</w:t>
            </w:r>
            <w:r>
              <w:rPr>
                <w:rFonts w:hint="eastAsia" w:ascii="宋体" w:hAnsi="宋体" w:cs="宋体"/>
                <w:color w:val="auto"/>
                <w:szCs w:val="21"/>
                <w:highlight w:val="none"/>
              </w:rPr>
              <w:t xml:space="preserve">竞争性磋商公告</w:t>
            </w:r>
            <w:r>
              <w:rPr>
                <w:rFonts w:hint="eastAsia" w:ascii="宋体" w:hAnsi="宋体" w:cs="宋体"/>
                <w:bCs/>
                <w:color w:val="auto"/>
                <w:szCs w:val="21"/>
                <w:highlight w:val="none"/>
              </w:rPr>
              <w:t xml:space="preserve">》</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10</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14.1</w:t>
            </w:r>
            <w:r/>
          </w:p>
        </w:tc>
        <w:tc>
          <w:tcPr>
            <w:tcW w:w="2835" w:type="dxa"/>
            <w:vAlign w:val="center"/>
            <w:textDirection w:val="lrTb"/>
            <w:noWrap w:val="false"/>
          </w:tcPr>
          <w:p>
            <w:pPr>
              <w:pStyle w:val="1009"/>
              <w:jc w:val="left"/>
              <w:rPr>
                <w:rFonts w:hAnsi="宋体" w:cs="宋体"/>
                <w:color w:val="auto"/>
                <w:sz w:val="21"/>
                <w:highlight w:val="none"/>
              </w:rPr>
            </w:pPr>
            <w:r>
              <w:rPr>
                <w:rFonts w:hint="eastAsia" w:hAnsi="宋体" w:cs="宋体"/>
                <w:color w:val="auto"/>
                <w:sz w:val="21"/>
                <w:highlight w:val="none"/>
              </w:rPr>
              <w:t xml:space="preserve">采购预算</w:t>
            </w:r>
            <w:r/>
          </w:p>
        </w:tc>
        <w:tc>
          <w:tcPr>
            <w:tcW w:w="4982"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Height w:val="74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11</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14.2</w:t>
            </w:r>
            <w:r/>
          </w:p>
        </w:tc>
        <w:tc>
          <w:tcPr>
            <w:tcW w:w="2835" w:type="dxa"/>
            <w:vAlign w:val="center"/>
            <w:textDirection w:val="lrTb"/>
            <w:noWrap w:val="false"/>
          </w:tcPr>
          <w:p>
            <w:pPr>
              <w:pStyle w:val="1009"/>
              <w:jc w:val="left"/>
              <w:rPr>
                <w:rFonts w:hAnsi="宋体" w:cs="宋体"/>
                <w:color w:val="auto"/>
                <w:sz w:val="21"/>
                <w:highlight w:val="none"/>
              </w:rPr>
            </w:pPr>
            <w:r>
              <w:rPr>
                <w:rFonts w:hint="eastAsia" w:hAnsi="宋体" w:cs="宋体"/>
                <w:color w:val="auto"/>
                <w:sz w:val="21"/>
                <w:highlight w:val="none"/>
              </w:rPr>
              <w:t xml:space="preserve">本项目设定的最高限价</w:t>
            </w:r>
            <w:r/>
          </w:p>
        </w:tc>
        <w:tc>
          <w:tcPr>
            <w:tcW w:w="4982"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12</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15.1</w:t>
            </w:r>
            <w:r/>
          </w:p>
        </w:tc>
        <w:tc>
          <w:tcPr>
            <w:tcW w:w="2835"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供应商资格条件</w:t>
            </w:r>
            <w:r/>
          </w:p>
        </w:tc>
        <w:tc>
          <w:tcPr>
            <w:tcW w:w="4982"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详见磋商文件第一章《</w:t>
            </w:r>
            <w:r>
              <w:rPr>
                <w:rFonts w:hint="eastAsia" w:ascii="宋体" w:hAnsi="宋体" w:cs="宋体"/>
                <w:color w:val="auto"/>
                <w:szCs w:val="21"/>
                <w:highlight w:val="none"/>
              </w:rPr>
              <w:t xml:space="preserve">竞争性磋商公告</w:t>
            </w:r>
            <w:r>
              <w:rPr>
                <w:rFonts w:hint="eastAsia" w:ascii="宋体" w:hAnsi="宋体" w:cs="宋体"/>
                <w:bCs/>
                <w:color w:val="auto"/>
                <w:szCs w:val="21"/>
                <w:highlight w:val="none"/>
              </w:rPr>
              <w:t xml:space="preserve">》</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13</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20.5</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报价</w:t>
            </w:r>
            <w:r/>
          </w:p>
        </w:tc>
        <w:tc>
          <w:tcPr>
            <w:tcW w:w="4982" w:type="dxa"/>
            <w:vAlign w:val="center"/>
            <w:textDirection w:val="lrTb"/>
            <w:noWrap w:val="false"/>
          </w:tcPr>
          <w:p>
            <w:pPr>
              <w:pStyle w:val="1009"/>
              <w:spacing w:line="360" w:lineRule="auto"/>
              <w:rPr>
                <w:rFonts w:hAnsi="宋体" w:cs="宋体"/>
                <w:bCs/>
                <w:color w:val="auto"/>
                <w:sz w:val="21"/>
                <w:highlight w:val="none"/>
              </w:rPr>
            </w:pPr>
            <w:r>
              <w:rPr>
                <w:rFonts w:hint="eastAsia" w:hAnsi="宋体" w:cs="宋体"/>
                <w:bCs/>
                <w:color w:val="auto"/>
                <w:sz w:val="21"/>
                <w:highlight w:val="none"/>
              </w:rPr>
              <w:t xml:space="preserve">报价的其他要求：</w:t>
            </w:r>
            <w:r/>
          </w:p>
          <w:p>
            <w:pPr>
              <w:pStyle w:val="1009"/>
              <w:spacing w:line="360" w:lineRule="auto"/>
              <w:rPr>
                <w:rFonts w:hAnsi="宋体" w:cs="宋体"/>
                <w:bCs/>
                <w:color w:val="auto"/>
                <w:sz w:val="21"/>
                <w:highlight w:val="none"/>
              </w:rPr>
            </w:pPr>
            <w:r>
              <w:rPr>
                <w:rFonts w:hint="eastAsia" w:hAnsi="宋体" w:cs="宋体"/>
                <w:b/>
                <w:color w:val="auto"/>
                <w:sz w:val="24"/>
                <w:highlight w:val="none"/>
              </w:rPr>
              <w:t xml:space="preserve">■</w:t>
            </w:r>
            <w:r>
              <w:rPr>
                <w:rFonts w:hint="eastAsia" w:hAnsi="宋体" w:cs="宋体"/>
                <w:bCs/>
                <w:color w:val="auto"/>
                <w:sz w:val="21"/>
                <w:highlight w:val="none"/>
              </w:rPr>
              <w:t xml:space="preserve">无</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14</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21.1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响应有效期</w:t>
            </w:r>
            <w:r/>
          </w:p>
        </w:tc>
        <w:tc>
          <w:tcPr>
            <w:tcW w:w="4982" w:type="dxa"/>
            <w:vAlign w:val="center"/>
            <w:textDirection w:val="lrTb"/>
            <w:noWrap w:val="false"/>
          </w:tcPr>
          <w:p>
            <w:pPr>
              <w:pStyle w:val="1009"/>
              <w:spacing w:line="360" w:lineRule="auto"/>
              <w:rPr>
                <w:rFonts w:hAnsi="宋体" w:cs="宋体"/>
                <w:bCs/>
                <w:color w:val="auto"/>
                <w:sz w:val="21"/>
                <w:highlight w:val="none"/>
              </w:rPr>
            </w:pPr>
            <w:r>
              <w:rPr>
                <w:rFonts w:hint="eastAsia" w:hAnsi="宋体" w:cs="宋体"/>
                <w:bCs/>
                <w:color w:val="auto"/>
                <w:sz w:val="21"/>
                <w:highlight w:val="none"/>
              </w:rPr>
              <w:t xml:space="preserve">自提交响应文件的截止之日起算90日历天</w:t>
            </w:r>
            <w:r/>
          </w:p>
        </w:tc>
      </w:tr>
      <w:tr>
        <w:trPr>
          <w:jc w:val="center"/>
          <w:trHeight w:val="579"/>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15</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22.1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磋商保证金</w:t>
            </w:r>
            <w:r/>
          </w:p>
        </w:tc>
        <w:tc>
          <w:tcPr>
            <w:tcW w:w="4982" w:type="dxa"/>
            <w:vAlign w:val="center"/>
            <w:textDirection w:val="lrTb"/>
            <w:noWrap w:val="false"/>
          </w:tcPr>
          <w:p>
            <w:pPr>
              <w:spacing w:before="156" w:line="360" w:lineRule="auto"/>
              <w:rPr>
                <w:rFonts w:ascii="宋体" w:hAnsi="宋体" w:cs="Segoe UI Symbol"/>
                <w:bCs/>
                <w:color w:val="auto"/>
                <w:szCs w:val="21"/>
                <w:highlight w:val="none"/>
              </w:rPr>
            </w:pPr>
            <w:r>
              <w:rPr>
                <w:rFonts w:hint="eastAsia" w:ascii="宋体" w:hAnsi="宋体" w:cs="宋体"/>
                <w:b/>
                <w:color w:val="auto"/>
                <w:sz w:val="24"/>
                <w:highlight w:val="none"/>
              </w:rPr>
              <w:t xml:space="preserve">■</w:t>
            </w:r>
            <w:r>
              <w:rPr>
                <w:rFonts w:hint="eastAsia" w:ascii="宋体" w:hAnsi="宋体" w:cs="Segoe UI Symbol"/>
                <w:bCs/>
                <w:color w:val="auto"/>
                <w:szCs w:val="21"/>
                <w:highlight w:val="none"/>
              </w:rPr>
              <w:t xml:space="preserve">不需要</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18</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25.1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提交响应文件的截止时间、地点</w:t>
            </w:r>
            <w:r/>
          </w:p>
        </w:tc>
        <w:tc>
          <w:tcPr>
            <w:tcW w:w="4982"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详见磋商文件第一章《竞争性磋商公告》</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19</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27.3</w:t>
            </w:r>
            <w:r/>
          </w:p>
        </w:tc>
        <w:tc>
          <w:tcPr>
            <w:tcW w:w="2835" w:type="dxa"/>
            <w:vAlign w:val="center"/>
            <w:textDirection w:val="lrTb"/>
            <w:noWrap w:val="false"/>
          </w:tcPr>
          <w:p>
            <w:pPr>
              <w:pStyle w:val="1009"/>
              <w:jc w:val="left"/>
              <w:rPr>
                <w:rFonts w:hAnsi="宋体" w:cs="宋体"/>
                <w:color w:val="auto"/>
                <w:sz w:val="21"/>
                <w:highlight w:val="none"/>
              </w:rPr>
            </w:pPr>
            <w:r>
              <w:rPr>
                <w:rFonts w:hint="eastAsia" w:hAnsi="宋体" w:cs="宋体"/>
                <w:color w:val="auto"/>
                <w:sz w:val="21"/>
                <w:highlight w:val="none"/>
              </w:rPr>
              <w:t xml:space="preserve">信用查询</w:t>
            </w:r>
            <w:r/>
          </w:p>
        </w:tc>
        <w:tc>
          <w:tcPr>
            <w:tcW w:w="4982" w:type="dxa"/>
            <w:vAlign w:val="center"/>
            <w:textDirection w:val="lrTb"/>
            <w:noWrap w:val="false"/>
          </w:tcPr>
          <w:p>
            <w:pPr>
              <w:pStyle w:val="1009"/>
              <w:spacing w:line="360" w:lineRule="auto"/>
              <w:rPr>
                <w:rFonts w:hAnsi="宋体" w:cs="宋体"/>
                <w:bCs/>
                <w:color w:val="auto"/>
                <w:sz w:val="21"/>
                <w:highlight w:val="none"/>
              </w:rPr>
            </w:pP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、中国政府采购网</w:t>
            </w:r>
            <w:r>
              <w:rPr>
                <w:rFonts w:hAnsi="宋体" w:cs="Microsoft New Tai Lue"/>
                <w:bCs/>
                <w:color w:val="auto"/>
                <w:sz w:val="21"/>
                <w:highlight w:val="none"/>
              </w:rPr>
              <w:t xml:space="preserve">(www.ccgp.gov.cn)</w:t>
            </w:r>
            <w:r>
              <w:rPr>
                <w:rFonts w:hint="eastAsia" w:hAnsi="宋体" w:cs="Microsoft New Tai Lue"/>
                <w:bCs/>
                <w:color w:val="auto"/>
                <w:sz w:val="21"/>
                <w:highlight w:val="none"/>
              </w:rPr>
              <w:t xml:space="preserve">查询相关主体信用记录。本次查询的信用记录打印的网页版将留存在评审报告中。</w:t>
            </w:r>
            <w:r>
              <w:rPr>
                <w:rFonts w:hAnsi="宋体" w:cs="Microsoft New Tai Lue"/>
                <w:bCs/>
                <w:color w:val="auto"/>
                <w:sz w:val="21"/>
                <w:highlight w:val="none"/>
              </w:rPr>
              <w:t xml:space="preserve">截止时点：</w:t>
            </w:r>
            <w:r>
              <w:rPr>
                <w:rFonts w:hint="eastAsia" w:hAnsi="宋体" w:cs="Microsoft New Tai Lue"/>
                <w:bCs/>
                <w:color w:val="auto"/>
                <w:sz w:val="21"/>
                <w:highlight w:val="none"/>
              </w:rPr>
              <w:t xml:space="preserve">响应</w:t>
            </w:r>
            <w:r>
              <w:rPr>
                <w:rFonts w:hAnsi="宋体" w:cs="Microsoft New Tai Lue"/>
                <w:bCs/>
                <w:color w:val="auto"/>
                <w:sz w:val="21"/>
                <w:highlight w:val="none"/>
              </w:rPr>
              <w:t xml:space="preserve">截止时间以后、资格审查阶段采购人或采购代理机构的实际查询时间</w:t>
            </w:r>
            <w:r>
              <w:rPr>
                <w:rFonts w:hint="eastAsia" w:hAnsi="宋体" w:cs="宋体"/>
                <w:bCs/>
                <w:color w:val="auto"/>
                <w:sz w:val="21"/>
                <w:highlight w:val="none"/>
              </w:rPr>
              <w:t xml:space="preserve">。</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20</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29.1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磋商小组</w:t>
            </w:r>
            <w:r/>
          </w:p>
        </w:tc>
        <w:tc>
          <w:tcPr>
            <w:tcW w:w="4982" w:type="dxa"/>
            <w:vAlign w:val="center"/>
            <w:textDirection w:val="lrTb"/>
            <w:noWrap w:val="false"/>
          </w:tcPr>
          <w:p>
            <w:pPr>
              <w:pStyle w:val="1009"/>
              <w:spacing w:line="360" w:lineRule="auto"/>
              <w:rPr>
                <w:rFonts w:hAnsi="宋体" w:cs="宋体"/>
                <w:bCs/>
                <w:color w:val="auto"/>
                <w:sz w:val="21"/>
                <w:highlight w:val="none"/>
              </w:rPr>
            </w:pPr>
            <w:r>
              <w:rPr>
                <w:rFonts w:hint="eastAsia" w:hAnsi="宋体" w:cs="宋体"/>
                <w:bCs/>
                <w:color w:val="auto"/>
                <w:sz w:val="21"/>
                <w:highlight w:val="none"/>
              </w:rPr>
              <w:t xml:space="preserve">3人及以上单数。</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21</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39.3</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公告媒体</w:t>
            </w:r>
            <w:r/>
          </w:p>
        </w:tc>
        <w:tc>
          <w:tcPr>
            <w:tcW w:w="4982" w:type="dxa"/>
            <w:vAlign w:val="center"/>
            <w:textDirection w:val="lrTb"/>
            <w:noWrap w:val="false"/>
          </w:tcPr>
          <w:p>
            <w:pPr>
              <w:pStyle w:val="1009"/>
              <w:spacing w:line="360" w:lineRule="auto"/>
              <w:rPr>
                <w:rFonts w:hAnsi="宋体" w:cs="宋体"/>
                <w:bCs/>
                <w:color w:val="auto"/>
                <w:sz w:val="21"/>
                <w:highlight w:val="none"/>
              </w:rPr>
            </w:pPr>
            <w:r>
              <w:rPr>
                <w:rFonts w:hint="eastAsia" w:ascii="宋体" w:hAnsi="宋体" w:eastAsia="宋体" w:cs="宋体"/>
                <w:color w:val="auto"/>
                <w:sz w:val="21"/>
                <w:highlight w:val="none"/>
                <w:lang w:val="en-US" w:eastAsia="zh-CN"/>
              </w:rPr>
              <w:t xml:space="preserve">江苏政府采购网</w:t>
            </w:r>
            <w:r/>
          </w:p>
        </w:tc>
      </w:tr>
      <w:tr>
        <w:trPr>
          <w:jc w:val="center"/>
          <w:trHeight w:val="922"/>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22</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42.1</w:t>
            </w:r>
            <w:r/>
          </w:p>
        </w:tc>
        <w:tc>
          <w:tcPr>
            <w:tcW w:w="2835" w:type="dxa"/>
            <w:vAlign w:val="center"/>
            <w:textDirection w:val="lrTb"/>
            <w:noWrap w:val="false"/>
          </w:tcPr>
          <w:p>
            <w:pPr>
              <w:pStyle w:val="1009"/>
              <w:jc w:val="left"/>
              <w:rPr>
                <w:rFonts w:hAnsi="宋体" w:cs="宋体"/>
                <w:bCs/>
                <w:color w:val="auto"/>
                <w:sz w:val="21"/>
                <w:highlight w:val="none"/>
              </w:rPr>
            </w:pPr>
            <w:r>
              <w:rPr>
                <w:rFonts w:hint="eastAsia" w:hAnsi="宋体" w:cs="宋体"/>
                <w:color w:val="auto"/>
                <w:sz w:val="21"/>
                <w:highlight w:val="none"/>
              </w:rPr>
              <w:t xml:space="preserve">履约保证金</w:t>
            </w:r>
            <w:r/>
          </w:p>
        </w:tc>
        <w:tc>
          <w:tcPr>
            <w:tcW w:w="4982" w:type="dxa"/>
            <w:vAlign w:val="center"/>
            <w:textDirection w:val="lrTb"/>
            <w:noWrap w:val="false"/>
          </w:tcPr>
          <w:p>
            <w:pPr>
              <w:pStyle w:val="1009"/>
              <w:spacing w:line="360" w:lineRule="auto"/>
              <w:rPr>
                <w:rFonts w:hAnsi="宋体" w:cs="宋体"/>
                <w:bCs/>
                <w:color w:val="auto"/>
                <w:highlight w:val="none"/>
              </w:rPr>
            </w:pPr>
            <w:r>
              <w:rPr>
                <w:rFonts w:hint="eastAsia" w:hAnsi="宋体" w:cs="宋体"/>
                <w:b/>
                <w:color w:val="auto"/>
                <w:sz w:val="24"/>
                <w:highlight w:val="none"/>
              </w:rPr>
              <w:t xml:space="preserve">■</w:t>
            </w:r>
            <w:r>
              <w:rPr>
                <w:rFonts w:hint="eastAsia" w:hAnsi="宋体" w:cs="宋体"/>
                <w:bCs/>
                <w:color w:val="auto"/>
                <w:sz w:val="21"/>
                <w:highlight w:val="none"/>
              </w:rPr>
              <w:t xml:space="preserve">不要求提供</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23</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43.1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szCs w:val="21"/>
                <w:highlight w:val="none"/>
              </w:rPr>
              <w:t xml:space="preserve">供应商对磋商文件的</w:t>
            </w:r>
            <w:r/>
          </w:p>
          <w:p>
            <w:pPr>
              <w:pStyle w:val="1009"/>
              <w:jc w:val="left"/>
              <w:rPr>
                <w:rFonts w:hAnsi="宋体" w:cs="宋体"/>
                <w:color w:val="auto"/>
                <w:sz w:val="21"/>
                <w:highlight w:val="none"/>
              </w:rPr>
            </w:pPr>
            <w:r>
              <w:rPr>
                <w:rFonts w:hint="eastAsia" w:hAnsi="宋体" w:cs="宋体"/>
                <w:color w:val="auto"/>
                <w:sz w:val="21"/>
                <w:highlight w:val="none"/>
              </w:rPr>
              <w:t xml:space="preserve">询问</w:t>
            </w:r>
            <w:r/>
          </w:p>
        </w:tc>
        <w:tc>
          <w:tcPr>
            <w:tcW w:w="4982" w:type="dxa"/>
            <w:vAlign w:val="center"/>
            <w:textDirection w:val="lrTb"/>
            <w:noWrap w:val="false"/>
          </w:tcPr>
          <w:p>
            <w:pPr>
              <w:spacing w:before="156" w:line="276" w:lineRule="auto"/>
              <w:rPr>
                <w:rFonts w:ascii="宋体" w:hAnsi="宋体" w:cs="宋体"/>
                <w:color w:val="auto"/>
                <w:szCs w:val="21"/>
                <w:highlight w:val="none"/>
              </w:rPr>
            </w:pPr>
            <w:r>
              <w:rPr>
                <w:rFonts w:hint="eastAsia" w:ascii="宋体" w:hAnsi="宋体" w:cs="宋体"/>
                <w:bCs/>
                <w:color w:val="auto"/>
                <w:highlight w:val="none"/>
              </w:rPr>
              <w:t xml:space="preserve">以书面形式（盖章扫描件及word格式文件发至</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邮箱</w:t>
            </w:r>
            <w:r>
              <w:rPr>
                <w:rFonts w:hint="eastAsia" w:ascii="宋体" w:hAnsi="宋体" w:cs="宋体"/>
                <w:bCs/>
                <w:color w:val="auto"/>
                <w:highlight w:val="none"/>
                <w:lang w:eastAsia="zh-CN"/>
              </w:rPr>
              <w:t xml:space="preserve">sph@jstcc.cn</w:t>
            </w:r>
            <w:r>
              <w:rPr>
                <w:rFonts w:hint="eastAsia" w:ascii="宋体" w:hAnsi="宋体" w:cs="宋体"/>
                <w:bCs/>
                <w:color w:val="auto"/>
                <w:highlight w:val="none"/>
              </w:rPr>
              <w:t xml:space="preserve">）通知采购人或采购代理机构。</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24</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44.1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szCs w:val="21"/>
                <w:highlight w:val="none"/>
              </w:rPr>
              <w:t xml:space="preserve">供应商对磋商文件提出的</w:t>
            </w:r>
            <w:r/>
          </w:p>
          <w:p>
            <w:pPr>
              <w:pStyle w:val="1009"/>
              <w:jc w:val="left"/>
              <w:rPr>
                <w:rFonts w:hAnsi="宋体" w:cs="宋体"/>
                <w:color w:val="auto"/>
                <w:sz w:val="21"/>
                <w:highlight w:val="none"/>
              </w:rPr>
            </w:pPr>
            <w:r>
              <w:rPr>
                <w:rFonts w:hint="eastAsia" w:hAnsi="宋体" w:cs="宋体"/>
                <w:color w:val="auto"/>
                <w:highlight w:val="none"/>
              </w:rPr>
              <w:t xml:space="preserve">质疑</w:t>
            </w:r>
            <w:r/>
          </w:p>
        </w:tc>
        <w:tc>
          <w:tcPr>
            <w:tcW w:w="4982" w:type="dxa"/>
            <w:vAlign w:val="center"/>
            <w:textDirection w:val="lrTb"/>
            <w:noWrap w:val="false"/>
          </w:tcPr>
          <w:p>
            <w:pPr>
              <w:pStyle w:val="1009"/>
              <w:spacing w:line="360" w:lineRule="auto"/>
              <w:rPr>
                <w:rFonts w:hAnsi="宋体" w:cs="宋体"/>
                <w:bCs/>
                <w:color w:val="auto"/>
                <w:sz w:val="21"/>
                <w:highlight w:val="none"/>
              </w:rPr>
            </w:pPr>
            <w:r>
              <w:rPr>
                <w:rFonts w:hint="eastAsia" w:hAnsi="宋体" w:cs="宋体"/>
                <w:bCs/>
                <w:color w:val="auto"/>
                <w:sz w:val="21"/>
                <w:highlight w:val="none"/>
              </w:rPr>
              <w:t xml:space="preserve">以书面形式通知采购人或采购代理机构。如采用邮件形式（盖章扫描件及word格式文件发至</w:t>
            </w:r>
            <w:r>
              <w:rPr>
                <w:rFonts w:hint="eastAsia" w:hAnsi="宋体" w:cs="宋体"/>
                <w:bCs/>
                <w:color w:val="auto"/>
                <w:sz w:val="21"/>
                <w:highlight w:val="none"/>
                <w:lang w:eastAsia="zh-CN"/>
              </w:rPr>
              <w:t xml:space="preserve">sph@jstcc.cn</w:t>
            </w:r>
            <w:r>
              <w:rPr>
                <w:rFonts w:hint="eastAsia" w:hAnsi="宋体" w:cs="宋体"/>
                <w:bCs/>
                <w:color w:val="auto"/>
                <w:sz w:val="21"/>
                <w:highlight w:val="none"/>
              </w:rPr>
              <w:t xml:space="preserve">邮箱）通知，采购人或采购代理机构将以邮件形式进行答复。</w:t>
            </w:r>
            <w:r/>
          </w:p>
        </w:tc>
      </w:tr>
      <w:tr>
        <w:trPr>
          <w:jc w:val="center"/>
          <w:trHeight w:val="656"/>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25</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45.1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采购代理服务费</w:t>
            </w:r>
            <w:r/>
          </w:p>
        </w:tc>
        <w:tc>
          <w:tcPr>
            <w:tcW w:w="4982" w:type="dxa"/>
            <w:vAlign w:val="center"/>
            <w:textDirection w:val="lrTb"/>
            <w:noWrap w:val="false"/>
          </w:tcPr>
          <w:p>
            <w:pPr>
              <w:pStyle w:val="7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1.支付主体</w:t>
            </w:r>
            <w:r/>
          </w:p>
          <w:p>
            <w:pPr>
              <w:pStyle w:val="7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本项目预算已包含代理服务费。</w:t>
            </w:r>
            <w:r>
              <w:rPr>
                <w:rFonts w:hint="eastAsia" w:ascii="Times New Roman" w:hAnsi="Times New Roman" w:eastAsia="宋体" w:cs="Microsoft New Tai Lue"/>
                <w:bCs/>
                <w:color w:val="auto"/>
                <w:highlight w:val="none"/>
              </w:rPr>
              <w:t xml:space="preserve">根据采购人与采购代理机构的委托代理协议，代理服务费由</w:t>
            </w:r>
            <w:r>
              <w:rPr>
                <w:rFonts w:hint="eastAsia" w:ascii="Times New Roman" w:hAnsi="Times New Roman" w:cs="Microsoft New Tai Lue"/>
                <w:bCs/>
                <w:color w:val="auto"/>
                <w:highlight w:val="none"/>
                <w:lang w:val="en-US" w:eastAsia="zh-CN"/>
              </w:rPr>
              <w:t xml:space="preserve">成交供应商</w:t>
            </w:r>
            <w:r>
              <w:rPr>
                <w:rFonts w:hint="eastAsia" w:ascii="Times New Roman" w:hAnsi="Times New Roman" w:eastAsia="宋体" w:cs="Microsoft New Tai Lue"/>
                <w:bCs/>
                <w:color w:val="auto"/>
                <w:highlight w:val="none"/>
              </w:rPr>
              <w:t xml:space="preserve">支付。供应商报价应当包含代理服务费，该费用不单独计列，由供应商综合考虑并计入</w:t>
            </w:r>
            <w:r>
              <w:rPr>
                <w:rFonts w:hint="eastAsia" w:ascii="Times New Roman" w:hAnsi="Times New Roman" w:eastAsia="宋体" w:cs="Microsoft New Tai Lue"/>
                <w:bCs/>
                <w:color w:val="auto"/>
                <w:highlight w:val="none"/>
                <w:lang w:val="en-US" w:eastAsia="zh-CN"/>
              </w:rPr>
              <w:t xml:space="preserve">响应</w:t>
            </w:r>
            <w:r>
              <w:rPr>
                <w:rFonts w:hint="eastAsia" w:ascii="Times New Roman" w:hAnsi="Times New Roman" w:eastAsia="宋体" w:cs="Microsoft New Tai Lue"/>
                <w:bCs/>
                <w:color w:val="auto"/>
                <w:highlight w:val="none"/>
              </w:rPr>
              <w:t xml:space="preserve">总价。</w:t>
            </w:r>
            <w:r/>
          </w:p>
          <w:p>
            <w:pPr>
              <w:pStyle w:val="7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2.收费标准和依据</w:t>
            </w:r>
            <w:r/>
          </w:p>
          <w:p>
            <w:pPr>
              <w:pStyle w:val="7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hAnsi="宋体" w:cs="Microsoft New Tai Lue"/>
                <w:bCs/>
                <w:color w:val="auto"/>
                <w:sz w:val="21"/>
                <w:szCs w:val="21"/>
                <w:highlight w:val="none"/>
                <w:lang w:val="en-US" w:eastAsia="zh-CN"/>
              </w:rPr>
              <w:t xml:space="preserve">本项目代理服务费按计价格【2002】1980号文服务类的80%计取。</w:t>
            </w:r>
            <w:r/>
          </w:p>
          <w:p>
            <w:pPr>
              <w:pStyle w:val="7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3</w:t>
            </w:r>
            <w:r>
              <w:rPr>
                <w:rFonts w:hint="eastAsia" w:ascii="Times New Roman" w:hAnsi="Times New Roman" w:cs="Microsoft New Tai Lue"/>
                <w:bCs/>
                <w:color w:val="auto"/>
                <w:highlight w:val="none"/>
                <w:lang w:val="en-US" w:eastAsia="zh-CN"/>
              </w:rPr>
              <w:t xml:space="preserve">.</w:t>
            </w:r>
            <w:r>
              <w:rPr>
                <w:rFonts w:hint="eastAsia" w:ascii="Times New Roman" w:hAnsi="Times New Roman" w:eastAsia="宋体" w:cs="Microsoft New Tai Lue"/>
                <w:bCs/>
                <w:color w:val="auto"/>
                <w:highlight w:val="none"/>
              </w:rPr>
              <w:t xml:space="preserve">收取方式</w:t>
            </w:r>
            <w:r/>
          </w:p>
          <w:p>
            <w:pPr>
              <w:pStyle w:val="7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中标</w:t>
            </w:r>
            <w:r>
              <w:rPr>
                <w:rFonts w:hint="eastAsia" w:ascii="Times New Roman" w:hAnsi="Times New Roman" w:eastAsia="宋体" w:cs="Microsoft New Tai Lue"/>
                <w:bCs/>
                <w:color w:val="auto"/>
                <w:highlight w:val="none"/>
              </w:rPr>
              <w:t xml:space="preserve">供应商在领取</w:t>
            </w:r>
            <w:r>
              <w:rPr>
                <w:rFonts w:hint="eastAsia" w:ascii="Times New Roman" w:hAnsi="Times New Roman" w:eastAsia="宋体" w:cs="Microsoft New Tai Lue"/>
                <w:bCs/>
                <w:color w:val="auto"/>
                <w:highlight w:val="none"/>
                <w:lang w:val="en-US" w:eastAsia="zh-CN"/>
              </w:rPr>
              <w:t xml:space="preserve">成交</w:t>
            </w:r>
            <w:r>
              <w:rPr>
                <w:rFonts w:hint="eastAsia" w:ascii="Times New Roman" w:hAnsi="Times New Roman" w:eastAsia="宋体" w:cs="Microsoft New Tai Lue"/>
                <w:bCs/>
                <w:color w:val="auto"/>
                <w:highlight w:val="none"/>
              </w:rPr>
              <w:t xml:space="preserve">通知书前，一次性向采购代理机构支付。</w:t>
            </w:r>
            <w:r>
              <w:rPr>
                <w:rFonts w:hint="eastAsia" w:hAnsi="宋体" w:cs="Microsoft New Tai Lue"/>
                <w:bCs/>
                <w:color w:val="auto"/>
                <w:sz w:val="21"/>
                <w:szCs w:val="21"/>
                <w:highlight w:val="none"/>
              </w:rPr>
              <w:t xml:space="preserve">采购代理机构在收到</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服务费后向</w:t>
            </w:r>
            <w:r>
              <w:rPr>
                <w:rFonts w:hint="eastAsia" w:hAnsi="宋体" w:cs="Microsoft New Tai Lue"/>
                <w:bCs/>
                <w:color w:val="auto"/>
                <w:sz w:val="21"/>
                <w:szCs w:val="21"/>
                <w:highlight w:val="none"/>
                <w:lang w:val="en-US" w:eastAsia="zh-CN"/>
              </w:rPr>
              <w:t xml:space="preserve">成交供应商</w:t>
            </w:r>
            <w:r>
              <w:rPr>
                <w:rFonts w:hint="eastAsia" w:hAnsi="宋体" w:cs="Microsoft New Tai Lue"/>
                <w:bCs/>
                <w:color w:val="auto"/>
                <w:sz w:val="21"/>
                <w:szCs w:val="21"/>
                <w:highlight w:val="none"/>
              </w:rPr>
              <w:t xml:space="preserve">开具等额的</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服务费发票</w:t>
            </w:r>
            <w:r>
              <w:rPr>
                <w:rFonts w:hint="eastAsia" w:hAnsi="宋体" w:cs="Microsoft New Tai Lue"/>
                <w:bCs/>
                <w:color w:val="auto"/>
                <w:sz w:val="21"/>
                <w:szCs w:val="21"/>
                <w:highlight w:val="none"/>
                <w:lang w:eastAsia="zh-CN"/>
              </w:rPr>
              <w:t xml:space="preserve">。</w:t>
            </w:r>
            <w:r/>
          </w:p>
          <w:p>
            <w:pPr>
              <w:pStyle w:val="7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请汇款至以下账户：</w:t>
            </w:r>
            <w:r/>
          </w:p>
          <w:p>
            <w:pPr>
              <w:pStyle w:val="7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户名：江苏省招标中心有限公司；</w:t>
            </w:r>
            <w:r/>
          </w:p>
          <w:p>
            <w:pPr>
              <w:pStyle w:val="77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开户银行：中信银行南京江苏路支行；</w:t>
            </w:r>
            <w:r/>
          </w:p>
          <w:p>
            <w:pPr>
              <w:pStyle w:val="966"/>
              <w:spacing w:line="360" w:lineRule="auto"/>
              <w:rPr>
                <w:rFonts w:hAnsi="宋体" w:cs="宋体"/>
                <w:bCs/>
                <w:color w:val="auto"/>
                <w:highlight w:val="none"/>
              </w:rPr>
            </w:pPr>
            <w:r>
              <w:rPr>
                <w:rFonts w:hint="eastAsia" w:ascii="Times New Roman" w:hAnsi="Times New Roman" w:eastAsia="宋体" w:cs="Microsoft New Tai Lue"/>
                <w:bCs/>
                <w:color w:val="auto"/>
                <w:highlight w:val="none"/>
              </w:rPr>
              <w:t xml:space="preserve">账号：7321810182600023404</w:t>
            </w:r>
            <w:r/>
          </w:p>
        </w:tc>
      </w:tr>
      <w:tr>
        <w:trPr>
          <w:jc w:val="center"/>
          <w:trHeight w:val="654"/>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26</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highlight w:val="none"/>
              </w:rPr>
              <w:t xml:space="preserve">其他规定</w:t>
            </w:r>
            <w:r/>
          </w:p>
        </w:tc>
        <w:tc>
          <w:tcPr>
            <w:tcW w:w="4982" w:type="dxa"/>
            <w:vAlign w:val="center"/>
            <w:textDirection w:val="lrTb"/>
            <w:noWrap w:val="false"/>
          </w:tcPr>
          <w:p>
            <w:pPr>
              <w:pStyle w:val="1040"/>
              <w:spacing w:line="360" w:lineRule="auto"/>
              <w:rPr>
                <w:rFonts w:hint="eastAsia" w:hAnsi="宋体" w:cs="宋体"/>
                <w:color w:val="auto"/>
                <w:highlight w:val="none"/>
              </w:rPr>
            </w:pPr>
            <w:r>
              <w:rPr>
                <w:rFonts w:hint="eastAsia" w:hAnsi="宋体" w:cs="宋体"/>
                <w:color w:val="auto"/>
                <w:highlight w:val="none"/>
                <w:lang w:val="en-US" w:eastAsia="zh-CN"/>
              </w:rPr>
              <w:t xml:space="preserve">采购项目属性：服务类</w:t>
            </w:r>
            <w:r/>
          </w:p>
        </w:tc>
      </w:tr>
      <w:tr>
        <w:trPr>
          <w:jc w:val="center"/>
          <w:trHeight w:val="875"/>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27</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1040"/>
              <w:spacing w:line="360" w:lineRule="auto"/>
              <w:rPr>
                <w:rFonts w:hAnsi="宋体" w:eastAsia="宋体" w:cs="宋体"/>
                <w:bCs/>
                <w:color w:val="auto"/>
                <w:highlight w:val="none"/>
                <w:lang w:val="en-US" w:eastAsia="zh-CN"/>
              </w:rPr>
            </w:pPr>
            <w:r>
              <w:rPr>
                <w:rFonts w:hint="eastAsia" w:hAnsi="宋体" w:cs="宋体"/>
                <w:color w:val="auto"/>
                <w:highlight w:val="none"/>
                <w:lang w:val="en-US" w:eastAsia="zh-CN"/>
              </w:rPr>
              <w:t xml:space="preserve">标的对应的中小企业划分标准所属行业：其他未列明行业</w:t>
            </w:r>
            <w:r/>
          </w:p>
        </w:tc>
      </w:tr>
      <w:tr>
        <w:trPr>
          <w:jc w:val="center"/>
          <w:trHeight w:val="1963"/>
        </w:trPr>
        <w:tc>
          <w:tcPr>
            <w:tcW w:w="675"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28</w:t>
            </w:r>
            <w:r/>
          </w:p>
        </w:tc>
        <w:tc>
          <w:tcPr>
            <w:tcW w:w="850" w:type="dxa"/>
            <w:vAlign w:val="center"/>
            <w:textDirection w:val="lrTb"/>
            <w:noWrap w:val="false"/>
          </w:tcPr>
          <w:p>
            <w:pPr>
              <w:pStyle w:val="1009"/>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pStyle w:val="1009"/>
              <w:jc w:val="left"/>
              <w:spacing w:line="360" w:lineRule="auto"/>
              <w:rPr>
                <w:rFonts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1040"/>
              <w:spacing w:line="360" w:lineRule="auto"/>
              <w:rPr>
                <w:rFonts w:hint="eastAsia" w:hAnsi="宋体" w:cs="宋体"/>
                <w:color w:val="auto"/>
                <w:highlight w:val="none"/>
              </w:rPr>
            </w:pPr>
            <w:r>
              <w:rPr>
                <w:rFonts w:hint="eastAsia" w:hAnsi="宋体" w:cs="宋体"/>
                <w:bCs/>
                <w:color w:val="auto"/>
                <w:highlight w:val="none"/>
                <w:lang w:val="en-US" w:eastAsia="zh-CN"/>
              </w:rPr>
              <w:t xml:space="preserve">其他规定：</w:t>
            </w:r>
            <w:r>
              <w:rPr>
                <w:rFonts w:hint="eastAsia" w:hAnsi="宋体" w:cs="宋体"/>
                <w:color w:val="auto"/>
                <w:highlight w:val="none"/>
                <w:lang w:val="en-US" w:eastAsia="zh-CN"/>
              </w:rPr>
              <w:t xml:space="preserve">依据《政府采购促进中小企业发展管理办法》规定享受扶持政策获得政府采购合同的，小微企业不得将合同分包给大中型企业，中型企业不得将合同分包给大型企业。</w:t>
            </w:r>
            <w:r/>
          </w:p>
        </w:tc>
      </w:tr>
    </w:tbl>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985"/>
        <w:rPr>
          <w:rFonts w:ascii="宋体" w:hAnsi="宋体" w:cs="宋体"/>
          <w:color w:val="auto"/>
          <w:highlight w:val="none"/>
        </w:rPr>
      </w:pPr>
      <w:r/>
      <w:bookmarkStart w:id="40" w:name="_Toc100905199"/>
      <w:r/>
      <w:bookmarkStart w:id="41" w:name="_Toc107246213"/>
      <w:r/>
      <w:bookmarkStart w:id="42" w:name="_Toc104560837"/>
      <w:r/>
      <w:bookmarkStart w:id="43" w:name="_Toc103848526"/>
      <w:r>
        <w:rPr>
          <w:rFonts w:ascii="Microsoft New Tai Lue" w:hAnsi="Microsoft New Tai Lue" w:cs="Microsoft New Tai Lue"/>
          <w:color w:val="auto"/>
          <w:highlight w:val="none"/>
        </w:rPr>
        <w:br w:type="page" w:clear="all"/>
      </w:r>
      <w:bookmarkStart w:id="44" w:name="_Toc2487"/>
      <w:r/>
      <w:bookmarkStart w:id="45" w:name="_Toc17008"/>
      <w:r/>
      <w:bookmarkStart w:id="46" w:name="_Toc657"/>
      <w:r>
        <w:rPr>
          <w:rFonts w:hint="eastAsia" w:ascii="宋体" w:hAnsi="宋体" w:cs="宋体"/>
          <w:color w:val="auto"/>
          <w:highlight w:val="none"/>
        </w:rPr>
        <w:t xml:space="preserve">供应商须知</w:t>
      </w:r>
      <w:bookmarkEnd w:id="44"/>
      <w:r/>
      <w:bookmarkEnd w:id="45"/>
      <w:r/>
      <w:bookmarkEnd w:id="46"/>
      <w:r/>
      <w:r/>
    </w:p>
    <w:p>
      <w:pPr>
        <w:pStyle w:val="938"/>
        <w:ind w:left="0" w:right="210"/>
        <w:spacing w:line="360" w:lineRule="auto"/>
        <w:rPr>
          <w:rFonts w:ascii="宋体" w:hAnsi="宋体" w:cs="宋体"/>
          <w:color w:val="auto"/>
          <w:highlight w:val="none"/>
        </w:rPr>
      </w:pPr>
      <w:r/>
      <w:bookmarkStart w:id="47" w:name="_Toc295"/>
      <w:r/>
      <w:bookmarkStart w:id="48" w:name="_Toc1970"/>
      <w:r/>
      <w:bookmarkStart w:id="49" w:name="_Toc29254"/>
      <w:r>
        <w:rPr>
          <w:rFonts w:hint="eastAsia" w:ascii="宋体" w:hAnsi="宋体" w:cs="宋体"/>
          <w:color w:val="auto"/>
          <w:highlight w:val="none"/>
        </w:rPr>
        <w:t xml:space="preserve">一．总则</w:t>
      </w:r>
      <w:bookmarkEnd w:id="47"/>
      <w:r/>
      <w:bookmarkEnd w:id="48"/>
      <w:r/>
      <w:bookmarkEnd w:id="49"/>
      <w:r/>
      <w:r/>
    </w:p>
    <w:p>
      <w:pPr>
        <w:pStyle w:val="938"/>
        <w:ind w:left="0" w:right="210"/>
        <w:spacing w:line="360" w:lineRule="auto"/>
        <w:rPr>
          <w:rFonts w:ascii="宋体" w:hAnsi="宋体" w:cs="宋体"/>
          <w:color w:val="auto"/>
          <w:highlight w:val="none"/>
        </w:rPr>
      </w:pPr>
      <w:r/>
      <w:bookmarkStart w:id="50" w:name="_Toc28129"/>
      <w:r/>
      <w:bookmarkStart w:id="51" w:name="_Toc30287"/>
      <w:r/>
      <w:bookmarkStart w:id="52" w:name="_Toc26789"/>
      <w:r>
        <w:rPr>
          <w:rFonts w:hint="eastAsia" w:ascii="宋体" w:hAnsi="宋体" w:cs="宋体"/>
          <w:color w:val="auto"/>
          <w:highlight w:val="none"/>
        </w:rPr>
        <w:t xml:space="preserve">1.采购方式</w:t>
      </w:r>
      <w:bookmarkEnd w:id="50"/>
      <w:r/>
      <w:bookmarkEnd w:id="51"/>
      <w:r/>
      <w:bookmarkEnd w:id="52"/>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highlight w:val="none"/>
        </w:rPr>
        <w:t xml:space="preserve"> </w:t>
      </w:r>
      <w:r>
        <w:rPr>
          <w:rFonts w:hint="eastAsia" w:ascii="宋体" w:hAnsi="宋体" w:cs="宋体"/>
          <w:color w:val="auto"/>
          <w:szCs w:val="21"/>
          <w:highlight w:val="none"/>
        </w:rPr>
        <w:t xml:space="preserve">本次采购采取竞争性磋商采购方式，本磋商文件仅适用于竞争性磋商公告中所述项目。</w:t>
      </w:r>
      <w:r/>
    </w:p>
    <w:p>
      <w:pPr>
        <w:pStyle w:val="938"/>
        <w:ind w:left="0" w:right="210"/>
        <w:spacing w:line="360" w:lineRule="auto"/>
        <w:rPr>
          <w:rFonts w:ascii="宋体" w:hAnsi="宋体" w:cs="宋体"/>
          <w:color w:val="auto"/>
          <w:highlight w:val="none"/>
        </w:rPr>
      </w:pPr>
      <w:r/>
      <w:bookmarkStart w:id="53" w:name="_Toc14888"/>
      <w:r/>
      <w:bookmarkStart w:id="54" w:name="_Toc26495"/>
      <w:r/>
      <w:bookmarkStart w:id="55" w:name="_Toc21532"/>
      <w:r>
        <w:rPr>
          <w:rFonts w:hint="eastAsia" w:ascii="宋体" w:hAnsi="宋体" w:cs="宋体"/>
          <w:color w:val="auto"/>
          <w:highlight w:val="none"/>
        </w:rPr>
        <w:t xml:space="preserve">2.定义</w:t>
      </w:r>
      <w:bookmarkEnd w:id="53"/>
      <w:r/>
      <w:bookmarkEnd w:id="54"/>
      <w:r/>
      <w:bookmarkEnd w:id="55"/>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成交供应商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是指在响应过程中获得采购项目合同签订资格的供应商。成交供应商是由专家经过评审后推荐并经采购人确认的。</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“评审专家”</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938"/>
        <w:ind w:left="0" w:right="210"/>
        <w:spacing w:line="360" w:lineRule="auto"/>
        <w:rPr>
          <w:rFonts w:ascii="宋体" w:hAnsi="宋体" w:cs="宋体"/>
          <w:color w:val="auto"/>
          <w:highlight w:val="none"/>
        </w:rPr>
      </w:pPr>
      <w:r/>
      <w:bookmarkStart w:id="56" w:name="_Toc2256"/>
      <w:r/>
      <w:bookmarkStart w:id="57" w:name="_Toc14013"/>
      <w:r/>
      <w:bookmarkStart w:id="58" w:name="_Toc14540"/>
      <w:r>
        <w:rPr>
          <w:rFonts w:hint="eastAsia" w:ascii="宋体" w:hAnsi="宋体" w:cs="宋体"/>
          <w:color w:val="auto"/>
          <w:highlight w:val="none"/>
        </w:rPr>
        <w:t xml:space="preserve">3.适用法律</w:t>
      </w:r>
      <w:bookmarkEnd w:id="56"/>
      <w:r/>
      <w:bookmarkEnd w:id="57"/>
      <w:r/>
      <w:bookmarkEnd w:id="58"/>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938"/>
        <w:ind w:left="0" w:right="210"/>
        <w:spacing w:line="360" w:lineRule="auto"/>
        <w:rPr>
          <w:rFonts w:ascii="宋体" w:hAnsi="宋体" w:cs="宋体"/>
          <w:color w:val="auto"/>
          <w:highlight w:val="none"/>
        </w:rPr>
      </w:pPr>
      <w:r/>
      <w:bookmarkStart w:id="59" w:name="_Toc11931"/>
      <w:r/>
      <w:bookmarkStart w:id="60" w:name="_Toc181"/>
      <w:r/>
      <w:bookmarkStart w:id="61" w:name="_Toc637"/>
      <w:r>
        <w:rPr>
          <w:rFonts w:hint="eastAsia" w:ascii="宋体" w:hAnsi="宋体" w:cs="宋体"/>
          <w:color w:val="auto"/>
          <w:highlight w:val="none"/>
        </w:rPr>
        <w:t xml:space="preserve">4.政府采购政策（包括但不限于下列具体政策要求）</w:t>
      </w:r>
      <w:bookmarkEnd w:id="59"/>
      <w:r/>
      <w:bookmarkEnd w:id="60"/>
      <w:r/>
      <w:bookmarkEnd w:id="61"/>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4.1.1.1中小企业是指在中华人民共和国境内依法设立，依据国务院批准的中小企业划分标准确定的中型企</w:t>
      </w:r>
      <w:r>
        <w:rPr>
          <w:rFonts w:hint="eastAsia" w:ascii="宋体" w:hAnsi="宋体" w:cs="宋体"/>
          <w:color w:val="auto"/>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4.1.4小微企业价格评审优惠的政策调整：见第五章《评审方法与评审标准》（如涉及）。</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56" w:line="360" w:lineRule="auto"/>
        <w:rPr>
          <w:rFonts w:ascii="宋体" w:hAnsi="宋体" w:cs="宋体"/>
          <w:b/>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w:t>
      </w:r>
      <w:r>
        <w:rPr>
          <w:rFonts w:hint="eastAsia" w:ascii="宋体" w:hAnsi="宋体" w:cs="宋体"/>
          <w:b/>
          <w:color w:val="auto"/>
          <w:szCs w:val="21"/>
          <w:highlight w:val="none"/>
        </w:rPr>
        <w:t xml:space="preserve">优先采购的具体规定见第五章《评审方法与评审标准》（如涉及）。</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4.3未按上述要求提供相关材料的，不享受相关政策。</w:t>
      </w:r>
      <w:r/>
    </w:p>
    <w:p>
      <w:pPr>
        <w:pStyle w:val="938"/>
        <w:ind w:left="0" w:right="210"/>
        <w:spacing w:line="360" w:lineRule="auto"/>
        <w:rPr>
          <w:rFonts w:ascii="宋体" w:hAnsi="宋体" w:cs="宋体"/>
          <w:color w:val="auto"/>
          <w:highlight w:val="none"/>
        </w:rPr>
      </w:pPr>
      <w:r/>
      <w:bookmarkStart w:id="62" w:name="_Toc10257"/>
      <w:r/>
      <w:bookmarkStart w:id="63" w:name="_Toc30679"/>
      <w:r/>
      <w:bookmarkStart w:id="64" w:name="_Toc13814"/>
      <w:r>
        <w:rPr>
          <w:rFonts w:hint="eastAsia" w:ascii="宋体" w:hAnsi="宋体" w:cs="宋体"/>
          <w:color w:val="auto"/>
          <w:highlight w:val="none"/>
        </w:rPr>
        <w:t xml:space="preserve">5.相关费用</w:t>
      </w:r>
      <w:bookmarkEnd w:id="62"/>
      <w:r/>
      <w:bookmarkEnd w:id="63"/>
      <w:r/>
      <w:bookmarkEnd w:id="64"/>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5.1参加磋商活动的供应商应自行承担所有与参加磋商有关的费用。</w:t>
      </w:r>
      <w:r/>
    </w:p>
    <w:p>
      <w:pPr>
        <w:pStyle w:val="938"/>
        <w:ind w:left="0" w:right="210"/>
        <w:spacing w:line="360" w:lineRule="auto"/>
        <w:rPr>
          <w:rFonts w:ascii="宋体" w:hAnsi="宋体" w:cs="宋体"/>
          <w:color w:val="auto"/>
          <w:highlight w:val="none"/>
        </w:rPr>
      </w:pPr>
      <w:r/>
      <w:bookmarkStart w:id="65" w:name="_Toc5827"/>
      <w:r/>
      <w:bookmarkStart w:id="66" w:name="_Toc15630"/>
      <w:r/>
      <w:bookmarkStart w:id="67" w:name="_Toc10334"/>
      <w:r>
        <w:rPr>
          <w:rFonts w:hint="eastAsia" w:ascii="宋体" w:hAnsi="宋体" w:cs="宋体"/>
          <w:color w:val="auto"/>
          <w:highlight w:val="none"/>
        </w:rPr>
        <w:t xml:space="preserve">6.保密</w:t>
      </w:r>
      <w:bookmarkEnd w:id="65"/>
      <w:r/>
      <w:bookmarkEnd w:id="66"/>
      <w:r/>
      <w:bookmarkEnd w:id="67"/>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938"/>
        <w:ind w:left="0" w:right="210"/>
        <w:spacing w:line="360" w:lineRule="auto"/>
        <w:rPr>
          <w:rFonts w:ascii="宋体" w:hAnsi="宋体" w:cs="宋体"/>
          <w:color w:val="auto"/>
          <w:highlight w:val="none"/>
        </w:rPr>
      </w:pPr>
      <w:r/>
      <w:bookmarkStart w:id="68" w:name="_Toc8106"/>
      <w:r/>
      <w:bookmarkStart w:id="69" w:name="_Toc25272"/>
      <w:r/>
      <w:bookmarkStart w:id="70" w:name="_Toc986"/>
      <w:r>
        <w:rPr>
          <w:rFonts w:hint="eastAsia" w:ascii="宋体" w:hAnsi="宋体" w:cs="宋体"/>
          <w:color w:val="auto"/>
          <w:highlight w:val="none"/>
        </w:rPr>
        <w:t xml:space="preserve">7.语言文字、计量单位</w:t>
      </w:r>
      <w:bookmarkEnd w:id="68"/>
      <w:r/>
      <w:bookmarkEnd w:id="69"/>
      <w:r/>
      <w:bookmarkEnd w:id="70"/>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7.1所有文件使用的语言文字为中文。相关当事人提供外文书证或者外国语视听资料的，应当附有中文译本，由翻译机构盖章或者翻译人员签名。</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7.2所有文件中的计量单位，除磋商文件有特殊要求外，应采用国家法定计量单位。</w:t>
      </w:r>
      <w:r/>
    </w:p>
    <w:p>
      <w:pPr>
        <w:pStyle w:val="938"/>
        <w:ind w:left="0" w:right="210"/>
        <w:spacing w:line="360" w:lineRule="auto"/>
        <w:rPr>
          <w:rFonts w:ascii="宋体" w:hAnsi="宋体" w:cs="宋体"/>
          <w:color w:val="auto"/>
          <w:highlight w:val="none"/>
        </w:rPr>
      </w:pPr>
      <w:r/>
      <w:bookmarkStart w:id="71" w:name="_Toc6487"/>
      <w:r/>
      <w:bookmarkStart w:id="72" w:name="_Toc22123"/>
      <w:r/>
      <w:bookmarkStart w:id="73" w:name="_Toc9112"/>
      <w:r>
        <w:rPr>
          <w:rFonts w:hint="eastAsia" w:ascii="宋体" w:hAnsi="宋体" w:cs="宋体"/>
          <w:color w:val="auto"/>
          <w:highlight w:val="none"/>
        </w:rPr>
        <w:t xml:space="preserve">8.现场考察</w:t>
      </w:r>
      <w:bookmarkEnd w:id="71"/>
      <w:r/>
      <w:bookmarkEnd w:id="72"/>
      <w:r/>
      <w:bookmarkEnd w:id="73"/>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规定的时间、地点参加踏勘，以获得有关编制响应文件和签署合同所涉及现场的资料。供应商承担现场考察所发生的自身费用、责任和风险。</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参加项目现场考察的，视同放弃现场考察，采购方将不再另行组织现场考察。以此为由，影响后期响应文件相关的磋商、签约、履约条件的，是供应商自身的风险，采购方对此不承担责任。</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8.3除非有特殊要求，磋商文件不提供项目所在地的自然环境、气候条件、公用设施等情况，供应商被视为熟悉上述与履行合同有关的一切情况。</w:t>
      </w:r>
      <w:r/>
    </w:p>
    <w:p>
      <w:pPr>
        <w:pStyle w:val="938"/>
        <w:ind w:left="0" w:right="210"/>
        <w:spacing w:line="360" w:lineRule="auto"/>
        <w:rPr>
          <w:rFonts w:ascii="宋体" w:hAnsi="宋体" w:cs="宋体"/>
          <w:color w:val="auto"/>
          <w:highlight w:val="none"/>
        </w:rPr>
      </w:pPr>
      <w:r/>
      <w:bookmarkStart w:id="74" w:name="_Toc27054"/>
      <w:r/>
      <w:bookmarkStart w:id="75" w:name="_Toc21996"/>
      <w:r/>
      <w:bookmarkStart w:id="76" w:name="_Toc941"/>
      <w:r>
        <w:rPr>
          <w:rFonts w:hint="eastAsia" w:ascii="宋体" w:hAnsi="宋体" w:cs="宋体"/>
          <w:color w:val="auto"/>
          <w:highlight w:val="none"/>
        </w:rPr>
        <w:t xml:space="preserve">9.磋商前答疑会</w:t>
      </w:r>
      <w:bookmarkEnd w:id="74"/>
      <w:r/>
      <w:bookmarkEnd w:id="75"/>
      <w:r/>
      <w:bookmarkEnd w:id="76"/>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规定召开磋商前答疑会的，采购方按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规定的时间和地点召开磋商前答疑会，澄清供应商提出的询问。</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938"/>
        <w:ind w:left="0" w:right="210"/>
        <w:spacing w:line="360" w:lineRule="auto"/>
        <w:rPr>
          <w:rFonts w:ascii="宋体" w:hAnsi="宋体" w:cs="宋体"/>
          <w:color w:val="auto"/>
          <w:highlight w:val="none"/>
        </w:rPr>
      </w:pPr>
      <w:r/>
      <w:bookmarkStart w:id="77" w:name="_Toc30343"/>
      <w:r/>
      <w:bookmarkStart w:id="78" w:name="_Toc6899"/>
      <w:r/>
      <w:bookmarkStart w:id="79" w:name="_Toc20739"/>
      <w:r>
        <w:rPr>
          <w:rFonts w:hint="eastAsia" w:ascii="宋体" w:hAnsi="宋体" w:cs="宋体"/>
          <w:color w:val="auto"/>
          <w:szCs w:val="21"/>
          <w:highlight w:val="none"/>
        </w:rPr>
        <w:t xml:space="preserve">10.联合体响应</w:t>
      </w:r>
      <w:bookmarkEnd w:id="77"/>
      <w:r/>
      <w:bookmarkEnd w:id="78"/>
      <w:r/>
      <w:bookmarkEnd w:id="79"/>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（4）以联合体形式参加政府采购活动的，联合体各方不得再单独参加或者与其他供应商另外组成联合体参加同一合同项下的政府采购活动。</w:t>
      </w:r>
      <w:r/>
    </w:p>
    <w:p>
      <w:pPr>
        <w:pStyle w:val="938"/>
        <w:ind w:left="0" w:right="210"/>
        <w:spacing w:line="360" w:lineRule="auto"/>
        <w:rPr>
          <w:rFonts w:ascii="宋体" w:hAnsi="宋体" w:cs="宋体"/>
          <w:color w:val="auto"/>
          <w:highlight w:val="none"/>
        </w:rPr>
      </w:pPr>
      <w:r/>
      <w:bookmarkStart w:id="80" w:name="_Toc27297"/>
      <w:r/>
      <w:bookmarkStart w:id="81" w:name="_Toc25147"/>
      <w:r/>
      <w:bookmarkStart w:id="82" w:name="_Toc19615"/>
      <w:r>
        <w:rPr>
          <w:rFonts w:hint="eastAsia" w:ascii="宋体" w:hAnsi="宋体" w:cs="宋体"/>
          <w:color w:val="auto"/>
          <w:highlight w:val="none"/>
        </w:rPr>
        <w:t xml:space="preserve">11.分包</w:t>
      </w:r>
      <w:bookmarkEnd w:id="80"/>
      <w:r/>
      <w:bookmarkEnd w:id="81"/>
      <w:r/>
      <w:bookmarkEnd w:id="82"/>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11.1采购人允许采用分包方式履行合同的，成交供应商可以依法在成交后将成交项目的非主体、非关键性工作采取分包方式履行合同。本项目的非主体、非关键性工作是否允许分包，见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938"/>
        <w:ind w:left="0" w:right="210"/>
        <w:spacing w:line="360" w:lineRule="auto"/>
        <w:rPr>
          <w:rFonts w:ascii="宋体" w:hAnsi="宋体" w:cs="宋体"/>
          <w:color w:val="auto"/>
          <w:highlight w:val="none"/>
        </w:rPr>
      </w:pPr>
      <w:r/>
      <w:bookmarkStart w:id="83" w:name="_Toc17958"/>
      <w:r/>
      <w:bookmarkStart w:id="84" w:name="_Toc30024"/>
      <w:r/>
      <w:bookmarkStart w:id="85" w:name="_Toc22150"/>
      <w:r>
        <w:rPr>
          <w:rFonts w:hint="eastAsia" w:ascii="宋体" w:hAnsi="宋体" w:cs="宋体"/>
          <w:color w:val="auto"/>
          <w:highlight w:val="none"/>
        </w:rPr>
        <w:t xml:space="preserve">12.样品</w:t>
      </w:r>
      <w:bookmarkEnd w:id="83"/>
      <w:r/>
      <w:bookmarkEnd w:id="84"/>
      <w:r/>
      <w:bookmarkEnd w:id="85"/>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12.2样品的评审方法以及评审标准等内容见第五章《评审方法与评审标准》。</w:t>
      </w:r>
      <w:r/>
    </w:p>
    <w:p>
      <w:pPr>
        <w:pStyle w:val="938"/>
        <w:ind w:left="0" w:right="210"/>
        <w:spacing w:line="360" w:lineRule="auto"/>
        <w:rPr>
          <w:rFonts w:ascii="宋体" w:hAnsi="宋体" w:cs="宋体"/>
          <w:color w:val="auto"/>
          <w:highlight w:val="none"/>
        </w:rPr>
      </w:pPr>
      <w:r/>
      <w:bookmarkStart w:id="86" w:name="_Toc3821"/>
      <w:r/>
      <w:bookmarkStart w:id="87" w:name="_Toc21218"/>
      <w:r/>
      <w:bookmarkStart w:id="88" w:name="_Toc7279"/>
      <w:r>
        <w:rPr>
          <w:rFonts w:hint="eastAsia" w:ascii="宋体" w:hAnsi="宋体" w:cs="宋体"/>
          <w:color w:val="auto"/>
          <w:highlight w:val="none"/>
        </w:rPr>
        <w:t xml:space="preserve">13.采购进口产品</w:t>
      </w:r>
      <w:bookmarkEnd w:id="86"/>
      <w:r/>
      <w:bookmarkEnd w:id="87"/>
      <w:r/>
      <w:bookmarkEnd w:id="88"/>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38"/>
        <w:ind w:left="0" w:right="210"/>
        <w:spacing w:line="360" w:lineRule="auto"/>
        <w:rPr>
          <w:rFonts w:ascii="宋体" w:hAnsi="宋体" w:cs="宋体"/>
          <w:color w:val="auto"/>
          <w:highlight w:val="none"/>
        </w:rPr>
      </w:pPr>
      <w:r/>
      <w:bookmarkStart w:id="89" w:name="_Toc16775"/>
      <w:r/>
      <w:bookmarkStart w:id="90" w:name="_Toc25906"/>
      <w:r/>
      <w:bookmarkStart w:id="91" w:name="_Toc18269"/>
      <w:r>
        <w:rPr>
          <w:rFonts w:hint="eastAsia" w:ascii="宋体" w:hAnsi="宋体" w:cs="宋体"/>
          <w:color w:val="auto"/>
          <w:highlight w:val="none"/>
        </w:rPr>
        <w:t xml:space="preserve">14.采购项目预算及最高限价</w:t>
      </w:r>
      <w:bookmarkEnd w:id="89"/>
      <w:r/>
      <w:bookmarkEnd w:id="90"/>
      <w:r/>
      <w:bookmarkEnd w:id="91"/>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38"/>
        <w:ind w:left="0" w:right="210"/>
        <w:spacing w:line="360" w:lineRule="auto"/>
        <w:rPr>
          <w:rFonts w:ascii="宋体" w:hAnsi="宋体" w:cs="宋体"/>
          <w:color w:val="auto"/>
          <w:highlight w:val="none"/>
        </w:rPr>
      </w:pPr>
      <w:r/>
      <w:bookmarkStart w:id="92" w:name="_Toc15409"/>
      <w:r/>
      <w:bookmarkStart w:id="93" w:name="_Toc7813"/>
      <w:r/>
      <w:bookmarkStart w:id="94" w:name="_Toc17478"/>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 xml:space="preserve">资格条件</w:t>
      </w:r>
      <w:bookmarkEnd w:id="92"/>
      <w:r/>
      <w:bookmarkEnd w:id="93"/>
      <w:r/>
      <w:bookmarkEnd w:id="94"/>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38"/>
        <w:ind w:left="0" w:right="210"/>
        <w:spacing w:line="360" w:lineRule="auto"/>
        <w:rPr>
          <w:rFonts w:ascii="宋体" w:hAnsi="宋体" w:cs="宋体"/>
          <w:color w:val="auto"/>
          <w:highlight w:val="none"/>
        </w:rPr>
      </w:pPr>
      <w:r/>
      <w:bookmarkStart w:id="95" w:name="_Toc8601"/>
      <w:r/>
      <w:bookmarkStart w:id="96" w:name="_Toc14686"/>
      <w:r/>
      <w:bookmarkStart w:id="97" w:name="_Toc5211"/>
      <w:r>
        <w:rPr>
          <w:rFonts w:hint="eastAsia" w:ascii="宋体" w:hAnsi="宋体" w:cs="宋体"/>
          <w:color w:val="auto"/>
          <w:highlight w:val="none"/>
        </w:rPr>
        <w:t xml:space="preserve">二．磋商文件</w:t>
      </w:r>
      <w:bookmarkEnd w:id="95"/>
      <w:r/>
      <w:bookmarkEnd w:id="96"/>
      <w:r/>
      <w:bookmarkEnd w:id="97"/>
      <w:r/>
      <w:r/>
    </w:p>
    <w:p>
      <w:pPr>
        <w:pStyle w:val="938"/>
        <w:ind w:left="0" w:right="210"/>
        <w:spacing w:line="360" w:lineRule="auto"/>
        <w:rPr>
          <w:rFonts w:ascii="宋体" w:hAnsi="宋体" w:cs="宋体"/>
          <w:color w:val="auto"/>
          <w:highlight w:val="none"/>
        </w:rPr>
      </w:pPr>
      <w:r/>
      <w:bookmarkStart w:id="98" w:name="_Toc13725"/>
      <w:r/>
      <w:bookmarkStart w:id="99" w:name="_Toc2776"/>
      <w:r/>
      <w:bookmarkStart w:id="100" w:name="_Toc10190"/>
      <w:r>
        <w:rPr>
          <w:rFonts w:hint="eastAsia" w:ascii="宋体" w:hAnsi="宋体" w:cs="宋体"/>
          <w:color w:val="auto"/>
          <w:highlight w:val="none"/>
        </w:rPr>
        <w:t xml:space="preserve">16.磋商文件的构成</w:t>
      </w:r>
      <w:bookmarkEnd w:id="98"/>
      <w:r/>
      <w:bookmarkEnd w:id="99"/>
      <w:r/>
      <w:bookmarkEnd w:id="100"/>
      <w:r/>
      <w:r/>
    </w:p>
    <w:p>
      <w:pPr>
        <w:pStyle w:val="1009"/>
        <w:ind w:firstLine="420"/>
        <w:rPr>
          <w:rFonts w:hAnsi="宋体" w:cs="宋体"/>
          <w:bCs/>
          <w:color w:val="auto"/>
          <w:sz w:val="21"/>
          <w:highlight w:val="none"/>
        </w:rPr>
      </w:pPr>
      <w:r>
        <w:rPr>
          <w:rFonts w:hint="eastAsia" w:hAnsi="宋体" w:cs="宋体"/>
          <w:bCs/>
          <w:color w:val="auto"/>
          <w:sz w:val="21"/>
          <w:highlight w:val="none"/>
        </w:rPr>
        <w:t xml:space="preserve">16.1磋商文件各章节的内容如下：</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第一章：竞争性磋商公告</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第二章：供应商须知</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第五章：评审方法与评审标准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第六章：响应文件格式</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对磋商文件所作的澄清、修改，构成磋商文件的组成部分。</w:t>
      </w:r>
      <w:r/>
    </w:p>
    <w:p>
      <w:pPr>
        <w:ind w:firstLine="422"/>
        <w:spacing w:before="156" w:line="360" w:lineRule="auto"/>
        <w:rPr>
          <w:rFonts w:ascii="宋体" w:hAnsi="宋体" w:cs="宋体"/>
          <w:color w:val="auto"/>
          <w:szCs w:val="21"/>
          <w:highlight w:val="none"/>
        </w:rPr>
      </w:pPr>
      <w:r>
        <w:rPr>
          <w:rFonts w:hint="eastAsia" w:ascii="宋体" w:hAnsi="宋体" w:cs="宋体"/>
          <w:b/>
          <w:color w:val="auto"/>
          <w:szCs w:val="21"/>
          <w:highlight w:val="none"/>
        </w:rPr>
        <w:t xml:space="preserve">★磋商文件成交注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16.2供应商应仔细阅读和检查磋商文件的全部内容。如发现磋商文件内容不全，应及时向采购方提出，以便补齐。</w:t>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按照磋商文件要求编制响应文件。任何对磋商文件的忽略或误解，不能作为响应文件存在缺陷或瑕疵的理由，其风险由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16.4本项目磋商文件如包括多个分包，则除非特别说明，磋商文件所列各项要求均为各分包通用要求。</w:t>
      </w:r>
      <w:r/>
    </w:p>
    <w:p>
      <w:pPr>
        <w:pStyle w:val="938"/>
        <w:ind w:left="0" w:right="210"/>
        <w:spacing w:line="360" w:lineRule="auto"/>
        <w:rPr>
          <w:rFonts w:ascii="宋体" w:hAnsi="宋体" w:cs="宋体"/>
          <w:color w:val="auto"/>
          <w:highlight w:val="none"/>
        </w:rPr>
      </w:pPr>
      <w:r/>
      <w:bookmarkStart w:id="101" w:name="_Toc32708"/>
      <w:r/>
      <w:bookmarkStart w:id="102" w:name="_Toc10006"/>
      <w:r/>
      <w:bookmarkStart w:id="103" w:name="_Toc8073"/>
      <w:r>
        <w:rPr>
          <w:rFonts w:hint="eastAsia" w:ascii="宋体" w:hAnsi="宋体" w:cs="宋体"/>
          <w:color w:val="auto"/>
          <w:highlight w:val="none"/>
        </w:rPr>
        <w:t xml:space="preserve">17.磋商文件的澄清或者修改</w:t>
      </w:r>
      <w:bookmarkEnd w:id="101"/>
      <w:r/>
      <w:bookmarkEnd w:id="102"/>
      <w:r/>
      <w:bookmarkEnd w:id="103"/>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938"/>
        <w:ind w:left="0" w:right="210"/>
        <w:spacing w:line="360" w:lineRule="auto"/>
        <w:rPr>
          <w:rFonts w:ascii="宋体" w:hAnsi="宋体" w:cs="宋体"/>
          <w:color w:val="auto"/>
          <w:highlight w:val="none"/>
        </w:rPr>
      </w:pPr>
      <w:r/>
      <w:bookmarkStart w:id="104" w:name="_Toc31787"/>
      <w:r/>
      <w:bookmarkStart w:id="105" w:name="_Toc10430"/>
      <w:r/>
      <w:bookmarkStart w:id="106" w:name="_Toc22473"/>
      <w:r>
        <w:rPr>
          <w:rFonts w:hint="eastAsia" w:ascii="宋体" w:hAnsi="宋体" w:cs="宋体"/>
          <w:color w:val="auto"/>
          <w:highlight w:val="none"/>
        </w:rPr>
        <w:t xml:space="preserve">三．响应文件</w:t>
      </w:r>
      <w:bookmarkEnd w:id="104"/>
      <w:r/>
      <w:bookmarkEnd w:id="105"/>
      <w:r/>
      <w:bookmarkEnd w:id="106"/>
      <w:r/>
      <w:r/>
    </w:p>
    <w:p>
      <w:pPr>
        <w:pStyle w:val="938"/>
        <w:ind w:left="0" w:right="210"/>
        <w:spacing w:line="360" w:lineRule="auto"/>
        <w:rPr>
          <w:rFonts w:ascii="宋体" w:hAnsi="宋体" w:cs="宋体"/>
          <w:color w:val="auto"/>
          <w:highlight w:val="none"/>
        </w:rPr>
      </w:pPr>
      <w:r/>
      <w:bookmarkStart w:id="107" w:name="_Toc21805"/>
      <w:r/>
      <w:bookmarkStart w:id="108" w:name="_Toc17582"/>
      <w:r/>
      <w:bookmarkStart w:id="109" w:name="_Toc2862"/>
      <w:r>
        <w:rPr>
          <w:rFonts w:hint="eastAsia" w:ascii="宋体" w:hAnsi="宋体" w:cs="宋体"/>
          <w:color w:val="auto"/>
          <w:highlight w:val="none"/>
        </w:rPr>
        <w:t xml:space="preserve">18.响应文件的组成</w:t>
      </w:r>
      <w:bookmarkEnd w:id="107"/>
      <w:r/>
      <w:bookmarkEnd w:id="108"/>
      <w:r/>
      <w:bookmarkEnd w:id="109"/>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18.1响应文件由价格及商务部分、技术部分以及其他部分组成，格式见磋商文件第六章《响应文件格式》。</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响应文件部分，包括但不限于下列文件：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初始报价</w:t>
      </w:r>
      <w:r>
        <w:rPr>
          <w:rFonts w:hint="eastAsia" w:ascii="宋体" w:hAnsi="宋体" w:cs="宋体"/>
          <w:color w:val="auto"/>
          <w:szCs w:val="21"/>
          <w:highlight w:val="none"/>
        </w:rPr>
        <w:t xml:space="preserve">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4-2</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分项报价</w:t>
      </w:r>
      <w:r>
        <w:rPr>
          <w:rFonts w:hint="eastAsia" w:ascii="宋体" w:hAnsi="宋体" w:cs="宋体"/>
          <w:color w:val="auto"/>
          <w:szCs w:val="21"/>
          <w:highlight w:val="none"/>
        </w:rPr>
        <w:t xml:space="preserve">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）商务条款偏离表，格式见附件。</w:t>
      </w:r>
      <w:r/>
    </w:p>
    <w:p>
      <w:pPr>
        <w:ind w:firstLine="315"/>
        <w:jc w:val="left"/>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-6）参加政府采购活动前三年内，在经营活动中没有重大违法记录，格式见附件。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6-7</w:t>
      </w:r>
      <w:r>
        <w:rPr>
          <w:rFonts w:hint="eastAsia" w:ascii="宋体" w:hAnsi="宋体" w:cs="宋体"/>
          <w:color w:val="auto"/>
          <w:szCs w:val="21"/>
          <w:highlight w:val="none"/>
          <w:lang w:eastAsia="zh-CN"/>
        </w:rPr>
        <w:t xml:space="preserve">）</w:t>
      </w:r>
      <w:r>
        <w:rPr>
          <w:rFonts w:hint="eastAsia" w:ascii="宋体" w:hAnsi="宋体" w:cs="宋体"/>
          <w:bCs w:val="0"/>
          <w:color w:val="auto"/>
          <w:sz w:val="21"/>
          <w:szCs w:val="21"/>
          <w:highlight w:val="none"/>
        </w:rPr>
        <w:t xml:space="preserve">无不良信用记录承诺函</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bCs w:val="0"/>
          <w:color w:val="auto"/>
          <w:sz w:val="21"/>
          <w:szCs w:val="21"/>
          <w:highlight w:val="none"/>
        </w:rPr>
        <w:t xml:space="preserve">磋商文件要求的其它实质性资格资信证明文件</w:t>
      </w:r>
      <w:r>
        <w:rPr>
          <w:rFonts w:hint="eastAsia" w:ascii="宋体" w:hAnsi="宋体" w:cs="宋体"/>
          <w:color w:val="auto"/>
          <w:szCs w:val="21"/>
          <w:highlight w:val="none"/>
        </w:rPr>
        <w:t xml:space="preserve">。</w:t>
      </w:r>
      <w:r/>
    </w:p>
    <w:p>
      <w:pPr>
        <w:ind w:firstLine="315"/>
        <w:jc w:val="left"/>
        <w:spacing w:line="360" w:lineRule="auto"/>
        <w:rPr>
          <w:rFonts w:hint="eastAsia"/>
          <w:color w:val="auto"/>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服务方案</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拟投入本项目人员一览表</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业绩一览表</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18.</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响应文件的其他部分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18.</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.1响应文件的其他部分由供应商根据编制响应文件需要提供的其他相关文件组成。</w:t>
      </w:r>
      <w:r/>
    </w:p>
    <w:p>
      <w:pPr>
        <w:pStyle w:val="938"/>
        <w:ind w:left="0" w:right="210"/>
        <w:spacing w:line="360" w:lineRule="auto"/>
        <w:rPr>
          <w:rFonts w:ascii="宋体" w:hAnsi="宋体" w:cs="宋体"/>
          <w:color w:val="auto"/>
          <w:szCs w:val="21"/>
          <w:highlight w:val="none"/>
        </w:rPr>
      </w:pPr>
      <w:r/>
      <w:bookmarkStart w:id="110" w:name="_Toc1106"/>
      <w:r/>
      <w:bookmarkStart w:id="111" w:name="_Toc4615"/>
      <w:r/>
      <w:bookmarkStart w:id="112" w:name="_Toc15349"/>
      <w:r>
        <w:rPr>
          <w:rFonts w:hint="eastAsia" w:ascii="宋体" w:hAnsi="宋体" w:cs="宋体"/>
          <w:color w:val="auto"/>
          <w:highlight w:val="none"/>
        </w:rPr>
        <w:t xml:space="preserve">19.响应文件编制的原则</w:t>
      </w:r>
      <w:bookmarkEnd w:id="110"/>
      <w:r/>
      <w:bookmarkEnd w:id="111"/>
      <w:r/>
      <w:bookmarkEnd w:id="112"/>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供应商应在认真阅读磋商文件所有内容的基础上，按照磋商文件的要求编制完整的响应文件。磋商文件中对响应文件格式有要求的，供应商应按格式逐项填写内容。</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供应商必须保证响应文件所提供的全部资料真实可靠。</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响应文件须对磋商文件中的内容做出实质性和完整的响应。</w:t>
      </w:r>
      <w:r/>
    </w:p>
    <w:p>
      <w:pPr>
        <w:pStyle w:val="938"/>
        <w:ind w:left="0" w:right="210"/>
        <w:spacing w:line="360" w:lineRule="auto"/>
        <w:rPr>
          <w:rFonts w:ascii="宋体" w:hAnsi="宋体" w:cs="宋体"/>
          <w:color w:val="auto"/>
          <w:szCs w:val="21"/>
          <w:highlight w:val="none"/>
        </w:rPr>
      </w:pPr>
      <w:r/>
      <w:bookmarkStart w:id="113" w:name="_Toc4305"/>
      <w:r/>
      <w:bookmarkStart w:id="114" w:name="_Toc26770"/>
      <w:r/>
      <w:bookmarkStart w:id="115" w:name="_Toc1558"/>
      <w:r>
        <w:rPr>
          <w:rFonts w:hint="eastAsia" w:ascii="宋体" w:hAnsi="宋体" w:cs="宋体"/>
          <w:color w:val="auto"/>
          <w:highlight w:val="none"/>
        </w:rPr>
        <w:t xml:space="preserve">20.报价</w:t>
      </w:r>
      <w:bookmarkEnd w:id="113"/>
      <w:r/>
      <w:bookmarkEnd w:id="114"/>
      <w:r/>
      <w:bookmarkEnd w:id="115"/>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20.1除非采购文件另有规定，</w:t>
      </w:r>
      <w:r>
        <w:rPr>
          <w:rFonts w:hint="eastAsia" w:ascii="宋体" w:hAnsi="宋体" w:cs="宋体"/>
          <w:color w:val="auto"/>
          <w:szCs w:val="21"/>
          <w:highlight w:val="none"/>
        </w:rPr>
        <w:t xml:space="preserve">所有响应均以人民币报价，应包括国家规定的增值税税金。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20.4</w:t>
      </w:r>
      <w:r>
        <w:rPr>
          <w:rFonts w:hint="eastAsia" w:ascii="宋体" w:hAnsi="宋体" w:cs="宋体"/>
          <w:color w:val="auto"/>
          <w:szCs w:val="21"/>
          <w:highlight w:val="none"/>
        </w:rPr>
        <w:t xml:space="preserve">供应商要按初始报价一览表的内容填写磋商报价及其它事项，并由法定代表人（单位负责人）或授权代表签署。</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报价的其他要求见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38"/>
        <w:ind w:left="0" w:right="210"/>
        <w:spacing w:line="360" w:lineRule="auto"/>
        <w:rPr>
          <w:rFonts w:ascii="宋体" w:hAnsi="宋体" w:cs="宋体"/>
          <w:color w:val="auto"/>
          <w:highlight w:val="none"/>
        </w:rPr>
      </w:pPr>
      <w:r/>
      <w:bookmarkStart w:id="116" w:name="_Toc17981"/>
      <w:r/>
      <w:bookmarkStart w:id="117" w:name="_Toc3333"/>
      <w:r/>
      <w:bookmarkStart w:id="118" w:name="_Toc20058"/>
      <w:r>
        <w:rPr>
          <w:rFonts w:hint="eastAsia" w:ascii="宋体" w:hAnsi="宋体" w:cs="宋体"/>
          <w:color w:val="auto"/>
          <w:highlight w:val="none"/>
        </w:rPr>
        <w:t xml:space="preserve">21.响应有效期</w:t>
      </w:r>
      <w:bookmarkEnd w:id="116"/>
      <w:r/>
      <w:bookmarkEnd w:id="117"/>
      <w:r/>
      <w:bookmarkEnd w:id="118"/>
      <w:r/>
      <w:r/>
    </w:p>
    <w:p>
      <w:pPr>
        <w:ind w:firstLine="422"/>
        <w:spacing w:before="156"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21.1响应有效期见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，在此期间响应文件对供应商具有法律约束力，以保证采购人有足够的时间完成评审、定标以及签订合同。响应有效期从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规定的响应截止之日起计算。</w:t>
      </w:r>
      <w:r>
        <w:rPr>
          <w:rFonts w:hint="eastAsia" w:ascii="宋体" w:hAnsi="宋体" w:cs="宋体"/>
          <w:b/>
          <w:bCs/>
          <w:color w:val="auto"/>
          <w:szCs w:val="21"/>
          <w:highlight w:val="none"/>
        </w:rPr>
        <w:t xml:space="preserve">响应有效期不足的，在评审时将其视为无效响应。</w:t>
      </w:r>
      <w:r/>
    </w:p>
    <w:p>
      <w:pPr>
        <w:pStyle w:val="938"/>
        <w:ind w:left="0" w:right="210"/>
        <w:spacing w:line="360" w:lineRule="auto"/>
        <w:rPr>
          <w:rFonts w:ascii="宋体" w:hAnsi="宋体" w:cs="宋体"/>
          <w:color w:val="auto"/>
          <w:highlight w:val="none"/>
        </w:rPr>
      </w:pPr>
      <w:r/>
      <w:bookmarkStart w:id="119" w:name="_Toc26133"/>
      <w:r/>
      <w:bookmarkStart w:id="120" w:name="_Toc29226"/>
      <w:r/>
      <w:bookmarkStart w:id="121" w:name="_Toc19539"/>
      <w:r>
        <w:rPr>
          <w:rFonts w:hint="eastAsia" w:ascii="宋体" w:hAnsi="宋体" w:cs="宋体"/>
          <w:color w:val="auto"/>
          <w:highlight w:val="none"/>
        </w:rPr>
        <w:t xml:space="preserve">22.磋商保证金</w:t>
      </w:r>
      <w:bookmarkEnd w:id="119"/>
      <w:r/>
      <w:bookmarkEnd w:id="120"/>
      <w:r/>
      <w:bookmarkEnd w:id="121"/>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22.1本项目</w:t>
      </w:r>
      <w:r>
        <w:rPr>
          <w:rFonts w:hint="eastAsia" w:ascii="宋体" w:hAnsi="宋体" w:cs="宋体"/>
          <w:bCs/>
          <w:color w:val="auto"/>
          <w:szCs w:val="21"/>
          <w:highlight w:val="none"/>
          <w:lang w:val="en-US" w:eastAsia="zh-CN"/>
        </w:rPr>
        <w:t xml:space="preserve">无需</w:t>
      </w:r>
      <w:r>
        <w:rPr>
          <w:rFonts w:hint="eastAsia" w:ascii="宋体" w:hAnsi="宋体" w:cs="宋体"/>
          <w:bCs/>
          <w:color w:val="auto"/>
          <w:szCs w:val="21"/>
          <w:highlight w:val="none"/>
        </w:rPr>
        <w:t xml:space="preserve">交纳磋商保证金。</w:t>
      </w:r>
      <w:r/>
    </w:p>
    <w:p>
      <w:pPr>
        <w:pStyle w:val="938"/>
        <w:ind w:left="0" w:right="210"/>
        <w:spacing w:line="360" w:lineRule="auto"/>
        <w:rPr>
          <w:rFonts w:ascii="宋体" w:hAnsi="宋体" w:cs="宋体"/>
          <w:color w:val="auto"/>
          <w:highlight w:val="none"/>
        </w:rPr>
      </w:pPr>
      <w:r/>
      <w:bookmarkStart w:id="122" w:name="_Toc13063"/>
      <w:r/>
      <w:bookmarkStart w:id="123" w:name="_Toc11734"/>
      <w:r/>
      <w:bookmarkStart w:id="124" w:name="_Toc3009"/>
      <w:r>
        <w:rPr>
          <w:rFonts w:hint="eastAsia" w:ascii="宋体" w:hAnsi="宋体" w:cs="宋体"/>
          <w:color w:val="auto"/>
          <w:highlight w:val="none"/>
        </w:rPr>
        <w:t xml:space="preserve">23.响应文件的制作和签署</w:t>
      </w:r>
      <w:bookmarkEnd w:id="122"/>
      <w:r/>
      <w:bookmarkEnd w:id="123"/>
      <w:r/>
      <w:bookmarkEnd w:id="124"/>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23.1</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应当按照《操作手册》规定，在</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lang w:val="zh-CN"/>
        </w:rPr>
        <w:t xml:space="preserve">公告规定的投标截止时间前制作并上传电子投标文件。</w:t>
      </w:r>
      <w:bookmarkStart w:id="125" w:name="_Toc20823298"/>
      <w:r/>
      <w:bookmarkEnd w:id="125"/>
      <w:r/>
      <w:bookmarkStart w:id="126" w:name="_Toc16938542"/>
      <w:r/>
      <w:bookmarkEnd w:id="126"/>
      <w:r/>
      <w:bookmarkStart w:id="127" w:name="_Toc513029226"/>
      <w:r/>
      <w:bookmarkEnd w:id="127"/>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应充分考虑网络环境、网络带宽等因素</w:t>
      </w:r>
      <w:r>
        <w:rPr>
          <w:rFonts w:hint="eastAsia" w:ascii="宋体" w:hAnsi="宋体" w:eastAsia="宋体" w:cs="宋体"/>
          <w:color w:val="auto"/>
          <w:szCs w:val="21"/>
          <w:highlight w:val="none"/>
        </w:rPr>
        <w:t xml:space="preserve">可能对投标产生的影响</w:t>
      </w:r>
      <w:r>
        <w:rPr>
          <w:rFonts w:hint="eastAsia" w:ascii="宋体" w:hAnsi="宋体" w:eastAsia="宋体" w:cs="宋体"/>
          <w:color w:val="auto"/>
          <w:szCs w:val="21"/>
          <w:highlight w:val="none"/>
          <w:lang w:val="zh-CN"/>
        </w:rPr>
        <w:t xml:space="preserve">，如因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自身原因造成的电子投标文件上传不成功的，按无效投标处理。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lang w:val="zh-CN"/>
        </w:rPr>
        <w:t xml:space="preserve">可以按照规定，通过修改</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lang w:val="zh-CN"/>
        </w:rPr>
        <w:t xml:space="preserve">文件酌情延长投标截止时间，在此情况下，</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的所有权利和义务均以延长后新的截止时间为准</w:t>
      </w:r>
      <w:r>
        <w:rPr>
          <w:rFonts w:hint="eastAsia" w:ascii="宋体" w:hAnsi="宋体" w:eastAsia="宋体" w:cs="宋体"/>
          <w:color w:val="auto"/>
          <w:szCs w:val="21"/>
          <w:highlight w:val="none"/>
        </w:rPr>
        <w:t xml:space="preserve">。</w:t>
      </w:r>
      <w:r/>
    </w:p>
    <w:p>
      <w:pPr>
        <w:pStyle w:val="938"/>
        <w:ind w:left="0" w:right="210"/>
        <w:spacing w:line="360" w:lineRule="auto"/>
        <w:rPr>
          <w:rFonts w:ascii="宋体" w:hAnsi="宋体" w:cs="宋体"/>
          <w:color w:val="auto"/>
          <w:highlight w:val="none"/>
        </w:rPr>
      </w:pPr>
      <w:r/>
      <w:bookmarkStart w:id="128" w:name="_Toc14707"/>
      <w:r/>
      <w:bookmarkStart w:id="129" w:name="_Toc10288"/>
      <w:r/>
      <w:bookmarkStart w:id="130" w:name="_Toc22741"/>
      <w:r>
        <w:rPr>
          <w:rFonts w:hint="eastAsia" w:ascii="宋体" w:hAnsi="宋体" w:cs="宋体"/>
          <w:color w:val="auto"/>
          <w:highlight w:val="none"/>
        </w:rPr>
        <w:t xml:space="preserve">四．响应文件的提交</w:t>
      </w:r>
      <w:bookmarkEnd w:id="128"/>
      <w:r/>
      <w:bookmarkEnd w:id="129"/>
      <w:r/>
      <w:bookmarkEnd w:id="130"/>
      <w:r/>
      <w:r/>
    </w:p>
    <w:p>
      <w:pPr>
        <w:pStyle w:val="938"/>
        <w:ind w:left="0" w:right="210"/>
        <w:spacing w:line="360" w:lineRule="auto"/>
        <w:rPr>
          <w:rFonts w:hint="eastAsia" w:ascii="宋体" w:hAnsi="宋体" w:eastAsia="宋体" w:cs="宋体"/>
          <w:color w:val="auto"/>
          <w:highlight w:val="none"/>
          <w:lang w:val="en-US" w:eastAsia="zh-CN"/>
        </w:rPr>
      </w:pPr>
      <w:r/>
      <w:bookmarkStart w:id="131" w:name="_Toc32473"/>
      <w:r/>
      <w:bookmarkStart w:id="132" w:name="_Toc20583"/>
      <w:r/>
      <w:bookmarkStart w:id="133" w:name="_Toc1337"/>
      <w:r>
        <w:rPr>
          <w:rFonts w:hint="eastAsia" w:ascii="宋体" w:hAnsi="宋体" w:cs="宋体"/>
          <w:color w:val="auto"/>
          <w:highlight w:val="none"/>
        </w:rPr>
        <w:t xml:space="preserve">24.响应文件的</w:t>
      </w:r>
      <w:r>
        <w:rPr>
          <w:rFonts w:hint="eastAsia" w:ascii="宋体" w:hAnsi="宋体" w:cs="宋体"/>
          <w:color w:val="auto"/>
          <w:highlight w:val="none"/>
          <w:lang w:val="en-US" w:eastAsia="zh-CN"/>
        </w:rPr>
        <w:t xml:space="preserve">递交</w:t>
      </w:r>
      <w:bookmarkEnd w:id="131"/>
      <w:r/>
      <w:bookmarkEnd w:id="132"/>
      <w:r/>
      <w:bookmarkEnd w:id="133"/>
      <w:r/>
      <w:r/>
    </w:p>
    <w:p>
      <w:pPr>
        <w:ind w:firstLine="420"/>
        <w:spacing w:before="156"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24</w:t>
      </w:r>
      <w:r>
        <w:rPr>
          <w:rFonts w:hint="eastAsia" w:ascii="宋体" w:hAnsi="宋体" w:eastAsia="宋体" w:cs="宋体"/>
          <w:color w:val="auto"/>
          <w:szCs w:val="21"/>
          <w:highlight w:val="none"/>
          <w:lang w:val="zh-CN" w:eastAsia="zh-CN"/>
        </w:rPr>
        <w:t xml:space="preserve">.1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eastAsia="zh-CN"/>
        </w:rPr>
        <w:t xml:space="preserve">投标截止时间后上传的任何投标文件将被拒绝。</w:t>
      </w:r>
      <w:r/>
    </w:p>
    <w:p>
      <w:pPr>
        <w:pStyle w:val="938"/>
        <w:ind w:left="0" w:right="210"/>
        <w:spacing w:line="360" w:lineRule="auto"/>
        <w:rPr>
          <w:rFonts w:hint="eastAsia" w:ascii="宋体" w:hAnsi="宋体" w:eastAsia="宋体" w:cs="宋体"/>
          <w:color w:val="auto"/>
          <w:highlight w:val="none"/>
          <w:lang w:eastAsia="zh-CN"/>
        </w:rPr>
      </w:pPr>
      <w:r/>
      <w:bookmarkStart w:id="134" w:name="_Toc20823300"/>
      <w:r/>
      <w:bookmarkStart w:id="135" w:name="_Toc29657"/>
      <w:r/>
      <w:bookmarkStart w:id="136" w:name="_Toc7006"/>
      <w:r/>
      <w:bookmarkStart w:id="137" w:name="_Toc513029228"/>
      <w:r/>
      <w:bookmarkStart w:id="138" w:name="_Toc16938544"/>
      <w:r/>
      <w:bookmarkStart w:id="139" w:name="_Toc19426"/>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lang w:eastAsia="zh-CN"/>
        </w:rPr>
        <w:t xml:space="preserve">.投标文件的撤回和修改</w:t>
      </w:r>
      <w:bookmarkEnd w:id="134"/>
      <w:r/>
      <w:bookmarkEnd w:id="135"/>
      <w:r/>
      <w:bookmarkEnd w:id="136"/>
      <w:r/>
      <w:bookmarkEnd w:id="137"/>
      <w:r/>
      <w:bookmarkEnd w:id="138"/>
      <w:r/>
      <w:bookmarkEnd w:id="139"/>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 投标文件的撤回</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.1.1</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可在投标截止时间前撤回其电子投标文件，具体操作方法见《操作手册》。</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.1.2</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撤回电子投标文件，则认为其不再参与本项目投标活动。</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 投标文件的修改</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.2.1</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投标人可在投标截止时间前对其电子投标文件进行修改，具体操作方法见《操作手册》。</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.2.2</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投标截止时间之后，投标人不得对其电子投标文件作任何修改。</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.3 在投标截止时间至招标文件中规定的投标有效期满之间的这段时间内，投标人不得撤回其投标。</w:t>
      </w:r>
      <w:bookmarkStart w:id="140" w:name="_Toc120614218"/>
      <w:r/>
      <w:bookmarkStart w:id="141" w:name="_Toc20823301"/>
      <w:r/>
      <w:bookmarkStart w:id="142" w:name="_Toc16938545"/>
      <w:r/>
      <w:bookmarkStart w:id="143" w:name="_Toc513029229"/>
      <w:r/>
      <w:r/>
    </w:p>
    <w:p>
      <w:pPr>
        <w:pStyle w:val="938"/>
        <w:ind w:left="0" w:right="210"/>
        <w:spacing w:line="360" w:lineRule="auto"/>
        <w:rPr>
          <w:rFonts w:hint="eastAsia" w:ascii="宋体" w:hAnsi="宋体" w:eastAsia="宋体" w:cs="宋体"/>
          <w:color w:val="auto"/>
          <w:highlight w:val="none"/>
        </w:rPr>
      </w:pPr>
      <w:r/>
      <w:bookmarkStart w:id="144" w:name="_Toc23471"/>
      <w:r/>
      <w:bookmarkStart w:id="145" w:name="_Toc17518"/>
      <w:r/>
      <w:bookmarkStart w:id="146" w:name="_Toc19273"/>
      <w:r>
        <w:rPr>
          <w:rFonts w:hint="eastAsia" w:ascii="宋体" w:hAnsi="宋体" w:eastAsia="宋体" w:cs="宋体"/>
          <w:color w:val="auto"/>
          <w:highlight w:val="none"/>
        </w:rPr>
        <w:t xml:space="preserve">五、</w:t>
      </w:r>
      <w:bookmarkEnd w:id="140"/>
      <w:r/>
      <w:bookmarkEnd w:id="141"/>
      <w:r/>
      <w:bookmarkEnd w:id="142"/>
      <w:r/>
      <w:bookmarkEnd w:id="143"/>
      <w:r>
        <w:rPr>
          <w:rFonts w:hint="eastAsia" w:ascii="宋体" w:hAnsi="宋体" w:eastAsia="宋体" w:cs="宋体"/>
          <w:color w:val="auto"/>
          <w:highlight w:val="none"/>
          <w:lang w:eastAsia="zh-CN"/>
        </w:rPr>
        <w:t xml:space="preserve">响应文件的解密与评审</w:t>
      </w:r>
      <w:bookmarkEnd w:id="144"/>
      <w:r/>
      <w:bookmarkEnd w:id="145"/>
      <w:r/>
      <w:bookmarkEnd w:id="146"/>
      <w:r/>
      <w:r/>
    </w:p>
    <w:p>
      <w:pPr>
        <w:pStyle w:val="938"/>
        <w:ind w:left="0" w:right="210"/>
        <w:spacing w:line="360" w:lineRule="auto"/>
        <w:rPr>
          <w:rFonts w:hint="eastAsia" w:ascii="宋体" w:hAnsi="宋体" w:eastAsia="宋体" w:cs="宋体"/>
          <w:color w:val="auto"/>
          <w:highlight w:val="none"/>
          <w:lang w:eastAsia="zh-CN"/>
        </w:rPr>
      </w:pPr>
      <w:r/>
      <w:bookmarkStart w:id="147" w:name="_Toc31323"/>
      <w:r/>
      <w:bookmarkStart w:id="148" w:name="_Toc7932"/>
      <w:r/>
      <w:bookmarkStart w:id="149" w:name="_Toc3699"/>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.响应文件解密</w:t>
      </w:r>
      <w:bookmarkEnd w:id="147"/>
      <w:r/>
      <w:bookmarkEnd w:id="148"/>
      <w:r/>
      <w:bookmarkEnd w:id="149"/>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 供应商应当按照《操作手册》规定，在苏采云系统规定的时间内对响应文件进行解密。</w:t>
      </w:r>
      <w:r/>
    </w:p>
    <w:p>
      <w:pPr>
        <w:pStyle w:val="938"/>
        <w:ind w:left="0" w:right="210"/>
        <w:spacing w:line="360" w:lineRule="auto"/>
        <w:rPr>
          <w:rFonts w:hint="eastAsia" w:ascii="宋体" w:hAnsi="宋体" w:eastAsia="宋体" w:cs="宋体"/>
          <w:color w:val="auto"/>
          <w:highlight w:val="none"/>
          <w:lang w:eastAsia="zh-CN"/>
        </w:rPr>
      </w:pPr>
      <w:r/>
      <w:bookmarkStart w:id="150" w:name="_Toc24027"/>
      <w:r/>
      <w:bookmarkStart w:id="151" w:name="_Toc30141"/>
      <w:r/>
      <w:bookmarkStart w:id="152" w:name="_Toc2486"/>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.磋商</w:t>
      </w:r>
      <w:bookmarkEnd w:id="150"/>
      <w:r/>
      <w:bookmarkEnd w:id="151"/>
      <w:r/>
      <w:bookmarkEnd w:id="152"/>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依法组建的磋商小组对响应文件进行评审。</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磋商小组由采购人代表和有关技术、经济或法律等方面的专家组成，且人员构成符合政府采购有关规定。</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 磋商小组独立工作，负责评审所有响应文件并推荐成交候选人，或根据采购人授权直接确定成交供应商。</w:t>
      </w:r>
      <w:r/>
    </w:p>
    <w:p>
      <w:pPr>
        <w:pStyle w:val="938"/>
        <w:ind w:left="0" w:right="210"/>
        <w:spacing w:line="360" w:lineRule="auto"/>
        <w:rPr>
          <w:rFonts w:hint="eastAsia" w:ascii="宋体" w:hAnsi="宋体" w:eastAsia="宋体" w:cs="宋体"/>
          <w:color w:val="auto"/>
          <w:highlight w:val="none"/>
          <w:lang w:eastAsia="zh-CN"/>
        </w:rPr>
      </w:pPr>
      <w:r/>
      <w:bookmarkStart w:id="153" w:name="_Toc20781"/>
      <w:r/>
      <w:bookmarkStart w:id="154" w:name="_Toc12178"/>
      <w:r/>
      <w:bookmarkStart w:id="155" w:name="_Toc9287"/>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.评审过程的保密与公正</w:t>
      </w:r>
      <w:bookmarkEnd w:id="153"/>
      <w:r/>
      <w:bookmarkEnd w:id="154"/>
      <w:r/>
      <w:bookmarkEnd w:id="155"/>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磋商小组、采购人和</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工作人员、相关监督人员等与评审工作有关的人员，对评审情况以及在评审过程中获悉的国家秘密、商业秘密负有保密责任。</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供应商不得以任何方式影响评审过程，否则其响应文件将被作为无效响应文件。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和磋商小组不向未成交的供应商解释未成交原因，也不公布评审过程中的相关细节。</w:t>
      </w:r>
      <w:r/>
    </w:p>
    <w:p>
      <w:pPr>
        <w:pStyle w:val="938"/>
        <w:ind w:left="0" w:right="210"/>
        <w:spacing w:line="360" w:lineRule="auto"/>
        <w:rPr>
          <w:rFonts w:hint="eastAsia" w:ascii="宋体" w:hAnsi="宋体" w:eastAsia="宋体" w:cs="宋体"/>
          <w:color w:val="auto"/>
          <w:highlight w:val="none"/>
          <w:lang w:eastAsia="zh-CN"/>
        </w:rPr>
      </w:pPr>
      <w:r/>
      <w:bookmarkStart w:id="156" w:name="_Toc10129"/>
      <w:r/>
      <w:bookmarkStart w:id="157" w:name="_Toc16243"/>
      <w:r/>
      <w:bookmarkStart w:id="158" w:name="_Toc29975"/>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.评审过程中的澄清</w:t>
      </w:r>
      <w:bookmarkEnd w:id="156"/>
      <w:r/>
      <w:bookmarkEnd w:id="157"/>
      <w:r/>
      <w:bookmarkEnd w:id="158"/>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.1 项目评审期间，磋商小组有权要求供应商对响应文件中含义不明确、同类问题表述不一致或者有明显文字和计算错误的内容等作出必要的澄清、说明或者补正。</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供应商的澄清、说明或者补正不得超出响应文件的范围或者改变响应文件的实质性内容。</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磋商小组并非对每个供应商都做澄清要求。</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.2 需要供应商进行澄清、说明和补正的，磋商小组将通过苏采云系统向供应商发出</w:t>
      </w:r>
      <w:r>
        <w:rPr>
          <w:rFonts w:hint="eastAsia" w:ascii="宋体" w:hAnsi="宋体" w:eastAsia="宋体" w:cs="宋体"/>
          <w:color w:val="auto"/>
          <w:szCs w:val="21"/>
          <w:highlight w:val="none"/>
          <w:lang w:val="zh-CN"/>
        </w:rPr>
        <w:t xml:space="preserve">《澄清要求函》</w:t>
      </w:r>
      <w:r>
        <w:rPr>
          <w:rFonts w:hint="eastAsia" w:ascii="宋体" w:hAnsi="宋体" w:eastAsia="宋体" w:cs="宋体"/>
          <w:color w:val="auto"/>
          <w:szCs w:val="21"/>
          <w:highlight w:val="none"/>
        </w:rPr>
        <w:t xml:space="preserve">，接到</w:t>
      </w:r>
      <w:r>
        <w:rPr>
          <w:rFonts w:hint="eastAsia" w:ascii="宋体" w:hAnsi="宋体" w:eastAsia="宋体" w:cs="宋体"/>
          <w:color w:val="auto"/>
          <w:szCs w:val="21"/>
          <w:highlight w:val="none"/>
          <w:lang w:val="zh-CN"/>
        </w:rPr>
        <w:t xml:space="preserve">《澄清要求函》</w:t>
      </w:r>
      <w:r>
        <w:rPr>
          <w:rFonts w:hint="eastAsia" w:ascii="宋体" w:hAnsi="宋体" w:eastAsia="宋体" w:cs="宋体"/>
          <w:color w:val="auto"/>
          <w:szCs w:val="21"/>
          <w:highlight w:val="none"/>
        </w:rPr>
        <w:t xml:space="preserve">的供应商应当按照要求在苏采云系统中提交</w:t>
      </w:r>
      <w:r>
        <w:rPr>
          <w:rFonts w:hint="eastAsia" w:ascii="宋体" w:hAnsi="宋体" w:eastAsia="宋体" w:cs="宋体"/>
          <w:color w:val="auto"/>
          <w:szCs w:val="21"/>
          <w:highlight w:val="none"/>
          <w:lang w:val="zh-CN"/>
        </w:rPr>
        <w:t xml:space="preserve">《澄清响应函》</w:t>
      </w:r>
      <w:r>
        <w:rPr>
          <w:rFonts w:hint="eastAsia" w:ascii="宋体" w:hAnsi="宋体" w:eastAsia="宋体" w:cs="宋体"/>
          <w:color w:val="auto"/>
          <w:szCs w:val="21"/>
          <w:highlight w:val="none"/>
        </w:rPr>
        <w:t xml:space="preserve">并加盖电子公章。澄清、说明和补正的内容作为响应文件的补充部分，具体操作方式见《操作手册》。</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.3 接到磋商小组澄清、说明和补正要求的供应商如未按规定做出澄清、说明和补正，其风险由供应商自行承担。</w:t>
      </w:r>
      <w:r/>
    </w:p>
    <w:p>
      <w:pPr>
        <w:pStyle w:val="938"/>
        <w:ind w:left="0" w:right="210"/>
        <w:spacing w:line="360" w:lineRule="auto"/>
        <w:rPr>
          <w:rFonts w:hint="eastAsia" w:ascii="宋体" w:hAnsi="宋体" w:eastAsia="宋体" w:cs="宋体"/>
          <w:color w:val="auto"/>
          <w:highlight w:val="none"/>
          <w:lang w:eastAsia="zh-CN"/>
        </w:rPr>
      </w:pPr>
      <w:r/>
      <w:bookmarkStart w:id="159" w:name="_Toc4815"/>
      <w:r/>
      <w:bookmarkStart w:id="160" w:name="_Toc5455"/>
      <w:r/>
      <w:bookmarkStart w:id="161" w:name="_Toc20189"/>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lang w:eastAsia="zh-CN"/>
        </w:rPr>
        <w:t xml:space="preserve">.响应文件的审查</w:t>
      </w:r>
      <w:bookmarkEnd w:id="159"/>
      <w:r/>
      <w:bookmarkEnd w:id="160"/>
      <w:r/>
      <w:bookmarkEnd w:id="161"/>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 响应文件审查分为资格审查和符合性审查。</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.1.1 资格审查。依据法律法规和磋商文件的规定，磋商小组对响应文件中的资格证明文件进行审查，以确定供应商是否具备参加磋商的资格。</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磋商小组进行资格审查时，将在“信用中国”网站（www.creditchina.gov.cn）查询供应商的信用记录，以确定供应商是否具备磋商资格,查询结果留存并归档。</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接受联合体的项目，联合体成员存在不良信用记录的，视同联合体存在不良</w:t>
      </w:r>
      <w:r>
        <w:rPr>
          <w:rFonts w:hint="eastAsia" w:ascii="宋体" w:hAnsi="宋体" w:eastAsia="宋体" w:cs="宋体"/>
          <w:color w:val="auto"/>
          <w:szCs w:val="21"/>
          <w:highlight w:val="none"/>
        </w:rPr>
        <w:t xml:space="preserve">信</w:t>
      </w:r>
      <w:r>
        <w:rPr>
          <w:rFonts w:hint="eastAsia" w:ascii="宋体" w:hAnsi="宋体" w:eastAsia="宋体" w:cs="宋体"/>
          <w:color w:val="auto"/>
          <w:szCs w:val="21"/>
          <w:highlight w:val="none"/>
          <w:lang w:val="zh-CN"/>
        </w:rPr>
        <w:t xml:space="preserve">用记录。</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.1.2 符合性审查。依据磋商文件的规定，由磋商小组从有效性、完整性和对磋商文件的响应程度等方面对响应文件进行审查，以确定是否对磋商文件的实质性要求作出响应。</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.1.3 未通过资格审查或符合性审查的供应商，磋商小组将通过苏采云系统告知具体原因，评审结束后将不再接受有关询问。</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auto"/>
          <w:szCs w:val="21"/>
          <w:highlight w:val="none"/>
        </w:rPr>
        <w:t xml:space="preserve">由</w:t>
      </w:r>
      <w:r>
        <w:rPr>
          <w:rFonts w:hint="eastAsia" w:ascii="宋体" w:hAnsi="宋体" w:eastAsia="宋体" w:cs="宋体"/>
          <w:color w:val="auto"/>
          <w:szCs w:val="21"/>
          <w:highlight w:val="none"/>
          <w:lang w:val="zh-CN"/>
        </w:rPr>
        <w:t xml:space="preserve">磋商小组</w:t>
      </w: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val="zh-CN"/>
        </w:rPr>
        <w:t xml:space="preserve">少数服从多数的原则作出结论。</w:t>
      </w:r>
      <w:r>
        <w:rPr>
          <w:rFonts w:hint="eastAsia" w:ascii="宋体" w:hAnsi="宋体" w:eastAsia="宋体" w:cs="宋体"/>
          <w:color w:val="auto"/>
          <w:szCs w:val="21"/>
          <w:highlight w:val="none"/>
        </w:rPr>
        <w:t xml:space="preserve">磋商小组认</w:t>
      </w:r>
      <w:r>
        <w:rPr>
          <w:rFonts w:hint="eastAsia" w:ascii="宋体" w:hAnsi="宋体" w:eastAsia="宋体" w:cs="宋体"/>
          <w:color w:val="auto"/>
          <w:szCs w:val="21"/>
          <w:highlight w:val="none"/>
          <w:lang w:val="zh-CN"/>
        </w:rPr>
        <w:t xml:space="preserve">定响应文件的响应性只根据响应文件本身的内容，而不寻求外部的证据。</w:t>
      </w:r>
      <w:r/>
    </w:p>
    <w:p>
      <w:pPr>
        <w:ind w:firstLine="422"/>
        <w:spacing w:line="360" w:lineRule="auto"/>
        <w:rPr>
          <w:rFonts w:hint="eastAsia" w:ascii="宋体" w:hAnsi="宋体" w:cs="宋体"/>
          <w:bCs/>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 </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文件有下列情况之一的，在符合性检查时按照无效</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未按照</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）★项要求提供的证明材料缺失或无效的；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）响应文件中未响应采购项目需求中规定要求的实质性要求的；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）不同供应商的响应文件由同一单位或者个人编制；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）不同供应商委托同一单位或者个人办理投标事宜；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）不同供应商的响应文件载明的项目管理成员或者联系人员为同一人；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）不同供应商的响应文件异常一致或者响应报价呈规律性差异；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）不同供应商的响应文件相互混装；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）不同供应商的磋商保证金从同一单位或者个人的账户转出；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11</w:t>
      </w:r>
      <w:r>
        <w:rPr>
          <w:rFonts w:hint="eastAsia" w:ascii="宋体" w:hAnsi="宋体" w:eastAsia="宋体" w:cs="宋体"/>
          <w:bCs/>
          <w:color w:val="auto"/>
          <w:szCs w:val="21"/>
          <w:highlight w:val="none"/>
        </w:rPr>
        <w:t xml:space="preserve">）报价超过采购文件中规定的项目预算或者最高限价的；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w:t>
      </w:r>
      <w:r>
        <w:rPr>
          <w:rFonts w:hint="default" w:ascii="宋体" w:hAnsi="宋体" w:eastAsia="宋体" w:cs="宋体"/>
          <w:bCs/>
          <w:color w:val="auto"/>
          <w:szCs w:val="21"/>
          <w:highlight w:val="none"/>
          <w:lang w:val="en-US"/>
        </w:rPr>
        <w:t xml:space="preserve">响应</w:t>
      </w:r>
      <w:r>
        <w:rPr>
          <w:rFonts w:hint="eastAsia" w:ascii="宋体" w:hAnsi="宋体" w:eastAsia="宋体" w:cs="宋体"/>
          <w:bCs/>
          <w:color w:val="auto"/>
          <w:szCs w:val="21"/>
          <w:highlight w:val="none"/>
        </w:rPr>
        <w:t xml:space="preserve">文件含有采购人不能接受的附加条件的；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）不同供应商的法定代表人或委托代理人有夫妻、直系血亲关系的；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）不同供应商的负责人为同一人或者存在控股、管理关系的；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）未按照采购文件规定要求签署、盖章的；</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）法律、法规和采购文件规定的其他无效情形。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.4 未实质性响应磋商文件的响应文件按无效响应处理。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.5 如果响应文件实质上没有响应磋商文件的要求，磋商小组将予以拒绝，供应商不得通过修改或撤销不合要求的偏离或保留而使其成为实质性响应的文件。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.6 供应商在项目评审全过程中应保持通讯畅通，</w:t>
      </w:r>
      <w:r>
        <w:rPr>
          <w:rFonts w:hint="eastAsia" w:ascii="宋体" w:hAnsi="宋体" w:eastAsia="宋体" w:cs="宋体"/>
          <w:color w:val="auto"/>
          <w:szCs w:val="21"/>
          <w:highlight w:val="none"/>
          <w:lang w:val="zh-CN"/>
        </w:rPr>
        <w:t xml:space="preserve">及时登录苏采云系统查阅、答复相关信息，并安排专人与</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lang w:val="zh-CN"/>
        </w:rPr>
        <w:t xml:space="preserve">及磋商小组联系。</w:t>
      </w:r>
      <w:r/>
    </w:p>
    <w:p>
      <w:pPr>
        <w:pStyle w:val="938"/>
        <w:ind w:left="0" w:right="210"/>
        <w:spacing w:line="360" w:lineRule="auto"/>
        <w:rPr>
          <w:rFonts w:hint="eastAsia" w:ascii="宋体" w:hAnsi="宋体" w:eastAsia="宋体" w:cs="宋体"/>
          <w:color w:val="auto"/>
          <w:highlight w:val="none"/>
          <w:lang w:eastAsia="zh-CN"/>
        </w:rPr>
      </w:pPr>
      <w:r/>
      <w:bookmarkStart w:id="162" w:name="_Toc9638"/>
      <w:r/>
      <w:bookmarkStart w:id="163" w:name="_Toc29593"/>
      <w:r/>
      <w:bookmarkStart w:id="164" w:name="_Toc19547"/>
      <w:r>
        <w:rPr>
          <w:rFonts w:hint="eastAsia" w:ascii="宋体" w:hAnsi="宋体" w:eastAsia="宋体" w:cs="宋体"/>
          <w:color w:val="auto"/>
          <w:highlight w:val="none"/>
          <w:lang w:val="en-US" w:eastAsia="zh-CN"/>
        </w:rPr>
        <w:t xml:space="preserve">31</w:t>
      </w:r>
      <w:r>
        <w:rPr>
          <w:rFonts w:hint="eastAsia" w:ascii="宋体" w:hAnsi="宋体" w:eastAsia="宋体" w:cs="宋体"/>
          <w:color w:val="auto"/>
          <w:highlight w:val="none"/>
          <w:lang w:eastAsia="zh-CN"/>
        </w:rPr>
        <w:t xml:space="preserve">.磋商程序及评审方法与评审标准</w:t>
      </w:r>
      <w:bookmarkEnd w:id="162"/>
      <w:r/>
      <w:bookmarkEnd w:id="163"/>
      <w:r/>
      <w:bookmarkEnd w:id="164"/>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 磋商程序</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 评审方法与评审标准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.2.1 评审方法。见磋商文件第五章。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.2.2 评审标准。见磋商文件第五章。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 采购活动终止</w:t>
      </w:r>
      <w:r/>
    </w:p>
    <w:p>
      <w:pPr>
        <w:ind w:firstLine="422"/>
        <w:rPr>
          <w:rFonts w:ascii="宋体" w:hAnsi="宋体"/>
          <w:b/>
          <w:bCs/>
          <w:color w:val="auto"/>
          <w:sz w:val="24"/>
          <w:highlight w:val="none"/>
        </w:rPr>
      </w:pPr>
      <w:r>
        <w:rPr>
          <w:rFonts w:hint="eastAsia" w:ascii="宋体" w:hAnsi="宋体"/>
          <w:b/>
          <w:bCs/>
          <w:color w:val="auto"/>
          <w:sz w:val="24"/>
          <w:highlight w:val="none"/>
        </w:rPr>
        <w:t xml:space="preserve">出现下列情形之一的，本次采购活动终止：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.3.1 因情况变化，不再符合竞争性磋商采购方式适用情形。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.3.2 出现影响采购公正的违法、违规行为。</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.3.3 在苏采云系统规定时间内成功解密电子响应文件的供应商不足三家。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.3.4 磋商过程中符合要求的供应商或者提交最后报价且未超过采购预算或最高限价的供应商不足三家。</w:t>
      </w:r>
      <w:r/>
    </w:p>
    <w:p>
      <w:pPr>
        <w:ind w:firstLine="420"/>
        <w:spacing w:before="156" w:line="360" w:lineRule="auto"/>
        <w:rPr>
          <w:rFonts w:hint="eastAsia" w:ascii="宋体" w:hAnsi="宋体"/>
          <w:color w:val="auto"/>
          <w:sz w:val="24"/>
          <w:highlight w:val="none"/>
          <w:lang w:val="zh-CN"/>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lang w:val="zh-CN"/>
        </w:rPr>
        <w:t xml:space="preserve">.3.5法律法规规定的其他应当终止情形。</w:t>
      </w:r>
      <w:r/>
    </w:p>
    <w:p>
      <w:pPr>
        <w:pStyle w:val="938"/>
        <w:ind w:left="0" w:right="210"/>
        <w:spacing w:line="360" w:lineRule="auto"/>
        <w:rPr>
          <w:rFonts w:ascii="宋体" w:hAnsi="宋体" w:cs="宋体"/>
          <w:color w:val="auto"/>
          <w:highlight w:val="none"/>
        </w:rPr>
      </w:pPr>
      <w:r/>
      <w:bookmarkStart w:id="165" w:name="_Toc27436"/>
      <w:r/>
      <w:bookmarkStart w:id="166" w:name="_Toc8975"/>
      <w:r/>
      <w:bookmarkStart w:id="167" w:name="_Toc3859"/>
      <w:r>
        <w:rPr>
          <w:rFonts w:hint="eastAsia" w:ascii="宋体" w:hAnsi="宋体" w:cs="宋体"/>
          <w:color w:val="auto"/>
          <w:highlight w:val="none"/>
        </w:rPr>
        <w:t xml:space="preserve">六．确定成交</w:t>
      </w:r>
      <w:bookmarkEnd w:id="165"/>
      <w:r/>
      <w:bookmarkEnd w:id="166"/>
      <w:r/>
      <w:bookmarkEnd w:id="167"/>
      <w:r/>
      <w:r/>
    </w:p>
    <w:p>
      <w:pPr>
        <w:pStyle w:val="938"/>
        <w:ind w:left="0" w:right="210"/>
        <w:spacing w:line="360" w:lineRule="auto"/>
        <w:rPr>
          <w:rFonts w:hint="eastAsia" w:ascii="宋体" w:hAnsi="宋体" w:eastAsia="宋体" w:cs="宋体"/>
          <w:color w:val="auto"/>
          <w:highlight w:val="none"/>
          <w:lang w:eastAsia="zh-CN"/>
        </w:rPr>
      </w:pPr>
      <w:r/>
      <w:bookmarkStart w:id="168" w:name="_Toc5445"/>
      <w:r/>
      <w:bookmarkStart w:id="169" w:name="_Toc13050"/>
      <w:r/>
      <w:bookmarkStart w:id="170" w:name="_Toc8017"/>
      <w:r>
        <w:rPr>
          <w:rFonts w:hint="eastAsia" w:ascii="宋体" w:hAnsi="宋体" w:eastAsia="宋体" w:cs="宋体"/>
          <w:color w:val="auto"/>
          <w:highlight w:val="none"/>
          <w:lang w:val="en-US" w:eastAsia="zh-CN"/>
        </w:rPr>
        <w:t xml:space="preserve">32</w:t>
      </w:r>
      <w:r>
        <w:rPr>
          <w:rFonts w:hint="eastAsia" w:ascii="宋体" w:hAnsi="宋体" w:eastAsia="宋体" w:cs="宋体"/>
          <w:color w:val="auto"/>
          <w:highlight w:val="none"/>
          <w:lang w:eastAsia="zh-CN"/>
        </w:rPr>
        <w:t xml:space="preserve">.确定成交单位</w:t>
      </w:r>
      <w:bookmarkEnd w:id="168"/>
      <w:r/>
      <w:bookmarkEnd w:id="169"/>
      <w:r/>
      <w:bookmarkEnd w:id="170"/>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.1 成交候选供应商的确定原则和数量见磋商文件第五章。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lang w:val="zh-CN"/>
        </w:rPr>
        <w:t xml:space="preserve">按以下第（</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）种方式确定</w:t>
      </w:r>
      <w:r>
        <w:rPr>
          <w:rFonts w:hint="eastAsia" w:ascii="宋体" w:hAnsi="宋体" w:eastAsia="宋体" w:cs="宋体"/>
          <w:color w:val="auto"/>
          <w:szCs w:val="21"/>
          <w:highlight w:val="none"/>
        </w:rPr>
        <w:t xml:space="preserve">成交供应商</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磋商小组</w:t>
      </w:r>
      <w:r>
        <w:rPr>
          <w:rFonts w:hint="eastAsia" w:ascii="宋体" w:hAnsi="宋体" w:eastAsia="宋体" w:cs="宋体"/>
          <w:color w:val="auto"/>
          <w:szCs w:val="21"/>
          <w:highlight w:val="none"/>
          <w:lang w:val="zh-CN"/>
        </w:rPr>
        <w:t xml:space="preserve">直接确定排名第一的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为</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（2）采购人在</w:t>
      </w:r>
      <w:r>
        <w:rPr>
          <w:rFonts w:hint="eastAsia" w:ascii="宋体" w:hAnsi="宋体" w:eastAsia="宋体" w:cs="宋体"/>
          <w:color w:val="auto"/>
          <w:szCs w:val="21"/>
          <w:highlight w:val="none"/>
        </w:rPr>
        <w:t xml:space="preserve">磋商小组</w:t>
      </w:r>
      <w:r>
        <w:rPr>
          <w:rFonts w:hint="eastAsia" w:ascii="宋体" w:hAnsi="宋体" w:eastAsia="宋体" w:cs="宋体"/>
          <w:color w:val="auto"/>
          <w:szCs w:val="21"/>
          <w:highlight w:val="none"/>
          <w:lang w:val="zh-CN"/>
        </w:rPr>
        <w:t xml:space="preserve">推荐的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中按顺序确定</w:t>
      </w:r>
      <w:r>
        <w:rPr>
          <w:rFonts w:hint="eastAsia" w:ascii="宋体" w:hAnsi="宋体" w:eastAsia="宋体" w:cs="宋体"/>
          <w:color w:val="auto"/>
          <w:szCs w:val="21"/>
          <w:highlight w:val="none"/>
        </w:rPr>
        <w:t xml:space="preserve">成交供应商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由采购人代表现场确认</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按第二种方式确定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的，</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中按顺序确定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将在“江苏政府采购网”发布成交结果公告，公告期限为1个工作日。</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32</w:t>
      </w:r>
      <w:r>
        <w:rPr>
          <w:rFonts w:hint="eastAsia" w:ascii="宋体" w:hAnsi="宋体"/>
          <w:color w:val="auto"/>
          <w:sz w:val="24"/>
          <w:highlight w:val="none"/>
        </w:rPr>
        <w:t xml:space="preserve">.4 </w:t>
      </w:r>
      <w:r>
        <w:rPr>
          <w:rFonts w:hint="eastAsia" w:ascii="宋体" w:hAnsi="宋体"/>
          <w:b/>
          <w:bCs/>
          <w:color w:val="auto"/>
          <w:sz w:val="21"/>
          <w:szCs w:val="21"/>
          <w:highlight w:val="none"/>
        </w:rPr>
        <w:t xml:space="preserve">若有充分证据证明成交供应商有下列情况之一的，一经查实将被取消成交资格：</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.4.1 提供虚假材料谋取成交。</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.4.2 向评审专家、采购人或</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工作人员行贿或者提供其他不正当利益。</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.4.3 与其他供应商、评审专家、采购人或</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工作人员恶意串通。</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.4.4 不满足本磋商文件规定的实质性要求，但在评审过程中未被磋商小组发现。</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.4.5 采取不正当手段诋毁、排挤其他供应商。</w:t>
      </w:r>
      <w:r/>
    </w:p>
    <w:p>
      <w:pPr>
        <w:pStyle w:val="938"/>
        <w:ind w:left="0" w:right="210"/>
        <w:spacing w:line="360" w:lineRule="auto"/>
        <w:rPr>
          <w:rFonts w:hint="eastAsia" w:ascii="宋体" w:hAnsi="宋体" w:eastAsia="宋体" w:cs="宋体"/>
          <w:color w:val="auto"/>
          <w:highlight w:val="none"/>
          <w:lang w:eastAsia="zh-CN"/>
        </w:rPr>
      </w:pPr>
      <w:r/>
      <w:bookmarkStart w:id="171" w:name="_Toc589"/>
      <w:r/>
      <w:bookmarkStart w:id="172" w:name="_Toc28790"/>
      <w:r/>
      <w:bookmarkStart w:id="173" w:name="_Toc3505"/>
      <w:r>
        <w:rPr>
          <w:rFonts w:hint="eastAsia" w:ascii="宋体" w:hAnsi="宋体" w:eastAsia="宋体" w:cs="宋体"/>
          <w:color w:val="auto"/>
          <w:highlight w:val="none"/>
          <w:lang w:val="en-US" w:eastAsia="zh-CN"/>
        </w:rPr>
        <w:t xml:space="preserve">33</w:t>
      </w:r>
      <w:r>
        <w:rPr>
          <w:rFonts w:hint="eastAsia" w:ascii="宋体" w:hAnsi="宋体" w:eastAsia="宋体" w:cs="宋体"/>
          <w:color w:val="auto"/>
          <w:highlight w:val="none"/>
          <w:lang w:eastAsia="zh-CN"/>
        </w:rPr>
        <w:t xml:space="preserve">.成交通知书</w:t>
      </w:r>
      <w:bookmarkEnd w:id="171"/>
      <w:r/>
      <w:bookmarkEnd w:id="172"/>
      <w:r/>
      <w:bookmarkEnd w:id="173"/>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w:t>
      </w:r>
      <w:r>
        <w:rPr>
          <w:rFonts w:hint="eastAsia" w:ascii="宋体" w:hAnsi="宋体" w:eastAsia="宋体" w:cs="宋体"/>
          <w:color w:val="auto"/>
          <w:szCs w:val="21"/>
          <w:highlight w:val="none"/>
        </w:rPr>
        <w:t xml:space="preserve">.1 成交结果确定后，</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将向成交供应商发出《成交通知书》。成交供应商可在成交结果公告届满之日起三十日内，登录苏采云系统下载。    </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w:t>
      </w:r>
      <w:r>
        <w:rPr>
          <w:rFonts w:hint="eastAsia" w:ascii="宋体" w:hAnsi="宋体" w:eastAsia="宋体" w:cs="宋体"/>
          <w:color w:val="auto"/>
          <w:szCs w:val="21"/>
          <w:highlight w:val="none"/>
        </w:rPr>
        <w:t xml:space="preserve">.2 《成交通知书》是合同的一个组成部分，对采购人和成交供应商均具有法律效力。《成交通知书》发出后，采购人改变成交结果的，或者成交供应商放弃成交项目的，应当依法承担法律责任。</w:t>
      </w:r>
      <w:r/>
    </w:p>
    <w:p>
      <w:pPr>
        <w:pStyle w:val="938"/>
        <w:ind w:left="0" w:right="210"/>
        <w:spacing w:line="360" w:lineRule="auto"/>
        <w:rPr>
          <w:rFonts w:ascii="宋体" w:hAnsi="宋体" w:cs="宋体"/>
          <w:color w:val="auto"/>
          <w:highlight w:val="none"/>
        </w:rPr>
      </w:pPr>
      <w:r/>
      <w:bookmarkStart w:id="174" w:name="_Toc20434"/>
      <w:r/>
      <w:bookmarkStart w:id="175" w:name="_Toc7991"/>
      <w:r/>
      <w:bookmarkStart w:id="176" w:name="_Toc15432"/>
      <w:r>
        <w:rPr>
          <w:rFonts w:hint="eastAsia" w:ascii="宋体" w:hAnsi="宋体" w:cs="宋体"/>
          <w:color w:val="auto"/>
          <w:highlight w:val="none"/>
        </w:rPr>
        <w:t xml:space="preserve">41.签订合同</w:t>
      </w:r>
      <w:bookmarkEnd w:id="174"/>
      <w:r/>
      <w:bookmarkEnd w:id="175"/>
      <w:r/>
      <w:bookmarkEnd w:id="176"/>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41.2成交供应商拒绝与采购人签订合同的，采购人可以按照评审报告推荐的成交候选人名单排序，确定下一候选人为成交供应商，也可以重新开展政府采购活动。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41.3联合体成交的，联合体各方应当共同与采购人签订合同，就成交项目向采购人承担连带责任。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41.4政府采购合同不能转包。未经采购人同意，成交供应商也不得采用分包的形式履行合同，否则采购人有权终止合同。转包或分包造成采购人损失的，成交供应商应承担相应赔偿责任。</w:t>
      </w:r>
      <w:r/>
    </w:p>
    <w:p>
      <w:pPr>
        <w:pStyle w:val="938"/>
        <w:ind w:left="0" w:right="210"/>
        <w:spacing w:line="360" w:lineRule="auto"/>
        <w:rPr>
          <w:rFonts w:ascii="宋体" w:hAnsi="宋体" w:cs="宋体"/>
          <w:color w:val="auto"/>
          <w:szCs w:val="21"/>
          <w:highlight w:val="none"/>
        </w:rPr>
      </w:pPr>
      <w:r/>
      <w:bookmarkStart w:id="177" w:name="_Toc19280"/>
      <w:r/>
      <w:bookmarkStart w:id="178" w:name="_Toc6301"/>
      <w:r/>
      <w:bookmarkStart w:id="179" w:name="_Toc4234"/>
      <w:r>
        <w:rPr>
          <w:rFonts w:hint="eastAsia" w:ascii="宋体" w:hAnsi="宋体" w:cs="宋体"/>
          <w:color w:val="auto"/>
          <w:szCs w:val="21"/>
          <w:highlight w:val="none"/>
        </w:rPr>
        <w:t xml:space="preserve">42.履约保证金</w:t>
      </w:r>
      <w:bookmarkEnd w:id="177"/>
      <w:r/>
      <w:bookmarkEnd w:id="178"/>
      <w:r/>
      <w:bookmarkEnd w:id="179"/>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42.1本项目是否缴纳履约保证金见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42.2</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42.3成交供应商没有按照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的规定提交履约保证金的，视为放弃成交，其磋商保证金不予退还。</w:t>
      </w:r>
      <w:r/>
    </w:p>
    <w:p>
      <w:pPr>
        <w:pStyle w:val="938"/>
        <w:ind w:left="0" w:right="210"/>
        <w:spacing w:line="360" w:lineRule="auto"/>
        <w:rPr>
          <w:rFonts w:ascii="宋体" w:hAnsi="宋体" w:cs="宋体"/>
          <w:color w:val="auto"/>
          <w:highlight w:val="none"/>
        </w:rPr>
      </w:pPr>
      <w:r/>
      <w:bookmarkStart w:id="180" w:name="_Toc26303"/>
      <w:r/>
      <w:bookmarkStart w:id="181" w:name="_Toc11239"/>
      <w:r/>
      <w:bookmarkStart w:id="182" w:name="_Toc27197"/>
      <w:r>
        <w:rPr>
          <w:rFonts w:hint="eastAsia" w:ascii="宋体" w:hAnsi="宋体" w:cs="宋体"/>
          <w:color w:val="auto"/>
          <w:highlight w:val="none"/>
        </w:rPr>
        <w:t xml:space="preserve">七．询问与质疑</w:t>
      </w:r>
      <w:bookmarkEnd w:id="180"/>
      <w:r/>
      <w:bookmarkEnd w:id="181"/>
      <w:r/>
      <w:bookmarkEnd w:id="182"/>
      <w:r/>
      <w:r/>
    </w:p>
    <w:p>
      <w:pPr>
        <w:pStyle w:val="938"/>
        <w:ind w:left="0" w:right="210"/>
        <w:spacing w:line="360" w:lineRule="auto"/>
        <w:rPr>
          <w:rFonts w:ascii="宋体" w:hAnsi="宋体" w:cs="宋体"/>
          <w:color w:val="auto"/>
          <w:szCs w:val="21"/>
          <w:highlight w:val="none"/>
        </w:rPr>
      </w:pPr>
      <w:r/>
      <w:bookmarkStart w:id="183" w:name="_Toc31891"/>
      <w:r/>
      <w:bookmarkStart w:id="184" w:name="_Toc8401"/>
      <w:r/>
      <w:bookmarkStart w:id="185" w:name="_Toc6014"/>
      <w:r>
        <w:rPr>
          <w:rFonts w:hint="eastAsia" w:ascii="宋体" w:hAnsi="宋体" w:cs="宋体"/>
          <w:color w:val="auto"/>
          <w:szCs w:val="21"/>
          <w:highlight w:val="none"/>
        </w:rPr>
        <w:t xml:space="preserve">43.询问</w:t>
      </w:r>
      <w:bookmarkEnd w:id="183"/>
      <w:r/>
      <w:bookmarkEnd w:id="184"/>
      <w:r/>
      <w:bookmarkEnd w:id="185"/>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43.1供应商对政府采购活动事项有疑问的，可依法提出询问，并按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43.2采购方对供应商依法提出的询问，在3个工作日内作出答复，但答复的内容不得涉及商业秘密。</w:t>
      </w:r>
      <w:r/>
    </w:p>
    <w:p>
      <w:pPr>
        <w:pStyle w:val="938"/>
        <w:ind w:left="0" w:right="210"/>
        <w:spacing w:line="360" w:lineRule="auto"/>
        <w:rPr>
          <w:rFonts w:ascii="宋体" w:hAnsi="宋体" w:cs="宋体"/>
          <w:color w:val="auto"/>
          <w:szCs w:val="21"/>
          <w:highlight w:val="none"/>
        </w:rPr>
      </w:pPr>
      <w:r/>
      <w:bookmarkStart w:id="186" w:name="_Toc3068"/>
      <w:r/>
      <w:bookmarkStart w:id="187" w:name="_Toc22793"/>
      <w:r/>
      <w:bookmarkStart w:id="188" w:name="_Toc32161"/>
      <w:r>
        <w:rPr>
          <w:rFonts w:hint="eastAsia" w:ascii="宋体" w:hAnsi="宋体" w:cs="宋体"/>
          <w:color w:val="auto"/>
          <w:szCs w:val="21"/>
          <w:highlight w:val="none"/>
        </w:rPr>
        <w:t xml:space="preserve">44.质疑</w:t>
      </w:r>
      <w:bookmarkEnd w:id="186"/>
      <w:r/>
      <w:bookmarkEnd w:id="187"/>
      <w:r/>
      <w:bookmarkEnd w:id="188"/>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44.1供应商认为磋商文件、采购过程和成交结果使自己的权益受到损害的，可以在知道或者应知其权益受到损害之日起7个工作日内，以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的要求向采购方提出质疑。采购方以书面形式答复质疑供应商，但答复的内容不涉及商业秘密。供应商在法定质疑期内针对同一采购程序环节的质疑必须一次性提出。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44.2以联合体形式参加响应的，应当由组成联合体的所有供应商共同提出。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44.3质疑函应使用财政部制定的范本。</w:t>
      </w:r>
      <w:r/>
    </w:p>
    <w:p>
      <w:pPr>
        <w:pStyle w:val="938"/>
        <w:ind w:left="0" w:right="210"/>
        <w:spacing w:line="360" w:lineRule="auto"/>
        <w:rPr>
          <w:rFonts w:ascii="宋体" w:hAnsi="宋体" w:cs="宋体"/>
          <w:color w:val="auto"/>
          <w:highlight w:val="none"/>
        </w:rPr>
      </w:pPr>
      <w:r/>
      <w:bookmarkStart w:id="189" w:name="_Toc26985"/>
      <w:r/>
      <w:bookmarkStart w:id="190" w:name="_Toc20472"/>
      <w:r/>
      <w:bookmarkStart w:id="191" w:name="_Toc522"/>
      <w:r>
        <w:rPr>
          <w:rFonts w:hint="eastAsia" w:ascii="宋体" w:hAnsi="宋体" w:cs="宋体"/>
          <w:color w:val="auto"/>
          <w:highlight w:val="none"/>
        </w:rPr>
        <w:t xml:space="preserve">八．其他</w:t>
      </w:r>
      <w:bookmarkEnd w:id="189"/>
      <w:r/>
      <w:bookmarkEnd w:id="190"/>
      <w:r/>
      <w:bookmarkEnd w:id="191"/>
      <w:r/>
      <w:r/>
    </w:p>
    <w:p>
      <w:pPr>
        <w:pStyle w:val="938"/>
        <w:ind w:left="0" w:right="210"/>
        <w:spacing w:line="360" w:lineRule="auto"/>
        <w:rPr>
          <w:rFonts w:ascii="宋体" w:hAnsi="宋体" w:cs="宋体"/>
          <w:color w:val="auto"/>
          <w:szCs w:val="21"/>
          <w:highlight w:val="none"/>
        </w:rPr>
      </w:pPr>
      <w:r/>
      <w:bookmarkStart w:id="192" w:name="_Toc21365"/>
      <w:r/>
      <w:bookmarkStart w:id="193" w:name="_Toc12425"/>
      <w:r/>
      <w:bookmarkStart w:id="194" w:name="_Toc7425"/>
      <w:r>
        <w:rPr>
          <w:rFonts w:hint="eastAsia" w:ascii="宋体" w:hAnsi="宋体" w:cs="宋体"/>
          <w:color w:val="auto"/>
          <w:szCs w:val="21"/>
          <w:highlight w:val="none"/>
        </w:rPr>
        <w:t xml:space="preserve">45.采购代理服务费</w:t>
      </w:r>
      <w:bookmarkEnd w:id="192"/>
      <w:r/>
      <w:bookmarkEnd w:id="193"/>
      <w:r/>
      <w:bookmarkEnd w:id="194"/>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45.1成交供应商是否交纳采购代理服务费及相关要求见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38"/>
        <w:ind w:left="0" w:right="210"/>
        <w:spacing w:line="360" w:lineRule="auto"/>
        <w:rPr>
          <w:rFonts w:ascii="宋体" w:hAnsi="宋体" w:cs="宋体"/>
          <w:color w:val="auto"/>
          <w:szCs w:val="21"/>
          <w:highlight w:val="none"/>
        </w:rPr>
      </w:pPr>
      <w:r/>
      <w:bookmarkStart w:id="195" w:name="_Toc13623"/>
      <w:r/>
      <w:bookmarkStart w:id="196" w:name="_Toc11933"/>
      <w:r/>
      <w:bookmarkStart w:id="197" w:name="_Toc14987"/>
      <w:r>
        <w:rPr>
          <w:rFonts w:hint="eastAsia" w:ascii="宋体" w:hAnsi="宋体" w:cs="宋体"/>
          <w:color w:val="auto"/>
          <w:szCs w:val="21"/>
          <w:highlight w:val="none"/>
        </w:rPr>
        <w:t xml:space="preserve">46.其他规定</w:t>
      </w:r>
      <w:bookmarkEnd w:id="195"/>
      <w:r/>
      <w:bookmarkEnd w:id="196"/>
      <w:r/>
      <w:bookmarkEnd w:id="197"/>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46.1响应文件的其他规定见</w:t>
      </w:r>
      <w:r>
        <w:rPr>
          <w:rFonts w:hint="eastAsia" w:ascii="宋体" w:hAnsi="宋体" w:cs="宋体"/>
          <w:b/>
          <w:color w:val="auto"/>
          <w:szCs w:val="21"/>
          <w:highlight w:val="none"/>
        </w:rPr>
        <w:t xml:space="preserve">供应商须知前附</w:t>
      </w:r>
      <w:r>
        <w:rPr>
          <w:rFonts w:hint="eastAsia" w:ascii="宋体" w:hAnsi="宋体" w:cs="宋体"/>
          <w:color w:val="auto"/>
          <w:szCs w:val="21"/>
          <w:highlight w:val="none"/>
        </w:rPr>
        <w:t xml:space="preserve">表。</w:t>
      </w:r>
      <w:r/>
    </w:p>
    <w:p>
      <w:pPr>
        <w:pStyle w:val="938"/>
        <w:ind w:left="0" w:right="210"/>
        <w:spacing w:line="360" w:lineRule="auto"/>
        <w:rPr>
          <w:rFonts w:ascii="宋体" w:hAnsi="宋体" w:cs="宋体"/>
          <w:color w:val="auto"/>
          <w:szCs w:val="21"/>
          <w:highlight w:val="none"/>
        </w:rPr>
      </w:pPr>
      <w:r/>
      <w:bookmarkStart w:id="198" w:name="_Toc7149"/>
      <w:r/>
      <w:bookmarkStart w:id="199" w:name="_Toc1168"/>
      <w:r/>
      <w:bookmarkStart w:id="200" w:name="_Toc16883"/>
      <w:r>
        <w:rPr>
          <w:rFonts w:hint="eastAsia" w:ascii="宋体" w:hAnsi="宋体" w:cs="宋体"/>
          <w:color w:val="auto"/>
          <w:szCs w:val="21"/>
          <w:highlight w:val="none"/>
        </w:rPr>
        <w:t xml:space="preserve">47.文件解释权</w:t>
      </w:r>
      <w:bookmarkEnd w:id="198"/>
      <w:r/>
      <w:bookmarkEnd w:id="199"/>
      <w:r/>
      <w:bookmarkEnd w:id="200"/>
      <w:r/>
      <w:r/>
    </w:p>
    <w:p>
      <w:pPr>
        <w:ind w:firstLine="420"/>
        <w:jc w:val="left"/>
        <w:spacing w:line="360" w:lineRule="auto"/>
        <w:rPr>
          <w:rFonts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47.1本磋商文件的由采购人（或采购代理机构）负责解释。</w:t>
      </w:r>
      <w:bookmarkEnd w:id="40"/>
      <w:r/>
      <w:bookmarkEnd w:id="41"/>
      <w:r/>
      <w:bookmarkEnd w:id="42"/>
      <w:r/>
      <w:bookmarkEnd w:id="43"/>
      <w:r/>
      <w:bookmarkStart w:id="201" w:name="_Toc80264714"/>
      <w:r/>
      <w:bookmarkEnd w:id="201"/>
      <w:r/>
      <w:r/>
    </w:p>
    <w:p>
      <w:pPr>
        <w:pStyle w:val="1029"/>
        <w:rPr>
          <w:color w:val="auto"/>
          <w:highlight w:val="none"/>
        </w:rPr>
      </w:pPr>
      <w:r/>
      <w:bookmarkStart w:id="202" w:name="_Toc91836563"/>
      <w:r/>
      <w:bookmarkStart w:id="203" w:name="_Toc107246272"/>
      <w:r>
        <w:rPr>
          <w:rFonts w:ascii="Microsoft New Tai Lue" w:hAnsi="Microsoft New Tai Lue" w:cs="Microsoft New Tai Lue"/>
          <w:color w:val="auto"/>
          <w:highlight w:val="none"/>
        </w:rPr>
        <w:br w:type="page" w:clear="all"/>
      </w:r>
      <w:bookmarkStart w:id="204" w:name="_Toc17301"/>
      <w:r>
        <w:rPr>
          <w:rFonts w:hint="eastAsia" w:ascii="宋体" w:hAnsi="宋体" w:cs="宋体"/>
          <w:color w:val="auto"/>
          <w:highlight w:val="none"/>
        </w:rPr>
        <w:t xml:space="preserve">第三章 合同主要格式条款</w:t>
      </w:r>
      <w:bookmarkEnd w:id="204"/>
      <w:r/>
      <w:r/>
    </w:p>
    <w:p>
      <w:pPr>
        <w:jc w:val="center"/>
        <w:rPr>
          <w:rFonts w:hint="eastAsia"/>
          <w:b/>
          <w:bCs/>
          <w:color w:val="auto"/>
          <w:sz w:val="32"/>
          <w:szCs w:val="32"/>
          <w:highlight w:val="none"/>
        </w:rPr>
      </w:pPr>
      <w:r>
        <w:rPr>
          <w:rFonts w:hint="eastAsia"/>
          <w:b/>
          <w:bCs/>
          <w:color w:val="auto"/>
          <w:sz w:val="32"/>
          <w:szCs w:val="32"/>
          <w:highlight w:val="none"/>
        </w:rPr>
        <w:t xml:space="preserve">政府采购合同（服务）</w:t>
      </w:r>
      <w:r/>
    </w:p>
    <w:p>
      <w:pPr>
        <w:spacing w:after="156" w:line="360" w:lineRule="auto"/>
        <w:rPr>
          <w:color w:val="auto"/>
          <w:sz w:val="28"/>
          <w:szCs w:val="28"/>
          <w:highlight w:val="none"/>
        </w:rPr>
      </w:pPr>
      <w:r>
        <w:rPr>
          <w:color w:val="auto"/>
          <w:sz w:val="28"/>
          <w:szCs w:val="28"/>
          <w:highlight w:val="none"/>
        </w:rPr>
      </w:r>
      <w:r/>
    </w:p>
    <w:p>
      <w:pPr>
        <w:jc w:val="left"/>
        <w:spacing w:after="156" w:line="360" w:lineRule="auto"/>
        <w:rPr>
          <w:rFonts w:hint="eastAsia" w:ascii="宋体" w:hAnsi="宋体" w:cs="宋体"/>
          <w:bCs/>
          <w:color w:val="auto"/>
          <w:sz w:val="24"/>
          <w:highlight w:val="none"/>
        </w:rPr>
      </w:pPr>
      <w:r>
        <w:rPr>
          <w:color w:val="auto"/>
          <w:sz w:val="24"/>
          <w:highlight w:val="none"/>
        </w:rPr>
        <w:t xml:space="preserve">项目名称：</w:t>
      </w:r>
      <w:r>
        <w:rPr>
          <w:rFonts w:hint="eastAsia"/>
          <w:color w:val="auto"/>
          <w:sz w:val="24"/>
          <w:highlight w:val="none"/>
          <w:lang w:val="en-US" w:eastAsia="zh-CN"/>
        </w:rPr>
        <w:t xml:space="preserve">2026年</w:t>
      </w:r>
      <w:r>
        <w:rPr>
          <w:rFonts w:hint="eastAsia" w:ascii="宋体" w:hAnsi="宋体" w:cs="宋体"/>
          <w:bCs/>
          <w:color w:val="auto"/>
          <w:sz w:val="24"/>
          <w:highlight w:val="none"/>
        </w:rPr>
        <w:t xml:space="preserve">补充耕地指标交易平台管理[含补充耕地项目监管]</w:t>
      </w:r>
      <w:r/>
    </w:p>
    <w:p>
      <w:pPr>
        <w:jc w:val="left"/>
        <w:spacing w:after="156" w:line="360" w:lineRule="auto"/>
        <w:rPr>
          <w:color w:val="auto"/>
          <w:sz w:val="24"/>
          <w:highlight w:val="none"/>
        </w:rPr>
      </w:pPr>
      <w:r>
        <w:rPr>
          <w:color w:val="auto"/>
          <w:sz w:val="24"/>
          <w:highlight w:val="none"/>
        </w:rPr>
        <w:t xml:space="preserve">甲方：</w:t>
      </w:r>
      <w:r>
        <w:rPr>
          <w:rFonts w:hint="eastAsia"/>
          <w:color w:val="auto"/>
          <w:sz w:val="24"/>
          <w:highlight w:val="none"/>
        </w:rPr>
        <w:t xml:space="preserve">江苏省自然资源厅</w:t>
      </w:r>
      <w:r/>
    </w:p>
    <w:p>
      <w:pPr>
        <w:jc w:val="left"/>
        <w:spacing w:after="156" w:line="360" w:lineRule="auto"/>
        <w:rPr>
          <w:rFonts w:ascii="宋体" w:hAnsi="宋体" w:cs="Courier New"/>
          <w:color w:val="auto"/>
          <w:sz w:val="24"/>
          <w:highlight w:val="none"/>
        </w:rPr>
      </w:pPr>
      <w:r>
        <w:rPr>
          <w:color w:val="auto"/>
          <w:sz w:val="24"/>
          <w:highlight w:val="none"/>
        </w:rPr>
        <w:t xml:space="preserve">乙方：</w:t>
      </w:r>
      <w:r/>
    </w:p>
    <w:p>
      <w:pPr>
        <w:ind w:firstLine="420"/>
        <w:jc w:val="left"/>
        <w:spacing w:line="360" w:lineRule="auto"/>
        <w:rPr>
          <w:rFonts w:ascii="宋体" w:hAnsi="宋体" w:cs="Courier New"/>
          <w:b/>
          <w:color w:val="auto"/>
          <w:sz w:val="24"/>
          <w:highlight w:val="none"/>
        </w:rPr>
      </w:pPr>
      <w:r>
        <w:rPr>
          <w:rFonts w:ascii="宋体" w:hAnsi="宋体" w:cs="Courier New"/>
          <w:color w:val="auto"/>
          <w:sz w:val="24"/>
          <w:highlight w:val="none"/>
        </w:rPr>
        <w:t xml:space="preserve">甲、乙双方根据</w:t>
      </w:r>
      <w:r>
        <w:rPr>
          <w:rFonts w:hint="eastAsia" w:ascii="宋体" w:hAnsi="宋体" w:cs="Courier New"/>
          <w:color w:val="auto"/>
          <w:sz w:val="24"/>
          <w:highlight w:val="none"/>
          <w:u w:val="single"/>
          <w:lang w:val="en-US" w:eastAsia="zh-CN"/>
        </w:rPr>
        <w:t xml:space="preserve">2026年</w:t>
      </w:r>
      <w:r>
        <w:rPr>
          <w:rFonts w:hint="eastAsia" w:ascii="宋体" w:hAnsi="宋体" w:cs="宋体"/>
          <w:bCs/>
          <w:color w:val="auto"/>
          <w:sz w:val="24"/>
          <w:highlight w:val="none"/>
          <w:u w:val="single"/>
        </w:rPr>
        <w:t xml:space="preserve">补充耕地指标交易平台管理[含补充耕地项目监管]</w:t>
      </w:r>
      <w:r>
        <w:rPr>
          <w:rFonts w:ascii="宋体" w:hAnsi="宋体" w:cs="Courier New"/>
          <w:color w:val="auto"/>
          <w:sz w:val="24"/>
          <w:highlight w:val="none"/>
        </w:rPr>
        <w:t xml:space="preserve">项目</w:t>
      </w:r>
      <w:r>
        <w:rPr>
          <w:rFonts w:hint="eastAsia" w:ascii="宋体" w:hAnsi="宋体" w:cs="Courier New"/>
          <w:color w:val="auto"/>
          <w:sz w:val="24"/>
          <w:highlight w:val="none"/>
        </w:rPr>
        <w:t xml:space="preserve">竞争性磋商</w:t>
      </w:r>
      <w:r>
        <w:rPr>
          <w:rFonts w:ascii="宋体" w:hAnsi="宋体" w:cs="Courier New"/>
          <w:color w:val="auto"/>
          <w:sz w:val="24"/>
          <w:highlight w:val="none"/>
        </w:rPr>
        <w:t xml:space="preserve">结果，签署本合同。</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一、合同内容</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 标的名称：</w:t>
      </w:r>
      <w:r>
        <w:rPr>
          <w:rFonts w:hint="eastAsia" w:ascii="宋体" w:hAnsi="宋体" w:cs="宋体"/>
          <w:color w:val="auto"/>
          <w:sz w:val="24"/>
          <w:highlight w:val="none"/>
          <w:lang w:val="en-US" w:eastAsia="zh-CN"/>
        </w:rPr>
        <w:t xml:space="preserve">2026年</w:t>
      </w:r>
      <w:r>
        <w:rPr>
          <w:rFonts w:hint="eastAsia" w:ascii="宋体" w:hAnsi="宋体" w:cs="宋体"/>
          <w:bCs/>
          <w:color w:val="auto"/>
          <w:sz w:val="24"/>
          <w:highlight w:val="none"/>
        </w:rPr>
        <w:t xml:space="preserve">补充耕地指标交易平台管理[含补充耕地项目监管]。</w:t>
      </w:r>
      <w:r/>
    </w:p>
    <w:p>
      <w:pPr>
        <w:ind w:firstLine="420"/>
        <w:jc w:val="left"/>
        <w:spacing w:line="360" w:lineRule="auto"/>
        <w:rPr>
          <w:rFonts w:ascii="宋体" w:hAnsi="宋体"/>
          <w:bCs/>
          <w:color w:val="auto"/>
          <w:sz w:val="24"/>
          <w:highlight w:val="none"/>
        </w:rPr>
      </w:pPr>
      <w:r>
        <w:rPr>
          <w:rFonts w:hint="eastAsia" w:ascii="宋体" w:hAnsi="宋体" w:cs="宋体"/>
          <w:color w:val="auto"/>
          <w:sz w:val="24"/>
          <w:highlight w:val="none"/>
        </w:rPr>
        <w:t xml:space="preserve">1.2 标的数量（规模）：按</w:t>
      </w:r>
      <w:r>
        <w:rPr>
          <w:rFonts w:hint="eastAsia" w:ascii="宋体" w:hAnsi="宋体"/>
          <w:bCs/>
          <w:color w:val="auto"/>
          <w:sz w:val="24"/>
          <w:highlight w:val="none"/>
        </w:rPr>
        <w:t xml:space="preserve">要求开展202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年补充耕地指标交易平台管理工作和</w:t>
      </w:r>
      <w:r>
        <w:rPr>
          <w:rFonts w:hint="eastAsia" w:ascii="宋体" w:hAnsi="宋体" w:cs="宋体"/>
          <w:bCs/>
          <w:color w:val="auto"/>
          <w:sz w:val="24"/>
          <w:highlight w:val="none"/>
        </w:rPr>
        <w:t xml:space="preserve">补充耕地</w:t>
      </w:r>
      <w:r>
        <w:rPr>
          <w:rFonts w:hint="eastAsia" w:ascii="宋体" w:hAnsi="宋体"/>
          <w:bCs/>
          <w:color w:val="auto"/>
          <w:sz w:val="24"/>
          <w:highlight w:val="none"/>
        </w:rPr>
        <w:t xml:space="preserve">项目的监管工作，在规定时间内完成相关技术服务工作，形成相关成果数据、工作分析报告。工作主要包括以下内容：江苏省补充耕地指标交易平台管理工作，开展对拟交易项目进行内、外业的审核；补充耕地项目立项阶段、验收阶段的合规性进行监管。</w:t>
      </w:r>
      <w:r/>
    </w:p>
    <w:p>
      <w:pPr>
        <w:ind w:left="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 履行时间（期限）：</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ascii="宋体" w:hAnsi="宋体"/>
          <w:color w:val="auto"/>
          <w:sz w:val="24"/>
          <w:highlight w:val="none"/>
        </w:rPr>
        <w:t xml:space="preserve">12</w:t>
      </w:r>
      <w:r>
        <w:rPr>
          <w:rFonts w:hint="eastAsia" w:ascii="宋体" w:hAnsi="宋体"/>
          <w:color w:val="auto"/>
          <w:sz w:val="24"/>
          <w:highlight w:val="none"/>
        </w:rPr>
        <w:t xml:space="preserve">月3</w:t>
      </w:r>
      <w:r>
        <w:rPr>
          <w:rFonts w:ascii="宋体" w:hAnsi="宋体"/>
          <w:color w:val="auto"/>
          <w:sz w:val="24"/>
          <w:highlight w:val="none"/>
        </w:rPr>
        <w:t xml:space="preserve">1</w:t>
      </w:r>
      <w:r>
        <w:rPr>
          <w:rFonts w:hint="eastAsia" w:ascii="宋体" w:hAnsi="宋体"/>
          <w:color w:val="auto"/>
          <w:sz w:val="24"/>
          <w:highlight w:val="none"/>
        </w:rPr>
        <w:t xml:space="preserve">日前。</w:t>
      </w:r>
      <w:r/>
    </w:p>
    <w:p>
      <w:pPr>
        <w:ind w:firstLine="4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1.4 履行地点：江苏南京。</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二、合同金额</w:t>
      </w:r>
      <w:r/>
    </w:p>
    <w:p>
      <w:pPr>
        <w:pStyle w:val="966"/>
        <w:ind w:firstLine="420"/>
        <w:jc w:val="left"/>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2.1 </w:t>
      </w:r>
      <w:r>
        <w:rPr>
          <w:rFonts w:hint="eastAsia" w:hAnsi="宋体" w:cs="宋体"/>
          <w:color w:val="auto"/>
          <w:sz w:val="24"/>
          <w:szCs w:val="24"/>
          <w:highlight w:val="none"/>
        </w:rPr>
        <w:t xml:space="preserve">本合同金额为（大写）：人民币</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rPr>
        <w:t xml:space="preserve">（小写：</w:t>
      </w:r>
      <w:r>
        <w:rPr>
          <w:rFonts w:hint="eastAsia" w:hAnsi="宋体" w:cs="宋体"/>
          <w:color w:val="auto"/>
          <w:sz w:val="24"/>
          <w:szCs w:val="24"/>
          <w:highlight w:val="none"/>
          <w:u w:val="single"/>
        </w:rPr>
        <w:t xml:space="preserve">￥</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u w:val="single"/>
        </w:rPr>
        <w:t xml:space="preserve">元</w:t>
      </w:r>
      <w:r>
        <w:rPr>
          <w:rFonts w:hint="eastAsia" w:hAnsi="宋体" w:cs="宋体"/>
          <w:color w:val="auto"/>
          <w:sz w:val="24"/>
          <w:szCs w:val="24"/>
          <w:highlight w:val="none"/>
        </w:rPr>
        <w:t xml:space="preserve">）。</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三、技术资料</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 乙方应按磋商文件规定的时间向甲方提供服务（包含与服务相关的货物）的有关技术资料。</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四、知识产权</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五、产权担保</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 乙方保证所交付的服务（包含与服务相关的货物）的所有权完全属于乙方且无任何抵押、查封等产权瑕疵。</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六、履约保证金</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 本项目乙方无需缴纳履约保证金。</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七、合同转包或分包</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 乙方不得将合同标的转包给他人履行。</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 乙方不得将合同标的分包给他人履行。</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7.3 乙方如有转包或未经甲方同意的分包行为，甲方有权终止合同。</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八、合同款项支付</w:t>
      </w:r>
      <w:r/>
    </w:p>
    <w:p>
      <w:pPr>
        <w:ind w:firstLine="422"/>
        <w:jc w:val="left"/>
        <w:spacing w:line="360" w:lineRule="auto"/>
        <w:rPr>
          <w:rFonts w:hint="eastAsia" w:hAnsi="宋体" w:cs="宋体"/>
          <w:color w:val="auto"/>
          <w:sz w:val="24"/>
          <w:szCs w:val="32"/>
          <w:highlight w:val="none"/>
        </w:rPr>
      </w:pPr>
      <w:r>
        <w:rPr>
          <w:rFonts w:hint="eastAsia" w:ascii="宋体" w:hAnsi="宋体" w:cs="宋体"/>
          <w:color w:val="auto"/>
          <w:sz w:val="24"/>
          <w:highlight w:val="none"/>
        </w:rPr>
        <w:t xml:space="preserve">8.1 </w:t>
      </w:r>
      <w:r>
        <w:rPr>
          <w:rFonts w:hint="eastAsia" w:hAnsi="宋体" w:cs="宋体"/>
          <w:color w:val="auto"/>
          <w:sz w:val="24"/>
          <w:szCs w:val="32"/>
          <w:highlight w:val="none"/>
        </w:rPr>
        <w:t xml:space="preserve">合同款项的支付方式及时间：签订合同后，按照江苏省财政资金支付规定支付。</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九、税费</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 本合同执行中的相关税费均由乙方负担。</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十、项目验收</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 甲方依法组织履约验收工作。</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10.3 对于实际使用人和甲方分离的项目，甲方邀请实际使用人参与验收。</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10.4 如有必要，甲方可邀请参加本项目磋商的其他供应商或第三方专业机构及专家参与验收，相关意见将作为验收结论的参考。</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十一、违约责任</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 甲方无正当理由拒绝接受乙方提供服务的，应向乙方偿付拒绝接受服务合同总额</w:t>
      </w:r>
      <w:r>
        <w:rPr>
          <w:rFonts w:hint="eastAsia" w:ascii="宋体" w:hAnsi="宋体" w:cs="宋体"/>
          <w:color w:val="auto"/>
          <w:sz w:val="24"/>
          <w:highlight w:val="none"/>
          <w:u w:val="single"/>
        </w:rPr>
        <w:t xml:space="preserve"> 5% </w:t>
      </w:r>
      <w:r>
        <w:rPr>
          <w:rFonts w:hint="eastAsia" w:ascii="宋体" w:hAnsi="宋体" w:cs="宋体"/>
          <w:color w:val="auto"/>
          <w:sz w:val="24"/>
          <w:highlight w:val="none"/>
        </w:rPr>
        <w:t xml:space="preserve">的违约金。</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11.2 </w:t>
      </w:r>
      <w:r>
        <w:rPr>
          <w:rFonts w:hint="eastAsia" w:ascii="宋体" w:hAnsi="宋体" w:cs="宋体"/>
          <w:color w:val="auto"/>
          <w:sz w:val="24"/>
          <w:highlight w:val="none"/>
        </w:rPr>
        <w:t xml:space="preserve">甲方无故逾期验收和办理支付手续的，应按逾期付款总额每日</w:t>
      </w:r>
      <w:r>
        <w:rPr>
          <w:rFonts w:hint="eastAsia" w:ascii="宋体" w:hAnsi="宋体" w:cs="宋体"/>
          <w:color w:val="auto"/>
          <w:sz w:val="24"/>
          <w:highlight w:val="none"/>
          <w:u w:val="single"/>
        </w:rPr>
        <w:t xml:space="preserve"> 0.5‰ </w:t>
      </w:r>
      <w:r>
        <w:rPr>
          <w:rFonts w:hint="eastAsia" w:ascii="宋体" w:hAnsi="宋体" w:cs="宋体"/>
          <w:color w:val="auto"/>
          <w:sz w:val="24"/>
          <w:highlight w:val="none"/>
        </w:rPr>
        <w:t xml:space="preserve">向乙方支付违约金。</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11.3 乙方逾期提供服务的，应按逾期提供服务合同总额每日</w:t>
      </w:r>
      <w:r>
        <w:rPr>
          <w:rFonts w:hint="eastAsia" w:ascii="宋体" w:hAnsi="宋体" w:cs="宋体"/>
          <w:color w:val="auto"/>
          <w:sz w:val="24"/>
          <w:highlight w:val="none"/>
          <w:u w:val="single"/>
        </w:rPr>
        <w:t xml:space="preserve"> 0.5‰ </w:t>
      </w:r>
      <w:r>
        <w:rPr>
          <w:rFonts w:hint="eastAsia" w:ascii="宋体" w:hAnsi="宋体" w:cs="宋体"/>
          <w:color w:val="auto"/>
          <w:sz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宋体"/>
          <w:color w:val="auto"/>
          <w:sz w:val="24"/>
          <w:highlight w:val="none"/>
        </w:rPr>
        <w:t xml:space="preserve">，应向甲方支付合同总额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5% </w:t>
      </w:r>
      <w:r>
        <w:rPr>
          <w:rFonts w:hint="eastAsia" w:ascii="宋体" w:hAnsi="宋体" w:cs="宋体"/>
          <w:color w:val="auto"/>
          <w:sz w:val="24"/>
          <w:highlight w:val="none"/>
        </w:rPr>
        <w:t xml:space="preserve">的违约金。</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 乙方所提供服务的标准不符合合同规定及磋商文件规定标准的，甲方有权拒绝接受服务，并可单方面解除合同。</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十二、不可抗力事件处理</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12.1 在合同有效期内，任何一方因不可抗力事件导致不能履行合同，则合同履行期可延长，其延长期与不可抗力影响期相同。</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12.2 不可抗力事件发生后，应立即通知对方并寄送有关权威机构出具的证明。</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12.3 不可抗力事件延续120天以上，双方应通过友好协商，确定是否继续履行合同。</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十三、解决争议的方法</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13.1 双方在签订、履行合同中所发生的一切争议，应通过友好协商解决。如协商不成的，由甲方住所地人民法院管辖。</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十四、合同生效及其它</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14.1 本合同经双方加盖单位公章后生效。</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14.2 本合同未尽事宜，遵照《中华人民共和国民法典》《中华人民共和国政府采购法》有关条文执行。</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14.3 本合同正本一式肆份，具有同等法律效力，甲方、乙方各执贰份。</w:t>
      </w:r>
      <w:r/>
    </w:p>
    <w:p>
      <w:pPr>
        <w:pStyle w:val="966"/>
        <w:spacing w:before="120" w:after="120"/>
        <w:rPr>
          <w:rFonts w:hint="eastAsia" w:hAnsi="宋体" w:cs="Courier New"/>
          <w:color w:val="auto"/>
          <w:sz w:val="24"/>
          <w:szCs w:val="24"/>
          <w:highlight w:val="none"/>
        </w:rPr>
      </w:pPr>
      <w:r>
        <w:rPr>
          <w:rFonts w:hint="eastAsia" w:hAnsi="宋体" w:cs="Courier New"/>
          <w:color w:val="auto"/>
          <w:sz w:val="24"/>
          <w:szCs w:val="24"/>
          <w:highlight w:val="none"/>
        </w:rPr>
      </w:r>
      <w:r/>
    </w:p>
    <w:p>
      <w:pPr>
        <w:pStyle w:val="966"/>
        <w:spacing w:before="120" w:after="120"/>
        <w:rPr>
          <w:rFonts w:hint="eastAsia" w:hAnsi="宋体" w:cs="Courier New"/>
          <w:color w:val="auto"/>
          <w:sz w:val="24"/>
          <w:szCs w:val="24"/>
          <w:highlight w:val="none"/>
        </w:rPr>
      </w:pPr>
      <w:r>
        <w:rPr>
          <w:rFonts w:hint="eastAsia" w:hAnsi="宋体" w:cs="Courier New"/>
          <w:color w:val="auto"/>
          <w:sz w:val="24"/>
          <w:szCs w:val="24"/>
          <w:highlight w:val="none"/>
        </w:rPr>
      </w:r>
      <w:r/>
    </w:p>
    <w:p>
      <w:pPr>
        <w:pStyle w:val="966"/>
        <w:ind w:firstLine="240"/>
        <w:spacing w:before="120" w:after="120" w:line="360"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甲方：江苏省自然资源厅（公章）       乙方：</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（公章） </w:t>
      </w:r>
      <w:r/>
    </w:p>
    <w:p>
      <w:pPr>
        <w:pStyle w:val="966"/>
        <w:spacing w:before="120" w:after="120" w:line="360" w:lineRule="auto"/>
        <w:rPr>
          <w:rFonts w:hint="eastAsia" w:hAnsi="宋体" w:eastAsia="宋体" w:cs="Courier New"/>
          <w:color w:val="auto"/>
          <w:sz w:val="24"/>
          <w:szCs w:val="24"/>
          <w:highlight w:val="none"/>
          <w:lang w:eastAsia="zh-CN"/>
        </w:rPr>
      </w:pPr>
      <w:r>
        <w:rPr>
          <w:rFonts w:hint="eastAsia" w:hAnsi="宋体" w:cs="Courier New"/>
          <w:color w:val="auto"/>
          <w:sz w:val="24"/>
          <w:szCs w:val="24"/>
          <w:highlight w:val="none"/>
        </w:rPr>
        <w:t xml:space="preserve">  地址： 南京市水西门大街58号         地址：</w:t>
      </w:r>
      <w:r>
        <w:rPr>
          <w:rFonts w:hint="eastAsia" w:hAnsi="宋体" w:cs="Courier New"/>
          <w:color w:val="auto"/>
          <w:sz w:val="24"/>
          <w:szCs w:val="24"/>
          <w:highlight w:val="none"/>
          <w:lang w:val="en-US" w:eastAsia="zh-CN"/>
        </w:rPr>
        <w:t xml:space="preserve"> </w:t>
      </w:r>
      <w:r/>
    </w:p>
    <w:p>
      <w:pPr>
        <w:pStyle w:val="966"/>
        <w:spacing w:before="120" w:after="120" w:line="360"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  法定代表人或授权代表：               法定代表人或授权代表：</w:t>
      </w:r>
      <w:r/>
    </w:p>
    <w:p>
      <w:pPr>
        <w:pStyle w:val="966"/>
        <w:ind w:firstLine="240"/>
        <w:spacing w:before="120" w:after="120" w:line="360"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联系电话：</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               联系电话：</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   </w:t>
      </w:r>
      <w:r/>
    </w:p>
    <w:p>
      <w:pPr>
        <w:pStyle w:val="966"/>
        <w:spacing w:before="120" w:after="120"/>
        <w:rPr>
          <w:rFonts w:hint="eastAsia" w:hAnsi="宋体" w:cs="Courier New"/>
          <w:color w:val="auto"/>
          <w:sz w:val="24"/>
          <w:szCs w:val="24"/>
          <w:highlight w:val="none"/>
        </w:rPr>
      </w:pPr>
      <w:r>
        <w:rPr>
          <w:rFonts w:hint="eastAsia" w:hAnsi="宋体" w:cs="Courier New"/>
          <w:color w:val="auto"/>
          <w:sz w:val="24"/>
          <w:szCs w:val="24"/>
          <w:highlight w:val="none"/>
        </w:rPr>
        <w:t xml:space="preserve">                                          </w:t>
      </w:r>
      <w:r/>
    </w:p>
    <w:p>
      <w:pPr>
        <w:rPr>
          <w:rFonts w:ascii="Microsoft New Tai Lue" w:hAnsi="Microsoft New Tai Lue" w:cs="Microsoft New Tai Lue"/>
          <w:color w:val="auto"/>
          <w:highlight w:val="none"/>
        </w:rPr>
      </w:pPr>
      <w:r>
        <w:rPr>
          <w:rFonts w:hint="eastAsia" w:hAnsi="宋体" w:cs="Courier New"/>
          <w:color w:val="auto"/>
          <w:sz w:val="24"/>
          <w:szCs w:val="24"/>
          <w:highlight w:val="none"/>
        </w:rPr>
        <w:t xml:space="preserve">签订日期：      年    月   日</w:t>
      </w:r>
      <w:r>
        <w:rPr>
          <w:rFonts w:ascii="Microsoft New Tai Lue" w:hAnsi="Microsoft New Tai Lue" w:cs="Microsoft New Tai Lue"/>
          <w:color w:val="auto"/>
          <w:highlight w:val="none"/>
        </w:rPr>
        <w:br w:type="page" w:clear="all"/>
      </w:r>
      <w:r/>
    </w:p>
    <w:p>
      <w:pPr>
        <w:jc w:val="center"/>
        <w:rPr>
          <w:rFonts w:hint="eastAsia"/>
          <w:color w:val="auto"/>
          <w:highlight w:val="none"/>
        </w:rPr>
      </w:pPr>
      <w:r>
        <w:rPr>
          <w:rFonts w:hint="eastAsia" w:ascii="宋体" w:hAnsi="宋体" w:cs="宋体"/>
          <w:b/>
          <w:bCs/>
          <w:color w:val="auto"/>
          <w:sz w:val="32"/>
          <w:szCs w:val="32"/>
          <w:highlight w:val="none"/>
        </w:rPr>
        <w:t xml:space="preserve">《*******合同》补充协议（合同附件）</w:t>
      </w:r>
      <w:r/>
    </w:p>
    <w:p>
      <w:pPr>
        <w:pStyle w:val="762"/>
        <w:jc w:val="center"/>
        <w:rPr>
          <w:rFonts w:hint="eastAsia"/>
          <w:color w:val="auto"/>
          <w:highlight w:val="none"/>
        </w:rPr>
      </w:pPr>
      <w:r>
        <w:rPr>
          <w:rFonts w:hint="eastAsia"/>
          <w:color w:val="auto"/>
          <w:highlight w:val="none"/>
        </w:rPr>
        <w:t xml:space="preserve">如遇磋商文件及合同未约定事项，双方可友好协商签订补充协议。</w:t>
      </w:r>
      <w:r/>
    </w:p>
    <w:p>
      <w:pPr>
        <w:rPr>
          <w:rFonts w:hint="eastAsia"/>
          <w:color w:val="auto"/>
          <w:highlight w:val="none"/>
        </w:rPr>
      </w:pPr>
      <w:r>
        <w:rPr>
          <w:rFonts w:hint="eastAsia"/>
          <w:color w:val="auto"/>
          <w:highlight w:val="none"/>
        </w:rPr>
        <w:br w:type="page" w:clear="all"/>
      </w:r>
      <w:r/>
    </w:p>
    <w:p>
      <w:pPr>
        <w:pStyle w:val="751"/>
        <w:jc w:val="center"/>
        <w:rPr>
          <w:rFonts w:hint="eastAsia" w:ascii="宋体" w:hAnsi="宋体" w:eastAsia="宋体" w:cs="宋体"/>
          <w:b/>
          <w:bCs/>
          <w:color w:val="auto"/>
          <w:sz w:val="32"/>
          <w:szCs w:val="32"/>
          <w:highlight w:val="none"/>
          <w:lang w:val="en-US" w:eastAsia="zh-CN" w:bidi="ar-SA"/>
        </w:rPr>
      </w:pPr>
      <w:r/>
      <w:bookmarkStart w:id="205" w:name="_Toc24672"/>
      <w:r>
        <w:rPr>
          <w:rFonts w:hint="eastAsia" w:ascii="宋体" w:hAnsi="宋体" w:eastAsia="宋体" w:cs="宋体"/>
          <w:b/>
          <w:bCs/>
          <w:color w:val="auto"/>
          <w:sz w:val="32"/>
          <w:szCs w:val="32"/>
          <w:highlight w:val="none"/>
          <w:lang w:val="en-US" w:eastAsia="zh-CN" w:bidi="ar-SA"/>
        </w:rPr>
        <w:t xml:space="preserve">第四章 采购需求</w:t>
      </w:r>
      <w:bookmarkEnd w:id="205"/>
      <w:r/>
      <w:r/>
    </w:p>
    <w:p>
      <w:pPr>
        <w:pStyle w:val="762"/>
        <w:numPr>
          <w:ilvl w:val="0"/>
          <w:numId w:val="0"/>
        </w:numPr>
        <w:ind w:firstLine="410"/>
        <w:jc w:val="both"/>
        <w:keepLines w:val="0"/>
        <w:keepNext w:val="0"/>
        <w:pageBreakBefore w:val="0"/>
        <w:spacing w:after="0" w:line="360" w:lineRule="auto"/>
        <w:widowControl w:val="off"/>
        <w:rPr>
          <w:rFonts w:hint="eastAsia" w:ascii="宋体" w:hAnsi="宋体" w:cs="宋体"/>
          <w:bCs/>
          <w:color w:val="auto"/>
          <w:sz w:val="21"/>
          <w:szCs w:val="21"/>
          <w:highlight w:val="none"/>
          <w:lang w:eastAsia="zh-CN"/>
        </w:rPr>
      </w:pPr>
      <w:r>
        <w:rPr>
          <w:rFonts w:hint="eastAsia" w:ascii="宋体" w:hAnsi="宋体" w:cs="宋体"/>
          <w:b/>
          <w:bCs/>
          <w:color w:val="auto"/>
          <w:spacing w:val="-3"/>
          <w:sz w:val="21"/>
          <w:szCs w:val="21"/>
          <w:highlight w:val="none"/>
        </w:rPr>
        <w:t xml:space="preserve">一、项目名称：</w:t>
      </w:r>
      <w:r>
        <w:rPr>
          <w:rFonts w:hint="eastAsia" w:ascii="宋体" w:hAnsi="宋体" w:cs="宋体"/>
          <w:bCs/>
          <w:color w:val="auto"/>
          <w:sz w:val="21"/>
          <w:szCs w:val="21"/>
          <w:highlight w:val="none"/>
          <w:lang w:eastAsia="zh-CN"/>
        </w:rPr>
        <w:t xml:space="preserve">2026年补充耕地指标交易平台管理[含补充耕地项目监管]</w:t>
      </w:r>
      <w:r/>
    </w:p>
    <w:p>
      <w:pPr>
        <w:pStyle w:val="762"/>
        <w:ind w:left="0" w:firstLine="422"/>
        <w:jc w:val="left"/>
        <w:keepLines w:val="0"/>
        <w:keepNext w:val="0"/>
        <w:pageBreakBefore w:val="0"/>
        <w:spacing w:after="0" w:line="360" w:lineRule="auto"/>
        <w:widowControl w:val="off"/>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项目</w:t>
      </w:r>
      <w:r>
        <w:rPr>
          <w:rFonts w:hint="eastAsia" w:ascii="宋体" w:hAnsi="宋体"/>
          <w:b/>
          <w:bCs/>
          <w:color w:val="auto"/>
          <w:sz w:val="21"/>
          <w:szCs w:val="21"/>
          <w:highlight w:val="none"/>
          <w:lang w:val="en-US" w:eastAsia="zh-CN"/>
        </w:rPr>
        <w:t xml:space="preserve">内容</w:t>
      </w:r>
      <w:r/>
    </w:p>
    <w:p>
      <w:pPr>
        <w:ind w:left="0"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eastAsia="宋体" w:cs="Times New Roman"/>
          <w:color w:val="auto"/>
          <w:sz w:val="21"/>
          <w:szCs w:val="21"/>
          <w:highlight w:val="none"/>
        </w:rPr>
        <w:t xml:space="preserve">按要求开展202</w:t>
      </w: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rPr>
        <w:t xml:space="preserve">年补充耕地指标交易平台管理工作和补充耕地项目的监管工作，在规定时间内完成相关技术服务工作，形成相关成果数据、工作分析报告。工作主要包括以下内容：江苏省补充耕地指标交易平台管理工作，开展对拟交易项目进行内、外业的审核；补充耕地项目立项阶段、验收阶段的合规性进行监管。</w:t>
      </w:r>
      <w:r/>
    </w:p>
    <w:p>
      <w:pPr>
        <w:ind w:left="0" w:firstLine="422"/>
        <w:jc w:val="left"/>
        <w:keepLines w:val="0"/>
        <w:keepNext w:val="0"/>
        <w:pageBreakBefore w:val="0"/>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三</w:t>
      </w:r>
      <w:r>
        <w:rPr>
          <w:rFonts w:hint="eastAsia" w:ascii="宋体" w:hAnsi="宋体"/>
          <w:b/>
          <w:bCs/>
          <w:color w:val="auto"/>
          <w:sz w:val="21"/>
          <w:szCs w:val="21"/>
          <w:highlight w:val="none"/>
        </w:rPr>
        <w:t xml:space="preserve">、采购标的需实现的功能及标准、规范</w:t>
      </w:r>
      <w:r/>
    </w:p>
    <w:p>
      <w:pPr>
        <w:ind w:left="0"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按照国家和省要求的相关标准，完成补充耕地指标交易平台管理工作</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含补充耕地项目监管</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,确保各项工作保质保量完成，符合相关要求。</w:t>
      </w:r>
      <w:r/>
    </w:p>
    <w:p>
      <w:pPr>
        <w:ind w:left="0" w:firstLine="422"/>
        <w:jc w:val="left"/>
        <w:keepLines w:val="0"/>
        <w:keepNext w:val="0"/>
        <w:pageBreakBefore w:val="0"/>
        <w:spacing w:line="360" w:lineRule="auto"/>
        <w:widowControl w:val="off"/>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四、工作目标</w:t>
      </w:r>
      <w:r/>
    </w:p>
    <w:p>
      <w:pPr>
        <w:ind w:left="0" w:firstLine="420"/>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按照</w:t>
      </w:r>
      <w:r>
        <w:rPr>
          <w:rFonts w:hint="eastAsia" w:ascii="宋体" w:hAnsi="宋体"/>
          <w:color w:val="auto"/>
          <w:sz w:val="21"/>
          <w:szCs w:val="21"/>
          <w:highlight w:val="none"/>
          <w:lang w:val="en-US" w:eastAsia="zh-CN"/>
        </w:rPr>
        <w:t xml:space="preserve">采购人</w:t>
      </w:r>
      <w:r>
        <w:rPr>
          <w:rFonts w:hint="eastAsia" w:ascii="宋体" w:hAnsi="宋体"/>
          <w:color w:val="auto"/>
          <w:sz w:val="21"/>
          <w:szCs w:val="21"/>
          <w:highlight w:val="none"/>
        </w:rPr>
        <w:t xml:space="preserve">要求开展补充耕地指标交易平台管理工作</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含补充耕地项目监管</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，并协助做好相关工作，确保成果数据和报告符合相关要求。</w:t>
      </w:r>
      <w:r/>
    </w:p>
    <w:p>
      <w:pPr>
        <w:ind w:left="420" w:firstLine="0"/>
        <w:jc w:val="left"/>
        <w:keepLines w:val="0"/>
        <w:keepNext w:val="0"/>
        <w:pageBreakBefore w:val="0"/>
        <w:spacing w:line="360" w:lineRule="auto"/>
        <w:widowControl w:val="off"/>
        <w:rPr>
          <w:rFonts w:hint="eastAsia" w:ascii="宋体" w:hAnsi="宋体"/>
          <w:b/>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五</w:t>
      </w:r>
      <w:r>
        <w:rPr>
          <w:rFonts w:hint="eastAsia" w:ascii="宋体" w:hAnsi="宋体"/>
          <w:b/>
          <w:color w:val="auto"/>
          <w:sz w:val="21"/>
          <w:szCs w:val="21"/>
          <w:highlight w:val="none"/>
          <w:lang w:val="en-US" w:eastAsia="zh-CN"/>
        </w:rPr>
        <w:t xml:space="preserve">、服务要求</w:t>
      </w:r>
      <w:r/>
    </w:p>
    <w:p>
      <w:pPr>
        <w:ind w:left="420" w:firstLine="0"/>
        <w:jc w:val="left"/>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b/>
          <w:color w:val="auto"/>
          <w:sz w:val="21"/>
          <w:szCs w:val="21"/>
          <w:highlight w:val="none"/>
          <w:lang w:val="en-US" w:eastAsia="zh-CN"/>
        </w:rPr>
        <w:t xml:space="preserve">（一）</w:t>
      </w:r>
      <w:r>
        <w:rPr>
          <w:rFonts w:hint="eastAsia" w:ascii="宋体" w:hAnsi="宋体"/>
          <w:b/>
          <w:color w:val="auto"/>
          <w:sz w:val="21"/>
          <w:szCs w:val="21"/>
          <w:highlight w:val="none"/>
        </w:rPr>
        <w:t xml:space="preserve">交付时间</w:t>
      </w:r>
      <w:r>
        <w:rPr>
          <w:rFonts w:hint="eastAsia" w:ascii="宋体" w:hAnsi="宋体"/>
          <w:b/>
          <w:color w:val="auto"/>
          <w:sz w:val="21"/>
          <w:szCs w:val="21"/>
          <w:highlight w:val="none"/>
          <w:lang w:eastAsia="zh-CN"/>
        </w:rPr>
        <w:t xml:space="preserve">：</w:t>
      </w: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12</w:t>
      </w:r>
      <w:r>
        <w:rPr>
          <w:rFonts w:hint="eastAsia" w:ascii="宋体" w:hAnsi="宋体"/>
          <w:color w:val="auto"/>
          <w:sz w:val="21"/>
          <w:szCs w:val="21"/>
          <w:highlight w:val="none"/>
        </w:rPr>
        <w:t xml:space="preserve">月3</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日前</w:t>
      </w:r>
      <w:r>
        <w:rPr>
          <w:rFonts w:hint="eastAsia" w:ascii="宋体" w:hAnsi="宋体"/>
          <w:color w:val="auto"/>
          <w:sz w:val="21"/>
          <w:szCs w:val="21"/>
          <w:highlight w:val="none"/>
          <w:lang w:eastAsia="zh-CN"/>
        </w:rPr>
        <w:t xml:space="preserve">。</w:t>
      </w:r>
      <w:r/>
    </w:p>
    <w:p>
      <w:pPr>
        <w:ind w:left="0" w:firstLine="422"/>
        <w:jc w:val="left"/>
        <w:keepLines w:val="0"/>
        <w:keepNext w:val="0"/>
        <w:pageBreakBefore w:val="0"/>
        <w:spacing w:line="360" w:lineRule="auto"/>
        <w:widowControl w:val="off"/>
        <w:rPr>
          <w:rFonts w:ascii="宋体" w:hAnsi="宋体"/>
          <w:color w:val="auto"/>
          <w:sz w:val="21"/>
          <w:szCs w:val="21"/>
          <w:highlight w:val="none"/>
        </w:rPr>
      </w:pP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二</w:t>
      </w:r>
      <w:r>
        <w:rPr>
          <w:rFonts w:hint="eastAsia" w:ascii="宋体" w:hAnsi="宋体"/>
          <w:b/>
          <w:color w:val="auto"/>
          <w:sz w:val="21"/>
          <w:szCs w:val="21"/>
          <w:highlight w:val="none"/>
        </w:rPr>
        <w:t xml:space="preserve">）交付地点</w:t>
      </w:r>
      <w:r>
        <w:rPr>
          <w:rFonts w:hint="eastAsia" w:ascii="宋体" w:hAnsi="宋体"/>
          <w:b/>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采购人指定地点</w:t>
      </w:r>
      <w:r>
        <w:rPr>
          <w:rFonts w:hint="eastAsia" w:ascii="宋体" w:hAnsi="宋体" w:eastAsia="宋体" w:cs="Times New Roman"/>
          <w:color w:val="auto"/>
          <w:sz w:val="21"/>
          <w:szCs w:val="21"/>
          <w:highlight w:val="none"/>
        </w:rPr>
        <w:t xml:space="preserve">。</w:t>
      </w:r>
      <w:r/>
    </w:p>
    <w:p>
      <w:pPr>
        <w:ind w:left="0" w:firstLine="422"/>
        <w:jc w:val="left"/>
        <w:keepLines w:val="0"/>
        <w:keepNext w:val="0"/>
        <w:pageBreakBefore w:val="0"/>
        <w:spacing w:line="360" w:lineRule="auto"/>
        <w:widowControl w:val="off"/>
        <w:rPr>
          <w:rFonts w:hint="eastAsia" w:ascii="宋体" w:hAnsi="宋体" w:eastAsia="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六</w:t>
      </w:r>
      <w:r>
        <w:rPr>
          <w:rFonts w:hint="eastAsia" w:ascii="宋体" w:hAnsi="宋体" w:eastAsia="宋体" w:cs="Times New Roman"/>
          <w:b/>
          <w:bCs/>
          <w:color w:val="auto"/>
          <w:sz w:val="21"/>
          <w:szCs w:val="21"/>
          <w:highlight w:val="none"/>
          <w:lang w:val="en-US" w:eastAsia="zh-CN"/>
        </w:rPr>
        <w:t xml:space="preserve">、验收标准</w:t>
      </w:r>
      <w:r/>
    </w:p>
    <w:p>
      <w:pPr>
        <w:ind w:left="0" w:firstLine="420"/>
        <w:jc w:val="left"/>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项目成果符合国家和省自然资源相关标准，完成相关工作，形成补充耕地指标交易平台管理工作</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含补充耕地项目监管</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，并协助甲方对成果质量进行评价。</w:t>
      </w:r>
      <w:r/>
    </w:p>
    <w:p>
      <w:pPr>
        <w:ind w:left="0" w:firstLine="420"/>
        <w:jc w:val="left"/>
        <w:keepLines w:val="0"/>
        <w:keepNext w:val="0"/>
        <w:pageBreakBefore w:val="0"/>
        <w:spacing w:line="360" w:lineRule="auto"/>
        <w:widowControl w:val="off"/>
        <w:rPr>
          <w:color w:val="auto"/>
          <w:highlight w:val="none"/>
        </w:rPr>
      </w:pPr>
      <w:r>
        <w:rPr>
          <w:rFonts w:hint="eastAsia" w:ascii="宋体" w:hAnsi="宋体"/>
          <w:b/>
          <w:bCs/>
          <w:color w:val="auto"/>
          <w:sz w:val="21"/>
          <w:szCs w:val="21"/>
          <w:highlight w:val="none"/>
          <w:lang w:val="en-US" w:eastAsia="zh-CN"/>
        </w:rPr>
        <w:t xml:space="preserve">七</w:t>
      </w:r>
      <w:r>
        <w:rPr>
          <w:rFonts w:hint="eastAsia" w:ascii="宋体" w:hAnsi="宋体"/>
          <w:b/>
          <w:bCs/>
          <w:color w:val="auto"/>
          <w:sz w:val="21"/>
          <w:szCs w:val="21"/>
          <w:highlight w:val="none"/>
        </w:rPr>
        <w:t xml:space="preserve">、付款条</w:t>
      </w:r>
      <w:r>
        <w:rPr>
          <w:rFonts w:hint="eastAsia" w:ascii="宋体" w:hAnsi="宋体"/>
          <w:b/>
          <w:bCs/>
          <w:color w:val="auto"/>
          <w:sz w:val="21"/>
          <w:szCs w:val="21"/>
          <w:highlight w:val="none"/>
        </w:rPr>
        <w:t xml:space="preserve">件</w:t>
      </w:r>
      <w:r>
        <w:rPr>
          <w:rFonts w:hint="eastAsia" w:ascii="宋体" w:hAnsi="宋体"/>
          <w:b/>
          <w:bCs/>
          <w:color w:val="auto"/>
          <w:sz w:val="21"/>
          <w:szCs w:val="21"/>
          <w:highlight w:val="none"/>
          <w:lang w:eastAsia="zh-CN"/>
        </w:rPr>
        <w:t xml:space="preserve">：</w:t>
      </w:r>
      <w:r>
        <w:rPr>
          <w:rFonts w:hint="eastAsia" w:ascii="宋体" w:hAnsi="宋体"/>
          <w:color w:val="auto"/>
          <w:sz w:val="21"/>
          <w:szCs w:val="21"/>
          <w:highlight w:val="none"/>
        </w:rPr>
        <w:t xml:space="preserve">签订合同后，按照江苏省财政资金支付规定支付。</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r/>
    </w:p>
    <w:p>
      <w:pPr>
        <w:pStyle w:val="1029"/>
        <w:spacing w:before="0" w:after="0"/>
        <w:rPr>
          <w:rStyle w:val="994"/>
          <w:rFonts w:hint="eastAsia" w:ascii="宋体" w:hAnsi="宋体" w:cs="宋体"/>
          <w:b/>
          <w:bCs/>
          <w:color w:val="auto"/>
          <w:highlight w:val="none"/>
        </w:rPr>
      </w:pPr>
      <w:r/>
      <w:bookmarkStart w:id="206" w:name="_Toc26396"/>
      <w:r>
        <w:rPr>
          <w:rFonts w:hint="eastAsia" w:ascii="宋体" w:hAnsi="宋体" w:cs="宋体"/>
          <w:color w:val="auto"/>
          <w:highlight w:val="none"/>
        </w:rPr>
        <w:t xml:space="preserve">第五章 评审方法与评审标准</w:t>
      </w:r>
      <w:bookmarkEnd w:id="206"/>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一、评审方法</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磋商小组将对确定为实质性响应磋商文件要求的响应文件进行评价和比较，评审采用综合评分法。</w:t>
      </w:r>
      <w:r>
        <w:rPr>
          <w:rFonts w:hint="eastAsia" w:ascii="宋体" w:hAnsi="宋体" w:cs="宋体"/>
          <w:bCs/>
          <w:color w:val="auto"/>
          <w:szCs w:val="21"/>
          <w:highlight w:val="none"/>
        </w:rPr>
        <w:t xml:space="preserve">评标结果按评审后得分由高到低顺序排列。响应文件满足磋商文件全部实质性要求，且综合得分最高的供应商将作为排名第一的成交候选人。</w:t>
      </w:r>
      <w:r>
        <w:rPr>
          <w:rFonts w:hint="eastAsia" w:ascii="宋体" w:hAnsi="宋体" w:cs="宋体"/>
          <w:color w:val="auto"/>
          <w:szCs w:val="21"/>
          <w:highlight w:val="none"/>
        </w:rPr>
        <w:t xml:space="preserve">评审得分相同的，按照最终报价由低到高的顺序推荐。评审得分且最终报价相同的，按照技术指标（服务内容）优劣顺序推荐。</w:t>
      </w:r>
      <w:r/>
    </w:p>
    <w:p>
      <w:pPr>
        <w:ind w:firstLine="420"/>
        <w:jc w:val="left"/>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本项目为竞争性磋商采购，磋商供应商将需要进行两轮报价。第一轮报价随响应文件递交。第二轮报价在磋商小组完成响应文件评审、并就相关问题同各</w:t>
      </w:r>
      <w:r>
        <w:rPr>
          <w:rFonts w:hint="eastAsia" w:ascii="宋体" w:hAnsi="宋体" w:cs="宋体"/>
          <w:bCs/>
          <w:color w:val="auto"/>
          <w:szCs w:val="21"/>
          <w:highlight w:val="none"/>
          <w:lang w:val="en-US" w:eastAsia="zh-CN"/>
        </w:rPr>
        <w:t xml:space="preserve">有效</w:t>
      </w:r>
      <w:r>
        <w:rPr>
          <w:rFonts w:hint="eastAsia" w:ascii="宋体" w:hAnsi="宋体" w:cs="宋体"/>
          <w:bCs/>
          <w:color w:val="auto"/>
          <w:szCs w:val="21"/>
          <w:highlight w:val="none"/>
        </w:rPr>
        <w:t xml:space="preserve">供应商磋商结束后，</w:t>
      </w:r>
      <w:r>
        <w:rPr>
          <w:rFonts w:hint="eastAsia" w:ascii="宋体" w:hAnsi="宋体" w:cs="宋体"/>
          <w:bCs/>
          <w:color w:val="auto"/>
          <w:szCs w:val="21"/>
          <w:highlight w:val="none"/>
          <w:lang w:val="en-US" w:eastAsia="zh-CN"/>
        </w:rPr>
        <w:t xml:space="preserve">各供应商通过苏采云系统</w:t>
      </w:r>
      <w:r>
        <w:rPr>
          <w:rFonts w:hint="eastAsia" w:ascii="宋体" w:hAnsi="宋体" w:cs="宋体"/>
          <w:bCs/>
          <w:color w:val="auto"/>
          <w:szCs w:val="21"/>
          <w:highlight w:val="none"/>
        </w:rPr>
        <w:t xml:space="preserve">递交（</w:t>
      </w:r>
      <w:r>
        <w:rPr>
          <w:rFonts w:hint="eastAsia" w:ascii="宋体" w:hAnsi="宋体" w:cs="宋体"/>
          <w:b/>
          <w:color w:val="auto"/>
          <w:szCs w:val="21"/>
          <w:highlight w:val="none"/>
        </w:rPr>
        <w:t xml:space="preserve">第二轮报价即为最终报价，作为价格分计算依据</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磋商小组对磋商供应商的两轮报价均将进行封闭评审，不进行公开唱标。</w:t>
      </w:r>
      <w:r/>
    </w:p>
    <w:p>
      <w:pPr>
        <w:ind w:firstLine="422"/>
        <w:jc w:val="left"/>
        <w:spacing w:line="360" w:lineRule="auto"/>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磋商小组未实质性变动磋商文件的，磋商供应商的最终报价不得高于首轮报价，否则将视为无效报价。最终报价须按规定填写，并由磋商供应商法定代表人（或授权代表）签字或者盖章，如最终报价出现字迹无法辨认、无法确认报价金额、未按要求签署等情况将视为无效报价。供应商如未在规定时间内递交第二轮报价（最终报价）或递交无效报价，将视为自行退出磋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二、异常低价处理</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（一）采购评审中出现下列情形之一的，评审委员会应当启动异常低价投标（响应）审查程序：</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3.投标（响应）报价低于采购项目最高限价45%的，即投标（响应）报价&lt;采购项目最高限价×45%（未设定最高限价的采购项目，以采购项目预算金额作为最高限价）；</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4.评审委员会基于专业判断，认为供应商报价过低，有可能影响产品质量或者不能诚信履约的其他情形。</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762"/>
        <w:rPr>
          <w:rFonts w:hint="eastAsia"/>
          <w:color w:val="auto"/>
          <w:highlight w:val="none"/>
        </w:rPr>
      </w:pPr>
      <w:r>
        <w:rPr>
          <w:rFonts w:hint="eastAsia" w:ascii="宋体" w:hAnsi="宋体" w:eastAsia="宋体" w:cs="宋体"/>
          <w:bCs/>
          <w:color w:val="auto"/>
          <w:szCs w:val="21"/>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bl>
      <w:tblPr>
        <w:tblStyle w:val="761"/>
        <w:tblW w:w="9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056"/>
        <w:gridCol w:w="7011"/>
        <w:gridCol w:w="761"/>
      </w:tblGrid>
      <w:tr>
        <w:trPr>
          <w:jc w:val="center"/>
          <w:trHeight w:val="377"/>
          <w:tblHeader/>
        </w:trPr>
        <w:tc>
          <w:tcPr>
            <w:tcW w:w="58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105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评分因素</w:t>
            </w:r>
            <w:r/>
          </w:p>
        </w:tc>
        <w:tc>
          <w:tcPr>
            <w:tcW w:w="701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评审标准</w:t>
            </w:r>
            <w:r/>
          </w:p>
        </w:tc>
        <w:tc>
          <w:tcPr>
            <w:tcW w:w="76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分值</w:t>
            </w:r>
            <w:r/>
          </w:p>
        </w:tc>
      </w:tr>
      <w:tr>
        <w:trPr>
          <w:jc w:val="center"/>
          <w:trHeight w:val="1059"/>
          <w:tblHeader/>
        </w:trPr>
        <w:tc>
          <w:tcPr>
            <w:tcW w:w="58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05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价格</w:t>
            </w:r>
            <w:r/>
          </w:p>
          <w:p>
            <w:pPr>
              <w:jc w:val="center"/>
              <w:rPr>
                <w:rFonts w:hint="eastAsia"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分）</w:t>
            </w:r>
            <w:r/>
          </w:p>
        </w:tc>
        <w:tc>
          <w:tcPr>
            <w:tcW w:w="7011" w:type="dxa"/>
            <w:vAlign w:val="center"/>
            <w:textDirection w:val="lrTb"/>
            <w:noWrap w:val="false"/>
          </w:tcPr>
          <w:p>
            <w:pPr>
              <w:ind w:firstLine="420"/>
              <w:rPr>
                <w:rFonts w:hint="eastAsia" w:ascii="宋体" w:hAnsi="宋体" w:cs="Arial"/>
                <w:color w:val="auto"/>
                <w:szCs w:val="21"/>
                <w:highlight w:val="none"/>
              </w:rPr>
            </w:pPr>
            <w:r>
              <w:rPr>
                <w:rFonts w:hint="eastAsia" w:ascii="宋体" w:hAnsi="宋体"/>
                <w:color w:val="auto"/>
                <w:szCs w:val="21"/>
                <w:highlight w:val="none"/>
              </w:rPr>
              <w:t xml:space="preserve">采用低价优先法计算，</w:t>
            </w:r>
            <w:r>
              <w:rPr>
                <w:rFonts w:ascii="宋体" w:hAnsi="宋体" w:cs="Arial"/>
                <w:color w:val="auto"/>
                <w:szCs w:val="21"/>
                <w:highlight w:val="none"/>
              </w:rPr>
              <w:t xml:space="preserve">即满足</w:t>
            </w:r>
            <w:r>
              <w:rPr>
                <w:rFonts w:hint="eastAsia" w:ascii="宋体" w:hAnsi="宋体" w:cs="Arial"/>
                <w:color w:val="auto"/>
                <w:szCs w:val="21"/>
                <w:highlight w:val="none"/>
              </w:rPr>
              <w:t xml:space="preserve">采购</w:t>
            </w:r>
            <w:r>
              <w:rPr>
                <w:rFonts w:ascii="宋体" w:hAnsi="宋体" w:cs="Arial"/>
                <w:color w:val="auto"/>
                <w:szCs w:val="21"/>
                <w:highlight w:val="none"/>
              </w:rPr>
              <w:t xml:space="preserve">文件要求且</w:t>
            </w:r>
            <w:r>
              <w:rPr>
                <w:rFonts w:hint="eastAsia" w:ascii="宋体" w:hAnsi="宋体" w:cs="Arial"/>
                <w:color w:val="auto"/>
                <w:szCs w:val="21"/>
                <w:highlight w:val="none"/>
              </w:rPr>
              <w:t xml:space="preserve">采购响应</w:t>
            </w:r>
            <w:r>
              <w:rPr>
                <w:rFonts w:ascii="宋体" w:hAnsi="宋体" w:cs="Arial"/>
                <w:color w:val="auto"/>
                <w:szCs w:val="21"/>
                <w:highlight w:val="none"/>
              </w:rPr>
              <w:t xml:space="preserve">价格最低的</w:t>
            </w:r>
            <w:r>
              <w:rPr>
                <w:rFonts w:hint="eastAsia" w:ascii="宋体" w:hAnsi="宋体" w:cs="Arial"/>
                <w:color w:val="auto"/>
                <w:szCs w:val="21"/>
                <w:highlight w:val="none"/>
              </w:rPr>
              <w:t xml:space="preserve">响应</w:t>
            </w:r>
            <w:r>
              <w:rPr>
                <w:rFonts w:ascii="宋体" w:hAnsi="宋体" w:cs="Arial"/>
                <w:color w:val="auto"/>
                <w:szCs w:val="21"/>
                <w:highlight w:val="none"/>
              </w:rPr>
              <w:t xml:space="preserve">报价为评标基准价</w:t>
            </w:r>
            <w:r>
              <w:rPr>
                <w:rFonts w:hint="eastAsia" w:ascii="宋体" w:hAnsi="宋体" w:cs="Arial"/>
                <w:color w:val="auto"/>
                <w:szCs w:val="21"/>
                <w:highlight w:val="none"/>
              </w:rPr>
              <w:t xml:space="preserve">，</w:t>
            </w:r>
            <w:r>
              <w:rPr>
                <w:rFonts w:ascii="宋体" w:hAnsi="宋体" w:cs="Arial"/>
                <w:color w:val="auto"/>
                <w:szCs w:val="21"/>
                <w:highlight w:val="none"/>
              </w:rPr>
              <w:t xml:space="preserve">其价格分为满分。</w:t>
            </w:r>
            <w:r/>
          </w:p>
          <w:p>
            <w:pPr>
              <w:ind w:firstLine="420"/>
              <w:rPr>
                <w:rFonts w:hint="eastAsia" w:ascii="宋体" w:hAnsi="宋体"/>
                <w:color w:val="auto"/>
                <w:szCs w:val="21"/>
                <w:highlight w:val="none"/>
              </w:rPr>
            </w:pPr>
            <w:r>
              <w:rPr>
                <w:rFonts w:ascii="宋体" w:hAnsi="宋体" w:cs="Arial"/>
                <w:color w:val="auto"/>
                <w:szCs w:val="21"/>
                <w:highlight w:val="none"/>
              </w:rPr>
              <w:t xml:space="preserve">其他</w:t>
            </w:r>
            <w:r>
              <w:rPr>
                <w:rFonts w:hint="eastAsia" w:ascii="宋体" w:hAnsi="宋体" w:cs="Arial"/>
                <w:color w:val="auto"/>
                <w:szCs w:val="21"/>
                <w:highlight w:val="none"/>
              </w:rPr>
              <w:t xml:space="preserve">响应</w:t>
            </w:r>
            <w:r>
              <w:rPr>
                <w:rFonts w:ascii="宋体" w:hAnsi="宋体" w:cs="Arial"/>
                <w:color w:val="auto"/>
                <w:szCs w:val="21"/>
                <w:highlight w:val="none"/>
              </w:rPr>
              <w:t xml:space="preserve">人的价格分统一按照下列公式计算</w:t>
            </w:r>
            <w:r>
              <w:rPr>
                <w:rFonts w:hint="eastAsia" w:ascii="宋体" w:hAnsi="宋体" w:cs="Arial"/>
                <w:color w:val="auto"/>
                <w:szCs w:val="21"/>
                <w:highlight w:val="none"/>
              </w:rPr>
              <w:t xml:space="preserve">：响应</w:t>
            </w:r>
            <w:r>
              <w:rPr>
                <w:rFonts w:ascii="宋体" w:hAnsi="宋体" w:cs="Arial"/>
                <w:color w:val="auto"/>
                <w:szCs w:val="21"/>
                <w:highlight w:val="none"/>
              </w:rPr>
              <w:t xml:space="preserve">报价得分=(评标基准价/</w:t>
            </w:r>
            <w:r>
              <w:rPr>
                <w:rFonts w:hint="eastAsia" w:ascii="宋体" w:hAnsi="宋体" w:cs="Arial"/>
                <w:color w:val="auto"/>
                <w:szCs w:val="21"/>
                <w:highlight w:val="none"/>
              </w:rPr>
              <w:t xml:space="preserve">响应</w:t>
            </w:r>
            <w:r>
              <w:rPr>
                <w:rFonts w:ascii="宋体" w:hAnsi="宋体" w:cs="Arial"/>
                <w:color w:val="auto"/>
                <w:szCs w:val="21"/>
                <w:highlight w:val="none"/>
              </w:rPr>
              <w:t xml:space="preserve">报价)×</w:t>
            </w:r>
            <w:r>
              <w:rPr>
                <w:rFonts w:hint="eastAsia" w:ascii="宋体" w:hAnsi="宋体" w:cs="Arial"/>
                <w:color w:val="auto"/>
                <w:szCs w:val="21"/>
                <w:highlight w:val="none"/>
                <w:lang w:val="en-US" w:eastAsia="zh-CN"/>
              </w:rPr>
              <w:t xml:space="preserve">15</w:t>
            </w:r>
            <w:r>
              <w:rPr>
                <w:rFonts w:hint="eastAsia" w:ascii="宋体" w:hAnsi="宋体"/>
                <w:color w:val="auto"/>
                <w:szCs w:val="21"/>
                <w:highlight w:val="none"/>
              </w:rPr>
              <w:t xml:space="preserve">（小数点保留两位）</w:t>
            </w:r>
            <w:r/>
          </w:p>
        </w:tc>
        <w:tc>
          <w:tcPr>
            <w:tcW w:w="761" w:type="dxa"/>
            <w:vAlign w:val="center"/>
            <w:textDirection w:val="lrTb"/>
            <w:noWrap w:val="false"/>
          </w:tcPr>
          <w:p>
            <w:pPr>
              <w:jc w:val="center"/>
              <w:rPr>
                <w:rFonts w:ascii="宋体" w:hAnsi="宋体"/>
                <w:color w:val="auto"/>
                <w:szCs w:val="21"/>
                <w:highlight w:val="none"/>
                <w:lang w:val="en-US"/>
              </w:rPr>
            </w:pPr>
            <w:r>
              <w:rPr>
                <w:rFonts w:hint="eastAsia" w:ascii="宋体" w:hAnsi="宋体"/>
                <w:color w:val="auto"/>
                <w:szCs w:val="21"/>
                <w:highlight w:val="none"/>
                <w:lang w:val="en-US" w:eastAsia="zh-CN"/>
              </w:rPr>
              <w:t xml:space="preserve">15</w:t>
            </w:r>
            <w:r/>
          </w:p>
        </w:tc>
      </w:tr>
      <w:tr>
        <w:trPr>
          <w:jc w:val="center"/>
          <w:trHeight w:val="2240" w:hRule="exact"/>
          <w:tblHeader/>
        </w:trPr>
        <w:tc>
          <w:tcPr>
            <w:tcW w:w="58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2.1</w:t>
            </w:r>
            <w:r/>
          </w:p>
        </w:tc>
        <w:tc>
          <w:tcPr>
            <w:tcW w:w="1056" w:type="dxa"/>
            <w:vAlign w:val="center"/>
            <w:vMerge w:val="restart"/>
            <w:textDirection w:val="lrTb"/>
            <w:noWrap w:val="false"/>
          </w:tcPr>
          <w:p>
            <w:pPr>
              <w:jc w:val="center"/>
              <w:rPr>
                <w:rFonts w:eastAsia="宋体"/>
                <w:color w:val="auto"/>
                <w:highlight w:val="none"/>
                <w:lang w:val="en-US" w:eastAsia="zh-CN"/>
              </w:rPr>
            </w:pPr>
            <w:r>
              <w:rPr>
                <w:rFonts w:hint="eastAsia"/>
                <w:color w:val="auto"/>
                <w:highlight w:val="none"/>
                <w:lang w:val="en-US" w:eastAsia="zh-CN"/>
              </w:rPr>
              <w:t xml:space="preserve">服务方案</w:t>
            </w:r>
            <w:r>
              <w:rPr>
                <w:rFonts w:hint="eastAsia"/>
                <w:color w:val="auto"/>
                <w:highlight w:val="none"/>
                <w:lang w:val="en-US" w:eastAsia="zh-CN"/>
              </w:rPr>
              <w:br w:type="textWrapping" w:clear="all"/>
            </w:r>
            <w:r>
              <w:rPr>
                <w:rFonts w:hint="eastAsia"/>
                <w:color w:val="auto"/>
                <w:highlight w:val="none"/>
                <w:lang w:val="en-US" w:eastAsia="zh-CN"/>
              </w:rPr>
              <w:t xml:space="preserve">（45分）</w:t>
            </w:r>
            <w:r/>
          </w:p>
        </w:tc>
        <w:tc>
          <w:tcPr>
            <w:tcW w:w="7011" w:type="dxa"/>
            <w:vAlign w:val="center"/>
            <w:textDirection w:val="lrTb"/>
            <w:noWrap w:val="false"/>
          </w:tcPr>
          <w:p>
            <w:pPr>
              <w:ind w:firstLine="420"/>
              <w:rPr>
                <w:rFonts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实施方案：</w:t>
            </w:r>
            <w:r/>
          </w:p>
          <w:p>
            <w:pPr>
              <w:ind w:firstLine="420"/>
              <w:rPr>
                <w:rFonts w:hint="eastAsia" w:ascii="宋体" w:hAnsi="宋体" w:eastAsia="宋体" w:cs="Arial"/>
                <w:color w:val="auto"/>
                <w:szCs w:val="21"/>
                <w:highlight w:val="none"/>
              </w:rPr>
            </w:pPr>
            <w:r>
              <w:rPr>
                <w:rFonts w:hint="eastAsia" w:ascii="宋体" w:hAnsi="宋体" w:eastAsia="宋体" w:cs="Arial"/>
                <w:color w:val="auto"/>
                <w:szCs w:val="21"/>
                <w:highlight w:val="none"/>
              </w:rPr>
              <w:t xml:space="preserve">根据供应商对项目的理解及工作内容的分析制定的技术方案提出的工作目标、工作内容、工作流程等方面的针对性、准确性，科学性、合理性和可操作性等进行综合评审。内容细致全面、合理、完善、周密</w:t>
            </w:r>
            <w:r>
              <w:rPr>
                <w:rFonts w:hint="eastAsia" w:ascii="宋体" w:hAnsi="宋体" w:eastAsia="宋体" w:cs="Arial"/>
                <w:color w:val="auto"/>
                <w:szCs w:val="21"/>
                <w:highlight w:val="none"/>
                <w:lang w:val="en-US" w:eastAsia="zh-CN"/>
              </w:rPr>
              <w:t xml:space="preserve">优于</w:t>
            </w:r>
            <w:r>
              <w:rPr>
                <w:rFonts w:hint="eastAsia" w:ascii="宋体" w:hAnsi="宋体" w:eastAsia="宋体" w:cs="Arial"/>
                <w:color w:val="auto"/>
                <w:szCs w:val="21"/>
                <w:highlight w:val="none"/>
              </w:rPr>
              <w:t xml:space="preserve">项目需求的得1</w:t>
            </w:r>
            <w:r>
              <w:rPr>
                <w:rFonts w:hint="eastAsia" w:ascii="宋体" w:hAnsi="宋体" w:eastAsia="宋体" w:cs="Arial"/>
                <w:color w:val="auto"/>
                <w:szCs w:val="21"/>
                <w:highlight w:val="none"/>
                <w:lang w:val="en-US" w:eastAsia="zh-CN"/>
              </w:rPr>
              <w:t xml:space="preserve">0</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内容细致</w:t>
            </w:r>
            <w:r>
              <w:rPr>
                <w:rFonts w:hint="eastAsia" w:ascii="宋体" w:hAnsi="宋体" w:eastAsia="宋体" w:cs="Arial"/>
                <w:color w:val="auto"/>
                <w:szCs w:val="21"/>
                <w:highlight w:val="none"/>
                <w:lang w:val="en-US" w:eastAsia="zh-CN"/>
              </w:rPr>
              <w:t xml:space="preserve">较</w:t>
            </w:r>
            <w:r>
              <w:rPr>
                <w:rFonts w:hint="eastAsia" w:ascii="宋体" w:hAnsi="宋体" w:eastAsia="宋体" w:cs="Arial"/>
                <w:color w:val="auto"/>
                <w:szCs w:val="21"/>
                <w:highlight w:val="none"/>
              </w:rPr>
              <w:t xml:space="preserve">全面、合理、完善、周密完全满足项目需求的得</w:t>
            </w:r>
            <w:r>
              <w:rPr>
                <w:rFonts w:hint="eastAsia" w:ascii="宋体" w:hAnsi="宋体" w:eastAsia="宋体" w:cs="Arial"/>
                <w:color w:val="auto"/>
                <w:szCs w:val="21"/>
                <w:highlight w:val="none"/>
                <w:lang w:val="en-US" w:eastAsia="zh-CN"/>
              </w:rPr>
              <w:t xml:space="preserve">7</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内容</w:t>
            </w:r>
            <w:r>
              <w:rPr>
                <w:rFonts w:hint="eastAsia" w:ascii="宋体" w:hAnsi="宋体" w:eastAsia="宋体" w:cs="Arial"/>
                <w:color w:val="auto"/>
                <w:szCs w:val="21"/>
                <w:highlight w:val="none"/>
                <w:lang w:val="en-US" w:eastAsia="zh-CN"/>
              </w:rPr>
              <w:t xml:space="preserve">基本</w:t>
            </w:r>
            <w:r>
              <w:rPr>
                <w:rFonts w:hint="eastAsia" w:ascii="宋体" w:hAnsi="宋体" w:eastAsia="宋体" w:cs="Arial"/>
                <w:color w:val="auto"/>
                <w:szCs w:val="21"/>
                <w:highlight w:val="none"/>
              </w:rPr>
              <w:t xml:space="preserve">完整，基本满足项目需求的得</w:t>
            </w:r>
            <w:r>
              <w:rPr>
                <w:rFonts w:hint="eastAsia" w:ascii="宋体" w:hAnsi="宋体" w:eastAsia="宋体" w:cs="Arial"/>
                <w:color w:val="auto"/>
                <w:szCs w:val="21"/>
                <w:highlight w:val="none"/>
                <w:lang w:val="en-US" w:eastAsia="zh-CN"/>
              </w:rPr>
              <w:t xml:space="preserve">4</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val="en-US" w:eastAsia="zh-CN"/>
              </w:rPr>
              <w:t xml:space="preserve">；</w:t>
            </w:r>
            <w:r>
              <w:rPr>
                <w:rFonts w:hint="eastAsia" w:ascii="宋体" w:hAnsi="宋体" w:eastAsia="宋体" w:cs="Arial"/>
                <w:color w:val="auto"/>
                <w:szCs w:val="21"/>
                <w:highlight w:val="none"/>
              </w:rPr>
              <w:t xml:space="preserve">内容不完整、响应度一般的得</w:t>
            </w:r>
            <w:r>
              <w:rPr>
                <w:rFonts w:hint="eastAsia" w:ascii="宋体" w:hAnsi="宋体" w:eastAsia="宋体" w:cs="Arial"/>
                <w:color w:val="auto"/>
                <w:szCs w:val="21"/>
                <w:highlight w:val="none"/>
                <w:lang w:val="en-US" w:eastAsia="zh-CN"/>
              </w:rPr>
              <w:t xml:space="preserve">1</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未提供的不得分。</w:t>
            </w:r>
            <w:r/>
          </w:p>
        </w:tc>
        <w:tc>
          <w:tcPr>
            <w:tcW w:w="761" w:type="dxa"/>
            <w:vAlign w:val="center"/>
            <w:textDirection w:val="lrTb"/>
            <w:noWrap w:val="false"/>
          </w:tcPr>
          <w:p>
            <w:pPr>
              <w:jc w:val="center"/>
              <w:rPr>
                <w:rFonts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r>
      <w:tr>
        <w:trPr>
          <w:jc w:val="center"/>
          <w:trHeight w:val="2199"/>
          <w:tblHeader/>
        </w:trPr>
        <w:tc>
          <w:tcPr>
            <w:tcW w:w="58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2.2</w:t>
            </w:r>
            <w:r/>
          </w:p>
        </w:tc>
        <w:tc>
          <w:tcPr>
            <w:tcW w:w="1056" w:type="dxa"/>
            <w:vAlign w:val="center"/>
            <w:vMerge w:val="continue"/>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11" w:type="dxa"/>
            <w:vAlign w:val="center"/>
            <w:textDirection w:val="lrTb"/>
            <w:noWrap w:val="false"/>
          </w:tcPr>
          <w:p>
            <w:pPr>
              <w:ind w:firstLine="420"/>
              <w:rPr>
                <w:rFonts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质量管理方案：</w:t>
            </w:r>
            <w:r/>
          </w:p>
          <w:p>
            <w:pPr>
              <w:ind w:firstLine="420"/>
              <w:rPr>
                <w:rFonts w:hint="eastAsia" w:ascii="宋体" w:hAnsi="宋体" w:eastAsia="宋体" w:cs="Arial"/>
                <w:color w:val="auto"/>
                <w:szCs w:val="21"/>
                <w:highlight w:val="none"/>
              </w:rPr>
            </w:pPr>
            <w:r>
              <w:rPr>
                <w:rFonts w:hint="eastAsia" w:ascii="宋体" w:hAnsi="宋体" w:eastAsia="宋体" w:cs="Arial"/>
                <w:color w:val="auto"/>
                <w:szCs w:val="21"/>
                <w:highlight w:val="none"/>
              </w:rPr>
              <w:t xml:space="preserve">根据供应商对的质量控制管理体系是否完整、合理且是否有针对性，各项措施是否齐全、完备、可行，质量管理关键点分析及应对是否合理等内容进行综合评审。内容细致全面、合理、完善、周密</w:t>
            </w:r>
            <w:r>
              <w:rPr>
                <w:rFonts w:hint="eastAsia" w:ascii="宋体" w:hAnsi="宋体" w:eastAsia="宋体" w:cs="Arial"/>
                <w:color w:val="auto"/>
                <w:szCs w:val="21"/>
                <w:highlight w:val="none"/>
                <w:lang w:val="en-US" w:eastAsia="zh-CN"/>
              </w:rPr>
              <w:t xml:space="preserve">优于</w:t>
            </w:r>
            <w:r>
              <w:rPr>
                <w:rFonts w:hint="eastAsia" w:ascii="宋体" w:hAnsi="宋体" w:eastAsia="宋体" w:cs="Arial"/>
                <w:color w:val="auto"/>
                <w:szCs w:val="21"/>
                <w:highlight w:val="none"/>
              </w:rPr>
              <w:t xml:space="preserve">项目需求的得1</w:t>
            </w:r>
            <w:r>
              <w:rPr>
                <w:rFonts w:hint="eastAsia" w:ascii="宋体" w:hAnsi="宋体" w:eastAsia="宋体" w:cs="Arial"/>
                <w:color w:val="auto"/>
                <w:szCs w:val="21"/>
                <w:highlight w:val="none"/>
                <w:lang w:val="en-US" w:eastAsia="zh-CN"/>
              </w:rPr>
              <w:t xml:space="preserve">0</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内容细致</w:t>
            </w:r>
            <w:r>
              <w:rPr>
                <w:rFonts w:hint="eastAsia" w:ascii="宋体" w:hAnsi="宋体" w:eastAsia="宋体" w:cs="Arial"/>
                <w:color w:val="auto"/>
                <w:szCs w:val="21"/>
                <w:highlight w:val="none"/>
                <w:lang w:val="en-US" w:eastAsia="zh-CN"/>
              </w:rPr>
              <w:t xml:space="preserve">较</w:t>
            </w:r>
            <w:r>
              <w:rPr>
                <w:rFonts w:hint="eastAsia" w:ascii="宋体" w:hAnsi="宋体" w:eastAsia="宋体" w:cs="Arial"/>
                <w:color w:val="auto"/>
                <w:szCs w:val="21"/>
                <w:highlight w:val="none"/>
              </w:rPr>
              <w:t xml:space="preserve">全面、合理、完善、周密完全满足项目需求的得</w:t>
            </w:r>
            <w:r>
              <w:rPr>
                <w:rFonts w:hint="eastAsia" w:ascii="宋体" w:hAnsi="宋体" w:eastAsia="宋体" w:cs="Arial"/>
                <w:color w:val="auto"/>
                <w:szCs w:val="21"/>
                <w:highlight w:val="none"/>
                <w:lang w:val="en-US" w:eastAsia="zh-CN"/>
              </w:rPr>
              <w:t xml:space="preserve">7</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内容</w:t>
            </w:r>
            <w:r>
              <w:rPr>
                <w:rFonts w:hint="eastAsia" w:ascii="宋体" w:hAnsi="宋体" w:eastAsia="宋体" w:cs="Arial"/>
                <w:color w:val="auto"/>
                <w:szCs w:val="21"/>
                <w:highlight w:val="none"/>
                <w:lang w:val="en-US" w:eastAsia="zh-CN"/>
              </w:rPr>
              <w:t xml:space="preserve">基本</w:t>
            </w:r>
            <w:r>
              <w:rPr>
                <w:rFonts w:hint="eastAsia" w:ascii="宋体" w:hAnsi="宋体" w:eastAsia="宋体" w:cs="Arial"/>
                <w:color w:val="auto"/>
                <w:szCs w:val="21"/>
                <w:highlight w:val="none"/>
              </w:rPr>
              <w:t xml:space="preserve">完整，基本满足项目需求的得</w:t>
            </w:r>
            <w:r>
              <w:rPr>
                <w:rFonts w:hint="eastAsia" w:ascii="宋体" w:hAnsi="宋体" w:eastAsia="宋体" w:cs="Arial"/>
                <w:color w:val="auto"/>
                <w:szCs w:val="21"/>
                <w:highlight w:val="none"/>
                <w:lang w:val="en-US" w:eastAsia="zh-CN"/>
              </w:rPr>
              <w:t xml:space="preserve">4</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val="en-US" w:eastAsia="zh-CN"/>
              </w:rPr>
              <w:t xml:space="preserve">；</w:t>
            </w:r>
            <w:r>
              <w:rPr>
                <w:rFonts w:hint="eastAsia" w:ascii="宋体" w:hAnsi="宋体" w:eastAsia="宋体" w:cs="Arial"/>
                <w:color w:val="auto"/>
                <w:szCs w:val="21"/>
                <w:highlight w:val="none"/>
              </w:rPr>
              <w:t xml:space="preserve">内容不完整、响应度一般的得</w:t>
            </w:r>
            <w:r>
              <w:rPr>
                <w:rFonts w:hint="eastAsia" w:ascii="宋体" w:hAnsi="宋体" w:eastAsia="宋体" w:cs="Arial"/>
                <w:color w:val="auto"/>
                <w:szCs w:val="21"/>
                <w:highlight w:val="none"/>
                <w:lang w:val="en-US" w:eastAsia="zh-CN"/>
              </w:rPr>
              <w:t xml:space="preserve">1</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未提供的不得分。</w:t>
            </w:r>
            <w:r/>
          </w:p>
        </w:tc>
        <w:tc>
          <w:tcPr>
            <w:tcW w:w="761" w:type="dxa"/>
            <w:vAlign w:val="center"/>
            <w:textDirection w:val="lrTb"/>
            <w:noWrap w:val="false"/>
          </w:tcPr>
          <w:p>
            <w:pPr>
              <w:jc w:val="center"/>
              <w:rPr>
                <w:rFonts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r>
      <w:tr>
        <w:trPr>
          <w:jc w:val="center"/>
          <w:trHeight w:val="2279" w:hRule="exact"/>
          <w:tblHeader/>
        </w:trPr>
        <w:tc>
          <w:tcPr>
            <w:tcW w:w="58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2.3</w:t>
            </w:r>
            <w:r/>
          </w:p>
        </w:tc>
        <w:tc>
          <w:tcPr>
            <w:tcW w:w="1056" w:type="dxa"/>
            <w:vAlign w:val="center"/>
            <w:vMerge w:val="continue"/>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11" w:type="dxa"/>
            <w:vAlign w:val="center"/>
            <w:textDirection w:val="lrTb"/>
            <w:noWrap w:val="false"/>
          </w:tcPr>
          <w:p>
            <w:pPr>
              <w:ind w:firstLine="420"/>
              <w:rPr>
                <w:rFonts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进度管理方案：</w:t>
            </w:r>
            <w:r/>
          </w:p>
          <w:p>
            <w:pPr>
              <w:ind w:firstLine="420"/>
              <w:rPr>
                <w:rFonts w:hint="eastAsia" w:ascii="宋体" w:hAnsi="宋体" w:eastAsia="宋体" w:cs="Arial"/>
                <w:color w:val="auto"/>
                <w:szCs w:val="21"/>
                <w:highlight w:val="none"/>
              </w:rPr>
            </w:pPr>
            <w:r>
              <w:rPr>
                <w:rFonts w:hint="eastAsia" w:ascii="宋体" w:hAnsi="宋体" w:eastAsia="宋体" w:cs="Arial"/>
                <w:color w:val="auto"/>
                <w:szCs w:val="21"/>
                <w:highlight w:val="none"/>
              </w:rPr>
              <w:t xml:space="preserve">根据供应商是否针对本项目合理安排进度计划，各项进度保证措施、内业资料整理规范、外业安全等风险因素的管理方案是否齐全，能否全面响应采购文件要求等内容进行综合评审。内容细致全面、合理、完善、周密</w:t>
            </w:r>
            <w:r>
              <w:rPr>
                <w:rFonts w:hint="eastAsia" w:ascii="宋体" w:hAnsi="宋体" w:eastAsia="宋体" w:cs="Arial"/>
                <w:color w:val="auto"/>
                <w:szCs w:val="21"/>
                <w:highlight w:val="none"/>
                <w:lang w:val="en-US" w:eastAsia="zh-CN"/>
              </w:rPr>
              <w:t xml:space="preserve">优于</w:t>
            </w:r>
            <w:r>
              <w:rPr>
                <w:rFonts w:hint="eastAsia" w:ascii="宋体" w:hAnsi="宋体" w:eastAsia="宋体" w:cs="Arial"/>
                <w:color w:val="auto"/>
                <w:szCs w:val="21"/>
                <w:highlight w:val="none"/>
              </w:rPr>
              <w:t xml:space="preserve">项目需求的得1</w:t>
            </w:r>
            <w:r>
              <w:rPr>
                <w:rFonts w:hint="eastAsia" w:ascii="宋体" w:hAnsi="宋体" w:eastAsia="宋体" w:cs="Arial"/>
                <w:color w:val="auto"/>
                <w:szCs w:val="21"/>
                <w:highlight w:val="none"/>
                <w:lang w:val="en-US" w:eastAsia="zh-CN"/>
              </w:rPr>
              <w:t xml:space="preserve">0</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内容细致</w:t>
            </w:r>
            <w:r>
              <w:rPr>
                <w:rFonts w:hint="eastAsia" w:ascii="宋体" w:hAnsi="宋体" w:eastAsia="宋体" w:cs="Arial"/>
                <w:color w:val="auto"/>
                <w:szCs w:val="21"/>
                <w:highlight w:val="none"/>
                <w:lang w:val="en-US" w:eastAsia="zh-CN"/>
              </w:rPr>
              <w:t xml:space="preserve">较</w:t>
            </w:r>
            <w:r>
              <w:rPr>
                <w:rFonts w:hint="eastAsia" w:ascii="宋体" w:hAnsi="宋体" w:eastAsia="宋体" w:cs="Arial"/>
                <w:color w:val="auto"/>
                <w:szCs w:val="21"/>
                <w:highlight w:val="none"/>
              </w:rPr>
              <w:t xml:space="preserve">全面、合理、完善、周密完全满足项目需求的得</w:t>
            </w:r>
            <w:r>
              <w:rPr>
                <w:rFonts w:hint="eastAsia" w:ascii="宋体" w:hAnsi="宋体" w:eastAsia="宋体" w:cs="Arial"/>
                <w:color w:val="auto"/>
                <w:szCs w:val="21"/>
                <w:highlight w:val="none"/>
                <w:lang w:val="en-US" w:eastAsia="zh-CN"/>
              </w:rPr>
              <w:t xml:space="preserve">7</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内容</w:t>
            </w:r>
            <w:r>
              <w:rPr>
                <w:rFonts w:hint="eastAsia" w:ascii="宋体" w:hAnsi="宋体" w:eastAsia="宋体" w:cs="Arial"/>
                <w:color w:val="auto"/>
                <w:szCs w:val="21"/>
                <w:highlight w:val="none"/>
                <w:lang w:val="en-US" w:eastAsia="zh-CN"/>
              </w:rPr>
              <w:t xml:space="preserve">基本</w:t>
            </w:r>
            <w:r>
              <w:rPr>
                <w:rFonts w:hint="eastAsia" w:ascii="宋体" w:hAnsi="宋体" w:eastAsia="宋体" w:cs="Arial"/>
                <w:color w:val="auto"/>
                <w:szCs w:val="21"/>
                <w:highlight w:val="none"/>
              </w:rPr>
              <w:t xml:space="preserve">完整，基本满足项目需求的得</w:t>
            </w:r>
            <w:r>
              <w:rPr>
                <w:rFonts w:hint="eastAsia" w:ascii="宋体" w:hAnsi="宋体" w:eastAsia="宋体" w:cs="Arial"/>
                <w:color w:val="auto"/>
                <w:szCs w:val="21"/>
                <w:highlight w:val="none"/>
                <w:lang w:val="en-US" w:eastAsia="zh-CN"/>
              </w:rPr>
              <w:t xml:space="preserve">4</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val="en-US" w:eastAsia="zh-CN"/>
              </w:rPr>
              <w:t xml:space="preserve">；</w:t>
            </w:r>
            <w:r>
              <w:rPr>
                <w:rFonts w:hint="eastAsia" w:ascii="宋体" w:hAnsi="宋体" w:eastAsia="宋体" w:cs="Arial"/>
                <w:color w:val="auto"/>
                <w:szCs w:val="21"/>
                <w:highlight w:val="none"/>
              </w:rPr>
              <w:t xml:space="preserve">内容不完整、响应度一般的得</w:t>
            </w:r>
            <w:r>
              <w:rPr>
                <w:rFonts w:hint="eastAsia" w:ascii="宋体" w:hAnsi="宋体" w:eastAsia="宋体" w:cs="Arial"/>
                <w:color w:val="auto"/>
                <w:szCs w:val="21"/>
                <w:highlight w:val="none"/>
                <w:lang w:val="en-US" w:eastAsia="zh-CN"/>
              </w:rPr>
              <w:t xml:space="preserve">1</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未提供的不得分。</w:t>
            </w:r>
            <w:r/>
          </w:p>
        </w:tc>
        <w:tc>
          <w:tcPr>
            <w:tcW w:w="761" w:type="dxa"/>
            <w:vAlign w:val="center"/>
            <w:textDirection w:val="lrTb"/>
            <w:noWrap w:val="false"/>
          </w:tcPr>
          <w:p>
            <w:pPr>
              <w:jc w:val="center"/>
              <w:rPr>
                <w:rFonts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r>
      <w:tr>
        <w:trPr>
          <w:jc w:val="center"/>
          <w:trHeight w:val="2172" w:hRule="exact"/>
          <w:tblHeader/>
        </w:trPr>
        <w:tc>
          <w:tcPr>
            <w:tcW w:w="58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2.4</w:t>
            </w:r>
            <w:r/>
          </w:p>
        </w:tc>
        <w:tc>
          <w:tcPr>
            <w:tcW w:w="1056" w:type="dxa"/>
            <w:vAlign w:val="center"/>
            <w:vMerge w:val="continue"/>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11" w:type="dxa"/>
            <w:vAlign w:val="center"/>
            <w:textDirection w:val="lrTb"/>
            <w:noWrap w:val="false"/>
          </w:tcPr>
          <w:p>
            <w:pPr>
              <w:ind w:firstLine="480"/>
              <w:rPr>
                <w:rFonts w:hint="eastAsia" w:ascii="宋体" w:hAnsi="宋体" w:eastAsia="仿宋" w:cs="Arial"/>
                <w:color w:val="auto"/>
                <w:szCs w:val="21"/>
                <w:highlight w:val="none"/>
                <w:lang w:eastAsia="zh-CN"/>
              </w:rPr>
            </w:pPr>
            <w:r>
              <w:rPr>
                <w:rFonts w:hint="eastAsia" w:ascii="仿宋" w:hAnsi="仿宋" w:eastAsia="仿宋" w:cs="仿宋"/>
                <w:color w:val="auto"/>
                <w:sz w:val="24"/>
                <w:highlight w:val="none"/>
              </w:rPr>
              <w:t xml:space="preserve">数据保密措施</w:t>
            </w:r>
            <w:r>
              <w:rPr>
                <w:rFonts w:hint="eastAsia" w:ascii="仿宋" w:hAnsi="仿宋" w:eastAsia="仿宋" w:cs="仿宋"/>
                <w:color w:val="auto"/>
                <w:sz w:val="24"/>
                <w:highlight w:val="none"/>
                <w:lang w:eastAsia="zh-CN"/>
              </w:rPr>
              <w:t xml:space="preserve">：</w:t>
            </w:r>
            <w:r/>
          </w:p>
          <w:p>
            <w:pPr>
              <w:ind w:firstLine="420"/>
              <w:rPr>
                <w:rFonts w:hint="eastAsia" w:ascii="宋体" w:hAnsi="宋体" w:eastAsia="宋体" w:cs="Arial"/>
                <w:color w:val="auto"/>
                <w:szCs w:val="21"/>
                <w:highlight w:val="none"/>
              </w:rPr>
            </w:pPr>
            <w:r>
              <w:rPr>
                <w:rFonts w:hint="eastAsia" w:ascii="宋体" w:hAnsi="宋体" w:eastAsia="宋体" w:cs="Arial"/>
                <w:color w:val="auto"/>
                <w:szCs w:val="21"/>
                <w:highlight w:val="none"/>
              </w:rPr>
              <w:t xml:space="preserve">根据供应商为本项目制定的数据保密制度是否齐全，措施是否得当，保密的关键点分析及泄密风险的应对等内容的详实、具体、全面、完整等方面进行评分。内容细致全面、合理、完善、周密</w:t>
            </w:r>
            <w:r>
              <w:rPr>
                <w:rFonts w:hint="eastAsia" w:ascii="宋体" w:hAnsi="宋体" w:eastAsia="宋体" w:cs="Arial"/>
                <w:color w:val="auto"/>
                <w:szCs w:val="21"/>
                <w:highlight w:val="none"/>
                <w:lang w:val="en-US" w:eastAsia="zh-CN"/>
              </w:rPr>
              <w:t xml:space="preserve">优于</w:t>
            </w:r>
            <w:r>
              <w:rPr>
                <w:rFonts w:hint="eastAsia" w:ascii="宋体" w:hAnsi="宋体" w:eastAsia="宋体" w:cs="Arial"/>
                <w:color w:val="auto"/>
                <w:szCs w:val="21"/>
                <w:highlight w:val="none"/>
              </w:rPr>
              <w:t xml:space="preserve">项目需求的得1</w:t>
            </w:r>
            <w:r>
              <w:rPr>
                <w:rFonts w:hint="eastAsia" w:ascii="宋体" w:hAnsi="宋体" w:eastAsia="宋体" w:cs="Arial"/>
                <w:color w:val="auto"/>
                <w:szCs w:val="21"/>
                <w:highlight w:val="none"/>
                <w:lang w:val="en-US" w:eastAsia="zh-CN"/>
              </w:rPr>
              <w:t xml:space="preserve">0</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内容细致</w:t>
            </w:r>
            <w:r>
              <w:rPr>
                <w:rFonts w:hint="eastAsia" w:ascii="宋体" w:hAnsi="宋体" w:eastAsia="宋体" w:cs="Arial"/>
                <w:color w:val="auto"/>
                <w:szCs w:val="21"/>
                <w:highlight w:val="none"/>
                <w:lang w:val="en-US" w:eastAsia="zh-CN"/>
              </w:rPr>
              <w:t xml:space="preserve">较</w:t>
            </w:r>
            <w:r>
              <w:rPr>
                <w:rFonts w:hint="eastAsia" w:ascii="宋体" w:hAnsi="宋体" w:eastAsia="宋体" w:cs="Arial"/>
                <w:color w:val="auto"/>
                <w:szCs w:val="21"/>
                <w:highlight w:val="none"/>
              </w:rPr>
              <w:t xml:space="preserve">全面、合理、完善、周密完全满足项目需求的得</w:t>
            </w:r>
            <w:r>
              <w:rPr>
                <w:rFonts w:hint="eastAsia" w:ascii="宋体" w:hAnsi="宋体" w:eastAsia="宋体" w:cs="Arial"/>
                <w:color w:val="auto"/>
                <w:szCs w:val="21"/>
                <w:highlight w:val="none"/>
                <w:lang w:val="en-US" w:eastAsia="zh-CN"/>
              </w:rPr>
              <w:t xml:space="preserve">7</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内容</w:t>
            </w:r>
            <w:r>
              <w:rPr>
                <w:rFonts w:hint="eastAsia" w:ascii="宋体" w:hAnsi="宋体" w:eastAsia="宋体" w:cs="Arial"/>
                <w:color w:val="auto"/>
                <w:szCs w:val="21"/>
                <w:highlight w:val="none"/>
                <w:lang w:val="en-US" w:eastAsia="zh-CN"/>
              </w:rPr>
              <w:t xml:space="preserve">基本</w:t>
            </w:r>
            <w:r>
              <w:rPr>
                <w:rFonts w:hint="eastAsia" w:ascii="宋体" w:hAnsi="宋体" w:eastAsia="宋体" w:cs="Arial"/>
                <w:color w:val="auto"/>
                <w:szCs w:val="21"/>
                <w:highlight w:val="none"/>
              </w:rPr>
              <w:t xml:space="preserve">完整，基本满足项目需求的得</w:t>
            </w:r>
            <w:r>
              <w:rPr>
                <w:rFonts w:hint="eastAsia" w:ascii="宋体" w:hAnsi="宋体" w:eastAsia="宋体" w:cs="Arial"/>
                <w:color w:val="auto"/>
                <w:szCs w:val="21"/>
                <w:highlight w:val="none"/>
                <w:lang w:val="en-US" w:eastAsia="zh-CN"/>
              </w:rPr>
              <w:t xml:space="preserve">4</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val="en-US" w:eastAsia="zh-CN"/>
              </w:rPr>
              <w:t xml:space="preserve">；</w:t>
            </w:r>
            <w:r>
              <w:rPr>
                <w:rFonts w:hint="eastAsia" w:ascii="宋体" w:hAnsi="宋体" w:eastAsia="宋体" w:cs="Arial"/>
                <w:color w:val="auto"/>
                <w:szCs w:val="21"/>
                <w:highlight w:val="none"/>
              </w:rPr>
              <w:t xml:space="preserve">内容不完整、响应度一般的得</w:t>
            </w:r>
            <w:r>
              <w:rPr>
                <w:rFonts w:hint="eastAsia" w:ascii="宋体" w:hAnsi="宋体" w:eastAsia="宋体" w:cs="Arial"/>
                <w:color w:val="auto"/>
                <w:szCs w:val="21"/>
                <w:highlight w:val="none"/>
                <w:lang w:val="en-US" w:eastAsia="zh-CN"/>
              </w:rPr>
              <w:t xml:space="preserve">1</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未提供的不得分。</w:t>
            </w:r>
            <w:r/>
          </w:p>
        </w:tc>
        <w:tc>
          <w:tcPr>
            <w:tcW w:w="761" w:type="dxa"/>
            <w:vAlign w:val="center"/>
            <w:textDirection w:val="lrTb"/>
            <w:noWrap w:val="false"/>
          </w:tcPr>
          <w:p>
            <w:pPr>
              <w:jc w:val="center"/>
              <w:rPr>
                <w:rFonts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r>
      <w:tr>
        <w:trPr>
          <w:jc w:val="center"/>
          <w:trHeight w:val="2172" w:hRule="exact"/>
          <w:tblHeader/>
        </w:trPr>
        <w:tc>
          <w:tcPr>
            <w:tcW w:w="584"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2.5</w:t>
            </w:r>
            <w:r/>
          </w:p>
        </w:tc>
        <w:tc>
          <w:tcPr>
            <w:tcW w:w="1056" w:type="dxa"/>
            <w:vAlign w:val="center"/>
            <w:vMerge w:val="continue"/>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11" w:type="dxa"/>
            <w:vAlign w:val="center"/>
            <w:textDirection w:val="lrTb"/>
            <w:noWrap w:val="false"/>
          </w:tcPr>
          <w:p>
            <w:pPr>
              <w:ind w:firstLine="420"/>
              <w:rPr>
                <w:rFonts w:hint="eastAsia" w:ascii="宋体" w:hAnsi="宋体" w:eastAsia="宋体" w:cs="Arial"/>
                <w:color w:val="auto"/>
                <w:szCs w:val="21"/>
                <w:highlight w:val="none"/>
              </w:rPr>
            </w:pPr>
            <w:r>
              <w:rPr>
                <w:rFonts w:hint="eastAsia" w:ascii="宋体" w:hAnsi="宋体" w:eastAsia="宋体" w:cs="Arial"/>
                <w:color w:val="auto"/>
                <w:szCs w:val="21"/>
                <w:highlight w:val="none"/>
              </w:rPr>
              <w:t xml:space="preserve">组织管理方案</w:t>
            </w:r>
            <w:r/>
          </w:p>
          <w:p>
            <w:pPr>
              <w:ind w:firstLine="420"/>
              <w:rPr>
                <w:rFonts w:hint="eastAsia" w:ascii="宋体" w:hAnsi="宋体" w:eastAsia="宋体" w:cs="Arial"/>
                <w:color w:val="auto"/>
                <w:szCs w:val="21"/>
                <w:highlight w:val="none"/>
              </w:rPr>
            </w:pPr>
            <w:r>
              <w:rPr>
                <w:rFonts w:hint="eastAsia" w:ascii="宋体" w:hAnsi="宋体" w:eastAsia="宋体" w:cs="Arial"/>
                <w:color w:val="auto"/>
                <w:szCs w:val="21"/>
                <w:highlight w:val="none"/>
              </w:rPr>
              <w:t xml:space="preserve">根据供应商提供的组织管理方案(包括但不限于组织架构、职责分工、人员配备、实施保障等内容)进行评审:内容细致全面、合理、完善、周密</w:t>
            </w:r>
            <w:r>
              <w:rPr>
                <w:rFonts w:hint="eastAsia" w:ascii="宋体" w:hAnsi="宋体" w:eastAsia="宋体" w:cs="Arial"/>
                <w:color w:val="auto"/>
                <w:szCs w:val="21"/>
                <w:highlight w:val="none"/>
                <w:lang w:val="en-US" w:eastAsia="zh-CN"/>
              </w:rPr>
              <w:t xml:space="preserve">优于</w:t>
            </w:r>
            <w:r>
              <w:rPr>
                <w:rFonts w:hint="eastAsia" w:ascii="宋体" w:hAnsi="宋体" w:eastAsia="宋体" w:cs="Arial"/>
                <w:color w:val="auto"/>
                <w:szCs w:val="21"/>
                <w:highlight w:val="none"/>
              </w:rPr>
              <w:t xml:space="preserve">项目需求的得</w:t>
            </w:r>
            <w:r>
              <w:rPr>
                <w:rFonts w:hint="eastAsia" w:ascii="宋体" w:hAnsi="宋体" w:eastAsia="宋体" w:cs="Arial"/>
                <w:color w:val="auto"/>
                <w:szCs w:val="21"/>
                <w:highlight w:val="none"/>
                <w:lang w:val="en-US" w:eastAsia="zh-CN"/>
              </w:rPr>
              <w:t xml:space="preserve">5</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内容细致</w:t>
            </w:r>
            <w:r>
              <w:rPr>
                <w:rFonts w:hint="eastAsia" w:ascii="宋体" w:hAnsi="宋体" w:eastAsia="宋体" w:cs="Arial"/>
                <w:color w:val="auto"/>
                <w:szCs w:val="21"/>
                <w:highlight w:val="none"/>
                <w:lang w:val="en-US" w:eastAsia="zh-CN"/>
              </w:rPr>
              <w:t xml:space="preserve">较</w:t>
            </w:r>
            <w:r>
              <w:rPr>
                <w:rFonts w:hint="eastAsia" w:ascii="宋体" w:hAnsi="宋体" w:eastAsia="宋体" w:cs="Arial"/>
                <w:color w:val="auto"/>
                <w:szCs w:val="21"/>
                <w:highlight w:val="none"/>
              </w:rPr>
              <w:t xml:space="preserve">全面、合理、完善、周密完全满足项目需求的得</w:t>
            </w:r>
            <w:r>
              <w:rPr>
                <w:rFonts w:hint="eastAsia" w:ascii="宋体" w:hAnsi="宋体" w:eastAsia="宋体" w:cs="Arial"/>
                <w:color w:val="auto"/>
                <w:szCs w:val="21"/>
                <w:highlight w:val="none"/>
                <w:lang w:val="en-US" w:eastAsia="zh-CN"/>
              </w:rPr>
              <w:t xml:space="preserve">4</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内容</w:t>
            </w:r>
            <w:r>
              <w:rPr>
                <w:rFonts w:hint="eastAsia" w:ascii="宋体" w:hAnsi="宋体" w:eastAsia="宋体" w:cs="Arial"/>
                <w:color w:val="auto"/>
                <w:szCs w:val="21"/>
                <w:highlight w:val="none"/>
                <w:lang w:val="en-US" w:eastAsia="zh-CN"/>
              </w:rPr>
              <w:t xml:space="preserve">基本</w:t>
            </w:r>
            <w:r>
              <w:rPr>
                <w:rFonts w:hint="eastAsia" w:ascii="宋体" w:hAnsi="宋体" w:eastAsia="宋体" w:cs="Arial"/>
                <w:color w:val="auto"/>
                <w:szCs w:val="21"/>
                <w:highlight w:val="none"/>
              </w:rPr>
              <w:t xml:space="preserve">完整，基本满足项目需求的得</w:t>
            </w:r>
            <w:r>
              <w:rPr>
                <w:rFonts w:hint="eastAsia" w:ascii="宋体" w:hAnsi="宋体" w:eastAsia="宋体" w:cs="Arial"/>
                <w:color w:val="auto"/>
                <w:szCs w:val="21"/>
                <w:highlight w:val="none"/>
                <w:lang w:val="en-US" w:eastAsia="zh-CN"/>
              </w:rPr>
              <w:t xml:space="preserve">3</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val="en-US" w:eastAsia="zh-CN"/>
              </w:rPr>
              <w:t xml:space="preserve">；</w:t>
            </w:r>
            <w:r>
              <w:rPr>
                <w:rFonts w:hint="eastAsia" w:ascii="宋体" w:hAnsi="宋体" w:eastAsia="宋体" w:cs="Arial"/>
                <w:color w:val="auto"/>
                <w:szCs w:val="21"/>
                <w:highlight w:val="none"/>
              </w:rPr>
              <w:t xml:space="preserve">内容不完整、响应度一般的得</w:t>
            </w:r>
            <w:r>
              <w:rPr>
                <w:rFonts w:hint="eastAsia" w:ascii="宋体" w:hAnsi="宋体" w:eastAsia="宋体" w:cs="Arial"/>
                <w:color w:val="auto"/>
                <w:szCs w:val="21"/>
                <w:highlight w:val="none"/>
                <w:lang w:val="en-US" w:eastAsia="zh-CN"/>
              </w:rPr>
              <w:t xml:space="preserve">1</w:t>
            </w:r>
            <w:r>
              <w:rPr>
                <w:rFonts w:hint="eastAsia" w:ascii="宋体" w:hAnsi="宋体" w:eastAsia="宋体" w:cs="Arial"/>
                <w:color w:val="auto"/>
                <w:szCs w:val="21"/>
                <w:highlight w:val="none"/>
              </w:rPr>
              <w:t xml:space="preserve">分</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未提供的不得分。</w:t>
            </w:r>
            <w:r/>
          </w:p>
        </w:tc>
        <w:tc>
          <w:tcPr>
            <w:tcW w:w="761" w:type="dxa"/>
            <w:vAlign w:val="center"/>
            <w:textDirection w:val="lrTb"/>
            <w:noWrap w:val="false"/>
          </w:tcPr>
          <w:p>
            <w:pPr>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5</w:t>
            </w:r>
            <w:r/>
          </w:p>
        </w:tc>
      </w:tr>
      <w:tr>
        <w:trPr>
          <w:jc w:val="center"/>
          <w:trHeight w:val="5114"/>
          <w:tblHeader/>
        </w:trPr>
        <w:tc>
          <w:tcPr>
            <w:tcW w:w="5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056" w:type="dxa"/>
            <w:vAlign w:val="center"/>
            <w:textDirection w:val="lrTb"/>
            <w:noWrap w:val="false"/>
          </w:tcPr>
          <w:p>
            <w:pPr>
              <w:pStyle w:val="946"/>
              <w:ind w:left="0" w:firstLine="0"/>
              <w:jc w:val="center"/>
              <w:keepLines w:val="0"/>
              <w:keepNext w:val="0"/>
              <w:pageBreakBefore w:val="0"/>
              <w:spacing w:after="0" w:line="24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人员</w:t>
            </w:r>
            <w:r/>
          </w:p>
          <w:p>
            <w:pPr>
              <w:pStyle w:val="946"/>
              <w:ind w:left="0" w:firstLine="0"/>
              <w:jc w:val="center"/>
              <w:keepLines w:val="0"/>
              <w:keepNext w:val="0"/>
              <w:pageBreakBefore w:val="0"/>
              <w:spacing w:after="0" w:line="240" w:lineRule="auto"/>
              <w:widowControl w:val="off"/>
              <w:rPr>
                <w:rFonts w:hint="eastAsia"/>
                <w:color w:val="auto"/>
                <w:highlight w:val="none"/>
              </w:rPr>
            </w:pPr>
            <w:r>
              <w:rPr>
                <w:rFonts w:hint="eastAsia" w:ascii="宋体" w:hAnsi="宋体" w:eastAsia="宋体" w:cs="Times New Roman"/>
                <w:color w:val="auto"/>
                <w:szCs w:val="21"/>
                <w:highlight w:val="none"/>
                <w:lang w:val="en-US" w:eastAsia="zh-CN"/>
              </w:rPr>
              <w:t xml:space="preserve">（16分）</w:t>
            </w:r>
            <w:r/>
          </w:p>
        </w:tc>
        <w:tc>
          <w:tcPr>
            <w:tcW w:w="7011" w:type="dxa"/>
            <w:vAlign w:val="center"/>
            <w:textDirection w:val="lrTb"/>
            <w:noWrap w:val="false"/>
          </w:tcPr>
          <w:p>
            <w:pPr>
              <w:ind w:firstLine="420"/>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val="zh-CN"/>
              </w:rPr>
              <w:t xml:space="preserve">）项目负责人：供应商</w:t>
            </w:r>
            <w:r>
              <w:rPr>
                <w:rFonts w:hint="eastAsia" w:ascii="宋体" w:hAnsi="宋体" w:eastAsia="宋体" w:cs="Times New Roman"/>
                <w:color w:val="auto"/>
                <w:szCs w:val="21"/>
                <w:highlight w:val="none"/>
              </w:rPr>
              <w:t xml:space="preserve">拟</w:t>
            </w:r>
            <w:r>
              <w:rPr>
                <w:rFonts w:hint="eastAsia" w:ascii="宋体" w:hAnsi="宋体" w:eastAsia="宋体" w:cs="Times New Roman"/>
                <w:color w:val="auto"/>
                <w:szCs w:val="21"/>
                <w:highlight w:val="none"/>
                <w:lang w:val="zh-CN"/>
              </w:rPr>
              <w:t xml:space="preserve">投入本项目的项目负责人具有土地类</w:t>
            </w:r>
            <w:r>
              <w:rPr>
                <w:rFonts w:hint="eastAsia" w:ascii="宋体" w:hAnsi="宋体" w:eastAsia="宋体" w:cs="Times New Roman"/>
                <w:color w:val="auto"/>
                <w:szCs w:val="21"/>
                <w:highlight w:val="none"/>
                <w:lang w:val="en-US" w:eastAsia="zh-CN"/>
              </w:rPr>
              <w:t xml:space="preserve">专业</w:t>
            </w:r>
            <w:r>
              <w:rPr>
                <w:rFonts w:hint="eastAsia" w:ascii="宋体" w:hAnsi="宋体" w:eastAsia="宋体" w:cs="Times New Roman"/>
                <w:color w:val="auto"/>
                <w:szCs w:val="21"/>
                <w:highlight w:val="none"/>
                <w:lang w:val="zh-CN"/>
              </w:rPr>
              <w:t xml:space="preserve">高级及以上职称的得3分，具有土地类专业中级职称的得1分；同时具有硕士研究生及以上学历的</w:t>
            </w:r>
            <w:r>
              <w:rPr>
                <w:rFonts w:hint="eastAsia" w:ascii="宋体" w:hAnsi="宋体" w:eastAsia="宋体" w:cs="Times New Roman"/>
                <w:color w:val="auto"/>
                <w:szCs w:val="21"/>
                <w:highlight w:val="none"/>
                <w:lang w:val="en-US" w:eastAsia="zh-CN"/>
              </w:rPr>
              <w:t xml:space="preserve">加</w:t>
            </w:r>
            <w:r>
              <w:rPr>
                <w:rFonts w:hint="eastAsia" w:ascii="宋体" w:hAnsi="宋体" w:eastAsia="宋体" w:cs="Times New Roman"/>
                <w:color w:val="auto"/>
                <w:szCs w:val="21"/>
                <w:highlight w:val="none"/>
                <w:lang w:val="zh-CN"/>
              </w:rPr>
              <w:t xml:space="preserve">1分，大专及以上学历的加0.5分</w:t>
            </w: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zh-CN"/>
              </w:rPr>
              <w:t xml:space="preserve">本项最高得4分。</w:t>
            </w:r>
            <w:r/>
          </w:p>
          <w:p>
            <w:pPr>
              <w:ind w:firstLine="420"/>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（2）技术负责人：供应商投入本项目的技术负责人（不能与项目负责人为同一人）具有土地类专业高级及以上职称的得3分，具有土地类专业中级职称的得1分，本项最高本项最高得3分。</w:t>
            </w:r>
            <w:r/>
          </w:p>
          <w:p>
            <w:pPr>
              <w:ind w:firstLine="420"/>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3）项目组成员：供应商投入本项目的项目组成员（除项目负责人和技术负责人外）中具有土地、规划、测绘类高级及以上职称的，有一个得3分，具有土地、规划、测绘类中级职称的，有一个得1分，本项最高得9分。</w:t>
            </w:r>
            <w:r/>
          </w:p>
          <w:p>
            <w:pPr>
              <w:ind w:firstLine="420"/>
              <w:rPr>
                <w:rFonts w:hint="eastAsia"/>
                <w:color w:val="auto"/>
                <w:highlight w:val="none"/>
              </w:rPr>
            </w:pPr>
            <w:r>
              <w:rPr>
                <w:rFonts w:hint="eastAsia" w:ascii="宋体" w:hAnsi="宋体" w:eastAsia="宋体" w:cs="Times New Roman"/>
                <w:color w:val="auto"/>
                <w:szCs w:val="21"/>
                <w:highlight w:val="none"/>
                <w:lang w:val="zh-CN"/>
              </w:rPr>
              <w:t xml:space="preserve">注：上述项目负责人、技术负责人、项目组成员为退休人员、非本单位全职人员的不得分。提供上述人员的证书复印件（如职称证书未注明专业的以毕业证书上的专业为准，须同时提供毕业证书复印件）及社保机构出具的供应商为上述人员缴纳的</w:t>
            </w:r>
            <w:r>
              <w:rPr>
                <w:rFonts w:hint="eastAsia" w:ascii="宋体" w:hAnsi="宋体" w:eastAsia="宋体" w:cs="Times New Roman"/>
                <w:color w:val="auto"/>
                <w:szCs w:val="21"/>
                <w:highlight w:val="none"/>
                <w:lang w:val="en-US" w:eastAsia="zh-CN"/>
              </w:rPr>
              <w:t xml:space="preserve">202</w:t>
            </w:r>
            <w:r>
              <w:rPr>
                <w:rFonts w:hint="eastAsia" w:ascii="宋体" w:hAnsi="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val="en-US" w:eastAsia="zh-CN"/>
              </w:rPr>
              <w:t xml:space="preserve">年</w:t>
            </w:r>
            <w:r>
              <w:rPr>
                <w:rFonts w:hint="eastAsia" w:ascii="宋体" w:hAnsi="宋体" w:cs="Times New Roman"/>
                <w:color w:val="auto"/>
                <w:szCs w:val="21"/>
                <w:highlight w:val="none"/>
                <w:lang w:val="en-US" w:eastAsia="zh-CN"/>
              </w:rPr>
              <w:t xml:space="preserve">01</w:t>
            </w:r>
            <w:r>
              <w:rPr>
                <w:rFonts w:hint="eastAsia" w:ascii="宋体" w:hAnsi="宋体" w:eastAsia="宋体" w:cs="Times New Roman"/>
                <w:color w:val="auto"/>
                <w:szCs w:val="21"/>
                <w:highlight w:val="none"/>
                <w:lang w:val="en-US" w:eastAsia="zh-CN"/>
              </w:rPr>
              <w:t xml:space="preserve">月</w:t>
            </w:r>
            <w:r>
              <w:rPr>
                <w:rFonts w:hint="eastAsia" w:ascii="宋体" w:hAnsi="宋体" w:cs="Times New Roman"/>
                <w:color w:val="auto"/>
                <w:szCs w:val="21"/>
                <w:highlight w:val="none"/>
                <w:lang w:val="en-US" w:eastAsia="zh-CN"/>
              </w:rPr>
              <w:t xml:space="preserve">以来</w:t>
            </w:r>
            <w:r>
              <w:rPr>
                <w:rFonts w:hint="eastAsia" w:ascii="宋体" w:hAnsi="宋体" w:eastAsia="宋体" w:cs="Times New Roman"/>
                <w:color w:val="auto"/>
                <w:szCs w:val="21"/>
                <w:highlight w:val="none"/>
                <w:lang w:val="zh-CN"/>
              </w:rPr>
              <w:t xml:space="preserve">任意一个月的社保缴纳证明材料（社保改革过渡期的事业单位提供上级主管单位相关社保说明材料或在职证明材料），</w:t>
            </w:r>
            <w:r>
              <w:rPr>
                <w:rFonts w:hint="eastAsia" w:ascii="宋体" w:hAnsi="宋体" w:eastAsia="宋体" w:cs="Times New Roman"/>
                <w:color w:val="auto"/>
                <w:szCs w:val="21"/>
                <w:highlight w:val="none"/>
                <w:lang w:val="en-US" w:eastAsia="zh-CN"/>
              </w:rPr>
              <w:t xml:space="preserve">同一人不重复计分</w:t>
            </w:r>
            <w:r>
              <w:rPr>
                <w:rFonts w:hint="eastAsia" w:ascii="宋体" w:hAnsi="宋体" w:eastAsia="宋体" w:cs="Times New Roman"/>
                <w:color w:val="auto"/>
                <w:szCs w:val="21"/>
                <w:highlight w:val="none"/>
                <w:lang w:val="zh-CN"/>
              </w:rPr>
              <w:t xml:space="preserve">,未按要求提供的不得分。</w:t>
            </w:r>
            <w:r/>
          </w:p>
        </w:tc>
        <w:tc>
          <w:tcPr>
            <w:tcW w:w="761" w:type="dxa"/>
            <w:vAlign w:val="center"/>
            <w:textDirection w:val="lrTb"/>
            <w:noWrap w:val="false"/>
          </w:tcPr>
          <w:p>
            <w:pPr>
              <w:jc w:val="center"/>
              <w:rPr>
                <w:rFonts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16</w:t>
            </w:r>
            <w:r/>
          </w:p>
        </w:tc>
      </w:tr>
      <w:tr>
        <w:trPr>
          <w:jc w:val="center"/>
          <w:trHeight w:val="1008"/>
          <w:tblHeader/>
        </w:trPr>
        <w:tc>
          <w:tcPr>
            <w:tcW w:w="5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056" w:type="dxa"/>
            <w:vAlign w:val="center"/>
            <w:textDirection w:val="lrTb"/>
            <w:noWrap w:val="false"/>
          </w:tcPr>
          <w:p>
            <w:pPr>
              <w:pStyle w:val="946"/>
              <w:ind w:left="0" w:firstLine="0"/>
              <w:jc w:val="center"/>
              <w:keepLines w:val="0"/>
              <w:keepNext w:val="0"/>
              <w:pageBreakBefore w:val="0"/>
              <w:spacing w:after="0" w:line="24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业绩</w:t>
            </w:r>
            <w:r/>
          </w:p>
          <w:p>
            <w:pPr>
              <w:pStyle w:val="946"/>
              <w:ind w:left="0" w:firstLine="0"/>
              <w:jc w:val="center"/>
              <w:keepLines w:val="0"/>
              <w:keepNext w:val="0"/>
              <w:pageBreakBefore w:val="0"/>
              <w:spacing w:after="0" w:line="240" w:lineRule="auto"/>
              <w:widowControl w:val="off"/>
              <w:rPr>
                <w:rFonts w:hint="eastAsia"/>
                <w:color w:val="auto"/>
                <w:highlight w:val="none"/>
              </w:rPr>
            </w:pPr>
            <w:r>
              <w:rPr>
                <w:rFonts w:hint="eastAsia" w:ascii="宋体" w:hAnsi="宋体" w:eastAsia="宋体" w:cs="Times New Roman"/>
                <w:color w:val="auto"/>
                <w:szCs w:val="21"/>
                <w:highlight w:val="none"/>
                <w:lang w:val="en-US" w:eastAsia="zh-CN"/>
              </w:rPr>
              <w:t xml:space="preserve">（18分）</w:t>
            </w:r>
            <w:r/>
          </w:p>
        </w:tc>
        <w:tc>
          <w:tcPr>
            <w:tcW w:w="7011" w:type="dxa"/>
            <w:vAlign w:val="center"/>
            <w:textDirection w:val="lrTb"/>
            <w:noWrap w:val="false"/>
          </w:tcPr>
          <w:p>
            <w:pPr>
              <w:ind w:firstLine="420"/>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（1）供应商自20</w:t>
            </w:r>
            <w:r>
              <w:rPr>
                <w:rFonts w:hint="eastAsia" w:ascii="宋体" w:hAnsi="宋体" w:eastAsia="宋体" w:cs="Times New Roman"/>
                <w:color w:val="auto"/>
                <w:szCs w:val="21"/>
                <w:highlight w:val="none"/>
                <w:lang w:val="en-US" w:eastAsia="zh-CN"/>
              </w:rPr>
              <w:t xml:space="preserve">2</w:t>
            </w:r>
            <w:r>
              <w:rPr>
                <w:rFonts w:hint="eastAsia" w:ascii="宋体" w:hAnsi="宋体" w:cs="Times New Roman"/>
                <w:color w:val="auto"/>
                <w:szCs w:val="21"/>
                <w:highlight w:val="none"/>
                <w:lang w:val="en-US" w:eastAsia="zh-CN"/>
              </w:rPr>
              <w:t xml:space="preserve">3</w:t>
            </w:r>
            <w:r>
              <w:rPr>
                <w:rFonts w:hint="eastAsia" w:ascii="宋体" w:hAnsi="宋体" w:eastAsia="宋体" w:cs="Times New Roman"/>
                <w:color w:val="auto"/>
                <w:szCs w:val="21"/>
                <w:highlight w:val="none"/>
                <w:lang w:val="zh-CN"/>
              </w:rPr>
              <w:t xml:space="preserve">年1月1日以来</w:t>
            </w:r>
            <w:r>
              <w:rPr>
                <w:rFonts w:hint="eastAsia" w:ascii="宋体" w:hAnsi="宋体" w:eastAsia="宋体" w:cs="Times New Roman"/>
                <w:color w:val="auto"/>
                <w:szCs w:val="21"/>
                <w:highlight w:val="none"/>
                <w:lang w:val="en-US" w:eastAsia="zh-CN"/>
              </w:rPr>
              <w:t xml:space="preserve">承担过</w:t>
            </w:r>
            <w:r>
              <w:rPr>
                <w:rFonts w:hint="eastAsia" w:ascii="宋体" w:hAnsi="宋体" w:eastAsia="宋体" w:cs="Times New Roman"/>
                <w:color w:val="auto"/>
                <w:szCs w:val="21"/>
                <w:highlight w:val="none"/>
                <w:lang w:val="zh-CN"/>
              </w:rPr>
              <w:t xml:space="preserve">耕地占补或增减挂钩类预检或审查项目的，有一个得</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lang w:val="zh-CN"/>
              </w:rPr>
              <w:t xml:space="preserve">分，本项最高得</w:t>
            </w:r>
            <w:r>
              <w:rPr>
                <w:rFonts w:hint="eastAsia" w:ascii="宋体" w:hAnsi="宋体" w:eastAsia="宋体" w:cs="Times New Roman"/>
                <w:color w:val="auto"/>
                <w:szCs w:val="21"/>
                <w:highlight w:val="none"/>
                <w:lang w:val="en-US" w:eastAsia="zh-CN"/>
              </w:rPr>
              <w:t xml:space="preserve">9</w:t>
            </w:r>
            <w:r>
              <w:rPr>
                <w:rFonts w:hint="eastAsia" w:ascii="宋体" w:hAnsi="宋体" w:eastAsia="宋体" w:cs="Times New Roman"/>
                <w:color w:val="auto"/>
                <w:szCs w:val="21"/>
                <w:highlight w:val="none"/>
                <w:lang w:val="zh-CN"/>
              </w:rPr>
              <w:t xml:space="preserve">分。</w:t>
            </w:r>
            <w:r/>
          </w:p>
          <w:p>
            <w:pPr>
              <w:ind w:firstLine="420"/>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（2）供应商自20</w:t>
            </w:r>
            <w:r>
              <w:rPr>
                <w:rFonts w:hint="eastAsia" w:ascii="宋体" w:hAnsi="宋体" w:eastAsia="宋体" w:cs="Times New Roman"/>
                <w:color w:val="auto"/>
                <w:szCs w:val="21"/>
                <w:highlight w:val="none"/>
                <w:lang w:val="en-US" w:eastAsia="zh-CN"/>
              </w:rPr>
              <w:t xml:space="preserve">2</w:t>
            </w:r>
            <w:r>
              <w:rPr>
                <w:rFonts w:hint="eastAsia" w:ascii="宋体" w:hAnsi="宋体" w:cs="Times New Roman"/>
                <w:color w:val="auto"/>
                <w:szCs w:val="21"/>
                <w:highlight w:val="none"/>
                <w:lang w:val="en-US" w:eastAsia="zh-CN"/>
              </w:rPr>
              <w:t xml:space="preserve">3</w:t>
            </w:r>
            <w:r>
              <w:rPr>
                <w:rFonts w:hint="eastAsia" w:ascii="宋体" w:hAnsi="宋体" w:eastAsia="宋体" w:cs="Times New Roman"/>
                <w:color w:val="auto"/>
                <w:szCs w:val="21"/>
                <w:highlight w:val="none"/>
                <w:lang w:val="zh-CN"/>
              </w:rPr>
              <w:t xml:space="preserve">年1月1日以来</w:t>
            </w:r>
            <w:r>
              <w:rPr>
                <w:rFonts w:hint="eastAsia" w:ascii="宋体" w:hAnsi="宋体" w:eastAsia="宋体" w:cs="Times New Roman"/>
                <w:color w:val="auto"/>
                <w:szCs w:val="21"/>
                <w:highlight w:val="none"/>
                <w:lang w:val="en-US" w:eastAsia="zh-CN"/>
              </w:rPr>
              <w:t xml:space="preserve">承担过</w:t>
            </w:r>
            <w:r>
              <w:rPr>
                <w:rFonts w:hint="eastAsia" w:ascii="宋体" w:hAnsi="宋体" w:eastAsia="宋体" w:cs="Times New Roman"/>
                <w:color w:val="auto"/>
                <w:szCs w:val="21"/>
                <w:highlight w:val="none"/>
                <w:lang w:val="zh-CN"/>
              </w:rPr>
              <w:t xml:space="preserve">耕地占补或增减挂钩类信息</w:t>
            </w:r>
            <w:r>
              <w:rPr>
                <w:rFonts w:hint="eastAsia" w:ascii="宋体" w:hAnsi="宋体" w:cs="Times New Roman"/>
                <w:color w:val="auto"/>
                <w:szCs w:val="21"/>
                <w:highlight w:val="none"/>
                <w:lang w:val="zh-CN"/>
              </w:rPr>
              <w:t xml:space="preserve">补录及完善</w:t>
            </w:r>
            <w:r>
              <w:rPr>
                <w:rFonts w:hint="eastAsia" w:ascii="宋体" w:hAnsi="宋体" w:eastAsia="宋体" w:cs="Times New Roman"/>
                <w:color w:val="auto"/>
                <w:szCs w:val="21"/>
                <w:highlight w:val="none"/>
                <w:lang w:val="zh-CN"/>
              </w:rPr>
              <w:t xml:space="preserve">或备案项目的，有一个得</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lang w:val="zh-CN"/>
              </w:rPr>
              <w:t xml:space="preserve">分，本项最高得9</w:t>
            </w:r>
            <w:r>
              <w:rPr>
                <w:rFonts w:hint="eastAsia" w:ascii="宋体" w:hAnsi="宋体" w:eastAsia="宋体" w:cs="Times New Roman"/>
                <w:color w:val="auto"/>
                <w:szCs w:val="21"/>
                <w:highlight w:val="none"/>
                <w:lang w:val="zh-CN"/>
              </w:rPr>
              <w:t xml:space="preserve">分。</w:t>
            </w:r>
            <w:r/>
          </w:p>
          <w:p>
            <w:pPr>
              <w:ind w:firstLine="420"/>
              <w:rPr>
                <w:rFonts w:hint="eastAsia" w:ascii="宋体" w:hAnsi="宋体"/>
                <w:color w:val="auto"/>
                <w:szCs w:val="21"/>
                <w:highlight w:val="none"/>
              </w:rPr>
            </w:pPr>
            <w:r>
              <w:rPr>
                <w:rFonts w:hint="eastAsia" w:ascii="宋体" w:hAnsi="宋体" w:eastAsia="宋体" w:cs="Times New Roman"/>
                <w:color w:val="auto"/>
                <w:szCs w:val="21"/>
                <w:highlight w:val="none"/>
                <w:lang w:val="zh-CN"/>
              </w:rPr>
              <w:t xml:space="preserve">注：提供合同</w:t>
            </w:r>
            <w:r>
              <w:rPr>
                <w:rFonts w:hint="eastAsia" w:ascii="宋体" w:hAnsi="宋体" w:eastAsia="宋体" w:cs="Times New Roman"/>
                <w:color w:val="auto"/>
                <w:szCs w:val="21"/>
                <w:highlight w:val="none"/>
                <w:lang w:val="en-US" w:eastAsia="zh-CN"/>
              </w:rPr>
              <w:t xml:space="preserve">复印件</w:t>
            </w:r>
            <w:r>
              <w:rPr>
                <w:rFonts w:hint="eastAsia" w:ascii="宋体" w:hAnsi="宋体" w:eastAsia="宋体" w:cs="Times New Roman"/>
                <w:color w:val="auto"/>
                <w:szCs w:val="21"/>
                <w:highlight w:val="none"/>
                <w:lang w:val="zh-CN"/>
              </w:rPr>
              <w:t xml:space="preserve">加盖供应商公章</w:t>
            </w:r>
            <w:r>
              <w:rPr>
                <w:rFonts w:hint="eastAsia" w:ascii="宋体" w:hAnsi="宋体" w:eastAsia="宋体" w:cs="Times New Roman"/>
                <w:color w:val="auto"/>
                <w:szCs w:val="21"/>
                <w:highlight w:val="none"/>
                <w:lang w:val="en-US" w:eastAsia="zh-CN"/>
              </w:rPr>
              <w:t xml:space="preserve">，时间</w:t>
            </w:r>
            <w:r>
              <w:rPr>
                <w:rFonts w:hint="eastAsia" w:ascii="宋体" w:hAnsi="宋体" w:eastAsia="宋体" w:cs="Times New Roman"/>
                <w:color w:val="auto"/>
                <w:szCs w:val="21"/>
                <w:highlight w:val="none"/>
                <w:lang w:val="zh-CN"/>
              </w:rPr>
              <w:t xml:space="preserve">以合同签订时间为准，</w:t>
            </w:r>
            <w:r>
              <w:rPr>
                <w:rFonts w:hint="eastAsia" w:ascii="宋体" w:hAnsi="宋体" w:eastAsia="宋体" w:cs="Times New Roman"/>
                <w:color w:val="auto"/>
                <w:szCs w:val="21"/>
                <w:highlight w:val="none"/>
                <w:lang w:val="en-US" w:eastAsia="zh-CN"/>
              </w:rPr>
              <w:t xml:space="preserve">合同</w:t>
            </w:r>
            <w:r>
              <w:rPr>
                <w:rFonts w:hint="eastAsia" w:ascii="宋体" w:hAnsi="宋体" w:eastAsia="宋体" w:cs="Times New Roman"/>
                <w:color w:val="auto"/>
                <w:szCs w:val="21"/>
                <w:highlight w:val="none"/>
                <w:lang w:val="zh-CN"/>
              </w:rPr>
              <w:t xml:space="preserve">应能反映相关信息</w:t>
            </w:r>
            <w:r>
              <w:rPr>
                <w:rFonts w:hint="eastAsia" w:ascii="宋体" w:hAnsi="宋体" w:eastAsia="宋体" w:cs="Times New Roman"/>
                <w:color w:val="auto"/>
                <w:szCs w:val="21"/>
                <w:highlight w:val="none"/>
                <w:lang w:val="zh-CN" w:eastAsia="zh-CN"/>
              </w:rPr>
              <w:t xml:space="preserve">，</w:t>
            </w:r>
            <w:r>
              <w:rPr>
                <w:rFonts w:hint="eastAsia" w:ascii="宋体" w:hAnsi="宋体" w:eastAsia="宋体" w:cs="Times New Roman"/>
                <w:color w:val="auto"/>
                <w:szCs w:val="21"/>
                <w:highlight w:val="none"/>
                <w:lang w:val="en-US" w:eastAsia="zh-CN"/>
              </w:rPr>
              <w:t xml:space="preserve">否则视为未提供，</w:t>
            </w:r>
            <w:r>
              <w:rPr>
                <w:rFonts w:hint="eastAsia" w:ascii="宋体" w:hAnsi="宋体" w:eastAsia="宋体" w:cs="Times New Roman"/>
                <w:color w:val="auto"/>
                <w:szCs w:val="21"/>
                <w:highlight w:val="none"/>
                <w:lang w:val="zh-CN"/>
              </w:rPr>
              <w:t xml:space="preserve">分包、转包合同无效</w:t>
            </w:r>
            <w:r>
              <w:rPr>
                <w:rFonts w:hint="eastAsia" w:ascii="宋体" w:hAnsi="宋体" w:eastAsia="宋体" w:cs="Times New Roman"/>
                <w:color w:val="auto"/>
                <w:szCs w:val="21"/>
                <w:highlight w:val="none"/>
                <w:lang w:val="en-US" w:eastAsia="zh-CN"/>
              </w:rPr>
              <w:t xml:space="preserve">。</w:t>
            </w:r>
            <w:r/>
          </w:p>
        </w:tc>
        <w:tc>
          <w:tcPr>
            <w:tcW w:w="761" w:type="dxa"/>
            <w:vAlign w:val="center"/>
            <w:textDirection w:val="lrTb"/>
            <w:noWrap w:val="false"/>
          </w:tcPr>
          <w:p>
            <w:pPr>
              <w:ind w:firstLine="21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18</w:t>
            </w:r>
            <w:r/>
          </w:p>
        </w:tc>
      </w:tr>
      <w:tr>
        <w:trPr>
          <w:jc w:val="center"/>
          <w:trHeight w:val="973"/>
          <w:tblHeader/>
        </w:trPr>
        <w:tc>
          <w:tcPr>
            <w:tcW w:w="584" w:type="dxa"/>
            <w:vAlign w:val="center"/>
            <w:textDirection w:val="lrTb"/>
            <w:noWrap w:val="false"/>
          </w:tcPr>
          <w:p>
            <w:pPr>
              <w:jc w:val="center"/>
              <w:rPr>
                <w:rFonts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5</w:t>
            </w:r>
            <w:r/>
          </w:p>
        </w:tc>
        <w:tc>
          <w:tcPr>
            <w:tcW w:w="1056" w:type="dxa"/>
            <w:vAlign w:val="center"/>
            <w:vMerge w:val="restart"/>
            <w:textDirection w:val="lrTb"/>
            <w:noWrap w:val="false"/>
          </w:tcPr>
          <w:p>
            <w:pPr>
              <w:pStyle w:val="946"/>
              <w:ind w:left="0" w:firstLine="0"/>
              <w:jc w:val="center"/>
              <w:keepLines w:val="0"/>
              <w:keepNext w:val="0"/>
              <w:pageBreakBefore w:val="0"/>
              <w:spacing w:after="0" w:line="240" w:lineRule="auto"/>
              <w:widowControl w:val="off"/>
              <w:rPr>
                <w:rFonts w:hint="eastAsia"/>
                <w:color w:val="auto"/>
                <w:szCs w:val="21"/>
                <w:highlight w:val="none"/>
                <w:lang w:val="en-US" w:eastAsia="zh-CN"/>
              </w:rPr>
            </w:pPr>
            <w:r>
              <w:rPr>
                <w:rFonts w:hint="eastAsia"/>
                <w:color w:val="auto"/>
                <w:szCs w:val="21"/>
                <w:highlight w:val="none"/>
                <w:lang w:val="en-US" w:eastAsia="zh-CN"/>
              </w:rPr>
              <w:t xml:space="preserve">履约能力</w:t>
            </w:r>
            <w:r/>
          </w:p>
          <w:p>
            <w:pPr>
              <w:pStyle w:val="946"/>
              <w:ind w:left="0" w:firstLine="0"/>
              <w:jc w:val="center"/>
              <w:keepLines w:val="0"/>
              <w:keepNext w:val="0"/>
              <w:pageBreakBefore w:val="0"/>
              <w:spacing w:after="0" w:line="240" w:lineRule="auto"/>
              <w:widowControl w:val="off"/>
              <w:rPr>
                <w:rFonts w:eastAsia="宋体"/>
                <w:color w:val="auto"/>
                <w:szCs w:val="21"/>
                <w:highlight w:val="none"/>
                <w:lang w:val="en-US" w:eastAsia="zh-CN"/>
              </w:rPr>
            </w:pPr>
            <w:r>
              <w:rPr>
                <w:rFonts w:hint="eastAsia"/>
                <w:color w:val="auto"/>
                <w:szCs w:val="21"/>
                <w:highlight w:val="none"/>
                <w:lang w:val="en-US" w:eastAsia="zh-CN"/>
              </w:rPr>
              <w:t xml:space="preserve">（6分）</w:t>
            </w:r>
            <w:r/>
          </w:p>
        </w:tc>
        <w:tc>
          <w:tcPr>
            <w:tcW w:w="7011" w:type="dxa"/>
            <w:vAlign w:val="center"/>
            <w:textDirection w:val="lrTb"/>
            <w:noWrap w:val="false"/>
          </w:tcPr>
          <w:p>
            <w:pPr>
              <w:ind w:firstLine="420"/>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供应商</w:t>
            </w:r>
            <w:r>
              <w:rPr>
                <w:rFonts w:hint="eastAsia" w:ascii="宋体" w:hAnsi="宋体" w:eastAsia="宋体" w:cs="Times New Roman"/>
                <w:color w:val="auto"/>
                <w:szCs w:val="21"/>
                <w:highlight w:val="none"/>
                <w:lang w:val="en-US" w:eastAsia="zh-CN"/>
              </w:rPr>
              <w:t xml:space="preserve">具有有效的质量管理、环境管理、职业健康管理体系认证证书</w:t>
            </w:r>
            <w:r>
              <w:rPr>
                <w:rFonts w:hint="eastAsia" w:ascii="宋体" w:hAnsi="宋体" w:eastAsia="宋体" w:cs="Times New Roman"/>
                <w:color w:val="auto"/>
                <w:szCs w:val="21"/>
                <w:highlight w:val="none"/>
                <w:lang w:val="zh-CN"/>
              </w:rPr>
              <w:t xml:space="preserve">的，每有</w:t>
            </w:r>
            <w:r>
              <w:rPr>
                <w:rFonts w:hint="eastAsia" w:ascii="宋体" w:hAnsi="宋体" w:eastAsia="宋体" w:cs="Times New Roman"/>
                <w:color w:val="auto"/>
                <w:szCs w:val="21"/>
                <w:highlight w:val="none"/>
                <w:lang w:val="en-US" w:eastAsia="zh-CN"/>
              </w:rPr>
              <w:t xml:space="preserve">1个</w:t>
            </w:r>
            <w:r>
              <w:rPr>
                <w:rFonts w:hint="eastAsia" w:ascii="宋体" w:hAnsi="宋体" w:eastAsia="宋体" w:cs="Times New Roman"/>
                <w:color w:val="auto"/>
                <w:szCs w:val="21"/>
                <w:highlight w:val="none"/>
                <w:lang w:val="zh-CN"/>
              </w:rPr>
              <w:t xml:space="preserve">得</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val="zh-CN"/>
              </w:rPr>
              <w:t xml:space="preserve">分，本项最高得</w:t>
            </w: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val="zh-CN"/>
              </w:rPr>
              <w:t xml:space="preserve">分。（提供</w:t>
            </w:r>
            <w:r>
              <w:rPr>
                <w:rFonts w:hint="eastAsia" w:ascii="宋体" w:hAnsi="宋体" w:eastAsia="宋体" w:cs="Times New Roman"/>
                <w:color w:val="auto"/>
                <w:szCs w:val="21"/>
                <w:highlight w:val="none"/>
                <w:lang w:val="en-US" w:eastAsia="zh-CN"/>
              </w:rPr>
              <w:t xml:space="preserve">有效的</w:t>
            </w:r>
            <w:r>
              <w:rPr>
                <w:rFonts w:hint="eastAsia" w:ascii="宋体" w:hAnsi="宋体" w:eastAsia="宋体" w:cs="Times New Roman"/>
                <w:color w:val="auto"/>
                <w:szCs w:val="21"/>
                <w:highlight w:val="none"/>
                <w:lang w:val="zh-CN"/>
              </w:rPr>
              <w:t xml:space="preserve">证书复印件</w:t>
            </w:r>
            <w:r>
              <w:rPr>
                <w:rFonts w:hint="eastAsia" w:ascii="宋体" w:hAnsi="宋体" w:eastAsia="宋体" w:cs="Times New Roman"/>
                <w:color w:val="auto"/>
                <w:szCs w:val="21"/>
                <w:highlight w:val="none"/>
                <w:lang w:val="en-US" w:eastAsia="zh-CN"/>
              </w:rPr>
              <w:t xml:space="preserve">加盖</w:t>
            </w:r>
            <w:r>
              <w:rPr>
                <w:rFonts w:hint="eastAsia" w:ascii="宋体" w:hAnsi="宋体" w:eastAsia="宋体" w:cs="Times New Roman"/>
                <w:color w:val="auto"/>
                <w:szCs w:val="21"/>
                <w:highlight w:val="none"/>
              </w:rPr>
              <w:t xml:space="preserve">供应商公章</w:t>
            </w:r>
            <w:r>
              <w:rPr>
                <w:rFonts w:hint="eastAsia" w:ascii="宋体" w:hAnsi="宋体" w:eastAsia="宋体" w:cs="Times New Roman"/>
                <w:color w:val="auto"/>
                <w:szCs w:val="21"/>
                <w:highlight w:val="none"/>
                <w:lang w:val="zh-CN"/>
              </w:rPr>
              <w:t xml:space="preserve">，未按要求提供者不得分。）</w:t>
            </w:r>
            <w:r/>
          </w:p>
        </w:tc>
        <w:tc>
          <w:tcPr>
            <w:tcW w:w="761" w:type="dxa"/>
            <w:vAlign w:val="center"/>
            <w:textDirection w:val="lrTb"/>
            <w:noWrap w:val="false"/>
          </w:tcPr>
          <w:p>
            <w:pPr>
              <w:ind w:firstLine="210"/>
              <w:rPr>
                <w:rFonts w:ascii="宋体" w:hAnsi="宋体"/>
                <w:color w:val="auto"/>
                <w:szCs w:val="21"/>
                <w:highlight w:val="none"/>
                <w:lang w:val="en-US" w:eastAsia="zh-CN"/>
              </w:rPr>
            </w:pPr>
            <w:r>
              <w:rPr>
                <w:rFonts w:hint="eastAsia" w:ascii="宋体" w:hAnsi="宋体"/>
                <w:color w:val="auto"/>
                <w:szCs w:val="21"/>
                <w:highlight w:val="none"/>
                <w:lang w:val="en-US" w:eastAsia="zh-CN"/>
              </w:rPr>
              <w:t xml:space="preserve">6</w:t>
            </w:r>
            <w:r/>
          </w:p>
        </w:tc>
      </w:tr>
      <w:tr>
        <w:trPr>
          <w:jc w:val="center"/>
          <w:trHeight w:val="454" w:hRule="exact"/>
          <w:tblHeader/>
        </w:trPr>
        <w:tc>
          <w:tcPr>
            <w:tcW w:w="58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gridSpan w:val="2"/>
            <w:tcW w:w="80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  计</w:t>
            </w:r>
            <w:r/>
          </w:p>
        </w:tc>
        <w:tc>
          <w:tcPr>
            <w:tcW w:w="76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100</w:t>
            </w:r>
            <w:r/>
          </w:p>
        </w:tc>
      </w:tr>
    </w:tbl>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落实政府采购政策的价格调整：符合第二章《供应商须知》4条规定情形的，可以享受中小企业扶持政策，用扣除后的价格参加评审。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auto"/>
          <w:szCs w:val="21"/>
          <w:highlight w:val="none"/>
          <w:u w:val="single"/>
        </w:rPr>
        <w:t xml:space="preserve">10%</w:t>
      </w:r>
      <w:r>
        <w:rPr>
          <w:rFonts w:hint="eastAsia" w:ascii="宋体" w:hAnsi="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4%的扣除，用扣除后的价格参加评审。</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5、中小企业参加政府采购活动，应当按照磋商文件给定的格式出具《中小企业声明函》，否则不得享受相关中小企业扶持政策。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8、若供应商同时属于小型或微型企业、监狱企业、残疾人福利性单位中的两种及以上，将不重复享受小微企业价格扣减的优惠政策。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9、非政府强制采购的节能产品或环境标志产品，依据品目清单和认证证书实施政府优先采购。优先采购的具体规定（如涉及）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tabs>
          <w:tab w:val="left" w:pos="820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10、关于无线局域网认证产品政府采购清单中的产品，优先采购的具体规定（如涉及）</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rPr>
          <w:color w:val="auto"/>
          <w:highlight w:val="none"/>
          <w:lang w:val="zh-CN"/>
        </w:rPr>
      </w:pPr>
      <w:r>
        <w:rPr>
          <w:rFonts w:ascii="Microsoft New Tai Lue" w:hAnsi="Microsoft New Tai Lue" w:cs="Microsoft New Tai Lue"/>
          <w:color w:val="auto"/>
          <w:highlight w:val="none"/>
        </w:rPr>
        <w:br w:type="page" w:clear="all"/>
      </w:r>
      <w:bookmarkEnd w:id="202"/>
      <w:r/>
      <w:bookmarkEnd w:id="203"/>
      <w:r/>
      <w:r/>
    </w:p>
    <w:p>
      <w:pPr>
        <w:pStyle w:val="938"/>
        <w:jc w:val="center"/>
        <w:rPr>
          <w:rFonts w:hint="eastAsia" w:ascii="Microsoft New Tai Lue" w:hAnsi="Microsoft New Tai Lue" w:eastAsia="宋体" w:cs="Microsoft New Tai Lue"/>
          <w:b/>
          <w:bCs/>
          <w:color w:val="auto"/>
          <w:sz w:val="32"/>
          <w:szCs w:val="32"/>
          <w:highlight w:val="none"/>
          <w:lang w:val="en-US" w:eastAsia="zh-CN" w:bidi="ar-SA"/>
        </w:rPr>
      </w:pPr>
      <w:r/>
      <w:bookmarkStart w:id="207" w:name="_Toc91836565"/>
      <w:r/>
      <w:bookmarkStart w:id="208" w:name="_Toc15228"/>
      <w:r/>
      <w:bookmarkStart w:id="209" w:name="_Toc107246273"/>
      <w:r>
        <w:rPr>
          <w:rFonts w:ascii="Microsoft New Tai Lue" w:hAnsi="Microsoft New Tai Lue" w:eastAsia="宋体" w:cs="Microsoft New Tai Lue"/>
          <w:b/>
          <w:bCs/>
          <w:color w:val="auto"/>
          <w:sz w:val="32"/>
          <w:szCs w:val="32"/>
          <w:highlight w:val="none"/>
          <w:lang w:val="en-US" w:eastAsia="zh-CN" w:bidi="ar-SA"/>
        </w:rPr>
        <w:t xml:space="preserve">第六章 </w:t>
      </w:r>
      <w:bookmarkEnd w:id="207"/>
      <w:r>
        <w:rPr>
          <w:rFonts w:hint="eastAsia" w:ascii="Microsoft New Tai Lue" w:hAnsi="Microsoft New Tai Lue" w:eastAsia="宋体" w:cs="Microsoft New Tai Lue"/>
          <w:b/>
          <w:bCs/>
          <w:color w:val="auto"/>
          <w:sz w:val="32"/>
          <w:szCs w:val="32"/>
          <w:highlight w:val="none"/>
          <w:lang w:val="en-US" w:eastAsia="zh-CN" w:bidi="ar-SA"/>
        </w:rPr>
        <w:t xml:space="preserve">响应文件格式</w:t>
      </w:r>
      <w:bookmarkEnd w:id="208"/>
      <w:r/>
      <w:bookmarkEnd w:id="209"/>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注：请供应商按照以下文件的要求格式、内容，顺序制作响应文件，并请编制目录及页码，否则可能将影响对响应文件的评价。</w:t>
      </w:r>
      <w:r/>
    </w:p>
    <w:p>
      <w:pPr>
        <w:pStyle w:val="1011"/>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b/>
          <w:color w:val="auto"/>
          <w:sz w:val="40"/>
          <w:szCs w:val="60"/>
          <w:highlight w:val="none"/>
        </w:rPr>
      </w:pPr>
      <w:r/>
      <w:bookmarkStart w:id="210"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jc w:val="left"/>
        <w:spacing w:before="100" w:after="100" w:line="360" w:lineRule="auto"/>
        <w:rPr>
          <w:rFonts w:ascii="Microsoft New Tai Lue" w:hAnsi="Microsoft New Tai Lue" w:cs="Microsoft New Tai Lue"/>
          <w:b/>
          <w:color w:val="auto"/>
          <w:sz w:val="40"/>
          <w:szCs w:val="60"/>
          <w:highlight w:val="none"/>
        </w:rPr>
      </w:pPr>
      <w:r>
        <w:rPr>
          <w:rFonts w:ascii="Microsoft New Tai Lue" w:hAnsi="Microsoft New Tai Lue" w:cs="Microsoft New Tai Lue"/>
          <w:b/>
          <w:color w:val="auto"/>
          <w:sz w:val="40"/>
          <w:szCs w:val="60"/>
          <w:highlight w:val="none"/>
        </w:rPr>
      </w:r>
      <w:r/>
    </w:p>
    <w:p>
      <w:pPr>
        <w:jc w:val="center"/>
        <w:spacing w:before="100" w:after="100" w:line="360" w:lineRule="auto"/>
        <w:rPr>
          <w:rFonts w:hint="eastAsia" w:ascii="Microsoft New Tai Lue" w:hAnsi="Microsoft New Tai Lue" w:eastAsia="宋体" w:cs="Microsoft New Tai Lue"/>
          <w:b/>
          <w:color w:val="auto"/>
          <w:sz w:val="60"/>
          <w:szCs w:val="60"/>
          <w:highlight w:val="none"/>
          <w:lang w:eastAsia="zh-CN"/>
        </w:rPr>
      </w:pPr>
      <w:r>
        <w:rPr>
          <w:rFonts w:hint="eastAsia" w:ascii="Microsoft New Tai Lue" w:hAnsi="Microsoft New Tai Lue" w:cs="Microsoft New Tai Lue"/>
          <w:b/>
          <w:color w:val="auto"/>
          <w:sz w:val="60"/>
          <w:szCs w:val="60"/>
          <w:highlight w:val="none"/>
          <w:lang w:eastAsia="zh-CN"/>
        </w:rPr>
        <w:t xml:space="preserve">2026年补充耕地指标交易平台管理[含补充耕地项目监管]</w:t>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pStyle w:val="966"/>
        <w:jc w:val="center"/>
        <w:rPr>
          <w:rFonts w:ascii="Microsoft New Tai Lue" w:hAnsi="Microsoft New Tai Lue" w:cs="Microsoft New Tai Lue"/>
          <w:b/>
          <w:color w:val="auto"/>
          <w:sz w:val="84"/>
          <w:szCs w:val="84"/>
          <w:highlight w:val="none"/>
        </w:rPr>
      </w:pPr>
      <w:r/>
      <w:bookmarkStart w:id="211" w:name="_Toc100905255"/>
      <w:r>
        <w:rPr>
          <w:rFonts w:hint="eastAsia" w:ascii="Microsoft New Tai Lue" w:hAnsi="Microsoft New Tai Lue" w:cs="Microsoft New Tai Lue"/>
          <w:b/>
          <w:color w:val="auto"/>
          <w:sz w:val="84"/>
          <w:szCs w:val="84"/>
          <w:highlight w:val="none"/>
        </w:rPr>
        <w:t xml:space="preserve">响 应</w:t>
      </w:r>
      <w:r>
        <w:rPr>
          <w:rFonts w:ascii="Microsoft New Tai Lue" w:hAnsi="Microsoft New Tai Lue" w:cs="Microsoft New Tai Lue"/>
          <w:b/>
          <w:color w:val="auto"/>
          <w:sz w:val="84"/>
          <w:szCs w:val="84"/>
          <w:highlight w:val="none"/>
        </w:rPr>
        <w:t xml:space="preserve"> 文 件</w:t>
      </w:r>
      <w:bookmarkEnd w:id="211"/>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p>
    <w:p>
      <w:pPr>
        <w:pStyle w:val="96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6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6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6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66"/>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供应商名称：</w:t>
      </w:r>
      <w:r>
        <w:rPr>
          <w:rFonts w:ascii="Microsoft New Tai Lue" w:hAnsi="Microsoft New Tai Lue" w:cs="Microsoft New Tai Lue"/>
          <w:b/>
          <w:color w:val="auto"/>
          <w:sz w:val="32"/>
          <w:szCs w:val="32"/>
          <w:highlight w:val="none"/>
        </w:rPr>
        <w:t xml:space="preserve">_____________________</w:t>
      </w:r>
      <w:r/>
    </w:p>
    <w:p>
      <w:pPr>
        <w:pStyle w:val="966"/>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rPr>
          <w:rFonts w:ascii="Microsoft New Tai Lue" w:hAnsi="Microsoft New Tai Lue" w:cs="Microsoft New Tai Lue"/>
          <w:b/>
          <w:color w:val="auto"/>
          <w:sz w:val="32"/>
          <w:szCs w:val="32"/>
          <w:highlight w:val="none"/>
          <w:u w:val="single"/>
        </w:rPr>
        <w:t xml:space="preserve">   </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二O   年  月  日</w:t>
      </w:r>
      <w:r/>
    </w:p>
    <w:p>
      <w:pPr>
        <w:pStyle w:val="966"/>
        <w:jc w:val="center"/>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jc w:val="center"/>
        <w:spacing w:line="440" w:lineRule="exact"/>
        <w:rPr>
          <w:rFonts w:hint="eastAsia" w:ascii="宋体" w:hAnsi="宋体" w:cs="宋体"/>
          <w:color w:val="auto"/>
          <w:sz w:val="20"/>
          <w:szCs w:val="20"/>
          <w:highlight w:val="none"/>
        </w:rPr>
      </w:pPr>
      <w:r>
        <w:rPr>
          <w:rFonts w:hint="eastAsia" w:ascii="宋体" w:hAnsi="宋体" w:cs="宋体"/>
          <w:color w:val="auto"/>
          <w:sz w:val="28"/>
          <w:szCs w:val="28"/>
          <w:highlight w:val="none"/>
        </w:rPr>
        <w:t xml:space="preserve">（注：供应商根据附件顺序编制响应文件并制作目录（须生成页码））</w:t>
      </w:r>
      <w:bookmarkEnd w:id="210"/>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bookmarkStart w:id="212" w:name="_Toc104560893"/>
      <w:r/>
      <w:r/>
    </w:p>
    <w:p>
      <w:pPr>
        <w:rPr>
          <w:rFonts w:hint="eastAsia"/>
          <w:color w:val="auto"/>
          <w:highlight w:val="none"/>
        </w:rPr>
      </w:pPr>
      <w:r>
        <w:rPr>
          <w:rFonts w:hint="eastAsia"/>
          <w:color w:val="auto"/>
          <w:highlight w:val="none"/>
        </w:rPr>
      </w:r>
      <w:r/>
    </w:p>
    <w:p>
      <w:pPr>
        <w:pStyle w:val="985"/>
        <w:spacing w:before="0" w:line="280" w:lineRule="exact"/>
        <w:rPr>
          <w:rFonts w:ascii="Microsoft New Tai Lue" w:hAnsi="Microsoft New Tai Lue" w:cs="Microsoft New Tai Lue"/>
          <w:color w:val="auto"/>
          <w:sz w:val="28"/>
          <w:szCs w:val="24"/>
          <w:highlight w:val="none"/>
        </w:rPr>
      </w:pPr>
      <w:r/>
      <w:bookmarkStart w:id="213" w:name="_Toc107246275"/>
      <w:r>
        <w:rPr>
          <w:rFonts w:hint="eastAsia" w:ascii="Microsoft New Tai Lue" w:hAnsi="Microsoft New Tai Lue" w:cs="Microsoft New Tai Lue"/>
          <w:b w:val="0"/>
          <w:color w:val="auto"/>
          <w:sz w:val="24"/>
          <w:highlight w:val="none"/>
        </w:rPr>
        <w:br w:type="page" w:clear="all"/>
      </w:r>
      <w:bookmarkStart w:id="214" w:name="_Toc12057"/>
      <w:r/>
      <w:bookmarkStart w:id="215" w:name="_Toc17622"/>
      <w:r/>
      <w:bookmarkStart w:id="216" w:name="_Toc21649"/>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响应函</w:t>
      </w:r>
      <w:bookmarkEnd w:id="212"/>
      <w:r/>
      <w:bookmarkEnd w:id="213"/>
      <w:r/>
      <w:bookmarkEnd w:id="214"/>
      <w:r/>
      <w:bookmarkEnd w:id="215"/>
      <w:r/>
      <w:bookmarkEnd w:id="216"/>
      <w:r/>
      <w:r/>
    </w:p>
    <w:p>
      <w:pPr>
        <w:ind w:firstLine="420"/>
        <w:spacing w:before="156" w:line="360" w:lineRule="exact"/>
        <w:rPr>
          <w:color w:val="auto"/>
          <w:szCs w:val="21"/>
          <w:highlight w:val="none"/>
        </w:rPr>
      </w:pPr>
      <w:r/>
      <w:bookmarkStart w:id="217" w:name="_Toc103848580"/>
      <w:r/>
      <w:bookmarkStart w:id="218" w:name="_Toc96347902"/>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供应商</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（项目名称、项目编号）   </w:t>
      </w:r>
      <w:r>
        <w:rPr>
          <w:rFonts w:hint="eastAsia"/>
          <w:color w:val="auto"/>
          <w:szCs w:val="21"/>
          <w:highlight w:val="none"/>
        </w:rPr>
        <w:t xml:space="preserve">响应</w:t>
      </w:r>
      <w:r>
        <w:rPr>
          <w:color w:val="auto"/>
          <w:szCs w:val="21"/>
          <w:highlight w:val="none"/>
        </w:rPr>
        <w:t xml:space="preserve">的有关活动，并对此项目进行</w:t>
      </w:r>
      <w:r>
        <w:rPr>
          <w:rFonts w:hint="eastAsia"/>
          <w:color w:val="auto"/>
          <w:szCs w:val="21"/>
          <w:highlight w:val="none"/>
        </w:rPr>
        <w:t xml:space="preserve">响应</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982"/>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供应商</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响应文件</w:t>
      </w:r>
      <w:r>
        <w:rPr>
          <w:rFonts w:ascii="Times New Roman" w:hAnsi="Times New Roman"/>
          <w:color w:val="auto"/>
          <w:highlight w:val="none"/>
        </w:rPr>
        <w:t xml:space="preserve">。</w:t>
      </w:r>
      <w:r/>
    </w:p>
    <w:p>
      <w:pPr>
        <w:pStyle w:val="982"/>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2、我方将按磋商文件的规定履行全部责任和义务。</w:t>
      </w:r>
      <w:r/>
    </w:p>
    <w:p>
      <w:pPr>
        <w:pStyle w:val="982"/>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3、我方已详细审查全部磋商文件，我们完全理解并同意</w:t>
      </w:r>
      <w:r>
        <w:rPr>
          <w:rFonts w:ascii="Times New Roman" w:hAnsi="Times New Roman"/>
          <w:color w:val="auto"/>
          <w:szCs w:val="21"/>
          <w:highlight w:val="none"/>
        </w:rPr>
        <w:t xml:space="preserve">放弃对磋商文件提出质疑或争议的权利。</w:t>
      </w:r>
      <w:r/>
    </w:p>
    <w:p>
      <w:pPr>
        <w:pStyle w:val="982"/>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4、本</w:t>
      </w:r>
      <w:r>
        <w:rPr>
          <w:rFonts w:hint="eastAsia" w:ascii="Times New Roman" w:hAnsi="Times New Roman"/>
          <w:color w:val="auto"/>
          <w:szCs w:val="21"/>
          <w:highlight w:val="none"/>
        </w:rPr>
        <w:t xml:space="preserve">响应有效期</w:t>
      </w:r>
      <w:r>
        <w:rPr>
          <w:rFonts w:ascii="Times New Roman" w:hAnsi="Times New Roman"/>
          <w:color w:val="auto"/>
          <w:szCs w:val="21"/>
          <w:highlight w:val="none"/>
        </w:rPr>
        <w:t xml:space="preserve">为自</w:t>
      </w:r>
      <w:r>
        <w:rPr>
          <w:rFonts w:hint="eastAsia"/>
          <w:color w:val="auto"/>
          <w:szCs w:val="21"/>
          <w:highlight w:val="none"/>
        </w:rPr>
        <w:t xml:space="preserve">响应</w:t>
      </w:r>
      <w:r>
        <w:rPr>
          <w:rFonts w:ascii="Times New Roman" w:hAnsi="Times New Roman"/>
          <w:color w:val="auto"/>
          <w:szCs w:val="21"/>
          <w:highlight w:val="none"/>
        </w:rPr>
        <w:t xml:space="preserve">日起</w:t>
      </w:r>
      <w:r>
        <w:rPr>
          <w:rFonts w:ascii="Times New Roman" w:hAnsi="Times New Roman"/>
          <w:color w:val="auto"/>
          <w:szCs w:val="21"/>
          <w:highlight w:val="none"/>
          <w:u w:val="single"/>
        </w:rPr>
        <w:t xml:space="preserve">  90  </w:t>
      </w:r>
      <w:r>
        <w:rPr>
          <w:rFonts w:ascii="Times New Roman" w:hAnsi="Times New Roman"/>
          <w:color w:val="auto"/>
          <w:szCs w:val="21"/>
          <w:highlight w:val="none"/>
        </w:rPr>
        <w:t xml:space="preserve">个日历日。</w:t>
      </w:r>
      <w:r/>
    </w:p>
    <w:p>
      <w:pPr>
        <w:pStyle w:val="98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5、如果在规定的提交</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截止时间后，我方在</w:t>
      </w:r>
      <w:r>
        <w:rPr>
          <w:rFonts w:hint="eastAsia" w:ascii="Times New Roman" w:hAnsi="Times New Roman"/>
          <w:color w:val="auto"/>
          <w:szCs w:val="21"/>
          <w:highlight w:val="none"/>
        </w:rPr>
        <w:t xml:space="preserve">响应有效期</w:t>
      </w:r>
      <w:r>
        <w:rPr>
          <w:rFonts w:ascii="Times New Roman" w:hAnsi="Times New Roman"/>
          <w:color w:val="auto"/>
          <w:szCs w:val="21"/>
          <w:highlight w:val="none"/>
        </w:rPr>
        <w:t xml:space="preserve">内撤销</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磋商保证金</w:t>
      </w:r>
      <w:r>
        <w:rPr>
          <w:rFonts w:ascii="Times New Roman" w:hAnsi="Times New Roman"/>
          <w:color w:val="auto"/>
          <w:szCs w:val="21"/>
          <w:highlight w:val="none"/>
        </w:rPr>
        <w:t xml:space="preserve">将不予退还。</w:t>
      </w:r>
      <w:r/>
    </w:p>
    <w:p>
      <w:pPr>
        <w:pStyle w:val="98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6、我方同意贵方查询或调查我们提交的与本</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有关的声明、文件和资料，并同意在贵方的要求下提供相关文件或证书的原件及其他相关书面材料。</w:t>
      </w:r>
      <w:r/>
    </w:p>
    <w:p>
      <w:pPr>
        <w:pStyle w:val="98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98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8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w:t>
      </w:r>
      <w:r>
        <w:rPr>
          <w:rFonts w:ascii="Times New Roman" w:hAnsi="Times New Roman"/>
          <w:color w:val="auto"/>
          <w:highlight w:val="none"/>
        </w:rPr>
        <w:t xml:space="preserve">我方保证</w:t>
      </w:r>
      <w:r>
        <w:rPr>
          <w:rFonts w:hint="eastAsia" w:ascii="Times New Roman" w:hAnsi="Times New Roman"/>
          <w:color w:val="auto"/>
          <w:highlight w:val="none"/>
        </w:rPr>
        <w:t xml:space="preserve">响应文件</w:t>
      </w:r>
      <w:r>
        <w:rPr>
          <w:rFonts w:ascii="Times New Roman" w:hAnsi="Times New Roman"/>
          <w:color w:val="auto"/>
          <w:highlight w:val="none"/>
        </w:rPr>
        <w:t xml:space="preserve">所提供的全部资料真实可靠，同意提供贵方要求的与该项</w:t>
      </w:r>
      <w:r>
        <w:rPr>
          <w:rFonts w:hint="eastAsia"/>
          <w:color w:val="auto"/>
          <w:szCs w:val="21"/>
          <w:highlight w:val="none"/>
        </w:rPr>
        <w:t xml:space="preserve">响应</w:t>
      </w:r>
      <w:r>
        <w:rPr>
          <w:rFonts w:ascii="Times New Roman" w:hAnsi="Times New Roman"/>
          <w:color w:val="auto"/>
          <w:highlight w:val="none"/>
        </w:rPr>
        <w:t xml:space="preserve">有关的数据或资料，完全理解贵方不一定接受最低价的</w:t>
      </w:r>
      <w:r>
        <w:rPr>
          <w:rFonts w:hint="eastAsia"/>
          <w:color w:val="auto"/>
          <w:szCs w:val="21"/>
          <w:highlight w:val="none"/>
        </w:rPr>
        <w:t xml:space="preserve">响应</w:t>
      </w:r>
      <w:r>
        <w:rPr>
          <w:rFonts w:ascii="Times New Roman" w:hAnsi="Times New Roman"/>
          <w:color w:val="auto"/>
          <w:highlight w:val="none"/>
        </w:rPr>
        <w:t xml:space="preserve">或收到的任何</w:t>
      </w:r>
      <w:r>
        <w:rPr>
          <w:rFonts w:hint="eastAsia"/>
          <w:color w:val="auto"/>
          <w:szCs w:val="21"/>
          <w:highlight w:val="none"/>
        </w:rPr>
        <w:t xml:space="preserve">响应</w:t>
      </w:r>
      <w:r>
        <w:rPr>
          <w:rFonts w:ascii="Times New Roman" w:hAnsi="Times New Roman"/>
          <w:color w:val="auto"/>
          <w:highlight w:val="none"/>
        </w:rPr>
        <w:t xml:space="preserve">。</w:t>
      </w:r>
      <w:r/>
    </w:p>
    <w:p>
      <w:pPr>
        <w:pStyle w:val="982"/>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10、</w:t>
      </w:r>
      <w:r>
        <w:rPr>
          <w:rFonts w:ascii="Times New Roman" w:hAnsi="Times New Roman"/>
          <w:color w:val="auto"/>
          <w:szCs w:val="21"/>
          <w:highlight w:val="none"/>
        </w:rPr>
        <w:t xml:space="preserve">与本</w:t>
      </w:r>
      <w:r>
        <w:rPr>
          <w:rFonts w:hint="eastAsia"/>
          <w:color w:val="auto"/>
          <w:szCs w:val="21"/>
          <w:highlight w:val="none"/>
        </w:rPr>
        <w:t xml:space="preserve">响应</w:t>
      </w:r>
      <w:r>
        <w:rPr>
          <w:rFonts w:ascii="Times New Roman" w:hAnsi="Times New Roman"/>
          <w:color w:val="auto"/>
          <w:szCs w:val="21"/>
          <w:highlight w:val="none"/>
        </w:rPr>
        <w:t xml:space="preserve">有关的一切往来通讯请寄：</w:t>
      </w:r>
      <w:r/>
    </w:p>
    <w:p>
      <w:pPr>
        <w:ind w:firstLine="367"/>
        <w:spacing w:line="400" w:lineRule="exact"/>
        <w:rPr>
          <w:color w:val="auto"/>
          <w:szCs w:val="21"/>
          <w:highlight w:val="none"/>
        </w:rPr>
      </w:pPr>
      <w:r>
        <w:rPr>
          <w:color w:val="auto"/>
          <w:szCs w:val="21"/>
          <w:highlight w:val="none"/>
        </w:rPr>
        <w:t xml:space="preserve">地址：</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邮编：</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手机：</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315"/>
        <w:spacing w:before="120" w:line="360" w:lineRule="auto"/>
        <w:rPr>
          <w:color w:val="auto"/>
          <w:szCs w:val="21"/>
          <w:highlight w:val="none"/>
        </w:rPr>
      </w:pPr>
      <w:r>
        <w:rPr>
          <w:rFonts w:hint="eastAsia"/>
          <w:color w:val="auto"/>
          <w:szCs w:val="21"/>
          <w:highlight w:val="none"/>
        </w:rPr>
        <w:t xml:space="preserve">供应商</w:t>
      </w:r>
      <w:r>
        <w:rPr>
          <w:color w:val="auto"/>
          <w:szCs w:val="21"/>
          <w:highlight w:val="none"/>
        </w:rPr>
        <w:t xml:space="preserve">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firstLine="315"/>
        <w:rPr>
          <w:color w:val="auto"/>
          <w:szCs w:val="21"/>
          <w:highlight w:val="none"/>
        </w:rPr>
      </w:pPr>
      <w:r>
        <w:rPr>
          <w:color w:val="auto"/>
          <w:szCs w:val="21"/>
          <w:highlight w:val="none"/>
        </w:rPr>
        <w:t xml:space="preserve">法定代表人（单位负责人）</w:t>
      </w:r>
      <w:r/>
    </w:p>
    <w:p>
      <w:pPr>
        <w:ind w:firstLine="315"/>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jc w:val="left"/>
        <w:spacing w:line="276" w:lineRule="auto"/>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85"/>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219" w:name="_Toc104560898"/>
      <w:r/>
      <w:bookmarkStart w:id="220" w:name="_Toc103848583"/>
      <w:r/>
      <w:bookmarkStart w:id="221" w:name="_Toc5324"/>
      <w:r/>
      <w:bookmarkStart w:id="222" w:name="_Toc13183"/>
      <w:r/>
      <w:bookmarkStart w:id="223" w:name="_Toc107246276"/>
      <w:r/>
      <w:bookmarkStart w:id="224" w:name="_Toc19785"/>
      <w:r>
        <w:rPr>
          <w:rFonts w:ascii="Microsoft New Tai Lue" w:hAnsi="Microsoft New Tai Lue" w:cs="Microsoft New Tai Lue"/>
          <w:bCs w:val="0"/>
          <w:color w:val="auto"/>
          <w:sz w:val="24"/>
          <w:szCs w:val="24"/>
          <w:highlight w:val="none"/>
        </w:rPr>
        <w:t xml:space="preserve">（2）</w:t>
      </w:r>
      <w:bookmarkEnd w:id="219"/>
      <w:r/>
      <w:bookmarkEnd w:id="220"/>
      <w:r>
        <w:rPr>
          <w:rFonts w:hint="eastAsia" w:ascii="Microsoft New Tai Lue" w:hAnsi="Microsoft New Tai Lue" w:cs="Microsoft New Tai Lue"/>
          <w:bCs w:val="0"/>
          <w:color w:val="auto"/>
          <w:sz w:val="24"/>
          <w:szCs w:val="24"/>
          <w:highlight w:val="none"/>
        </w:rPr>
        <w:t xml:space="preserve">法定代表人（单位负责人）身份证明</w:t>
      </w:r>
      <w:bookmarkEnd w:id="221"/>
      <w:r/>
      <w:bookmarkEnd w:id="222"/>
      <w:r/>
      <w:bookmarkEnd w:id="223"/>
      <w:r/>
      <w:bookmarkEnd w:id="224"/>
      <w:r/>
      <w:r/>
    </w:p>
    <w:p>
      <w:pPr>
        <w:pStyle w:val="762"/>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62"/>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62"/>
        <w:ind w:firstLine="420"/>
        <w:tabs>
          <w:tab w:val="left" w:pos="4228" w:leader="none"/>
        </w:tabs>
        <w:rPr>
          <w:rFonts w:eastAsia="Times New Roman"/>
          <w:color w:val="auto"/>
          <w:highlight w:val="none"/>
        </w:rPr>
      </w:pPr>
      <w:r>
        <w:rPr>
          <w:rFonts w:hint="eastAsia"/>
          <w:color w:val="auto"/>
          <w:highlight w:val="none"/>
        </w:rPr>
        <w:t xml:space="preserve">供应商</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62"/>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62"/>
        <w:ind w:firstLine="420"/>
        <w:spacing w:before="173"/>
        <w:tabs>
          <w:tab w:val="left" w:pos="3132" w:leader="none"/>
        </w:tabs>
        <w:rPr>
          <w:rFonts w:hint="eastAsia"/>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供应商</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762"/>
        <w:ind w:firstLine="420"/>
        <w:spacing w:before="170"/>
        <w:rPr>
          <w:color w:val="auto"/>
          <w:highlight w:val="none"/>
        </w:rPr>
      </w:pPr>
      <w:r>
        <w:rPr>
          <w:color w:val="auto"/>
          <w:highlight w:val="none"/>
        </w:rPr>
        <w:t xml:space="preserve">特此证明。</w:t>
      </w:r>
      <w:r/>
    </w:p>
    <w:p>
      <w:pPr>
        <w:pStyle w:val="762"/>
        <w:ind w:left="1260"/>
        <w:rPr>
          <w:color w:val="auto"/>
          <w:sz w:val="20"/>
          <w:highlight w:val="none"/>
        </w:rPr>
      </w:pPr>
      <w:r>
        <w:rPr>
          <w:color w:val="auto"/>
          <w:sz w:val="20"/>
          <w:highlight w:val="none"/>
        </w:rPr>
      </w:r>
      <w:r/>
    </w:p>
    <w:p>
      <w:pPr>
        <w:pStyle w:val="762"/>
        <w:ind w:left="1260"/>
        <w:spacing w:before="10"/>
        <w:rPr>
          <w:color w:val="auto"/>
          <w:sz w:val="27"/>
          <w:highlight w:val="none"/>
        </w:rPr>
      </w:pPr>
      <w:r>
        <w:rPr>
          <w:color w:val="auto"/>
          <w:sz w:val="27"/>
          <w:highlight w:val="none"/>
        </w:rPr>
      </w:r>
      <w:r/>
    </w:p>
    <w:p>
      <w:pPr>
        <w:spacing w:line="480" w:lineRule="auto"/>
        <w:rPr>
          <w:rFonts w:hint="eastAsia"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61"/>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62"/>
              <w:jc w:val="center"/>
              <w:rPr>
                <w:i/>
                <w:color w:val="auto"/>
                <w:sz w:val="20"/>
                <w:highlight w:val="none"/>
              </w:rPr>
            </w:pPr>
            <w:r>
              <w:rPr>
                <w:i/>
                <w:color w:val="auto"/>
                <w:sz w:val="24"/>
                <w:highlight w:val="none"/>
              </w:rPr>
              <w:t xml:space="preserve">身份证正面</w:t>
            </w:r>
            <w:r/>
          </w:p>
        </w:tc>
      </w:tr>
    </w:tbl>
    <w:p>
      <w:pPr>
        <w:pStyle w:val="762"/>
        <w:ind w:left="1260"/>
        <w:rPr>
          <w:color w:val="auto"/>
          <w:sz w:val="20"/>
          <w:highlight w:val="none"/>
        </w:rPr>
      </w:pPr>
      <w:r>
        <w:rPr>
          <w:color w:val="auto"/>
          <w:sz w:val="20"/>
          <w:highlight w:val="none"/>
        </w:rPr>
      </w:r>
      <w:r/>
    </w:p>
    <w:tbl>
      <w:tblPr>
        <w:tblStyle w:val="761"/>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62"/>
              <w:jc w:val="center"/>
              <w:rPr>
                <w:color w:val="auto"/>
                <w:sz w:val="20"/>
                <w:highlight w:val="none"/>
              </w:rPr>
            </w:pPr>
            <w:r>
              <w:rPr>
                <w:i/>
                <w:color w:val="auto"/>
                <w:sz w:val="24"/>
                <w:highlight w:val="none"/>
              </w:rPr>
              <w:t xml:space="preserve">身份证反面</w:t>
            </w:r>
            <w:r/>
          </w:p>
        </w:tc>
      </w:tr>
    </w:tbl>
    <w:p>
      <w:pPr>
        <w:pStyle w:val="762"/>
        <w:rPr>
          <w:rFonts w:hint="eastAsia"/>
          <w:color w:val="auto"/>
          <w:sz w:val="20"/>
          <w:highlight w:val="none"/>
        </w:rPr>
      </w:pPr>
      <w:r>
        <w:rPr>
          <w:rFonts w:hint="eastAsia"/>
          <w:color w:val="auto"/>
          <w:sz w:val="20"/>
          <w:highlight w:val="none"/>
        </w:rPr>
      </w:r>
      <w:r/>
    </w:p>
    <w:p>
      <w:pPr>
        <w:pStyle w:val="762"/>
        <w:rPr>
          <w:rFonts w:hint="eastAsia"/>
          <w:color w:val="auto"/>
          <w:sz w:val="20"/>
          <w:highlight w:val="none"/>
        </w:rPr>
      </w:pPr>
      <w:r>
        <w:rPr>
          <w:rFonts w:hint="eastAsia"/>
          <w:color w:val="auto"/>
          <w:sz w:val="20"/>
          <w:highlight w:val="none"/>
        </w:rPr>
      </w:r>
      <w:r/>
    </w:p>
    <w:p>
      <w:pPr>
        <w:pStyle w:val="762"/>
        <w:ind w:left="1260"/>
        <w:rPr>
          <w:color w:val="auto"/>
          <w:sz w:val="20"/>
          <w:highlight w:val="none"/>
        </w:rPr>
      </w:pPr>
      <w:r>
        <w:rPr>
          <w:color w:val="auto"/>
          <w:sz w:val="20"/>
          <w:highlight w:val="none"/>
        </w:rPr>
      </w:r>
      <w:r/>
    </w:p>
    <w:p>
      <w:pPr>
        <w:pStyle w:val="762"/>
        <w:ind w:left="1260"/>
        <w:spacing w:before="1"/>
        <w:rPr>
          <w:color w:val="auto"/>
          <w:sz w:val="22"/>
          <w:highlight w:val="none"/>
        </w:rPr>
      </w:pPr>
      <w:r>
        <w:rPr>
          <w:color w:val="auto"/>
          <w:sz w:val="22"/>
          <w:highlight w:val="none"/>
        </w:rPr>
      </w:r>
      <w:r/>
    </w:p>
    <w:p>
      <w:pPr>
        <w:pStyle w:val="762"/>
        <w:ind w:left="1260" w:firstLine="3060"/>
        <w:tabs>
          <w:tab w:val="left" w:pos="7977" w:leader="none"/>
        </w:tabs>
        <w:rPr>
          <w:color w:val="auto"/>
          <w:highlight w:val="none"/>
        </w:rPr>
      </w:pPr>
      <w:r>
        <w:rPr>
          <w:rFonts w:hint="eastAsia"/>
          <w:color w:val="auto"/>
          <w:spacing w:val="-3"/>
          <w:highlight w:val="none"/>
        </w:rPr>
        <w:t xml:space="preserve">供应商</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85"/>
        <w:spacing w:before="0"/>
        <w:rPr>
          <w:rFonts w:hint="eastAsia"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225" w:name="_Toc103848584"/>
      <w:r/>
      <w:bookmarkStart w:id="226" w:name="_Toc107246277"/>
      <w:r/>
      <w:bookmarkStart w:id="227" w:name="_Toc104560899"/>
      <w:r/>
      <w:bookmarkStart w:id="228" w:name="_Toc8842"/>
      <w:r/>
      <w:bookmarkStart w:id="229" w:name="_Toc13156"/>
      <w:r/>
      <w:bookmarkStart w:id="230" w:name="_Toc16418"/>
      <w:r>
        <w:rPr>
          <w:rFonts w:ascii="Microsoft New Tai Lue" w:hAnsi="Microsoft New Tai Lue" w:cs="Microsoft New Tai Lue"/>
          <w:bCs w:val="0"/>
          <w:color w:val="auto"/>
          <w:sz w:val="24"/>
          <w:szCs w:val="24"/>
          <w:highlight w:val="none"/>
        </w:rPr>
        <w:t xml:space="preserve">（3-1）法定代表人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225"/>
      <w:r/>
      <w:bookmarkEnd w:id="226"/>
      <w:r/>
      <w:bookmarkEnd w:id="227"/>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bookmarkEnd w:id="228"/>
      <w:r/>
      <w:bookmarkEnd w:id="229"/>
      <w:r/>
      <w:bookmarkEnd w:id="230"/>
      <w:r/>
      <w:r/>
    </w:p>
    <w:p>
      <w:pPr>
        <w:jc w:val="center"/>
        <w:rPr>
          <w:b/>
          <w:bCs/>
          <w:color w:val="auto"/>
          <w:sz w:val="24"/>
          <w:highlight w:val="none"/>
        </w:rPr>
      </w:pPr>
      <w:r>
        <w:rPr>
          <w:b/>
          <w:bCs/>
          <w:color w:val="auto"/>
          <w:sz w:val="24"/>
          <w:highlight w:val="none"/>
        </w:rPr>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委托期限：自本授权委托书签署之日起至响应有效期届满之日止。</w:t>
      </w:r>
      <w:r/>
    </w:p>
    <w:p>
      <w:pPr>
        <w:ind w:firstLine="420"/>
        <w:spacing w:line="300" w:lineRule="exact"/>
        <w:rPr>
          <w:color w:val="auto"/>
          <w:szCs w:val="21"/>
          <w:highlight w:val="none"/>
        </w:rPr>
      </w:pPr>
      <w:r>
        <w:rPr>
          <w:rFonts w:hint="eastAsia"/>
          <w:color w:val="auto"/>
          <w:szCs w:val="21"/>
          <w:highlight w:val="none"/>
        </w:rPr>
        <w:t xml:space="preserve">供应商</w:t>
      </w:r>
      <w:r>
        <w:rPr>
          <w:color w:val="auto"/>
          <w:szCs w:val="21"/>
          <w:highlight w:val="none"/>
        </w:rPr>
        <w:t xml:space="preserve">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982"/>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82"/>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pStyle w:val="982"/>
        <w:ind w:firstLine="420"/>
        <w:spacing w:after="0" w:line="300" w:lineRule="exact"/>
        <w:rPr>
          <w:rFonts w:hint="eastAsia" w:ascii="Times New Roman" w:hAnsi="Times New Roman"/>
          <w:color w:val="auto"/>
          <w:highlight w:val="none"/>
        </w:rPr>
      </w:pPr>
      <w:r>
        <w:rPr>
          <w:rFonts w:hint="eastAsia" w:ascii="Times New Roman" w:hAnsi="Times New Roman"/>
          <w:color w:val="auto"/>
          <w:highlight w:val="none"/>
        </w:rPr>
      </w:r>
      <w:r/>
    </w:p>
    <w:p>
      <w:pPr>
        <w:spacing w:line="480" w:lineRule="auto"/>
        <w:rPr>
          <w:rFonts w:hint="eastAsia" w:ascii="Microsoft New Tai Lue" w:hAnsi="Microsoft New Tai Lue" w:cs="Microsoft New Tai Lue"/>
          <w:color w:val="auto"/>
          <w:highlight w:val="none"/>
        </w:rPr>
      </w:pPr>
      <w:r>
        <w:rPr>
          <w:rFonts w:hint="eastAsia"/>
          <w:color w:val="auto"/>
          <w:szCs w:val="21"/>
          <w:highlight w:val="none"/>
        </w:rPr>
        <w:t xml:space="preserve">附：法定代表人（单位负责人）有效期内的</w:t>
      </w:r>
      <w:r>
        <w:rPr>
          <w:rFonts w:ascii="Microsoft New Tai Lue" w:hAnsi="Microsoft New Tai Lue" w:cs="Microsoft New Tai Lue"/>
          <w:color w:val="auto"/>
          <w:highlight w:val="none"/>
        </w:rPr>
        <w:t xml:space="preserve">身份证复印件（正反面）</w:t>
      </w:r>
      <w:r/>
    </w:p>
    <w:tbl>
      <w:tblPr>
        <w:tblStyle w:val="76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62"/>
              <w:jc w:val="center"/>
              <w:spacing w:line="300" w:lineRule="exact"/>
              <w:rPr>
                <w:i/>
                <w:color w:val="auto"/>
                <w:sz w:val="20"/>
                <w:highlight w:val="none"/>
              </w:rPr>
            </w:pPr>
            <w:r>
              <w:rPr>
                <w:i/>
                <w:color w:val="auto"/>
                <w:sz w:val="24"/>
                <w:highlight w:val="none"/>
              </w:rPr>
              <w:t xml:space="preserve">身份证正面</w:t>
            </w:r>
            <w:r/>
          </w:p>
        </w:tc>
        <w:tc>
          <w:tcPr>
            <w:tcW w:w="284" w:type="dxa"/>
            <w:vAlign w:val="top"/>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hint="eastAsia"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61"/>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62"/>
              <w:jc w:val="center"/>
              <w:spacing w:line="300" w:lineRule="exact"/>
              <w:rPr>
                <w:i/>
                <w:color w:val="auto"/>
                <w:sz w:val="20"/>
                <w:highlight w:val="none"/>
              </w:rPr>
            </w:pPr>
            <w:r>
              <w:rPr>
                <w:i/>
                <w:color w:val="auto"/>
                <w:sz w:val="24"/>
                <w:highlight w:val="none"/>
              </w:rPr>
              <w:t xml:space="preserve">身份证正面</w:t>
            </w:r>
            <w:r/>
          </w:p>
        </w:tc>
        <w:tc>
          <w:tcPr>
            <w:tcW w:w="278" w:type="dxa"/>
            <w:vAlign w:val="top"/>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982"/>
        <w:spacing w:line="300" w:lineRule="exac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982"/>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1.</w:t>
      </w:r>
      <w:r>
        <w:rPr>
          <w:rFonts w:hint="eastAsia"/>
          <w:color w:val="auto"/>
          <w:highlight w:val="none"/>
        </w:rPr>
        <w:t xml:space="preserve"> </w:t>
      </w:r>
      <w:r>
        <w:rPr>
          <w:rFonts w:hint="eastAsia" w:ascii="Times New Roman" w:hAnsi="Times New Roman"/>
          <w:b/>
          <w:bCs/>
          <w:color w:val="auto"/>
          <w:szCs w:val="21"/>
          <w:highlight w:val="none"/>
        </w:rPr>
        <w:t xml:space="preserve">若供应商为分公司、分支机构等依法无需设置法定代表人职务的单位（仅当磋商文件注明允许上述单位响应时），法定代表人签字处可由单位负责人签署。</w:t>
      </w:r>
      <w:r/>
    </w:p>
    <w:p>
      <w:pPr>
        <w:pStyle w:val="982"/>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2.若响应文件中签字之处均为法定代表人（单位负责人）本人签署，则可不提供本《授权委托书》，但须提供《法定代表人（单位负责人）身份证明》。</w:t>
      </w:r>
      <w:bookmarkStart w:id="231" w:name="_Toc107246279"/>
      <w:r/>
      <w:bookmarkStart w:id="232" w:name="_Toc104560895"/>
      <w:r/>
      <w:r/>
    </w:p>
    <w:p>
      <w:pPr>
        <w:rPr>
          <w:rFonts w:ascii="Microsoft New Tai Lue" w:hAnsi="Microsoft New Tai Lue" w:cs="Microsoft New Tai Lue"/>
          <w:bCs w:val="0"/>
          <w:color w:val="auto"/>
          <w:sz w:val="24"/>
          <w:szCs w:val="24"/>
          <w:highlight w:val="none"/>
        </w:rPr>
      </w:pPr>
      <w:r/>
      <w:bookmarkStart w:id="233" w:name="_Toc107246278"/>
      <w:r/>
      <w:bookmarkStart w:id="234" w:name="_Toc104560900"/>
      <w:r/>
      <w:bookmarkStart w:id="235" w:name="_Toc103848585"/>
      <w:r>
        <w:rPr>
          <w:rFonts w:ascii="Microsoft New Tai Lue" w:hAnsi="Microsoft New Tai Lue" w:cs="Microsoft New Tai Lue"/>
          <w:bCs w:val="0"/>
          <w:color w:val="auto"/>
          <w:sz w:val="24"/>
          <w:szCs w:val="24"/>
          <w:highlight w:val="none"/>
        </w:rPr>
        <w:br w:type="page" w:clear="all"/>
      </w:r>
      <w:r/>
    </w:p>
    <w:p>
      <w:pPr>
        <w:pStyle w:val="985"/>
        <w:spacing w:before="0"/>
        <w:rPr>
          <w:rFonts w:ascii="Times New Roman" w:hAnsi="Times New Roman"/>
          <w:bCs w:val="0"/>
          <w:color w:val="auto"/>
          <w:sz w:val="21"/>
          <w:szCs w:val="24"/>
          <w:highlight w:val="none"/>
        </w:rPr>
      </w:pPr>
      <w:r/>
      <w:bookmarkStart w:id="236" w:name="_Toc31578"/>
      <w:r/>
      <w:bookmarkStart w:id="237" w:name="_Toc18118"/>
      <w:r/>
      <w:bookmarkStart w:id="238" w:name="_Toc32283"/>
      <w:r>
        <w:rPr>
          <w:rFonts w:ascii="Microsoft New Tai Lue" w:hAnsi="Microsoft New Tai Lue" w:cs="Microsoft New Tai Lue"/>
          <w:bCs w:val="0"/>
          <w:color w:val="auto"/>
          <w:sz w:val="24"/>
          <w:szCs w:val="24"/>
          <w:highlight w:val="none"/>
        </w:rPr>
        <w:t xml:space="preserve">（3</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2）授权委托书</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适用于自然人</w:t>
      </w:r>
      <w:r>
        <w:rPr>
          <w:rFonts w:hint="eastAsia" w:ascii="Microsoft New Tai Lue" w:hAnsi="Microsoft New Tai Lue" w:cs="Microsoft New Tai Lue"/>
          <w:bCs w:val="0"/>
          <w:color w:val="auto"/>
          <w:sz w:val="24"/>
          <w:szCs w:val="24"/>
          <w:highlight w:val="none"/>
        </w:rPr>
        <w:t xml:space="preserve">）</w:t>
      </w:r>
      <w:bookmarkEnd w:id="233"/>
      <w:r/>
      <w:bookmarkEnd w:id="234"/>
      <w:r/>
      <w:bookmarkEnd w:id="235"/>
      <w:r/>
      <w:bookmarkEnd w:id="236"/>
      <w:r/>
      <w:bookmarkEnd w:id="237"/>
      <w:r/>
      <w:bookmarkEnd w:id="238"/>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             ）</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委托期限：自本授权委托书签署之日起至响应有效期届满之日止。</w:t>
      </w:r>
      <w:r/>
    </w:p>
    <w:p>
      <w:pPr>
        <w:ind w:firstLine="420"/>
        <w:spacing w:line="460" w:lineRule="exact"/>
        <w:rPr>
          <w:color w:val="auto"/>
          <w:szCs w:val="21"/>
          <w:highlight w:val="none"/>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  </w:t>
      </w:r>
      <w:r>
        <w:rPr>
          <w:color w:val="auto"/>
          <w:szCs w:val="21"/>
          <w:highlight w:val="none"/>
          <w:u w:val="single"/>
        </w:rPr>
        <w:t xml:space="preserve">                          </w:t>
      </w:r>
      <w:r/>
    </w:p>
    <w:p>
      <w:pPr>
        <w:pStyle w:val="982"/>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46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82"/>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76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62"/>
              <w:jc w:val="center"/>
              <w:rPr>
                <w:i/>
                <w:color w:val="auto"/>
                <w:sz w:val="20"/>
                <w:highlight w:val="none"/>
              </w:rPr>
            </w:pPr>
            <w:r>
              <w:rPr>
                <w:i/>
                <w:color w:val="auto"/>
                <w:sz w:val="24"/>
                <w:highlight w:val="none"/>
              </w:rPr>
              <w:t xml:space="preserve">身份证正面</w:t>
            </w:r>
            <w:r/>
          </w:p>
        </w:tc>
        <w:tc>
          <w:tcPr>
            <w:tcW w:w="284" w:type="dxa"/>
            <w:vAlign w:val="top"/>
            <w:textDirection w:val="lrTb"/>
            <w:noWrap w:val="false"/>
          </w:tcPr>
          <w:p>
            <w:pPr>
              <w:jc w:val="left"/>
              <w:widowControl/>
              <w:rPr>
                <w:color w:val="auto"/>
                <w:sz w:val="20"/>
                <w:highlight w:val="none"/>
              </w:rPr>
            </w:pPr>
            <w:r>
              <w:rPr>
                <w:color w:val="auto"/>
                <w:sz w:val="20"/>
                <w:highlight w:val="none"/>
              </w:rPr>
            </w:r>
            <w:r/>
          </w:p>
        </w:tc>
        <w:tc>
          <w:tcPr>
            <w:tcW w:w="4677"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82"/>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761"/>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62"/>
              <w:jc w:val="center"/>
              <w:rPr>
                <w:i/>
                <w:color w:val="auto"/>
                <w:sz w:val="20"/>
                <w:highlight w:val="none"/>
              </w:rPr>
            </w:pPr>
            <w:r>
              <w:rPr>
                <w:i/>
                <w:color w:val="auto"/>
                <w:sz w:val="24"/>
                <w:highlight w:val="none"/>
              </w:rPr>
              <w:t xml:space="preserve">身份证正面</w:t>
            </w:r>
            <w:r/>
          </w:p>
        </w:tc>
        <w:tc>
          <w:tcPr>
            <w:tcW w:w="278" w:type="dxa"/>
            <w:vAlign w:val="top"/>
            <w:textDirection w:val="lrTb"/>
            <w:noWrap w:val="false"/>
          </w:tcPr>
          <w:p>
            <w:pPr>
              <w:jc w:val="left"/>
              <w:widowControl/>
              <w:rPr>
                <w:color w:val="auto"/>
                <w:sz w:val="20"/>
                <w:highlight w:val="none"/>
              </w:rPr>
            </w:pPr>
            <w:r>
              <w:rPr>
                <w:color w:val="auto"/>
                <w:sz w:val="20"/>
                <w:highlight w:val="none"/>
              </w:rPr>
            </w:r>
            <w:r/>
          </w:p>
        </w:tc>
        <w:tc>
          <w:tcPr>
            <w:tcW w:w="4695"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82"/>
        <w:spacing w:line="240" w:lineRule="atLeast"/>
        <w:rPr>
          <w:rFonts w:ascii="Times New Roman" w:hAnsi="Times New Roman"/>
          <w:b/>
          <w:bCs/>
          <w:color w:val="auto"/>
          <w:szCs w:val="21"/>
          <w:highlight w:val="none"/>
        </w:rPr>
      </w:pPr>
      <w:r>
        <w:rPr>
          <w:rFonts w:ascii="Times New Roman" w:hAnsi="Times New Roman"/>
          <w:b/>
          <w:bCs/>
          <w:color w:val="auto"/>
          <w:szCs w:val="21"/>
          <w:highlight w:val="none"/>
        </w:rPr>
      </w:r>
      <w:r/>
    </w:p>
    <w:p>
      <w:pPr>
        <w:pStyle w:val="982"/>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响应文件</w:t>
      </w:r>
      <w:r>
        <w:rPr>
          <w:rFonts w:ascii="Times New Roman" w:hAnsi="Times New Roman"/>
          <w:b/>
          <w:bCs/>
          <w:color w:val="auto"/>
          <w:szCs w:val="21"/>
          <w:highlight w:val="none"/>
        </w:rPr>
        <w:t xml:space="preserve">中签字之处均为</w:t>
      </w:r>
      <w:r>
        <w:rPr>
          <w:rFonts w:hint="eastAsia" w:ascii="Times New Roman" w:hAnsi="Times New Roman"/>
          <w:b/>
          <w:bCs/>
          <w:color w:val="auto"/>
          <w:szCs w:val="21"/>
          <w:highlight w:val="none"/>
        </w:rPr>
        <w:t xml:space="preserve">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书》，但须提供《法定代表人（单位负责人）身份证明》</w:t>
      </w:r>
      <w:r>
        <w:rPr>
          <w:rFonts w:hint="eastAsia" w:ascii="Times New Roman" w:hAnsi="Times New Roman"/>
          <w:b/>
          <w:bCs/>
          <w:color w:val="auto"/>
          <w:szCs w:val="21"/>
          <w:highlight w:val="none"/>
        </w:rPr>
        <w:t xml:space="preserve">。</w:t>
      </w:r>
      <w:r/>
    </w:p>
    <w:p>
      <w:pPr>
        <w:pStyle w:val="963"/>
        <w:ind w:left="0"/>
        <w:rPr>
          <w:color w:val="auto"/>
          <w:highlight w:val="none"/>
        </w:rPr>
      </w:pPr>
      <w:r>
        <w:rPr>
          <w:color w:val="auto"/>
          <w:highlight w:val="none"/>
        </w:rPr>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r/>
    </w:p>
    <w:p>
      <w:pPr>
        <w:pStyle w:val="985"/>
        <w:rPr>
          <w:rFonts w:ascii="Microsoft New Tai Lue" w:hAnsi="Microsoft New Tai Lue" w:cs="Microsoft New Tai Lue"/>
          <w:color w:val="auto"/>
          <w:sz w:val="28"/>
          <w:szCs w:val="24"/>
          <w:highlight w:val="none"/>
        </w:rPr>
      </w:pPr>
      <w:r/>
      <w:bookmarkStart w:id="239" w:name="_Toc14844"/>
      <w:r/>
      <w:bookmarkStart w:id="240" w:name="_Toc7535"/>
      <w:r/>
      <w:bookmarkStart w:id="241" w:name="_Toc32509"/>
      <w:r>
        <w:rPr>
          <w:rFonts w:ascii="Microsoft New Tai Lue" w:hAnsi="Microsoft New Tai Lue" w:cs="Microsoft New Tai Lue"/>
          <w:bCs w:val="0"/>
          <w:color w:val="auto"/>
          <w:sz w:val="24"/>
          <w:szCs w:val="24"/>
          <w:highlight w:val="none"/>
        </w:rPr>
        <w:t xml:space="preserve">（4</w:t>
      </w:r>
      <w:r>
        <w:rPr>
          <w:rFonts w:hint="eastAsia" w:ascii="Microsoft New Tai Lue" w:hAnsi="Microsoft New Tai Lue" w:cs="Microsoft New Tai Lue"/>
          <w:bCs w:val="0"/>
          <w:color w:val="auto"/>
          <w:sz w:val="24"/>
          <w:szCs w:val="24"/>
          <w:highlight w:val="none"/>
          <w:lang w:val="en-US" w:eastAsia="zh-CN"/>
        </w:rPr>
        <w:t xml:space="preserve">-1</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初始</w:t>
      </w:r>
      <w:r>
        <w:rPr>
          <w:rFonts w:ascii="Microsoft New Tai Lue" w:hAnsi="Microsoft New Tai Lue" w:cs="Microsoft New Tai Lue"/>
          <w:bCs w:val="0"/>
          <w:color w:val="auto"/>
          <w:sz w:val="24"/>
          <w:szCs w:val="24"/>
          <w:highlight w:val="none"/>
        </w:rPr>
        <w:t xml:space="preserve">报价一览表</w:t>
      </w:r>
      <w:bookmarkEnd w:id="217"/>
      <w:r/>
      <w:bookmarkEnd w:id="231"/>
      <w:r/>
      <w:bookmarkEnd w:id="232"/>
      <w:r/>
      <w:bookmarkEnd w:id="239"/>
      <w:r/>
      <w:bookmarkEnd w:id="240"/>
      <w:r/>
      <w:bookmarkEnd w:id="241"/>
      <w:r/>
      <w:r/>
    </w:p>
    <w:p>
      <w:pPr>
        <w:ind w:left="-120" w:firstLine="210"/>
        <w:spacing w:line="360" w:lineRule="auto"/>
        <w:rPr>
          <w:rFonts w:ascii="Microsoft New Tai Lue" w:hAnsi="Microsoft New Tai Lue" w:cs="Microsoft New Tai Lue"/>
          <w:color w:val="auto"/>
          <w:szCs w:val="21"/>
          <w:highlight w:val="none"/>
        </w:rPr>
      </w:pPr>
      <w:r/>
      <w:bookmarkStart w:id="242" w:name="_Toc103848581"/>
      <w:r>
        <w:rPr>
          <w:rFonts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u w:val="single"/>
        </w:rPr>
        <w:t xml:space="preserve">                        </w:t>
      </w:r>
      <w:r/>
    </w:p>
    <w:p>
      <w:pPr>
        <w:ind w:left="-120" w:firstLine="210"/>
        <w:spacing w:line="360" w:lineRule="auto"/>
        <w:rPr>
          <w:rFonts w:hint="eastAsia"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u w:val="single"/>
        </w:rPr>
        <w:t xml:space="preserve">                        </w:t>
      </w:r>
      <w:r/>
    </w:p>
    <w:p>
      <w:pPr>
        <w:ind w:left="-120" w:firstLine="210"/>
        <w:spacing w:line="360" w:lineRule="auto"/>
        <w:rPr>
          <w:rFonts w:hint="eastAsia" w:ascii="Microsoft New Tai Lue" w:hAnsi="Microsoft New Tai Lue" w:cs="Microsoft New Tai Lue"/>
          <w:color w:val="auto"/>
          <w:szCs w:val="21"/>
          <w:highlight w:val="none"/>
          <w:u w:val="single"/>
        </w:rPr>
      </w:pPr>
      <w:r>
        <w:rPr>
          <w:rFonts w:hint="eastAsia" w:ascii="Microsoft New Tai Lue" w:hAnsi="Microsoft New Tai Lue" w:cs="Microsoft New Tai Lue"/>
          <w:color w:val="auto"/>
          <w:szCs w:val="21"/>
          <w:highlight w:val="none"/>
          <w:u w:val="single"/>
        </w:rPr>
      </w:r>
      <w:r/>
    </w:p>
    <w:tbl>
      <w:tblPr>
        <w:tblStyle w:val="761"/>
        <w:tblW w:w="8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765"/>
        </w:trPr>
        <w:tc>
          <w:tcPr>
            <w:tcW w:w="2484"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lang w:val="en-US" w:eastAsia="zh-CN" w:bidi="ar-SA"/>
              </w:rPr>
              <w:t xml:space="preserve">报价：</w:t>
            </w:r>
            <w:r/>
          </w:p>
        </w:tc>
        <w:tc>
          <w:tcPr>
            <w:tcW w:w="634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w:t>
            </w:r>
            <w:r/>
          </w:p>
          <w:p>
            <w:pPr>
              <w:jc w:val="left"/>
              <w:spacing w:line="360" w:lineRule="auto"/>
              <w:widowControl/>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    </w:t>
            </w:r>
            <w:r/>
          </w:p>
        </w:tc>
      </w:tr>
      <w:tr>
        <w:trPr>
          <w:jc w:val="center"/>
          <w:trHeight w:val="964"/>
        </w:trPr>
        <w:tc>
          <w:tcPr>
            <w:tcW w:w="2484"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服务期限</w:t>
            </w:r>
            <w:r/>
          </w:p>
        </w:tc>
        <w:tc>
          <w:tcPr>
            <w:tcW w:w="634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响应采购文件要求</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付款方式</w:t>
            </w:r>
            <w:r/>
          </w:p>
        </w:tc>
        <w:tc>
          <w:tcPr>
            <w:tcW w:w="634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响应采购文件要求</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备注</w:t>
            </w:r>
            <w:r/>
          </w:p>
        </w:tc>
        <w:tc>
          <w:tcPr>
            <w:tcW w:w="634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left="-120" w:firstLine="210"/>
        <w:spacing w:line="360" w:lineRule="auto"/>
        <w:rPr>
          <w:rFonts w:hint="eastAsia" w:ascii="Microsoft New Tai Lue" w:hAnsi="Microsoft New Tai Lue" w:cs="Microsoft New Tai Lue"/>
          <w:color w:val="auto"/>
          <w:szCs w:val="21"/>
          <w:highlight w:val="none"/>
          <w:u w:val="single"/>
        </w:rPr>
      </w:pPr>
      <w:r>
        <w:rPr>
          <w:rFonts w:hint="eastAsia" w:ascii="Microsoft New Tai Lue" w:hAnsi="Microsoft New Tai Lue" w:cs="Microsoft New Tai Lue"/>
          <w:color w:val="auto"/>
          <w:szCs w:val="21"/>
          <w:highlight w:val="none"/>
          <w:u w:val="single"/>
        </w:rPr>
      </w:r>
      <w:r/>
    </w:p>
    <w:p>
      <w:pPr>
        <w:ind w:left="-88" w:right="105" w:firstLine="420"/>
        <w:jc w:val="right"/>
        <w:rPr>
          <w:color w:val="auto"/>
          <w:szCs w:val="21"/>
          <w:highlight w:val="none"/>
        </w:rPr>
      </w:pPr>
      <w:r>
        <w:rPr>
          <w:color w:val="auto"/>
          <w:szCs w:val="21"/>
          <w:highlight w:val="none"/>
        </w:rPr>
      </w:r>
      <w:r/>
    </w:p>
    <w:p>
      <w:pPr>
        <w:ind w:right="420" w:firstLine="4515"/>
        <w:spacing w:line="360" w:lineRule="auto"/>
        <w:rPr>
          <w:color w:val="auto"/>
          <w:highlight w:val="none"/>
        </w:rPr>
      </w:pPr>
      <w:r>
        <w:rPr>
          <w:color w:val="auto"/>
          <w:highlight w:val="none"/>
        </w:rPr>
      </w:r>
      <w:r/>
    </w:p>
    <w:p>
      <w:pPr>
        <w:ind w:right="420" w:firstLine="4515"/>
        <w:spacing w:line="360" w:lineRule="auto"/>
        <w:rPr>
          <w:color w:val="auto"/>
          <w:highlight w:val="none"/>
        </w:rPr>
      </w:pPr>
      <w:r>
        <w:rPr>
          <w:color w:val="auto"/>
          <w:highlight w:val="none"/>
        </w:rPr>
      </w:r>
      <w:r/>
    </w:p>
    <w:p>
      <w:pPr>
        <w:ind w:right="420" w:firstLine="4515"/>
        <w:spacing w:line="360" w:lineRule="auto"/>
        <w:rPr>
          <w:rFonts w:hint="eastAsia"/>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right="420" w:firstLine="4515"/>
        <w:spacing w:line="360" w:lineRule="auto"/>
        <w:rPr>
          <w:color w:val="auto"/>
          <w:szCs w:val="21"/>
          <w:highlight w:val="none"/>
        </w:rPr>
      </w:pPr>
      <w:r>
        <w:rPr>
          <w:color w:val="auto"/>
          <w:szCs w:val="21"/>
          <w:highlight w:val="none"/>
        </w:rPr>
        <w:t xml:space="preserve">法定代表人（单位负责人）</w:t>
      </w:r>
      <w:r/>
    </w:p>
    <w:p>
      <w:pPr>
        <w:jc w:val="right"/>
        <w:spacing w:line="360" w:lineRule="auto"/>
        <w:rPr>
          <w:rFonts w:hint="eastAsia"/>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right="420"/>
        <w:jc w:val="center"/>
        <w:spacing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1029"/>
        <w:rPr>
          <w:rFonts w:hint="eastAsia" w:ascii="宋体" w:hAnsi="宋体" w:eastAsia="宋体" w:cs="宋体"/>
          <w:bCs w:val="0"/>
          <w:color w:val="auto"/>
          <w:sz w:val="24"/>
          <w:szCs w:val="24"/>
          <w:highlight w:val="none"/>
          <w:lang w:eastAsia="zh-CN"/>
        </w:rPr>
      </w:pPr>
      <w:r>
        <w:rPr>
          <w:color w:val="auto"/>
          <w:highlight w:val="none"/>
        </w:rPr>
        <w:br w:type="page" w:clear="all"/>
      </w:r>
      <w:bookmarkEnd w:id="242"/>
      <w:r/>
      <w:bookmarkStart w:id="243" w:name="_Toc30033"/>
      <w:r/>
      <w:bookmarkStart w:id="244" w:name="_Toc29917"/>
      <w:r>
        <w:rPr>
          <w:rFonts w:hint="eastAsia" w:ascii="宋体" w:hAnsi="宋体" w:cs="宋体"/>
          <w:bCs w:val="0"/>
          <w:color w:val="auto"/>
          <w:sz w:val="24"/>
          <w:szCs w:val="24"/>
          <w:highlight w:val="none"/>
        </w:rPr>
        <w:t xml:space="preserve">（4-2）分项报价表</w:t>
      </w:r>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如需</w:t>
      </w:r>
      <w:r>
        <w:rPr>
          <w:rFonts w:hint="eastAsia" w:ascii="宋体" w:hAnsi="宋体" w:cs="宋体"/>
          <w:bCs w:val="0"/>
          <w:color w:val="auto"/>
          <w:sz w:val="24"/>
          <w:szCs w:val="24"/>
          <w:highlight w:val="none"/>
          <w:lang w:eastAsia="zh-CN"/>
        </w:rPr>
        <w:t xml:space="preserve">）</w:t>
      </w:r>
      <w:bookmarkEnd w:id="243"/>
      <w:r/>
      <w:bookmarkEnd w:id="244"/>
      <w:r/>
      <w:r/>
    </w:p>
    <w:p>
      <w:pPr>
        <w:rPr>
          <w:rFonts w:hint="eastAsia"/>
          <w:color w:val="auto"/>
          <w:highlight w:val="none"/>
        </w:rPr>
      </w:pPr>
      <w:r>
        <w:rPr>
          <w:rFonts w:hint="eastAsia"/>
          <w:color w:val="auto"/>
          <w:highlight w:val="none"/>
        </w:rPr>
      </w:r>
      <w:r/>
    </w:p>
    <w:p>
      <w:pPr>
        <w:ind w:left="-120" w:firstLine="211"/>
        <w:spacing w:line="360" w:lineRule="auto"/>
        <w:rPr>
          <w:rFonts w:hint="eastAsia" w:ascii="宋体" w:hAnsi="宋体" w:cs="宋体"/>
          <w:color w:val="auto"/>
          <w:szCs w:val="21"/>
          <w:highlight w:val="none"/>
          <w:u w:val="single"/>
        </w:rPr>
      </w:pP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tbl>
      <w:tblPr>
        <w:tblStyle w:val="761"/>
        <w:tblW w:w="77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2"/>
        <w:gridCol w:w="1995"/>
        <w:gridCol w:w="2079"/>
        <w:gridCol w:w="2333"/>
      </w:tblGrid>
      <w:tr>
        <w:trPr>
          <w:jc w:val="center"/>
          <w:trHeight w:val="692"/>
        </w:trPr>
        <w:tc>
          <w:tcPr>
            <w:tcW w:w="1372" w:type="dxa"/>
            <w:vAlign w:val="center"/>
            <w:textDirection w:val="lrTb"/>
            <w:noWrap w:val="false"/>
          </w:tcPr>
          <w:p>
            <w:pPr>
              <w:jc w:val="center"/>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序号</w:t>
            </w:r>
            <w:r/>
          </w:p>
        </w:tc>
        <w:tc>
          <w:tcPr>
            <w:tcW w:w="1995"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分项</w:t>
            </w:r>
            <w:r>
              <w:rPr>
                <w:rFonts w:hint="eastAsia" w:ascii="宋体" w:hAnsi="宋体"/>
                <w:color w:val="auto"/>
                <w:sz w:val="24"/>
                <w:szCs w:val="24"/>
                <w:highlight w:val="none"/>
              </w:rPr>
              <w:t xml:space="preserve">服务</w:t>
            </w:r>
            <w:r>
              <w:rPr>
                <w:rFonts w:hint="eastAsia" w:ascii="宋体" w:hAnsi="宋体"/>
                <w:color w:val="auto"/>
                <w:sz w:val="24"/>
                <w:highlight w:val="none"/>
              </w:rPr>
              <w:t xml:space="preserve">内容</w:t>
            </w:r>
            <w:r/>
          </w:p>
        </w:tc>
        <w:tc>
          <w:tcPr>
            <w:tcW w:w="2079" w:type="dxa"/>
            <w:vAlign w:val="center"/>
            <w:textDirection w:val="lrTb"/>
            <w:noWrap w:val="false"/>
          </w:tcPr>
          <w:p>
            <w:pPr>
              <w:jc w:val="cente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报价</w:t>
            </w:r>
            <w:r/>
          </w:p>
        </w:tc>
        <w:tc>
          <w:tcPr>
            <w:tcW w:w="2333" w:type="dxa"/>
            <w:vAlign w:val="center"/>
            <w:textDirection w:val="lrTb"/>
            <w:noWrap w:val="false"/>
          </w:tcPr>
          <w:p>
            <w:pPr>
              <w:jc w:val="center"/>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jc w:val="center"/>
          <w:trHeight w:val="692"/>
        </w:trPr>
        <w:tc>
          <w:tcPr>
            <w:tcW w:w="1372"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079"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333"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692"/>
        </w:trPr>
        <w:tc>
          <w:tcPr>
            <w:tcW w:w="1372"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079"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333"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692"/>
        </w:trPr>
        <w:tc>
          <w:tcPr>
            <w:tcW w:w="1372"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079"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333"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692"/>
        </w:trPr>
        <w:tc>
          <w:tcPr>
            <w:tcW w:w="1372"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079"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333"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692"/>
        </w:trPr>
        <w:tc>
          <w:tcPr>
            <w:tcW w:w="1372"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079"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333"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692"/>
        </w:trPr>
        <w:tc>
          <w:tcPr>
            <w:tcW w:w="1372"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079"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333"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692"/>
        </w:trPr>
        <w:tc>
          <w:tcPr>
            <w:tcW w:w="1372"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079"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333"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46"/>
        <w:ind w:left="0" w:firstLine="0"/>
        <w:rPr>
          <w:rFonts w:hint="eastAsia" w:cs="宋体"/>
          <w:bCs/>
          <w:color w:val="auto"/>
          <w:szCs w:val="21"/>
          <w:highlight w:val="none"/>
        </w:rPr>
      </w:pPr>
      <w:r>
        <w:rPr>
          <w:rFonts w:hint="eastAsia" w:cs="宋体"/>
          <w:bCs/>
          <w:color w:val="auto"/>
          <w:szCs w:val="21"/>
          <w:highlight w:val="none"/>
        </w:rPr>
      </w:r>
      <w:r/>
    </w:p>
    <w:p>
      <w:pPr>
        <w:pStyle w:val="946"/>
        <w:ind w:left="420" w:firstLine="0"/>
        <w:rPr>
          <w:rFonts w:hint="eastAsia" w:cs="宋体"/>
          <w:b/>
          <w:color w:val="auto"/>
          <w:sz w:val="21"/>
          <w:szCs w:val="21"/>
          <w:highlight w:val="none"/>
        </w:rPr>
      </w:pPr>
      <w:r>
        <w:rPr>
          <w:rFonts w:hint="eastAsia" w:cs="宋体"/>
          <w:b/>
          <w:color w:val="auto"/>
          <w:sz w:val="21"/>
          <w:szCs w:val="21"/>
          <w:highlight w:val="none"/>
        </w:rPr>
      </w:r>
      <w:r/>
    </w:p>
    <w:p>
      <w:pPr>
        <w:pStyle w:val="946"/>
        <w:ind w:left="420" w:firstLine="0"/>
        <w:rPr>
          <w:rFonts w:hint="eastAsia" w:cs="宋体"/>
          <w:b/>
          <w:color w:val="auto"/>
          <w:sz w:val="21"/>
          <w:szCs w:val="21"/>
          <w:highlight w:val="none"/>
        </w:rPr>
      </w:pPr>
      <w:r>
        <w:rPr>
          <w:rFonts w:hint="eastAsia" w:cs="宋体"/>
          <w:b/>
          <w:color w:val="auto"/>
          <w:sz w:val="21"/>
          <w:szCs w:val="21"/>
          <w:highlight w:val="none"/>
        </w:rPr>
      </w:r>
      <w:r/>
    </w:p>
    <w:p>
      <w:pPr>
        <w:ind w:right="420" w:firstLine="378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供应商名称（盖章）：</w:t>
      </w:r>
      <w:r>
        <w:rPr>
          <w:rFonts w:hint="eastAsia" w:ascii="宋体" w:hAnsi="宋体" w:cs="宋体"/>
          <w:color w:val="auto"/>
          <w:highlight w:val="none"/>
          <w:u w:val="single"/>
        </w:rPr>
        <w:t xml:space="preserve">                 </w:t>
      </w:r>
      <w:r/>
    </w:p>
    <w:p>
      <w:pPr>
        <w:ind w:firstLine="37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ind w:firstLine="37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p>
    <w:p>
      <w:pPr>
        <w:ind w:firstLine="422"/>
        <w:jc w:val="left"/>
        <w:spacing w:line="360" w:lineRule="auto"/>
        <w:rPr>
          <w:rFonts w:hint="eastAsia" w:ascii="宋体" w:hAnsi="宋体" w:cs="宋体"/>
          <w:color w:val="auto"/>
          <w:highlight w:val="none"/>
        </w:rPr>
      </w:pPr>
      <w:r>
        <w:rPr>
          <w:rFonts w:hint="eastAsia" w:ascii="宋体" w:hAnsi="宋体" w:cs="宋体"/>
          <w:b/>
          <w:bCs/>
          <w:color w:val="auto"/>
          <w:highlight w:val="none"/>
        </w:rPr>
        <w:tab/>
      </w:r>
      <w:r>
        <w:rPr>
          <w:rFonts w:hint="eastAsia" w:ascii="宋体" w:hAnsi="宋体" w:cs="宋体"/>
          <w:b/>
          <w:bCs/>
          <w:color w:val="auto"/>
          <w:highlight w:val="none"/>
        </w:rPr>
        <w:t xml:space="preserve">                            </w:t>
      </w:r>
      <w:r>
        <w:rPr>
          <w:rFonts w:hint="eastAsia" w:ascii="宋体" w:hAnsi="宋体" w:cs="宋体"/>
          <w:color w:val="auto"/>
          <w:highlight w:val="none"/>
        </w:rPr>
        <w:t xml:space="preserve">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pStyle w:val="1031"/>
        <w:ind w:firstLine="373"/>
        <w:jc w:val="both"/>
        <w:spacing w:line="360" w:lineRule="exact"/>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r>
      <w:r/>
    </w:p>
    <w:p>
      <w:pPr>
        <w:pStyle w:val="985"/>
        <w:spacing w:before="0"/>
        <w:rPr>
          <w:rFonts w:ascii="Microsoft New Tai Lue" w:hAnsi="Microsoft New Tai Lue" w:cs="Microsoft New Tai Lue"/>
          <w:color w:val="auto"/>
          <w:sz w:val="24"/>
          <w:szCs w:val="24"/>
          <w:highlight w:val="none"/>
        </w:rPr>
      </w:pPr>
      <w:r/>
      <w:bookmarkStart w:id="245" w:name="_Toc103848586"/>
      <w:r/>
      <w:bookmarkStart w:id="246" w:name="_Toc107246281"/>
      <w:r/>
      <w:bookmarkStart w:id="247" w:name="_Toc104560901"/>
      <w:r/>
      <w:bookmarkStart w:id="248" w:name="_Toc102117319"/>
      <w:r>
        <w:rPr>
          <w:rFonts w:ascii="Microsoft New Tai Lue" w:hAnsi="Microsoft New Tai Lue" w:cs="Microsoft New Tai Lue"/>
          <w:bCs w:val="0"/>
          <w:color w:val="auto"/>
          <w:sz w:val="24"/>
          <w:szCs w:val="24"/>
          <w:highlight w:val="none"/>
        </w:rPr>
        <w:br w:type="page" w:clear="all"/>
      </w:r>
      <w:bookmarkEnd w:id="245"/>
      <w:r/>
      <w:bookmarkEnd w:id="246"/>
      <w:r/>
      <w:bookmarkEnd w:id="247"/>
      <w:r/>
      <w:bookmarkStart w:id="249" w:name="_Toc28386"/>
      <w:r/>
      <w:bookmarkStart w:id="250" w:name="_Toc25510"/>
      <w:r/>
      <w:bookmarkStart w:id="251" w:name="_Toc9811"/>
      <w:r/>
      <w:bookmarkStart w:id="252" w:name="_Toc104560902"/>
      <w:r/>
      <w:bookmarkStart w:id="253" w:name="_Toc103848587"/>
      <w:r>
        <w:rPr>
          <w:rFonts w:ascii="Microsoft New Tai Lue" w:hAnsi="Microsoft New Tai Lue" w:cs="Microsoft New Tai Lue"/>
          <w:bCs w:val="0"/>
          <w:color w:val="auto"/>
          <w:sz w:val="24"/>
          <w:szCs w:val="24"/>
          <w:highlight w:val="none"/>
        </w:rPr>
        <w:t xml:space="preserve">（5）商务条款偏离表</w:t>
      </w:r>
      <w:bookmarkEnd w:id="249"/>
      <w:r/>
      <w:bookmarkEnd w:id="250"/>
      <w:r/>
      <w:bookmarkEnd w:id="251"/>
      <w:r/>
      <w:r/>
    </w:p>
    <w:p>
      <w:pPr>
        <w:pStyle w:val="77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0"/>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rPr>
          <w:rFonts w:ascii="Microsoft New Tai Lue" w:hAnsi="Microsoft New Tai Lue" w:cs="Microsoft New Tai Lue"/>
          <w:color w:val="auto"/>
          <w:sz w:val="21"/>
          <w:szCs w:val="21"/>
          <w:highlight w:val="none"/>
          <w:u w:val="single"/>
        </w:rPr>
        <w:t xml:space="preserve">               </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磋商文件条目号</w:t>
            </w:r>
            <w:r/>
          </w:p>
        </w:tc>
        <w:tc>
          <w:tcPr>
            <w:tcW w:w="2268"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磋商文件的商务条款</w:t>
            </w:r>
            <w:r/>
          </w:p>
        </w:tc>
        <w:tc>
          <w:tcPr>
            <w:tcW w:w="2126"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响应文件的商务条款</w:t>
            </w:r>
            <w:r/>
          </w:p>
        </w:tc>
        <w:tc>
          <w:tcPr>
            <w:tcW w:w="1134" w:type="dxa"/>
            <w:vAlign w:val="top"/>
            <w:textDirection w:val="lrTb"/>
            <w:noWrap w:val="false"/>
          </w:tcPr>
          <w:p>
            <w:pPr>
              <w:pStyle w:val="770"/>
              <w:ind w:firstLine="0"/>
              <w:jc w:val="center"/>
              <w:spacing w:line="480"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82"/>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8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1. 所有偏离必须在本表中列出，未在本偏离表中列出偏离，将视为供应商已完全接受磋商文件要求。如完全无偏离，也无其他说明，可在本表第一行填写“全部无偏离”。</w:t>
      </w:r>
      <w:r/>
    </w:p>
    <w:p>
      <w:pPr>
        <w:pStyle w:val="98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偏离包括正、负偏离，正偏离指供应商的响应高于磋商文件要求，负偏离指供应商的响应低于磋商文件要求。</w:t>
      </w:r>
      <w:r/>
    </w:p>
    <w:p>
      <w:pPr>
        <w:pStyle w:val="98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3.. 如果行数不够，请自行增加。</w:t>
      </w:r>
      <w:r/>
    </w:p>
    <w:p>
      <w:pPr>
        <w:pStyle w:val="77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0"/>
        <w:ind w:firstLine="0"/>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ind w:firstLine="420"/>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85"/>
        <w:spacing w:line="240" w:lineRule="atLeast"/>
        <w:rPr>
          <w:rFonts w:ascii="Microsoft New Tai Lue" w:hAnsi="Microsoft New Tai Lue" w:cs="Microsoft New Tai Lue"/>
          <w:color w:val="auto"/>
          <w:highlight w:val="none"/>
        </w:rPr>
      </w:pPr>
      <w:r/>
      <w:bookmarkStart w:id="254" w:name="_Toc107246282"/>
      <w:r>
        <w:rPr>
          <w:rFonts w:ascii="Microsoft New Tai Lue" w:hAnsi="Microsoft New Tai Lue" w:cs="Microsoft New Tai Lue"/>
          <w:bCs w:val="0"/>
          <w:color w:val="auto"/>
          <w:sz w:val="24"/>
          <w:szCs w:val="24"/>
          <w:highlight w:val="none"/>
        </w:rPr>
        <w:br w:type="page" w:clear="all"/>
      </w:r>
      <w:bookmarkStart w:id="255" w:name="_Toc2135"/>
      <w:r/>
      <w:bookmarkStart w:id="256" w:name="_Toc14939"/>
      <w:r/>
      <w:bookmarkStart w:id="257" w:name="_Toc20539"/>
      <w:r>
        <w:rPr>
          <w:rFonts w:ascii="Microsoft New Tai Lue" w:hAnsi="Microsoft New Tai Lue" w:cs="Microsoft New Tai Lue"/>
          <w:bCs w:val="0"/>
          <w:color w:val="auto"/>
          <w:sz w:val="24"/>
          <w:szCs w:val="24"/>
          <w:highlight w:val="none"/>
        </w:rPr>
        <w:t xml:space="preserve">（6）供应商具备</w:t>
      </w:r>
      <w:r>
        <w:rPr>
          <w:rFonts w:hint="eastAsia" w:ascii="Microsoft New Tai Lue" w:hAnsi="Microsoft New Tai Lue" w:cs="Microsoft New Tai Lue"/>
          <w:bCs w:val="0"/>
          <w:color w:val="auto"/>
          <w:sz w:val="24"/>
          <w:szCs w:val="24"/>
          <w:highlight w:val="none"/>
        </w:rPr>
        <w:t xml:space="preserve">响应</w:t>
      </w:r>
      <w:r>
        <w:rPr>
          <w:rFonts w:ascii="Microsoft New Tai Lue" w:hAnsi="Microsoft New Tai Lue" w:cs="Microsoft New Tai Lue"/>
          <w:bCs w:val="0"/>
          <w:color w:val="auto"/>
          <w:sz w:val="24"/>
          <w:szCs w:val="24"/>
          <w:highlight w:val="none"/>
        </w:rPr>
        <w:t xml:space="preserve">资格的证明文件</w:t>
      </w:r>
      <w:bookmarkEnd w:id="252"/>
      <w:r/>
      <w:bookmarkEnd w:id="253"/>
      <w:r/>
      <w:bookmarkEnd w:id="254"/>
      <w:r/>
      <w:bookmarkEnd w:id="255"/>
      <w:r/>
      <w:bookmarkEnd w:id="256"/>
      <w:r/>
      <w:bookmarkEnd w:id="257"/>
      <w:r/>
      <w:r/>
    </w:p>
    <w:p>
      <w:pPr>
        <w:pStyle w:val="985"/>
        <w:spacing w:line="240" w:lineRule="atLeast"/>
        <w:rPr>
          <w:rFonts w:ascii="Microsoft New Tai Lue" w:hAnsi="Microsoft New Tai Lue" w:cs="Microsoft New Tai Lue"/>
          <w:bCs w:val="0"/>
          <w:color w:val="auto"/>
          <w:sz w:val="24"/>
          <w:szCs w:val="24"/>
          <w:highlight w:val="none"/>
        </w:rPr>
      </w:pPr>
      <w:r/>
      <w:bookmarkStart w:id="258" w:name="_Toc104560903"/>
      <w:r/>
      <w:bookmarkStart w:id="259" w:name="_Toc103848588"/>
      <w:r/>
      <w:bookmarkStart w:id="260" w:name="_Toc107246283"/>
      <w:r/>
      <w:bookmarkStart w:id="261" w:name="_Toc4556"/>
      <w:r/>
      <w:bookmarkStart w:id="262" w:name="_Toc10730"/>
      <w:r/>
      <w:bookmarkStart w:id="263" w:name="_Toc5660"/>
      <w:r>
        <w:rPr>
          <w:rFonts w:ascii="Microsoft New Tai Lue" w:hAnsi="Microsoft New Tai Lue" w:cs="Microsoft New Tai Lue"/>
          <w:bCs w:val="0"/>
          <w:color w:val="auto"/>
          <w:sz w:val="24"/>
          <w:szCs w:val="24"/>
          <w:highlight w:val="none"/>
        </w:rPr>
        <w:t xml:space="preserve">（6-1-1）营业执照复印件</w:t>
      </w:r>
      <w:bookmarkEnd w:id="248"/>
      <w:r>
        <w:rPr>
          <w:rFonts w:ascii="Microsoft New Tai Lue" w:hAnsi="Microsoft New Tai Lue" w:cs="Microsoft New Tai Lue"/>
          <w:bCs w:val="0"/>
          <w:color w:val="auto"/>
          <w:sz w:val="24"/>
          <w:szCs w:val="24"/>
          <w:highlight w:val="none"/>
        </w:rPr>
        <w:t xml:space="preserve">或自然人的身份证明复印件</w:t>
      </w:r>
      <w:bookmarkEnd w:id="258"/>
      <w:r/>
      <w:bookmarkEnd w:id="259"/>
      <w:r/>
      <w:bookmarkEnd w:id="260"/>
      <w:r/>
      <w:bookmarkEnd w:id="261"/>
      <w:r/>
      <w:bookmarkEnd w:id="262"/>
      <w:r/>
      <w:bookmarkEnd w:id="263"/>
      <w:r/>
      <w:r/>
    </w:p>
    <w:p>
      <w:pPr>
        <w:spacing w:line="360" w:lineRule="auto"/>
        <w:rPr>
          <w:rFonts w:ascii="Microsoft New Tai Lue" w:hAnsi="Microsoft New Tai Lue" w:cs="Microsoft New Tai Lue"/>
          <w:b/>
          <w:bCs/>
          <w:color w:val="auto"/>
          <w:highlight w:val="none"/>
        </w:rPr>
      </w:pPr>
      <w:r/>
      <w:bookmarkStart w:id="264"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注：供应商提供营业执照副本（或具有同等法律效力的证照）复印件。复印件应能清晰显示供应商名称。</w:t>
      </w:r>
      <w:bookmarkEnd w:id="264"/>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85"/>
        <w:spacing w:line="240" w:lineRule="atLeast"/>
        <w:rPr>
          <w:rFonts w:ascii="Microsoft New Tai Lue" w:hAnsi="Microsoft New Tai Lue" w:eastAsia="黑体" w:cs="Microsoft New Tai Lue"/>
          <w:b w:val="0"/>
          <w:color w:val="auto"/>
          <w:highlight w:val="none"/>
        </w:rPr>
      </w:pPr>
      <w:r/>
      <w:bookmarkStart w:id="265" w:name="_Toc102117320"/>
      <w:r/>
      <w:bookmarkStart w:id="266" w:name="_Toc103848589"/>
      <w:r>
        <w:rPr>
          <w:rFonts w:ascii="Microsoft New Tai Lue" w:hAnsi="Microsoft New Tai Lue" w:cs="Microsoft New Tai Lue"/>
          <w:bCs w:val="0"/>
          <w:color w:val="auto"/>
          <w:sz w:val="24"/>
          <w:szCs w:val="24"/>
          <w:highlight w:val="none"/>
        </w:rPr>
        <w:br w:type="page" w:clear="all"/>
      </w:r>
      <w:bookmarkStart w:id="267" w:name="_Toc328"/>
      <w:r/>
      <w:bookmarkStart w:id="268" w:name="_Toc7164"/>
      <w:r/>
      <w:bookmarkStart w:id="269" w:name="_Toc104560904"/>
      <w:r/>
      <w:bookmarkStart w:id="270" w:name="_Toc11290"/>
      <w:r/>
      <w:bookmarkStart w:id="271" w:name="_Toc107246284"/>
      <w:r>
        <w:rPr>
          <w:rFonts w:ascii="Microsoft New Tai Lue" w:hAnsi="Microsoft New Tai Lue" w:cs="Microsoft New Tai Lue"/>
          <w:bCs w:val="0"/>
          <w:color w:val="auto"/>
          <w:sz w:val="24"/>
          <w:szCs w:val="24"/>
          <w:highlight w:val="none"/>
        </w:rPr>
        <w:t xml:space="preserve">（6-1-2）工商变更登记文件（如需）</w:t>
      </w:r>
      <w:bookmarkEnd w:id="265"/>
      <w:r/>
      <w:bookmarkEnd w:id="266"/>
      <w:r/>
      <w:bookmarkEnd w:id="267"/>
      <w:r/>
      <w:bookmarkEnd w:id="268"/>
      <w:r/>
      <w:bookmarkEnd w:id="269"/>
      <w:r/>
      <w:bookmarkEnd w:id="270"/>
      <w:r/>
      <w:bookmarkEnd w:id="271"/>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供应商</w:t>
      </w:r>
      <w:r>
        <w:rPr>
          <w:rFonts w:ascii="Microsoft New Tai Lue" w:hAnsi="Microsoft New Tai Lue" w:cs="Microsoft New Tai Lue"/>
          <w:b/>
          <w:bCs/>
          <w:color w:val="auto"/>
          <w:highlight w:val="none"/>
        </w:rPr>
        <w:t xml:space="preserve">在磋商文件资质、业绩等要求的时间期限内发生了单位名称等变更的，提供相关工商变更登记文件的复印件。如无，则可不提供。</w:t>
      </w:r>
      <w:r/>
    </w:p>
    <w:p>
      <w:pPr>
        <w:pStyle w:val="985"/>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bCs w:val="0"/>
          <w:color w:val="auto"/>
          <w:highlight w:val="none"/>
        </w:rPr>
        <w:br w:type="page" w:clear="all"/>
      </w:r>
      <w:bookmarkStart w:id="272" w:name="_Toc103848590"/>
      <w:r/>
      <w:bookmarkStart w:id="273" w:name="_Toc8789"/>
      <w:r/>
      <w:bookmarkStart w:id="274" w:name="_Toc30595"/>
      <w:r/>
      <w:bookmarkStart w:id="275" w:name="_Toc107246285"/>
      <w:r/>
      <w:bookmarkStart w:id="276" w:name="_Toc14606"/>
      <w:r/>
      <w:bookmarkStart w:id="277" w:name="_Toc104560905"/>
      <w:r/>
      <w:bookmarkStart w:id="278" w:name="_Toc102117321"/>
      <w:r>
        <w:rPr>
          <w:rFonts w:ascii="Microsoft New Tai Lue" w:hAnsi="Microsoft New Tai Lue" w:cs="Microsoft New Tai Lue"/>
          <w:bCs w:val="0"/>
          <w:color w:val="auto"/>
          <w:sz w:val="24"/>
          <w:szCs w:val="24"/>
          <w:highlight w:val="none"/>
        </w:rPr>
        <w:t xml:space="preserve">（6-2）财务报表</w:t>
      </w:r>
      <w:bookmarkEnd w:id="272"/>
      <w:r/>
      <w:bookmarkEnd w:id="273"/>
      <w:r/>
      <w:bookmarkEnd w:id="274"/>
      <w:r/>
      <w:bookmarkEnd w:id="275"/>
      <w:r/>
      <w:bookmarkEnd w:id="276"/>
      <w:r/>
      <w:bookmarkEnd w:id="277"/>
      <w:r/>
      <w:bookmarkEnd w:id="278"/>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85"/>
        <w:jc w:val="left"/>
        <w:spacing w:line="240" w:lineRule="atLeast"/>
        <w:rPr>
          <w:rFonts w:ascii="Microsoft New Tai Lue" w:hAnsi="Microsoft New Tai Lue" w:cs="Microsoft New Tai Lue"/>
          <w:bCs w:val="0"/>
          <w:color w:val="auto"/>
          <w:sz w:val="24"/>
          <w:szCs w:val="24"/>
          <w:highlight w:val="none"/>
        </w:rPr>
      </w:pPr>
      <w:r/>
      <w:bookmarkStart w:id="279" w:name="_Toc104560908"/>
      <w:r/>
      <w:bookmarkStart w:id="280" w:name="_Toc103848593"/>
      <w:r/>
      <w:bookmarkStart w:id="281" w:name="_Toc102117322"/>
      <w:r>
        <w:rPr>
          <w:rFonts w:ascii="Microsoft New Tai Lue" w:hAnsi="Microsoft New Tai Lue" w:cs="Microsoft New Tai Lue"/>
          <w:bCs w:val="0"/>
          <w:color w:val="auto"/>
          <w:sz w:val="24"/>
          <w:szCs w:val="24"/>
          <w:highlight w:val="none"/>
        </w:rPr>
        <w:br w:type="page" w:clear="all"/>
      </w:r>
      <w:bookmarkStart w:id="282" w:name="_Toc24647"/>
      <w:r/>
      <w:bookmarkStart w:id="283" w:name="_Toc107246286"/>
      <w:r/>
      <w:bookmarkStart w:id="284" w:name="_Toc23875"/>
      <w:r/>
      <w:bookmarkStart w:id="285" w:name="_Toc13689"/>
      <w:r>
        <w:rPr>
          <w:rFonts w:ascii="Microsoft New Tai Lue" w:hAnsi="Microsoft New Tai Lue" w:cs="Microsoft New Tai Lue"/>
          <w:bCs w:val="0"/>
          <w:color w:val="auto"/>
          <w:sz w:val="24"/>
          <w:szCs w:val="24"/>
          <w:highlight w:val="none"/>
        </w:rPr>
        <w:t xml:space="preserve">（6-3）具有履行合同所必需的设备和专业技术能力的相关证明材料或承诺函（提供承诺函原件）</w:t>
      </w:r>
      <w:bookmarkEnd w:id="279"/>
      <w:r/>
      <w:bookmarkEnd w:id="280"/>
      <w:r/>
      <w:bookmarkEnd w:id="281"/>
      <w:r/>
      <w:bookmarkEnd w:id="282"/>
      <w:r/>
      <w:bookmarkEnd w:id="283"/>
      <w:r/>
      <w:bookmarkEnd w:id="284"/>
      <w:r/>
      <w:bookmarkEnd w:id="285"/>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63"/>
        <w:ind w:left="1260"/>
        <w:rPr>
          <w:color w:val="auto"/>
          <w:highlight w:val="none"/>
        </w:rPr>
      </w:pPr>
      <w:r>
        <w:rPr>
          <w:color w:val="auto"/>
          <w:highlight w:val="none"/>
        </w:rPr>
      </w:r>
      <w:r/>
    </w:p>
    <w:p>
      <w:pPr>
        <w:rPr>
          <w:color w:val="auto"/>
          <w:highlight w:val="none"/>
        </w:rPr>
      </w:pPr>
      <w:r>
        <w:rPr>
          <w:color w:val="auto"/>
          <w:highlight w:val="none"/>
        </w:rPr>
      </w:r>
      <w:r/>
    </w:p>
    <w:p>
      <w:pPr>
        <w:pStyle w:val="963"/>
        <w:ind w:left="1260"/>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276"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85"/>
        <w:spacing w:line="240" w:lineRule="atLeast"/>
        <w:rPr>
          <w:rFonts w:hint="eastAsia" w:ascii="Microsoft New Tai Lue" w:hAnsi="Microsoft New Tai Lue" w:eastAsia="黑体" w:cs="Microsoft New Tai Lue"/>
          <w:b w:val="0"/>
          <w:color w:val="auto"/>
          <w:highlight w:val="none"/>
        </w:rPr>
      </w:pPr>
      <w:r/>
      <w:bookmarkStart w:id="286" w:name="_Toc102117323"/>
      <w:r/>
      <w:bookmarkStart w:id="287" w:name="_Toc103848591"/>
      <w:r>
        <w:rPr>
          <w:rFonts w:ascii="Microsoft New Tai Lue" w:hAnsi="Microsoft New Tai Lue" w:cs="Microsoft New Tai Lue"/>
          <w:bCs w:val="0"/>
          <w:color w:val="auto"/>
          <w:sz w:val="24"/>
          <w:szCs w:val="24"/>
          <w:highlight w:val="none"/>
        </w:rPr>
        <w:br w:type="page" w:clear="all"/>
      </w:r>
      <w:bookmarkStart w:id="288" w:name="_Toc19580"/>
      <w:r/>
      <w:bookmarkStart w:id="289" w:name="_Toc104560906"/>
      <w:r/>
      <w:bookmarkStart w:id="290" w:name="_Toc16947"/>
      <w:r/>
      <w:bookmarkStart w:id="291" w:name="_Toc107246287"/>
      <w:r/>
      <w:bookmarkStart w:id="292" w:name="_Toc7666"/>
      <w:r>
        <w:rPr>
          <w:rFonts w:ascii="Microsoft New Tai Lue" w:hAnsi="Microsoft New Tai Lue" w:cs="Microsoft New Tai Lue"/>
          <w:bCs w:val="0"/>
          <w:color w:val="auto"/>
          <w:sz w:val="24"/>
          <w:szCs w:val="24"/>
          <w:highlight w:val="none"/>
        </w:rPr>
        <w:t xml:space="preserve">（6-4）依法缴纳税收的相关材料</w:t>
      </w:r>
      <w:bookmarkEnd w:id="286"/>
      <w:r/>
      <w:bookmarkEnd w:id="287"/>
      <w:r/>
      <w:bookmarkEnd w:id="288"/>
      <w:r/>
      <w:bookmarkEnd w:id="289"/>
      <w:r/>
      <w:bookmarkEnd w:id="290"/>
      <w:r/>
      <w:bookmarkEnd w:id="291"/>
      <w:r/>
      <w:bookmarkEnd w:id="292"/>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pStyle w:val="985"/>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293" w:name="_Toc12431"/>
      <w:r/>
      <w:bookmarkStart w:id="294" w:name="_Toc16631"/>
      <w:r/>
      <w:bookmarkStart w:id="295" w:name="_Toc107246288"/>
      <w:r/>
      <w:bookmarkStart w:id="296" w:name="_Toc103848592"/>
      <w:r/>
      <w:bookmarkStart w:id="297" w:name="_Toc4151"/>
      <w:r/>
      <w:bookmarkStart w:id="298" w:name="_Toc102117324"/>
      <w:r/>
      <w:bookmarkStart w:id="299" w:name="_Toc104560907"/>
      <w:r>
        <w:rPr>
          <w:rFonts w:ascii="Microsoft New Tai Lue" w:hAnsi="Microsoft New Tai Lue" w:cs="Microsoft New Tai Lue"/>
          <w:bCs w:val="0"/>
          <w:color w:val="auto"/>
          <w:sz w:val="24"/>
          <w:szCs w:val="24"/>
          <w:highlight w:val="none"/>
        </w:rPr>
        <w:t xml:space="preserve">（6-5）依法缴纳社会保障资金的相关材料</w:t>
      </w:r>
      <w:bookmarkEnd w:id="293"/>
      <w:r/>
      <w:bookmarkEnd w:id="294"/>
      <w:r/>
      <w:bookmarkEnd w:id="295"/>
      <w:r/>
      <w:bookmarkEnd w:id="296"/>
      <w:r/>
      <w:bookmarkEnd w:id="297"/>
      <w:r/>
      <w:bookmarkEnd w:id="298"/>
      <w:r/>
      <w:bookmarkEnd w:id="299"/>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85"/>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300" w:name="_Toc9483"/>
      <w:r/>
      <w:bookmarkStart w:id="301" w:name="_Toc104560909"/>
      <w:r/>
      <w:bookmarkStart w:id="302" w:name="_Toc12670"/>
      <w:r/>
      <w:bookmarkStart w:id="303" w:name="_Toc103848594"/>
      <w:r/>
      <w:bookmarkStart w:id="304" w:name="_Toc107246289"/>
      <w:r/>
      <w:bookmarkStart w:id="305" w:name="_Toc102117325"/>
      <w:r/>
      <w:bookmarkStart w:id="306" w:name="_Toc30337"/>
      <w:r>
        <w:rPr>
          <w:rFonts w:ascii="Microsoft New Tai Lue" w:hAnsi="Microsoft New Tai Lue" w:cs="Microsoft New Tai Lue"/>
          <w:bCs w:val="0"/>
          <w:color w:val="auto"/>
          <w:sz w:val="24"/>
          <w:szCs w:val="24"/>
          <w:highlight w:val="none"/>
        </w:rPr>
        <w:t xml:space="preserve">（6-6）没有重大违法记录的书面声明</w:t>
      </w:r>
      <w:bookmarkEnd w:id="300"/>
      <w:r/>
      <w:bookmarkEnd w:id="301"/>
      <w:r/>
      <w:bookmarkEnd w:id="302"/>
      <w:r/>
      <w:bookmarkEnd w:id="303"/>
      <w:r/>
      <w:bookmarkEnd w:id="304"/>
      <w:r/>
      <w:bookmarkEnd w:id="305"/>
      <w:r/>
      <w:bookmarkEnd w:id="306"/>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pStyle w:val="985"/>
        <w:spacing w:line="240" w:lineRule="atLeast"/>
        <w:rPr>
          <w:rFonts w:hint="eastAsia" w:ascii="Times New Roman" w:hAnsi="Times New Roman"/>
          <w:b w:val="0"/>
          <w:color w:val="auto"/>
          <w:sz w:val="24"/>
          <w:szCs w:val="24"/>
          <w:highlight w:val="none"/>
        </w:rPr>
      </w:pPr>
      <w:r>
        <w:rPr>
          <w:rFonts w:eastAsia="黑体"/>
          <w:b w:val="0"/>
          <w:color w:val="auto"/>
          <w:highlight w:val="none"/>
        </w:rPr>
        <w:br w:type="page" w:clear="all"/>
      </w:r>
      <w:bookmarkStart w:id="307" w:name="_Toc20646"/>
      <w:r/>
      <w:bookmarkStart w:id="308" w:name="_Toc104560910"/>
      <w:r/>
      <w:bookmarkStart w:id="309" w:name="_Toc14243"/>
      <w:r/>
      <w:bookmarkStart w:id="310" w:name="_Toc20811"/>
      <w:r/>
      <w:bookmarkStart w:id="311" w:name="_Toc10724629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6</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）无不良信用记录承诺函（供应商自行查询适用）</w:t>
      </w:r>
      <w:bookmarkEnd w:id="307"/>
      <w:r/>
      <w:bookmarkEnd w:id="308"/>
      <w:r/>
      <w:bookmarkEnd w:id="309"/>
      <w:r/>
      <w:bookmarkEnd w:id="310"/>
      <w:r/>
      <w:bookmarkEnd w:id="311"/>
      <w:r/>
      <w:r/>
    </w:p>
    <w:p>
      <w:pPr>
        <w:pStyle w:val="770"/>
        <w:ind w:firstLine="420"/>
        <w:spacing w:line="480" w:lineRule="auto"/>
        <w:rPr>
          <w:rFonts w:hAnsi="宋体"/>
          <w:color w:val="auto"/>
          <w:sz w:val="21"/>
          <w:szCs w:val="21"/>
          <w:highlight w:val="none"/>
        </w:rPr>
      </w:pPr>
      <w:r>
        <w:rPr>
          <w:rFonts w:hint="eastAsia" w:hAnsi="宋体"/>
          <w:color w:val="auto"/>
          <w:sz w:val="21"/>
          <w:szCs w:val="21"/>
          <w:highlight w:val="none"/>
        </w:rPr>
        <w:t xml:space="preserve">本单位郑重承诺，我单位无以下不良信用记录情形：</w:t>
      </w:r>
      <w:r/>
    </w:p>
    <w:p>
      <w:pPr>
        <w:pStyle w:val="770"/>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770"/>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770"/>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770"/>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770"/>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770"/>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0"/>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0"/>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0"/>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70"/>
        <w:ind w:firstLine="400"/>
        <w:rPr>
          <w:rFonts w:hint="eastAsia" w:ascii="Times New Roman" w:hAnsi="Times New Roman" w:eastAsia="等线"/>
          <w:color w:val="auto"/>
          <w:highlight w:val="none"/>
        </w:rPr>
      </w:pPr>
      <w:r>
        <w:rPr>
          <w:rFonts w:hint="eastAsia" w:ascii="Times New Roman" w:hAnsi="Times New Roman" w:eastAsia="等线"/>
          <w:color w:val="auto"/>
          <w:highlight w:val="none"/>
        </w:rPr>
      </w:r>
      <w:r/>
    </w:p>
    <w:p>
      <w:pPr>
        <w:ind w:right="420" w:firstLine="3780"/>
        <w:spacing w:line="360" w:lineRule="auto"/>
        <w:rPr>
          <w:color w:val="auto"/>
          <w:highlight w:val="none"/>
          <w:u w:val="single"/>
        </w:rPr>
      </w:pPr>
      <w:r/>
      <w:bookmarkStart w:id="312" w:name="_Toc102117326"/>
      <w:r/>
      <w:bookmarkStart w:id="313" w:name="_Toc103848596"/>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98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14" w:name="_Toc888"/>
      <w:r/>
      <w:bookmarkStart w:id="315" w:name="_Toc30426"/>
      <w:r/>
      <w:bookmarkStart w:id="316" w:name="_Toc104560911"/>
      <w:r/>
      <w:bookmarkStart w:id="317" w:name="_Toc17246"/>
      <w:r/>
      <w:bookmarkStart w:id="318" w:name="_Toc107246291"/>
      <w:r>
        <w:rPr>
          <w:rFonts w:ascii="Microsoft New Tai Lue" w:hAnsi="Microsoft New Tai Lue" w:cs="Microsoft New Tai Lue"/>
          <w:bCs w:val="0"/>
          <w:color w:val="auto"/>
          <w:sz w:val="24"/>
          <w:szCs w:val="24"/>
          <w:highlight w:val="none"/>
        </w:rPr>
        <w:t xml:space="preserve">（6-8）</w:t>
      </w:r>
      <w:bookmarkEnd w:id="312"/>
      <w:r>
        <w:rPr>
          <w:rFonts w:ascii="Microsoft New Tai Lue" w:hAnsi="Microsoft New Tai Lue" w:cs="Microsoft New Tai Lue"/>
          <w:bCs w:val="0"/>
          <w:color w:val="auto"/>
          <w:sz w:val="24"/>
          <w:szCs w:val="24"/>
          <w:highlight w:val="none"/>
        </w:rPr>
        <w:t xml:space="preserve">磋商文件要求的其它实质性资格资信证明文件</w:t>
      </w:r>
      <w:bookmarkEnd w:id="313"/>
      <w:r/>
      <w:bookmarkEnd w:id="314"/>
      <w:r/>
      <w:bookmarkEnd w:id="315"/>
      <w:r/>
      <w:bookmarkEnd w:id="316"/>
      <w:r/>
      <w:bookmarkEnd w:id="317"/>
      <w:r/>
      <w:bookmarkEnd w:id="318"/>
      <w:r/>
      <w:r/>
    </w:p>
    <w:p>
      <w:pPr>
        <w:pStyle w:val="963"/>
        <w:ind w:left="0"/>
        <w:rPr>
          <w:color w:val="auto"/>
          <w:highlight w:val="none"/>
        </w:rPr>
      </w:pPr>
      <w:r>
        <w:rPr>
          <w:color w:val="auto"/>
          <w:highlight w:val="none"/>
        </w:rPr>
      </w:r>
      <w:r/>
    </w:p>
    <w:p>
      <w:pPr>
        <w:pStyle w:val="985"/>
        <w:spacing w:before="0"/>
        <w:rPr>
          <w:rFonts w:ascii="Microsoft New Tai Lue" w:hAnsi="Microsoft New Tai Lue" w:cs="Microsoft New Tai Lue"/>
          <w:bCs w:val="0"/>
          <w:color w:val="auto"/>
          <w:sz w:val="24"/>
          <w:szCs w:val="24"/>
          <w:highlight w:val="none"/>
        </w:rPr>
      </w:pPr>
      <w:r/>
      <w:bookmarkStart w:id="319" w:name="_Toc107246300"/>
      <w:r/>
      <w:bookmarkStart w:id="320" w:name="_Toc103848600"/>
      <w:r/>
      <w:bookmarkStart w:id="321" w:name="_Toc104560917"/>
      <w:r>
        <w:rPr>
          <w:rFonts w:ascii="Microsoft New Tai Lue" w:hAnsi="Microsoft New Tai Lue" w:cs="Microsoft New Tai Lue"/>
          <w:color w:val="auto"/>
          <w:sz w:val="24"/>
          <w:highlight w:val="none"/>
        </w:rPr>
        <w:br w:type="page" w:clear="all"/>
      </w:r>
      <w:bookmarkStart w:id="322" w:name="_Toc104560918"/>
      <w:r/>
      <w:bookmarkStart w:id="323" w:name="_Toc3292"/>
      <w:r/>
      <w:bookmarkStart w:id="324" w:name="_Toc28830"/>
      <w:r/>
      <w:bookmarkStart w:id="325" w:name="_Toc14214"/>
      <w:r/>
      <w:bookmarkStart w:id="326" w:name="_Toc107246301"/>
      <w:r/>
      <w:bookmarkStart w:id="327" w:name="_Toc10384860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7</w:t>
      </w:r>
      <w:r>
        <w:rPr>
          <w:rFonts w:ascii="Microsoft New Tai Lue" w:hAnsi="Microsoft New Tai Lue" w:cs="Microsoft New Tai Lue"/>
          <w:bCs w:val="0"/>
          <w:color w:val="auto"/>
          <w:sz w:val="24"/>
          <w:szCs w:val="24"/>
          <w:highlight w:val="none"/>
        </w:rPr>
        <w:t xml:space="preserve">）技术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322"/>
      <w:r/>
      <w:bookmarkEnd w:id="323"/>
      <w:r/>
      <w:bookmarkEnd w:id="324"/>
      <w:r/>
      <w:bookmarkEnd w:id="325"/>
      <w:r/>
      <w:bookmarkEnd w:id="326"/>
      <w:r/>
      <w:bookmarkEnd w:id="327"/>
      <w:r/>
      <w:r/>
    </w:p>
    <w:p>
      <w:pPr>
        <w:pStyle w:val="77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p>
      <w:pPr>
        <w:pStyle w:val="982"/>
        <w:spacing w:line="360" w:lineRule="exact"/>
        <w:rPr>
          <w:rFonts w:ascii="Times New Roman" w:hAnsi="Times New Roman"/>
          <w:b/>
          <w:bCs/>
          <w:color w:val="auto"/>
          <w:highlight w:val="none"/>
        </w:rPr>
      </w:pPr>
      <w:r>
        <w:rPr>
          <w:rFonts w:ascii="Times New Roman" w:hAnsi="Times New Roman"/>
          <w:b/>
          <w:bCs/>
          <w:color w:val="auto"/>
          <w:highlight w:val="none"/>
        </w:rPr>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磋商文件条目号</w:t>
            </w:r>
            <w:r/>
          </w:p>
        </w:tc>
        <w:tc>
          <w:tcPr>
            <w:tcW w:w="2268"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磋商文件的</w:t>
            </w:r>
            <w:r>
              <w:rPr>
                <w:rFonts w:hint="eastAsia" w:ascii="Microsoft New Tai Lue" w:hAnsi="Microsoft New Tai Lue" w:cs="Microsoft New Tai Lue"/>
                <w:color w:val="auto"/>
                <w:sz w:val="21"/>
                <w:szCs w:val="21"/>
                <w:highlight w:val="none"/>
                <w:lang w:val="en-US" w:eastAsia="zh-CN"/>
              </w:rPr>
              <w:t xml:space="preserve">技术</w:t>
            </w:r>
            <w:r>
              <w:rPr>
                <w:rFonts w:ascii="Microsoft New Tai Lue" w:hAnsi="Microsoft New Tai Lue" w:cs="Microsoft New Tai Lue"/>
                <w:color w:val="auto"/>
                <w:sz w:val="21"/>
                <w:szCs w:val="21"/>
                <w:highlight w:val="none"/>
              </w:rPr>
              <w:t xml:space="preserve">条款</w:t>
            </w:r>
            <w:r/>
          </w:p>
        </w:tc>
        <w:tc>
          <w:tcPr>
            <w:tcW w:w="2126"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响应文件的</w:t>
            </w:r>
            <w:r>
              <w:rPr>
                <w:rFonts w:hint="eastAsia" w:ascii="Microsoft New Tai Lue" w:hAnsi="Microsoft New Tai Lue" w:cs="Microsoft New Tai Lue"/>
                <w:color w:val="auto"/>
                <w:sz w:val="21"/>
                <w:szCs w:val="21"/>
                <w:highlight w:val="none"/>
                <w:lang w:val="en-US" w:eastAsia="zh-CN"/>
              </w:rPr>
              <w:t xml:space="preserve">技术</w:t>
            </w:r>
            <w:r>
              <w:rPr>
                <w:rFonts w:ascii="Microsoft New Tai Lue" w:hAnsi="Microsoft New Tai Lue" w:cs="Microsoft New Tai Lue"/>
                <w:color w:val="auto"/>
                <w:sz w:val="21"/>
                <w:szCs w:val="21"/>
                <w:highlight w:val="none"/>
              </w:rPr>
              <w:t xml:space="preserve">条款</w:t>
            </w:r>
            <w:r/>
          </w:p>
        </w:tc>
        <w:tc>
          <w:tcPr>
            <w:tcW w:w="1134" w:type="dxa"/>
            <w:vAlign w:val="top"/>
            <w:textDirection w:val="lrTb"/>
            <w:noWrap w:val="false"/>
          </w:tcPr>
          <w:p>
            <w:pPr>
              <w:pStyle w:val="770"/>
              <w:ind w:firstLine="0"/>
              <w:jc w:val="center"/>
              <w:spacing w:line="480"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82"/>
        <w:spacing w:line="360" w:lineRule="exact"/>
        <w:rPr>
          <w:rFonts w:ascii="Times New Roman" w:hAnsi="Times New Roman"/>
          <w:b/>
          <w:bCs/>
          <w:color w:val="auto"/>
          <w:highlight w:val="none"/>
        </w:rPr>
      </w:pPr>
      <w:r>
        <w:rPr>
          <w:rFonts w:ascii="Times New Roman" w:hAnsi="Times New Roman"/>
          <w:b/>
          <w:bCs/>
          <w:color w:val="auto"/>
          <w:highlight w:val="none"/>
        </w:rPr>
      </w:r>
      <w:r/>
    </w:p>
    <w:p>
      <w:pPr>
        <w:pStyle w:val="982"/>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8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1</w:t>
      </w:r>
      <w:r>
        <w:rPr>
          <w:rFonts w:hint="eastAsia"/>
          <w:b/>
          <w:color w:val="auto"/>
          <w:highlight w:val="none"/>
        </w:rPr>
        <w:t xml:space="preserve">. </w:t>
      </w:r>
      <w:r>
        <w:rPr>
          <w:rFonts w:hint="eastAsia" w:ascii="Times New Roman" w:hAnsi="Times New Roman"/>
          <w:b/>
          <w:bCs/>
          <w:color w:val="auto"/>
          <w:highlight w:val="none"/>
        </w:rPr>
        <w:t xml:space="preserve">所有偏离必须在本表中列出，未在本偏离表中列出偏离，将视为供应商已完全接受磋商文件要求。如完全无偏离，也无其他说明，可在本表第一行填写“全部无偏离”。</w:t>
      </w:r>
      <w:r/>
    </w:p>
    <w:p>
      <w:pPr>
        <w:pStyle w:val="98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偏离包括正、负偏离，正偏离指供应商的响应高于磋商文件要求，负偏离指供应商的响应低于磋商文件要求。</w:t>
      </w:r>
      <w:r/>
    </w:p>
    <w:p>
      <w:pPr>
        <w:pStyle w:val="982"/>
        <w:spacing w:line="360" w:lineRule="exact"/>
        <w:rPr>
          <w:rFonts w:hint="eastAsia" w:ascii="Times New Roman" w:hAnsi="Times New Roman"/>
          <w:b/>
          <w:bCs/>
          <w:color w:val="auto"/>
          <w:highlight w:val="none"/>
        </w:rPr>
      </w:pPr>
      <w:r>
        <w:rPr>
          <w:rFonts w:hint="eastAsia"/>
          <w:b/>
          <w:color w:val="auto"/>
          <w:highlight w:val="none"/>
        </w:rPr>
        <w:t xml:space="preserve">3. 如果行数不够，请自行增加。</w:t>
      </w:r>
      <w:r/>
    </w:p>
    <w:p>
      <w:pPr>
        <w:pStyle w:val="77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0"/>
        <w:ind w:firstLine="0"/>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pStyle w:val="77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0"/>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供应商名称(公章)：_________________</w:t>
      </w:r>
      <w:r/>
    </w:p>
    <w:p>
      <w:pPr>
        <w:pStyle w:val="770"/>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770"/>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770"/>
        <w:ind w:firstLine="3780"/>
        <w:rPr>
          <w:rFonts w:ascii="Microsoft New Tai Lue" w:hAnsi="Microsoft New Tai Lue" w:eastAsia="MingLiU_HKSCS" w:cs="Microsoft New Tai Lue"/>
          <w:color w:val="auto"/>
          <w:highlight w:val="none"/>
        </w:rPr>
      </w:pPr>
      <w:r>
        <w:rPr>
          <w:rFonts w:ascii="Microsoft New Tai Lue" w:hAnsi="Microsoft New Tai Lue" w:cs="Microsoft New Tai Lue"/>
          <w:color w:val="auto"/>
          <w:sz w:val="21"/>
          <w:szCs w:val="21"/>
          <w:highlight w:val="none"/>
        </w:rPr>
        <w:t xml:space="preserve">日期：______年____月____日</w:t>
      </w:r>
      <w:r/>
    </w:p>
    <w:p>
      <w:pPr>
        <w:pStyle w:val="98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28" w:name="_Toc10265"/>
      <w:r/>
      <w:bookmarkStart w:id="329" w:name="_Toc13553"/>
      <w:r/>
      <w:bookmarkStart w:id="330" w:name="_Toc120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服务</w:t>
      </w:r>
      <w:r>
        <w:rPr>
          <w:rFonts w:ascii="Microsoft New Tai Lue" w:hAnsi="Microsoft New Tai Lue" w:cs="Microsoft New Tai Lue"/>
          <w:bCs w:val="0"/>
          <w:color w:val="auto"/>
          <w:sz w:val="24"/>
          <w:szCs w:val="24"/>
          <w:highlight w:val="none"/>
        </w:rPr>
        <w:t xml:space="preserve">方案</w:t>
      </w:r>
      <w:bookmarkEnd w:id="319"/>
      <w:r/>
      <w:bookmarkEnd w:id="320"/>
      <w:r/>
      <w:bookmarkEnd w:id="321"/>
      <w:r/>
      <w:bookmarkEnd w:id="328"/>
      <w:r/>
      <w:bookmarkEnd w:id="329"/>
      <w:r/>
      <w:bookmarkEnd w:id="330"/>
      <w:r/>
      <w:r/>
    </w:p>
    <w:p>
      <w:pPr>
        <w:rPr>
          <w:color w:val="auto"/>
          <w:highlight w:val="none"/>
        </w:rPr>
      </w:pPr>
      <w:r>
        <w:rPr>
          <w:color w:val="auto"/>
          <w:highlight w:val="none"/>
        </w:rPr>
        <w:t xml:space="preserve"> </w:t>
      </w:r>
      <w:r/>
    </w:p>
    <w:p>
      <w:pPr>
        <w:pStyle w:val="770"/>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770"/>
        <w:ind w:firstLine="0"/>
        <w:jc w:val="center"/>
        <w:rPr>
          <w:rFonts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格式自拟</w:t>
      </w:r>
      <w:r/>
    </w:p>
    <w:p>
      <w:pPr>
        <w:jc w:val="center"/>
        <w:rPr>
          <w:rFonts w:hint="eastAsia"/>
          <w:color w:val="auto"/>
          <w:highlight w:val="none"/>
          <w:lang w:val="en-US" w:eastAsia="zh-CN"/>
        </w:rPr>
      </w:pPr>
      <w:r>
        <w:rPr>
          <w:rFonts w:hint="eastAsia"/>
          <w:color w:val="auto"/>
          <w:highlight w:val="none"/>
          <w:lang w:val="en-US" w:eastAsia="zh-CN"/>
        </w:rPr>
      </w:r>
      <w:r/>
    </w:p>
    <w:p>
      <w:pPr>
        <w:pStyle w:val="985"/>
        <w:spacing w:before="0"/>
        <w:rPr>
          <w:rFonts w:ascii="Microsoft New Tai Lue" w:hAnsi="Microsoft New Tai Lue" w:eastAsia="宋体" w:cs="Microsoft New Tai Lue"/>
          <w:bCs w:val="0"/>
          <w:color w:val="auto"/>
          <w:sz w:val="24"/>
          <w:szCs w:val="24"/>
          <w:highlight w:val="none"/>
        </w:rPr>
      </w:pPr>
      <w:r>
        <w:rPr>
          <w:rFonts w:hint="eastAsia" w:ascii="宋体" w:hAnsi="宋体" w:eastAsia="宋体" w:cs="宋体"/>
          <w:color w:val="auto"/>
          <w:highlight w:val="none"/>
        </w:rPr>
        <w:br w:type="page" w:clear="all"/>
      </w:r>
      <w:bookmarkStart w:id="331" w:name="_Toc17912"/>
      <w:r/>
      <w:bookmarkStart w:id="332" w:name="_Toc6475"/>
      <w:r/>
      <w:bookmarkStart w:id="333" w:name="_Toc2968"/>
      <w:r>
        <w:rPr>
          <w:rFonts w:hint="eastAsia" w:ascii="Microsoft New Tai Lue" w:hAnsi="Microsoft New Tai Lue" w:eastAsia="宋体" w:cs="Microsoft New Tai Lue"/>
          <w:bCs w:val="0"/>
          <w:color w:val="auto"/>
          <w:sz w:val="24"/>
          <w:szCs w:val="24"/>
          <w:highlight w:val="none"/>
          <w:lang w:val="en-US"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9</w:t>
      </w:r>
      <w:r>
        <w:rPr>
          <w:rFonts w:hint="eastAsia" w:ascii="Microsoft New Tai Lue" w:hAnsi="Microsoft New Tai Lue" w:eastAsia="宋体" w:cs="Microsoft New Tai Lue"/>
          <w:bCs w:val="0"/>
          <w:color w:val="auto"/>
          <w:sz w:val="24"/>
          <w:szCs w:val="24"/>
          <w:highlight w:val="none"/>
          <w:lang w:val="en-US" w:eastAsia="zh-CN"/>
        </w:rPr>
        <w:t xml:space="preserve">）拟参与本项目人员一览表</w:t>
      </w:r>
      <w:bookmarkEnd w:id="331"/>
      <w:r/>
      <w:bookmarkEnd w:id="332"/>
      <w:r/>
      <w:bookmarkEnd w:id="333"/>
      <w:r/>
      <w:r/>
    </w:p>
    <w:p>
      <w:pPr>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项目名称：                                </w:t>
      </w:r>
      <w:r>
        <w:rPr>
          <w:rFonts w:hint="eastAsia" w:ascii="宋体" w:hAnsi="宋体"/>
          <w:color w:val="auto"/>
          <w:sz w:val="24"/>
          <w:highlight w:val="none"/>
        </w:rPr>
        <w:t xml:space="preserve">              项目</w:t>
      </w:r>
      <w:r>
        <w:rPr>
          <w:rFonts w:hint="eastAsia" w:ascii="宋体" w:hAnsi="宋体"/>
          <w:color w:val="auto"/>
          <w:sz w:val="24"/>
          <w:highlight w:val="none"/>
          <w:lang w:val="zh-CN"/>
        </w:rPr>
        <w:t xml:space="preserve">编号：</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862"/>
        <w:gridCol w:w="1546"/>
        <w:gridCol w:w="716"/>
        <w:gridCol w:w="1511"/>
        <w:gridCol w:w="1454"/>
        <w:gridCol w:w="734"/>
      </w:tblGrid>
      <w:tr>
        <w:trPr>
          <w:jc w:val="center"/>
          <w:trHeight w:val="972" w:hRule="exact"/>
        </w:trPr>
        <w:tc>
          <w:tcPr>
            <w:tcW w:w="53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序号</w:t>
            </w:r>
            <w:r/>
          </w:p>
        </w:tc>
        <w:tc>
          <w:tcPr>
            <w:tcW w:w="89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姓名</w:t>
            </w:r>
            <w:r/>
          </w:p>
        </w:tc>
        <w:tc>
          <w:tcPr>
            <w:tcW w:w="663"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性别</w:t>
            </w:r>
            <w:r/>
          </w:p>
        </w:tc>
        <w:tc>
          <w:tcPr>
            <w:tcW w:w="709"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年龄</w:t>
            </w:r>
            <w:r/>
          </w:p>
        </w:tc>
        <w:tc>
          <w:tcPr>
            <w:tcW w:w="862"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学历及</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专业</w:t>
            </w:r>
            <w:r/>
          </w:p>
        </w:tc>
        <w:tc>
          <w:tcPr>
            <w:tcW w:w="154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执业</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资格及证书号</w:t>
            </w:r>
            <w:r/>
          </w:p>
        </w:tc>
        <w:tc>
          <w:tcPr>
            <w:tcW w:w="71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技术</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职称</w:t>
            </w:r>
            <w:r/>
          </w:p>
        </w:tc>
        <w:tc>
          <w:tcPr>
            <w:tcW w:w="1511"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相关工作年限及参与典型业务情况</w:t>
            </w:r>
            <w:r/>
          </w:p>
        </w:tc>
        <w:tc>
          <w:tcPr>
            <w:tcW w:w="145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拟担任本项目何种工作</w:t>
            </w:r>
            <w:r/>
          </w:p>
        </w:tc>
        <w:tc>
          <w:tcPr>
            <w:tcW w:w="73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备注</w:t>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bl>
    <w:p>
      <w:pPr>
        <w:pStyle w:val="770"/>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70"/>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770"/>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770"/>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：_________________</w:t>
      </w:r>
      <w:r/>
    </w:p>
    <w:p>
      <w:pPr>
        <w:pStyle w:val="770"/>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770"/>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770"/>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98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34" w:name="_Toc2033"/>
      <w:r/>
      <w:bookmarkStart w:id="335" w:name="_Toc22205"/>
      <w:r/>
      <w:bookmarkStart w:id="336" w:name="_Toc11490"/>
      <w:r/>
      <w:bookmarkStart w:id="337" w:name="_Toc103848604"/>
      <w:r/>
      <w:bookmarkStart w:id="338" w:name="_Toc104560921"/>
      <w:r/>
      <w:bookmarkStart w:id="339" w:name="_Toc10724630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0</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业绩一览表</w:t>
      </w:r>
      <w:bookmarkEnd w:id="334"/>
      <w:r/>
      <w:bookmarkEnd w:id="335"/>
      <w:r/>
      <w:bookmarkEnd w:id="336"/>
      <w:r/>
      <w:r/>
    </w:p>
    <w:p>
      <w:pPr>
        <w:jc w:val="left"/>
        <w:rPr>
          <w:rFonts w:ascii="宋体" w:hAnsi="宋体"/>
          <w:b/>
          <w:color w:val="auto"/>
          <w:sz w:val="32"/>
          <w:szCs w:val="32"/>
          <w:highlight w:val="none"/>
        </w:rPr>
      </w:pPr>
      <w:r>
        <w:rPr>
          <w:rFonts w:hint="eastAsia" w:ascii="宋体" w:hAnsi="宋体"/>
          <w:color w:val="auto"/>
          <w:sz w:val="24"/>
          <w:highlight w:val="none"/>
          <w:lang w:val="zh-CN"/>
        </w:rPr>
        <w:t xml:space="preserve">项目名称：                                </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 项目编号：</w:t>
      </w:r>
      <w:r/>
    </w:p>
    <w:tbl>
      <w:tblPr>
        <w:tblStyle w:val="761"/>
        <w:tblW w:w="95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3191"/>
        <w:gridCol w:w="991"/>
        <w:gridCol w:w="1878"/>
        <w:gridCol w:w="1494"/>
        <w:gridCol w:w="1236"/>
      </w:tblGrid>
      <w:tr>
        <w:trPr>
          <w:cantSplit/>
          <w:jc w:val="center"/>
          <w:trHeight w:val="454"/>
        </w:trPr>
        <w:tc>
          <w:tcPr>
            <w:tcW w:w="7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1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9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合同签订日期</w:t>
            </w:r>
            <w:r/>
          </w:p>
        </w:tc>
        <w:tc>
          <w:tcPr>
            <w:tcW w:w="18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采购人名称</w:t>
            </w:r>
            <w:r/>
          </w:p>
        </w:tc>
        <w:tc>
          <w:tcPr>
            <w:tcW w:w="149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项目负责人</w:t>
            </w:r>
            <w:r/>
          </w:p>
        </w:tc>
        <w:tc>
          <w:tcPr>
            <w:tcW w:w="123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cantSplit/>
          <w:jc w:val="center"/>
          <w:trHeight w:val="454"/>
        </w:trPr>
        <w:tc>
          <w:tcPr>
            <w:tcW w:w="7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240" w:lineRule="atLeast"/>
        <w:rPr>
          <w:color w:val="auto"/>
          <w:highlight w:val="none"/>
        </w:rPr>
      </w:pPr>
      <w:r>
        <w:rPr>
          <w:color w:val="auto"/>
          <w:highlight w:val="none"/>
        </w:rPr>
      </w:r>
      <w:r/>
    </w:p>
    <w:p>
      <w:pPr>
        <w:spacing w:before="65" w:line="227" w:lineRule="auto"/>
        <w:rPr>
          <w:rFonts w:ascii="宋体" w:hAnsi="宋体" w:cs="宋体"/>
          <w:color w:val="auto"/>
          <w:sz w:val="20"/>
          <w:szCs w:val="20"/>
          <w:highlight w:val="none"/>
        </w:rPr>
      </w:pPr>
      <w:r>
        <w:rPr>
          <w:rFonts w:hint="eastAsia" w:ascii="宋体" w:hAnsi="宋体" w:cs="宋体"/>
          <w:color w:val="auto"/>
          <w:spacing w:val="8"/>
          <w:sz w:val="20"/>
          <w:szCs w:val="20"/>
          <w:highlight w:val="none"/>
        </w:rPr>
        <w:t xml:space="preserve">供应商</w:t>
      </w:r>
      <w:r>
        <w:rPr>
          <w:rFonts w:ascii="宋体" w:hAnsi="宋体" w:cs="宋体"/>
          <w:color w:val="auto"/>
          <w:spacing w:val="8"/>
          <w:sz w:val="20"/>
          <w:szCs w:val="20"/>
          <w:highlight w:val="none"/>
        </w:rPr>
        <w:t xml:space="preserve">名称（公章</w:t>
      </w:r>
      <w:r>
        <w:rPr>
          <w:rFonts w:ascii="宋体" w:hAnsi="宋体" w:cs="宋体"/>
          <w:color w:val="auto"/>
          <w:spacing w:val="1"/>
          <w:sz w:val="20"/>
          <w:szCs w:val="20"/>
          <w:highlight w:val="none"/>
        </w:rPr>
        <w:t xml:space="preserve">）：</w:t>
      </w:r>
      <w:r/>
    </w:p>
    <w:p>
      <w:pPr>
        <w:jc w:val="left"/>
        <w:spacing w:before="156"/>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jc w:val="left"/>
        <w:rPr>
          <w:rFonts w:ascii="宋体" w:hAnsi="宋体" w:cs="宋体"/>
          <w:color w:val="auto"/>
          <w:sz w:val="20"/>
          <w:szCs w:val="20"/>
          <w:highlight w:val="none"/>
        </w:rPr>
      </w:pPr>
      <w:r>
        <w:rPr>
          <w:rFonts w:ascii="Microsoft New Tai Lue" w:hAnsi="Microsoft New Tai Lue" w:cs="Microsoft New Tai Lue"/>
          <w:color w:val="auto"/>
          <w:szCs w:val="21"/>
          <w:highlight w:val="none"/>
        </w:rPr>
        <w:t xml:space="preserve">或其授权代表（签字或盖章）：</w:t>
      </w:r>
      <w:r/>
    </w:p>
    <w:p>
      <w:pPr>
        <w:spacing w:before="162" w:line="408" w:lineRule="exact"/>
        <w:rPr>
          <w:b/>
          <w:color w:val="auto"/>
          <w:highlight w:val="none"/>
        </w:rPr>
      </w:pPr>
      <w:r>
        <w:rPr>
          <w:rFonts w:ascii="宋体" w:hAnsi="宋体" w:cs="宋体"/>
          <w:color w:val="auto"/>
          <w:spacing w:val="-9"/>
          <w:position w:val="15"/>
          <w:sz w:val="20"/>
          <w:szCs w:val="20"/>
          <w:highlight w:val="none"/>
        </w:rPr>
        <w:t xml:space="preserve">日</w:t>
      </w:r>
      <w:r>
        <w:rPr>
          <w:rFonts w:hint="eastAsia" w:ascii="宋体" w:hAnsi="宋体" w:cs="宋体"/>
          <w:color w:val="auto"/>
          <w:spacing w:val="-9"/>
          <w:position w:val="15"/>
          <w:sz w:val="20"/>
          <w:szCs w:val="20"/>
          <w:highlight w:val="none"/>
        </w:rPr>
        <w:t xml:space="preserve">   </w:t>
      </w:r>
      <w:r>
        <w:rPr>
          <w:rFonts w:ascii="宋体" w:hAnsi="宋体" w:cs="宋体"/>
          <w:color w:val="auto"/>
          <w:spacing w:val="-9"/>
          <w:position w:val="15"/>
          <w:sz w:val="20"/>
          <w:szCs w:val="20"/>
          <w:highlight w:val="none"/>
        </w:rPr>
        <w:t xml:space="preserve">期：</w:t>
      </w:r>
      <w:bookmarkEnd w:id="218"/>
      <w:r/>
      <w:bookmarkEnd w:id="337"/>
      <w:r/>
      <w:bookmarkEnd w:id="338"/>
      <w:r/>
      <w:bookmarkEnd w:id="339"/>
      <w:r/>
      <w:r/>
    </w:p>
    <w:p>
      <w:pPr>
        <w:pStyle w:val="770"/>
        <w:ind w:firstLine="0"/>
        <w:rPr>
          <w:color w:val="auto"/>
          <w:highlight w:val="none"/>
        </w:rPr>
      </w:pPr>
      <w:r/>
      <w:bookmarkStart w:id="340" w:name="_Toc96347904"/>
      <w:r/>
      <w:r/>
    </w:p>
    <w:p>
      <w:pPr>
        <w:pStyle w:val="985"/>
        <w:spacing w:before="0"/>
        <w:rPr>
          <w:rFonts w:hint="eastAsia" w:ascii="宋体" w:hAnsi="宋体" w:cs="宋体"/>
          <w:color w:val="auto"/>
          <w:spacing w:val="2"/>
          <w:position w:val="-3"/>
          <w:szCs w:val="21"/>
          <w:highlight w:val="none"/>
        </w:rPr>
      </w:pPr>
      <w:r/>
      <w:bookmarkStart w:id="341" w:name="_Toc104560923"/>
      <w:r/>
      <w:bookmarkStart w:id="342" w:name="_Toc100905289"/>
      <w:r/>
      <w:bookmarkStart w:id="343" w:name="_Toc103848606"/>
      <w:r/>
      <w:bookmarkStart w:id="344" w:name="_Toc107246306"/>
      <w:r>
        <w:rPr>
          <w:rFonts w:ascii="Microsoft New Tai Lue" w:hAnsi="Microsoft New Tai Lue" w:cs="Microsoft New Tai Lue"/>
          <w:bCs w:val="0"/>
          <w:color w:val="auto"/>
          <w:sz w:val="24"/>
          <w:szCs w:val="24"/>
          <w:highlight w:val="none"/>
        </w:rPr>
        <w:br w:type="page" w:clear="all"/>
      </w:r>
      <w:bookmarkStart w:id="345" w:name="_Toc4207"/>
      <w:r/>
      <w:bookmarkStart w:id="346" w:name="_Toc27843"/>
      <w:r/>
      <w:bookmarkStart w:id="347" w:name="_Toc31182"/>
      <w:r>
        <w:rPr>
          <w:rFonts w:ascii="Microsoft New Tai Lue" w:hAnsi="Microsoft New Tai Lue" w:eastAsia="宋体"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1</w:t>
      </w:r>
      <w:r>
        <w:rPr>
          <w:rFonts w:ascii="Microsoft New Tai Lue" w:hAnsi="Microsoft New Tai Lue" w:eastAsia="宋体" w:cs="Microsoft New Tai Lue"/>
          <w:bCs w:val="0"/>
          <w:color w:val="auto"/>
          <w:sz w:val="24"/>
          <w:szCs w:val="24"/>
          <w:highlight w:val="none"/>
        </w:rPr>
        <w:t xml:space="preserve">）提供符合政府采购政策的证明材料</w:t>
      </w:r>
      <w:bookmarkEnd w:id="341"/>
      <w:r/>
      <w:bookmarkEnd w:id="342"/>
      <w:r/>
      <w:bookmarkEnd w:id="343"/>
      <w:r/>
      <w:bookmarkEnd w:id="344"/>
      <w:r/>
      <w:bookmarkEnd w:id="345"/>
      <w:r/>
      <w:bookmarkEnd w:id="346"/>
      <w:r/>
      <w:bookmarkEnd w:id="347"/>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770"/>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中小企业声明函（服务）</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本公司（联合体）郑重声明，根据《政府采购促进中小 企业发展管理办法》（财库﹝2020﹞46 号）的规定，本公司（联合体）参加</w:t>
      </w:r>
      <w:r>
        <w:rPr>
          <w:rFonts w:hint="eastAsia" w:ascii="宋体" w:hAnsi="宋体" w:cs="宋体"/>
          <w:i/>
          <w:color w:val="auto"/>
          <w:spacing w:val="3"/>
          <w:szCs w:val="21"/>
          <w:highlight w:val="none"/>
          <w:u w:val="single"/>
        </w:rPr>
        <w:t xml:space="preserve">（单位名称）</w:t>
      </w:r>
      <w:r>
        <w:rPr>
          <w:rFonts w:hint="eastAsia" w:ascii="宋体" w:hAnsi="宋体" w:cs="宋体"/>
          <w:color w:val="auto"/>
          <w:spacing w:val="3"/>
          <w:szCs w:val="21"/>
          <w:highlight w:val="none"/>
        </w:rPr>
        <w:t xml:space="preserve">的</w:t>
      </w:r>
      <w:r>
        <w:rPr>
          <w:rFonts w:hint="eastAsia" w:ascii="宋体" w:hAnsi="宋体" w:cs="宋体"/>
          <w:i/>
          <w:color w:val="auto"/>
          <w:spacing w:val="3"/>
          <w:szCs w:val="21"/>
          <w:highlight w:val="none"/>
          <w:u w:val="single"/>
        </w:rPr>
        <w:t xml:space="preserve">（项目名称）</w:t>
      </w:r>
      <w:r>
        <w:rPr>
          <w:rFonts w:hint="eastAsia" w:ascii="宋体" w:hAnsi="宋体" w:cs="宋体"/>
          <w:color w:val="auto"/>
          <w:spacing w:val="3"/>
          <w:szCs w:val="21"/>
          <w:highlight w:val="none"/>
        </w:rPr>
        <w:t xml:space="preserve">采购活动，服务全部由符合政策要求的中小企业承接。相关企业（含联合 体中的中小企业、签订分包意向协议的中小企业）的具体情 况如下：</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1.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color w:val="auto"/>
          <w:spacing w:val="3"/>
          <w:szCs w:val="21"/>
          <w:highlight w:val="none"/>
          <w:u w:val="single"/>
          <w:lang w:val="en-US" w:eastAsia="zh-CN"/>
        </w:rPr>
        <w:t xml:space="preserve">   其他为列明行业 </w:t>
      </w:r>
      <w:r>
        <w:rPr>
          <w:rFonts w:hint="eastAsia" w:ascii="宋体" w:hAnsi="宋体" w:cs="宋体"/>
          <w:color w:val="auto"/>
          <w:spacing w:val="3"/>
          <w:szCs w:val="21"/>
          <w:highlight w:val="none"/>
          <w:lang w:val="en-US" w:eastAsia="zh-CN"/>
        </w:rPr>
        <w:t xml:space="preserve"> </w:t>
      </w:r>
      <w:r>
        <w:rPr>
          <w:rFonts w:hint="eastAsia" w:ascii="宋体" w:hAnsi="宋体" w:cs="宋体"/>
          <w:color w:val="auto"/>
          <w:spacing w:val="3"/>
          <w:szCs w:val="21"/>
          <w:highlight w:val="none"/>
        </w:rPr>
        <w:t xml:space="preserve">；承接企业为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w:t>
      </w:r>
      <w:r>
        <w:rPr>
          <w:rFonts w:hint="eastAsia" w:ascii="宋体" w:hAnsi="宋体" w:cs="宋体"/>
          <w:color w:val="auto"/>
          <w:spacing w:val="3"/>
          <w:szCs w:val="21"/>
          <w:highlight w:val="none"/>
          <w:vertAlign w:val="superscript"/>
        </w:rPr>
        <w:t xml:space="preserve">1</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2.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（磋商文件中明确的所属行业）</w:t>
      </w:r>
      <w:r>
        <w:rPr>
          <w:rFonts w:hint="eastAsia" w:ascii="宋体" w:hAnsi="宋体" w:cs="宋体"/>
          <w:color w:val="auto"/>
          <w:spacing w:val="3"/>
          <w:szCs w:val="21"/>
          <w:highlight w:val="none"/>
        </w:rPr>
        <w:t xml:space="preserve">；承接企业为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 </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本企业对上述声明内容的真实性负责。如有虚假，将依法承担相应责任。</w:t>
      </w:r>
      <w:r/>
    </w:p>
    <w:p>
      <w:pPr>
        <w:spacing w:before="3"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00" w:firstLine="3780"/>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position w:val="-2"/>
          <w:szCs w:val="21"/>
          <w:highlight w:val="none"/>
        </w:rPr>
        <w:t xml:space="preserve">盖章</w:t>
      </w:r>
      <w:r>
        <w:rPr>
          <w:rFonts w:hint="eastAsia" w:ascii="宋体" w:hAnsi="宋体" w:cs="宋体"/>
          <w:color w:val="auto"/>
          <w:spacing w:val="-158"/>
          <w:position w:val="-2"/>
          <w:szCs w:val="21"/>
          <w:highlight w:val="none"/>
        </w:rPr>
        <w:t xml:space="preserve">）</w:t>
      </w:r>
      <w:r>
        <w:rPr>
          <w:rFonts w:hint="eastAsia" w:ascii="宋体" w:hAnsi="宋体" w:cs="宋体"/>
          <w:color w:val="auto"/>
          <w:position w:val="-2"/>
          <w:szCs w:val="21"/>
          <w:highlight w:val="none"/>
        </w:rPr>
        <w:t xml:space="preserve">  ： </w:t>
      </w:r>
      <w:r>
        <w:rPr>
          <w:rFonts w:hint="eastAsia" w:ascii="宋体" w:hAnsi="宋体" w:cs="宋体"/>
          <w:color w:val="auto"/>
          <w:position w:val="-2"/>
          <w:szCs w:val="21"/>
          <w:highlight w:val="none"/>
          <w:u w:val="single"/>
        </w:rPr>
        <w:t xml:space="preserve">           </w:t>
      </w:r>
      <w:r/>
    </w:p>
    <w:p>
      <w:pPr>
        <w:ind w:right="420" w:firstLine="37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jc w:val="both"/>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0"/>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监狱企业证明</w:t>
      </w:r>
      <w:r/>
    </w:p>
    <w:p>
      <w:pPr>
        <w:pStyle w:val="770"/>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77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70"/>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770"/>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77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7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77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70"/>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bookmarkEnd w:id="340"/>
      <w:r/>
      <w:r/>
    </w:p>
    <w:p>
      <w:pPr>
        <w:pStyle w:val="770"/>
        <w:ind w:firstLine="198"/>
        <w:rPr>
          <w:rFonts w:hint="eastAsia" w:ascii="Microsoft New Tai Lue" w:hAnsi="Microsoft New Tai Lue" w:cs="Microsoft New Tai Lue"/>
          <w:b/>
          <w:color w:val="auto"/>
          <w:sz w:val="24"/>
          <w:szCs w:val="24"/>
          <w:highlight w:val="none"/>
        </w:rPr>
      </w:pPr>
      <w:r>
        <w:rPr>
          <w:rFonts w:hint="eastAsia" w:ascii="Microsoft New Tai Lue" w:hAnsi="Microsoft New Tai Lue" w:cs="Microsoft New Tai Lue"/>
          <w:b/>
          <w:color w:val="auto"/>
          <w:sz w:val="24"/>
          <w:szCs w:val="24"/>
          <w:highlight w:val="none"/>
        </w:rPr>
      </w:r>
      <w:r/>
    </w:p>
    <w:p>
      <w:pPr>
        <w:pStyle w:val="985"/>
        <w:spacing w:before="0"/>
        <w:rPr>
          <w:rFonts w:ascii="Microsoft New Tai Lue" w:hAnsi="Microsoft New Tai Lue" w:cs="Microsoft New Tai Lue"/>
          <w:bCs w:val="0"/>
          <w:color w:val="auto"/>
          <w:sz w:val="24"/>
          <w:szCs w:val="24"/>
          <w:highlight w:val="none"/>
        </w:rPr>
      </w:pPr>
      <w:r/>
      <w:bookmarkStart w:id="348" w:name="_Toc100905295"/>
      <w:r/>
      <w:bookmarkStart w:id="349" w:name="_Toc104560924"/>
      <w:r/>
      <w:bookmarkStart w:id="350" w:name="_Toc103848607"/>
      <w:r/>
      <w:bookmarkStart w:id="351" w:name="_Toc107246307"/>
      <w:r>
        <w:rPr>
          <w:rFonts w:ascii="Microsoft New Tai Lue" w:hAnsi="Microsoft New Tai Lue" w:cs="Microsoft New Tai Lue"/>
          <w:bCs w:val="0"/>
          <w:color w:val="auto"/>
          <w:sz w:val="24"/>
          <w:szCs w:val="24"/>
          <w:highlight w:val="none"/>
        </w:rPr>
        <w:br w:type="page" w:clear="all"/>
      </w:r>
      <w:bookmarkStart w:id="352" w:name="_Toc27810"/>
      <w:r/>
      <w:bookmarkStart w:id="353" w:name="_Toc22255"/>
      <w:r/>
      <w:bookmarkStart w:id="354" w:name="_Toc17160"/>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2</w:t>
      </w:r>
      <w:r>
        <w:rPr>
          <w:rFonts w:ascii="Microsoft New Tai Lue" w:hAnsi="Microsoft New Tai Lue" w:cs="Microsoft New Tai Lue"/>
          <w:bCs w:val="0"/>
          <w:color w:val="auto"/>
          <w:sz w:val="24"/>
          <w:szCs w:val="24"/>
          <w:highlight w:val="none"/>
        </w:rPr>
        <w:t xml:space="preserve">）供应商认为需提供的其他</w:t>
      </w:r>
      <w:bookmarkEnd w:id="348"/>
      <w:r>
        <w:rPr>
          <w:rFonts w:ascii="Microsoft New Tai Lue" w:hAnsi="Microsoft New Tai Lue" w:cs="Microsoft New Tai Lue"/>
          <w:bCs w:val="0"/>
          <w:color w:val="auto"/>
          <w:sz w:val="24"/>
          <w:szCs w:val="24"/>
          <w:highlight w:val="none"/>
        </w:rPr>
        <w:t xml:space="preserve">文件或证明材料</w:t>
      </w:r>
      <w:bookmarkEnd w:id="349"/>
      <w:r/>
      <w:bookmarkEnd w:id="350"/>
      <w:r/>
      <w:bookmarkEnd w:id="351"/>
      <w:r/>
      <w:bookmarkEnd w:id="352"/>
      <w:r/>
      <w:bookmarkEnd w:id="353"/>
      <w:r/>
      <w:bookmarkEnd w:id="354"/>
      <w:r/>
      <w:r/>
    </w:p>
    <w:p>
      <w:pPr>
        <w:pStyle w:val="98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55" w:name="_Toc107246308"/>
      <w:r/>
      <w:bookmarkStart w:id="356" w:name="_Toc24628"/>
      <w:r/>
      <w:bookmarkStart w:id="357" w:name="_Toc104560925"/>
      <w:r/>
      <w:bookmarkStart w:id="358" w:name="_Toc103848608"/>
      <w:r/>
      <w:bookmarkStart w:id="359" w:name="_Toc14577"/>
      <w:r/>
      <w:bookmarkStart w:id="360" w:name="_Toc22849"/>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3</w:t>
      </w:r>
      <w:r>
        <w:rPr>
          <w:rFonts w:ascii="Microsoft New Tai Lue" w:hAnsi="Microsoft New Tai Lue" w:cs="Microsoft New Tai Lue"/>
          <w:bCs w:val="0"/>
          <w:color w:val="auto"/>
          <w:sz w:val="24"/>
          <w:szCs w:val="24"/>
          <w:highlight w:val="none"/>
        </w:rPr>
        <w:t xml:space="preserve">）要求供应商提交的其他文件材料或证明材料</w:t>
      </w:r>
      <w:bookmarkEnd w:id="355"/>
      <w:r/>
      <w:bookmarkEnd w:id="356"/>
      <w:r/>
      <w:bookmarkEnd w:id="357"/>
      <w:r/>
      <w:bookmarkEnd w:id="358"/>
      <w:r/>
      <w:bookmarkEnd w:id="359"/>
      <w:r/>
      <w:bookmarkEnd w:id="360"/>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10"/>
      <w:footerReference w:type="default" r:id="rId12"/>
      <w:footnotePr/>
      <w:endnotePr/>
      <w:type w:val="nextPage"/>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KNLe">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等线 Light">
    <w:panose1 w:val="02010600030101010101"/>
  </w:font>
  <w:font w:name="等线">
    <w:panose1 w:val="02010600030101010101"/>
  </w:font>
  <w:font w:name="仿宋">
    <w:panose1 w:val="02010609060101010101"/>
  </w:font>
  <w:font w:name="Courier New">
    <w:panose1 w:val="02070309020205020404"/>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pPr>
    <w:r/>
    <w:r/>
  </w:p>
  <w:p>
    <w:pPr>
      <w:pStyle w:val="9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75"/>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2026年补充耕地指标交易平台管理[含补充耕地项目监管]</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75"/>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2026年补充耕地指标交易平台管理[含补充耕地项目监管]</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rPr>
        <w:rFonts w:cs="Times New Roman"/>
      </w:rPr>
    </w:lvl>
    <w:lvl w:ilvl="3">
      <w:start w:val="0"/>
      <w:numFmt w:val="decimal"/>
      <w:isLgl w:val="false"/>
      <w:suff w:val="tab"/>
      <w:lvlText w:val=""/>
      <w:lvlJc w:val="left"/>
      <w:pPr>
        <w:tabs>
          <w:tab w:val="left" w:pos="360" w:leader="none"/>
        </w:tabs>
      </w:pPr>
      <w:rPr>
        <w:rFonts w:cs="Times New Roman"/>
      </w:rPr>
    </w:lvl>
    <w:lvl w:ilvl="4">
      <w:start w:val="0"/>
      <w:numFmt w:val="decimal"/>
      <w:pStyle w:val="1017"/>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next w:val="762"/>
    <w:link w:val="10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name w:val="Heading 1"/>
    <w:basedOn w:val="750"/>
    <w:next w:val="750"/>
    <w:link w:val="791"/>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792"/>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793"/>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794"/>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795"/>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796"/>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798"/>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799"/>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customStyle="1">
    <w:name w:val="正文文本1"/>
    <w:basedOn w:val="750"/>
    <w:next w:val="750"/>
    <w:link w:val="962"/>
    <w:uiPriority w:val="1"/>
    <w:qFormat/>
    <w:pPr>
      <w:spacing w:after="120"/>
    </w:pPr>
  </w:style>
  <w:style w:type="paragraph" w:styleId="763">
    <w:name w:val="toc 7"/>
    <w:basedOn w:val="750"/>
    <w:next w:val="750"/>
    <w:uiPriority w:val="39"/>
    <w:unhideWhenUsed/>
    <w:qFormat/>
    <w:pPr>
      <w:ind w:left="1701" w:right="0" w:firstLine="0"/>
      <w:spacing w:after="57"/>
    </w:pPr>
  </w:style>
  <w:style w:type="paragraph" w:styleId="764">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annotation text"/>
    <w:basedOn w:val="750"/>
    <w:uiPriority w:val="99"/>
    <w:semiHidden/>
    <w:unhideWhenUsed/>
    <w:qFormat/>
    <w:pPr>
      <w:jc w:val="left"/>
    </w:pPr>
  </w:style>
  <w:style w:type="paragraph" w:styleId="766">
    <w:name w:val="Body Text"/>
    <w:uiPriority w:val="1"/>
    <w:qFormat/>
    <w:pPr>
      <w:jc w:val="both"/>
      <w:spacing w:after="120"/>
      <w:widowControl w:val="off"/>
    </w:pPr>
    <w:rPr>
      <w:rFonts w:hint="default" w:ascii="Times New Roman" w:hAnsi="Times New Roman" w:eastAsia="宋体" w:cs="Times New Roman"/>
      <w:sz w:val="21"/>
      <w:szCs w:val="24"/>
      <w:lang w:eastAsia="zh-CN"/>
    </w:rPr>
  </w:style>
  <w:style w:type="paragraph" w:styleId="767">
    <w:name w:val="Body Text Indent"/>
    <w:next w:val="750"/>
    <w:uiPriority w:val="0"/>
    <w:qFormat/>
    <w:pPr>
      <w:ind w:firstLine="574"/>
      <w:jc w:val="both"/>
      <w:spacing w:line="312" w:lineRule="atLeast"/>
      <w:widowControl w:val="off"/>
    </w:pPr>
    <w:rPr>
      <w:rFonts w:hint="default" w:ascii="宋体" w:hAnsi="Times New Roman" w:eastAsia="宋体" w:cs="Times New Roman"/>
      <w:sz w:val="28"/>
      <w:szCs w:val="24"/>
      <w:lang w:eastAsia="zh-CN"/>
    </w:rPr>
  </w:style>
  <w:style w:type="paragraph" w:styleId="768">
    <w:name w:val="toc 5"/>
    <w:basedOn w:val="750"/>
    <w:next w:val="750"/>
    <w:uiPriority w:val="39"/>
    <w:unhideWhenUsed/>
    <w:qFormat/>
    <w:pPr>
      <w:ind w:left="1134" w:right="0" w:firstLine="0"/>
      <w:spacing w:after="57"/>
    </w:pPr>
  </w:style>
  <w:style w:type="paragraph" w:styleId="769">
    <w:name w:val="toc 3"/>
    <w:basedOn w:val="750"/>
    <w:next w:val="750"/>
    <w:uiPriority w:val="39"/>
    <w:unhideWhenUsed/>
    <w:qFormat/>
    <w:pPr>
      <w:ind w:left="567" w:right="0" w:firstLine="0"/>
      <w:spacing w:after="57"/>
    </w:pPr>
  </w:style>
  <w:style w:type="paragraph" w:styleId="770">
    <w:name w:val="Plain Text"/>
    <w:basedOn w:val="750"/>
    <w:link w:val="1012"/>
    <w:uiPriority w:val="0"/>
    <w:qFormat/>
    <w:pPr>
      <w:ind w:firstLine="200"/>
      <w:spacing w:line="360" w:lineRule="auto"/>
    </w:pPr>
    <w:rPr>
      <w:rFonts w:ascii="宋体" w:hAnsi="Courier New"/>
      <w:sz w:val="20"/>
      <w:szCs w:val="20"/>
    </w:rPr>
  </w:style>
  <w:style w:type="paragraph" w:styleId="771">
    <w:name w:val="toc 8"/>
    <w:basedOn w:val="750"/>
    <w:next w:val="750"/>
    <w:uiPriority w:val="39"/>
    <w:unhideWhenUsed/>
    <w:qFormat/>
    <w:pPr>
      <w:ind w:left="1984" w:right="0" w:firstLine="0"/>
      <w:spacing w:after="57"/>
    </w:pPr>
  </w:style>
  <w:style w:type="paragraph" w:styleId="772">
    <w:name w:val="endnote text"/>
    <w:basedOn w:val="750"/>
    <w:link w:val="936"/>
    <w:uiPriority w:val="99"/>
    <w:semiHidden/>
    <w:unhideWhenUsed/>
    <w:qFormat/>
    <w:pPr>
      <w:spacing w:after="0" w:line="240" w:lineRule="auto"/>
    </w:pPr>
    <w:rPr>
      <w:sz w:val="20"/>
    </w:rPr>
  </w:style>
  <w:style w:type="paragraph" w:styleId="773">
    <w:name w:val="Footer"/>
    <w:basedOn w:val="750"/>
    <w:link w:val="809"/>
    <w:uiPriority w:val="99"/>
    <w:unhideWhenUsed/>
    <w:qFormat/>
    <w:pPr>
      <w:spacing w:after="0" w:line="240" w:lineRule="auto"/>
      <w:tabs>
        <w:tab w:val="center" w:pos="7143" w:leader="none"/>
        <w:tab w:val="right" w:pos="14287" w:leader="none"/>
      </w:tabs>
    </w:pPr>
  </w:style>
  <w:style w:type="paragraph" w:styleId="774">
    <w:name w:val="Header"/>
    <w:basedOn w:val="750"/>
    <w:link w:val="807"/>
    <w:uiPriority w:val="99"/>
    <w:unhideWhenUsed/>
    <w:qFormat/>
    <w:pPr>
      <w:spacing w:after="0" w:line="240" w:lineRule="auto"/>
      <w:tabs>
        <w:tab w:val="center" w:pos="7143" w:leader="none"/>
        <w:tab w:val="right" w:pos="14287" w:leader="none"/>
      </w:tabs>
    </w:pPr>
  </w:style>
  <w:style w:type="paragraph" w:styleId="775">
    <w:name w:val="toc 1"/>
    <w:basedOn w:val="750"/>
    <w:next w:val="750"/>
    <w:uiPriority w:val="39"/>
    <w:unhideWhenUsed/>
    <w:qFormat/>
    <w:pPr>
      <w:ind w:left="0" w:right="0" w:firstLine="0"/>
      <w:spacing w:after="57"/>
    </w:pPr>
  </w:style>
  <w:style w:type="paragraph" w:styleId="776">
    <w:name w:val="toc 4"/>
    <w:basedOn w:val="750"/>
    <w:next w:val="750"/>
    <w:uiPriority w:val="39"/>
    <w:unhideWhenUsed/>
    <w:qFormat/>
    <w:pPr>
      <w:ind w:left="850" w:right="0" w:firstLine="0"/>
      <w:spacing w:after="57"/>
    </w:pPr>
  </w:style>
  <w:style w:type="paragraph" w:styleId="777">
    <w:name w:val="Subtitle"/>
    <w:basedOn w:val="750"/>
    <w:next w:val="750"/>
    <w:link w:val="802"/>
    <w:uiPriority w:val="11"/>
    <w:qFormat/>
    <w:pPr>
      <w:spacing w:before="200" w:after="200"/>
    </w:pPr>
    <w:rPr>
      <w:sz w:val="24"/>
      <w:szCs w:val="24"/>
    </w:rPr>
  </w:style>
  <w:style w:type="paragraph" w:styleId="778">
    <w:name w:val="footnote text"/>
    <w:basedOn w:val="750"/>
    <w:link w:val="935"/>
    <w:uiPriority w:val="99"/>
    <w:semiHidden/>
    <w:unhideWhenUsed/>
    <w:qFormat/>
    <w:pPr>
      <w:spacing w:after="40" w:line="240" w:lineRule="auto"/>
    </w:pPr>
    <w:rPr>
      <w:sz w:val="18"/>
    </w:rPr>
  </w:style>
  <w:style w:type="paragraph" w:styleId="779">
    <w:name w:val="toc 6"/>
    <w:basedOn w:val="750"/>
    <w:next w:val="750"/>
    <w:uiPriority w:val="39"/>
    <w:unhideWhenUsed/>
    <w:qFormat/>
    <w:pPr>
      <w:ind w:left="1417" w:right="0" w:firstLine="0"/>
      <w:spacing w:after="57"/>
    </w:pPr>
  </w:style>
  <w:style w:type="paragraph" w:styleId="780">
    <w:name w:val="table of figures"/>
    <w:basedOn w:val="750"/>
    <w:next w:val="750"/>
    <w:uiPriority w:val="99"/>
    <w:unhideWhenUsed/>
    <w:qFormat/>
    <w:pPr>
      <w:spacing w:after="0" w:afterAutospacing="0"/>
    </w:pPr>
  </w:style>
  <w:style w:type="paragraph" w:styleId="781">
    <w:name w:val="toc 2"/>
    <w:basedOn w:val="750"/>
    <w:next w:val="750"/>
    <w:uiPriority w:val="39"/>
    <w:unhideWhenUsed/>
    <w:qFormat/>
    <w:pPr>
      <w:ind w:left="283" w:right="0" w:firstLine="0"/>
      <w:spacing w:after="57"/>
    </w:pPr>
  </w:style>
  <w:style w:type="paragraph" w:styleId="782">
    <w:name w:val="toc 9"/>
    <w:basedOn w:val="750"/>
    <w:next w:val="750"/>
    <w:uiPriority w:val="39"/>
    <w:unhideWhenUsed/>
    <w:qFormat/>
    <w:pPr>
      <w:ind w:left="2268" w:right="0" w:firstLine="0"/>
      <w:spacing w:after="57"/>
    </w:pPr>
  </w:style>
  <w:style w:type="paragraph" w:styleId="783">
    <w:name w:val="Title"/>
    <w:basedOn w:val="750"/>
    <w:next w:val="750"/>
    <w:link w:val="801"/>
    <w:uiPriority w:val="10"/>
    <w:qFormat/>
    <w:pPr>
      <w:contextualSpacing/>
      <w:spacing w:before="300" w:after="200"/>
    </w:pPr>
    <w:rPr>
      <w:sz w:val="48"/>
      <w:szCs w:val="48"/>
    </w:rPr>
  </w:style>
  <w:style w:type="paragraph" w:styleId="784">
    <w:name w:val="Body Text First Indent 2"/>
    <w:uiPriority w:val="99"/>
    <w:qFormat/>
    <w:pPr>
      <w:ind w:left="0" w:firstLine="420"/>
      <w:jc w:val="both"/>
      <w:spacing w:after="0" w:line="360" w:lineRule="auto"/>
      <w:widowControl w:val="off"/>
    </w:pPr>
    <w:rPr>
      <w:rFonts w:hint="default" w:ascii="宋体" w:hAnsi="宋体" w:eastAsia="宋体" w:cs="Times New Roman"/>
      <w:sz w:val="20"/>
      <w:szCs w:val="20"/>
      <w:lang w:eastAsia="zh-CN"/>
    </w:rPr>
  </w:style>
  <w:style w:type="table" w:styleId="7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paragraph" w:styleId="789" w:customStyle="1">
    <w:name w:val="正文缩进11"/>
    <w:basedOn w:val="750"/>
    <w:uiPriority w:val="99"/>
    <w:qFormat/>
    <w:pPr>
      <w:ind w:firstLine="420"/>
    </w:pPr>
    <w:rPr>
      <w:szCs w:val="20"/>
    </w:rPr>
  </w:style>
  <w:style w:type="paragraph" w:styleId="790" w:customStyle="1">
    <w:name w:val="正文文本111"/>
    <w:basedOn w:val="750"/>
    <w:uiPriority w:val="1"/>
    <w:qFormat/>
    <w:pPr>
      <w:spacing w:after="120"/>
    </w:pPr>
  </w:style>
  <w:style w:type="character" w:styleId="791" w:customStyle="1">
    <w:name w:val="Heading 1 Char"/>
    <w:link w:val="751"/>
    <w:uiPriority w:val="9"/>
    <w:qFormat/>
    <w:rPr>
      <w:rFonts w:ascii="Arial" w:hAnsi="Arial" w:eastAsia="Arial" w:cs="Arial"/>
      <w:sz w:val="40"/>
      <w:szCs w:val="40"/>
    </w:rPr>
  </w:style>
  <w:style w:type="character" w:styleId="792" w:customStyle="1">
    <w:name w:val="Heading 2 Char"/>
    <w:link w:val="752"/>
    <w:uiPriority w:val="9"/>
    <w:qFormat/>
    <w:rPr>
      <w:rFonts w:ascii="Arial" w:hAnsi="Arial" w:eastAsia="Arial" w:cs="Arial"/>
      <w:sz w:val="34"/>
    </w:rPr>
  </w:style>
  <w:style w:type="character" w:styleId="793" w:customStyle="1">
    <w:name w:val="Heading 3 Char"/>
    <w:link w:val="753"/>
    <w:uiPriority w:val="9"/>
    <w:qFormat/>
    <w:rPr>
      <w:rFonts w:ascii="Arial" w:hAnsi="Arial" w:eastAsia="Arial" w:cs="Arial"/>
      <w:sz w:val="30"/>
      <w:szCs w:val="30"/>
    </w:rPr>
  </w:style>
  <w:style w:type="character" w:styleId="794" w:customStyle="1">
    <w:name w:val="Heading 4 Char"/>
    <w:link w:val="754"/>
    <w:uiPriority w:val="9"/>
    <w:qFormat/>
    <w:rPr>
      <w:rFonts w:ascii="Arial" w:hAnsi="Arial" w:eastAsia="Arial" w:cs="Arial"/>
      <w:b/>
      <w:bCs/>
      <w:sz w:val="26"/>
      <w:szCs w:val="26"/>
    </w:rPr>
  </w:style>
  <w:style w:type="character" w:styleId="795" w:customStyle="1">
    <w:name w:val="Heading 5 Char"/>
    <w:link w:val="755"/>
    <w:uiPriority w:val="9"/>
    <w:qFormat/>
    <w:rPr>
      <w:rFonts w:ascii="Arial" w:hAnsi="Arial" w:eastAsia="Arial" w:cs="Arial"/>
      <w:b/>
      <w:bCs/>
      <w:sz w:val="24"/>
      <w:szCs w:val="24"/>
    </w:rPr>
  </w:style>
  <w:style w:type="character" w:styleId="796" w:customStyle="1">
    <w:name w:val="Heading 6 Char"/>
    <w:link w:val="756"/>
    <w:uiPriority w:val="9"/>
    <w:qFormat/>
    <w:rPr>
      <w:rFonts w:ascii="Arial" w:hAnsi="Arial" w:eastAsia="Arial" w:cs="Arial"/>
      <w:b/>
      <w:bCs/>
      <w:sz w:val="22"/>
      <w:szCs w:val="22"/>
    </w:rPr>
  </w:style>
  <w:style w:type="character" w:styleId="797" w:customStyle="1">
    <w:name w:val="Heading 7 Char"/>
    <w:link w:val="757"/>
    <w:uiPriority w:val="9"/>
    <w:qFormat/>
    <w:rPr>
      <w:rFonts w:ascii="Arial" w:hAnsi="Arial" w:eastAsia="Arial" w:cs="Arial"/>
      <w:b/>
      <w:bCs/>
      <w:i/>
      <w:iCs/>
      <w:sz w:val="22"/>
      <w:szCs w:val="22"/>
    </w:rPr>
  </w:style>
  <w:style w:type="character" w:styleId="798" w:customStyle="1">
    <w:name w:val="Heading 8 Char"/>
    <w:link w:val="758"/>
    <w:uiPriority w:val="9"/>
    <w:qFormat/>
    <w:rPr>
      <w:rFonts w:ascii="Arial" w:hAnsi="Arial" w:eastAsia="Arial" w:cs="Arial"/>
      <w:i/>
      <w:iCs/>
      <w:sz w:val="22"/>
      <w:szCs w:val="22"/>
    </w:rPr>
  </w:style>
  <w:style w:type="character" w:styleId="799" w:customStyle="1">
    <w:name w:val="Heading 9 Char"/>
    <w:link w:val="759"/>
    <w:uiPriority w:val="9"/>
    <w:qFormat/>
    <w:rPr>
      <w:rFonts w:ascii="Arial" w:hAnsi="Arial" w:eastAsia="Arial" w:cs="Arial"/>
      <w:i/>
      <w:iCs/>
      <w:sz w:val="21"/>
      <w:szCs w:val="21"/>
    </w:rPr>
  </w:style>
  <w:style w:type="paragraph" w:styleId="800">
    <w:name w:val="No Spacing"/>
    <w:uiPriority w:val="1"/>
    <w:qFormat/>
    <w:pPr>
      <w:spacing w:before="0" w:after="0" w:line="240" w:lineRule="auto"/>
    </w:pPr>
    <w:rPr>
      <w:rFonts w:hint="default" w:ascii="Times New Roman" w:hAnsi="Times New Roman" w:eastAsia="宋体" w:cs="Times New Roman"/>
    </w:rPr>
  </w:style>
  <w:style w:type="character" w:styleId="801" w:customStyle="1">
    <w:name w:val="Title Char"/>
    <w:link w:val="783"/>
    <w:uiPriority w:val="10"/>
    <w:qFormat/>
    <w:rPr>
      <w:sz w:val="48"/>
      <w:szCs w:val="48"/>
    </w:rPr>
  </w:style>
  <w:style w:type="character" w:styleId="802" w:customStyle="1">
    <w:name w:val="Subtitle Char"/>
    <w:link w:val="777"/>
    <w:uiPriority w:val="11"/>
    <w:qFormat/>
    <w:rPr>
      <w:sz w:val="24"/>
      <w:szCs w:val="24"/>
    </w:rPr>
  </w:style>
  <w:style w:type="paragraph" w:styleId="803">
    <w:name w:val="Quote"/>
    <w:basedOn w:val="750"/>
    <w:next w:val="750"/>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50"/>
    <w:next w:val="750"/>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link w:val="774"/>
    <w:uiPriority w:val="99"/>
    <w:qFormat/>
  </w:style>
  <w:style w:type="character" w:styleId="808" w:customStyle="1">
    <w:name w:val="Footer Char"/>
    <w:link w:val="773"/>
    <w:uiPriority w:val="99"/>
    <w:qFormat/>
  </w:style>
  <w:style w:type="character" w:styleId="809" w:customStyle="1">
    <w:name w:val="Caption Char"/>
    <w:link w:val="773"/>
    <w:uiPriority w:val="99"/>
    <w:qFormat/>
  </w:style>
  <w:style w:type="table" w:styleId="8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Footnote Text Char"/>
    <w:link w:val="778"/>
    <w:uiPriority w:val="99"/>
    <w:qFormat/>
    <w:rPr>
      <w:sz w:val="18"/>
    </w:rPr>
  </w:style>
  <w:style w:type="character" w:styleId="936" w:customStyle="1">
    <w:name w:val="Endnote Text Char"/>
    <w:link w:val="772"/>
    <w:uiPriority w:val="99"/>
    <w:qFormat/>
    <w:rPr>
      <w:sz w:val="20"/>
    </w:rPr>
  </w:style>
  <w:style w:type="paragraph" w:styleId="937" w:customStyle="1">
    <w:name w:val="TOC Heading"/>
    <w:uiPriority w:val="39"/>
    <w:unhideWhenUsed/>
    <w:qFormat/>
    <w:rPr>
      <w:rFonts w:hint="default" w:ascii="Times New Roman" w:hAnsi="Times New Roman" w:eastAsia="宋体" w:cs="Times New Roman"/>
    </w:rPr>
  </w:style>
  <w:style w:type="paragraph" w:styleId="938" w:customStyle="1">
    <w:name w:val="标题 11"/>
    <w:basedOn w:val="750"/>
    <w:next w:val="750"/>
    <w:link w:val="948"/>
    <w:uiPriority w:val="0"/>
    <w:qFormat/>
    <w:pPr>
      <w:ind w:left="100" w:right="100"/>
      <w:keepLines/>
      <w:keepNext/>
      <w:spacing w:before="120" w:after="120"/>
      <w:outlineLvl w:val="0"/>
    </w:pPr>
    <w:rPr>
      <w:b/>
      <w:bCs/>
      <w:szCs w:val="44"/>
    </w:rPr>
  </w:style>
  <w:style w:type="paragraph" w:styleId="939" w:customStyle="1">
    <w:name w:val="标题 211"/>
    <w:basedOn w:val="750"/>
    <w:next w:val="750"/>
    <w:link w:val="949"/>
    <w:uiPriority w:val="0"/>
    <w:qFormat/>
    <w:pPr>
      <w:keepLines/>
      <w:keepNext/>
      <w:spacing w:before="260" w:after="260" w:line="416" w:lineRule="auto"/>
      <w:outlineLvl w:val="1"/>
    </w:pPr>
    <w:rPr>
      <w:rFonts w:ascii="等线 Light" w:hAnsi="等线 Light" w:eastAsia="等线 Light" w:cs="Times New Roman"/>
      <w:b/>
      <w:bCs/>
      <w:sz w:val="32"/>
      <w:szCs w:val="32"/>
    </w:rPr>
  </w:style>
  <w:style w:type="paragraph" w:styleId="940" w:customStyle="1">
    <w:name w:val="标题 31"/>
    <w:basedOn w:val="750"/>
    <w:next w:val="750"/>
    <w:link w:val="950"/>
    <w:uiPriority w:val="9"/>
    <w:qFormat/>
    <w:pPr>
      <w:keepLines/>
      <w:keepNext/>
      <w:spacing w:before="260" w:after="260" w:line="416" w:lineRule="auto"/>
      <w:outlineLvl w:val="2"/>
    </w:pPr>
    <w:rPr>
      <w:b/>
      <w:bCs/>
      <w:sz w:val="32"/>
      <w:szCs w:val="32"/>
    </w:rPr>
  </w:style>
  <w:style w:type="paragraph" w:styleId="941" w:customStyle="1">
    <w:name w:val="标题 41"/>
    <w:basedOn w:val="750"/>
    <w:next w:val="750"/>
    <w:link w:val="951"/>
    <w:uiPriority w:val="0"/>
    <w:qFormat/>
    <w:pPr>
      <w:keepLines/>
      <w:keepNext/>
      <w:spacing w:before="280" w:after="290" w:line="376" w:lineRule="auto"/>
      <w:outlineLvl w:val="3"/>
    </w:pPr>
    <w:rPr>
      <w:rFonts w:ascii="等线 Light" w:hAnsi="等线 Light" w:eastAsia="等线 Light" w:cs="Times New Roman"/>
      <w:b/>
      <w:bCs/>
      <w:sz w:val="28"/>
      <w:szCs w:val="28"/>
    </w:rPr>
  </w:style>
  <w:style w:type="paragraph" w:styleId="942" w:customStyle="1">
    <w:name w:val="标题 61"/>
    <w:basedOn w:val="750"/>
    <w:next w:val="750"/>
    <w:link w:val="952"/>
    <w:uiPriority w:val="0"/>
    <w:qFormat/>
    <w:pPr>
      <w:keepLines/>
      <w:keepNext/>
      <w:spacing w:before="240" w:after="64" w:line="320" w:lineRule="auto"/>
      <w:outlineLvl w:val="5"/>
    </w:pPr>
    <w:rPr>
      <w:rFonts w:ascii="等线 Light" w:hAnsi="等线 Light" w:eastAsia="等线 Light" w:cs="Times New Roman"/>
      <w:b/>
      <w:bCs/>
      <w:sz w:val="24"/>
    </w:rPr>
  </w:style>
  <w:style w:type="paragraph" w:styleId="943" w:customStyle="1">
    <w:name w:val="标题 81"/>
    <w:basedOn w:val="750"/>
    <w:next w:val="750"/>
    <w:link w:val="953"/>
    <w:uiPriority w:val="0"/>
    <w:qFormat/>
    <w:pPr>
      <w:keepLines/>
      <w:keepNext/>
      <w:spacing w:before="240" w:after="64" w:line="320" w:lineRule="auto"/>
      <w:outlineLvl w:val="7"/>
    </w:pPr>
    <w:rPr>
      <w:rFonts w:ascii="等线 Light" w:hAnsi="等线 Light" w:eastAsia="等线 Light" w:cs="Times New Roman"/>
      <w:sz w:val="24"/>
    </w:rPr>
  </w:style>
  <w:style w:type="character" w:styleId="944" w:customStyle="1">
    <w:name w:val="默认段落字体1"/>
    <w:link w:val="750"/>
    <w:uiPriority w:val="0"/>
    <w:semiHidden/>
    <w:qFormat/>
  </w:style>
  <w:style w:type="table" w:styleId="945"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46" w:customStyle="1">
    <w:name w:val="正文首行缩进 21"/>
    <w:basedOn w:val="947"/>
    <w:uiPriority w:val="0"/>
    <w:qFormat/>
    <w:pPr>
      <w:ind w:firstLine="420"/>
      <w:spacing w:line="360" w:lineRule="auto"/>
    </w:pPr>
    <w:rPr>
      <w:rFonts w:ascii="宋体" w:hAnsi="宋体" w:eastAsia="宋体"/>
      <w:sz w:val="21"/>
      <w:szCs w:val="20"/>
    </w:rPr>
  </w:style>
  <w:style w:type="paragraph" w:styleId="947" w:customStyle="1">
    <w:name w:val="正文文本缩进1"/>
    <w:basedOn w:val="750"/>
    <w:uiPriority w:val="0"/>
    <w:qFormat/>
    <w:pPr>
      <w:ind w:left="420"/>
      <w:spacing w:after="120"/>
    </w:pPr>
  </w:style>
  <w:style w:type="character" w:styleId="948" w:customStyle="1">
    <w:name w:val="标题 1 字符"/>
    <w:link w:val="938"/>
    <w:uiPriority w:val="0"/>
    <w:qFormat/>
    <w:rPr>
      <w:b/>
      <w:bCs/>
      <w:sz w:val="21"/>
      <w:szCs w:val="44"/>
    </w:rPr>
  </w:style>
  <w:style w:type="character" w:styleId="949" w:customStyle="1">
    <w:name w:val="标题 2 字符"/>
    <w:link w:val="939"/>
    <w:uiPriority w:val="0"/>
    <w:semiHidden/>
    <w:qFormat/>
    <w:rPr>
      <w:rFonts w:ascii="等线 Light" w:hAnsi="等线 Light" w:eastAsia="等线 Light" w:cs="Times New Roman"/>
      <w:b/>
      <w:bCs/>
      <w:sz w:val="32"/>
      <w:szCs w:val="32"/>
    </w:rPr>
  </w:style>
  <w:style w:type="character" w:styleId="950" w:customStyle="1">
    <w:name w:val="标题 3 字符"/>
    <w:link w:val="940"/>
    <w:uiPriority w:val="9"/>
    <w:qFormat/>
    <w:rPr>
      <w:rFonts w:eastAsia="宋体"/>
      <w:b/>
      <w:bCs/>
      <w:sz w:val="32"/>
      <w:szCs w:val="32"/>
      <w:lang w:val="en-US" w:eastAsia="zh-CN" w:bidi="ar-SA"/>
    </w:rPr>
  </w:style>
  <w:style w:type="character" w:styleId="951" w:customStyle="1">
    <w:name w:val="标题 4 字符"/>
    <w:link w:val="941"/>
    <w:uiPriority w:val="0"/>
    <w:semiHidden/>
    <w:qFormat/>
    <w:rPr>
      <w:rFonts w:ascii="等线 Light" w:hAnsi="等线 Light" w:eastAsia="等线 Light" w:cs="Times New Roman"/>
      <w:b/>
      <w:bCs/>
      <w:sz w:val="28"/>
      <w:szCs w:val="28"/>
    </w:rPr>
  </w:style>
  <w:style w:type="character" w:styleId="952" w:customStyle="1">
    <w:name w:val="标题 6 字符"/>
    <w:link w:val="942"/>
    <w:uiPriority w:val="0"/>
    <w:qFormat/>
    <w:rPr>
      <w:rFonts w:ascii="等线 Light" w:hAnsi="等线 Light" w:eastAsia="等线 Light" w:cs="Times New Roman"/>
      <w:b/>
      <w:bCs/>
      <w:sz w:val="24"/>
      <w:szCs w:val="24"/>
    </w:rPr>
  </w:style>
  <w:style w:type="character" w:styleId="953" w:customStyle="1">
    <w:name w:val="标题 8 字符"/>
    <w:link w:val="943"/>
    <w:uiPriority w:val="0"/>
    <w:semiHidden/>
    <w:qFormat/>
    <w:rPr>
      <w:rFonts w:ascii="等线 Light" w:hAnsi="等线 Light" w:eastAsia="等线 Light" w:cs="Times New Roman"/>
      <w:sz w:val="24"/>
      <w:szCs w:val="24"/>
    </w:rPr>
  </w:style>
  <w:style w:type="paragraph" w:styleId="954" w:customStyle="1">
    <w:name w:val="列表 31"/>
    <w:basedOn w:val="750"/>
    <w:uiPriority w:val="0"/>
    <w:qFormat/>
    <w:pPr>
      <w:contextualSpacing/>
      <w:ind w:left="100" w:hanging="200"/>
      <w:jc w:val="left"/>
      <w:widowControl/>
    </w:pPr>
    <w:rPr>
      <w:sz w:val="20"/>
      <w:szCs w:val="20"/>
    </w:rPr>
  </w:style>
  <w:style w:type="paragraph" w:styleId="955" w:customStyle="1">
    <w:name w:val="目录 71"/>
    <w:basedOn w:val="750"/>
    <w:next w:val="750"/>
    <w:uiPriority w:val="39"/>
    <w:unhideWhenUsed/>
    <w:qFormat/>
    <w:pPr>
      <w:ind w:left="2520"/>
    </w:pPr>
    <w:rPr>
      <w:rFonts w:ascii="等线" w:hAnsi="等线" w:eastAsia="等线" w:cs="Times New Roman"/>
      <w:szCs w:val="22"/>
    </w:rPr>
  </w:style>
  <w:style w:type="paragraph" w:styleId="956" w:customStyle="1">
    <w:name w:val="正文缩进111"/>
    <w:basedOn w:val="750"/>
    <w:link w:val="957"/>
    <w:uiPriority w:val="99"/>
    <w:qFormat/>
    <w:pPr>
      <w:ind w:firstLine="420"/>
    </w:pPr>
    <w:rPr>
      <w:szCs w:val="20"/>
    </w:rPr>
  </w:style>
  <w:style w:type="character" w:styleId="957" w:customStyle="1">
    <w:name w:val="正文缩进 字符"/>
    <w:link w:val="956"/>
    <w:uiPriority w:val="0"/>
    <w:qFormat/>
    <w:rPr>
      <w:sz w:val="21"/>
    </w:rPr>
  </w:style>
  <w:style w:type="paragraph" w:styleId="958" w:customStyle="1">
    <w:name w:val="文档结构图1"/>
    <w:basedOn w:val="750"/>
    <w:link w:val="959"/>
    <w:uiPriority w:val="0"/>
    <w:qFormat/>
    <w:pPr>
      <w:shd w:val="clear" w:color="auto" w:fill="000080"/>
    </w:pPr>
  </w:style>
  <w:style w:type="character" w:styleId="959" w:customStyle="1">
    <w:name w:val="文档结构图 字符"/>
    <w:link w:val="958"/>
    <w:uiPriority w:val="0"/>
    <w:qFormat/>
    <w:rPr>
      <w:sz w:val="21"/>
      <w:szCs w:val="24"/>
      <w:shd w:val="clear" w:color="auto" w:fill="000080"/>
    </w:rPr>
  </w:style>
  <w:style w:type="paragraph" w:styleId="960" w:customStyle="1">
    <w:name w:val="批注文字1"/>
    <w:basedOn w:val="750"/>
    <w:link w:val="961"/>
    <w:uiPriority w:val="0"/>
    <w:qFormat/>
    <w:pPr>
      <w:jc w:val="left"/>
    </w:pPr>
  </w:style>
  <w:style w:type="character" w:styleId="961" w:customStyle="1">
    <w:name w:val="批注文字 字符"/>
    <w:link w:val="960"/>
    <w:uiPriority w:val="0"/>
    <w:qFormat/>
    <w:rPr>
      <w:sz w:val="21"/>
      <w:szCs w:val="24"/>
    </w:rPr>
  </w:style>
  <w:style w:type="character" w:styleId="962" w:customStyle="1">
    <w:name w:val="正文文本 字符"/>
    <w:link w:val="762"/>
    <w:uiPriority w:val="1"/>
    <w:qFormat/>
    <w:rPr>
      <w:sz w:val="21"/>
      <w:szCs w:val="24"/>
    </w:rPr>
  </w:style>
  <w:style w:type="paragraph" w:styleId="963" w:customStyle="1">
    <w:name w:val="索引 411"/>
    <w:basedOn w:val="750"/>
    <w:next w:val="750"/>
    <w:uiPriority w:val="99"/>
    <w:unhideWhenUsed/>
    <w:qFormat/>
    <w:pPr>
      <w:ind w:left="600"/>
    </w:pPr>
    <w:rPr>
      <w:rFonts w:ascii="宋体"/>
      <w:b/>
      <w:position w:val="-10"/>
      <w:sz w:val="24"/>
      <w:szCs w:val="20"/>
    </w:rPr>
  </w:style>
  <w:style w:type="paragraph" w:styleId="964" w:customStyle="1">
    <w:name w:val="目录 51"/>
    <w:basedOn w:val="750"/>
    <w:next w:val="750"/>
    <w:uiPriority w:val="39"/>
    <w:unhideWhenUsed/>
    <w:qFormat/>
    <w:pPr>
      <w:ind w:left="1680"/>
    </w:pPr>
    <w:rPr>
      <w:rFonts w:ascii="等线" w:hAnsi="等线" w:eastAsia="等线" w:cs="Times New Roman"/>
      <w:szCs w:val="22"/>
    </w:rPr>
  </w:style>
  <w:style w:type="paragraph" w:styleId="965" w:customStyle="1">
    <w:name w:val="目录 31"/>
    <w:basedOn w:val="750"/>
    <w:next w:val="750"/>
    <w:uiPriority w:val="39"/>
    <w:unhideWhenUsed/>
    <w:qFormat/>
    <w:pPr>
      <w:ind w:left="440"/>
      <w:jc w:val="left"/>
      <w:spacing w:after="100" w:line="259" w:lineRule="auto"/>
      <w:widowControl/>
    </w:pPr>
    <w:rPr>
      <w:rFonts w:ascii="等线" w:hAnsi="等线" w:eastAsia="等线"/>
      <w:sz w:val="22"/>
      <w:szCs w:val="22"/>
    </w:rPr>
  </w:style>
  <w:style w:type="paragraph" w:styleId="966" w:customStyle="1">
    <w:name w:val="纯文本11"/>
    <w:basedOn w:val="750"/>
    <w:link w:val="967"/>
    <w:uiPriority w:val="0"/>
    <w:qFormat/>
    <w:rPr>
      <w:rFonts w:ascii="宋体" w:hAnsi="Courier New" w:cs="Courier New"/>
      <w:szCs w:val="21"/>
    </w:rPr>
  </w:style>
  <w:style w:type="character" w:styleId="967" w:customStyle="1">
    <w:name w:val="纯文本 字符"/>
    <w:link w:val="966"/>
    <w:uiPriority w:val="0"/>
    <w:qFormat/>
    <w:rPr>
      <w:rFonts w:ascii="宋体" w:hAnsi="Courier New" w:cs="Courier New"/>
      <w:sz w:val="21"/>
      <w:szCs w:val="21"/>
    </w:rPr>
  </w:style>
  <w:style w:type="paragraph" w:styleId="968" w:customStyle="1">
    <w:name w:val="目录 81"/>
    <w:basedOn w:val="750"/>
    <w:next w:val="750"/>
    <w:uiPriority w:val="39"/>
    <w:unhideWhenUsed/>
    <w:qFormat/>
    <w:pPr>
      <w:ind w:left="2940"/>
    </w:pPr>
    <w:rPr>
      <w:rFonts w:ascii="等线" w:hAnsi="等线" w:eastAsia="等线" w:cs="Times New Roman"/>
      <w:szCs w:val="22"/>
    </w:rPr>
  </w:style>
  <w:style w:type="paragraph" w:styleId="969" w:customStyle="1">
    <w:name w:val="日期1"/>
    <w:basedOn w:val="750"/>
    <w:next w:val="750"/>
    <w:link w:val="970"/>
    <w:uiPriority w:val="0"/>
    <w:qFormat/>
    <w:rPr>
      <w:sz w:val="24"/>
      <w:szCs w:val="20"/>
    </w:rPr>
  </w:style>
  <w:style w:type="character" w:styleId="970" w:customStyle="1">
    <w:name w:val="日期 字符"/>
    <w:link w:val="969"/>
    <w:uiPriority w:val="0"/>
    <w:qFormat/>
    <w:rPr>
      <w:sz w:val="24"/>
    </w:rPr>
  </w:style>
  <w:style w:type="paragraph" w:styleId="971" w:customStyle="1">
    <w:name w:val="批注框文本1"/>
    <w:basedOn w:val="750"/>
    <w:link w:val="972"/>
    <w:uiPriority w:val="0"/>
    <w:qFormat/>
    <w:rPr>
      <w:sz w:val="18"/>
      <w:szCs w:val="18"/>
    </w:rPr>
  </w:style>
  <w:style w:type="character" w:styleId="972" w:customStyle="1">
    <w:name w:val="批注框文本 字符"/>
    <w:link w:val="971"/>
    <w:uiPriority w:val="0"/>
    <w:qFormat/>
    <w:rPr>
      <w:sz w:val="18"/>
      <w:szCs w:val="18"/>
    </w:rPr>
  </w:style>
  <w:style w:type="paragraph" w:styleId="973" w:customStyle="1">
    <w:name w:val="页脚1"/>
    <w:basedOn w:val="750"/>
    <w:link w:val="974"/>
    <w:uiPriority w:val="0"/>
    <w:qFormat/>
    <w:pPr>
      <w:jc w:val="left"/>
      <w:tabs>
        <w:tab w:val="center" w:pos="4153" w:leader="none"/>
        <w:tab w:val="right" w:pos="8306" w:leader="none"/>
      </w:tabs>
    </w:pPr>
    <w:rPr>
      <w:sz w:val="18"/>
      <w:szCs w:val="18"/>
    </w:rPr>
  </w:style>
  <w:style w:type="character" w:styleId="974" w:customStyle="1">
    <w:name w:val="页脚 字符"/>
    <w:link w:val="973"/>
    <w:uiPriority w:val="99"/>
    <w:qFormat/>
    <w:rPr>
      <w:sz w:val="18"/>
      <w:szCs w:val="18"/>
    </w:rPr>
  </w:style>
  <w:style w:type="paragraph" w:styleId="975" w:customStyle="1">
    <w:name w:val="页眉1"/>
    <w:basedOn w:val="750"/>
    <w:link w:val="976"/>
    <w:uiPriority w:val="99"/>
    <w:qFormat/>
    <w:pPr>
      <w:jc w:val="center"/>
      <w:tabs>
        <w:tab w:val="center" w:pos="4153" w:leader="none"/>
        <w:tab w:val="right" w:pos="8306" w:leader="none"/>
      </w:tabs>
      <w:pBdr>
        <w:bottom w:val="single" w:color="000000" w:sz="6" w:space="1"/>
      </w:pBdr>
    </w:pPr>
    <w:rPr>
      <w:sz w:val="18"/>
      <w:szCs w:val="18"/>
    </w:rPr>
  </w:style>
  <w:style w:type="character" w:styleId="976" w:customStyle="1">
    <w:name w:val="页眉 字符"/>
    <w:link w:val="975"/>
    <w:uiPriority w:val="99"/>
    <w:qFormat/>
    <w:rPr>
      <w:sz w:val="18"/>
      <w:szCs w:val="18"/>
    </w:rPr>
  </w:style>
  <w:style w:type="paragraph" w:styleId="977" w:customStyle="1">
    <w:name w:val="目录 11"/>
    <w:basedOn w:val="750"/>
    <w:next w:val="750"/>
    <w:uiPriority w:val="39"/>
    <w:qFormat/>
    <w:rPr>
      <w:rFonts w:ascii="仿宋_GB2312" w:eastAsia="仿宋_GB2312"/>
      <w:sz w:val="24"/>
    </w:rPr>
  </w:style>
  <w:style w:type="paragraph" w:styleId="978" w:customStyle="1">
    <w:name w:val="目录 41"/>
    <w:basedOn w:val="750"/>
    <w:next w:val="750"/>
    <w:uiPriority w:val="39"/>
    <w:unhideWhenUsed/>
    <w:qFormat/>
    <w:pPr>
      <w:ind w:left="1260"/>
    </w:pPr>
    <w:rPr>
      <w:rFonts w:ascii="等线" w:hAnsi="等线" w:eastAsia="等线" w:cs="Times New Roman"/>
      <w:szCs w:val="22"/>
    </w:rPr>
  </w:style>
  <w:style w:type="paragraph" w:styleId="979" w:customStyle="1">
    <w:name w:val="目录 61"/>
    <w:basedOn w:val="750"/>
    <w:next w:val="750"/>
    <w:uiPriority w:val="39"/>
    <w:unhideWhenUsed/>
    <w:qFormat/>
    <w:pPr>
      <w:ind w:left="2100"/>
    </w:pPr>
    <w:rPr>
      <w:rFonts w:ascii="等线" w:hAnsi="等线" w:eastAsia="等线" w:cs="Times New Roman"/>
      <w:szCs w:val="22"/>
    </w:rPr>
  </w:style>
  <w:style w:type="paragraph" w:styleId="980" w:customStyle="1">
    <w:name w:val="目录 21"/>
    <w:basedOn w:val="750"/>
    <w:next w:val="750"/>
    <w:uiPriority w:val="39"/>
    <w:unhideWhenUsed/>
    <w:qFormat/>
    <w:pPr>
      <w:ind w:left="220"/>
      <w:jc w:val="left"/>
      <w:spacing w:after="100" w:line="259" w:lineRule="auto"/>
      <w:widowControl/>
    </w:pPr>
    <w:rPr>
      <w:rFonts w:ascii="等线" w:hAnsi="等线" w:eastAsia="等线"/>
      <w:sz w:val="22"/>
      <w:szCs w:val="22"/>
    </w:rPr>
  </w:style>
  <w:style w:type="paragraph" w:styleId="981" w:customStyle="1">
    <w:name w:val="目录 91"/>
    <w:basedOn w:val="750"/>
    <w:next w:val="750"/>
    <w:uiPriority w:val="39"/>
    <w:unhideWhenUsed/>
    <w:qFormat/>
    <w:pPr>
      <w:ind w:left="3360"/>
    </w:pPr>
    <w:rPr>
      <w:rFonts w:ascii="等线" w:hAnsi="等线" w:eastAsia="等线" w:cs="Times New Roman"/>
      <w:szCs w:val="22"/>
    </w:rPr>
  </w:style>
  <w:style w:type="paragraph" w:styleId="982" w:customStyle="1">
    <w:name w:val="正文文本 211"/>
    <w:basedOn w:val="750"/>
    <w:link w:val="983"/>
    <w:uiPriority w:val="0"/>
    <w:qFormat/>
    <w:pPr>
      <w:spacing w:after="120" w:line="480" w:lineRule="auto"/>
    </w:pPr>
    <w:rPr>
      <w:rFonts w:ascii="Calibri" w:hAnsi="Calibri" w:eastAsia="宋体" w:cs="Times New Roman"/>
    </w:rPr>
  </w:style>
  <w:style w:type="character" w:styleId="983" w:customStyle="1">
    <w:name w:val="正文文本 2 字符"/>
    <w:link w:val="982"/>
    <w:uiPriority w:val="0"/>
    <w:qFormat/>
    <w:rPr>
      <w:rFonts w:ascii="Calibri" w:hAnsi="Calibri"/>
      <w:sz w:val="21"/>
      <w:szCs w:val="24"/>
    </w:rPr>
  </w:style>
  <w:style w:type="paragraph" w:styleId="984" w:customStyle="1">
    <w:name w:val="普通(网站)1"/>
    <w:basedOn w:val="750"/>
    <w:uiPriority w:val="99"/>
    <w:qFormat/>
    <w:pPr>
      <w:jc w:val="left"/>
      <w:spacing w:before="100" w:beforeAutospacing="1" w:after="100" w:afterAutospacing="1"/>
      <w:widowControl/>
    </w:pPr>
    <w:rPr>
      <w:sz w:val="24"/>
    </w:rPr>
  </w:style>
  <w:style w:type="paragraph" w:styleId="985" w:customStyle="1">
    <w:name w:val="标题11"/>
    <w:basedOn w:val="750"/>
    <w:next w:val="750"/>
    <w:link w:val="986"/>
    <w:uiPriority w:val="0"/>
    <w:qFormat/>
    <w:pPr>
      <w:jc w:val="center"/>
      <w:spacing w:before="240" w:after="60"/>
      <w:outlineLvl w:val="0"/>
    </w:pPr>
    <w:rPr>
      <w:rFonts w:ascii="等线 Light" w:hAnsi="等线 Light" w:cs="Times New Roman"/>
      <w:b/>
      <w:bCs/>
      <w:sz w:val="32"/>
      <w:szCs w:val="32"/>
    </w:rPr>
  </w:style>
  <w:style w:type="character" w:styleId="986" w:customStyle="1">
    <w:name w:val="标题 字符"/>
    <w:link w:val="985"/>
    <w:uiPriority w:val="0"/>
    <w:qFormat/>
    <w:rPr>
      <w:rFonts w:ascii="等线 Light" w:hAnsi="等线 Light" w:cs="Times New Roman"/>
      <w:b/>
      <w:bCs/>
      <w:sz w:val="32"/>
      <w:szCs w:val="32"/>
    </w:rPr>
  </w:style>
  <w:style w:type="paragraph" w:styleId="987" w:customStyle="1">
    <w:name w:val="批注主题1"/>
    <w:basedOn w:val="960"/>
    <w:next w:val="960"/>
    <w:link w:val="988"/>
    <w:uiPriority w:val="0"/>
    <w:qFormat/>
    <w:rPr>
      <w:b/>
      <w:bCs/>
    </w:rPr>
  </w:style>
  <w:style w:type="character" w:styleId="988" w:customStyle="1">
    <w:name w:val="批注主题 字符"/>
    <w:link w:val="987"/>
    <w:uiPriority w:val="0"/>
    <w:qFormat/>
    <w:rPr>
      <w:b/>
      <w:bCs/>
      <w:sz w:val="21"/>
      <w:szCs w:val="24"/>
    </w:rPr>
  </w:style>
  <w:style w:type="table" w:styleId="989" w:customStyle="1">
    <w:name w:val="网格型1"/>
    <w:basedOn w:val="945"/>
    <w:uiPriority w:val="0"/>
    <w:qFormat/>
    <w:pPr>
      <w:jc w:val="both"/>
      <w:widowControl w:val="off"/>
    </w:pPr>
    <w:tblPr/>
  </w:style>
  <w:style w:type="character" w:styleId="990" w:customStyle="1">
    <w:name w:val="要点1"/>
    <w:link w:val="750"/>
    <w:uiPriority w:val="0"/>
    <w:qFormat/>
    <w:rPr>
      <w:b/>
      <w:bCs/>
    </w:rPr>
  </w:style>
  <w:style w:type="character" w:styleId="991" w:customStyle="1">
    <w:name w:val="页码1"/>
    <w:link w:val="750"/>
    <w:uiPriority w:val="0"/>
    <w:qFormat/>
  </w:style>
  <w:style w:type="character" w:styleId="992" w:customStyle="1">
    <w:name w:val="强调1"/>
    <w:link w:val="750"/>
    <w:uiPriority w:val="0"/>
    <w:qFormat/>
    <w:rPr>
      <w:i/>
      <w:iCs/>
    </w:rPr>
  </w:style>
  <w:style w:type="character" w:styleId="993" w:customStyle="1">
    <w:name w:val="超链接1"/>
    <w:link w:val="750"/>
    <w:uiPriority w:val="99"/>
    <w:qFormat/>
    <w:rPr>
      <w:color w:val="000000"/>
      <w:u w:val="none"/>
    </w:rPr>
  </w:style>
  <w:style w:type="character" w:styleId="994" w:customStyle="1">
    <w:name w:val="批注引用1"/>
    <w:link w:val="750"/>
    <w:uiPriority w:val="0"/>
    <w:qFormat/>
    <w:rPr>
      <w:sz w:val="21"/>
      <w:szCs w:val="21"/>
    </w:rPr>
  </w:style>
  <w:style w:type="character" w:styleId="995" w:customStyle="1">
    <w:name w:val="p0 Char"/>
    <w:link w:val="996"/>
    <w:uiPriority w:val="0"/>
    <w:qFormat/>
    <w:rPr>
      <w:rFonts w:eastAsia="宋体"/>
      <w:sz w:val="21"/>
      <w:szCs w:val="21"/>
      <w:lang w:val="en-US" w:eastAsia="zh-CN" w:bidi="ar-SA"/>
    </w:rPr>
  </w:style>
  <w:style w:type="paragraph" w:styleId="996" w:customStyle="1">
    <w:name w:val="p0"/>
    <w:basedOn w:val="750"/>
    <w:link w:val="995"/>
    <w:uiPriority w:val="0"/>
    <w:qFormat/>
    <w:pPr>
      <w:widowControl/>
    </w:pPr>
    <w:rPr>
      <w:szCs w:val="21"/>
    </w:rPr>
  </w:style>
  <w:style w:type="character" w:styleId="997" w:customStyle="1">
    <w:name w:val="标题 2 Char Char Char"/>
    <w:link w:val="750"/>
    <w:uiPriority w:val="0"/>
    <w:qFormat/>
    <w:rPr>
      <w:rFonts w:ascii="Arial" w:hAnsi="Arial" w:eastAsia="黑体"/>
      <w:b/>
      <w:bCs/>
      <w:sz w:val="32"/>
      <w:szCs w:val="32"/>
      <w:lang w:val="en-US" w:eastAsia="zh-CN" w:bidi="ar-SA"/>
    </w:rPr>
  </w:style>
  <w:style w:type="character" w:styleId="998" w:customStyle="1">
    <w:name w:val="NormalCharacter1"/>
    <w:link w:val="750"/>
    <w:uiPriority w:val="0"/>
    <w:semiHidden/>
    <w:qFormat/>
  </w:style>
  <w:style w:type="paragraph" w:styleId="999" w:customStyle="1">
    <w:name w:val="Heading21"/>
    <w:basedOn w:val="750"/>
    <w:next w:val="750"/>
    <w:uiPriority w:val="0"/>
    <w:qFormat/>
    <w:pPr>
      <w:jc w:val="center"/>
      <w:keepNext/>
      <w:widowControl/>
    </w:pPr>
    <w:rPr>
      <w:rFonts w:ascii="楷体_GB2312" w:eastAsia="楷体_GB2312"/>
      <w:sz w:val="18"/>
      <w:szCs w:val="20"/>
    </w:rPr>
  </w:style>
  <w:style w:type="paragraph" w:styleId="1000" w:customStyle="1">
    <w:name w:val="TOC 标题"/>
    <w:basedOn w:val="938"/>
    <w:next w:val="750"/>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01"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样式1"/>
    <w:basedOn w:val="938"/>
    <w:link w:val="1003"/>
    <w:uiPriority w:val="0"/>
    <w:qFormat/>
    <w:pPr>
      <w:ind w:left="210" w:right="210"/>
    </w:pPr>
  </w:style>
  <w:style w:type="character" w:styleId="1003" w:customStyle="1">
    <w:name w:val="样式1 字符"/>
    <w:link w:val="1002"/>
    <w:uiPriority w:val="0"/>
    <w:qFormat/>
  </w:style>
  <w:style w:type="paragraph" w:styleId="1004" w:customStyle="1">
    <w:name w:val="标题 21"/>
    <w:basedOn w:val="750"/>
    <w:next w:val="75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05" w:customStyle="1">
    <w:name w:val="列表段落"/>
    <w:basedOn w:val="750"/>
    <w:uiPriority w:val="1"/>
    <w:qFormat/>
    <w:pPr>
      <w:ind w:left="400" w:firstLine="420"/>
      <w:jc w:val="left"/>
    </w:pPr>
    <w:rPr>
      <w:rFonts w:ascii="宋体" w:hAnsi="宋体" w:cs="宋体"/>
      <w:sz w:val="22"/>
      <w:szCs w:val="22"/>
      <w:lang w:val="zh-CN" w:bidi="zh-CN"/>
    </w:rPr>
  </w:style>
  <w:style w:type="paragraph" w:styleId="1006" w:customStyle="1">
    <w:name w:val="Table Paragraph"/>
    <w:basedOn w:val="750"/>
    <w:uiPriority w:val="1"/>
    <w:qFormat/>
    <w:pPr>
      <w:jc w:val="left"/>
    </w:pPr>
    <w:rPr>
      <w:rFonts w:ascii="宋体" w:hAnsi="宋体" w:cs="宋体"/>
      <w:sz w:val="22"/>
      <w:szCs w:val="22"/>
      <w:lang w:val="zh-CN" w:bidi="zh-CN"/>
    </w:rPr>
  </w:style>
  <w:style w:type="character" w:styleId="1007" w:customStyle="1">
    <w:name w:val="ask-title2"/>
    <w:link w:val="750"/>
    <w:uiPriority w:val="0"/>
    <w:qFormat/>
  </w:style>
  <w:style w:type="paragraph" w:styleId="1008" w:customStyle="1">
    <w:name w:val="列出段落2"/>
    <w:basedOn w:val="750"/>
    <w:uiPriority w:val="99"/>
    <w:unhideWhenUsed/>
    <w:qFormat/>
    <w:pPr>
      <w:ind w:firstLine="420"/>
      <w:jc w:val="left"/>
    </w:pPr>
    <w:rPr>
      <w:rFonts w:ascii="宋体"/>
      <w:sz w:val="20"/>
      <w:szCs w:val="20"/>
    </w:rPr>
  </w:style>
  <w:style w:type="paragraph" w:styleId="1009" w:customStyle="1">
    <w:name w:val="纯文本1"/>
    <w:basedOn w:val="750"/>
    <w:uiPriority w:val="0"/>
    <w:qFormat/>
    <w:rPr>
      <w:rFonts w:ascii="宋体" w:hAnsi="Courier New"/>
      <w:sz w:val="20"/>
      <w:szCs w:val="21"/>
    </w:rPr>
  </w:style>
  <w:style w:type="character" w:styleId="1010" w:customStyle="1">
    <w:name w:val="纯文本 Char2"/>
    <w:link w:val="750"/>
    <w:uiPriority w:val="0"/>
    <w:qFormat/>
    <w:rPr>
      <w:rFonts w:ascii="宋体" w:hAnsi="Courier New"/>
      <w:sz w:val="21"/>
    </w:rPr>
  </w:style>
  <w:style w:type="paragraph" w:styleId="1011" w:customStyle="1">
    <w:name w:val="列出段落1"/>
    <w:basedOn w:val="750"/>
    <w:uiPriority w:val="0"/>
    <w:qFormat/>
    <w:pPr>
      <w:ind w:firstLine="420"/>
      <w:spacing w:line="0" w:lineRule="atLeast"/>
    </w:pPr>
    <w:rPr>
      <w:rFonts w:eastAsia="微软雅黑"/>
      <w:sz w:val="20"/>
      <w:szCs w:val="20"/>
    </w:rPr>
  </w:style>
  <w:style w:type="character" w:styleId="1012" w:customStyle="1">
    <w:name w:val="纯文本 Char"/>
    <w:link w:val="770"/>
    <w:uiPriority w:val="0"/>
    <w:qFormat/>
    <w:rPr>
      <w:rFonts w:ascii="宋体" w:hAnsi="Courier New"/>
    </w:rPr>
  </w:style>
  <w:style w:type="character" w:styleId="1013" w:customStyle="1">
    <w:name w:val="页脚 Char"/>
    <w:link w:val="750"/>
    <w:uiPriority w:val="0"/>
    <w:qFormat/>
    <w:rPr>
      <w:sz w:val="18"/>
      <w:szCs w:val="18"/>
    </w:rPr>
  </w:style>
  <w:style w:type="paragraph" w:styleId="1014" w:customStyle="1">
    <w:name w:val="_Style 83"/>
    <w:basedOn w:val="750"/>
    <w:next w:val="1005"/>
    <w:uiPriority w:val="99"/>
    <w:qFormat/>
    <w:pPr>
      <w:ind w:firstLine="420"/>
    </w:pPr>
  </w:style>
  <w:style w:type="character" w:styleId="1015" w:customStyle="1">
    <w:name w:val="正文2 Char Char"/>
    <w:link w:val="1016"/>
    <w:uiPriority w:val="0"/>
    <w:qFormat/>
    <w:rPr>
      <w:sz w:val="24"/>
    </w:rPr>
  </w:style>
  <w:style w:type="paragraph" w:styleId="1016" w:customStyle="1">
    <w:name w:val="正文2"/>
    <w:basedOn w:val="750"/>
    <w:link w:val="1015"/>
    <w:uiPriority w:val="0"/>
    <w:qFormat/>
    <w:pPr>
      <w:ind w:firstLine="510"/>
      <w:spacing w:before="156" w:line="360" w:lineRule="auto"/>
    </w:pPr>
    <w:rPr>
      <w:sz w:val="24"/>
      <w:szCs w:val="20"/>
    </w:rPr>
  </w:style>
  <w:style w:type="paragraph" w:styleId="1017" w:customStyle="1">
    <w:name w:val="标题 5（有编号）（绿盟科技）"/>
    <w:basedOn w:val="750"/>
    <w:next w:val="1018"/>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18"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19" w:customStyle="1">
    <w:name w:val="0正文"/>
    <w:basedOn w:val="750"/>
    <w:uiPriority w:val="0"/>
    <w:qFormat/>
    <w:pPr>
      <w:ind w:left="0" w:right="0" w:firstLine="200"/>
      <w:jc w:val="left"/>
      <w:keepLines w:val="0"/>
      <w:keepNext w:val="0"/>
      <w:spacing w:before="0" w:beforeAutospacing="0" w:after="0" w:afterAutospacing="0"/>
      <w:widowControl/>
      <w:suppressLineNumbers w:val="0"/>
    </w:pPr>
    <w:rPr>
      <w:rFonts w:ascii="Times New Roman" w:hAnsi="Times New Roman" w:eastAsia="宋体" w:cs="Times New Roman"/>
      <w:sz w:val="21"/>
      <w:szCs w:val="21"/>
      <w:lang w:val="en-US" w:eastAsia="zh-CN" w:bidi="ar"/>
    </w:rPr>
  </w:style>
  <w:style w:type="paragraph" w:styleId="1020" w:customStyle="1">
    <w:name w:val="msolistparagraph"/>
    <w:basedOn w:val="750"/>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table" w:styleId="1021" w:customStyle="1">
    <w:name w:val="Table Normal"/>
    <w:uiPriority w:val="0"/>
    <w:unhideWhenUsed/>
    <w:qFormat/>
    <w:rPr>
      <w:lang w:val="en-US" w:eastAsia="zh-CN" w:bidi="ar-SA"/>
    </w:rPr>
    <w:tblPr/>
  </w:style>
  <w:style w:type="paragraph" w:styleId="1022" w:customStyle="1">
    <w:name w:val="Table Text"/>
    <w:basedOn w:val="750"/>
    <w:uiPriority w:val="0"/>
    <w:semiHidden/>
    <w:qFormat/>
    <w:rPr>
      <w:rFonts w:ascii="Arial" w:hAnsi="Arial" w:eastAsia="Arial" w:cs="Arial"/>
      <w:sz w:val="21"/>
      <w:szCs w:val="21"/>
      <w:lang w:val="en-US" w:eastAsia="en-US" w:bidi="ar-SA"/>
    </w:rPr>
  </w:style>
  <w:style w:type="paragraph" w:styleId="1023" w:customStyle="1">
    <w:name w:val="样式4"/>
    <w:basedOn w:val="939"/>
    <w:uiPriority w:val="0"/>
    <w:qFormat/>
    <w:pPr>
      <w:ind w:left="478" w:right="100"/>
      <w:keepLines w:val="0"/>
      <w:keepNext w:val="0"/>
      <w:spacing w:before="123" w:after="0" w:line="360" w:lineRule="auto"/>
      <w:tabs>
        <w:tab w:val="left" w:pos="1760" w:leader="none"/>
      </w:tabs>
    </w:pPr>
    <w:rPr>
      <w:rFonts w:cs="宋体"/>
      <w:sz w:val="24"/>
      <w:lang w:val="ja-JP" w:eastAsia="ja-JP" w:bidi="ja-JP"/>
    </w:rPr>
  </w:style>
  <w:style w:type="paragraph" w:styleId="1024"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25">
    <w:name w:val="List Paragraph"/>
    <w:basedOn w:val="750"/>
    <w:next w:val="750"/>
    <w:uiPriority w:val="0"/>
    <w:qFormat/>
    <w:pPr>
      <w:ind w:firstLine="420"/>
    </w:pPr>
    <w:rPr>
      <w:rFonts w:ascii="Times New Roman" w:hAnsi="Times New Roman"/>
      <w:szCs w:val="21"/>
    </w:rPr>
  </w:style>
  <w:style w:type="paragraph" w:styleId="1026" w:customStyle="1">
    <w:name w:val="首行缩进"/>
    <w:basedOn w:val="1027"/>
    <w:uiPriority w:val="0"/>
    <w:qFormat/>
    <w:pPr>
      <w:ind w:firstLine="480"/>
      <w:jc w:val="left"/>
      <w:spacing w:line="360" w:lineRule="auto"/>
    </w:pPr>
    <w:rPr>
      <w:rFonts w:ascii="宋体" w:hAnsi="宋体" w:eastAsia="仿宋" w:cs="仿宋"/>
      <w:sz w:val="24"/>
      <w:lang w:val="zh-CN" w:bidi="zh-CN"/>
    </w:rPr>
  </w:style>
  <w:style w:type="paragraph" w:styleId="1027" w:customStyle="1">
    <w:name w:val="正文1"/>
    <w:next w:val="1026"/>
    <w:uiPriority w:val="0"/>
    <w:qFormat/>
    <w:pPr>
      <w:jc w:val="both"/>
      <w:widowControl w:val="off"/>
    </w:pPr>
    <w:rPr>
      <w:rFonts w:hint="default" w:ascii="Calibri" w:hAnsi="Calibri" w:eastAsia="宋体" w:cs="Times New Roman"/>
      <w:color w:val="000000"/>
      <w:sz w:val="21"/>
      <w:szCs w:val="24"/>
      <w:lang w:val="en-US" w:eastAsia="zh-CN" w:bidi="ar-SA"/>
    </w:rPr>
  </w:style>
  <w:style w:type="paragraph" w:styleId="1028" w:customStyle="1">
    <w:name w:val="正文缩进1"/>
    <w:basedOn w:val="750"/>
    <w:uiPriority w:val="0"/>
    <w:qFormat/>
    <w:pPr>
      <w:ind w:firstLine="420"/>
    </w:pPr>
    <w:rPr>
      <w:szCs w:val="20"/>
      <w:lang w:val="en-US"/>
    </w:rPr>
  </w:style>
  <w:style w:type="paragraph" w:styleId="1029" w:customStyle="1">
    <w:name w:val="标题1"/>
    <w:basedOn w:val="750"/>
    <w:next w:val="750"/>
    <w:uiPriority w:val="0"/>
    <w:qFormat/>
    <w:pPr>
      <w:jc w:val="center"/>
      <w:spacing w:before="240" w:after="60" w:line="360" w:lineRule="auto"/>
      <w:outlineLvl w:val="0"/>
    </w:pPr>
    <w:rPr>
      <w:rFonts w:ascii="等线 Light" w:hAnsi="等线 Light"/>
      <w:b/>
      <w:bCs/>
      <w:sz w:val="32"/>
      <w:szCs w:val="32"/>
    </w:rPr>
  </w:style>
  <w:style w:type="paragraph" w:styleId="1030" w:customStyle="1">
    <w:name w:val="纯文本2"/>
    <w:basedOn w:val="750"/>
    <w:uiPriority w:val="0"/>
    <w:qFormat/>
    <w:pPr>
      <w:ind w:firstLine="200"/>
      <w:spacing w:line="360" w:lineRule="auto"/>
    </w:pPr>
    <w:rPr>
      <w:rFonts w:ascii="宋体" w:hAnsi="Courier New"/>
      <w:sz w:val="20"/>
      <w:szCs w:val="20"/>
    </w:rPr>
  </w:style>
  <w:style w:type="paragraph" w:styleId="1031" w:customStyle="1">
    <w:name w:val="正文文本 21"/>
    <w:basedOn w:val="750"/>
    <w:uiPriority w:val="0"/>
    <w:qFormat/>
    <w:pPr>
      <w:spacing w:after="120" w:line="480" w:lineRule="auto"/>
    </w:pPr>
    <w:rPr>
      <w:rFonts w:ascii="Calibri" w:hAnsi="Calibri"/>
    </w:rPr>
  </w:style>
  <w:style w:type="paragraph" w:styleId="1032" w:customStyle="1">
    <w:name w:val="索引 41"/>
    <w:basedOn w:val="750"/>
    <w:next w:val="750"/>
    <w:uiPriority w:val="99"/>
    <w:unhideWhenUsed/>
    <w:qFormat/>
    <w:pPr>
      <w:ind w:left="600"/>
    </w:pPr>
    <w:rPr>
      <w:rFonts w:ascii="宋体"/>
      <w:b/>
      <w:position w:val="-10"/>
      <w:sz w:val="24"/>
      <w:szCs w:val="20"/>
    </w:rPr>
  </w:style>
  <w:style w:type="paragraph" w:styleId="1033" w:customStyle="1">
    <w:name w:val="null3"/>
    <w:uiPriority w:val="0"/>
    <w:qFormat/>
    <w:rPr>
      <w:rFonts w:hint="eastAsia" w:ascii="Calibri" w:hAnsi="Calibri" w:eastAsia="宋体" w:cs="Times New Roman"/>
      <w:lang w:val="en-US" w:eastAsia="en-US"/>
    </w:rPr>
  </w:style>
  <w:style w:type="character" w:styleId="1034" w:customStyle="1">
    <w:name w:val="rvts12"/>
    <w:uiPriority w:val="0"/>
    <w:qFormat/>
    <w:rPr>
      <w:sz w:val="21"/>
      <w:szCs w:val="24"/>
      <w:lang w:val="en-US" w:eastAsia="zh-CN" w:bidi="ar-SA"/>
    </w:rPr>
  </w:style>
  <w:style w:type="character" w:styleId="1035" w:customStyle="1">
    <w:name w:val="rvts10"/>
    <w:uiPriority w:val="0"/>
    <w:qFormat/>
    <w:rPr>
      <w:rFonts w:ascii="KNLe" w:hAnsi="KNLe"/>
    </w:rPr>
  </w:style>
  <w:style w:type="character" w:styleId="1036" w:customStyle="1">
    <w:name w:val="rvts13"/>
    <w:uiPriority w:val="0"/>
    <w:qFormat/>
    <w:rPr>
      <w:rFonts w:ascii="KNLe" w:hAnsi="KNLe"/>
      <w:color w:val="000000"/>
    </w:rPr>
  </w:style>
  <w:style w:type="character" w:styleId="1037" w:customStyle="1">
    <w:name w:val="rvts15"/>
    <w:uiPriority w:val="0"/>
    <w:qFormat/>
    <w:rPr>
      <w:rFonts w:ascii="KNLe" w:hAnsi="KNLe"/>
      <w:color w:val="0000ff"/>
      <w:u w:val="single"/>
    </w:rPr>
  </w:style>
  <w:style w:type="paragraph" w:styleId="1038" w:customStyle="1">
    <w:name w:val="文本块1"/>
    <w:next w:val="750"/>
    <w:uiPriority w:val="99"/>
    <w:unhideWhenUsed/>
    <w:qFormat/>
    <w:pPr>
      <w:ind w:left="1440" w:right="1440"/>
      <w:jc w:val="both"/>
      <w:spacing w:after="120"/>
      <w:widowControl w:val="off"/>
    </w:pPr>
    <w:rPr>
      <w:rFonts w:hint="default" w:ascii="Times New Roman" w:hAnsi="Times New Roman" w:eastAsia="宋体" w:cs="Times New Roman"/>
      <w:sz w:val="21"/>
      <w:szCs w:val="24"/>
      <w:lang w:eastAsia="zh-CN"/>
    </w:rPr>
  </w:style>
  <w:style w:type="character" w:styleId="1039">
    <w:name w:val="Placeholder Text"/>
    <w:basedOn w:val="760"/>
    <w:uiPriority w:val="99"/>
    <w:unhideWhenUsed/>
    <w:qFormat/>
    <w:rPr>
      <w:color w:val="808080"/>
    </w:rPr>
  </w:style>
  <w:style w:type="paragraph" w:styleId="1040" w:customStyle="1">
    <w:name w:val="纯文本111"/>
    <w:basedOn w:val="750"/>
    <w:uiPriority w:val="0"/>
    <w:qFormat/>
    <w:rPr>
      <w:rFonts w:ascii="宋体" w:hAnsi="Courier New"/>
      <w:szCs w:val="21"/>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15</cp:revision>
  <dcterms:created xsi:type="dcterms:W3CDTF">2024-06-18T06:04:00Z</dcterms:created>
  <dcterms:modified xsi:type="dcterms:W3CDTF">2026-08-06T01:34:02Z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eyJoZGlkIjoiZDJkOTgxMDBiZjk5ZWM3OGRmOWNkZWM4NzVkOTU5NWEiLCJ1c2VySWQiOiIxNTYwNDAxOTY1In0=</vt:lpwstr>
  </property>
  <property fmtid="{D5CDD505-2E9C-101B-9397-08002B2CF9AE}" pid="3" name="KSOProductBuildVer">
    <vt:lpwstr>2052-12.1.0.28043</vt:lpwstr>
  </property>
  <property fmtid="{D5CDD505-2E9C-101B-9397-08002B2CF9AE}" pid="4" name="ICV">
    <vt:lpwstr>60B265B6E72E42439AE9B59C7CD903A7_13</vt:lpwstr>
  </property>
</Properties>
</file>