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7DFE9C">
      <w:pPr>
        <w:spacing w:before="120" w:after="120" w:line="360" w:lineRule="auto"/>
        <w:jc w:val="left"/>
        <w:rPr>
          <w:rFonts w:ascii="Arial" w:hAnsi="Arial" w:eastAsia="黑体"/>
          <w:b/>
          <w:bCs/>
          <w:color w:val="auto"/>
          <w:sz w:val="84"/>
          <w:szCs w:val="24"/>
          <w:highlight w:val="none"/>
        </w:rPr>
      </w:pPr>
    </w:p>
    <w:p w14:paraId="10811541">
      <w:pPr>
        <w:spacing w:before="120" w:after="120" w:line="360" w:lineRule="auto"/>
        <w:jc w:val="center"/>
        <w:outlineLvl w:val="0"/>
        <w:rPr>
          <w:rFonts w:ascii="Arial" w:hAnsi="Arial" w:eastAsia="黑体"/>
          <w:b/>
          <w:bCs/>
          <w:color w:val="auto"/>
          <w:sz w:val="84"/>
          <w:szCs w:val="24"/>
          <w:highlight w:val="none"/>
        </w:rPr>
      </w:pPr>
      <w:bookmarkStart w:id="0" w:name="_Toc8880"/>
      <w:bookmarkStart w:id="1" w:name="_Toc19086"/>
      <w:r>
        <w:rPr>
          <w:rFonts w:hint="eastAsia" w:ascii="Arial" w:hAnsi="Arial" w:eastAsia="黑体"/>
          <w:b/>
          <w:bCs/>
          <w:color w:val="auto"/>
          <w:sz w:val="84"/>
          <w:szCs w:val="24"/>
          <w:highlight w:val="none"/>
        </w:rPr>
        <w:t>竞争性磋商文件</w:t>
      </w:r>
      <w:bookmarkEnd w:id="0"/>
      <w:bookmarkEnd w:id="1"/>
    </w:p>
    <w:p w14:paraId="4F981373">
      <w:pPr>
        <w:spacing w:before="120" w:after="120" w:line="360" w:lineRule="auto"/>
        <w:ind w:firstLine="1606"/>
        <w:jc w:val="left"/>
        <w:outlineLvl w:val="0"/>
        <w:rPr>
          <w:rFonts w:ascii="Arial" w:hAnsi="Arial"/>
          <w:b/>
          <w:bCs/>
          <w:color w:val="auto"/>
          <w:sz w:val="32"/>
          <w:szCs w:val="24"/>
          <w:highlight w:val="none"/>
        </w:rPr>
      </w:pPr>
      <w:bookmarkStart w:id="2" w:name="_Toc5249"/>
      <w:bookmarkStart w:id="3" w:name="_Toc4837"/>
    </w:p>
    <w:p w14:paraId="56A083D8">
      <w:pPr>
        <w:pStyle w:val="6"/>
        <w:rPr>
          <w:color w:val="auto"/>
          <w:highlight w:val="none"/>
        </w:rPr>
      </w:pPr>
    </w:p>
    <w:p w14:paraId="1F0E4B46">
      <w:pPr>
        <w:spacing w:before="120" w:after="120" w:line="360" w:lineRule="auto"/>
        <w:ind w:firstLine="1606"/>
        <w:jc w:val="left"/>
        <w:outlineLvl w:val="0"/>
        <w:rPr>
          <w:rFonts w:ascii="Arial" w:hAnsi="Arial"/>
          <w:b/>
          <w:bCs/>
          <w:color w:val="auto"/>
          <w:sz w:val="32"/>
          <w:szCs w:val="24"/>
          <w:highlight w:val="none"/>
        </w:rPr>
      </w:pPr>
    </w:p>
    <w:p w14:paraId="69F00DBC">
      <w:pPr>
        <w:spacing w:before="120" w:after="120" w:line="360" w:lineRule="auto"/>
        <w:jc w:val="center"/>
        <w:outlineLvl w:val="0"/>
        <w:rPr>
          <w:rFonts w:hint="eastAsia" w:ascii="Arial" w:hAnsi="Arial" w:eastAsia="宋体"/>
          <w:b/>
          <w:bCs/>
          <w:color w:val="auto"/>
          <w:sz w:val="32"/>
          <w:szCs w:val="24"/>
          <w:highlight w:val="none"/>
          <w:u w:val="single"/>
          <w:lang w:eastAsia="zh-CN"/>
        </w:rPr>
      </w:pPr>
      <w:r>
        <w:rPr>
          <w:rFonts w:hint="eastAsia" w:ascii="Arial" w:hAnsi="Arial"/>
          <w:b/>
          <w:bCs/>
          <w:color w:val="auto"/>
          <w:sz w:val="32"/>
          <w:szCs w:val="24"/>
          <w:highlight w:val="none"/>
          <w:lang w:val="en-US" w:eastAsia="zh-CN"/>
        </w:rPr>
        <w:t xml:space="preserve">   </w:t>
      </w:r>
      <w:r>
        <w:rPr>
          <w:rFonts w:hint="eastAsia" w:ascii="Arial" w:hAnsi="Arial"/>
          <w:b/>
          <w:bCs/>
          <w:color w:val="auto"/>
          <w:sz w:val="32"/>
          <w:szCs w:val="24"/>
          <w:highlight w:val="none"/>
        </w:rPr>
        <w:t>项目名称：</w:t>
      </w:r>
      <w:bookmarkEnd w:id="2"/>
      <w:bookmarkEnd w:id="3"/>
      <w:r>
        <w:rPr>
          <w:rFonts w:hint="eastAsia" w:ascii="Arial" w:hAnsi="Arial"/>
          <w:b/>
          <w:bCs/>
          <w:color w:val="auto"/>
          <w:sz w:val="32"/>
          <w:szCs w:val="24"/>
          <w:highlight w:val="none"/>
          <w:u w:val="single"/>
          <w:lang w:eastAsia="zh-CN"/>
        </w:rPr>
        <w:t>星甸街道2026年至2027年乡村道路养护项目</w:t>
      </w:r>
    </w:p>
    <w:p w14:paraId="6D4521B6">
      <w:pPr>
        <w:spacing w:before="120" w:after="120" w:line="360" w:lineRule="auto"/>
        <w:ind w:firstLine="964" w:firstLineChars="300"/>
        <w:rPr>
          <w:rFonts w:hint="eastAsia" w:ascii="Arial" w:hAnsi="Arial" w:eastAsia="宋体"/>
          <w:b/>
          <w:bCs/>
          <w:color w:val="auto"/>
          <w:sz w:val="32"/>
          <w:szCs w:val="24"/>
          <w:highlight w:val="none"/>
          <w:lang w:eastAsia="zh-CN"/>
        </w:rPr>
      </w:pPr>
      <w:r>
        <w:rPr>
          <w:rFonts w:hint="eastAsia" w:ascii="Arial" w:hAnsi="Arial"/>
          <w:b/>
          <w:bCs/>
          <w:color w:val="auto"/>
          <w:sz w:val="32"/>
          <w:szCs w:val="24"/>
          <w:highlight w:val="none"/>
        </w:rPr>
        <w:t>项目编号：</w:t>
      </w:r>
      <w:r>
        <w:rPr>
          <w:rFonts w:hint="eastAsia" w:ascii="Arial" w:hAnsi="Arial"/>
          <w:b/>
          <w:bCs/>
          <w:color w:val="auto"/>
          <w:sz w:val="32"/>
          <w:szCs w:val="24"/>
          <w:highlight w:val="none"/>
          <w:lang w:eastAsia="zh-CN"/>
        </w:rPr>
        <w:t>JSZC-320111-JZCG-C2026-0046</w:t>
      </w:r>
    </w:p>
    <w:p w14:paraId="0020784E">
      <w:pPr>
        <w:spacing w:before="120" w:after="120" w:line="360" w:lineRule="auto"/>
        <w:jc w:val="center"/>
        <w:outlineLvl w:val="0"/>
        <w:rPr>
          <w:rFonts w:hint="eastAsia" w:eastAsia="宋体"/>
          <w:b/>
          <w:color w:val="auto"/>
          <w:sz w:val="30"/>
          <w:szCs w:val="30"/>
          <w:highlight w:val="none"/>
          <w:lang w:eastAsia="zh-CN"/>
        </w:rPr>
      </w:pPr>
      <w:r>
        <w:rPr>
          <w:rFonts w:hint="eastAsia" w:ascii="Arial" w:hAnsi="Arial"/>
          <w:b/>
          <w:bCs/>
          <w:color w:val="auto"/>
          <w:sz w:val="32"/>
          <w:szCs w:val="24"/>
          <w:highlight w:val="none"/>
          <w:lang w:eastAsia="zh-CN"/>
        </w:rPr>
        <w:t>（专门面向中小企业）</w:t>
      </w:r>
    </w:p>
    <w:p w14:paraId="2520BAFF">
      <w:pPr>
        <w:spacing w:line="360" w:lineRule="auto"/>
        <w:jc w:val="left"/>
        <w:rPr>
          <w:rFonts w:ascii="宋体" w:hAnsi="宋体"/>
          <w:color w:val="auto"/>
          <w:sz w:val="24"/>
          <w:szCs w:val="24"/>
          <w:highlight w:val="none"/>
        </w:rPr>
      </w:pPr>
    </w:p>
    <w:p w14:paraId="5B826269">
      <w:pPr>
        <w:spacing w:line="360" w:lineRule="auto"/>
        <w:jc w:val="left"/>
        <w:rPr>
          <w:rFonts w:ascii="宋体" w:hAnsi="宋体"/>
          <w:color w:val="auto"/>
          <w:sz w:val="24"/>
          <w:szCs w:val="24"/>
          <w:highlight w:val="none"/>
        </w:rPr>
      </w:pPr>
    </w:p>
    <w:p w14:paraId="1AE6159A">
      <w:pPr>
        <w:spacing w:line="360" w:lineRule="auto"/>
        <w:jc w:val="left"/>
        <w:rPr>
          <w:rFonts w:ascii="宋体" w:hAnsi="宋体"/>
          <w:color w:val="auto"/>
          <w:sz w:val="24"/>
          <w:szCs w:val="24"/>
          <w:highlight w:val="none"/>
        </w:rPr>
      </w:pPr>
    </w:p>
    <w:p w14:paraId="2D7A24C7">
      <w:pPr>
        <w:spacing w:line="360" w:lineRule="auto"/>
        <w:jc w:val="left"/>
        <w:rPr>
          <w:rFonts w:ascii="宋体" w:hAnsi="宋体"/>
          <w:color w:val="auto"/>
          <w:sz w:val="24"/>
          <w:szCs w:val="24"/>
          <w:highlight w:val="none"/>
        </w:rPr>
      </w:pPr>
    </w:p>
    <w:p w14:paraId="6E701492">
      <w:pPr>
        <w:spacing w:line="360" w:lineRule="auto"/>
        <w:jc w:val="left"/>
        <w:rPr>
          <w:rFonts w:ascii="宋体" w:hAnsi="宋体"/>
          <w:color w:val="auto"/>
          <w:sz w:val="24"/>
          <w:szCs w:val="24"/>
          <w:highlight w:val="none"/>
        </w:rPr>
      </w:pPr>
    </w:p>
    <w:p w14:paraId="053E858E">
      <w:pPr>
        <w:spacing w:line="360" w:lineRule="auto"/>
        <w:jc w:val="left"/>
        <w:rPr>
          <w:rFonts w:ascii="宋体" w:hAnsi="宋体"/>
          <w:color w:val="auto"/>
          <w:sz w:val="24"/>
          <w:szCs w:val="24"/>
          <w:highlight w:val="none"/>
        </w:rPr>
      </w:pPr>
    </w:p>
    <w:p w14:paraId="642DE38E">
      <w:pPr>
        <w:spacing w:line="360" w:lineRule="auto"/>
        <w:jc w:val="left"/>
        <w:rPr>
          <w:rFonts w:ascii="宋体" w:hAnsi="宋体"/>
          <w:color w:val="auto"/>
          <w:sz w:val="24"/>
          <w:szCs w:val="24"/>
          <w:highlight w:val="none"/>
        </w:rPr>
      </w:pPr>
    </w:p>
    <w:p w14:paraId="5991995B">
      <w:pPr>
        <w:pStyle w:val="296"/>
        <w:ind w:firstLine="0"/>
        <w:jc w:val="center"/>
        <w:outlineLvl w:val="0"/>
        <w:rPr>
          <w:b/>
          <w:bCs/>
          <w:color w:val="auto"/>
          <w:sz w:val="32"/>
          <w:highlight w:val="none"/>
        </w:rPr>
      </w:pPr>
      <w:bookmarkStart w:id="4" w:name="_Toc3085"/>
      <w:bookmarkStart w:id="5" w:name="_Toc2405"/>
      <w:r>
        <w:rPr>
          <w:rFonts w:hint="eastAsia"/>
          <w:b/>
          <w:bCs/>
          <w:color w:val="auto"/>
          <w:sz w:val="32"/>
          <w:highlight w:val="none"/>
        </w:rPr>
        <w:t>南京市公共资源交易中心浦口分中心</w:t>
      </w:r>
      <w:bookmarkEnd w:id="4"/>
      <w:bookmarkEnd w:id="5"/>
    </w:p>
    <w:p w14:paraId="33DB13A6">
      <w:pPr>
        <w:pStyle w:val="296"/>
        <w:ind w:firstLine="0"/>
        <w:jc w:val="center"/>
        <w:rPr>
          <w:rFonts w:ascii="Times New Roman" w:hAnsi="Times New Roman"/>
          <w:b/>
          <w:bCs/>
          <w:color w:val="auto"/>
          <w:sz w:val="32"/>
          <w:highlight w:val="none"/>
        </w:rPr>
      </w:pPr>
      <w:r>
        <w:rPr>
          <w:rFonts w:hint="eastAsia" w:ascii="Times New Roman" w:hAnsi="Times New Roman"/>
          <w:b/>
          <w:bCs/>
          <w:color w:val="auto"/>
          <w:sz w:val="32"/>
          <w:highlight w:val="none"/>
          <w:u w:val="single"/>
        </w:rPr>
        <w:t xml:space="preserve"> 202</w:t>
      </w:r>
      <w:r>
        <w:rPr>
          <w:rFonts w:hint="eastAsia" w:ascii="Times New Roman" w:hAnsi="Times New Roman"/>
          <w:b/>
          <w:bCs/>
          <w:color w:val="auto"/>
          <w:sz w:val="32"/>
          <w:highlight w:val="none"/>
          <w:u w:val="single"/>
          <w:lang w:val="en-US" w:eastAsia="zh-CN"/>
        </w:rPr>
        <w:t>6</w:t>
      </w:r>
      <w:r>
        <w:rPr>
          <w:rFonts w:hint="eastAsia" w:ascii="Times New Roman" w:hAnsi="Times New Roman"/>
          <w:b/>
          <w:bCs/>
          <w:color w:val="auto"/>
          <w:sz w:val="32"/>
          <w:highlight w:val="none"/>
          <w:u w:val="single"/>
        </w:rPr>
        <w:t xml:space="preserve"> </w:t>
      </w:r>
      <w:r>
        <w:rPr>
          <w:rFonts w:hint="eastAsia"/>
          <w:b/>
          <w:bCs/>
          <w:color w:val="auto"/>
          <w:sz w:val="32"/>
          <w:highlight w:val="none"/>
        </w:rPr>
        <w:t>年</w:t>
      </w:r>
      <w:r>
        <w:rPr>
          <w:rFonts w:hint="eastAsia" w:ascii="Times New Roman" w:hAnsi="Times New Roman"/>
          <w:b/>
          <w:bCs/>
          <w:color w:val="auto"/>
          <w:sz w:val="32"/>
          <w:highlight w:val="none"/>
          <w:u w:val="single"/>
          <w:lang w:val="en-US" w:eastAsia="zh-CN"/>
        </w:rPr>
        <w:t>8</w:t>
      </w:r>
      <w:r>
        <w:rPr>
          <w:rFonts w:hint="eastAsia" w:ascii="Times New Roman" w:hAnsi="Times New Roman"/>
          <w:b/>
          <w:bCs/>
          <w:color w:val="auto"/>
          <w:sz w:val="32"/>
          <w:highlight w:val="none"/>
        </w:rPr>
        <w:t>月</w:t>
      </w:r>
    </w:p>
    <w:p w14:paraId="53F5FEF3">
      <w:pPr>
        <w:spacing w:before="120" w:after="120" w:line="360" w:lineRule="auto"/>
        <w:jc w:val="left"/>
        <w:rPr>
          <w:rFonts w:ascii="Arial" w:hAnsi="Arial"/>
          <w:color w:val="auto"/>
          <w:sz w:val="24"/>
          <w:szCs w:val="24"/>
          <w:highlight w:val="none"/>
          <w:u w:val="single"/>
        </w:rPr>
      </w:pPr>
    </w:p>
    <w:p w14:paraId="2F1C88F1">
      <w:pPr>
        <w:spacing w:line="480" w:lineRule="auto"/>
        <w:jc w:val="center"/>
        <w:outlineLvl w:val="0"/>
        <w:rPr>
          <w:rFonts w:ascii="黑体" w:hAnsi="Arial" w:eastAsia="黑体"/>
          <w:b/>
          <w:color w:val="auto"/>
          <w:sz w:val="44"/>
          <w:szCs w:val="21"/>
          <w:highlight w:val="none"/>
        </w:rPr>
      </w:pPr>
      <w:r>
        <w:rPr>
          <w:color w:val="auto"/>
          <w:szCs w:val="21"/>
          <w:highlight w:val="none"/>
        </w:rPr>
        <w:br w:type="page" w:clear="all"/>
      </w:r>
      <w:bookmarkStart w:id="6" w:name="_Toc20012"/>
      <w:bookmarkStart w:id="7" w:name="_Toc30723"/>
      <w:bookmarkStart w:id="8" w:name="_Toc120614210"/>
      <w:bookmarkStart w:id="9" w:name="_Toc20823272"/>
      <w:bookmarkStart w:id="10" w:name="_Toc513029200"/>
      <w:bookmarkStart w:id="11" w:name="_Toc16938516"/>
      <w:bookmarkStart w:id="12" w:name="_Toc479757206"/>
      <w:bookmarkStart w:id="13" w:name="_Toc523127445"/>
      <w:r>
        <w:rPr>
          <w:rFonts w:hint="eastAsia" w:ascii="黑体" w:hAnsi="Arial" w:eastAsia="黑体"/>
          <w:b/>
          <w:color w:val="auto"/>
          <w:sz w:val="44"/>
          <w:szCs w:val="21"/>
          <w:highlight w:val="none"/>
        </w:rPr>
        <w:t>总  目  录</w:t>
      </w:r>
      <w:bookmarkEnd w:id="6"/>
      <w:bookmarkEnd w:id="7"/>
    </w:p>
    <w:p w14:paraId="0323EEC1">
      <w:pPr>
        <w:spacing w:line="480" w:lineRule="auto"/>
        <w:rPr>
          <w:rFonts w:ascii="仿宋_GB2312" w:hAnsi="Arial" w:eastAsia="仿宋_GB2312"/>
          <w:b/>
          <w:color w:val="auto"/>
          <w:sz w:val="28"/>
          <w:szCs w:val="21"/>
          <w:highlight w:val="none"/>
        </w:rPr>
      </w:pPr>
    </w:p>
    <w:sdt>
      <w:sdtPr>
        <w:rPr>
          <w:rFonts w:ascii="宋体" w:hAnsi="宋体"/>
          <w:color w:val="auto"/>
          <w:highlight w:val="none"/>
        </w:rPr>
        <w:id w:val="147463156"/>
        <w:docPartObj>
          <w:docPartGallery w:val="Table of Contents"/>
          <w:docPartUnique/>
        </w:docPartObj>
      </w:sdtPr>
      <w:sdtEndPr>
        <w:rPr>
          <w:rFonts w:ascii="宋体" w:hAnsi="宋体"/>
          <w:color w:val="auto"/>
          <w:highlight w:val="none"/>
        </w:rPr>
      </w:sdtEndPr>
      <w:sdtContent>
        <w:p w14:paraId="16F40C41">
          <w:pPr>
            <w:jc w:val="center"/>
            <w:rPr>
              <w:color w:val="auto"/>
              <w:szCs w:val="21"/>
              <w:highlight w:val="none"/>
            </w:rPr>
          </w:pPr>
          <w:r>
            <w:rPr>
              <w:rFonts w:hint="eastAsia"/>
              <w:color w:val="auto"/>
              <w:szCs w:val="21"/>
              <w:highlight w:val="none"/>
            </w:rPr>
            <w:fldChar w:fldCharType="begin"/>
          </w:r>
          <w:r>
            <w:rPr>
              <w:rFonts w:hint="eastAsia"/>
              <w:color w:val="auto"/>
              <w:szCs w:val="21"/>
              <w:highlight w:val="none"/>
            </w:rPr>
            <w:instrText xml:space="preserve">TOC \o "1-1" \h \u </w:instrText>
          </w:r>
          <w:r>
            <w:rPr>
              <w:rFonts w:hint="eastAsia"/>
              <w:color w:val="auto"/>
              <w:szCs w:val="21"/>
              <w:highlight w:val="none"/>
            </w:rPr>
            <w:fldChar w:fldCharType="separate"/>
          </w:r>
        </w:p>
        <w:p w14:paraId="0AB48D0D">
          <w:pPr>
            <w:pStyle w:val="25"/>
            <w:tabs>
              <w:tab w:val="right" w:leader="dot" w:pos="9522"/>
            </w:tabs>
            <w:spacing w:line="360" w:lineRule="auto"/>
            <w:rPr>
              <w:color w:val="auto"/>
              <w:sz w:val="44"/>
              <w:szCs w:val="44"/>
              <w:highlight w:val="none"/>
            </w:rPr>
          </w:pPr>
          <w:r>
            <w:rPr>
              <w:color w:val="auto"/>
              <w:highlight w:val="none"/>
            </w:rPr>
            <w:fldChar w:fldCharType="begin"/>
          </w:r>
          <w:r>
            <w:rPr>
              <w:color w:val="auto"/>
              <w:highlight w:val="none"/>
            </w:rPr>
            <w:instrText xml:space="preserve"> HYPERLINK \l "_Toc9137" </w:instrText>
          </w:r>
          <w:r>
            <w:rPr>
              <w:color w:val="auto"/>
              <w:highlight w:val="none"/>
            </w:rPr>
            <w:fldChar w:fldCharType="separate"/>
          </w:r>
          <w:r>
            <w:rPr>
              <w:rFonts w:hint="eastAsia" w:ascii="黑体" w:hAnsi="黑体" w:eastAsia="黑体" w:cs="黑体"/>
              <w:color w:val="auto"/>
              <w:sz w:val="44"/>
              <w:szCs w:val="44"/>
              <w:highlight w:val="none"/>
            </w:rPr>
            <w:t>第一章  磋商邀请</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_Toc9137 \h </w:instrText>
          </w:r>
          <w:r>
            <w:rPr>
              <w:color w:val="auto"/>
              <w:sz w:val="44"/>
              <w:szCs w:val="44"/>
              <w:highlight w:val="none"/>
            </w:rPr>
            <w:fldChar w:fldCharType="separate"/>
          </w:r>
          <w:r>
            <w:rPr>
              <w:color w:val="auto"/>
              <w:sz w:val="44"/>
              <w:szCs w:val="44"/>
              <w:highlight w:val="none"/>
            </w:rPr>
            <w:t>3</w:t>
          </w:r>
          <w:r>
            <w:rPr>
              <w:color w:val="auto"/>
              <w:sz w:val="44"/>
              <w:szCs w:val="44"/>
              <w:highlight w:val="none"/>
            </w:rPr>
            <w:fldChar w:fldCharType="end"/>
          </w:r>
          <w:r>
            <w:rPr>
              <w:color w:val="auto"/>
              <w:sz w:val="44"/>
              <w:szCs w:val="44"/>
              <w:highlight w:val="none"/>
            </w:rPr>
            <w:fldChar w:fldCharType="end"/>
          </w:r>
        </w:p>
        <w:p w14:paraId="0A2A5902">
          <w:pPr>
            <w:pStyle w:val="25"/>
            <w:tabs>
              <w:tab w:val="right" w:leader="dot" w:pos="9522"/>
            </w:tabs>
            <w:spacing w:line="360" w:lineRule="auto"/>
            <w:rPr>
              <w:color w:val="auto"/>
              <w:sz w:val="44"/>
              <w:szCs w:val="44"/>
              <w:highlight w:val="none"/>
            </w:rPr>
          </w:pPr>
          <w:r>
            <w:rPr>
              <w:color w:val="auto"/>
              <w:highlight w:val="none"/>
            </w:rPr>
            <w:fldChar w:fldCharType="begin"/>
          </w:r>
          <w:r>
            <w:rPr>
              <w:color w:val="auto"/>
              <w:highlight w:val="none"/>
            </w:rPr>
            <w:instrText xml:space="preserve"> HYPERLINK \l "_Toc26819" </w:instrText>
          </w:r>
          <w:r>
            <w:rPr>
              <w:color w:val="auto"/>
              <w:highlight w:val="none"/>
            </w:rPr>
            <w:fldChar w:fldCharType="separate"/>
          </w:r>
          <w:r>
            <w:rPr>
              <w:rFonts w:hint="eastAsia" w:ascii="黑体" w:hAnsi="黑体" w:eastAsia="黑体" w:cs="黑体"/>
              <w:color w:val="auto"/>
              <w:sz w:val="44"/>
              <w:szCs w:val="44"/>
              <w:highlight w:val="none"/>
            </w:rPr>
            <w:t>第二章  供应商须知</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_Toc26819 \h </w:instrText>
          </w:r>
          <w:r>
            <w:rPr>
              <w:color w:val="auto"/>
              <w:sz w:val="44"/>
              <w:szCs w:val="44"/>
              <w:highlight w:val="none"/>
            </w:rPr>
            <w:fldChar w:fldCharType="separate"/>
          </w:r>
          <w:r>
            <w:rPr>
              <w:color w:val="auto"/>
              <w:sz w:val="44"/>
              <w:szCs w:val="44"/>
              <w:highlight w:val="none"/>
            </w:rPr>
            <w:t>7</w:t>
          </w:r>
          <w:r>
            <w:rPr>
              <w:color w:val="auto"/>
              <w:sz w:val="44"/>
              <w:szCs w:val="44"/>
              <w:highlight w:val="none"/>
            </w:rPr>
            <w:fldChar w:fldCharType="end"/>
          </w:r>
          <w:r>
            <w:rPr>
              <w:color w:val="auto"/>
              <w:sz w:val="44"/>
              <w:szCs w:val="44"/>
              <w:highlight w:val="none"/>
            </w:rPr>
            <w:fldChar w:fldCharType="end"/>
          </w:r>
        </w:p>
        <w:p w14:paraId="7C26A2EF">
          <w:pPr>
            <w:pStyle w:val="25"/>
            <w:tabs>
              <w:tab w:val="right" w:leader="dot" w:pos="9522"/>
            </w:tabs>
            <w:spacing w:line="360" w:lineRule="auto"/>
            <w:rPr>
              <w:color w:val="auto"/>
              <w:sz w:val="44"/>
              <w:szCs w:val="44"/>
              <w:highlight w:val="none"/>
            </w:rPr>
          </w:pPr>
          <w:r>
            <w:rPr>
              <w:color w:val="auto"/>
              <w:highlight w:val="none"/>
            </w:rPr>
            <w:fldChar w:fldCharType="begin"/>
          </w:r>
          <w:r>
            <w:rPr>
              <w:color w:val="auto"/>
              <w:highlight w:val="none"/>
            </w:rPr>
            <w:instrText xml:space="preserve"> HYPERLINK \l "_Toc29980" </w:instrText>
          </w:r>
          <w:r>
            <w:rPr>
              <w:color w:val="auto"/>
              <w:highlight w:val="none"/>
            </w:rPr>
            <w:fldChar w:fldCharType="separate"/>
          </w:r>
          <w:r>
            <w:rPr>
              <w:rFonts w:hint="eastAsia" w:ascii="黑体" w:hAnsi="黑体" w:eastAsia="黑体" w:cs="黑体"/>
              <w:color w:val="auto"/>
              <w:sz w:val="44"/>
              <w:szCs w:val="44"/>
              <w:highlight w:val="none"/>
            </w:rPr>
            <w:t>第三章  合同文本</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_Toc29980 \h </w:instrText>
          </w:r>
          <w:r>
            <w:rPr>
              <w:color w:val="auto"/>
              <w:sz w:val="44"/>
              <w:szCs w:val="44"/>
              <w:highlight w:val="none"/>
            </w:rPr>
            <w:fldChar w:fldCharType="separate"/>
          </w:r>
          <w:r>
            <w:rPr>
              <w:color w:val="auto"/>
              <w:sz w:val="44"/>
              <w:szCs w:val="44"/>
              <w:highlight w:val="none"/>
            </w:rPr>
            <w:t>18</w:t>
          </w:r>
          <w:r>
            <w:rPr>
              <w:color w:val="auto"/>
              <w:sz w:val="44"/>
              <w:szCs w:val="44"/>
              <w:highlight w:val="none"/>
            </w:rPr>
            <w:fldChar w:fldCharType="end"/>
          </w:r>
          <w:r>
            <w:rPr>
              <w:color w:val="auto"/>
              <w:sz w:val="44"/>
              <w:szCs w:val="44"/>
              <w:highlight w:val="none"/>
            </w:rPr>
            <w:fldChar w:fldCharType="end"/>
          </w:r>
        </w:p>
        <w:p w14:paraId="3CD7138B">
          <w:pPr>
            <w:pStyle w:val="25"/>
            <w:tabs>
              <w:tab w:val="right" w:leader="dot" w:pos="9522"/>
            </w:tabs>
            <w:spacing w:line="360" w:lineRule="auto"/>
            <w:rPr>
              <w:color w:val="auto"/>
              <w:sz w:val="44"/>
              <w:szCs w:val="44"/>
              <w:highlight w:val="none"/>
            </w:rPr>
          </w:pPr>
          <w:r>
            <w:rPr>
              <w:color w:val="auto"/>
              <w:highlight w:val="none"/>
            </w:rPr>
            <w:fldChar w:fldCharType="begin"/>
          </w:r>
          <w:r>
            <w:rPr>
              <w:color w:val="auto"/>
              <w:highlight w:val="none"/>
            </w:rPr>
            <w:instrText xml:space="preserve"> HYPERLINK \l "_Toc1812" </w:instrText>
          </w:r>
          <w:r>
            <w:rPr>
              <w:color w:val="auto"/>
              <w:highlight w:val="none"/>
            </w:rPr>
            <w:fldChar w:fldCharType="separate"/>
          </w:r>
          <w:r>
            <w:rPr>
              <w:rFonts w:hint="eastAsia" w:ascii="黑体" w:hAnsi="黑体" w:eastAsia="黑体" w:cs="黑体"/>
              <w:color w:val="auto"/>
              <w:sz w:val="44"/>
              <w:szCs w:val="44"/>
              <w:highlight w:val="none"/>
            </w:rPr>
            <w:t>第四章  采购需求</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_Toc1812 \h </w:instrText>
          </w:r>
          <w:r>
            <w:rPr>
              <w:color w:val="auto"/>
              <w:sz w:val="44"/>
              <w:szCs w:val="44"/>
              <w:highlight w:val="none"/>
            </w:rPr>
            <w:fldChar w:fldCharType="separate"/>
          </w:r>
          <w:r>
            <w:rPr>
              <w:color w:val="auto"/>
              <w:sz w:val="44"/>
              <w:szCs w:val="44"/>
              <w:highlight w:val="none"/>
            </w:rPr>
            <w:t>21</w:t>
          </w:r>
          <w:r>
            <w:rPr>
              <w:color w:val="auto"/>
              <w:sz w:val="44"/>
              <w:szCs w:val="44"/>
              <w:highlight w:val="none"/>
            </w:rPr>
            <w:fldChar w:fldCharType="end"/>
          </w:r>
          <w:r>
            <w:rPr>
              <w:color w:val="auto"/>
              <w:sz w:val="44"/>
              <w:szCs w:val="44"/>
              <w:highlight w:val="none"/>
            </w:rPr>
            <w:fldChar w:fldCharType="end"/>
          </w:r>
        </w:p>
        <w:p w14:paraId="02CD31A0">
          <w:pPr>
            <w:pStyle w:val="25"/>
            <w:tabs>
              <w:tab w:val="right" w:leader="dot" w:pos="9522"/>
            </w:tabs>
            <w:spacing w:line="360" w:lineRule="auto"/>
            <w:rPr>
              <w:color w:val="auto"/>
              <w:sz w:val="44"/>
              <w:szCs w:val="44"/>
              <w:highlight w:val="none"/>
            </w:rPr>
          </w:pPr>
          <w:r>
            <w:rPr>
              <w:color w:val="auto"/>
              <w:highlight w:val="none"/>
            </w:rPr>
            <w:fldChar w:fldCharType="begin"/>
          </w:r>
          <w:r>
            <w:rPr>
              <w:color w:val="auto"/>
              <w:highlight w:val="none"/>
            </w:rPr>
            <w:instrText xml:space="preserve"> HYPERLINK \l "_Toc8848" </w:instrText>
          </w:r>
          <w:r>
            <w:rPr>
              <w:color w:val="auto"/>
              <w:highlight w:val="none"/>
            </w:rPr>
            <w:fldChar w:fldCharType="separate"/>
          </w:r>
          <w:r>
            <w:rPr>
              <w:rFonts w:hint="eastAsia" w:ascii="黑体" w:hAnsi="黑体" w:eastAsia="黑体" w:cs="黑体"/>
              <w:color w:val="auto"/>
              <w:sz w:val="44"/>
              <w:szCs w:val="44"/>
              <w:highlight w:val="none"/>
            </w:rPr>
            <w:t>第五章  评审方法与评审标准</w:t>
          </w:r>
          <w:r>
            <w:rPr>
              <w:color w:val="auto"/>
              <w:sz w:val="44"/>
              <w:szCs w:val="44"/>
              <w:highlight w:val="none"/>
            </w:rPr>
            <w:tab/>
          </w:r>
          <w:r>
            <w:rPr>
              <w:color w:val="auto"/>
              <w:sz w:val="44"/>
              <w:szCs w:val="44"/>
              <w:highlight w:val="none"/>
            </w:rPr>
            <w:fldChar w:fldCharType="begin"/>
          </w:r>
          <w:r>
            <w:rPr>
              <w:color w:val="auto"/>
              <w:sz w:val="44"/>
              <w:szCs w:val="44"/>
              <w:highlight w:val="none"/>
            </w:rPr>
            <w:instrText xml:space="preserve"> PAGEREF _Toc8848 \h </w:instrText>
          </w:r>
          <w:r>
            <w:rPr>
              <w:color w:val="auto"/>
              <w:sz w:val="44"/>
              <w:szCs w:val="44"/>
              <w:highlight w:val="none"/>
            </w:rPr>
            <w:fldChar w:fldCharType="separate"/>
          </w:r>
          <w:r>
            <w:rPr>
              <w:color w:val="auto"/>
              <w:sz w:val="44"/>
              <w:szCs w:val="44"/>
              <w:highlight w:val="none"/>
            </w:rPr>
            <w:t>21</w:t>
          </w:r>
          <w:r>
            <w:rPr>
              <w:color w:val="auto"/>
              <w:sz w:val="44"/>
              <w:szCs w:val="44"/>
              <w:highlight w:val="none"/>
            </w:rPr>
            <w:fldChar w:fldCharType="end"/>
          </w:r>
          <w:r>
            <w:rPr>
              <w:color w:val="auto"/>
              <w:sz w:val="44"/>
              <w:szCs w:val="44"/>
              <w:highlight w:val="none"/>
            </w:rPr>
            <w:fldChar w:fldCharType="end"/>
          </w:r>
        </w:p>
        <w:p w14:paraId="34C18FB5">
          <w:pPr>
            <w:pStyle w:val="25"/>
            <w:tabs>
              <w:tab w:val="right" w:leader="dot" w:pos="9522"/>
            </w:tabs>
            <w:spacing w:line="360" w:lineRule="auto"/>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"_Toc1557" </w:instrText>
          </w:r>
          <w:r>
            <w:rPr>
              <w:color w:val="auto"/>
              <w:highlight w:val="none"/>
            </w:rPr>
            <w:fldChar w:fldCharType="separate"/>
          </w:r>
          <w:r>
            <w:rPr>
              <w:rFonts w:hint="eastAsia" w:ascii="黑体" w:hAnsi="黑体" w:eastAsia="黑体" w:cs="黑体"/>
              <w:color w:val="auto"/>
              <w:sz w:val="44"/>
              <w:szCs w:val="44"/>
              <w:highlight w:val="none"/>
            </w:rPr>
            <w:t>第六章  响应文件格式</w:t>
          </w:r>
          <w:r>
            <w:rPr>
              <w:color w:val="auto"/>
              <w:sz w:val="44"/>
              <w:szCs w:val="44"/>
              <w:highlight w:val="none"/>
            </w:rPr>
            <w:tab/>
          </w:r>
          <w:r>
            <w:rPr>
              <w:rFonts w:hint="eastAsia"/>
              <w:color w:val="auto"/>
              <w:sz w:val="44"/>
              <w:szCs w:val="44"/>
              <w:highlight w:val="none"/>
              <w:lang w:val="en-US" w:eastAsia="zh-CN"/>
            </w:rPr>
            <w:t>2</w:t>
          </w:r>
          <w:r>
            <w:rPr>
              <w:color w:val="auto"/>
              <w:sz w:val="44"/>
              <w:szCs w:val="44"/>
              <w:highlight w:val="none"/>
            </w:rPr>
            <w:fldChar w:fldCharType="end"/>
          </w:r>
          <w:r>
            <w:rPr>
              <w:rFonts w:hint="eastAsia"/>
              <w:color w:val="auto"/>
              <w:sz w:val="44"/>
              <w:szCs w:val="44"/>
              <w:highlight w:val="none"/>
              <w:lang w:val="en-US" w:eastAsia="zh-CN"/>
            </w:rPr>
            <w:t>9</w:t>
          </w:r>
        </w:p>
        <w:p w14:paraId="71B2A7DE">
          <w:pPr>
            <w:pStyle w:val="25"/>
            <w:tabs>
              <w:tab w:val="right" w:leader="dot" w:pos="9522"/>
            </w:tabs>
            <w:rPr>
              <w:color w:val="auto"/>
              <w:highlight w:val="none"/>
            </w:rPr>
          </w:pPr>
        </w:p>
        <w:p w14:paraId="6D68A353">
          <w:pPr>
            <w:jc w:val="center"/>
            <w:rPr>
              <w:color w:val="auto"/>
              <w:szCs w:val="21"/>
              <w:highlight w:val="none"/>
            </w:rPr>
          </w:pPr>
          <w:r>
            <w:rPr>
              <w:rFonts w:hint="eastAsia"/>
              <w:color w:val="auto"/>
              <w:szCs w:val="21"/>
              <w:highlight w:val="none"/>
            </w:rPr>
            <w:fldChar w:fldCharType="end"/>
          </w:r>
        </w:p>
      </w:sdtContent>
    </w:sdt>
    <w:p w14:paraId="3511FA87">
      <w:pPr>
        <w:rPr>
          <w:color w:val="auto"/>
          <w:szCs w:val="21"/>
          <w:highlight w:val="none"/>
        </w:rPr>
      </w:pPr>
    </w:p>
    <w:p w14:paraId="7C70CE0D">
      <w:pPr>
        <w:rPr>
          <w:color w:val="auto"/>
          <w:szCs w:val="21"/>
          <w:highlight w:val="none"/>
        </w:rPr>
      </w:pPr>
    </w:p>
    <w:p w14:paraId="37D6012F">
      <w:pPr>
        <w:rPr>
          <w:color w:val="auto"/>
          <w:szCs w:val="21"/>
          <w:highlight w:val="none"/>
        </w:rPr>
      </w:pPr>
    </w:p>
    <w:p w14:paraId="065EDCA9">
      <w:pPr>
        <w:rPr>
          <w:color w:val="auto"/>
          <w:szCs w:val="21"/>
          <w:highlight w:val="none"/>
        </w:rPr>
      </w:pPr>
    </w:p>
    <w:p w14:paraId="0AD0FE54">
      <w:pPr>
        <w:rPr>
          <w:color w:val="auto"/>
          <w:szCs w:val="21"/>
          <w:highlight w:val="none"/>
        </w:rPr>
      </w:pPr>
    </w:p>
    <w:p w14:paraId="234BB164">
      <w:pPr>
        <w:rPr>
          <w:color w:val="auto"/>
          <w:szCs w:val="21"/>
          <w:highlight w:val="none"/>
        </w:rPr>
      </w:pPr>
    </w:p>
    <w:p w14:paraId="5F7F27D5">
      <w:pPr>
        <w:rPr>
          <w:color w:val="auto"/>
          <w:szCs w:val="21"/>
          <w:highlight w:val="none"/>
        </w:rPr>
      </w:pPr>
    </w:p>
    <w:p w14:paraId="1BA8CCD1">
      <w:pPr>
        <w:rPr>
          <w:color w:val="auto"/>
          <w:szCs w:val="21"/>
          <w:highlight w:val="none"/>
        </w:rPr>
      </w:pPr>
    </w:p>
    <w:p w14:paraId="71561874">
      <w:pPr>
        <w:rPr>
          <w:color w:val="auto"/>
          <w:szCs w:val="21"/>
          <w:highlight w:val="none"/>
        </w:rPr>
      </w:pPr>
    </w:p>
    <w:p w14:paraId="1EC0550D">
      <w:pPr>
        <w:rPr>
          <w:color w:val="auto"/>
          <w:szCs w:val="21"/>
          <w:highlight w:val="none"/>
        </w:rPr>
      </w:pPr>
    </w:p>
    <w:p w14:paraId="135E6AAD">
      <w:pPr>
        <w:rPr>
          <w:color w:val="auto"/>
          <w:szCs w:val="21"/>
          <w:highlight w:val="none"/>
        </w:rPr>
      </w:pPr>
    </w:p>
    <w:p w14:paraId="0DB4D11D">
      <w:pPr>
        <w:rPr>
          <w:color w:val="auto"/>
          <w:szCs w:val="21"/>
          <w:highlight w:val="none"/>
        </w:rPr>
      </w:pPr>
    </w:p>
    <w:p w14:paraId="3EB630DF">
      <w:pPr>
        <w:rPr>
          <w:color w:val="auto"/>
          <w:szCs w:val="21"/>
          <w:highlight w:val="none"/>
        </w:rPr>
      </w:pPr>
    </w:p>
    <w:p w14:paraId="624901BB">
      <w:pPr>
        <w:rPr>
          <w:color w:val="auto"/>
          <w:szCs w:val="21"/>
          <w:highlight w:val="none"/>
        </w:rPr>
      </w:pPr>
    </w:p>
    <w:p w14:paraId="6B5F5EFB">
      <w:pPr>
        <w:rPr>
          <w:color w:val="auto"/>
          <w:szCs w:val="21"/>
          <w:highlight w:val="none"/>
        </w:rPr>
      </w:pPr>
    </w:p>
    <w:p w14:paraId="7B0C8B23">
      <w:pPr>
        <w:rPr>
          <w:color w:val="auto"/>
          <w:szCs w:val="21"/>
          <w:highlight w:val="none"/>
        </w:rPr>
      </w:pPr>
    </w:p>
    <w:p w14:paraId="3E1008F0">
      <w:pPr>
        <w:rPr>
          <w:color w:val="auto"/>
          <w:szCs w:val="21"/>
          <w:highlight w:val="none"/>
        </w:rPr>
      </w:pPr>
    </w:p>
    <w:p w14:paraId="398D1318">
      <w:pPr>
        <w:pStyle w:val="3"/>
        <w:jc w:val="center"/>
        <w:rPr>
          <w:rFonts w:ascii="黑体" w:hAnsi="黑体" w:eastAsia="黑体" w:cs="黑体"/>
          <w:color w:val="auto"/>
          <w:highlight w:val="none"/>
        </w:rPr>
        <w:sectPr>
          <w:pgSz w:w="12240" w:h="15840"/>
          <w:pgMar w:top="1346" w:right="1352" w:bottom="1191" w:left="1366" w:header="0" w:footer="0" w:gutter="0"/>
          <w:cols w:equalWidth="0" w:num="1">
            <w:col w:w="9522"/>
          </w:cols>
          <w:docGrid w:linePitch="360" w:charSpace="0"/>
        </w:sectPr>
      </w:pPr>
      <w:bookmarkStart w:id="14" w:name="_Toc9137"/>
    </w:p>
    <w:p w14:paraId="7EA1AA2B">
      <w:pPr>
        <w:pStyle w:val="3"/>
        <w:jc w:val="center"/>
        <w:rPr>
          <w:rFonts w:ascii="黑体" w:hAnsi="黑体" w:eastAsia="黑体" w:cs="黑体"/>
          <w:color w:val="auto"/>
          <w:highlight w:val="none"/>
        </w:rPr>
      </w:pPr>
      <w:r>
        <w:rPr>
          <w:rFonts w:hint="eastAsia" w:ascii="黑体" w:hAnsi="黑体" w:eastAsia="黑体" w:cs="黑体"/>
          <w:color w:val="auto"/>
          <w:highlight w:val="none"/>
        </w:rPr>
        <w:t xml:space="preserve">第一章  </w:t>
      </w:r>
      <w:bookmarkEnd w:id="8"/>
      <w:r>
        <w:rPr>
          <w:rFonts w:hint="eastAsia" w:ascii="黑体" w:hAnsi="黑体" w:eastAsia="黑体" w:cs="黑体"/>
          <w:color w:val="auto"/>
          <w:highlight w:val="none"/>
        </w:rPr>
        <w:t>磋商邀请</w:t>
      </w:r>
      <w:bookmarkEnd w:id="14"/>
    </w:p>
    <w:p w14:paraId="5EEB59D4">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受</w:t>
      </w:r>
      <w:r>
        <w:rPr>
          <w:rFonts w:hint="eastAsia" w:ascii="仿宋" w:hAnsi="仿宋" w:eastAsia="仿宋" w:cs="仿宋"/>
          <w:color w:val="auto"/>
          <w:sz w:val="24"/>
          <w:szCs w:val="24"/>
          <w:highlight w:val="none"/>
          <w:lang w:eastAsia="zh-CN"/>
        </w:rPr>
        <w:t>南京市浦口区人民政府星甸街道办事处</w:t>
      </w:r>
      <w:r>
        <w:rPr>
          <w:rFonts w:hint="eastAsia" w:ascii="仿宋" w:hAnsi="仿宋" w:eastAsia="仿宋" w:cs="仿宋"/>
          <w:color w:val="auto"/>
          <w:sz w:val="24"/>
          <w:szCs w:val="24"/>
          <w:highlight w:val="none"/>
        </w:rPr>
        <w:t>的委托，南京市公共资源交易中心浦口分中心就</w:t>
      </w:r>
      <w:r>
        <w:rPr>
          <w:rFonts w:hint="eastAsia" w:ascii="仿宋" w:hAnsi="仿宋" w:eastAsia="仿宋" w:cs="仿宋"/>
          <w:color w:val="auto"/>
          <w:sz w:val="24"/>
          <w:szCs w:val="24"/>
          <w:highlight w:val="none"/>
          <w:lang w:eastAsia="zh-CN"/>
        </w:rPr>
        <w:t>星甸街道2026年至2027年乡村道路养护项目</w:t>
      </w:r>
      <w:r>
        <w:rPr>
          <w:rFonts w:hint="eastAsia" w:ascii="仿宋" w:hAnsi="仿宋" w:eastAsia="仿宋" w:cs="仿宋"/>
          <w:color w:val="auto"/>
          <w:sz w:val="24"/>
          <w:szCs w:val="24"/>
          <w:highlight w:val="none"/>
        </w:rPr>
        <w:t>进行竞争性磋商采购，欢迎符合条件的供应商参加磋商。</w:t>
      </w:r>
    </w:p>
    <w:p w14:paraId="75F96A9F">
      <w:pPr>
        <w:pBdr>
          <w:top w:val="single" w:color="000000" w:sz="4" w:space="1"/>
          <w:left w:val="single" w:color="000000" w:sz="4" w:space="4"/>
          <w:bottom w:val="single" w:color="000000" w:sz="4" w:space="1"/>
          <w:right w:val="single" w:color="000000" w:sz="4" w:space="4"/>
        </w:pBd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项目概况</w:t>
      </w:r>
    </w:p>
    <w:p w14:paraId="1EB826B5">
      <w:pPr>
        <w:pBdr>
          <w:top w:val="single" w:color="000000" w:sz="4" w:space="1"/>
          <w:left w:val="single" w:color="000000" w:sz="4" w:space="4"/>
          <w:bottom w:val="single" w:color="000000" w:sz="4" w:space="1"/>
          <w:right w:val="single" w:color="000000" w:sz="4" w:space="4"/>
        </w:pBd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南京市浦口区人民政府星甸街道办事处</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u w:val="single"/>
          <w:lang w:eastAsia="zh-CN"/>
        </w:rPr>
        <w:t>星甸街道2026年至2027年乡村道路养护项目</w:t>
      </w:r>
      <w:r>
        <w:rPr>
          <w:rFonts w:hint="eastAsia" w:ascii="仿宋" w:hAnsi="仿宋" w:eastAsia="仿宋" w:cs="仿宋"/>
          <w:color w:val="auto"/>
          <w:sz w:val="24"/>
          <w:szCs w:val="24"/>
          <w:highlight w:val="none"/>
        </w:rPr>
        <w:t>竞争性磋商项目的潜在供应商可在</w:t>
      </w:r>
      <w:r>
        <w:rPr>
          <w:rFonts w:hint="eastAsia" w:ascii="仿宋" w:hAnsi="仿宋" w:eastAsia="仿宋" w:cs="仿宋"/>
          <w:color w:val="auto"/>
          <w:sz w:val="24"/>
          <w:szCs w:val="24"/>
          <w:highlight w:val="none"/>
          <w:u w:val="single"/>
        </w:rPr>
        <w:t>“江苏政府采购网”自行免费下载</w:t>
      </w:r>
      <w:r>
        <w:rPr>
          <w:rFonts w:hint="eastAsia" w:ascii="仿宋" w:hAnsi="仿宋" w:eastAsia="仿宋" w:cs="仿宋"/>
          <w:color w:val="auto"/>
          <w:sz w:val="24"/>
          <w:szCs w:val="24"/>
          <w:highlight w:val="none"/>
        </w:rPr>
        <w:t>磋商文件，并于</w:t>
      </w:r>
      <w:r>
        <w:rPr>
          <w:rFonts w:hint="eastAsia" w:ascii="仿宋" w:hAnsi="仿宋" w:eastAsia="仿宋" w:cs="仿宋"/>
          <w:bCs/>
          <w:color w:val="auto"/>
          <w:sz w:val="24"/>
          <w:szCs w:val="24"/>
          <w:highlight w:val="none"/>
          <w:u w:val="single"/>
        </w:rPr>
        <w:t>202</w:t>
      </w:r>
      <w:r>
        <w:rPr>
          <w:rFonts w:hint="eastAsia" w:ascii="仿宋" w:hAnsi="仿宋" w:eastAsia="仿宋" w:cs="仿宋"/>
          <w:bCs/>
          <w:color w:val="auto"/>
          <w:sz w:val="24"/>
          <w:szCs w:val="24"/>
          <w:highlight w:val="none"/>
          <w:u w:val="single"/>
          <w:lang w:val="en-US" w:eastAsia="zh-CN"/>
        </w:rPr>
        <w:t>6</w:t>
      </w:r>
      <w:r>
        <w:rPr>
          <w:rFonts w:hint="eastAsia" w:ascii="仿宋" w:hAnsi="仿宋" w:eastAsia="仿宋" w:cs="仿宋"/>
          <w:bCs/>
          <w:color w:val="auto"/>
          <w:sz w:val="24"/>
          <w:szCs w:val="24"/>
          <w:highlight w:val="none"/>
          <w:u w:val="single"/>
        </w:rPr>
        <w:t>年</w:t>
      </w:r>
      <w:r>
        <w:rPr>
          <w:rFonts w:hint="eastAsia" w:ascii="仿宋" w:hAnsi="仿宋" w:eastAsia="仿宋" w:cs="仿宋"/>
          <w:bCs/>
          <w:color w:val="auto"/>
          <w:sz w:val="24"/>
          <w:szCs w:val="24"/>
          <w:highlight w:val="none"/>
          <w:u w:val="single"/>
          <w:lang w:val="en-US" w:eastAsia="zh-CN"/>
        </w:rPr>
        <w:t xml:space="preserve"> 08 </w:t>
      </w:r>
      <w:r>
        <w:rPr>
          <w:rFonts w:hint="eastAsia" w:ascii="仿宋" w:hAnsi="仿宋" w:eastAsia="仿宋" w:cs="仿宋"/>
          <w:bCs/>
          <w:color w:val="auto"/>
          <w:sz w:val="24"/>
          <w:szCs w:val="24"/>
          <w:highlight w:val="none"/>
          <w:u w:val="single"/>
        </w:rPr>
        <w:t>月</w:t>
      </w:r>
      <w:r>
        <w:rPr>
          <w:rFonts w:hint="eastAsia" w:ascii="仿宋" w:hAnsi="仿宋" w:eastAsia="仿宋" w:cs="仿宋"/>
          <w:bCs/>
          <w:color w:val="auto"/>
          <w:sz w:val="24"/>
          <w:szCs w:val="24"/>
          <w:highlight w:val="none"/>
          <w:u w:val="single"/>
          <w:lang w:val="en-US" w:eastAsia="zh-CN"/>
        </w:rPr>
        <w:t xml:space="preserve"> 18</w:t>
      </w:r>
      <w:r>
        <w:rPr>
          <w:rFonts w:hint="eastAsia" w:ascii="仿宋" w:hAnsi="仿宋" w:eastAsia="仿宋" w:cs="仿宋"/>
          <w:bCs/>
          <w:color w:val="auto"/>
          <w:sz w:val="24"/>
          <w:szCs w:val="24"/>
          <w:highlight w:val="none"/>
          <w:u w:val="single"/>
        </w:rPr>
        <w:t>日9点30分（</w:t>
      </w:r>
      <w:r>
        <w:rPr>
          <w:rFonts w:hint="eastAsia" w:ascii="仿宋" w:hAnsi="仿宋" w:eastAsia="仿宋" w:cs="仿宋"/>
          <w:bCs/>
          <w:color w:val="auto"/>
          <w:sz w:val="24"/>
          <w:szCs w:val="24"/>
          <w:highlight w:val="none"/>
        </w:rPr>
        <w:t>北京时间）前递交响应文件</w:t>
      </w:r>
      <w:r>
        <w:rPr>
          <w:rFonts w:hint="eastAsia" w:ascii="仿宋" w:hAnsi="仿宋" w:eastAsia="仿宋" w:cs="仿宋"/>
          <w:color w:val="auto"/>
          <w:sz w:val="24"/>
          <w:szCs w:val="24"/>
          <w:highlight w:val="none"/>
        </w:rPr>
        <w:t>。</w:t>
      </w:r>
    </w:p>
    <w:p w14:paraId="3FCB0C89">
      <w:pPr>
        <w:keepNext/>
        <w:keepLines/>
        <w:spacing w:line="360" w:lineRule="auto"/>
        <w:ind w:firstLine="482"/>
        <w:outlineLvl w:val="2"/>
        <w:rPr>
          <w:rFonts w:ascii="仿宋" w:hAnsi="仿宋" w:eastAsia="仿宋" w:cs="仿宋"/>
          <w:b/>
          <w:bCs/>
          <w:color w:val="auto"/>
          <w:sz w:val="24"/>
          <w:szCs w:val="24"/>
          <w:highlight w:val="none"/>
        </w:rPr>
      </w:pPr>
      <w:bookmarkStart w:id="15" w:name="_Toc35393621"/>
      <w:bookmarkStart w:id="16" w:name="_Toc35393790"/>
      <w:bookmarkStart w:id="17" w:name="_Toc28359079"/>
      <w:bookmarkStart w:id="18" w:name="_Toc28359002"/>
      <w:bookmarkStart w:id="19" w:name="_Toc38985263"/>
      <w:bookmarkStart w:id="20" w:name="_Hlk24379207"/>
      <w:r>
        <w:rPr>
          <w:rFonts w:hint="eastAsia" w:ascii="仿宋" w:hAnsi="仿宋" w:eastAsia="仿宋" w:cs="仿宋"/>
          <w:b/>
          <w:bCs/>
          <w:color w:val="auto"/>
          <w:sz w:val="24"/>
          <w:szCs w:val="24"/>
          <w:highlight w:val="none"/>
        </w:rPr>
        <w:t>一、项目基本情况</w:t>
      </w:r>
      <w:bookmarkEnd w:id="15"/>
      <w:bookmarkEnd w:id="16"/>
      <w:bookmarkEnd w:id="17"/>
      <w:bookmarkEnd w:id="18"/>
      <w:bookmarkEnd w:id="19"/>
    </w:p>
    <w:p w14:paraId="06DD1CB2">
      <w:pPr>
        <w:spacing w:line="360" w:lineRule="auto"/>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1.项目编号：</w:t>
      </w:r>
      <w:r>
        <w:rPr>
          <w:rFonts w:hint="eastAsia" w:ascii="仿宋" w:hAnsi="仿宋" w:eastAsia="仿宋" w:cs="仿宋"/>
          <w:color w:val="auto"/>
          <w:sz w:val="24"/>
          <w:szCs w:val="24"/>
          <w:highlight w:val="none"/>
          <w:lang w:eastAsia="zh-CN"/>
        </w:rPr>
        <w:t>JSZC-320111-JZCG-C2026-0046</w:t>
      </w:r>
    </w:p>
    <w:p w14:paraId="5CD4DD61">
      <w:pPr>
        <w:spacing w:line="360" w:lineRule="auto"/>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2.项目名称：</w:t>
      </w:r>
      <w:bookmarkEnd w:id="20"/>
      <w:r>
        <w:rPr>
          <w:rFonts w:hint="eastAsia" w:ascii="仿宋" w:hAnsi="仿宋" w:eastAsia="仿宋" w:cs="仿宋"/>
          <w:color w:val="auto"/>
          <w:sz w:val="24"/>
          <w:szCs w:val="24"/>
          <w:highlight w:val="none"/>
          <w:lang w:eastAsia="zh-CN"/>
        </w:rPr>
        <w:t>星甸街道2026年至2027年乡村道路养护项目</w:t>
      </w:r>
    </w:p>
    <w:p w14:paraId="248514C3">
      <w:pPr>
        <w:spacing w:line="360" w:lineRule="auto"/>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3.预算金额：</w:t>
      </w:r>
      <w:r>
        <w:rPr>
          <w:rFonts w:hint="eastAsia" w:ascii="仿宋" w:hAnsi="仿宋" w:eastAsia="仿宋" w:cs="仿宋"/>
          <w:color w:val="auto"/>
          <w:sz w:val="24"/>
          <w:szCs w:val="24"/>
          <w:highlight w:val="none"/>
          <w:lang w:val="en-US" w:eastAsia="zh-CN"/>
        </w:rPr>
        <w:t xml:space="preserve"> 120</w:t>
      </w:r>
      <w:r>
        <w:rPr>
          <w:rFonts w:hint="eastAsia" w:ascii="仿宋" w:hAnsi="仿宋" w:eastAsia="仿宋" w:cs="仿宋"/>
          <w:color w:val="auto"/>
          <w:sz w:val="24"/>
          <w:szCs w:val="24"/>
          <w:highlight w:val="none"/>
        </w:rPr>
        <w:t>万元</w:t>
      </w:r>
    </w:p>
    <w:p w14:paraId="4D53125F">
      <w:pPr>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4.本项目</w:t>
      </w:r>
      <w:r>
        <w:rPr>
          <w:rFonts w:hint="eastAsia" w:ascii="仿宋" w:hAnsi="仿宋" w:eastAsia="仿宋" w:cs="仿宋"/>
          <w:color w:val="auto"/>
          <w:sz w:val="24"/>
          <w:szCs w:val="24"/>
          <w:highlight w:val="none"/>
          <w:u w:val="single"/>
        </w:rPr>
        <w:t> 设定 </w:t>
      </w:r>
      <w:r>
        <w:rPr>
          <w:rFonts w:hint="eastAsia" w:ascii="仿宋" w:hAnsi="仿宋" w:eastAsia="仿宋" w:cs="仿宋"/>
          <w:color w:val="auto"/>
          <w:sz w:val="24"/>
          <w:szCs w:val="24"/>
          <w:highlight w:val="none"/>
        </w:rPr>
        <w:t>最高投标限价。最高投标限价：</w:t>
      </w:r>
      <w:r>
        <w:rPr>
          <w:rFonts w:hint="eastAsia" w:ascii="仿宋" w:hAnsi="仿宋" w:eastAsia="仿宋" w:cs="仿宋"/>
          <w:color w:val="auto"/>
          <w:sz w:val="24"/>
          <w:szCs w:val="24"/>
          <w:highlight w:val="none"/>
          <w:lang w:val="en-US" w:eastAsia="zh-CN"/>
        </w:rPr>
        <w:t>1200000</w:t>
      </w:r>
      <w:r>
        <w:rPr>
          <w:rFonts w:hint="eastAsia" w:ascii="仿宋" w:hAnsi="仿宋" w:eastAsia="仿宋" w:cs="仿宋"/>
          <w:color w:val="auto"/>
          <w:sz w:val="24"/>
          <w:szCs w:val="24"/>
          <w:highlight w:val="none"/>
        </w:rPr>
        <w:t>元。</w:t>
      </w:r>
    </w:p>
    <w:p w14:paraId="3C4302CF">
      <w:pPr>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5.采购需求：</w:t>
      </w:r>
      <w:r>
        <w:rPr>
          <w:rFonts w:hint="eastAsia" w:ascii="仿宋" w:hAnsi="仿宋" w:eastAsia="仿宋" w:cs="仿宋"/>
          <w:color w:val="auto"/>
          <w:sz w:val="24"/>
          <w:szCs w:val="24"/>
          <w:highlight w:val="none"/>
          <w:lang w:eastAsia="zh-CN"/>
        </w:rPr>
        <w:t>星甸街道2026年至2027年乡村道路养护项目</w:t>
      </w:r>
      <w:r>
        <w:rPr>
          <w:rFonts w:hint="eastAsia" w:ascii="仿宋" w:hAnsi="仿宋" w:eastAsia="仿宋" w:cs="仿宋"/>
          <w:color w:val="auto"/>
          <w:sz w:val="24"/>
          <w:szCs w:val="24"/>
          <w:highlight w:val="none"/>
        </w:rPr>
        <w:t>。（详细内容见本磋商文件第四章）</w:t>
      </w:r>
    </w:p>
    <w:p w14:paraId="1D8F681B">
      <w:pPr>
        <w:spacing w:line="360" w:lineRule="auto"/>
        <w:ind w:firstLine="480"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6.合同履行期限：</w:t>
      </w:r>
      <w:r>
        <w:rPr>
          <w:rFonts w:hint="eastAsia" w:ascii="仿宋" w:hAnsi="仿宋" w:eastAsia="仿宋" w:cs="仿宋"/>
          <w:color w:val="auto"/>
          <w:sz w:val="24"/>
          <w:szCs w:val="24"/>
          <w:highlight w:val="none"/>
          <w:lang w:val="en-US" w:eastAsia="zh-CN"/>
        </w:rPr>
        <w:t>365天。</w:t>
      </w:r>
    </w:p>
    <w:p w14:paraId="5161888A">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7.本项目不接受联合体参与磋商。</w:t>
      </w:r>
    </w:p>
    <w:p w14:paraId="55919EFD">
      <w:pPr>
        <w:keepNext/>
        <w:keepLines/>
        <w:spacing w:line="360" w:lineRule="auto"/>
        <w:ind w:firstLine="482"/>
        <w:outlineLvl w:val="2"/>
        <w:rPr>
          <w:rFonts w:ascii="仿宋" w:hAnsi="仿宋" w:eastAsia="仿宋" w:cs="仿宋"/>
          <w:b/>
          <w:bCs/>
          <w:color w:val="auto"/>
          <w:sz w:val="24"/>
          <w:szCs w:val="24"/>
          <w:highlight w:val="none"/>
        </w:rPr>
      </w:pPr>
      <w:bookmarkStart w:id="21" w:name="_Toc38985264"/>
      <w:bookmarkStart w:id="22" w:name="_Toc28359003"/>
      <w:bookmarkStart w:id="23" w:name="_Toc28359080"/>
      <w:bookmarkStart w:id="24" w:name="_Toc35393622"/>
      <w:bookmarkStart w:id="25" w:name="_Toc35393791"/>
      <w:r>
        <w:rPr>
          <w:rFonts w:hint="eastAsia" w:ascii="仿宋" w:hAnsi="仿宋" w:eastAsia="仿宋" w:cs="仿宋"/>
          <w:b/>
          <w:bCs/>
          <w:color w:val="auto"/>
          <w:sz w:val="24"/>
          <w:szCs w:val="24"/>
          <w:highlight w:val="none"/>
        </w:rPr>
        <w:t>二、申请人的资格要求</w:t>
      </w:r>
      <w:bookmarkEnd w:id="21"/>
      <w:bookmarkEnd w:id="22"/>
      <w:bookmarkEnd w:id="23"/>
      <w:bookmarkEnd w:id="24"/>
      <w:bookmarkEnd w:id="25"/>
    </w:p>
    <w:p w14:paraId="5E9CD31C">
      <w:pPr>
        <w:spacing w:line="360" w:lineRule="auto"/>
        <w:ind w:firstLine="480"/>
        <w:rPr>
          <w:rFonts w:hint="eastAsia" w:ascii="仿宋" w:hAnsi="仿宋" w:eastAsia="仿宋" w:cs="仿宋"/>
          <w:color w:val="auto"/>
          <w:sz w:val="24"/>
          <w:szCs w:val="24"/>
          <w:highlight w:val="none"/>
        </w:rPr>
      </w:pPr>
      <w:bookmarkStart w:id="26" w:name="_Toc28359081"/>
      <w:bookmarkStart w:id="27" w:name="_Toc28359004"/>
      <w:bookmarkStart w:id="28" w:name="_Toc38985265"/>
      <w:bookmarkStart w:id="29" w:name="_Toc35393792"/>
      <w:bookmarkStart w:id="30" w:name="_Toc35393623"/>
      <w:r>
        <w:rPr>
          <w:rFonts w:hint="eastAsia" w:ascii="仿宋" w:hAnsi="仿宋" w:eastAsia="仿宋" w:cs="仿宋"/>
          <w:color w:val="auto"/>
          <w:sz w:val="24"/>
          <w:szCs w:val="24"/>
          <w:highlight w:val="none"/>
        </w:rPr>
        <w:t>（一）满足《中华人民共和国政府采购法》第二十二条规定：</w:t>
      </w:r>
    </w:p>
    <w:p w14:paraId="482A5763">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1.供应商信用承诺函（格式见第六章）</w:t>
      </w:r>
    </w:p>
    <w:p w14:paraId="5D2B8998">
      <w:pPr>
        <w:spacing w:line="360" w:lineRule="auto"/>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2.落实政府采购政策需满足的资格要求</w:t>
      </w:r>
      <w:r>
        <w:rPr>
          <w:rFonts w:hint="eastAsia" w:ascii="仿宋" w:hAnsi="仿宋" w:eastAsia="仿宋" w:cs="仿宋"/>
          <w:color w:val="auto"/>
          <w:sz w:val="24"/>
          <w:szCs w:val="24"/>
          <w:highlight w:val="none"/>
          <w:lang w:eastAsia="zh-CN"/>
        </w:rPr>
        <w:t>：</w:t>
      </w:r>
    </w:p>
    <w:p w14:paraId="631E054D">
      <w:pPr>
        <w:spacing w:line="360" w:lineRule="auto"/>
        <w:ind w:firstLine="480"/>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eastAsia="zh-CN"/>
        </w:rPr>
        <w:t>本项目专门面向中小微企业采购，供应商应为中小微企业、监狱企业、残疾人福利性单位。（声明函格式见第六章）。</w:t>
      </w:r>
    </w:p>
    <w:p w14:paraId="5B99AA4C">
      <w:pPr>
        <w:spacing w:line="360" w:lineRule="auto"/>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zh-CN" w:eastAsia="zh-CN"/>
        </w:rPr>
        <w:t>本项目采购标的对应的中小企业划分标准所属行业为：</w:t>
      </w:r>
      <w:r>
        <w:rPr>
          <w:rFonts w:hint="eastAsia" w:ascii="仿宋" w:hAnsi="仿宋" w:eastAsia="仿宋" w:cs="仿宋"/>
          <w:color w:val="auto"/>
          <w:sz w:val="24"/>
          <w:szCs w:val="24"/>
          <w:highlight w:val="none"/>
          <w:lang w:eastAsia="zh-CN"/>
        </w:rPr>
        <w:t>其他未列明行业。根据《中小企业划型标准规定》（工信部联企业〔2011〕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C12E5CB">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rPr>
        <w:t>）本项目的特定资格要求：</w:t>
      </w:r>
    </w:p>
    <w:p w14:paraId="427E3649">
      <w:pPr>
        <w:spacing w:line="36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1.供应商具有市政公用工程施工总承包三级（含）以上资质证书和安全生产许可证</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（提供有效的资质证书、安全生产许可证加盖电子公章）</w:t>
      </w:r>
      <w:r>
        <w:rPr>
          <w:rFonts w:hint="eastAsia" w:ascii="仿宋" w:hAnsi="仿宋" w:eastAsia="仿宋" w:cs="仿宋"/>
          <w:color w:val="auto"/>
          <w:sz w:val="24"/>
          <w:szCs w:val="24"/>
          <w:highlight w:val="none"/>
          <w:lang w:eastAsia="zh-CN"/>
        </w:rPr>
        <w:t>。</w:t>
      </w:r>
    </w:p>
    <w:p w14:paraId="0EE459D6">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（三）拒绝下述供应商参加本次采购活动</w:t>
      </w:r>
    </w:p>
    <w:p w14:paraId="0261BFA1">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1.单位负责人为同一人或者存在直接控股、管理关系的不同供应商，不得参加同一合同项下的政府</w:t>
      </w:r>
      <w:r>
        <w:rPr>
          <w:rFonts w:hint="eastAsia" w:ascii="仿宋" w:hAnsi="仿宋" w:eastAsia="仿宋" w:cs="仿宋"/>
          <w:b w:val="0"/>
          <w:bCs w:val="0"/>
          <w:color w:val="auto"/>
          <w:sz w:val="24"/>
          <w:szCs w:val="24"/>
          <w:highlight w:val="none"/>
        </w:rPr>
        <w:t>采购活动</w:t>
      </w:r>
      <w:r>
        <w:rPr>
          <w:rFonts w:hint="eastAsia" w:ascii="仿宋" w:hAnsi="仿宋" w:eastAsia="仿宋" w:cs="仿宋"/>
          <w:b w:val="0"/>
          <w:bCs w:val="0"/>
          <w:color w:val="auto"/>
          <w:sz w:val="24"/>
          <w:szCs w:val="24"/>
          <w:highlight w:val="none"/>
          <w:lang w:eastAsia="zh-CN"/>
        </w:rPr>
        <w:t>（需提供承诺书加盖公章，格式自拟）</w:t>
      </w:r>
      <w:r>
        <w:rPr>
          <w:rFonts w:hint="eastAsia" w:ascii="仿宋" w:hAnsi="仿宋" w:eastAsia="仿宋" w:cs="仿宋"/>
          <w:b w:val="0"/>
          <w:bCs w:val="0"/>
          <w:color w:val="auto"/>
          <w:sz w:val="24"/>
          <w:szCs w:val="24"/>
          <w:highlight w:val="none"/>
        </w:rPr>
        <w:t>。</w:t>
      </w:r>
    </w:p>
    <w:p w14:paraId="77FC9439">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2.为采购项目提供整体设计、规范编制或者项目管理、监理、检测等服务的供应商，不得参加本项目的采购活动。</w:t>
      </w:r>
    </w:p>
    <w:p w14:paraId="2DF69189">
      <w:pPr>
        <w:spacing w:line="36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3.供应商被“信用中国”网站（www.creditchina.gov.cn）列入失信被执行人、重大税收违法案件当事人名单、政府采购严重违法失信行为记录名单。</w:t>
      </w:r>
      <w:r>
        <w:rPr>
          <w:rFonts w:hint="eastAsia" w:ascii="仿宋" w:hAnsi="仿宋" w:eastAsia="仿宋" w:cs="仿宋"/>
          <w:color w:val="auto"/>
          <w:sz w:val="24"/>
          <w:szCs w:val="24"/>
          <w:highlight w:val="none"/>
          <w:lang w:val="en-US" w:eastAsia="zh-CN"/>
        </w:rPr>
        <w:t>提供开标截止日前3天内</w:t>
      </w:r>
      <w:r>
        <w:rPr>
          <w:rFonts w:hint="eastAsia" w:ascii="仿宋" w:hAnsi="仿宋" w:eastAsia="仿宋" w:cs="仿宋"/>
          <w:color w:val="auto"/>
          <w:sz w:val="24"/>
          <w:szCs w:val="24"/>
          <w:highlight w:val="none"/>
        </w:rPr>
        <w:t>“信用中国”网站</w:t>
      </w:r>
      <w:r>
        <w:rPr>
          <w:rFonts w:hint="eastAsia" w:ascii="仿宋" w:hAnsi="仿宋" w:eastAsia="仿宋" w:cs="仿宋"/>
          <w:color w:val="auto"/>
          <w:sz w:val="24"/>
          <w:szCs w:val="24"/>
          <w:highlight w:val="none"/>
          <w:lang w:val="en-US" w:eastAsia="zh-CN"/>
        </w:rPr>
        <w:t>截屏。</w:t>
      </w:r>
    </w:p>
    <w:p w14:paraId="2EAC95B3">
      <w:pPr>
        <w:spacing w:line="360" w:lineRule="auto"/>
        <w:ind w:firstLine="48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三、获取</w:t>
      </w:r>
      <w:bookmarkEnd w:id="26"/>
      <w:bookmarkEnd w:id="27"/>
      <w:bookmarkEnd w:id="28"/>
      <w:bookmarkEnd w:id="29"/>
      <w:bookmarkEnd w:id="30"/>
      <w:r>
        <w:rPr>
          <w:rFonts w:hint="eastAsia" w:ascii="仿宋" w:hAnsi="仿宋" w:eastAsia="仿宋" w:cs="仿宋"/>
          <w:b/>
          <w:bCs/>
          <w:color w:val="auto"/>
          <w:sz w:val="24"/>
          <w:szCs w:val="24"/>
          <w:highlight w:val="none"/>
        </w:rPr>
        <w:t>磋商文件</w:t>
      </w:r>
    </w:p>
    <w:p w14:paraId="0C56F556">
      <w:pPr>
        <w:spacing w:line="360" w:lineRule="auto"/>
        <w:ind w:firstLine="480"/>
        <w:rPr>
          <w:rFonts w:ascii="仿宋" w:hAnsi="仿宋" w:eastAsia="仿宋" w:cs="仿宋"/>
          <w:b/>
          <w:color w:val="auto"/>
          <w:sz w:val="24"/>
          <w:szCs w:val="24"/>
          <w:highlight w:val="none"/>
        </w:rPr>
      </w:pPr>
      <w:bookmarkStart w:id="31" w:name="_Toc28359082"/>
      <w:bookmarkStart w:id="32" w:name="_Toc28359005"/>
      <w:bookmarkStart w:id="33" w:name="_Toc38985266"/>
      <w:bookmarkStart w:id="34" w:name="_Toc35393793"/>
      <w:bookmarkStart w:id="35" w:name="_Toc35393624"/>
      <w:r>
        <w:rPr>
          <w:rFonts w:hint="eastAsia" w:ascii="仿宋" w:hAnsi="仿宋" w:eastAsia="仿宋" w:cs="仿宋"/>
          <w:color w:val="auto"/>
          <w:sz w:val="24"/>
          <w:szCs w:val="24"/>
          <w:highlight w:val="none"/>
        </w:rPr>
        <w:t>1.时间：自磋商文件公告发布之日起</w:t>
      </w:r>
      <w:r>
        <w:rPr>
          <w:rFonts w:hint="eastAsia" w:ascii="仿宋" w:hAnsi="仿宋" w:eastAsia="仿宋" w:cs="仿宋"/>
          <w:color w:val="auto"/>
          <w:sz w:val="24"/>
          <w:szCs w:val="24"/>
          <w:highlight w:val="none"/>
          <w:lang w:val="en-US" w:eastAsia="zh-CN"/>
        </w:rPr>
        <w:t>5个工作日</w:t>
      </w:r>
      <w:r>
        <w:rPr>
          <w:rFonts w:hint="eastAsia" w:ascii="仿宋" w:hAnsi="仿宋" w:eastAsia="仿宋" w:cs="仿宋"/>
          <w:color w:val="auto"/>
          <w:sz w:val="24"/>
          <w:szCs w:val="24"/>
          <w:highlight w:val="none"/>
        </w:rPr>
        <w:t>。</w:t>
      </w:r>
    </w:p>
    <w:p w14:paraId="4A3890D2">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方式：投标人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678FFD8E">
      <w:pPr>
        <w:keepNext/>
        <w:keepLines/>
        <w:spacing w:line="360" w:lineRule="auto"/>
        <w:ind w:firstLine="482"/>
        <w:outlineLvl w:val="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四、提交</w:t>
      </w:r>
      <w:bookmarkEnd w:id="31"/>
      <w:bookmarkEnd w:id="32"/>
      <w:r>
        <w:rPr>
          <w:rFonts w:hint="eastAsia" w:ascii="仿宋" w:hAnsi="仿宋" w:eastAsia="仿宋" w:cs="仿宋"/>
          <w:b/>
          <w:bCs/>
          <w:color w:val="auto"/>
          <w:sz w:val="24"/>
          <w:szCs w:val="24"/>
          <w:highlight w:val="none"/>
        </w:rPr>
        <w:t>响应文件截止时间</w:t>
      </w:r>
      <w:bookmarkEnd w:id="33"/>
      <w:bookmarkEnd w:id="34"/>
      <w:bookmarkEnd w:id="35"/>
    </w:p>
    <w:p w14:paraId="297C03A6">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u w:val="single"/>
          <w:lang w:eastAsia="zh-CN"/>
        </w:rPr>
        <w:t xml:space="preserve">2026年 08 月 </w:t>
      </w:r>
      <w:r>
        <w:rPr>
          <w:rFonts w:hint="eastAsia" w:ascii="仿宋" w:hAnsi="仿宋" w:eastAsia="仿宋" w:cs="仿宋"/>
          <w:bCs/>
          <w:color w:val="auto"/>
          <w:sz w:val="24"/>
          <w:szCs w:val="24"/>
          <w:highlight w:val="none"/>
          <w:u w:val="single"/>
          <w:lang w:val="en-US" w:eastAsia="zh-CN"/>
        </w:rPr>
        <w:t>18</w:t>
      </w:r>
      <w:r>
        <w:rPr>
          <w:rFonts w:hint="eastAsia" w:ascii="仿宋" w:hAnsi="仿宋" w:eastAsia="仿宋" w:cs="仿宋"/>
          <w:bCs/>
          <w:color w:val="auto"/>
          <w:sz w:val="24"/>
          <w:szCs w:val="24"/>
          <w:highlight w:val="none"/>
          <w:u w:val="single"/>
          <w:lang w:eastAsia="zh-CN"/>
        </w:rPr>
        <w:t xml:space="preserve"> 日</w:t>
      </w:r>
      <w:r>
        <w:rPr>
          <w:rFonts w:hint="eastAsia" w:ascii="仿宋" w:hAnsi="仿宋" w:eastAsia="仿宋" w:cs="仿宋"/>
          <w:bCs/>
          <w:color w:val="auto"/>
          <w:sz w:val="24"/>
          <w:szCs w:val="24"/>
          <w:highlight w:val="none"/>
          <w:u w:val="single"/>
        </w:rPr>
        <w:t>9点30分</w:t>
      </w:r>
      <w:r>
        <w:rPr>
          <w:rFonts w:hint="eastAsia" w:ascii="仿宋" w:hAnsi="仿宋" w:eastAsia="仿宋" w:cs="仿宋"/>
          <w:bCs/>
          <w:color w:val="auto"/>
          <w:sz w:val="24"/>
          <w:szCs w:val="24"/>
          <w:highlight w:val="none"/>
        </w:rPr>
        <w:t>（北京时间）。</w:t>
      </w:r>
    </w:p>
    <w:p w14:paraId="34B4B986">
      <w:pPr>
        <w:keepNext/>
        <w:keepLines/>
        <w:spacing w:line="360" w:lineRule="auto"/>
        <w:ind w:firstLine="482"/>
        <w:outlineLvl w:val="2"/>
        <w:rPr>
          <w:rFonts w:ascii="仿宋" w:hAnsi="仿宋" w:eastAsia="仿宋" w:cs="仿宋"/>
          <w:b/>
          <w:bCs/>
          <w:color w:val="auto"/>
          <w:sz w:val="24"/>
          <w:szCs w:val="24"/>
          <w:highlight w:val="none"/>
        </w:rPr>
      </w:pPr>
      <w:bookmarkStart w:id="36" w:name="_Toc38985267"/>
      <w:bookmarkStart w:id="37" w:name="_Toc35393625"/>
      <w:bookmarkStart w:id="38" w:name="_Toc35393794"/>
      <w:bookmarkStart w:id="39" w:name="_Toc28359007"/>
      <w:bookmarkStart w:id="40" w:name="_Toc28359084"/>
      <w:r>
        <w:rPr>
          <w:rFonts w:hint="eastAsia" w:ascii="仿宋" w:hAnsi="仿宋" w:eastAsia="仿宋" w:cs="仿宋"/>
          <w:b/>
          <w:bCs/>
          <w:color w:val="auto"/>
          <w:sz w:val="24"/>
          <w:szCs w:val="24"/>
          <w:highlight w:val="none"/>
        </w:rPr>
        <w:t>五、公告期限</w:t>
      </w:r>
      <w:bookmarkEnd w:id="36"/>
      <w:bookmarkEnd w:id="37"/>
      <w:bookmarkEnd w:id="38"/>
      <w:bookmarkEnd w:id="39"/>
      <w:bookmarkEnd w:id="40"/>
    </w:p>
    <w:p w14:paraId="050C9F31">
      <w:pPr>
        <w:spacing w:line="360" w:lineRule="auto"/>
        <w:ind w:firstLine="480"/>
        <w:rPr>
          <w:rFonts w:hint="eastAsia" w:ascii="仿宋" w:hAnsi="仿宋" w:eastAsia="仿宋" w:cs="仿宋"/>
          <w:color w:val="auto"/>
          <w:sz w:val="24"/>
          <w:szCs w:val="24"/>
          <w:highlight w:val="none"/>
        </w:rPr>
      </w:pPr>
      <w:bookmarkStart w:id="41" w:name="_Toc38985268"/>
      <w:bookmarkStart w:id="42" w:name="_Toc35393626"/>
      <w:bookmarkStart w:id="43" w:name="_Toc35393795"/>
      <w:r>
        <w:rPr>
          <w:rFonts w:hint="eastAsia" w:ascii="仿宋" w:hAnsi="仿宋" w:eastAsia="仿宋" w:cs="仿宋"/>
          <w:color w:val="auto"/>
          <w:sz w:val="24"/>
          <w:szCs w:val="24"/>
          <w:highlight w:val="none"/>
        </w:rPr>
        <w:t>磋商公告及磋商文件公告期限为自本公告发布之日起</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个工作日。</w:t>
      </w:r>
    </w:p>
    <w:p w14:paraId="4AE78E17">
      <w:pPr>
        <w:keepNext/>
        <w:keepLines/>
        <w:spacing w:line="360" w:lineRule="auto"/>
        <w:ind w:firstLine="482"/>
        <w:outlineLvl w:val="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六、其他补充事宜</w:t>
      </w:r>
      <w:bookmarkEnd w:id="41"/>
      <w:bookmarkEnd w:id="42"/>
      <w:bookmarkEnd w:id="43"/>
    </w:p>
    <w:p w14:paraId="73549827">
      <w:pPr>
        <w:numPr>
          <w:ilvl w:val="0"/>
          <w:numId w:val="0"/>
        </w:numPr>
        <w:spacing w:line="360" w:lineRule="auto"/>
        <w:ind w:firstLine="480" w:firstLineChars="200"/>
        <w:rPr>
          <w:rFonts w:hint="eastAsia" w:ascii="仿宋" w:hAnsi="仿宋" w:eastAsia="仿宋" w:cs="仿宋"/>
          <w:color w:val="auto"/>
          <w:sz w:val="24"/>
          <w:szCs w:val="24"/>
          <w:highlight w:val="none"/>
        </w:rPr>
      </w:pPr>
      <w:bookmarkStart w:id="44" w:name="_Toc38985269"/>
      <w:bookmarkStart w:id="45" w:name="_Toc28359008"/>
      <w:bookmarkStart w:id="46" w:name="_Toc28359085"/>
      <w:bookmarkStart w:id="47" w:name="_Toc35393627"/>
      <w:bookmarkStart w:id="48" w:name="_Toc35393796"/>
      <w:r>
        <w:rPr>
          <w:rFonts w:hint="eastAsia" w:ascii="仿宋" w:hAnsi="仿宋" w:eastAsia="仿宋" w:cs="仿宋"/>
          <w:color w:val="auto"/>
          <w:sz w:val="24"/>
          <w:szCs w:val="24"/>
          <w:highlight w:val="none"/>
        </w:rPr>
        <w:t>6.1本项目不组织集中勘察及答疑，投标人如对采购需求有疑问，请咨询采购单位联系人。 </w:t>
      </w:r>
    </w:p>
    <w:p w14:paraId="563286A8">
      <w:pPr>
        <w:numPr>
          <w:ilvl w:val="0"/>
          <w:numId w:val="0"/>
        </w:num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6.2投标人通过苏采云系统参与政府采购项目，需要办理江苏省政府采购数字证书及电子签章，具体详见苏采云系统登录页“新CA办理指南”。投标人按《苏采云系统投标人操作手册》（以下简称“操作手册”）进行注册，并制作上传电子投标文件。《操作手册》下载地址（CTRL+鼠标左键）。</w:t>
      </w:r>
    </w:p>
    <w:p w14:paraId="6BAED367">
      <w:pPr>
        <w:numPr>
          <w:ilvl w:val="0"/>
          <w:numId w:val="0"/>
        </w:num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6.3有关本次磋商的事项若存在变动或修改，请及时关注“江苏政府采购网”（www.ccgp-jiangsu.gov.cn）更正公告。</w:t>
      </w:r>
    </w:p>
    <w:p w14:paraId="05902ACF">
      <w:pPr>
        <w:numPr>
          <w:ilvl w:val="0"/>
          <w:numId w:val="0"/>
        </w:num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6.4政府采购信用承诺</w:t>
      </w:r>
    </w:p>
    <w:p w14:paraId="2FD863CE">
      <w:pPr>
        <w:keepNext/>
        <w:keepLines/>
        <w:spacing w:line="360" w:lineRule="auto"/>
        <w:ind w:firstLine="482"/>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关于在政府采购活动中推行信用承诺制的通知》宁财购通〔2021〕5号规定，参加南京地区政府采购活动的投标人，应以书面形式向采购人或政府采购代理机构作出信用承诺。投标人应尽早做好承诺工作，点击“南京公共采购信息网”首页 （https://njgc.jfh.com/）“南京市政府采购投标人诚信档案”系统链接打开系统页面（http://180.101.238.212:8280/hodeframe2018_cxda/index.action;jsessionid=769BA9C8E1729422E7173B991C8EC1E5）登录（未注册的投标人应先点击“投标人注册点这里”并按要求完成注册），然后在“信用记录”模块页面点击“信用记录打印”下载本单位《南京市政府采购投标人信用记录表暨信用承诺书》，由法定代表人签字并盖单位公章，随响应文件一并递交。</w:t>
      </w:r>
    </w:p>
    <w:p w14:paraId="2164D639">
      <w:pPr>
        <w:keepNext/>
        <w:keepLines/>
        <w:spacing w:line="360" w:lineRule="auto"/>
        <w:ind w:firstLine="482"/>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在政府采购资格审查环节，投标人只需提供书面《南京市政府采购投标人信用记录表暨信用承诺书》，即可替代以下证明材料：</w:t>
      </w:r>
    </w:p>
    <w:p w14:paraId="5AFB6B07">
      <w:pPr>
        <w:keepNext/>
        <w:keepLines/>
        <w:spacing w:line="360" w:lineRule="auto"/>
        <w:ind w:firstLine="482"/>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（1）符合国家相关规定的财务状况报告；</w:t>
      </w:r>
    </w:p>
    <w:p w14:paraId="2ED9A3C5">
      <w:pPr>
        <w:keepNext/>
        <w:keepLines/>
        <w:spacing w:line="360" w:lineRule="auto"/>
        <w:ind w:firstLine="482"/>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（2）依法缴纳税收的证明材料；</w:t>
      </w:r>
    </w:p>
    <w:p w14:paraId="0D210AEE">
      <w:pPr>
        <w:keepNext/>
        <w:keepLines/>
        <w:spacing w:line="360" w:lineRule="auto"/>
        <w:ind w:firstLine="482"/>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（3）依法缴纳社会保障资金的证明材料；</w:t>
      </w:r>
    </w:p>
    <w:p w14:paraId="0C4D3135">
      <w:pPr>
        <w:keepNext/>
        <w:keepLines/>
        <w:spacing w:line="360" w:lineRule="auto"/>
        <w:ind w:firstLine="482"/>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（4）具备履行政府采购合同所必需的设备和专业技术能力的证明材料；</w:t>
      </w:r>
    </w:p>
    <w:p w14:paraId="5BB43C5F">
      <w:pPr>
        <w:keepNext/>
        <w:keepLines/>
        <w:spacing w:line="360" w:lineRule="auto"/>
        <w:ind w:firstLine="482"/>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（5）参加政府采购活动前三年内在经营活动中没有重大违法记录的证明材料；</w:t>
      </w:r>
    </w:p>
    <w:p w14:paraId="00AF0DDA">
      <w:pPr>
        <w:keepNext/>
        <w:keepLines/>
        <w:spacing w:line="360" w:lineRule="auto"/>
        <w:ind w:firstLine="482"/>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（6）未被列入失信被执行人、重大税收违法失信主体、政府采购严重违法失信行为记录名单的证明材料。</w:t>
      </w:r>
    </w:p>
    <w:p w14:paraId="08B7D1FB">
      <w:pPr>
        <w:keepNext/>
        <w:keepLines/>
        <w:spacing w:line="360" w:lineRule="auto"/>
        <w:ind w:firstLine="482"/>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投标人在中标（成交）后，应按采购文件要求，将上述由信用承诺书替代的证明材料提交采购人或采购代理机构核验。经核验无误后，由采购人或采购代理机构发出中标（成交）通知书。</w:t>
      </w:r>
    </w:p>
    <w:p w14:paraId="4CB44ACF">
      <w:pPr>
        <w:keepNext/>
        <w:keepLines/>
        <w:spacing w:line="360" w:lineRule="auto"/>
        <w:ind w:firstLine="482"/>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投标人涉及以下情形的，不适用信用承诺：</w:t>
      </w:r>
    </w:p>
    <w:p w14:paraId="0EC40F13">
      <w:pPr>
        <w:keepNext/>
        <w:keepLines/>
        <w:spacing w:line="360" w:lineRule="auto"/>
        <w:ind w:firstLine="482"/>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（1）投标人被列入严重失信主体名单；</w:t>
      </w:r>
    </w:p>
    <w:p w14:paraId="383C3141">
      <w:pPr>
        <w:keepNext/>
        <w:keepLines/>
        <w:spacing w:line="360" w:lineRule="auto"/>
        <w:ind w:firstLine="482"/>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（2）被相关监管部门作出行政处罚且尚在处罚有效期内；</w:t>
      </w:r>
    </w:p>
    <w:p w14:paraId="640AB71E">
      <w:pPr>
        <w:keepNext/>
        <w:keepLines/>
        <w:spacing w:line="360" w:lineRule="auto"/>
        <w:ind w:firstLine="482"/>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（3）其他法律、行政法规规定的不适用信用承诺的情形。</w:t>
      </w:r>
    </w:p>
    <w:p w14:paraId="6A348079">
      <w:pPr>
        <w:keepNext/>
        <w:keepLines/>
        <w:spacing w:line="360" w:lineRule="auto"/>
        <w:ind w:firstLine="482"/>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投标人对信用承诺内容的真实性、合法性、有效性负责。如作出虚假信用承诺，视同为“提供虚假材料谋取中标、成交”的违法行为。</w:t>
      </w:r>
    </w:p>
    <w:p w14:paraId="3D4A9EF1">
      <w:pPr>
        <w:keepNext/>
        <w:keepLines/>
        <w:spacing w:line="360" w:lineRule="auto"/>
        <w:ind w:firstLine="482"/>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6.5拒绝下述投标人参加本次采购活动</w:t>
      </w:r>
    </w:p>
    <w:p w14:paraId="6CFA1620">
      <w:pPr>
        <w:keepNext/>
        <w:keepLines/>
        <w:spacing w:line="360" w:lineRule="auto"/>
        <w:ind w:firstLine="482"/>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（1）单位负责人为同一人或者存在直接控股、管理关系的不同投标人，不得参加同一合同项下的政府采</w:t>
      </w:r>
      <w:r>
        <w:rPr>
          <w:rFonts w:hint="eastAsia" w:ascii="仿宋" w:hAnsi="仿宋" w:eastAsia="仿宋" w:cs="仿宋"/>
          <w:b w:val="0"/>
          <w:bCs w:val="0"/>
          <w:color w:val="auto"/>
          <w:sz w:val="24"/>
          <w:szCs w:val="24"/>
          <w:highlight w:val="none"/>
        </w:rPr>
        <w:t>购活动</w:t>
      </w:r>
      <w:r>
        <w:rPr>
          <w:rFonts w:hint="eastAsia" w:ascii="仿宋" w:hAnsi="仿宋" w:eastAsia="仿宋" w:cs="仿宋"/>
          <w:b w:val="0"/>
          <w:bCs w:val="0"/>
          <w:color w:val="auto"/>
          <w:sz w:val="24"/>
          <w:szCs w:val="24"/>
          <w:highlight w:val="none"/>
          <w:lang w:eastAsia="zh-CN"/>
        </w:rPr>
        <w:t>（需提供承诺书加盖公章，格式自拟）</w:t>
      </w:r>
      <w:r>
        <w:rPr>
          <w:rFonts w:hint="eastAsia" w:ascii="仿宋" w:hAnsi="仿宋" w:eastAsia="仿宋" w:cs="仿宋"/>
          <w:b w:val="0"/>
          <w:bCs w:val="0"/>
          <w:color w:val="auto"/>
          <w:sz w:val="24"/>
          <w:szCs w:val="24"/>
          <w:highlight w:val="none"/>
        </w:rPr>
        <w:t>。</w:t>
      </w:r>
    </w:p>
    <w:p w14:paraId="3DB66517">
      <w:pPr>
        <w:keepNext/>
        <w:keepLines/>
        <w:spacing w:line="360" w:lineRule="auto"/>
        <w:ind w:firstLine="482"/>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（2）为采购项目提供整体设计、规范编制或者项目管理、监理、检测等服务的投标人，不得参加本项目的采购活动。</w:t>
      </w:r>
    </w:p>
    <w:p w14:paraId="1DE1FA2D">
      <w:pPr>
        <w:keepNext/>
        <w:keepLines/>
        <w:spacing w:line="360" w:lineRule="auto"/>
        <w:ind w:firstLine="482"/>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（3）投标人被“信用中国”网站（www.creditchina.gov.cn）、“中国政府采购网”(www.ccgp.gov.cn)列入失信被执行人、重大税收违法案件当事人名单、政府采购严重违法失信行为记录名单。</w:t>
      </w:r>
      <w:r>
        <w:rPr>
          <w:rFonts w:hint="eastAsia" w:ascii="仿宋" w:hAnsi="仿宋" w:eastAsia="仿宋" w:cs="仿宋"/>
          <w:color w:val="auto"/>
          <w:sz w:val="24"/>
          <w:szCs w:val="24"/>
          <w:highlight w:val="none"/>
          <w:lang w:val="en-US" w:eastAsia="zh-CN"/>
        </w:rPr>
        <w:t>提供开标截止日前3天内</w:t>
      </w:r>
      <w:r>
        <w:rPr>
          <w:rFonts w:hint="eastAsia" w:ascii="仿宋" w:hAnsi="仿宋" w:eastAsia="仿宋" w:cs="仿宋"/>
          <w:color w:val="auto"/>
          <w:sz w:val="24"/>
          <w:szCs w:val="24"/>
          <w:highlight w:val="none"/>
        </w:rPr>
        <w:t>“信用中国”网站</w:t>
      </w:r>
      <w:r>
        <w:rPr>
          <w:rFonts w:hint="eastAsia" w:ascii="仿宋" w:hAnsi="仿宋" w:eastAsia="仿宋" w:cs="仿宋"/>
          <w:color w:val="auto"/>
          <w:sz w:val="24"/>
          <w:szCs w:val="24"/>
          <w:highlight w:val="none"/>
          <w:lang w:val="en-US" w:eastAsia="zh-CN"/>
        </w:rPr>
        <w:t>截屏。</w:t>
      </w:r>
    </w:p>
    <w:p w14:paraId="252F1B56">
      <w:pPr>
        <w:keepNext/>
        <w:keepLines/>
        <w:spacing w:line="360" w:lineRule="auto"/>
        <w:ind w:firstLine="482"/>
        <w:outlineLvl w:val="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七、本次磋商联系方式</w:t>
      </w:r>
      <w:bookmarkEnd w:id="44"/>
      <w:bookmarkEnd w:id="45"/>
      <w:bookmarkEnd w:id="46"/>
      <w:bookmarkEnd w:id="47"/>
      <w:bookmarkEnd w:id="48"/>
    </w:p>
    <w:p w14:paraId="10C7BEB8">
      <w:pPr>
        <w:spacing w:line="360" w:lineRule="auto"/>
        <w:ind w:firstLine="480"/>
        <w:rPr>
          <w:rFonts w:ascii="仿宋" w:hAnsi="仿宋" w:eastAsia="仿宋" w:cs="仿宋"/>
          <w:color w:val="auto"/>
          <w:sz w:val="24"/>
          <w:szCs w:val="24"/>
          <w:highlight w:val="none"/>
        </w:rPr>
      </w:pPr>
      <w:bookmarkStart w:id="49" w:name="_Toc28359010"/>
      <w:bookmarkStart w:id="50" w:name="_Toc28359087"/>
      <w:r>
        <w:rPr>
          <w:rFonts w:hint="eastAsia" w:ascii="仿宋" w:hAnsi="仿宋" w:eastAsia="仿宋" w:cs="仿宋"/>
          <w:color w:val="auto"/>
          <w:sz w:val="24"/>
          <w:szCs w:val="24"/>
          <w:highlight w:val="none"/>
        </w:rPr>
        <w:t>1.采购人信息</w:t>
      </w:r>
    </w:p>
    <w:p w14:paraId="130F7E1F">
      <w:pPr>
        <w:spacing w:line="360" w:lineRule="auto"/>
        <w:ind w:firstLine="480"/>
        <w:rPr>
          <w:rFonts w:hint="eastAsia" w:ascii="仿宋" w:hAnsi="仿宋" w:eastAsia="仿宋" w:cs="仿宋"/>
          <w:color w:val="auto"/>
          <w:sz w:val="24"/>
          <w:szCs w:val="24"/>
          <w:highlight w:val="none"/>
          <w:lang w:eastAsia="zh-CN"/>
        </w:rPr>
      </w:pPr>
      <w:bookmarkStart w:id="51" w:name="_Toc28359086"/>
      <w:bookmarkStart w:id="52" w:name="_Toc28359009"/>
      <w:r>
        <w:rPr>
          <w:rFonts w:hint="eastAsia" w:ascii="仿宋" w:hAnsi="仿宋" w:eastAsia="仿宋" w:cs="仿宋"/>
          <w:color w:val="auto"/>
          <w:sz w:val="24"/>
          <w:szCs w:val="24"/>
          <w:highlight w:val="none"/>
        </w:rPr>
        <w:t>名  称：南京市浦口区人民政府星甸街道办事处</w:t>
      </w:r>
    </w:p>
    <w:p w14:paraId="7CF1E52B">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址：南京市浦口区云桥西路1号　　　　　　　　　</w:t>
      </w:r>
    </w:p>
    <w:p w14:paraId="7731749C">
      <w:pPr>
        <w:spacing w:line="360" w:lineRule="auto"/>
        <w:ind w:firstLine="48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联系人：</w:t>
      </w:r>
      <w:r>
        <w:rPr>
          <w:rFonts w:hint="eastAsia" w:ascii="仿宋" w:hAnsi="仿宋" w:eastAsia="仿宋" w:cs="仿宋"/>
          <w:color w:val="auto"/>
          <w:sz w:val="24"/>
          <w:szCs w:val="24"/>
          <w:highlight w:val="none"/>
          <w:lang w:val="en-US" w:eastAsia="zh-CN"/>
        </w:rPr>
        <w:t>张工</w:t>
      </w:r>
    </w:p>
    <w:p w14:paraId="269C6123">
      <w:pPr>
        <w:spacing w:line="360" w:lineRule="auto"/>
        <w:ind w:firstLine="48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lang w:val="en-US" w:eastAsia="zh-CN"/>
        </w:rPr>
        <w:t>18061468682</w:t>
      </w:r>
    </w:p>
    <w:p w14:paraId="11BE295F">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2.南京市公共资源交易中心浦口分中心信息</w:t>
      </w:r>
      <w:bookmarkEnd w:id="51"/>
      <w:bookmarkEnd w:id="52"/>
    </w:p>
    <w:p w14:paraId="6EE6E100">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址：南京市浦口区象山路4号</w:t>
      </w:r>
      <w:r>
        <w:rPr>
          <w:rFonts w:hint="eastAsia" w:ascii="仿宋" w:hAnsi="仿宋" w:eastAsia="仿宋" w:cs="仿宋"/>
          <w:color w:val="auto"/>
          <w:sz w:val="24"/>
          <w:szCs w:val="24"/>
          <w:highlight w:val="none"/>
          <w:lang w:val="zh-CN"/>
        </w:rPr>
        <w:t>浦口市民中心B幢五楼受理大厅</w:t>
      </w:r>
      <w:r>
        <w:rPr>
          <w:rFonts w:hint="eastAsia" w:ascii="仿宋" w:hAnsi="仿宋" w:eastAsia="仿宋" w:cs="仿宋"/>
          <w:color w:val="auto"/>
          <w:sz w:val="24"/>
          <w:szCs w:val="24"/>
          <w:highlight w:val="none"/>
        </w:rPr>
        <w:t>　　　　　　　　　</w:t>
      </w:r>
    </w:p>
    <w:bookmarkEnd w:id="49"/>
    <w:bookmarkEnd w:id="50"/>
    <w:p w14:paraId="302B9CBB">
      <w:pPr>
        <w:spacing w:line="360" w:lineRule="auto"/>
        <w:ind w:firstLine="480"/>
        <w:rPr>
          <w:rFonts w:hint="default" w:ascii="仿宋" w:hAnsi="仿宋" w:eastAsia="仿宋" w:cs="仿宋"/>
          <w:color w:val="auto"/>
          <w:sz w:val="24"/>
          <w:szCs w:val="24"/>
          <w:highlight w:val="none"/>
          <w:lang w:val="en-US" w:eastAsia="zh-CN"/>
        </w:rPr>
      </w:pPr>
      <w:bookmarkStart w:id="53" w:name="_Toc120614211"/>
      <w:r>
        <w:rPr>
          <w:rFonts w:hint="eastAsia" w:ascii="仿宋" w:hAnsi="仿宋" w:eastAsia="仿宋" w:cs="仿宋"/>
          <w:color w:val="auto"/>
          <w:sz w:val="24"/>
          <w:szCs w:val="24"/>
          <w:highlight w:val="none"/>
        </w:rPr>
        <w:t>联系人</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戴工</w:t>
      </w:r>
    </w:p>
    <w:p w14:paraId="24BA36A2">
      <w:pPr>
        <w:spacing w:line="360" w:lineRule="auto"/>
        <w:ind w:firstLine="480"/>
        <w:rPr>
          <w:rFonts w:ascii="黑体" w:hAnsi="Arial" w:eastAsia="黑体" w:cs="Arial"/>
          <w:b/>
          <w:bCs/>
          <w:color w:val="auto"/>
          <w:sz w:val="44"/>
          <w:szCs w:val="4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lang w:val="en-US" w:eastAsia="zh-CN"/>
        </w:rPr>
        <w:t>025-69659047/18061468682</w:t>
      </w:r>
      <w:r>
        <w:rPr>
          <w:rFonts w:hint="eastAsia" w:ascii="黑体" w:hAnsi="Arial" w:eastAsia="黑体" w:cs="Arial"/>
          <w:b/>
          <w:bCs/>
          <w:color w:val="auto"/>
          <w:sz w:val="44"/>
          <w:szCs w:val="44"/>
          <w:highlight w:val="none"/>
        </w:rPr>
        <w:br w:type="page" w:clear="all"/>
      </w:r>
    </w:p>
    <w:p w14:paraId="6E4359F7">
      <w:pPr>
        <w:spacing w:line="360" w:lineRule="auto"/>
        <w:jc w:val="center"/>
        <w:rPr>
          <w:rFonts w:ascii="黑体" w:hAnsi="黑体" w:eastAsia="黑体" w:cs="黑体"/>
          <w:color w:val="auto"/>
          <w:sz w:val="44"/>
          <w:szCs w:val="44"/>
          <w:highlight w:val="none"/>
        </w:rPr>
      </w:pPr>
      <w:bookmarkStart w:id="54" w:name="_Toc26819"/>
      <w:r>
        <w:rPr>
          <w:rStyle w:val="63"/>
          <w:rFonts w:hint="eastAsia" w:ascii="黑体" w:hAnsi="黑体" w:eastAsia="黑体" w:cs="黑体"/>
          <w:color w:val="auto"/>
          <w:highlight w:val="none"/>
        </w:rPr>
        <w:t xml:space="preserve">第二章  </w:t>
      </w:r>
      <w:bookmarkEnd w:id="9"/>
      <w:bookmarkEnd w:id="10"/>
      <w:bookmarkEnd w:id="11"/>
      <w:bookmarkEnd w:id="12"/>
      <w:bookmarkEnd w:id="13"/>
      <w:bookmarkEnd w:id="53"/>
      <w:r>
        <w:rPr>
          <w:rStyle w:val="63"/>
          <w:rFonts w:hint="eastAsia" w:ascii="黑体" w:hAnsi="黑体" w:eastAsia="黑体" w:cs="黑体"/>
          <w:color w:val="auto"/>
          <w:highlight w:val="none"/>
        </w:rPr>
        <w:t>供应商须知</w:t>
      </w:r>
      <w:bookmarkEnd w:id="54"/>
    </w:p>
    <w:p w14:paraId="62CCD656">
      <w:pPr>
        <w:widowControl/>
        <w:spacing w:line="360" w:lineRule="auto"/>
        <w:ind w:firstLine="480"/>
        <w:jc w:val="left"/>
        <w:rPr>
          <w:rFonts w:ascii="仿宋" w:hAnsi="仿宋" w:eastAsia="仿宋" w:cs="仿宋"/>
          <w:color w:val="auto"/>
          <w:sz w:val="24"/>
          <w:szCs w:val="24"/>
          <w:highlight w:val="none"/>
        </w:rPr>
      </w:pPr>
      <w:bookmarkStart w:id="55" w:name="_Toc120614214"/>
      <w:bookmarkStart w:id="56" w:name="_Toc16938519"/>
      <w:bookmarkStart w:id="57" w:name="_Toc20823275"/>
      <w:bookmarkStart w:id="58" w:name="_Toc513029203"/>
      <w:bookmarkStart w:id="59" w:name="_Toc479757207"/>
      <w:bookmarkStart w:id="60" w:name="_Toc16938558"/>
      <w:bookmarkStart w:id="61" w:name="_Toc513029242"/>
      <w:bookmarkStart w:id="62" w:name="_Toc20823314"/>
      <w:bookmarkStart w:id="63" w:name="_Toc120614221"/>
      <w:r>
        <w:rPr>
          <w:rFonts w:hint="eastAsia" w:ascii="仿宋" w:hAnsi="仿宋" w:eastAsia="仿宋" w:cs="仿宋"/>
          <w:color w:val="auto"/>
          <w:sz w:val="24"/>
          <w:szCs w:val="24"/>
          <w:highlight w:val="none"/>
        </w:rPr>
        <w:t>一、总则</w:t>
      </w:r>
      <w:bookmarkEnd w:id="55"/>
      <w:bookmarkEnd w:id="56"/>
      <w:bookmarkEnd w:id="57"/>
      <w:bookmarkEnd w:id="58"/>
    </w:p>
    <w:p w14:paraId="5004FE4B">
      <w:pPr>
        <w:widowControl/>
        <w:spacing w:line="360" w:lineRule="auto"/>
        <w:ind w:firstLine="480"/>
        <w:jc w:val="left"/>
        <w:rPr>
          <w:rFonts w:ascii="仿宋" w:hAnsi="仿宋" w:eastAsia="仿宋" w:cs="仿宋"/>
          <w:color w:val="auto"/>
          <w:sz w:val="24"/>
          <w:szCs w:val="24"/>
          <w:highlight w:val="none"/>
        </w:rPr>
      </w:pPr>
      <w:bookmarkStart w:id="64" w:name="_Hlt16619475"/>
      <w:bookmarkEnd w:id="64"/>
      <w:bookmarkStart w:id="65" w:name="_Toc458694821"/>
      <w:bookmarkStart w:id="66" w:name="_Toc16938520"/>
      <w:bookmarkStart w:id="67" w:name="_Toc513029204"/>
      <w:bookmarkStart w:id="68" w:name="_Toc20823276"/>
      <w:r>
        <w:rPr>
          <w:rFonts w:hint="eastAsia" w:ascii="仿宋" w:hAnsi="仿宋" w:eastAsia="仿宋" w:cs="仿宋"/>
          <w:color w:val="auto"/>
          <w:sz w:val="24"/>
          <w:szCs w:val="24"/>
          <w:highlight w:val="none"/>
        </w:rPr>
        <w:t>1</w:t>
      </w:r>
      <w:bookmarkEnd w:id="65"/>
      <w:r>
        <w:rPr>
          <w:rFonts w:hint="eastAsia" w:ascii="仿宋" w:hAnsi="仿宋" w:eastAsia="仿宋" w:cs="仿宋"/>
          <w:color w:val="auto"/>
          <w:sz w:val="24"/>
          <w:szCs w:val="24"/>
          <w:highlight w:val="none"/>
        </w:rPr>
        <w:t>.采购方式</w:t>
      </w:r>
      <w:bookmarkEnd w:id="66"/>
      <w:bookmarkEnd w:id="67"/>
      <w:bookmarkEnd w:id="68"/>
    </w:p>
    <w:p w14:paraId="40BEA81C">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1.1本次政府采购活动采取竞争性磋商(以下简称“磋商”)方式，本磋商文件仅适用于磋商公告中所述项目。</w:t>
      </w:r>
    </w:p>
    <w:p w14:paraId="56B6423A">
      <w:pPr>
        <w:widowControl/>
        <w:spacing w:line="360" w:lineRule="auto"/>
        <w:ind w:firstLine="480"/>
        <w:jc w:val="left"/>
        <w:rPr>
          <w:rFonts w:ascii="仿宋" w:hAnsi="仿宋" w:eastAsia="仿宋" w:cs="仿宋"/>
          <w:color w:val="auto"/>
          <w:sz w:val="24"/>
          <w:szCs w:val="24"/>
          <w:highlight w:val="none"/>
        </w:rPr>
      </w:pPr>
      <w:bookmarkStart w:id="69" w:name="_Toc20823277"/>
      <w:bookmarkStart w:id="70" w:name="_Toc513029205"/>
      <w:bookmarkStart w:id="71" w:name="_Toc16938521"/>
      <w:r>
        <w:rPr>
          <w:rFonts w:hint="eastAsia" w:ascii="仿宋" w:hAnsi="仿宋" w:eastAsia="仿宋" w:cs="仿宋"/>
          <w:color w:val="auto"/>
          <w:sz w:val="24"/>
          <w:szCs w:val="24"/>
          <w:highlight w:val="none"/>
        </w:rPr>
        <w:t>2.合格的</w:t>
      </w:r>
      <w:bookmarkEnd w:id="69"/>
      <w:bookmarkEnd w:id="70"/>
      <w:bookmarkEnd w:id="71"/>
      <w:r>
        <w:rPr>
          <w:rFonts w:hint="eastAsia" w:ascii="仿宋" w:hAnsi="仿宋" w:eastAsia="仿宋" w:cs="仿宋"/>
          <w:color w:val="auto"/>
          <w:sz w:val="24"/>
          <w:szCs w:val="24"/>
          <w:highlight w:val="none"/>
        </w:rPr>
        <w:t>供应商</w:t>
      </w:r>
    </w:p>
    <w:p w14:paraId="448C95AB">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2.1满足磋商公告对供应商资格要求的规定。</w:t>
      </w:r>
    </w:p>
    <w:p w14:paraId="4F108927">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 满足本磋商文件规定的实质性要求和条件。</w:t>
      </w:r>
    </w:p>
    <w:p w14:paraId="630DF1D0">
      <w:pPr>
        <w:widowControl/>
        <w:spacing w:line="360" w:lineRule="auto"/>
        <w:ind w:firstLine="480"/>
        <w:jc w:val="left"/>
        <w:rPr>
          <w:rFonts w:ascii="仿宋" w:hAnsi="仿宋" w:eastAsia="仿宋" w:cs="仿宋"/>
          <w:color w:val="auto"/>
          <w:sz w:val="24"/>
          <w:szCs w:val="24"/>
          <w:highlight w:val="none"/>
        </w:rPr>
      </w:pPr>
      <w:bookmarkStart w:id="72" w:name="_Toc513029206"/>
      <w:bookmarkStart w:id="73" w:name="_Toc16938522"/>
      <w:bookmarkStart w:id="74" w:name="_Toc20823278"/>
      <w:r>
        <w:rPr>
          <w:rFonts w:hint="eastAsia" w:ascii="仿宋" w:hAnsi="仿宋" w:eastAsia="仿宋" w:cs="仿宋"/>
          <w:color w:val="auto"/>
          <w:sz w:val="24"/>
          <w:szCs w:val="24"/>
          <w:highlight w:val="none"/>
        </w:rPr>
        <w:t>3.适用法律</w:t>
      </w:r>
      <w:bookmarkEnd w:id="72"/>
      <w:bookmarkEnd w:id="73"/>
      <w:bookmarkEnd w:id="74"/>
    </w:p>
    <w:p w14:paraId="120B5382">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3.1 本次磋商及由此产生的合同受中华人民共和国有关的法律法规制约和保护。</w:t>
      </w:r>
    </w:p>
    <w:p w14:paraId="4BDF4A1D">
      <w:pPr>
        <w:widowControl/>
        <w:spacing w:line="360" w:lineRule="auto"/>
        <w:ind w:firstLine="480"/>
        <w:jc w:val="left"/>
        <w:rPr>
          <w:rFonts w:ascii="仿宋" w:hAnsi="仿宋" w:eastAsia="仿宋" w:cs="仿宋"/>
          <w:color w:val="auto"/>
          <w:sz w:val="24"/>
          <w:szCs w:val="24"/>
          <w:highlight w:val="none"/>
        </w:rPr>
      </w:pPr>
      <w:bookmarkStart w:id="75" w:name="_Toc16938523"/>
      <w:bookmarkStart w:id="76" w:name="_Toc20823279"/>
      <w:bookmarkStart w:id="77" w:name="_Toc462564067"/>
      <w:bookmarkStart w:id="78" w:name="_Toc513029207"/>
      <w:r>
        <w:rPr>
          <w:rFonts w:hint="eastAsia" w:ascii="仿宋" w:hAnsi="仿宋" w:eastAsia="仿宋" w:cs="仿宋"/>
          <w:color w:val="auto"/>
          <w:sz w:val="24"/>
          <w:szCs w:val="24"/>
          <w:highlight w:val="none"/>
        </w:rPr>
        <w:t>4.磋商费用</w:t>
      </w:r>
      <w:bookmarkEnd w:id="75"/>
      <w:bookmarkEnd w:id="76"/>
      <w:bookmarkEnd w:id="77"/>
      <w:bookmarkEnd w:id="78"/>
    </w:p>
    <w:p w14:paraId="666AC37E">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4.1供应商应自行承担所有与参加磋商有关的费用，无论磋商过程中的做法和结果如何，交易中心在任何情况下均无义务和责任承担这些费用。</w:t>
      </w:r>
    </w:p>
    <w:p w14:paraId="66C9B733">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4.2本次磋商交易中心和采购人不收取采购文件工本费与成交服务费。</w:t>
      </w:r>
    </w:p>
    <w:p w14:paraId="604A7073">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5.磋商文件的约束力</w:t>
      </w:r>
    </w:p>
    <w:p w14:paraId="46F921D3">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5.1供应商一旦参加本项目采购活动，即被认为接受了本磋商文件的规定和约束。</w:t>
      </w:r>
    </w:p>
    <w:p w14:paraId="40A7A47D">
      <w:pPr>
        <w:widowControl/>
        <w:spacing w:line="360" w:lineRule="auto"/>
        <w:ind w:firstLine="480"/>
        <w:jc w:val="left"/>
        <w:rPr>
          <w:rFonts w:ascii="仿宋" w:hAnsi="仿宋" w:eastAsia="仿宋" w:cs="仿宋"/>
          <w:color w:val="auto"/>
          <w:sz w:val="24"/>
          <w:szCs w:val="24"/>
          <w:highlight w:val="none"/>
        </w:rPr>
      </w:pPr>
      <w:bookmarkStart w:id="79" w:name="_Toc20823281"/>
      <w:bookmarkStart w:id="80" w:name="_Toc16938525"/>
      <w:bookmarkStart w:id="81" w:name="_Toc513029209"/>
      <w:bookmarkStart w:id="82" w:name="_Toc120614215"/>
      <w:r>
        <w:rPr>
          <w:rFonts w:hint="eastAsia" w:ascii="仿宋" w:hAnsi="仿宋" w:eastAsia="仿宋" w:cs="仿宋"/>
          <w:color w:val="auto"/>
          <w:sz w:val="24"/>
          <w:szCs w:val="24"/>
          <w:highlight w:val="none"/>
        </w:rPr>
        <w:t>二、</w:t>
      </w:r>
      <w:bookmarkEnd w:id="79"/>
      <w:bookmarkEnd w:id="80"/>
      <w:bookmarkEnd w:id="81"/>
      <w:bookmarkEnd w:id="82"/>
      <w:r>
        <w:rPr>
          <w:rFonts w:hint="eastAsia" w:ascii="仿宋" w:hAnsi="仿宋" w:eastAsia="仿宋" w:cs="仿宋"/>
          <w:color w:val="auto"/>
          <w:sz w:val="24"/>
          <w:szCs w:val="24"/>
          <w:highlight w:val="none"/>
        </w:rPr>
        <w:t>磋商文件</w:t>
      </w:r>
    </w:p>
    <w:p w14:paraId="789E36F0">
      <w:pPr>
        <w:widowControl/>
        <w:spacing w:line="360" w:lineRule="auto"/>
        <w:ind w:firstLine="480"/>
        <w:jc w:val="left"/>
        <w:rPr>
          <w:rFonts w:ascii="仿宋" w:hAnsi="仿宋" w:eastAsia="仿宋" w:cs="仿宋"/>
          <w:color w:val="auto"/>
          <w:sz w:val="24"/>
          <w:szCs w:val="24"/>
          <w:highlight w:val="none"/>
        </w:rPr>
      </w:pPr>
      <w:bookmarkStart w:id="83" w:name="_Toc20823282"/>
      <w:bookmarkStart w:id="84" w:name="_Toc16938526"/>
      <w:bookmarkStart w:id="85" w:name="_Toc513029210"/>
      <w:r>
        <w:rPr>
          <w:rFonts w:hint="eastAsia" w:ascii="仿宋" w:hAnsi="仿宋" w:eastAsia="仿宋" w:cs="仿宋"/>
          <w:color w:val="auto"/>
          <w:sz w:val="24"/>
          <w:szCs w:val="24"/>
          <w:highlight w:val="none"/>
        </w:rPr>
        <w:t>6.磋商文件构成</w:t>
      </w:r>
      <w:bookmarkEnd w:id="83"/>
      <w:bookmarkEnd w:id="84"/>
      <w:bookmarkEnd w:id="85"/>
    </w:p>
    <w:p w14:paraId="3412192A">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6.1磋商文件由以下部分组成：</w:t>
      </w:r>
    </w:p>
    <w:p w14:paraId="5B11E4BD">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（1）磋商邀请</w:t>
      </w:r>
    </w:p>
    <w:p w14:paraId="69193E7B">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（2）供应商须知</w:t>
      </w:r>
    </w:p>
    <w:p w14:paraId="599C9A11">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（3）合同文本</w:t>
      </w:r>
    </w:p>
    <w:p w14:paraId="0CAA8856">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（4）采购需求</w:t>
      </w:r>
    </w:p>
    <w:p w14:paraId="3EEA1BAD">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（5）评审方法与评审标准</w:t>
      </w:r>
    </w:p>
    <w:p w14:paraId="09C95FA2">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（6）响应文件格式</w:t>
      </w:r>
    </w:p>
    <w:p w14:paraId="6D1F57DA">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供应商应仔细检查磋商文件是否齐全，如有缺漏请立即与交易中心联系解决。</w:t>
      </w:r>
    </w:p>
    <w:p w14:paraId="628988C0">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8BE64BC">
      <w:pPr>
        <w:widowControl/>
        <w:spacing w:line="360" w:lineRule="auto"/>
        <w:ind w:firstLine="480"/>
        <w:jc w:val="left"/>
        <w:rPr>
          <w:rFonts w:ascii="仿宋" w:hAnsi="仿宋" w:eastAsia="仿宋" w:cs="仿宋"/>
          <w:color w:val="auto"/>
          <w:sz w:val="24"/>
          <w:szCs w:val="24"/>
          <w:highlight w:val="none"/>
        </w:rPr>
      </w:pPr>
      <w:bookmarkStart w:id="86" w:name="_Toc462564070"/>
      <w:bookmarkStart w:id="87" w:name="_Toc513029211"/>
      <w:bookmarkStart w:id="88" w:name="_Toc16938527"/>
      <w:bookmarkStart w:id="89" w:name="_Toc20823283"/>
      <w:r>
        <w:rPr>
          <w:rFonts w:hint="eastAsia" w:ascii="仿宋" w:hAnsi="仿宋" w:eastAsia="仿宋" w:cs="仿宋"/>
          <w:color w:val="auto"/>
          <w:sz w:val="24"/>
          <w:szCs w:val="24"/>
          <w:highlight w:val="none"/>
        </w:rPr>
        <w:t>7.磋商文件的澄清</w:t>
      </w:r>
      <w:bookmarkEnd w:id="86"/>
      <w:bookmarkEnd w:id="87"/>
      <w:bookmarkEnd w:id="88"/>
      <w:bookmarkEnd w:id="89"/>
    </w:p>
    <w:p w14:paraId="757E5A42">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7.1 任何要求对磋商文件进行澄清的供应商，应在磋商截止期五日前按磋商公告中的通讯地址，以书面形式通知交易中心。</w:t>
      </w:r>
    </w:p>
    <w:p w14:paraId="7C7E059D">
      <w:pPr>
        <w:widowControl/>
        <w:spacing w:line="360" w:lineRule="auto"/>
        <w:ind w:firstLine="480"/>
        <w:jc w:val="left"/>
        <w:rPr>
          <w:rFonts w:ascii="仿宋" w:hAnsi="仿宋" w:eastAsia="仿宋" w:cs="仿宋"/>
          <w:color w:val="auto"/>
          <w:sz w:val="24"/>
          <w:szCs w:val="24"/>
          <w:highlight w:val="none"/>
        </w:rPr>
      </w:pPr>
      <w:bookmarkStart w:id="90" w:name="_Toc20823284"/>
      <w:bookmarkStart w:id="91" w:name="_Toc513029212"/>
      <w:bookmarkStart w:id="92" w:name="_Toc462564071"/>
      <w:bookmarkStart w:id="93" w:name="_Toc16938528"/>
      <w:r>
        <w:rPr>
          <w:rFonts w:hint="eastAsia" w:ascii="仿宋" w:hAnsi="仿宋" w:eastAsia="仿宋" w:cs="仿宋"/>
          <w:color w:val="auto"/>
          <w:sz w:val="24"/>
          <w:szCs w:val="24"/>
          <w:highlight w:val="none"/>
        </w:rPr>
        <w:t>8.磋商文件的澄清和修改</w:t>
      </w:r>
      <w:bookmarkEnd w:id="90"/>
      <w:bookmarkEnd w:id="91"/>
      <w:bookmarkEnd w:id="92"/>
      <w:bookmarkEnd w:id="93"/>
    </w:p>
    <w:p w14:paraId="0FB20BA6">
      <w:pPr>
        <w:widowControl/>
        <w:spacing w:line="360" w:lineRule="auto"/>
        <w:ind w:firstLine="480"/>
        <w:jc w:val="left"/>
        <w:rPr>
          <w:rFonts w:ascii="仿宋" w:hAnsi="仿宋" w:eastAsia="仿宋" w:cs="仿宋"/>
          <w:color w:val="auto"/>
          <w:sz w:val="24"/>
          <w:szCs w:val="24"/>
          <w:highlight w:val="none"/>
        </w:rPr>
      </w:pPr>
      <w:bookmarkStart w:id="94" w:name="_Toc462564072"/>
      <w:bookmarkStart w:id="95" w:name="_Toc120614216"/>
      <w:bookmarkStart w:id="96" w:name="_Toc16938529"/>
      <w:bookmarkStart w:id="97" w:name="_Toc513029213"/>
      <w:bookmarkStart w:id="98" w:name="_Toc20823285"/>
      <w:r>
        <w:rPr>
          <w:rFonts w:hint="eastAsia" w:ascii="仿宋" w:hAnsi="仿宋" w:eastAsia="仿宋" w:cs="仿宋"/>
          <w:color w:val="auto"/>
          <w:sz w:val="24"/>
          <w:szCs w:val="24"/>
          <w:highlight w:val="none"/>
        </w:rPr>
        <w:t>8.1 在响应文件提交截止时间前，交易中心可以对磋商文件进行修改。磋商文件的修改将在原公告媒体发布更正公告，更正内容将作为磋商文件的组成部分，并对供应商具有约束力。</w:t>
      </w:r>
    </w:p>
    <w:p w14:paraId="42AF1896">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8.2供应商应在提交响应文件截止时间前，关注原公告媒体有关本项目的更正公告，根据更正公告内容自行决定是否需要重新制作和提交响应文件，并承担由此产生的相应责任。</w:t>
      </w:r>
    </w:p>
    <w:p w14:paraId="3D88905E">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8.3交易中心有权按照法定的要求推迟提交响应文件截止时间，并在原公告媒体发布更正公告。</w:t>
      </w:r>
    </w:p>
    <w:p w14:paraId="5A7E96C6">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三、响应文件的编制</w:t>
      </w:r>
      <w:bookmarkEnd w:id="94"/>
      <w:bookmarkEnd w:id="95"/>
      <w:bookmarkEnd w:id="96"/>
      <w:bookmarkEnd w:id="97"/>
      <w:bookmarkEnd w:id="98"/>
    </w:p>
    <w:p w14:paraId="3E4FB4E2">
      <w:pPr>
        <w:widowControl/>
        <w:spacing w:line="360" w:lineRule="auto"/>
        <w:ind w:firstLine="480"/>
        <w:jc w:val="left"/>
        <w:rPr>
          <w:rFonts w:ascii="仿宋" w:hAnsi="仿宋" w:eastAsia="仿宋" w:cs="仿宋"/>
          <w:color w:val="auto"/>
          <w:sz w:val="24"/>
          <w:szCs w:val="24"/>
          <w:highlight w:val="none"/>
        </w:rPr>
      </w:pPr>
      <w:bookmarkStart w:id="99" w:name="_Toc20823286"/>
      <w:bookmarkStart w:id="100" w:name="_Toc513029214"/>
      <w:bookmarkStart w:id="101" w:name="_Toc462564073"/>
      <w:bookmarkStart w:id="102" w:name="_Toc16938530"/>
      <w:r>
        <w:rPr>
          <w:rFonts w:hint="eastAsia" w:ascii="仿宋" w:hAnsi="仿宋" w:eastAsia="仿宋" w:cs="仿宋"/>
          <w:color w:val="auto"/>
          <w:sz w:val="24"/>
          <w:szCs w:val="24"/>
          <w:highlight w:val="none"/>
        </w:rPr>
        <w:t>9.响应文件的语言及度量衡单位</w:t>
      </w:r>
      <w:bookmarkEnd w:id="99"/>
      <w:bookmarkEnd w:id="100"/>
      <w:bookmarkEnd w:id="101"/>
      <w:bookmarkEnd w:id="102"/>
    </w:p>
    <w:p w14:paraId="44D8CB6B">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9.1供应商提交的响应文件以及供应商与交易中心就有关磋商的所有来往通知、函件和文件均应使用简体中文。</w:t>
      </w:r>
    </w:p>
    <w:p w14:paraId="0E97D857">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9.2 除技术性能另有规定外，响应文件所使用的度量衡单位，均须采用国家法定计量单位。</w:t>
      </w:r>
    </w:p>
    <w:p w14:paraId="0B7A1092">
      <w:pPr>
        <w:widowControl/>
        <w:spacing w:line="360" w:lineRule="auto"/>
        <w:ind w:firstLine="480"/>
        <w:jc w:val="left"/>
        <w:rPr>
          <w:rFonts w:ascii="仿宋" w:hAnsi="仿宋" w:eastAsia="仿宋" w:cs="仿宋"/>
          <w:color w:val="auto"/>
          <w:sz w:val="24"/>
          <w:szCs w:val="24"/>
          <w:highlight w:val="none"/>
        </w:rPr>
      </w:pPr>
      <w:bookmarkStart w:id="103" w:name="_Toc20823287"/>
      <w:bookmarkStart w:id="104" w:name="_Toc513029215"/>
      <w:bookmarkStart w:id="105" w:name="_Toc462564074"/>
      <w:bookmarkStart w:id="106" w:name="_Toc16938531"/>
      <w:r>
        <w:rPr>
          <w:rFonts w:hint="eastAsia" w:ascii="仿宋" w:hAnsi="仿宋" w:eastAsia="仿宋" w:cs="仿宋"/>
          <w:color w:val="auto"/>
          <w:sz w:val="24"/>
          <w:szCs w:val="24"/>
          <w:highlight w:val="none"/>
        </w:rPr>
        <w:t>10.响应文件构成</w:t>
      </w:r>
      <w:bookmarkEnd w:id="103"/>
      <w:bookmarkEnd w:id="104"/>
      <w:bookmarkEnd w:id="105"/>
      <w:bookmarkEnd w:id="106"/>
    </w:p>
    <w:p w14:paraId="6788F9B2">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10.1供应商编写的响应文件应包括资格证明文件、符合性证明文件、磋商报价明细表、响应及偏离表、其他证明文件、磋商响应函等部分。</w:t>
      </w:r>
    </w:p>
    <w:p w14:paraId="11773B0A">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10.2 如标书制作工具中格式和内容与“江苏政府采购网”发布的磋商文件不一致，以“江苏政府采购网”发布的磋商文件为准。</w:t>
      </w:r>
    </w:p>
    <w:p w14:paraId="76388C79">
      <w:pPr>
        <w:widowControl/>
        <w:spacing w:line="360" w:lineRule="auto"/>
        <w:ind w:firstLine="480"/>
        <w:jc w:val="left"/>
        <w:rPr>
          <w:rFonts w:ascii="仿宋" w:hAnsi="仿宋" w:eastAsia="仿宋" w:cs="仿宋"/>
          <w:color w:val="auto"/>
          <w:sz w:val="24"/>
          <w:szCs w:val="24"/>
          <w:highlight w:val="none"/>
        </w:rPr>
      </w:pPr>
      <w:bookmarkStart w:id="107" w:name="_Hlt26670360"/>
      <w:bookmarkEnd w:id="107"/>
      <w:bookmarkStart w:id="108" w:name="_Hlt26668975"/>
      <w:bookmarkEnd w:id="108"/>
      <w:bookmarkStart w:id="109" w:name="_Hlt26954838"/>
      <w:bookmarkEnd w:id="109"/>
      <w:bookmarkStart w:id="110" w:name="_Toc14577354"/>
      <w:bookmarkStart w:id="111" w:name="_Toc14577357"/>
      <w:bookmarkStart w:id="112" w:name="_Toc513029216"/>
      <w:bookmarkStart w:id="113" w:name="_Toc49090509"/>
      <w:bookmarkStart w:id="114" w:name="_Toc513029219"/>
      <w:bookmarkStart w:id="115" w:name="_Toc49090507"/>
      <w:bookmarkStart w:id="116" w:name="_Toc49090508"/>
      <w:bookmarkStart w:id="117" w:name="_Toc14577355"/>
      <w:r>
        <w:rPr>
          <w:rFonts w:hint="eastAsia" w:ascii="仿宋" w:hAnsi="仿宋" w:eastAsia="仿宋" w:cs="仿宋"/>
          <w:color w:val="auto"/>
          <w:sz w:val="24"/>
          <w:szCs w:val="24"/>
          <w:highlight w:val="none"/>
        </w:rPr>
        <w:t>11.证明磋商响应标的符合磋商文件规定的文件</w:t>
      </w:r>
      <w:bookmarkEnd w:id="110"/>
      <w:bookmarkEnd w:id="111"/>
      <w:bookmarkEnd w:id="112"/>
      <w:bookmarkEnd w:id="113"/>
      <w:bookmarkEnd w:id="114"/>
      <w:bookmarkEnd w:id="115"/>
    </w:p>
    <w:p w14:paraId="375FEB47">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11.1供应商应按照法律、法规、规章和规范性文件以及磋商文件要求提交证明文件，证明其响应标的符合磋商文件规定。</w:t>
      </w:r>
    </w:p>
    <w:p w14:paraId="096F0BBB">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11.2磋商文件对证明文件无明确形式要求的，证明文件可以以文字资料、图纸和数据等形式提交。</w:t>
      </w:r>
      <w:bookmarkEnd w:id="116"/>
      <w:bookmarkEnd w:id="117"/>
    </w:p>
    <w:p w14:paraId="7465F076">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12.磋商报价明细表</w:t>
      </w:r>
    </w:p>
    <w:p w14:paraId="769B91B0">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12.1供应商应按照磋商文件规定格式填报磋商报价明细表。</w:t>
      </w:r>
    </w:p>
    <w:p w14:paraId="34E24136">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12.2磋商货币。响应文件中的单价和总价无特殊规定的采用人民币报价，以元为单位标注。磋商文件中另有规定的按规定执行。</w:t>
      </w:r>
    </w:p>
    <w:p w14:paraId="205BE68A">
      <w:pPr>
        <w:widowControl/>
        <w:spacing w:line="360" w:lineRule="auto"/>
        <w:ind w:firstLine="480"/>
        <w:jc w:val="left"/>
        <w:rPr>
          <w:rFonts w:ascii="仿宋" w:hAnsi="仿宋" w:eastAsia="仿宋" w:cs="仿宋"/>
          <w:color w:val="auto"/>
          <w:sz w:val="24"/>
          <w:szCs w:val="24"/>
          <w:highlight w:val="none"/>
        </w:rPr>
      </w:pPr>
      <w:bookmarkStart w:id="118" w:name="_Hlt26954846"/>
      <w:bookmarkEnd w:id="118"/>
      <w:bookmarkStart w:id="119" w:name="_Hlt26670486"/>
      <w:bookmarkEnd w:id="119"/>
      <w:bookmarkStart w:id="120" w:name="_Hlt26954731"/>
      <w:bookmarkEnd w:id="120"/>
      <w:bookmarkStart w:id="121" w:name="_Hlt26954848"/>
      <w:bookmarkEnd w:id="121"/>
      <w:bookmarkStart w:id="122" w:name="_Hlt26670482"/>
      <w:bookmarkEnd w:id="122"/>
      <w:r>
        <w:rPr>
          <w:rFonts w:hint="eastAsia" w:ascii="仿宋" w:hAnsi="仿宋" w:eastAsia="仿宋" w:cs="仿宋"/>
          <w:color w:val="auto"/>
          <w:sz w:val="24"/>
          <w:szCs w:val="24"/>
          <w:highlight w:val="none"/>
        </w:rPr>
        <w:t>13.响应及偏离表</w:t>
      </w:r>
    </w:p>
    <w:p w14:paraId="43802CC2">
      <w:pPr>
        <w:widowControl/>
        <w:spacing w:line="360" w:lineRule="auto"/>
        <w:ind w:firstLine="480"/>
        <w:jc w:val="lef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13.1供应商需对磋商文件中的技术要求与商务要求逐项作出响应或偏离说明。</w:t>
      </w:r>
    </w:p>
    <w:p w14:paraId="39F387C3">
      <w:pPr>
        <w:widowControl/>
        <w:spacing w:line="360" w:lineRule="auto"/>
        <w:ind w:firstLine="480"/>
        <w:jc w:val="lef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13.2供应商可在响应文件中提供认为需要的其他技术文件或说明。</w:t>
      </w:r>
    </w:p>
    <w:p w14:paraId="095CDEF1">
      <w:pPr>
        <w:widowControl/>
        <w:spacing w:line="360" w:lineRule="auto"/>
        <w:ind w:firstLine="480"/>
        <w:jc w:val="left"/>
        <w:rPr>
          <w:rFonts w:ascii="仿宋" w:hAnsi="仿宋" w:eastAsia="仿宋" w:cs="仿宋"/>
          <w:color w:val="auto"/>
          <w:sz w:val="24"/>
          <w:szCs w:val="24"/>
          <w:highlight w:val="none"/>
        </w:rPr>
      </w:pPr>
      <w:bookmarkStart w:id="123" w:name="_Toc49090510"/>
      <w:bookmarkStart w:id="124" w:name="_Toc14577359"/>
      <w:r>
        <w:rPr>
          <w:rFonts w:hint="eastAsia" w:ascii="仿宋" w:hAnsi="仿宋" w:eastAsia="仿宋" w:cs="仿宋"/>
          <w:color w:val="auto"/>
          <w:sz w:val="24"/>
          <w:szCs w:val="24"/>
          <w:highlight w:val="none"/>
        </w:rPr>
        <w:t>14.磋商响应函</w:t>
      </w:r>
    </w:p>
    <w:p w14:paraId="0A0C6979">
      <w:pPr>
        <w:widowControl/>
        <w:spacing w:line="360" w:lineRule="auto"/>
        <w:ind w:firstLine="480"/>
        <w:jc w:val="lef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w:t>
      </w: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zh-CN"/>
        </w:rPr>
        <w:t>.1供应商应按照磋商文件规定格式完整、正确填报磋商响应函。</w:t>
      </w:r>
      <w:bookmarkEnd w:id="123"/>
      <w:bookmarkEnd w:id="124"/>
    </w:p>
    <w:p w14:paraId="3027CC3B">
      <w:pPr>
        <w:widowControl/>
        <w:spacing w:line="360" w:lineRule="auto"/>
        <w:ind w:firstLine="480"/>
        <w:jc w:val="left"/>
        <w:rPr>
          <w:rFonts w:ascii="仿宋" w:hAnsi="仿宋" w:eastAsia="仿宋" w:cs="仿宋"/>
          <w:color w:val="auto"/>
          <w:sz w:val="24"/>
          <w:szCs w:val="24"/>
          <w:highlight w:val="none"/>
        </w:rPr>
      </w:pPr>
      <w:bookmarkStart w:id="125" w:name="_Toc49090511"/>
      <w:bookmarkStart w:id="126" w:name="_Toc14577360"/>
      <w:r>
        <w:rPr>
          <w:rFonts w:hint="eastAsia" w:ascii="仿宋" w:hAnsi="仿宋" w:eastAsia="仿宋" w:cs="仿宋"/>
          <w:color w:val="auto"/>
          <w:sz w:val="24"/>
          <w:szCs w:val="24"/>
          <w:highlight w:val="none"/>
        </w:rPr>
        <w:t>15.磋商有效期</w:t>
      </w:r>
      <w:bookmarkEnd w:id="125"/>
      <w:bookmarkEnd w:id="126"/>
    </w:p>
    <w:p w14:paraId="1BB42EA8">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15.1磋商有效期为采购公告规定的提交响应文件截止之日起</w:t>
      </w:r>
      <w:r>
        <w:rPr>
          <w:rFonts w:hint="eastAsia" w:ascii="仿宋" w:hAnsi="仿宋" w:eastAsia="仿宋" w:cs="仿宋"/>
          <w:color w:val="auto"/>
          <w:sz w:val="24"/>
          <w:szCs w:val="24"/>
          <w:highlight w:val="none"/>
          <w:lang w:val="zh-CN"/>
        </w:rPr>
        <w:t>六十天</w:t>
      </w:r>
      <w:r>
        <w:rPr>
          <w:rFonts w:hint="eastAsia" w:ascii="仿宋" w:hAnsi="仿宋" w:eastAsia="仿宋" w:cs="仿宋"/>
          <w:color w:val="auto"/>
          <w:sz w:val="24"/>
          <w:szCs w:val="24"/>
          <w:highlight w:val="none"/>
        </w:rPr>
        <w:t>。磋商有效期比规定短的将被视为非实质性响应磋商文件而被拒绝。</w:t>
      </w:r>
    </w:p>
    <w:p w14:paraId="33197549">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16.磋商有效期的延长</w:t>
      </w:r>
    </w:p>
    <w:p w14:paraId="424FC894">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16.1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p>
    <w:p w14:paraId="351F7E1F">
      <w:pPr>
        <w:widowControl/>
        <w:spacing w:line="360" w:lineRule="auto"/>
        <w:ind w:firstLine="480"/>
        <w:jc w:val="left"/>
        <w:rPr>
          <w:rFonts w:ascii="仿宋" w:hAnsi="仿宋" w:eastAsia="仿宋" w:cs="仿宋"/>
          <w:color w:val="auto"/>
          <w:sz w:val="24"/>
          <w:szCs w:val="24"/>
          <w:highlight w:val="none"/>
        </w:rPr>
      </w:pPr>
      <w:bookmarkStart w:id="127" w:name="_Toc20823296"/>
      <w:bookmarkStart w:id="128" w:name="_Toc513029224"/>
      <w:bookmarkStart w:id="129" w:name="_Toc120614217"/>
      <w:bookmarkStart w:id="130" w:name="_Toc16938540"/>
      <w:r>
        <w:rPr>
          <w:rFonts w:hint="eastAsia" w:ascii="仿宋" w:hAnsi="仿宋" w:eastAsia="仿宋" w:cs="仿宋"/>
          <w:color w:val="auto"/>
          <w:sz w:val="24"/>
          <w:szCs w:val="24"/>
          <w:highlight w:val="none"/>
        </w:rPr>
        <w:t>四、响应文件的递交</w:t>
      </w:r>
      <w:bookmarkEnd w:id="127"/>
      <w:bookmarkEnd w:id="128"/>
      <w:bookmarkEnd w:id="129"/>
      <w:bookmarkEnd w:id="130"/>
    </w:p>
    <w:p w14:paraId="71601C6F">
      <w:pPr>
        <w:widowControl/>
        <w:spacing w:line="360" w:lineRule="auto"/>
        <w:ind w:firstLine="480"/>
        <w:jc w:val="left"/>
        <w:rPr>
          <w:rFonts w:ascii="仿宋" w:hAnsi="仿宋" w:eastAsia="仿宋" w:cs="仿宋"/>
          <w:color w:val="auto"/>
          <w:sz w:val="24"/>
          <w:szCs w:val="24"/>
          <w:highlight w:val="none"/>
        </w:rPr>
      </w:pPr>
      <w:bookmarkStart w:id="131" w:name="_Toc16938541"/>
      <w:bookmarkStart w:id="132" w:name="_Toc20823297"/>
      <w:bookmarkStart w:id="133" w:name="_Toc513029225"/>
      <w:bookmarkStart w:id="134" w:name="_Toc462564084"/>
      <w:r>
        <w:rPr>
          <w:rFonts w:hint="eastAsia" w:ascii="仿宋" w:hAnsi="仿宋" w:eastAsia="仿宋" w:cs="仿宋"/>
          <w:color w:val="auto"/>
          <w:sz w:val="24"/>
          <w:szCs w:val="24"/>
          <w:highlight w:val="none"/>
        </w:rPr>
        <w:t>17.磋商</w:t>
      </w:r>
      <w:bookmarkEnd w:id="131"/>
      <w:bookmarkEnd w:id="132"/>
      <w:bookmarkEnd w:id="133"/>
      <w:bookmarkEnd w:id="134"/>
      <w:r>
        <w:rPr>
          <w:rFonts w:hint="eastAsia" w:ascii="仿宋" w:hAnsi="仿宋" w:eastAsia="仿宋" w:cs="仿宋"/>
          <w:color w:val="auto"/>
          <w:sz w:val="24"/>
          <w:szCs w:val="24"/>
          <w:highlight w:val="none"/>
        </w:rPr>
        <w:t>响应文件的递交</w:t>
      </w:r>
    </w:p>
    <w:p w14:paraId="4B1C5DCD">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17.1供应商应当按照《操作手册》规定，在提交响应文件截止时间前制作并上传电子响应文件。</w:t>
      </w:r>
      <w:bookmarkStart w:id="135" w:name="_Toc20823298"/>
      <w:bookmarkEnd w:id="135"/>
      <w:bookmarkStart w:id="136" w:name="_Toc16938542"/>
      <w:bookmarkEnd w:id="136"/>
      <w:bookmarkStart w:id="137" w:name="_Toc513029226"/>
      <w:bookmarkEnd w:id="137"/>
    </w:p>
    <w:p w14:paraId="4D472AFB">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17.2 供应商应充分考虑网络环境、网络带宽等因素可能对磋商产生的影响，如因供应商自身原因造成的电子响应文件上传不成功的，按照本磋商文件第二章第24.3条规定做无效响应处理。</w:t>
      </w:r>
    </w:p>
    <w:p w14:paraId="0E1DE3CD">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17.3交易中心可以按照规定，通过修改磋商文件酌情延长提交响应文件截止日期，在此情况下，供应商的所有权利和义务均以延长后新的截止日期为准。</w:t>
      </w:r>
    </w:p>
    <w:p w14:paraId="15F728E1">
      <w:pPr>
        <w:widowControl/>
        <w:spacing w:line="360" w:lineRule="auto"/>
        <w:ind w:firstLine="480"/>
        <w:jc w:val="left"/>
        <w:rPr>
          <w:rFonts w:ascii="仿宋" w:hAnsi="仿宋" w:eastAsia="仿宋" w:cs="仿宋"/>
          <w:color w:val="auto"/>
          <w:sz w:val="24"/>
          <w:szCs w:val="24"/>
          <w:highlight w:val="none"/>
        </w:rPr>
      </w:pPr>
      <w:bookmarkStart w:id="138" w:name="_Toc16938543"/>
      <w:bookmarkStart w:id="139" w:name="_Toc20823299"/>
      <w:bookmarkStart w:id="140" w:name="_Toc513029227"/>
      <w:r>
        <w:rPr>
          <w:rFonts w:hint="eastAsia" w:ascii="仿宋" w:hAnsi="仿宋" w:eastAsia="仿宋" w:cs="仿宋"/>
          <w:color w:val="auto"/>
          <w:sz w:val="24"/>
          <w:szCs w:val="24"/>
          <w:highlight w:val="none"/>
        </w:rPr>
        <w:t>18.响应文件</w:t>
      </w:r>
      <w:bookmarkEnd w:id="138"/>
      <w:bookmarkEnd w:id="139"/>
      <w:bookmarkEnd w:id="140"/>
      <w:r>
        <w:rPr>
          <w:rFonts w:hint="eastAsia" w:ascii="仿宋" w:hAnsi="仿宋" w:eastAsia="仿宋" w:cs="仿宋"/>
          <w:color w:val="auto"/>
          <w:sz w:val="24"/>
          <w:szCs w:val="24"/>
          <w:highlight w:val="none"/>
        </w:rPr>
        <w:t>的拒收</w:t>
      </w:r>
    </w:p>
    <w:p w14:paraId="1CDD4672">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18.1 交易中心拒绝接收提交响应文件截止时间后上传的任何电子响应文件。</w:t>
      </w:r>
    </w:p>
    <w:p w14:paraId="461BE283">
      <w:pPr>
        <w:widowControl/>
        <w:spacing w:line="360" w:lineRule="auto"/>
        <w:ind w:firstLine="480"/>
        <w:jc w:val="left"/>
        <w:rPr>
          <w:rFonts w:ascii="仿宋" w:hAnsi="仿宋" w:eastAsia="仿宋" w:cs="仿宋"/>
          <w:color w:val="auto"/>
          <w:sz w:val="24"/>
          <w:szCs w:val="24"/>
          <w:highlight w:val="none"/>
        </w:rPr>
      </w:pPr>
      <w:bookmarkStart w:id="141" w:name="_Toc16938544"/>
      <w:bookmarkStart w:id="142" w:name="_Toc513029228"/>
      <w:bookmarkStart w:id="143" w:name="_Toc20823300"/>
      <w:r>
        <w:rPr>
          <w:rFonts w:hint="eastAsia" w:ascii="仿宋" w:hAnsi="仿宋" w:eastAsia="仿宋" w:cs="仿宋"/>
          <w:color w:val="auto"/>
          <w:sz w:val="24"/>
          <w:szCs w:val="24"/>
          <w:highlight w:val="none"/>
        </w:rPr>
        <w:t>19.响应文件的撤回和修改</w:t>
      </w:r>
      <w:bookmarkEnd w:id="141"/>
      <w:bookmarkEnd w:id="142"/>
      <w:bookmarkEnd w:id="143"/>
    </w:p>
    <w:p w14:paraId="618D33D7">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19.1响应文件的撤回</w:t>
      </w:r>
    </w:p>
    <w:p w14:paraId="30803881">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19.1.1供应商可在提交响应文件截止时间前，撤回其电子响应文件，具体操作方法见《操作手册》。</w:t>
      </w:r>
    </w:p>
    <w:p w14:paraId="0183A883">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19.1.2供应商撤回电子响应文件，则认为其不再参与本项目磋商活动。</w:t>
      </w:r>
    </w:p>
    <w:p w14:paraId="6EADB019">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19.2响应文件的修改</w:t>
      </w:r>
    </w:p>
    <w:p w14:paraId="0E455F2F">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19.2.1 供应商可在提交响应文件截止时间前，对其电子响应文件进行修改，具体操作方法见《操作手册》。</w:t>
      </w:r>
    </w:p>
    <w:p w14:paraId="770E4D28">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19.2.2 在提交响应文件截止时间之后，供应商不得对其电子响应文件作任何修改。</w:t>
      </w:r>
    </w:p>
    <w:p w14:paraId="5A7FB31F">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19.3 在提交响应文件截止时间至磋商文件中规定的磋商有效期满之间的这段时间内，供应商不得撤回其响应文件。</w:t>
      </w:r>
    </w:p>
    <w:p w14:paraId="6187B177">
      <w:pPr>
        <w:widowControl/>
        <w:spacing w:line="360" w:lineRule="auto"/>
        <w:ind w:firstLine="480"/>
        <w:jc w:val="left"/>
        <w:rPr>
          <w:rFonts w:ascii="仿宋" w:hAnsi="仿宋" w:eastAsia="仿宋" w:cs="仿宋"/>
          <w:color w:val="auto"/>
          <w:sz w:val="24"/>
          <w:szCs w:val="24"/>
          <w:highlight w:val="none"/>
        </w:rPr>
      </w:pPr>
      <w:bookmarkStart w:id="144" w:name="_Toc513029229"/>
      <w:bookmarkStart w:id="145" w:name="_Toc120614218"/>
      <w:bookmarkStart w:id="146" w:name="_Toc16938545"/>
      <w:bookmarkStart w:id="147" w:name="_Toc20823301"/>
      <w:r>
        <w:rPr>
          <w:rFonts w:hint="eastAsia" w:ascii="仿宋" w:hAnsi="仿宋" w:eastAsia="仿宋" w:cs="仿宋"/>
          <w:color w:val="auto"/>
          <w:sz w:val="24"/>
          <w:szCs w:val="24"/>
          <w:highlight w:val="none"/>
        </w:rPr>
        <w:t>五、响应文件的解密与评审</w:t>
      </w:r>
      <w:bookmarkEnd w:id="144"/>
      <w:bookmarkEnd w:id="145"/>
      <w:bookmarkEnd w:id="146"/>
      <w:bookmarkEnd w:id="147"/>
    </w:p>
    <w:p w14:paraId="306D7645">
      <w:pPr>
        <w:widowControl/>
        <w:spacing w:line="360" w:lineRule="auto"/>
        <w:ind w:firstLine="480"/>
        <w:jc w:val="left"/>
        <w:rPr>
          <w:rFonts w:ascii="仿宋" w:hAnsi="仿宋" w:eastAsia="仿宋" w:cs="仿宋"/>
          <w:color w:val="auto"/>
          <w:sz w:val="24"/>
          <w:szCs w:val="24"/>
          <w:highlight w:val="none"/>
        </w:rPr>
      </w:pPr>
      <w:bookmarkStart w:id="148" w:name="_Toc513029230"/>
      <w:bookmarkStart w:id="149" w:name="_Toc16938546"/>
      <w:bookmarkStart w:id="150" w:name="_Toc20823302"/>
      <w:r>
        <w:rPr>
          <w:rFonts w:hint="eastAsia" w:ascii="仿宋" w:hAnsi="仿宋" w:eastAsia="仿宋" w:cs="仿宋"/>
          <w:color w:val="auto"/>
          <w:sz w:val="24"/>
          <w:szCs w:val="24"/>
          <w:highlight w:val="none"/>
        </w:rPr>
        <w:t>2</w:t>
      </w:r>
      <w:bookmarkEnd w:id="148"/>
      <w:bookmarkEnd w:id="149"/>
      <w:bookmarkEnd w:id="150"/>
      <w:r>
        <w:rPr>
          <w:rFonts w:hint="eastAsia" w:ascii="仿宋" w:hAnsi="仿宋" w:eastAsia="仿宋" w:cs="仿宋"/>
          <w:color w:val="auto"/>
          <w:sz w:val="24"/>
          <w:szCs w:val="24"/>
          <w:highlight w:val="none"/>
        </w:rPr>
        <w:t>0.响应文件解密</w:t>
      </w:r>
    </w:p>
    <w:p w14:paraId="5762144F">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20.1 供应商应当按照《操作手册》规定，在苏采云系统规定的时间内对磋商响应文件进行解密。</w:t>
      </w:r>
    </w:p>
    <w:p w14:paraId="3210D54B">
      <w:pPr>
        <w:widowControl/>
        <w:spacing w:line="360" w:lineRule="auto"/>
        <w:ind w:firstLine="480"/>
        <w:jc w:val="left"/>
        <w:rPr>
          <w:rFonts w:ascii="仿宋" w:hAnsi="仿宋" w:eastAsia="仿宋" w:cs="仿宋"/>
          <w:color w:val="auto"/>
          <w:sz w:val="24"/>
          <w:szCs w:val="24"/>
          <w:highlight w:val="none"/>
        </w:rPr>
      </w:pPr>
      <w:bookmarkStart w:id="151" w:name="_Toc20823303"/>
      <w:bookmarkStart w:id="152" w:name="_Toc513029231"/>
      <w:bookmarkStart w:id="153" w:name="_Toc16938547"/>
      <w:r>
        <w:rPr>
          <w:rFonts w:hint="eastAsia" w:ascii="仿宋" w:hAnsi="仿宋" w:eastAsia="仿宋" w:cs="仿宋"/>
          <w:color w:val="auto"/>
          <w:sz w:val="24"/>
          <w:szCs w:val="24"/>
          <w:highlight w:val="none"/>
        </w:rPr>
        <w:t>21.磋商</w:t>
      </w:r>
    </w:p>
    <w:p w14:paraId="2DA256B2">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21.1 交易中心将组织磋商小组对响应文件进行评审。</w:t>
      </w:r>
    </w:p>
    <w:p w14:paraId="7C1742A7">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21.2 磋商小组由采购人代表和有关技术、经济等方面的专家组成，且人员构成符合政府采购有关规定。</w:t>
      </w:r>
    </w:p>
    <w:p w14:paraId="27B466BA">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21.3 磋商小组独立工作，负责评审所有响应文件并推荐成交侯选人，或根据采购人授权直接确定成交供应商。</w:t>
      </w:r>
    </w:p>
    <w:p w14:paraId="1543564B">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22.评审过程的保密与公正</w:t>
      </w:r>
      <w:bookmarkEnd w:id="151"/>
      <w:bookmarkEnd w:id="152"/>
      <w:bookmarkEnd w:id="153"/>
    </w:p>
    <w:p w14:paraId="4ED121BC">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22.1 磋商小组、采购人和交易中心工作人员、相关监督人员等与评审工作有关的人员，对评审情况以及在评审过程中获悉的国家秘密、商业秘密负有保密责任。</w:t>
      </w:r>
    </w:p>
    <w:p w14:paraId="56B21C41">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22.2 在评审过程中，供应商不得以任何行为影响磋商评审过程，否则其响应文件将被作为无效响应文件。</w:t>
      </w:r>
    </w:p>
    <w:p w14:paraId="7BB43B17">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22.3 交易中心和磋商小组不向未成交的供应商解释未成交原因，也不公布评审过程中的相关细节。</w:t>
      </w:r>
    </w:p>
    <w:p w14:paraId="0DCFB05B">
      <w:pPr>
        <w:widowControl/>
        <w:spacing w:line="360" w:lineRule="auto"/>
        <w:ind w:firstLine="480"/>
        <w:jc w:val="left"/>
        <w:rPr>
          <w:rFonts w:ascii="仿宋" w:hAnsi="仿宋" w:eastAsia="仿宋" w:cs="仿宋"/>
          <w:color w:val="auto"/>
          <w:sz w:val="24"/>
          <w:szCs w:val="24"/>
          <w:highlight w:val="none"/>
        </w:rPr>
      </w:pPr>
      <w:bookmarkStart w:id="154" w:name="_Toc16938548"/>
      <w:bookmarkStart w:id="155" w:name="_Toc513029232"/>
      <w:bookmarkStart w:id="156" w:name="_Toc20823304"/>
      <w:r>
        <w:rPr>
          <w:rFonts w:hint="eastAsia" w:ascii="仿宋" w:hAnsi="仿宋" w:eastAsia="仿宋" w:cs="仿宋"/>
          <w:color w:val="auto"/>
          <w:sz w:val="24"/>
          <w:szCs w:val="24"/>
          <w:highlight w:val="none"/>
        </w:rPr>
        <w:t>23.评审过程中的澄清</w:t>
      </w:r>
      <w:bookmarkEnd w:id="154"/>
      <w:bookmarkEnd w:id="155"/>
      <w:bookmarkEnd w:id="156"/>
    </w:p>
    <w:p w14:paraId="12E65D37">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23.1 项目评审期间，磋商小组有权要求供应商对响应文件中含义不明确、同类问题表述不一致或者有明显文字和计算错误的内容等作出必要的澄清、说明或者补正。</w:t>
      </w:r>
    </w:p>
    <w:p w14:paraId="4FC6ADC1">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供应商的澄清、说明或者更正不得超出响应文件的范围或者改变响应文件的实质性内容。</w:t>
      </w:r>
    </w:p>
    <w:p w14:paraId="7CAD5AF9">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磋商小组并非对每个供应商都作澄清要求。</w:t>
      </w:r>
    </w:p>
    <w:p w14:paraId="5BDAADD1">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23.2 需要供应商进行澄清、说明和补正的，磋商小组将通过苏采云系统向供应商发布</w:t>
      </w:r>
      <w:r>
        <w:rPr>
          <w:rFonts w:hint="eastAsia" w:ascii="仿宋" w:hAnsi="仿宋" w:eastAsia="仿宋" w:cs="仿宋"/>
          <w:color w:val="auto"/>
          <w:sz w:val="24"/>
          <w:szCs w:val="24"/>
          <w:highlight w:val="none"/>
          <w:lang w:val="zh-CN"/>
        </w:rPr>
        <w:t>《澄清要求函》</w:t>
      </w:r>
      <w:r>
        <w:rPr>
          <w:rFonts w:hint="eastAsia" w:ascii="仿宋" w:hAnsi="仿宋" w:eastAsia="仿宋" w:cs="仿宋"/>
          <w:color w:val="auto"/>
          <w:sz w:val="24"/>
          <w:szCs w:val="24"/>
          <w:highlight w:val="none"/>
        </w:rPr>
        <w:t>，接到</w:t>
      </w:r>
      <w:r>
        <w:rPr>
          <w:rFonts w:hint="eastAsia" w:ascii="仿宋" w:hAnsi="仿宋" w:eastAsia="仿宋" w:cs="仿宋"/>
          <w:color w:val="auto"/>
          <w:sz w:val="24"/>
          <w:szCs w:val="24"/>
          <w:highlight w:val="none"/>
          <w:lang w:val="zh-CN"/>
        </w:rPr>
        <w:t>《澄清要求函》</w:t>
      </w:r>
      <w:r>
        <w:rPr>
          <w:rFonts w:hint="eastAsia" w:ascii="仿宋" w:hAnsi="仿宋" w:eastAsia="仿宋" w:cs="仿宋"/>
          <w:color w:val="auto"/>
          <w:sz w:val="24"/>
          <w:szCs w:val="24"/>
          <w:highlight w:val="none"/>
        </w:rPr>
        <w:t>的供应商应当按照要求在苏采云系统中提交</w:t>
      </w:r>
      <w:r>
        <w:rPr>
          <w:rFonts w:hint="eastAsia" w:ascii="仿宋" w:hAnsi="仿宋" w:eastAsia="仿宋" w:cs="仿宋"/>
          <w:color w:val="auto"/>
          <w:sz w:val="24"/>
          <w:szCs w:val="24"/>
          <w:highlight w:val="none"/>
          <w:lang w:val="zh-CN"/>
        </w:rPr>
        <w:t>《澄清要求函》</w:t>
      </w:r>
      <w:r>
        <w:rPr>
          <w:rFonts w:hint="eastAsia" w:ascii="仿宋" w:hAnsi="仿宋" w:eastAsia="仿宋" w:cs="仿宋"/>
          <w:color w:val="auto"/>
          <w:sz w:val="24"/>
          <w:szCs w:val="24"/>
          <w:highlight w:val="none"/>
        </w:rPr>
        <w:t>并加盖电子公章。澄清、说明和更正的内容作为响应文件的补充部分，具体操作方式见《操作手册》。</w:t>
      </w:r>
    </w:p>
    <w:p w14:paraId="258BDCC1">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23.3 接到磋商小组澄清、说明和更正要求的供应商如未按规定做出澄清、说明和更正，其风险由供应商自行承担。</w:t>
      </w:r>
    </w:p>
    <w:p w14:paraId="3F37492A">
      <w:pPr>
        <w:widowControl/>
        <w:spacing w:line="360" w:lineRule="auto"/>
        <w:ind w:firstLine="480"/>
        <w:jc w:val="left"/>
        <w:rPr>
          <w:rFonts w:ascii="仿宋" w:hAnsi="仿宋" w:eastAsia="仿宋" w:cs="仿宋"/>
          <w:color w:val="auto"/>
          <w:sz w:val="24"/>
          <w:szCs w:val="24"/>
          <w:highlight w:val="none"/>
        </w:rPr>
      </w:pPr>
      <w:bookmarkStart w:id="157" w:name="_Toc513029233"/>
      <w:bookmarkStart w:id="158" w:name="_Toc16938549"/>
      <w:bookmarkStart w:id="159" w:name="_Toc20823305"/>
      <w:r>
        <w:rPr>
          <w:rFonts w:hint="eastAsia" w:ascii="仿宋" w:hAnsi="仿宋" w:eastAsia="仿宋" w:cs="仿宋"/>
          <w:color w:val="auto"/>
          <w:sz w:val="24"/>
          <w:szCs w:val="24"/>
          <w:highlight w:val="none"/>
        </w:rPr>
        <w:t>24.响应文件的审</w:t>
      </w:r>
      <w:bookmarkEnd w:id="157"/>
      <w:bookmarkEnd w:id="158"/>
      <w:bookmarkEnd w:id="159"/>
      <w:r>
        <w:rPr>
          <w:rFonts w:hint="eastAsia" w:ascii="仿宋" w:hAnsi="仿宋" w:eastAsia="仿宋" w:cs="仿宋"/>
          <w:color w:val="auto"/>
          <w:sz w:val="24"/>
          <w:szCs w:val="24"/>
          <w:highlight w:val="none"/>
        </w:rPr>
        <w:t>查</w:t>
      </w:r>
    </w:p>
    <w:p w14:paraId="25325E74">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24.1 响应文件审查分为资格审查和符合性审查。</w:t>
      </w:r>
    </w:p>
    <w:p w14:paraId="6852A9A3">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24.1.1 资格审查。依据法律法规和磋商文件的规定，对响应文件中的资格证明文件进行审查，以确定供应商是否具备参加磋商的资格。</w:t>
      </w:r>
    </w:p>
    <w:p w14:paraId="563F4C36">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磋商小组在进行资格审查的同时，将在“信用中国”网站（www.creditchina.gov.cn）查询供应商的信用记录，以确定供应商是否具备磋商资格,查询结果留存并归档。</w:t>
      </w:r>
    </w:p>
    <w:p w14:paraId="2691B121">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69E7018E">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24.1.2 符合性审查。依据磋商文件的规定，由磋商小组从响应文件的有效性、完整性和对磋商文件的响应程度进行审查，以确定是否对磋商文件的实质性要求作出响应。</w:t>
      </w:r>
    </w:p>
    <w:p w14:paraId="428F4AF4">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24.1.3 未通过资格审查或符合性审查的供应商，磋商小组将在苏采云系统中告知具体原因，评审结束后磋商小组将不再告知未通过资格审查或符合性审查的原因。</w:t>
      </w:r>
    </w:p>
    <w:p w14:paraId="04403B11">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24.2 在详细评审之前，磋商小组将首先审查每份响应文件是否实质性响应了磋商文件的要求。实质性响应的响应文件应该是与磋商文件要求的条款、条件和规格相符，没有重大偏离或保留的文件。</w:t>
      </w:r>
    </w:p>
    <w:p w14:paraId="44790124">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由磋商小组按照少数服从多数的原则作出结论。磋商小组决定响应文件的响应性只根据响应文件本身的内容，而不寻求外部的证据。</w:t>
      </w:r>
    </w:p>
    <w:p w14:paraId="06532AB1">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24.3 未实质性响应磋商文件的情形</w:t>
      </w:r>
    </w:p>
    <w:p w14:paraId="31799D30">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24.3.1 供应商在苏采云系统规定的时间内未成功解密电子响应文件的。</w:t>
      </w:r>
    </w:p>
    <w:p w14:paraId="54D43726">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24.3.2 供应商未按照磋商文件要求上传电子响应文件的。</w:t>
      </w:r>
    </w:p>
    <w:p w14:paraId="5EC24AFC">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24.3.3 同一供应商提交两个（含两个）以上不同的响应文件或者最后报价的。</w:t>
      </w:r>
    </w:p>
    <w:p w14:paraId="73525A79">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24.3.4 供应商不具备磋商文件中规定资格要求的。</w:t>
      </w:r>
    </w:p>
    <w:p w14:paraId="58D2797D">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24.3.5 供应商的最后报价超过了采购预算或最高限价的。</w:t>
      </w:r>
    </w:p>
    <w:p w14:paraId="12AD9E75">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24.3.6 不符合磋商文件中规定的实质性要求和条件的（本磋商文件中斜体且有下划线部分</w:t>
      </w:r>
      <w:r>
        <w:rPr>
          <w:rFonts w:hint="eastAsia" w:ascii="仿宋" w:hAnsi="仿宋" w:eastAsia="仿宋" w:cs="仿宋"/>
          <w:color w:val="auto"/>
          <w:sz w:val="24"/>
          <w:szCs w:val="24"/>
          <w:highlight w:val="none"/>
          <w:lang w:val="zh-CN"/>
        </w:rPr>
        <w:t>或者打“</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zh-CN"/>
        </w:rPr>
        <w:t>”内容，</w:t>
      </w:r>
      <w:r>
        <w:rPr>
          <w:rFonts w:hint="eastAsia" w:ascii="仿宋" w:hAnsi="仿宋" w:eastAsia="仿宋" w:cs="仿宋"/>
          <w:color w:val="auto"/>
          <w:sz w:val="24"/>
          <w:szCs w:val="24"/>
          <w:highlight w:val="none"/>
        </w:rPr>
        <w:t>为实质性要求和条件）。</w:t>
      </w:r>
    </w:p>
    <w:p w14:paraId="7E483F83">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3D22D70">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24.3.8 响应文件含有采购人不能接受的附加条件的。</w:t>
      </w:r>
    </w:p>
    <w:p w14:paraId="6A4B42A8">
      <w:pPr>
        <w:widowControl/>
        <w:spacing w:line="360" w:lineRule="auto"/>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24.3.9</w:t>
      </w:r>
      <w:r>
        <w:rPr>
          <w:rFonts w:hint="eastAsia" w:ascii="仿宋" w:hAnsi="仿宋" w:eastAsia="仿宋" w:cs="仿宋"/>
          <w:color w:val="auto"/>
          <w:sz w:val="24"/>
          <w:szCs w:val="24"/>
          <w:highlight w:val="none"/>
          <w:lang w:val="en-US" w:eastAsia="zh-CN"/>
        </w:rPr>
        <w:t>磋商小组认为供应商的报价明显低于其他通过符合性审查供应商的报价，有可能影响服务质量或者不能诚信履约的，将通过苏采云系统要求其在30分钟内提供说明，必要时提交相关证明材料。供应商不能证明其报价合理性的，磋商小组应当将其作为无效响应处理。评审委员会将启动异常低价投标审查程序，具体异常低价的情形及相关内容按照苏财购[2026]36号文件转发的《财政部关于推动解决政府采购异常低价问题的通知》(财库[2026]2号)规定执行，包括：</w:t>
      </w:r>
    </w:p>
    <w:p w14:paraId="7EBED62A">
      <w:pPr>
        <w:widowControl/>
        <w:spacing w:line="360" w:lineRule="auto"/>
        <w:ind w:firstLine="480"/>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（一）评审过程中出现下列情形之一的，评审委员会应当启动异常低价投标（响应）审查程序：</w:t>
      </w:r>
    </w:p>
    <w:p w14:paraId="70B31337">
      <w:pPr>
        <w:widowControl/>
        <w:spacing w:line="360" w:lineRule="auto"/>
        <w:ind w:firstLine="480"/>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1.投标报价低于全部通过符合性审查供应商投标报价平均值65%的，即投标报价&lt;全部通过符合性审查供应商投标报价平均值×65%；</w:t>
      </w:r>
    </w:p>
    <w:p w14:paraId="0EB04041">
      <w:pPr>
        <w:widowControl/>
        <w:spacing w:line="360" w:lineRule="auto"/>
        <w:ind w:firstLine="480"/>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2.投标报价低于通过符合性审查的次低报价供应商投标报价65%的，即投标报价&lt;通过符合性审查的次低报价供应商投标报价×65%；</w:t>
      </w:r>
    </w:p>
    <w:p w14:paraId="172E36CD">
      <w:pPr>
        <w:widowControl/>
        <w:spacing w:line="360" w:lineRule="auto"/>
        <w:ind w:firstLine="480"/>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3.投标报价低于采购项目最高限价65%的，即投标报价&lt;采购项目最高限价×65%；</w:t>
      </w:r>
    </w:p>
    <w:p w14:paraId="12BE2CF5">
      <w:pPr>
        <w:widowControl/>
        <w:spacing w:line="360" w:lineRule="auto"/>
        <w:ind w:firstLine="480"/>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4.评委会基于专业判断，认为供应商报价过低，有可能影响服务质量或者不能诚信履约的其他情形。</w:t>
      </w:r>
    </w:p>
    <w:p w14:paraId="52EF5718">
      <w:pPr>
        <w:widowControl/>
        <w:spacing w:line="360" w:lineRule="auto"/>
        <w:ind w:firstLine="480"/>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启动异常低价投标（响应）审查后，评审委员会应当要求相关供应商在评标合理的时间内，提供项目具体成本测算等与报价合理性相关的说明及相关证明材料，对投标（响应）价格作出解释，由评审委员会结合该行业当地薪资水平等情况，依据专业经验对供应商报价合理性进行判断。投标（响应）供应商不提供书面说明、证明材料，或者提供的说明、证明材料不能证明其报价合理性的，评审委员会应当将其作为无效投标（响应）处理。</w:t>
      </w:r>
    </w:p>
    <w:p w14:paraId="10BE8A63">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24.3.10 响应文件未按照磋商文件要求加盖电子公章的。</w:t>
      </w:r>
    </w:p>
    <w:p w14:paraId="57D800AC">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24.3.11 法律法规及本磋商文件规定的其他无效响应的情形。</w:t>
      </w:r>
    </w:p>
    <w:p w14:paraId="4F69DE09">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24.4 未实质性响应磋商文件</w:t>
      </w:r>
      <w:r>
        <w:rPr>
          <w:rFonts w:hint="eastAsia" w:ascii="仿宋" w:hAnsi="仿宋" w:eastAsia="仿宋" w:cs="仿宋"/>
          <w:color w:val="auto"/>
          <w:sz w:val="24"/>
          <w:szCs w:val="24"/>
          <w:highlight w:val="none"/>
          <w:lang w:val="en-US" w:eastAsia="zh-CN"/>
        </w:rPr>
        <w:t>或</w:t>
      </w:r>
      <w:r>
        <w:rPr>
          <w:rFonts w:hint="eastAsia" w:ascii="仿宋" w:hAnsi="仿宋" w:eastAsia="仿宋" w:cs="仿宋"/>
          <w:color w:val="auto"/>
          <w:sz w:val="24"/>
          <w:szCs w:val="24"/>
          <w:highlight w:val="none"/>
        </w:rPr>
        <w:t>不按照</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文件要求</w:t>
      </w:r>
      <w:r>
        <w:rPr>
          <w:rFonts w:hint="eastAsia" w:ascii="仿宋" w:hAnsi="仿宋" w:eastAsia="仿宋" w:cs="仿宋"/>
          <w:color w:val="auto"/>
          <w:sz w:val="24"/>
          <w:szCs w:val="24"/>
          <w:highlight w:val="none"/>
          <w:lang w:val="en-US" w:eastAsia="zh-CN"/>
        </w:rPr>
        <w:t>格式进行</w:t>
      </w:r>
      <w:r>
        <w:rPr>
          <w:rFonts w:hint="eastAsia" w:ascii="仿宋" w:hAnsi="仿宋" w:eastAsia="仿宋" w:cs="仿宋"/>
          <w:color w:val="auto"/>
          <w:sz w:val="24"/>
          <w:szCs w:val="24"/>
          <w:highlight w:val="none"/>
        </w:rPr>
        <w:t>签署</w:t>
      </w:r>
      <w:r>
        <w:rPr>
          <w:rFonts w:hint="eastAsia" w:ascii="仿宋" w:hAnsi="仿宋" w:eastAsia="仿宋" w:cs="仿宋"/>
          <w:color w:val="auto"/>
          <w:sz w:val="24"/>
          <w:szCs w:val="24"/>
          <w:highlight w:val="none"/>
          <w:lang w:val="en-US" w:eastAsia="zh-CN"/>
        </w:rPr>
        <w:t>及</w:t>
      </w:r>
      <w:r>
        <w:rPr>
          <w:rFonts w:hint="eastAsia" w:ascii="仿宋" w:hAnsi="仿宋" w:eastAsia="仿宋" w:cs="仿宋"/>
          <w:color w:val="auto"/>
          <w:sz w:val="24"/>
          <w:szCs w:val="24"/>
          <w:highlight w:val="none"/>
        </w:rPr>
        <w:t>盖章</w:t>
      </w:r>
      <w:r>
        <w:rPr>
          <w:rFonts w:hint="eastAsia" w:ascii="仿宋" w:hAnsi="仿宋" w:eastAsia="仿宋" w:cs="仿宋"/>
          <w:color w:val="auto"/>
          <w:sz w:val="24"/>
          <w:szCs w:val="24"/>
          <w:highlight w:val="none"/>
          <w:lang w:val="en-US" w:eastAsia="zh-CN"/>
        </w:rPr>
        <w:t>的响应文件</w:t>
      </w:r>
      <w:r>
        <w:rPr>
          <w:rFonts w:hint="eastAsia" w:ascii="仿宋" w:hAnsi="仿宋" w:eastAsia="仿宋" w:cs="仿宋"/>
          <w:color w:val="auto"/>
          <w:sz w:val="24"/>
          <w:szCs w:val="24"/>
          <w:highlight w:val="none"/>
        </w:rPr>
        <w:t>按无效响应处理。</w:t>
      </w:r>
    </w:p>
    <w:p w14:paraId="24531B0F">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24.5 如果响应文件实质上没有响应磋商文件的要求，磋商小组将予以拒绝，供应商不得通过修改或撤销不合要求的偏离或保留而使其成为实质性响应的文件。</w:t>
      </w:r>
    </w:p>
    <w:p w14:paraId="65F5A2AB">
      <w:pPr>
        <w:widowControl/>
        <w:spacing w:line="360" w:lineRule="auto"/>
        <w:ind w:firstLine="480"/>
        <w:jc w:val="left"/>
        <w:rPr>
          <w:rFonts w:ascii="仿宋" w:hAnsi="仿宋" w:eastAsia="仿宋" w:cs="仿宋"/>
          <w:color w:val="auto"/>
          <w:sz w:val="24"/>
          <w:szCs w:val="24"/>
          <w:highlight w:val="none"/>
        </w:rPr>
      </w:pPr>
      <w:bookmarkStart w:id="160" w:name="_Toc513029234"/>
      <w:bookmarkStart w:id="161" w:name="_Toc16938550"/>
      <w:bookmarkStart w:id="162" w:name="_Toc20823306"/>
      <w:r>
        <w:rPr>
          <w:rFonts w:hint="eastAsia" w:ascii="仿宋" w:hAnsi="仿宋" w:eastAsia="仿宋" w:cs="仿宋"/>
          <w:color w:val="auto"/>
          <w:sz w:val="24"/>
          <w:szCs w:val="24"/>
          <w:highlight w:val="none"/>
        </w:rPr>
        <w:t>24.6 供应商在项目评审全过程中应保持通讯畅通，并安排专人与交易中心及磋商小组联系。</w:t>
      </w:r>
    </w:p>
    <w:p w14:paraId="4EFD452A">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bookmarkEnd w:id="160"/>
      <w:bookmarkEnd w:id="161"/>
      <w:bookmarkEnd w:id="162"/>
      <w:r>
        <w:rPr>
          <w:rFonts w:hint="eastAsia" w:ascii="仿宋" w:hAnsi="仿宋" w:eastAsia="仿宋" w:cs="仿宋"/>
          <w:color w:val="auto"/>
          <w:sz w:val="24"/>
          <w:szCs w:val="24"/>
          <w:highlight w:val="none"/>
        </w:rPr>
        <w:t>5.磋商程序及评审方法和评审标准</w:t>
      </w:r>
    </w:p>
    <w:p w14:paraId="1F4302D0">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25.1 磋商程序</w:t>
      </w:r>
    </w:p>
    <w:p w14:paraId="18E6494E">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25.1.1 对于通过资格审查和符合性审查的供应商，磋商小组将集中与单一供应商分别进行磋商。磋商小组通过苏采云系统向供应商发布《磋商函》，供应商应当按照要求在苏采云系统提交《磋商响应函》并加盖电子公章。</w:t>
      </w:r>
    </w:p>
    <w:p w14:paraId="4196DBCC">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4936062F">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25.1.2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058CD151">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779E0A1E">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6480842F">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退出磋商函》并加盖电子公章。</w:t>
      </w:r>
    </w:p>
    <w:p w14:paraId="1285CCF7">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25.2 评审方法和评审标准</w:t>
      </w:r>
    </w:p>
    <w:p w14:paraId="2D9139CE">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25.2.1 评审方法。经磋商确定最终采购需求和提交最后报价的供应商后，由磋商小组采用综合评分法对提交最后报价的供应商的响应文件和最后报价进行综合评分。</w:t>
      </w:r>
    </w:p>
    <w:p w14:paraId="43CD23D9">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3B7C2D6">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25.2.2 评审标准</w:t>
      </w:r>
    </w:p>
    <w:p w14:paraId="23C4FEAE">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见本磋商文件第五章规定。</w:t>
      </w:r>
    </w:p>
    <w:p w14:paraId="7BEBE844">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25.3 采购活动终止的情况</w:t>
      </w:r>
    </w:p>
    <w:p w14:paraId="5B5C8FB5">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出现下列情形之一的，本次竞争性磋商采购活动将被终止：</w:t>
      </w:r>
    </w:p>
    <w:p w14:paraId="77E96F9A">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25.3.1 因情况变化，不再符合规定的竞争性磋商采购方式适用情形的。</w:t>
      </w:r>
    </w:p>
    <w:p w14:paraId="4581468A">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25.3.2 出现影响采购公正的违法、违规行为的。</w:t>
      </w:r>
    </w:p>
    <w:p w14:paraId="3C0486D1">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25.3.3 除本磋商文件第二章第25.1.2条第三款规定的情形外，在采购过程中符合要求的供应商或者最后报价未超过采购预算的供应商不足3家的。</w:t>
      </w:r>
    </w:p>
    <w:p w14:paraId="7254DE3B">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25.3.4 在苏采云系统规定时间内成功解密电子响应文件的供应商不足3家的。</w:t>
      </w:r>
    </w:p>
    <w:p w14:paraId="4B3FD99E">
      <w:pPr>
        <w:widowControl/>
        <w:spacing w:line="360" w:lineRule="auto"/>
        <w:ind w:firstLine="480"/>
        <w:jc w:val="left"/>
        <w:rPr>
          <w:rFonts w:ascii="仿宋" w:hAnsi="仿宋" w:eastAsia="仿宋" w:cs="仿宋"/>
          <w:color w:val="auto"/>
          <w:sz w:val="24"/>
          <w:szCs w:val="24"/>
          <w:highlight w:val="none"/>
        </w:rPr>
      </w:pPr>
      <w:bookmarkStart w:id="163" w:name="_Toc120614219"/>
      <w:bookmarkStart w:id="164" w:name="_Toc16938551"/>
      <w:bookmarkStart w:id="165" w:name="_Toc513029235"/>
      <w:bookmarkStart w:id="166" w:name="_Toc20823307"/>
      <w:r>
        <w:rPr>
          <w:rFonts w:hint="eastAsia" w:ascii="仿宋" w:hAnsi="仿宋" w:eastAsia="仿宋" w:cs="仿宋"/>
          <w:color w:val="auto"/>
          <w:sz w:val="24"/>
          <w:szCs w:val="24"/>
          <w:highlight w:val="none"/>
        </w:rPr>
        <w:t>六、</w:t>
      </w:r>
      <w:bookmarkEnd w:id="163"/>
      <w:bookmarkEnd w:id="164"/>
      <w:bookmarkEnd w:id="165"/>
      <w:bookmarkEnd w:id="166"/>
      <w:r>
        <w:rPr>
          <w:rFonts w:hint="eastAsia" w:ascii="仿宋" w:hAnsi="仿宋" w:eastAsia="仿宋" w:cs="仿宋"/>
          <w:color w:val="auto"/>
          <w:sz w:val="24"/>
          <w:szCs w:val="24"/>
          <w:highlight w:val="none"/>
        </w:rPr>
        <w:t>成交</w:t>
      </w:r>
    </w:p>
    <w:p w14:paraId="7F9CFA48">
      <w:pPr>
        <w:widowControl/>
        <w:spacing w:line="360" w:lineRule="auto"/>
        <w:ind w:firstLine="480"/>
        <w:jc w:val="left"/>
        <w:rPr>
          <w:rFonts w:ascii="仿宋" w:hAnsi="仿宋" w:eastAsia="仿宋" w:cs="仿宋"/>
          <w:color w:val="auto"/>
          <w:sz w:val="24"/>
          <w:szCs w:val="24"/>
          <w:highlight w:val="none"/>
        </w:rPr>
      </w:pPr>
      <w:bookmarkStart w:id="167" w:name="_Toc513029238"/>
      <w:bookmarkStart w:id="168" w:name="_Toc16938554"/>
      <w:bookmarkStart w:id="169" w:name="_Toc20823310"/>
      <w:r>
        <w:rPr>
          <w:rFonts w:hint="eastAsia" w:ascii="仿宋" w:hAnsi="仿宋" w:eastAsia="仿宋" w:cs="仿宋"/>
          <w:color w:val="auto"/>
          <w:sz w:val="24"/>
          <w:szCs w:val="24"/>
          <w:highlight w:val="none"/>
        </w:rPr>
        <w:t>2</w:t>
      </w:r>
      <w:bookmarkEnd w:id="167"/>
      <w:r>
        <w:rPr>
          <w:rFonts w:hint="eastAsia" w:ascii="仿宋" w:hAnsi="仿宋" w:eastAsia="仿宋" w:cs="仿宋"/>
          <w:color w:val="auto"/>
          <w:sz w:val="24"/>
          <w:szCs w:val="24"/>
          <w:highlight w:val="none"/>
        </w:rPr>
        <w:t>6.确定</w:t>
      </w:r>
      <w:bookmarkEnd w:id="168"/>
      <w:bookmarkEnd w:id="169"/>
      <w:r>
        <w:rPr>
          <w:rFonts w:hint="eastAsia" w:ascii="仿宋" w:hAnsi="仿宋" w:eastAsia="仿宋" w:cs="仿宋"/>
          <w:color w:val="auto"/>
          <w:sz w:val="24"/>
          <w:szCs w:val="24"/>
          <w:highlight w:val="none"/>
        </w:rPr>
        <w:t>成交单位</w:t>
      </w:r>
    </w:p>
    <w:p w14:paraId="21740BE3">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26.1 磋商小组根据综合评分情况，按照评审得分由高到低顺序推荐3名成交候选供应商，并编写评审报告。符合本磋商文件第二章第25.1.2条情形的，可以推荐2名成交候选供应商。评审得分相同的，按照最后报价由低到高的顺序推荐。评审得分且最后报价相同的，按照“第五章 评审方法与评审标准”确定的顺序推荐。</w:t>
      </w:r>
    </w:p>
    <w:p w14:paraId="6A21461D">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26.2 </w:t>
      </w:r>
      <w:r>
        <w:rPr>
          <w:rFonts w:hint="eastAsia" w:ascii="仿宋" w:hAnsi="仿宋" w:eastAsia="仿宋" w:cs="仿宋"/>
          <w:color w:val="auto"/>
          <w:sz w:val="24"/>
          <w:szCs w:val="24"/>
          <w:highlight w:val="none"/>
          <w:lang w:val="zh-CN"/>
        </w:rPr>
        <w:t>按以下第（</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zh-CN"/>
        </w:rPr>
        <w:t>）种方式确定</w:t>
      </w:r>
      <w:r>
        <w:rPr>
          <w:rFonts w:hint="eastAsia" w:ascii="仿宋" w:hAnsi="仿宋" w:eastAsia="仿宋" w:cs="仿宋"/>
          <w:color w:val="auto"/>
          <w:sz w:val="24"/>
          <w:szCs w:val="24"/>
          <w:highlight w:val="none"/>
        </w:rPr>
        <w:t>成交供应商</w:t>
      </w:r>
    </w:p>
    <w:p w14:paraId="475B4F9B">
      <w:pPr>
        <w:widowControl/>
        <w:spacing w:line="360" w:lineRule="auto"/>
        <w:ind w:firstLine="480"/>
        <w:jc w:val="lef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w:t>
      </w:r>
      <w:r>
        <w:rPr>
          <w:rFonts w:hint="eastAsia" w:ascii="仿宋" w:hAnsi="仿宋" w:eastAsia="仿宋" w:cs="仿宋"/>
          <w:color w:val="auto"/>
          <w:sz w:val="24"/>
          <w:szCs w:val="24"/>
          <w:highlight w:val="none"/>
        </w:rPr>
        <w:t>磋商小组</w:t>
      </w:r>
      <w:r>
        <w:rPr>
          <w:rFonts w:hint="eastAsia" w:ascii="仿宋" w:hAnsi="仿宋" w:eastAsia="仿宋" w:cs="仿宋"/>
          <w:color w:val="auto"/>
          <w:sz w:val="24"/>
          <w:szCs w:val="24"/>
          <w:highlight w:val="none"/>
          <w:lang w:val="zh-CN"/>
        </w:rPr>
        <w:t>直接确定排名第一的</w:t>
      </w:r>
      <w:r>
        <w:rPr>
          <w:rFonts w:hint="eastAsia" w:ascii="仿宋" w:hAnsi="仿宋" w:eastAsia="仿宋" w:cs="仿宋"/>
          <w:color w:val="auto"/>
          <w:sz w:val="24"/>
          <w:szCs w:val="24"/>
          <w:highlight w:val="none"/>
        </w:rPr>
        <w:t>成交候选供应商</w:t>
      </w:r>
      <w:r>
        <w:rPr>
          <w:rFonts w:hint="eastAsia" w:ascii="仿宋" w:hAnsi="仿宋" w:eastAsia="仿宋" w:cs="仿宋"/>
          <w:color w:val="auto"/>
          <w:sz w:val="24"/>
          <w:szCs w:val="24"/>
          <w:highlight w:val="none"/>
          <w:lang w:val="zh-CN"/>
        </w:rPr>
        <w:t>为</w:t>
      </w:r>
      <w:r>
        <w:rPr>
          <w:rFonts w:hint="eastAsia" w:ascii="仿宋" w:hAnsi="仿宋" w:eastAsia="仿宋" w:cs="仿宋"/>
          <w:color w:val="auto"/>
          <w:sz w:val="24"/>
          <w:szCs w:val="24"/>
          <w:highlight w:val="none"/>
        </w:rPr>
        <w:t>成交供应商</w:t>
      </w:r>
      <w:r>
        <w:rPr>
          <w:rFonts w:hint="eastAsia" w:ascii="仿宋" w:hAnsi="仿宋" w:eastAsia="仿宋" w:cs="仿宋"/>
          <w:color w:val="auto"/>
          <w:sz w:val="24"/>
          <w:szCs w:val="24"/>
          <w:highlight w:val="none"/>
          <w:lang w:val="zh-CN"/>
        </w:rPr>
        <w:t>；</w:t>
      </w:r>
    </w:p>
    <w:p w14:paraId="256E80A9">
      <w:pPr>
        <w:widowControl/>
        <w:spacing w:line="360" w:lineRule="auto"/>
        <w:ind w:firstLine="480"/>
        <w:jc w:val="lef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（2）采购人在</w:t>
      </w:r>
      <w:r>
        <w:rPr>
          <w:rFonts w:hint="eastAsia" w:ascii="仿宋" w:hAnsi="仿宋" w:eastAsia="仿宋" w:cs="仿宋"/>
          <w:color w:val="auto"/>
          <w:sz w:val="24"/>
          <w:szCs w:val="24"/>
          <w:highlight w:val="none"/>
        </w:rPr>
        <w:t>磋商小组</w:t>
      </w:r>
      <w:r>
        <w:rPr>
          <w:rFonts w:hint="eastAsia" w:ascii="仿宋" w:hAnsi="仿宋" w:eastAsia="仿宋" w:cs="仿宋"/>
          <w:color w:val="auto"/>
          <w:sz w:val="24"/>
          <w:szCs w:val="24"/>
          <w:highlight w:val="none"/>
          <w:lang w:val="zh-CN"/>
        </w:rPr>
        <w:t>推荐的</w:t>
      </w:r>
      <w:r>
        <w:rPr>
          <w:rFonts w:hint="eastAsia" w:ascii="仿宋" w:hAnsi="仿宋" w:eastAsia="仿宋" w:cs="仿宋"/>
          <w:color w:val="auto"/>
          <w:sz w:val="24"/>
          <w:szCs w:val="24"/>
          <w:highlight w:val="none"/>
        </w:rPr>
        <w:t>成交候选供应商</w:t>
      </w:r>
      <w:r>
        <w:rPr>
          <w:rFonts w:hint="eastAsia" w:ascii="仿宋" w:hAnsi="仿宋" w:eastAsia="仿宋" w:cs="仿宋"/>
          <w:color w:val="auto"/>
          <w:sz w:val="24"/>
          <w:szCs w:val="24"/>
          <w:highlight w:val="none"/>
          <w:lang w:val="zh-CN"/>
        </w:rPr>
        <w:t>中按顺序确定</w:t>
      </w:r>
      <w:r>
        <w:rPr>
          <w:rFonts w:hint="eastAsia" w:ascii="仿宋" w:hAnsi="仿宋" w:eastAsia="仿宋" w:cs="仿宋"/>
          <w:color w:val="auto"/>
          <w:sz w:val="24"/>
          <w:szCs w:val="24"/>
          <w:highlight w:val="none"/>
        </w:rPr>
        <w:t>成交供应商</w:t>
      </w:r>
      <w:r>
        <w:rPr>
          <w:rFonts w:hint="eastAsia" w:ascii="仿宋" w:hAnsi="仿宋" w:eastAsia="仿宋" w:cs="仿宋"/>
          <w:color w:val="auto"/>
          <w:sz w:val="24"/>
          <w:szCs w:val="24"/>
          <w:highlight w:val="none"/>
          <w:lang w:val="zh-CN"/>
        </w:rPr>
        <w:t>。</w:t>
      </w:r>
    </w:p>
    <w:p w14:paraId="7813473B">
      <w:pPr>
        <w:widowControl/>
        <w:spacing w:line="360" w:lineRule="auto"/>
        <w:ind w:firstLine="480"/>
        <w:jc w:val="lef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按第二种方式确定</w:t>
      </w:r>
      <w:r>
        <w:rPr>
          <w:rFonts w:hint="eastAsia" w:ascii="仿宋" w:hAnsi="仿宋" w:eastAsia="仿宋" w:cs="仿宋"/>
          <w:color w:val="auto"/>
          <w:sz w:val="24"/>
          <w:szCs w:val="24"/>
          <w:highlight w:val="none"/>
        </w:rPr>
        <w:t>成交供应商</w:t>
      </w:r>
      <w:r>
        <w:rPr>
          <w:rFonts w:hint="eastAsia" w:ascii="仿宋" w:hAnsi="仿宋" w:eastAsia="仿宋" w:cs="仿宋"/>
          <w:color w:val="auto"/>
          <w:sz w:val="24"/>
          <w:szCs w:val="24"/>
          <w:highlight w:val="none"/>
          <w:lang w:val="zh-CN"/>
        </w:rPr>
        <w:t>的，交易中心自评审结束之日起两个工作日内将评审报告送交采购人，采购人自收到评审报告之日起五个工作日内，在评审报告推荐的</w:t>
      </w:r>
      <w:r>
        <w:rPr>
          <w:rFonts w:hint="eastAsia" w:ascii="仿宋" w:hAnsi="仿宋" w:eastAsia="仿宋" w:cs="仿宋"/>
          <w:color w:val="auto"/>
          <w:sz w:val="24"/>
          <w:szCs w:val="24"/>
          <w:highlight w:val="none"/>
        </w:rPr>
        <w:t>成交候选供应商</w:t>
      </w:r>
      <w:r>
        <w:rPr>
          <w:rFonts w:hint="eastAsia" w:ascii="仿宋" w:hAnsi="仿宋" w:eastAsia="仿宋" w:cs="仿宋"/>
          <w:color w:val="auto"/>
          <w:sz w:val="24"/>
          <w:szCs w:val="24"/>
          <w:highlight w:val="none"/>
          <w:lang w:val="zh-CN"/>
        </w:rPr>
        <w:t>中按顺序确定</w:t>
      </w:r>
      <w:r>
        <w:rPr>
          <w:rFonts w:hint="eastAsia" w:ascii="仿宋" w:hAnsi="仿宋" w:eastAsia="仿宋" w:cs="仿宋"/>
          <w:color w:val="auto"/>
          <w:sz w:val="24"/>
          <w:szCs w:val="24"/>
          <w:highlight w:val="none"/>
        </w:rPr>
        <w:t>成交供应商</w:t>
      </w:r>
      <w:r>
        <w:rPr>
          <w:rFonts w:hint="eastAsia" w:ascii="仿宋" w:hAnsi="仿宋" w:eastAsia="仿宋" w:cs="仿宋"/>
          <w:color w:val="auto"/>
          <w:sz w:val="24"/>
          <w:szCs w:val="24"/>
          <w:highlight w:val="none"/>
          <w:lang w:val="zh-CN"/>
        </w:rPr>
        <w:t>。</w:t>
      </w:r>
    </w:p>
    <w:p w14:paraId="4FD1F46A">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26.3 交易中心将在“江苏政府采购网”发布成交结果公告，公告期限为1个工作日。</w:t>
      </w:r>
    </w:p>
    <w:p w14:paraId="05148C83">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26.4 若有充分证据证明，成交供应商出现下列情况之一的，一经查实，将被取消成交资格：</w:t>
      </w:r>
    </w:p>
    <w:p w14:paraId="3A72C5DB">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26.4.1 提供虚假材料谋取成交的。</w:t>
      </w:r>
    </w:p>
    <w:p w14:paraId="58EB80D7">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26.4.2 与评审专家、采购人、其他供应商或者交易中心工作人员恶意串通的。</w:t>
      </w:r>
    </w:p>
    <w:p w14:paraId="649089F0">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26.4.3 向评审专家、采购人或交易中心工作人员行贿或者提供其他不正当利益的。</w:t>
      </w:r>
    </w:p>
    <w:p w14:paraId="6E287871">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26.4.4 恶意竞争，最后报价明显低于其自身合理成本且又无法提供证明的。</w:t>
      </w:r>
    </w:p>
    <w:p w14:paraId="558CB8BF">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26.4.5 不满足本磋商文件规定的实质性要求，但在评审过程中未被磋商小组发现的。</w:t>
      </w:r>
    </w:p>
    <w:p w14:paraId="76857A8F">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26.4.6 成交后无正当理由拒不与采购人签订政府采购合同或者未按照磋商文件确定的事项签订政府采购合同的。</w:t>
      </w:r>
    </w:p>
    <w:p w14:paraId="367253DA">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26.3.7 将政府采购合同转包的。</w:t>
      </w:r>
    </w:p>
    <w:p w14:paraId="1CBFE7F3">
      <w:pPr>
        <w:widowControl/>
        <w:spacing w:line="360" w:lineRule="auto"/>
        <w:ind w:firstLine="480"/>
        <w:jc w:val="left"/>
        <w:rPr>
          <w:rFonts w:ascii="仿宋" w:hAnsi="仿宋" w:eastAsia="仿宋" w:cs="仿宋"/>
          <w:color w:val="auto"/>
          <w:sz w:val="24"/>
          <w:szCs w:val="24"/>
          <w:highlight w:val="none"/>
        </w:rPr>
      </w:pPr>
      <w:bookmarkStart w:id="170" w:name="_Toc200451960"/>
      <w:r>
        <w:rPr>
          <w:rFonts w:hint="eastAsia" w:ascii="仿宋" w:hAnsi="仿宋" w:eastAsia="仿宋" w:cs="仿宋"/>
          <w:color w:val="auto"/>
          <w:sz w:val="24"/>
          <w:szCs w:val="24"/>
          <w:highlight w:val="none"/>
        </w:rPr>
        <w:t>27.质疑处理</w:t>
      </w:r>
      <w:bookmarkEnd w:id="170"/>
    </w:p>
    <w:p w14:paraId="4495DD65">
      <w:pPr>
        <w:widowControl/>
        <w:spacing w:line="360" w:lineRule="auto"/>
        <w:ind w:firstLine="480"/>
        <w:jc w:val="lef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w:t>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zh-CN"/>
        </w:rPr>
        <w:t>.1 提出质疑的供应商应当是参与所质疑项目采购活动的供应商，潜在供应商依法获取其可质疑的采购文件的，可以对采购文件提出质疑。</w:t>
      </w:r>
    </w:p>
    <w:p w14:paraId="3F90DD5F">
      <w:pPr>
        <w:widowControl/>
        <w:spacing w:line="360" w:lineRule="auto"/>
        <w:ind w:firstLine="480"/>
        <w:jc w:val="lef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w:t>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zh-CN"/>
        </w:rPr>
        <w:t>.2供应商认为采购文件、采购过程和采购结果使自己的权益受到损害的，可以在知道或应知其权益受到损害之日起七个工作日内，根据2</w:t>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zh-CN"/>
        </w:rPr>
        <w:t>.4条的规定以书面形式向交易中心或采购人提出质疑。上述应知其权益受到损害之日是指：</w:t>
      </w:r>
    </w:p>
    <w:p w14:paraId="1656D7F6">
      <w:pPr>
        <w:widowControl/>
        <w:spacing w:line="360" w:lineRule="auto"/>
        <w:ind w:firstLine="480"/>
        <w:jc w:val="lef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w:t>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zh-CN"/>
        </w:rPr>
        <w:t>.2.1对采购文件提出质疑的，为收到采购文件之日或者采购文件公告期限届满之日。</w:t>
      </w:r>
    </w:p>
    <w:p w14:paraId="06ECAF78">
      <w:pPr>
        <w:widowControl/>
        <w:spacing w:line="360" w:lineRule="auto"/>
        <w:ind w:firstLine="480"/>
        <w:jc w:val="lef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w:t>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zh-CN"/>
        </w:rPr>
        <w:t>.2.2对采购过程提出质疑的，为各采购程序环节结束之日。</w:t>
      </w:r>
    </w:p>
    <w:p w14:paraId="07A198D9">
      <w:pPr>
        <w:widowControl/>
        <w:spacing w:line="360" w:lineRule="auto"/>
        <w:ind w:firstLine="480"/>
        <w:jc w:val="lef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w:t>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zh-CN"/>
        </w:rPr>
        <w:t>.2.3对成交结果提出质疑的，为成交结果公告期限届满之日。</w:t>
      </w:r>
    </w:p>
    <w:p w14:paraId="3CDA2F63">
      <w:pPr>
        <w:widowControl/>
        <w:spacing w:line="360" w:lineRule="auto"/>
        <w:ind w:firstLine="480"/>
        <w:jc w:val="lef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27.3 </w:t>
      </w:r>
      <w:r>
        <w:rPr>
          <w:rFonts w:hint="eastAsia" w:ascii="仿宋" w:hAnsi="仿宋" w:eastAsia="仿宋" w:cs="仿宋"/>
          <w:color w:val="auto"/>
          <w:sz w:val="24"/>
          <w:szCs w:val="24"/>
          <w:highlight w:val="none"/>
          <w:lang w:val="zh-CN"/>
        </w:rPr>
        <w:t>供应商应当在法定质疑期内一次性提出针对同一采购程序环节的质疑。供应商如在法定期限内对同一采购程序环节提出多次质疑的，交易中心</w:t>
      </w:r>
      <w:r>
        <w:rPr>
          <w:rFonts w:hint="eastAsia" w:ascii="仿宋" w:hAnsi="仿宋" w:eastAsia="仿宋" w:cs="仿宋"/>
          <w:color w:val="auto"/>
          <w:sz w:val="24"/>
          <w:szCs w:val="24"/>
          <w:highlight w:val="none"/>
        </w:rPr>
        <w:t>或</w:t>
      </w:r>
      <w:r>
        <w:rPr>
          <w:rFonts w:hint="eastAsia" w:ascii="仿宋" w:hAnsi="仿宋" w:eastAsia="仿宋" w:cs="仿宋"/>
          <w:color w:val="auto"/>
          <w:sz w:val="24"/>
          <w:szCs w:val="24"/>
          <w:highlight w:val="none"/>
          <w:lang w:val="zh-CN"/>
        </w:rPr>
        <w:t>采购人将只对供应商第一次质疑作出答复。</w:t>
      </w:r>
    </w:p>
    <w:p w14:paraId="2F466221">
      <w:pPr>
        <w:widowControl/>
        <w:spacing w:line="360" w:lineRule="auto"/>
        <w:ind w:firstLine="480"/>
        <w:jc w:val="lef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w:t>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 xml:space="preserve">4 </w:t>
      </w:r>
      <w:r>
        <w:rPr>
          <w:rFonts w:hint="eastAsia" w:ascii="仿宋" w:hAnsi="仿宋" w:eastAsia="仿宋" w:cs="仿宋"/>
          <w:color w:val="auto"/>
          <w:sz w:val="24"/>
          <w:szCs w:val="24"/>
          <w:highlight w:val="none"/>
          <w:lang w:val="zh-CN"/>
        </w:rPr>
        <w:t>供应商提出质疑，应提交《质疑函》原件，且尽可能通过邮寄方式送达，交易中心和采购人不接受无运单的快件。《质疑函》应按照本采购文件中《质疑函范本》</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zh-CN"/>
        </w:rPr>
        <w:t>格式和内容填写。</w:t>
      </w:r>
    </w:p>
    <w:p w14:paraId="0890A8B7">
      <w:pPr>
        <w:widowControl/>
        <w:spacing w:line="360" w:lineRule="auto"/>
        <w:ind w:firstLine="480"/>
        <w:jc w:val="lef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供应商如组成联合体参加磋商，《质疑函范本》中要求加盖公章之处，联合体各方均须按要求加盖公章。</w:t>
      </w:r>
    </w:p>
    <w:p w14:paraId="58B788EB">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2</w:t>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 xml:space="preserve">5 </w:t>
      </w:r>
      <w:r>
        <w:rPr>
          <w:rFonts w:hint="eastAsia" w:ascii="仿宋" w:hAnsi="仿宋" w:eastAsia="仿宋" w:cs="仿宋"/>
          <w:color w:val="auto"/>
          <w:sz w:val="24"/>
          <w:szCs w:val="24"/>
          <w:highlight w:val="none"/>
          <w:lang w:val="zh-CN"/>
        </w:rPr>
        <w:t>供应商（含潜在供应商）对采购方式、采购需求、供应商资格条件及审查结果、评标方法和评标标准、合同文本的询问、质疑向采购人提出，由采购人负责答复。供应商对除上述事项以外其他事项的询问、质疑向交易中心提出，由交易中心负责答复。</w:t>
      </w:r>
    </w:p>
    <w:p w14:paraId="0897D46D">
      <w:pPr>
        <w:widowControl/>
        <w:spacing w:line="360" w:lineRule="auto"/>
        <w:ind w:firstLine="480"/>
        <w:jc w:val="lef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交易中心和采购人只接收以纸质原件形式送达的质疑,建议供应商尽量通过邮寄方式提交质疑（交易中心和采购人不接受未填写快递运单的快件）。</w:t>
      </w:r>
    </w:p>
    <w:p w14:paraId="1529B288">
      <w:pPr>
        <w:widowControl/>
        <w:spacing w:line="360" w:lineRule="auto"/>
        <w:ind w:firstLine="480"/>
        <w:jc w:val="lef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采购人《质疑</w:t>
      </w:r>
      <w:r>
        <w:rPr>
          <w:rFonts w:hint="eastAsia" w:ascii="仿宋" w:hAnsi="仿宋" w:eastAsia="仿宋" w:cs="仿宋"/>
          <w:color w:val="auto"/>
          <w:sz w:val="24"/>
          <w:szCs w:val="24"/>
          <w:highlight w:val="none"/>
        </w:rPr>
        <w:t>函</w:t>
      </w:r>
      <w:r>
        <w:rPr>
          <w:rFonts w:hint="eastAsia" w:ascii="仿宋" w:hAnsi="仿宋" w:eastAsia="仿宋" w:cs="仿宋"/>
          <w:color w:val="auto"/>
          <w:sz w:val="24"/>
          <w:szCs w:val="24"/>
          <w:highlight w:val="none"/>
          <w:lang w:val="zh-CN"/>
        </w:rPr>
        <w:t>》接收人及联系方式见采购文件第一章。</w:t>
      </w:r>
    </w:p>
    <w:p w14:paraId="53FB7521">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交易中心《质疑函》接收部门为政府采购部（快递运单上的收件人填写“政府采购部”），地址：地址：南京市浦口区象山路4号B座，南京市浦口区江浦街道象山路4号浦口市民中心B幢五楼受理大厅 ，联系电话：025-69659050。</w:t>
      </w:r>
    </w:p>
    <w:p w14:paraId="011E5FB5">
      <w:pPr>
        <w:widowControl/>
        <w:spacing w:line="360" w:lineRule="auto"/>
        <w:ind w:firstLine="480"/>
        <w:jc w:val="lef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w:t>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zh-CN"/>
        </w:rPr>
        <w:t xml:space="preserve"> 以下情形的质疑不予受理：</w:t>
      </w:r>
    </w:p>
    <w:p w14:paraId="1E2E0040">
      <w:pPr>
        <w:widowControl/>
        <w:spacing w:line="360" w:lineRule="auto"/>
        <w:ind w:firstLine="480"/>
        <w:jc w:val="lef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w:t>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zh-CN"/>
        </w:rPr>
        <w:t>.1内容不符合《政府采购质疑和投诉办法》第十二条规定的质疑。</w:t>
      </w:r>
    </w:p>
    <w:p w14:paraId="5002A97C">
      <w:pPr>
        <w:widowControl/>
        <w:spacing w:line="360" w:lineRule="auto"/>
        <w:ind w:firstLine="480"/>
        <w:jc w:val="lef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w:t>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zh-CN"/>
        </w:rPr>
        <w:t>.2超出政府采购法定期限的质疑。</w:t>
      </w:r>
    </w:p>
    <w:p w14:paraId="133AD486">
      <w:pPr>
        <w:widowControl/>
        <w:spacing w:line="360" w:lineRule="auto"/>
        <w:ind w:firstLine="480"/>
        <w:jc w:val="lef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w:t>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zh-CN"/>
        </w:rPr>
        <w:t>.3以传真、电子邮件等方式递交的非原件形式的质疑。</w:t>
      </w:r>
    </w:p>
    <w:p w14:paraId="00FDE345">
      <w:pPr>
        <w:widowControl/>
        <w:spacing w:line="360" w:lineRule="auto"/>
        <w:ind w:firstLine="480"/>
        <w:jc w:val="lef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w:t>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zh-CN"/>
        </w:rPr>
        <w:t>.4未参加磋商活动的供应商或在磋商活动中自身权益未受到损害的供应商所提出的质疑。</w:t>
      </w:r>
    </w:p>
    <w:p w14:paraId="0A09C9D4">
      <w:pPr>
        <w:widowControl/>
        <w:spacing w:line="360" w:lineRule="auto"/>
        <w:ind w:firstLine="480"/>
        <w:jc w:val="lef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w:t>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zh-CN"/>
        </w:rPr>
        <w:t>.5供应商组成联合体参加磋商，联合体中任何一方或多方未按要求签字、盖章、加盖公章的质疑。</w:t>
      </w:r>
    </w:p>
    <w:p w14:paraId="58D190B5">
      <w:pPr>
        <w:widowControl/>
        <w:spacing w:line="360" w:lineRule="auto"/>
        <w:ind w:firstLine="480"/>
        <w:jc w:val="lef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w:t>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 xml:space="preserve">7 </w:t>
      </w:r>
      <w:r>
        <w:rPr>
          <w:rFonts w:hint="eastAsia" w:ascii="仿宋" w:hAnsi="仿宋" w:eastAsia="仿宋" w:cs="仿宋"/>
          <w:color w:val="auto"/>
          <w:sz w:val="24"/>
          <w:szCs w:val="24"/>
          <w:highlight w:val="none"/>
          <w:lang w:val="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7100E43A">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28.成交通知书</w:t>
      </w:r>
    </w:p>
    <w:p w14:paraId="64909129">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 成交结果确定后，交易中心将向成交供应商发出《成交通知书》。交供应商可在成交结果公告届满之日起三十日内，登录苏采云系统下载。    </w:t>
      </w:r>
    </w:p>
    <w:p w14:paraId="2E1E853B">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因系统存储空间有限，自成交结果公告届满之日起三十日后，苏采云系统不再保证提供下载《成交通知书》服务,因未及时下载而造成的不利后果由成交供应商自行承担。</w:t>
      </w:r>
    </w:p>
    <w:p w14:paraId="2F37C4DE">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28.2 《成交通知书》将是合同的一个组成部分，对采购人和成交供应商均具有法律效力。《成交通知书》发出后，采购人改变成交结果的，或者成交供应商放弃成交项目的，应当依法承担法律责任。</w:t>
      </w:r>
    </w:p>
    <w:p w14:paraId="47651F24">
      <w:pPr>
        <w:widowControl/>
        <w:spacing w:line="360" w:lineRule="auto"/>
        <w:ind w:firstLine="480"/>
        <w:jc w:val="left"/>
        <w:rPr>
          <w:rFonts w:ascii="仿宋" w:hAnsi="仿宋" w:eastAsia="仿宋" w:cs="仿宋"/>
          <w:color w:val="auto"/>
          <w:sz w:val="24"/>
          <w:szCs w:val="24"/>
          <w:highlight w:val="none"/>
        </w:rPr>
      </w:pPr>
      <w:bookmarkStart w:id="171" w:name="_Toc16938552"/>
      <w:bookmarkStart w:id="172" w:name="_Toc120614220"/>
      <w:bookmarkStart w:id="173" w:name="_Toc513029236"/>
      <w:bookmarkStart w:id="174" w:name="_Toc20823308"/>
      <w:r>
        <w:rPr>
          <w:rFonts w:hint="eastAsia" w:ascii="仿宋" w:hAnsi="仿宋" w:eastAsia="仿宋" w:cs="仿宋"/>
          <w:color w:val="auto"/>
          <w:sz w:val="24"/>
          <w:szCs w:val="24"/>
          <w:highlight w:val="none"/>
        </w:rPr>
        <w:t>七、授予合同</w:t>
      </w:r>
      <w:bookmarkEnd w:id="171"/>
      <w:bookmarkEnd w:id="172"/>
      <w:bookmarkEnd w:id="173"/>
      <w:bookmarkEnd w:id="174"/>
    </w:p>
    <w:p w14:paraId="2C6B3184">
      <w:pPr>
        <w:widowControl/>
        <w:spacing w:line="360" w:lineRule="auto"/>
        <w:ind w:firstLine="480"/>
        <w:jc w:val="left"/>
        <w:rPr>
          <w:rFonts w:ascii="仿宋" w:hAnsi="仿宋" w:eastAsia="仿宋" w:cs="仿宋"/>
          <w:color w:val="auto"/>
          <w:sz w:val="24"/>
          <w:szCs w:val="24"/>
          <w:highlight w:val="none"/>
        </w:rPr>
      </w:pPr>
      <w:bookmarkStart w:id="175" w:name="_Toc20823309"/>
      <w:bookmarkStart w:id="176" w:name="_Toc513029237"/>
      <w:bookmarkStart w:id="177" w:name="_Toc16938553"/>
      <w:r>
        <w:rPr>
          <w:rFonts w:hint="eastAsia" w:ascii="仿宋" w:hAnsi="仿宋" w:eastAsia="仿宋" w:cs="仿宋"/>
          <w:color w:val="auto"/>
          <w:sz w:val="24"/>
          <w:szCs w:val="24"/>
          <w:highlight w:val="none"/>
        </w:rPr>
        <w:t>29.签订合同</w:t>
      </w:r>
    </w:p>
    <w:p w14:paraId="73AFDB1D">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29.l 成交供应商应当在《成交通知书》发出之日起三十日内，按照磋商文件确定的事项与采购人签订政府采购合同。</w:t>
      </w:r>
    </w:p>
    <w:p w14:paraId="1CEAEBA2">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29.2 磋商文件、成交供应商的响应文件及磋商过程中有关澄清、承诺文件均作为合同附件。</w:t>
      </w:r>
    </w:p>
    <w:p w14:paraId="254BD71B">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29.3 签订合同后，成交供应商不得将合同标的进行转包。未经采购人同意，成交供应商也不得采用分包形式履行合同,否则采购人有权终止合同。转包或分包造成采购人损失的，成交供应商应承担相应赔偿责任。</w:t>
      </w:r>
    </w:p>
    <w:p w14:paraId="3240DB64">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29.4 成交供应商因自身原因拒绝与采购人签订合同的，不得参加</w:t>
      </w:r>
      <w:r>
        <w:rPr>
          <w:rFonts w:hint="eastAsia" w:ascii="仿宋" w:hAnsi="仿宋" w:eastAsia="仿宋" w:cs="仿宋"/>
          <w:color w:val="auto"/>
          <w:sz w:val="24"/>
          <w:szCs w:val="24"/>
          <w:highlight w:val="none"/>
          <w:lang w:val="zh-CN"/>
        </w:rPr>
        <w:t>采购人</w:t>
      </w:r>
      <w:r>
        <w:rPr>
          <w:rFonts w:hint="eastAsia" w:ascii="仿宋" w:hAnsi="仿宋" w:eastAsia="仿宋" w:cs="仿宋"/>
          <w:color w:val="auto"/>
          <w:sz w:val="24"/>
          <w:szCs w:val="24"/>
          <w:highlight w:val="none"/>
        </w:rPr>
        <w:t>重新组织的采购活动</w:t>
      </w:r>
      <w:r>
        <w:rPr>
          <w:rFonts w:hint="eastAsia" w:ascii="仿宋" w:hAnsi="仿宋" w:eastAsia="仿宋" w:cs="仿宋"/>
          <w:color w:val="auto"/>
          <w:sz w:val="24"/>
          <w:szCs w:val="24"/>
          <w:highlight w:val="none"/>
          <w:lang w:val="zh-CN"/>
        </w:rPr>
        <w:t>。</w:t>
      </w:r>
    </w:p>
    <w:p w14:paraId="60B005BB">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30.标的物的追加</w:t>
      </w:r>
    </w:p>
    <w:p w14:paraId="0D69005B">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30.1 政府采购合同履行中，采购人需追加与合同标的相同的服务（包含与服务相关的货物），在不改变合同其他条款的前提下，可以与成交供应商协商签订补充合同，但所有补充合同的采购金额不超过原合同金额10%。</w:t>
      </w:r>
      <w:bookmarkEnd w:id="175"/>
      <w:bookmarkEnd w:id="176"/>
      <w:bookmarkEnd w:id="177"/>
    </w:p>
    <w:p w14:paraId="07E5DC4E">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31.政府采购履约资金扶持政策</w:t>
      </w:r>
    </w:p>
    <w:p w14:paraId="33289643">
      <w:pPr>
        <w:spacing w:line="360" w:lineRule="auto"/>
        <w:ind w:firstLine="480"/>
        <w:jc w:val="left"/>
        <w:rPr>
          <w:rFonts w:ascii="黑体" w:eastAsia="黑体"/>
          <w:color w:val="auto"/>
          <w:sz w:val="44"/>
          <w:szCs w:val="44"/>
          <w:highlight w:val="none"/>
        </w:rPr>
      </w:pPr>
      <w:r>
        <w:rPr>
          <w:rFonts w:hint="eastAsia" w:ascii="仿宋" w:hAnsi="仿宋" w:eastAsia="仿宋" w:cs="仿宋"/>
          <w:color w:val="auto"/>
          <w:sz w:val="24"/>
          <w:szCs w:val="24"/>
          <w:highlight w:val="none"/>
        </w:rPr>
        <w:t>31.1 成交供应商通过</w:t>
      </w:r>
      <w:r>
        <w:rPr>
          <w:rFonts w:hint="eastAsia" w:ascii="仿宋" w:hAnsi="仿宋" w:eastAsia="仿宋" w:cs="仿宋"/>
          <w:color w:val="auto"/>
          <w:sz w:val="24"/>
          <w:szCs w:val="24"/>
          <w:highlight w:val="none"/>
          <w:lang w:val="zh-CN"/>
        </w:rPr>
        <w:t>南京市公共资源交易中心网站“小企业融资平台”，</w:t>
      </w:r>
      <w:r>
        <w:rPr>
          <w:rFonts w:hint="eastAsia" w:ascii="仿宋" w:hAnsi="仿宋" w:eastAsia="仿宋" w:cs="仿宋"/>
          <w:color w:val="auto"/>
          <w:sz w:val="24"/>
          <w:szCs w:val="24"/>
          <w:highlight w:val="none"/>
        </w:rPr>
        <w:t>选择相应的金融机构</w:t>
      </w:r>
      <w:r>
        <w:rPr>
          <w:rFonts w:hint="eastAsia" w:ascii="仿宋" w:hAnsi="仿宋" w:eastAsia="仿宋" w:cs="仿宋"/>
          <w:color w:val="auto"/>
          <w:sz w:val="24"/>
          <w:szCs w:val="24"/>
          <w:highlight w:val="none"/>
          <w:lang w:val="zh-CN"/>
        </w:rPr>
        <w:t>办理融资贷款。</w:t>
      </w:r>
      <w:r>
        <w:rPr>
          <w:rFonts w:hint="eastAsia" w:ascii="黑体" w:eastAsia="黑体"/>
          <w:color w:val="auto"/>
          <w:sz w:val="44"/>
          <w:szCs w:val="44"/>
          <w:highlight w:val="none"/>
        </w:rPr>
        <w:br w:type="page" w:clear="all"/>
      </w:r>
    </w:p>
    <w:p w14:paraId="561E580A">
      <w:pPr>
        <w:pStyle w:val="3"/>
        <w:jc w:val="center"/>
        <w:rPr>
          <w:rFonts w:hint="eastAsia" w:ascii="仿宋" w:hAnsi="仿宋" w:eastAsia="仿宋" w:cs="仿宋"/>
          <w:color w:val="auto"/>
          <w:sz w:val="24"/>
          <w:szCs w:val="24"/>
          <w:highlight w:val="none"/>
          <w:lang w:val="en-US" w:eastAsia="zh-CN" w:bidi="ar-SA"/>
        </w:rPr>
      </w:pPr>
      <w:bookmarkStart w:id="178" w:name="_Toc29980"/>
      <w:r>
        <w:rPr>
          <w:rFonts w:hint="eastAsia" w:ascii="仿宋" w:hAnsi="仿宋" w:eastAsia="仿宋" w:cs="仿宋"/>
          <w:color w:val="auto"/>
          <w:sz w:val="24"/>
          <w:szCs w:val="24"/>
          <w:highlight w:val="none"/>
          <w:lang w:val="en-US" w:eastAsia="zh-CN" w:bidi="ar-SA"/>
        </w:rPr>
        <w:t>第三章  合同</w:t>
      </w:r>
      <w:bookmarkEnd w:id="59"/>
      <w:bookmarkEnd w:id="60"/>
      <w:bookmarkEnd w:id="61"/>
      <w:bookmarkEnd w:id="62"/>
      <w:bookmarkEnd w:id="63"/>
      <w:r>
        <w:rPr>
          <w:rFonts w:hint="eastAsia" w:ascii="仿宋" w:hAnsi="仿宋" w:eastAsia="仿宋" w:cs="仿宋"/>
          <w:color w:val="auto"/>
          <w:sz w:val="24"/>
          <w:szCs w:val="24"/>
          <w:highlight w:val="none"/>
          <w:lang w:val="en-US" w:eastAsia="zh-CN" w:bidi="ar-SA"/>
        </w:rPr>
        <w:t>文本</w:t>
      </w:r>
      <w:bookmarkEnd w:id="178"/>
    </w:p>
    <w:p w14:paraId="4046CD99">
      <w:pPr>
        <w:pBdr>
          <w:top w:val="none" w:color="000000" w:sz="0" w:space="0"/>
          <w:left w:val="none" w:color="000000" w:sz="0" w:space="0"/>
          <w:bottom w:val="none" w:color="000000" w:sz="0" w:space="0"/>
          <w:right w:val="none" w:color="000000" w:sz="0" w:space="0"/>
        </w:pBdr>
        <w:spacing w:before="47" w:after="0" w:line="85" w:lineRule="atLeast"/>
        <w:ind w:right="0"/>
        <w:jc w:val="both"/>
        <w:rPr>
          <w:rFonts w:hint="eastAsia" w:ascii="仿宋" w:hAnsi="仿宋" w:eastAsia="仿宋" w:cs="仿宋"/>
          <w:color w:val="auto"/>
          <w:sz w:val="24"/>
          <w:szCs w:val="24"/>
          <w:highlight w:val="none"/>
          <w:lang w:val="en-US" w:eastAsia="zh-CN" w:bidi="ar-SA"/>
        </w:rPr>
      </w:pPr>
      <w:bookmarkStart w:id="179" w:name="_Hlt16619369"/>
      <w:bookmarkEnd w:id="179"/>
      <w:bookmarkStart w:id="180" w:name="_Hlt16619350"/>
      <w:bookmarkStart w:id="181" w:name="_Toc120614244"/>
      <w:bookmarkStart w:id="182" w:name="_Toc16938590"/>
      <w:bookmarkStart w:id="183" w:name="_Toc20823346"/>
      <w:bookmarkStart w:id="184" w:name="_Toc479757211"/>
      <w:bookmarkStart w:id="185" w:name="_Toc462564139"/>
      <w:r>
        <w:rPr>
          <w:rFonts w:hint="eastAsia" w:ascii="仿宋" w:hAnsi="仿宋" w:eastAsia="仿宋" w:cs="仿宋"/>
          <w:color w:val="auto"/>
          <w:sz w:val="24"/>
          <w:szCs w:val="24"/>
          <w:highlight w:val="none"/>
          <w:lang w:val="en-US" w:eastAsia="zh-CN" w:bidi="ar-SA"/>
        </w:rPr>
        <w:t>项目编号：</w:t>
      </w:r>
    </w:p>
    <w:p w14:paraId="2FE3220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项目名称：</w:t>
      </w:r>
    </w:p>
    <w:p w14:paraId="392BDA4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政府采购计划号：</w:t>
      </w:r>
    </w:p>
    <w:p w14:paraId="0335C3E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采购人：（以下简称甲方）</w:t>
      </w:r>
    </w:p>
    <w:p w14:paraId="45CDBDF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南京市浦口区人民政府星甸街道办事处</w:t>
      </w:r>
    </w:p>
    <w:p w14:paraId="169110A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住所地：南京市浦口区星甸街道云桥西路1 号</w:t>
      </w:r>
    </w:p>
    <w:p w14:paraId="3985503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供应商：（以下简称乙方）</w:t>
      </w:r>
    </w:p>
    <w:p w14:paraId="659EBFA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住所地：</w:t>
      </w:r>
    </w:p>
    <w:p w14:paraId="630BBB4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根据《中华人民共和国政府采购法》、《中华人民共和国民法典》等法律法规的规定，甲乙双方经协商签订本合同。</w:t>
      </w:r>
    </w:p>
    <w:p w14:paraId="25015A0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第一条合同标的乙方提供下列服务：</w:t>
      </w:r>
    </w:p>
    <w:p w14:paraId="3D17428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星甸街道2026年至2027年乡村道路养护项目 </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39"/>
        <w:gridCol w:w="6421"/>
        <w:gridCol w:w="901"/>
        <w:gridCol w:w="939"/>
      </w:tblGrid>
      <w:tr w14:paraId="2ED9172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75" w:hRule="atLeast"/>
        </w:trPr>
        <w:tc>
          <w:tcPr>
            <w:tcW w:w="952" w:type="dxa"/>
            <w:tcBorders>
              <w:top w:val="single" w:color="808080" w:sz="8" w:space="0"/>
              <w:left w:val="single" w:color="808080" w:sz="8" w:space="0"/>
              <w:bottom w:val="single" w:color="808080" w:sz="8" w:space="0"/>
              <w:right w:val="single" w:color="808080" w:sz="8" w:space="0"/>
            </w:tcBorders>
            <w:noWrap w:val="0"/>
            <w:tcMar>
              <w:top w:w="0" w:type="dxa"/>
              <w:left w:w="0" w:type="dxa"/>
              <w:bottom w:w="0" w:type="dxa"/>
              <w:right w:w="0" w:type="dxa"/>
            </w:tcMar>
            <w:vAlign w:val="top"/>
          </w:tcPr>
          <w:p w14:paraId="764E28E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序号</w:t>
            </w:r>
          </w:p>
        </w:tc>
        <w:tc>
          <w:tcPr>
            <w:tcW w:w="6537" w:type="dxa"/>
            <w:tcBorders>
              <w:top w:val="single" w:color="808080" w:sz="8" w:space="0"/>
              <w:left w:val="nil"/>
              <w:bottom w:val="single" w:color="808080" w:sz="8" w:space="0"/>
              <w:right w:val="single" w:color="808080" w:sz="8" w:space="0"/>
            </w:tcBorders>
            <w:noWrap w:val="0"/>
            <w:tcMar>
              <w:top w:w="0" w:type="dxa"/>
              <w:left w:w="0" w:type="dxa"/>
              <w:bottom w:w="0" w:type="dxa"/>
              <w:right w:w="0" w:type="dxa"/>
            </w:tcMar>
            <w:vAlign w:val="top"/>
          </w:tcPr>
          <w:p w14:paraId="2381FD4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名称</w:t>
            </w:r>
          </w:p>
        </w:tc>
        <w:tc>
          <w:tcPr>
            <w:tcW w:w="914" w:type="dxa"/>
            <w:tcBorders>
              <w:top w:val="single" w:color="808080" w:sz="8" w:space="0"/>
              <w:left w:val="nil"/>
              <w:bottom w:val="single" w:color="808080" w:sz="8" w:space="0"/>
              <w:right w:val="single" w:color="808080" w:sz="8" w:space="0"/>
            </w:tcBorders>
            <w:noWrap w:val="0"/>
            <w:tcMar>
              <w:top w:w="0" w:type="dxa"/>
              <w:left w:w="0" w:type="dxa"/>
              <w:bottom w:w="0" w:type="dxa"/>
              <w:right w:w="0" w:type="dxa"/>
            </w:tcMar>
            <w:vAlign w:val="top"/>
          </w:tcPr>
          <w:p w14:paraId="086B1F1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数量</w:t>
            </w:r>
          </w:p>
        </w:tc>
        <w:tc>
          <w:tcPr>
            <w:tcW w:w="952" w:type="dxa"/>
            <w:tcBorders>
              <w:top w:val="single" w:color="808080" w:sz="8" w:space="0"/>
              <w:left w:val="nil"/>
              <w:bottom w:val="single" w:color="808080" w:sz="8" w:space="0"/>
              <w:right w:val="single" w:color="808080" w:sz="8" w:space="0"/>
            </w:tcBorders>
            <w:noWrap w:val="0"/>
            <w:tcMar>
              <w:top w:w="0" w:type="dxa"/>
              <w:left w:w="0" w:type="dxa"/>
              <w:bottom w:w="0" w:type="dxa"/>
              <w:right w:w="0" w:type="dxa"/>
            </w:tcMar>
            <w:vAlign w:val="top"/>
          </w:tcPr>
          <w:p w14:paraId="1BC9A39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单位</w:t>
            </w:r>
          </w:p>
        </w:tc>
      </w:tr>
      <w:tr w14:paraId="1D7843B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0" w:hRule="atLeast"/>
        </w:trPr>
        <w:tc>
          <w:tcPr>
            <w:tcW w:w="952" w:type="dxa"/>
            <w:tcBorders>
              <w:top w:val="nil"/>
              <w:left w:val="single" w:color="808080" w:sz="8" w:space="0"/>
              <w:bottom w:val="single" w:color="404040" w:sz="8" w:space="0"/>
              <w:right w:val="single" w:color="404040" w:sz="8" w:space="0"/>
            </w:tcBorders>
            <w:noWrap w:val="0"/>
            <w:tcMar>
              <w:top w:w="0" w:type="dxa"/>
              <w:left w:w="0" w:type="dxa"/>
              <w:bottom w:w="0" w:type="dxa"/>
              <w:right w:w="0" w:type="dxa"/>
            </w:tcMar>
            <w:vAlign w:val="top"/>
          </w:tcPr>
          <w:p w14:paraId="7E2CE4E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w:t>
            </w:r>
          </w:p>
        </w:tc>
        <w:tc>
          <w:tcPr>
            <w:tcW w:w="6537" w:type="dxa"/>
            <w:tcBorders>
              <w:top w:val="nil"/>
              <w:left w:val="nil"/>
              <w:bottom w:val="single" w:color="404040" w:sz="8" w:space="0"/>
              <w:right w:val="single" w:color="404040" w:sz="8" w:space="0"/>
            </w:tcBorders>
            <w:noWrap w:val="0"/>
            <w:tcMar>
              <w:top w:w="0" w:type="dxa"/>
              <w:left w:w="0" w:type="dxa"/>
              <w:bottom w:w="0" w:type="dxa"/>
              <w:right w:w="0" w:type="dxa"/>
            </w:tcMar>
            <w:vAlign w:val="top"/>
          </w:tcPr>
          <w:p w14:paraId="5ECD637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星甸街道2026年至2027年乡村道路养护项目</w:t>
            </w:r>
          </w:p>
        </w:tc>
        <w:tc>
          <w:tcPr>
            <w:tcW w:w="914" w:type="dxa"/>
            <w:tcBorders>
              <w:top w:val="nil"/>
              <w:left w:val="nil"/>
              <w:bottom w:val="single" w:color="404040" w:sz="8" w:space="0"/>
              <w:right w:val="single" w:color="404040" w:sz="8" w:space="0"/>
            </w:tcBorders>
            <w:noWrap w:val="0"/>
            <w:tcMar>
              <w:top w:w="0" w:type="dxa"/>
              <w:left w:w="0" w:type="dxa"/>
              <w:bottom w:w="0" w:type="dxa"/>
              <w:right w:w="0" w:type="dxa"/>
            </w:tcMar>
            <w:vAlign w:val="top"/>
          </w:tcPr>
          <w:p w14:paraId="1F63599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w:t>
            </w:r>
          </w:p>
        </w:tc>
        <w:tc>
          <w:tcPr>
            <w:tcW w:w="952" w:type="dxa"/>
            <w:tcBorders>
              <w:top w:val="nil"/>
              <w:left w:val="nil"/>
              <w:bottom w:val="single" w:color="404040" w:sz="8" w:space="0"/>
              <w:right w:val="single" w:color="404040" w:sz="8" w:space="0"/>
            </w:tcBorders>
            <w:noWrap w:val="0"/>
            <w:tcMar>
              <w:top w:w="0" w:type="dxa"/>
              <w:left w:w="0" w:type="dxa"/>
              <w:bottom w:w="0" w:type="dxa"/>
              <w:right w:w="0" w:type="dxa"/>
            </w:tcMar>
            <w:vAlign w:val="top"/>
          </w:tcPr>
          <w:p w14:paraId="777CAD6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项</w:t>
            </w:r>
          </w:p>
        </w:tc>
      </w:tr>
    </w:tbl>
    <w:p w14:paraId="580896C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w:t>
      </w:r>
    </w:p>
    <w:p w14:paraId="5009373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服务内容详见乙方投标（响应）文件。</w:t>
      </w:r>
    </w:p>
    <w:p w14:paraId="03F0E9D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第二条合同总价款</w:t>
      </w:r>
    </w:p>
    <w:p w14:paraId="0E9F0C2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本合同项下总价款为元整（大写）人民币；单价为（大写）人民币，分项价款详见《报价表》。</w:t>
      </w:r>
    </w:p>
    <w:p w14:paraId="06BFDAC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本合同最终结算总价款按照招标文件约定执行。本合同总价款包含以下内容：</w:t>
      </w:r>
    </w:p>
    <w:p w14:paraId="7EC642E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（1）完成本服务项目发生的所有含税费用；</w:t>
      </w:r>
    </w:p>
    <w:p w14:paraId="52109DE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（2）支付给员工的工资和国家强制缴纳的各种社会保障资金；</w:t>
      </w:r>
    </w:p>
    <w:p w14:paraId="7E0B5AE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（3）乙方应当提供的伴随服务/售后服务费用；</w:t>
      </w:r>
    </w:p>
    <w:p w14:paraId="28009FF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（4）供应商认为需要的其他费用。</w:t>
      </w:r>
    </w:p>
    <w:p w14:paraId="0A14BE3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本合同为总价合同，合同执行期间总价不变。</w:t>
      </w:r>
    </w:p>
    <w:p w14:paraId="6773501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第三条合同期限：365天</w:t>
      </w:r>
    </w:p>
    <w:p w14:paraId="56B6193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第四条组成本合同的有关文件</w:t>
      </w:r>
    </w:p>
    <w:p w14:paraId="3ADF82C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下列关于南京市政府采购号的招标（采购）文件、投标（响应）文件，以及与本次采购活动相关的文件及有关附件是本合同不可分割的组成部分，与本合同具有同等法律效力，这些文件包括但不限于：</w:t>
      </w:r>
    </w:p>
    <w:p w14:paraId="556E0DD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（1）投标（响应）文件和报价表；</w:t>
      </w:r>
    </w:p>
    <w:p w14:paraId="00346C3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（2）服务一览表；</w:t>
      </w:r>
    </w:p>
    <w:p w14:paraId="54FA99F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（3）交付一览表；</w:t>
      </w:r>
    </w:p>
    <w:p w14:paraId="74BBE80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（4）技术规格响应表；</w:t>
      </w:r>
    </w:p>
    <w:p w14:paraId="3AA7E81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（5）投标（响应）承诺；</w:t>
      </w:r>
    </w:p>
    <w:p w14:paraId="725CED6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（6）服务承诺；</w:t>
      </w:r>
    </w:p>
    <w:p w14:paraId="5AF58FE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（7）中标（成交）通知书；</w:t>
      </w:r>
    </w:p>
    <w:p w14:paraId="40CD853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（8）甲乙双方商定的其它文件。</w:t>
      </w:r>
    </w:p>
    <w:p w14:paraId="374824B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第五条权利保证</w:t>
      </w:r>
    </w:p>
    <w:p w14:paraId="6E1EAD6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乙方应保证甲方在使用该服务或其任何一部分时不受第三方提出侵犯其专利权、版权、商标权或其他权利的起诉。一旦出现侵权，乙方应承担全部责任。</w:t>
      </w:r>
    </w:p>
    <w:p w14:paraId="3846B2A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第六条质量保证</w:t>
      </w:r>
    </w:p>
    <w:p w14:paraId="23AE3BE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乙方所提供的服务的技术规格应与招标（采购）文件规定的技术规格及所附的“技术规格响应表”相一致；若技术性能无特殊说明，则按国家有关部门最新颁布的标准及规范为准。</w:t>
      </w:r>
    </w:p>
    <w:p w14:paraId="7503763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第七条交付和验收</w:t>
      </w:r>
    </w:p>
    <w:p w14:paraId="72B340E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1.乙方应当在合同签订后365 天内完成服务事项。</w:t>
      </w:r>
    </w:p>
    <w:p w14:paraId="07C9D5A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2.验收标准：按行业通行标准和乙方投标（响应）文件的承诺（详见合同附件载明的标准，并不低于国家相关标准）。</w:t>
      </w:r>
    </w:p>
    <w:p w14:paraId="1B565A3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第八条履约保证金</w:t>
      </w:r>
    </w:p>
    <w:p w14:paraId="67D77DA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8.1 乙方按照合同金额5 %缴纳履约保证金。合同履行结束后，甲方按以下约定退还:</w:t>
      </w:r>
    </w:p>
    <w:p w14:paraId="10DEE6B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8.1.1退还时间及条件：验收合格且合同履行期结束后5个工作日内。</w:t>
      </w:r>
    </w:p>
    <w:p w14:paraId="282BED7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8.1.2退还方式:扣除违约费用后一次性无息退还。</w:t>
      </w:r>
    </w:p>
    <w:p w14:paraId="1EBB37E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8.1.3 不予退还的情形:合同约定的交付期内未约完成、验收不合格、整改不到位等情形</w:t>
      </w:r>
    </w:p>
    <w:p w14:paraId="55C0BA2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8.2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p>
    <w:p w14:paraId="7D54CFE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第九条合同款支付</w:t>
      </w:r>
    </w:p>
    <w:p w14:paraId="1889E24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1.本合同项下所有款项均以人民币支付。</w:t>
      </w:r>
    </w:p>
    <w:p w14:paraId="27FC4B6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2.本合同项下的采购资金由乙方开具发票，甲方按照本条第3 款的约定支付。</w:t>
      </w:r>
    </w:p>
    <w:p w14:paraId="15AF3A0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3.付款条件：</w:t>
      </w:r>
    </w:p>
    <w:p w14:paraId="3C59401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(1)项目服务期满验收合格后，按照不超过合同价的50%付款，并退还履约保证金（如有）。</w:t>
      </w:r>
    </w:p>
    <w:p w14:paraId="76F97F6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(2)项目完成结算审计后，按照累计不超过审定金额的85%付款。</w:t>
      </w:r>
    </w:p>
    <w:p w14:paraId="4228D08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(3)剩余15%资金作为绩效保证金，根据服务考核情况，一年后支付尾款。</w:t>
      </w:r>
    </w:p>
    <w:p w14:paraId="5CB7D271">
      <w:pPr>
        <w:pBdr>
          <w:top w:val="none" w:color="000000" w:sz="0" w:space="0"/>
          <w:left w:val="none" w:color="000000" w:sz="0" w:space="0"/>
          <w:bottom w:val="none" w:color="000000" w:sz="0" w:space="0"/>
          <w:right w:val="none" w:color="000000" w:sz="0" w:space="0"/>
        </w:pBdr>
        <w:spacing w:before="0" w:after="0" w:line="85" w:lineRule="atLeast"/>
        <w:ind w:right="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第十条违约责任</w:t>
      </w:r>
    </w:p>
    <w:p w14:paraId="448E8AF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1.甲方无正当理由拒收服务、拒付服务款的，甲方向乙方偿付合同总价的10%违约金。</w:t>
      </w:r>
    </w:p>
    <w:p w14:paraId="020301C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2.甲方未按合同规定的期限向乙方支付服务款的，每逾期1 天甲方向乙方偿付欠款总额的5‰滞纳金，但累计滞纳金总额不超过欠款总额的5%。</w:t>
      </w:r>
    </w:p>
    <w:p w14:paraId="4068EE4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3.甲方逾期退还履约保证金的，除应当退还履约保证金本金外，还应当按中国人民银行同期贷款基准利率上浮20%后的利率支付超期资金占用费，但因乙方自身原因导致无法及时退还的除外。</w:t>
      </w:r>
    </w:p>
    <w:p w14:paraId="3644788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4.如乙方不能交付服务的，甲方有权扣留全部履约保证金；同时乙方应向甲方支付合同总价5%的违约金。</w:t>
      </w:r>
    </w:p>
    <w:p w14:paraId="77A9C7C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5.乙方逾期交付的，每逾期1 天，乙方向甲方偿付合同总额的5‰的滞纳金。如乙方逾期交付达10 天，甲方有权解除合同，解除合同的通知自到达乙方时生效。</w:t>
      </w:r>
    </w:p>
    <w:p w14:paraId="52707F9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6.乙方所交付的服务不符合合同规定的，甲方有权拒收。甲方拒收的，乙方应向甲方支付合同总款5%的违约金。</w:t>
      </w:r>
    </w:p>
    <w:p w14:paraId="1B1B736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7.在乙方承诺的或国家规定的质量保证期内（取两者中最长的期限），如经乙方3 次整改仍不能达到合同约定的质量标准，乙方应退回全部合同价款，并按本条第3 款处理，同</w:t>
      </w:r>
    </w:p>
    <w:p w14:paraId="6B23A1E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时，乙方还须赔偿甲方因此遭受的损失。</w:t>
      </w:r>
    </w:p>
    <w:p w14:paraId="0E70201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8.乙方未按本合同的规定和服务承诺提供伴随服务/售后服务的，应按合同总价款的5%向甲方承担违约责任。</w:t>
      </w:r>
    </w:p>
    <w:p w14:paraId="68B2786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9.乙方在承担上述4-7 款一项或多项违约责任后，仍应继续履行合同规定的义务（甲方解除合同的除外）。甲方未能及时追究乙方的任何一项违约责任并不表明甲方放弃追究乙方该项或其他违约责任。</w:t>
      </w:r>
    </w:p>
    <w:p w14:paraId="542376E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10.乙方响应属虚假承诺，或经权威部门检测提供的服务不能满足投标（响应）文件要</w:t>
      </w:r>
    </w:p>
    <w:p w14:paraId="4BCC4EE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求，或是由于乙方的过错造成合同无法继续履行的，乙方履约保证金不予退还外，还应向甲方支付不少于合同总价5%赔偿金。</w:t>
      </w:r>
    </w:p>
    <w:p w14:paraId="7310C66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第十一条合同的变更和终止</w:t>
      </w:r>
    </w:p>
    <w:p w14:paraId="30CA8D3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1.除《政府采购法》第50 条规定的情形外，本合同一经签订，甲乙双方不得擅自变更、中止或终止。</w:t>
      </w:r>
    </w:p>
    <w:p w14:paraId="29FB932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2.除发生法律规定的不能预见、不能避免并不能克服的客观情况外，甲乙双方不得放弃或拒绝履行合同。乙方放弃或拒绝履行合同，履约保证金不予退还，并按规定接受相关部门的处罚。</w:t>
      </w:r>
    </w:p>
    <w:p w14:paraId="368DB78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第十二条合同的转让</w:t>
      </w:r>
    </w:p>
    <w:p w14:paraId="6E5E493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乙方不得擅自部分或全部转让其应履行的合同义务。</w:t>
      </w:r>
    </w:p>
    <w:p w14:paraId="224BE21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第十三条争议的解决</w:t>
      </w:r>
    </w:p>
    <w:p w14:paraId="11B4945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1.因服务的质量问题发生争议的，应当邀请国家认可的质量检测机构对服务质量进行鉴定。符合标准的，鉴定费由甲方承担；不符合标准的，鉴定费由乙方承担。</w:t>
      </w:r>
    </w:p>
    <w:p w14:paraId="53C425A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2.因履行本合同引起的或与本合同有关的争议，甲、乙双方应首先通过友好协商解决，如果协商不能解决争议，则采取以下第1 种方式解决争议：</w:t>
      </w:r>
    </w:p>
    <w:p w14:paraId="4D84928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（1）向甲方所在地有管辖权的人民法院提起诉讼；（2）向南京仲裁委员会按其仲裁规则申请仲裁。</w:t>
      </w:r>
    </w:p>
    <w:p w14:paraId="34056DD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如没有约定，默认采取第2 种方式解决争议。</w:t>
      </w:r>
    </w:p>
    <w:p w14:paraId="10B4811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3.仲裁期间本合同应继续履行。第十四条诚实信用</w:t>
      </w:r>
    </w:p>
    <w:p w14:paraId="064CB1C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乙方应诚实信用，严格按照招标（采购）文件要求和投标（响应）承诺履行合同，不向甲方进行商业贿赂或者提供不正当利益。</w:t>
      </w:r>
    </w:p>
    <w:p w14:paraId="0194BD2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第十五条合同生效及其他</w:t>
      </w:r>
    </w:p>
    <w:p w14:paraId="6C5FB5D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1.本合同自签订之日起生效，两个工作日内在财政部门指定的媒体上公告。2.本合同一式三份，甲乙双方及南京市公共资源交易中心各执一份。</w:t>
      </w:r>
    </w:p>
    <w:p w14:paraId="6194F19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3.本合同按照中华人民共和国的现行法律进行解释。4.其他：无</w:t>
      </w:r>
    </w:p>
    <w:p w14:paraId="73DE19F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w:t>
      </w:r>
    </w:p>
    <w:p w14:paraId="22B36BD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甲方（采购人）：                   乙方（供应商）：</w:t>
      </w:r>
    </w:p>
    <w:p w14:paraId="61D9E6D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w:t>
      </w:r>
    </w:p>
    <w:p w14:paraId="6B264FA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（盖章）                             （盖章）</w:t>
      </w:r>
    </w:p>
    <w:p w14:paraId="4930EFD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代表人：                              代表人：</w:t>
      </w:r>
    </w:p>
    <w:p w14:paraId="0D58CCB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电话：                                电话：</w:t>
      </w:r>
    </w:p>
    <w:p w14:paraId="1207959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开户银行：                            开户银行：</w:t>
      </w:r>
    </w:p>
    <w:p w14:paraId="783BD6A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账号：                                账号：</w:t>
      </w:r>
    </w:p>
    <w:p w14:paraId="3D7390D2">
      <w:pPr>
        <w:pBdr>
          <w:top w:val="none" w:color="000000" w:sz="0" w:space="0"/>
          <w:left w:val="none" w:color="000000" w:sz="0" w:space="0"/>
          <w:bottom w:val="none" w:color="000000" w:sz="0" w:space="0"/>
          <w:right w:val="none" w:color="000000" w:sz="0" w:space="0"/>
        </w:pBdr>
        <w:spacing w:before="120" w:after="120" w:line="65" w:lineRule="atLeast"/>
        <w:ind w:left="0" w:right="0" w:firstLine="4800"/>
        <w:jc w:val="both"/>
        <w:rPr>
          <w:color w:val="auto"/>
          <w:highlight w:val="none"/>
        </w:rPr>
      </w:pPr>
      <w:r>
        <w:rPr>
          <w:rFonts w:ascii="Times New Roman" w:hAnsi="Times New Roman" w:eastAsia="Times New Roman" w:cs="Times New Roman"/>
          <w:color w:val="auto"/>
          <w:sz w:val="24"/>
          <w:highlight w:val="none"/>
        </w:rPr>
        <w:t> </w:t>
      </w:r>
    </w:p>
    <w:p w14:paraId="532C2C4A">
      <w:pPr>
        <w:numPr>
          <w:ilvl w:val="0"/>
          <w:numId w:val="5"/>
        </w:numPr>
        <w:pBdr>
          <w:top w:val="none" w:color="000000" w:sz="0" w:space="0"/>
          <w:left w:val="none" w:color="000000" w:sz="0" w:space="0"/>
          <w:bottom w:val="none" w:color="000000" w:sz="0" w:space="0"/>
          <w:right w:val="none" w:color="000000" w:sz="0" w:space="0"/>
        </w:pBdr>
        <w:spacing w:before="0" w:after="0"/>
        <w:ind w:left="0" w:right="0" w:firstLine="2880" w:firstLineChars="1200"/>
        <w:rPr>
          <w:rStyle w:val="63"/>
          <w:rFonts w:hint="eastAsia" w:ascii="黑体" w:hAnsi="黑体" w:eastAsia="黑体" w:cs="黑体"/>
          <w:color w:val="auto"/>
          <w:highlight w:val="none"/>
        </w:rPr>
      </w:pPr>
      <w:r>
        <w:rPr>
          <w:rFonts w:hint="eastAsia" w:ascii="宋体" w:hAnsi="宋体" w:cs="Courier New"/>
          <w:color w:val="auto"/>
          <w:sz w:val="24"/>
          <w:szCs w:val="24"/>
          <w:highlight w:val="none"/>
        </w:rPr>
        <w:br w:type="page" w:clear="all"/>
      </w:r>
      <w:bookmarkEnd w:id="180"/>
      <w:bookmarkStart w:id="186" w:name="_Toc1812"/>
      <w:r>
        <w:rPr>
          <w:rStyle w:val="63"/>
          <w:rFonts w:hint="eastAsia" w:ascii="黑体" w:hAnsi="黑体" w:eastAsia="黑体" w:cs="黑体"/>
          <w:color w:val="auto"/>
          <w:highlight w:val="none"/>
        </w:rPr>
        <w:t>采购需求</w:t>
      </w:r>
      <w:bookmarkEnd w:id="181"/>
      <w:bookmarkEnd w:id="182"/>
      <w:bookmarkEnd w:id="183"/>
      <w:bookmarkEnd w:id="186"/>
      <w:bookmarkStart w:id="187" w:name="_Toc26554093"/>
      <w:bookmarkStart w:id="188" w:name="_Toc49090575"/>
    </w:p>
    <w:p w14:paraId="015A274B">
      <w:pPr>
        <w:numPr>
          <w:ilvl w:val="0"/>
          <w:numId w:val="0"/>
        </w:numPr>
        <w:pBdr>
          <w:top w:val="none" w:color="000000" w:sz="0" w:space="0"/>
          <w:left w:val="none" w:color="000000" w:sz="0" w:space="0"/>
          <w:bottom w:val="none" w:color="000000" w:sz="0" w:space="0"/>
          <w:right w:val="none" w:color="000000" w:sz="0" w:space="0"/>
        </w:pBdr>
        <w:spacing w:before="0" w:after="0"/>
        <w:ind w:leftChars="1200" w:right="0" w:rightChars="0"/>
        <w:rPr>
          <w:rStyle w:val="63"/>
          <w:rFonts w:hint="eastAsia" w:ascii="黑体" w:hAnsi="黑体" w:eastAsia="黑体" w:cs="黑体"/>
          <w:color w:val="auto"/>
          <w:highlight w:val="none"/>
        </w:rPr>
      </w:pPr>
    </w:p>
    <w:p w14:paraId="33820857">
      <w:pPr>
        <w:ind w:firstLine="480"/>
        <w:jc w:val="left"/>
        <w:rPr>
          <w:rFonts w:hint="eastAsia" w:ascii="仿宋" w:hAnsi="仿宋" w:eastAsia="仿宋" w:cs="仿宋"/>
          <w:color w:val="auto"/>
          <w:sz w:val="24"/>
          <w:szCs w:val="24"/>
          <w:highlight w:val="none"/>
          <w:lang w:val="en-US" w:eastAsia="zh-CN"/>
        </w:rPr>
      </w:pPr>
      <w:bookmarkStart w:id="189" w:name="_Toc8848"/>
      <w:bookmarkStart w:id="190" w:name="_Toc120614281"/>
      <w:r>
        <w:rPr>
          <w:rFonts w:hint="eastAsia" w:ascii="仿宋" w:hAnsi="仿宋" w:eastAsia="仿宋" w:cs="仿宋"/>
          <w:color w:val="auto"/>
          <w:sz w:val="24"/>
          <w:szCs w:val="24"/>
          <w:highlight w:val="none"/>
          <w:lang w:val="en-US" w:eastAsia="zh-CN"/>
        </w:rPr>
        <w:t>4.1项目概况</w:t>
      </w:r>
    </w:p>
    <w:p w14:paraId="57405674">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4.1.1建设目标</w:t>
      </w:r>
    </w:p>
    <w:p w14:paraId="7ADF23E4">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总体目标：建立健全养护管理长效运行机制，切实提高养护管理水平，推动农村公路养护管理向精细化、专业化、市场化、信息化发展，做到“路容整洁、 设施齐全、路面平整、安全舒适、行车顺畅、环境宜人 ”，提升广大群众“畅、安、 舒、美、优 ”的通行条件。</w:t>
      </w:r>
    </w:p>
    <w:p w14:paraId="202CF212">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路基养护目标：各部位保持完整，表面平整坚实，边坡稳定，排水畅通。路肩横 坡适度，边缘顺适，无坑洼、沉陷、缺口、堆积物、高草； 边坡稳定、坚固、平顺， 无冲刷、缺口；边沟、排水沟等排水设施完好，排水通畅，无淤塞、无杂草。通过养 护管理，使其质量不低于原设计标准。</w:t>
      </w:r>
    </w:p>
    <w:p w14:paraId="682A599A">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路面养护目标：确保路面行驶性能，延长道路使用寿命。保持路面平整、整洁， 无影响行车安全的病害；路面无垃圾、浮土、石块等抛洒物，确保公路安全畅通、行 车舒适。</w:t>
      </w:r>
    </w:p>
    <w:p w14:paraId="135F7782">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桥涵养护目标：结构完整、牢固， 无安全隐患；桥面无深陷、坑槽； 桥涵洞身、 涵底、进出水口、护坡完好, 无堵塞、冲刷，水流顺畅。</w:t>
      </w:r>
    </w:p>
    <w:p w14:paraId="7CABCEF3">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沿线设施养护目标：及时清洁和补充完善，做到完整、齐全、美观、醒目、清 洁，工作状态良好，确保发挥应有的作用。</w:t>
      </w:r>
    </w:p>
    <w:p w14:paraId="28AFFCB2">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绿化养护目标：及时补充、修剪和维护，与周边环境相协调，确保公路现有绿化 的存活率达95%以上。</w:t>
      </w:r>
    </w:p>
    <w:p w14:paraId="4B69B7E0">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4.1.2项目建设遵循标准</w:t>
      </w:r>
    </w:p>
    <w:p w14:paraId="4E44F75B">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《城镇道路养护技术规范》（CJJ36-2016）；</w:t>
      </w:r>
    </w:p>
    <w:p w14:paraId="17EE4120">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《城市桥梁养护技术标准》（CJJ99-2017）；</w:t>
      </w:r>
    </w:p>
    <w:p w14:paraId="1346478F">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《钢纤维混凝土检查井盖》（GB/T26537-2011）；</w:t>
      </w:r>
    </w:p>
    <w:p w14:paraId="149700BD">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《道路交通标志和标线 第 4 部分：作业区》（GB 5768.4-2017）；</w:t>
      </w:r>
    </w:p>
    <w:p w14:paraId="28F2D8CD">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《公路养护技术标准》（JTG 5110-2023）；</w:t>
      </w:r>
    </w:p>
    <w:p w14:paraId="188671CE">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《城镇排水管渠及泵站维护技术规程》（CJJ 68-2007）；</w:t>
      </w:r>
    </w:p>
    <w:p w14:paraId="33D3F485">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《城镇道路工程施工与质量验收规范》（CJJ1-2008）；</w:t>
      </w:r>
    </w:p>
    <w:p w14:paraId="1BC2BDAA">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《城市桥梁工程施工与质量验收规范》（CJJ2-2008）；</w:t>
      </w:r>
    </w:p>
    <w:p w14:paraId="2F431AB7">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《给水排水管道工程施工及验收规范》（GB 50268-2008）；</w:t>
      </w:r>
    </w:p>
    <w:p w14:paraId="3C023FB0">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《无障碍设计规范》（GB 50763-2012）、《建筑与市政工程无障碍通用规范》（GB 55019-2021）；</w:t>
      </w:r>
    </w:p>
    <w:p w14:paraId="4499DAFA">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《农村公路养护技术规范》（JTG/T 5190-2019）；</w:t>
      </w:r>
    </w:p>
    <w:p w14:paraId="1B8474CC">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《城市道路管理条例》（1996 年中华人民共和国国务院令第 198 号）；</w:t>
      </w:r>
    </w:p>
    <w:p w14:paraId="28F606C8">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《南京市城市道路设施管理条例》（2017 修正版）；</w:t>
      </w:r>
    </w:p>
    <w:p w14:paraId="158B9B9C">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《南京市城市排水管理条例》（2005 年南京市人民代表大会常务委员会公告第 4 号）；</w:t>
      </w:r>
    </w:p>
    <w:p w14:paraId="76BC249E">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《南京市工程施工现场管理规定》（2005 年南京市人民政府令第 237 号）；</w:t>
      </w:r>
    </w:p>
    <w:p w14:paraId="2AE8AAFC">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《南京市城市道路挖掘管理规定》（2007 年南京市市政公用局宁公法字〔2007〕419 号）；</w:t>
      </w:r>
    </w:p>
    <w:p w14:paraId="3A5F4E0C">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《南京市农村公路养护工程预算定额》；</w:t>
      </w:r>
    </w:p>
    <w:p w14:paraId="1D48FD48">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以及本项目所有产品涉及到的相关国家强制性标准，如有最新标准，按最新标准执行。</w:t>
      </w:r>
    </w:p>
    <w:p w14:paraId="0AA78CBA">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4.1.3项目背景</w:t>
      </w:r>
    </w:p>
    <w:p w14:paraId="22C1D0D0">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为进一步管理好、养护好农村公路，全面提升精品旅游线路管养水平及路域环境，提高农村公路养护管理水平，推进“四好农村路”高质量发展，提升农村人居环境、助力乡村振兴等相关文件精神，对星甸街道越150公里乡村道 做好日常养护服务和交安设施养护管理，并完善内业资料。</w:t>
      </w:r>
    </w:p>
    <w:p w14:paraId="5B85E31C">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 产品清单</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14"/>
        <w:gridCol w:w="1386"/>
        <w:gridCol w:w="726"/>
        <w:gridCol w:w="638"/>
        <w:gridCol w:w="1012"/>
        <w:gridCol w:w="909"/>
        <w:gridCol w:w="832"/>
        <w:gridCol w:w="628"/>
        <w:gridCol w:w="1122"/>
        <w:gridCol w:w="1433"/>
      </w:tblGrid>
      <w:tr w14:paraId="513ECF9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96" w:hRule="atLeast"/>
        </w:trPr>
        <w:tc>
          <w:tcPr>
            <w:tcW w:w="519"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6EC6E68">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序号</w:t>
            </w:r>
          </w:p>
        </w:tc>
        <w:tc>
          <w:tcPr>
            <w:tcW w:w="1406"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33D496DD">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名称</w:t>
            </w:r>
          </w:p>
        </w:tc>
        <w:tc>
          <w:tcPr>
            <w:tcW w:w="738"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0660036B">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数量</w:t>
            </w:r>
          </w:p>
        </w:tc>
        <w:tc>
          <w:tcPr>
            <w:tcW w:w="650"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1705A55A">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单位</w:t>
            </w:r>
          </w:p>
        </w:tc>
        <w:tc>
          <w:tcPr>
            <w:tcW w:w="1032"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7D96B626">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最高限 价</w:t>
            </w:r>
          </w:p>
        </w:tc>
        <w:tc>
          <w:tcPr>
            <w:tcW w:w="923"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37C26C2D">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是否接受进口</w:t>
            </w:r>
          </w:p>
        </w:tc>
        <w:tc>
          <w:tcPr>
            <w:tcW w:w="850"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2BF803B4">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产品类型</w:t>
            </w:r>
          </w:p>
        </w:tc>
        <w:tc>
          <w:tcPr>
            <w:tcW w:w="640"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32C8A4A0">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所属类型</w:t>
            </w:r>
          </w:p>
        </w:tc>
        <w:tc>
          <w:tcPr>
            <w:tcW w:w="1143"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1EA52F3E">
            <w:pPr>
              <w:ind w:firstLine="240" w:firstLineChars="1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类型</w:t>
            </w:r>
          </w:p>
        </w:tc>
        <w:tc>
          <w:tcPr>
            <w:tcW w:w="1454"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0D7F5AF2">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备注</w:t>
            </w:r>
          </w:p>
        </w:tc>
      </w:tr>
      <w:tr w14:paraId="3BFC5E8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55" w:hRule="atLeast"/>
        </w:trPr>
        <w:tc>
          <w:tcPr>
            <w:tcW w:w="519"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669CD94">
            <w:pPr>
              <w:ind w:firstLine="240" w:firstLineChars="100"/>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406"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505B19A4">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星甸街道乡村道路日常养护服务采</w:t>
            </w:r>
          </w:p>
          <w:p w14:paraId="288D5B9C">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购</w:t>
            </w:r>
          </w:p>
        </w:tc>
        <w:tc>
          <w:tcPr>
            <w:tcW w:w="738"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16AA39EB">
            <w:pPr>
              <w:ind w:firstLine="240" w:firstLineChars="1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650"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6D595F1B">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w:t>
            </w:r>
          </w:p>
        </w:tc>
        <w:tc>
          <w:tcPr>
            <w:tcW w:w="1032"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0B69B59D">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120万元</w:t>
            </w:r>
          </w:p>
        </w:tc>
        <w:tc>
          <w:tcPr>
            <w:tcW w:w="923"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7AC1109D">
            <w:pPr>
              <w:ind w:firstLine="480"/>
              <w:jc w:val="left"/>
              <w:rPr>
                <w:rFonts w:hint="eastAsia" w:ascii="仿宋" w:hAnsi="仿宋" w:eastAsia="仿宋" w:cs="仿宋"/>
                <w:color w:val="auto"/>
                <w:sz w:val="24"/>
                <w:szCs w:val="24"/>
                <w:highlight w:val="none"/>
                <w:lang w:val="en-US" w:eastAsia="zh-CN"/>
              </w:rPr>
            </w:pPr>
          </w:p>
          <w:p w14:paraId="0CDE6A72">
            <w:pPr>
              <w:ind w:firstLine="240" w:firstLineChars="1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否</w:t>
            </w:r>
          </w:p>
        </w:tc>
        <w:tc>
          <w:tcPr>
            <w:tcW w:w="850"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1EEF7E8E">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主要产品</w:t>
            </w:r>
          </w:p>
        </w:tc>
        <w:tc>
          <w:tcPr>
            <w:tcW w:w="640"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19308420">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其他未列明行业</w:t>
            </w:r>
          </w:p>
        </w:tc>
        <w:tc>
          <w:tcPr>
            <w:tcW w:w="1143"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201FD988">
            <w:pPr>
              <w:ind w:firstLine="480"/>
              <w:jc w:val="left"/>
              <w:rPr>
                <w:rFonts w:hint="eastAsia" w:ascii="仿宋" w:hAnsi="仿宋" w:eastAsia="仿宋" w:cs="仿宋"/>
                <w:color w:val="auto"/>
                <w:sz w:val="24"/>
                <w:szCs w:val="24"/>
                <w:highlight w:val="none"/>
                <w:lang w:val="en-US" w:eastAsia="zh-CN"/>
              </w:rPr>
            </w:pPr>
          </w:p>
          <w:p w14:paraId="2EE56812">
            <w:pPr>
              <w:ind w:firstLine="240" w:firstLineChars="1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服务</w:t>
            </w:r>
          </w:p>
        </w:tc>
        <w:tc>
          <w:tcPr>
            <w:tcW w:w="1454"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79E15932">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包含本标段路面、桥涵及其他项目所有零星维修（具体事宜由采购人确认）</w:t>
            </w:r>
          </w:p>
        </w:tc>
      </w:tr>
    </w:tbl>
    <w:p w14:paraId="20B36603">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4.3 功能、性能、配置要求</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215"/>
        <w:gridCol w:w="7403"/>
      </w:tblGrid>
      <w:tr w14:paraId="3E498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624" w:type="dxa"/>
            <w:noWrap w:val="0"/>
            <w:vAlign w:val="center"/>
          </w:tcPr>
          <w:p w14:paraId="0578EAD2">
            <w:pPr>
              <w:jc w:val="center"/>
              <w:rPr>
                <w:color w:val="auto"/>
                <w:highlight w:val="none"/>
                <w:vertAlign w:val="baseline"/>
              </w:rPr>
            </w:pPr>
            <w:r>
              <w:rPr>
                <w:rFonts w:hint="eastAsia" w:ascii="仿宋" w:hAnsi="仿宋" w:eastAsia="仿宋" w:cs="仿宋"/>
                <w:color w:val="auto"/>
                <w:sz w:val="24"/>
                <w:szCs w:val="24"/>
                <w:highlight w:val="none"/>
                <w:lang w:val="en-US" w:eastAsia="zh-CN"/>
              </w:rPr>
              <w:t>序号</w:t>
            </w:r>
          </w:p>
        </w:tc>
        <w:tc>
          <w:tcPr>
            <w:tcW w:w="1215" w:type="dxa"/>
            <w:noWrap w:val="0"/>
            <w:vAlign w:val="center"/>
          </w:tcPr>
          <w:p w14:paraId="0EA450B5">
            <w:pPr>
              <w:jc w:val="center"/>
              <w:rPr>
                <w:color w:val="auto"/>
                <w:highlight w:val="none"/>
                <w:vertAlign w:val="baseline"/>
              </w:rPr>
            </w:pPr>
            <w:r>
              <w:rPr>
                <w:rFonts w:hint="eastAsia" w:ascii="仿宋" w:hAnsi="仿宋" w:eastAsia="仿宋" w:cs="仿宋"/>
                <w:color w:val="auto"/>
                <w:sz w:val="24"/>
                <w:szCs w:val="24"/>
                <w:highlight w:val="none"/>
                <w:lang w:val="en-US" w:eastAsia="zh-CN"/>
              </w:rPr>
              <w:t>名称</w:t>
            </w:r>
          </w:p>
        </w:tc>
        <w:tc>
          <w:tcPr>
            <w:tcW w:w="7403" w:type="dxa"/>
            <w:noWrap w:val="0"/>
            <w:vAlign w:val="center"/>
          </w:tcPr>
          <w:p w14:paraId="6B8F0BA3">
            <w:pPr>
              <w:jc w:val="center"/>
              <w:rPr>
                <w:color w:val="auto"/>
                <w:highlight w:val="none"/>
                <w:vertAlign w:val="baseline"/>
              </w:rPr>
            </w:pPr>
            <w:r>
              <w:rPr>
                <w:rFonts w:hint="eastAsia" w:ascii="仿宋" w:hAnsi="仿宋" w:eastAsia="仿宋" w:cs="仿宋"/>
                <w:color w:val="auto"/>
                <w:sz w:val="24"/>
                <w:szCs w:val="24"/>
                <w:highlight w:val="none"/>
                <w:lang w:val="en-US" w:eastAsia="zh-CN"/>
              </w:rPr>
              <w:t>功能、性能、配置要求</w:t>
            </w:r>
          </w:p>
        </w:tc>
      </w:tr>
      <w:tr w14:paraId="5033E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noWrap w:val="0"/>
            <w:vAlign w:val="center"/>
          </w:tcPr>
          <w:p w14:paraId="5138E713">
            <w:pPr>
              <w:jc w:val="center"/>
              <w:rPr>
                <w:rFonts w:hint="eastAsia" w:eastAsia="宋体"/>
                <w:color w:val="auto"/>
                <w:highlight w:val="none"/>
                <w:vertAlign w:val="baseline"/>
                <w:lang w:val="en-US" w:eastAsia="zh-CN"/>
              </w:rPr>
            </w:pPr>
            <w:r>
              <w:rPr>
                <w:rFonts w:hint="eastAsia"/>
                <w:color w:val="auto"/>
                <w:highlight w:val="none"/>
                <w:vertAlign w:val="baseline"/>
                <w:lang w:val="en-US" w:eastAsia="zh-CN"/>
              </w:rPr>
              <w:t>1</w:t>
            </w:r>
          </w:p>
        </w:tc>
        <w:tc>
          <w:tcPr>
            <w:tcW w:w="1215" w:type="dxa"/>
            <w:noWrap w:val="0"/>
            <w:vAlign w:val="center"/>
          </w:tcPr>
          <w:p w14:paraId="7C16903C">
            <w:pPr>
              <w:rPr>
                <w:color w:val="auto"/>
                <w:highlight w:val="none"/>
                <w:vertAlign w:val="baseline"/>
              </w:rPr>
            </w:pPr>
            <w:r>
              <w:rPr>
                <w:rFonts w:hint="eastAsia" w:ascii="仿宋" w:hAnsi="仿宋" w:eastAsia="仿宋" w:cs="仿宋"/>
                <w:color w:val="auto"/>
                <w:sz w:val="24"/>
                <w:szCs w:val="24"/>
                <w:highlight w:val="none"/>
                <w:lang w:val="en-US" w:eastAsia="zh-CN"/>
              </w:rPr>
              <w:t>★实质性要求</w:t>
            </w:r>
          </w:p>
        </w:tc>
        <w:tc>
          <w:tcPr>
            <w:tcW w:w="7403" w:type="dxa"/>
            <w:noWrap w:val="0"/>
            <w:vAlign w:val="center"/>
          </w:tcPr>
          <w:p w14:paraId="1B27ED58">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日常巡查：</w:t>
            </w:r>
            <w:r>
              <w:rPr>
                <w:rFonts w:hint="eastAsia" w:ascii="仿宋" w:hAnsi="仿宋" w:eastAsia="仿宋" w:cs="仿宋"/>
                <w:color w:val="auto"/>
                <w:sz w:val="24"/>
                <w:szCs w:val="24"/>
                <w:highlight w:val="none"/>
                <w:lang w:val="en-US" w:eastAsia="zh-CN"/>
              </w:rPr>
              <w:t>日常巡查范围包括路基、路面、桥涵、交通工程及沿线设施、绿化等。对发现的问题，按职责范围及时处理及上报给采购人。巡查工作按2人/车标准定期巡视、检查公路状况，及时掌握、记录、报告和保存路况信息。</w:t>
            </w:r>
          </w:p>
          <w:p w14:paraId="0A0AF07A">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（一）乡村道巡查每周不少于1次，特殊路段或遇有恶劣天气应适当加大巡查频率。</w:t>
            </w:r>
          </w:p>
          <w:p w14:paraId="5B0E06D1">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（二）巡查人员应按照要求进行全面巡查，每一次巡查应及时做好巡查记录，收集好影像资料。</w:t>
            </w:r>
          </w:p>
          <w:p w14:paraId="6CF3F904">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（三）巡查过程中发现影响行车安全或其它需要立即维修处理的情况，应立即设立标志、设置路障等安全措施，确保行车安全、避免损坏扩大，并及时上报主管部门。</w:t>
            </w:r>
          </w:p>
          <w:p w14:paraId="357F7E58">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（四）巡查过程中应详细记录病害发生的具体位置，准确描述发现的问题，巡查结束后，及时做好交接工作，严禁伪造巡查记录，并每月提交一份日常巡查报告。</w:t>
            </w:r>
          </w:p>
          <w:p w14:paraId="0CBA0166">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（五）巡查时发现违章建筑和侵占路产路权的行为，应及时向区交通运输综合行政执法大队反映情况，同时上报主管部门。</w:t>
            </w:r>
          </w:p>
          <w:p w14:paraId="60ED976D">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日常巡查主要内容及工作要求：</w:t>
            </w:r>
          </w:p>
          <w:p w14:paraId="32C924AA">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（一）路基巡查：主要巡查路基边坡是否稳定；路肩表面是否平整密实不积水，路肩有无明显轮迹印，有无 15cm以上高草、杂物、垃圾、堆积物；边坡坡面是否平顺、坚实无冲沟，无杂草、杂物、垃圾；边沟是否保持通畅，无积水、杂物、杂草、积淤。</w:t>
            </w:r>
          </w:p>
          <w:p w14:paraId="2C8B5113">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路面巡查：主要巡查路面有无影响交通安全的堆积物、抛撒物、油污、积水、积雪等；沥青路面有无严重裂缝、龟网裂、波浪、拥包、坑槽、沉陷等病害；水泥路面有无严重裂缝、唧泥、拱起、错台、板角断裂等病害，填缝料有无老化、无脱落等情况。</w:t>
            </w:r>
          </w:p>
          <w:p w14:paraId="62A49B2F">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桥梁涵洞巡查：主要观测桥面铺装、桥栏杆等有无损坏变形或下沉，混凝土桥面有无剥离、渗漏，钢筋露筋、锈蚀现象，填缝料有无老化；伸缩缝、泄水孔有无堵塞、破损，上下部结构有无破损、变形；桥头示警桩、桥梁信息公示牌、限载标志等是否齐全整洁完好；桥墩台基础有无缺损，翼墙（侧墙、耳墙）有无开裂、风化剥落和异常变形；支座有无明显缺陷，活动支座灵活是否有效；锥坡、护坡有无局部塌陷，铺砌面有无缺损、勾缝脱落；涵洞有无损坏、堵塞等情况。</w:t>
            </w:r>
          </w:p>
          <w:p w14:paraId="54602964">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四）交通工程及沿线设施巡查：主要检查护栏等防护设施有无缺少损坏，各种交通标志标线（含凸起路标）有无残缺、变形、歪斜、污染、颜色不鲜明，可变信息板有无故障，里程碑（牌）、百米桩（牌）、轮廓标、防撞桶等设施有无缺损、褪色、剥落和污染等情况。</w:t>
            </w:r>
          </w:p>
          <w:p w14:paraId="5EF9114B">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五）绿化巡查：检查公路沿线绿化植物的抚育管理，有无歪倒、缺株、死株、病虫害、妨碍视距、影响交通安全、遮挡标志牌等情况；灌木草坪修剪是否平整，有无杂草、黄土裸露、碎屑杂物等，确保长势良好。</w:t>
            </w:r>
          </w:p>
          <w:p w14:paraId="66B7A3B4">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日常保养：主要包括路面保洁、路肩边坡保洁、桥涵保洁、安保设施保洁等日常养护管理工作以及绿化养护管理工作。</w:t>
            </w:r>
          </w:p>
          <w:p w14:paraId="5465F31E">
            <w:pPr>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日常保洁主要内容及工作要求：</w:t>
            </w:r>
          </w:p>
          <w:p w14:paraId="5783D528">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（一）道路保洁：对道路进行清扫、清洗保洁，可采用人工配合机械进行作业。乡村道路段每周不少于 3 次，重点路段及精品线路每周不少于 5次。</w:t>
            </w:r>
          </w:p>
          <w:p w14:paraId="3BC8164E">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1.要求及时清扫、清洗路面上出现的小石块等坚硬物、砼混合料、油类物质或化学药品污染物，保证行车安全。</w:t>
            </w:r>
          </w:p>
          <w:p w14:paraId="2C40E5A9">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2.定期清扫泥土和污物，保持路容整洁。3.及时排除路面积水、积雪，以免水下渗，破坏路面。</w:t>
            </w:r>
          </w:p>
          <w:p w14:paraId="69596834">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4.下雪天应及时通过清扫铲除、撒盐、撒 融雪剂等方法清除桥面积雪，防止桥面结冰，保证桥面安全。</w:t>
            </w:r>
          </w:p>
          <w:p w14:paraId="34798EDB">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（二）路肩及边坡修整保洁：对公路两侧路肩边坡低洼、超高、不平整、不密实段 进行平整填实。定期清除路肩边坡处高草、垃圾和堆积物。割除高草乡村道每年不少于 6 次，清理路肩、边坡、边沟垃圾每周不少于 3 次，乡道不少于3次，村道不少于 2次。</w:t>
            </w:r>
          </w:p>
          <w:p w14:paraId="33973D79">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1.要求路肩整洁、平整、无超过 15cm的高草，无堆积物、无种植物。</w:t>
            </w:r>
          </w:p>
          <w:p w14:paraId="7D48D636">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2.路肩无坑洼、缺口等病害，横坡适度，边缘顺适, 与路面接茬平顺，当土路肩受损修复后，其外观应恢复至损坏前状态， 并与周围未损坏土路肩外观保持一致，不得积水。</w:t>
            </w:r>
          </w:p>
          <w:p w14:paraId="4D192D34">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3.边坡坡面保持平顺，坚实无冲沟，稳定、坚固、无松散，坡度符合设计规定。4.排水设施无淤塞、无损坏，排水畅通。5.挡土墙、护坡等防护设施保持良好，无损坏。</w:t>
            </w:r>
          </w:p>
          <w:p w14:paraId="50D0193C">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（三）桥涵保洁：及时清除桥面污泥、积雪、积冰、杂物，保持清洁；及时疏通涵管，疏导桥下河槽；定期清理桥梁伸缩</w:t>
            </w:r>
          </w:p>
          <w:p w14:paraId="70AFA7E9">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缝，疏通泄水孔，栏杆刷漆。涵洞清淤、泄水孔疏通、桥梁伸缩缝清理，乡道每周不少于 1次，村道每月不少于2次；栏杆刷漆每年不少于1次。</w:t>
            </w:r>
          </w:p>
          <w:p w14:paraId="42B52BAA">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1.要求桥涵外观、泄水口整洁，无杂物、淤堵。</w:t>
            </w:r>
          </w:p>
          <w:p w14:paraId="5B33EB59">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2.伸缩缝、护墙、栏杆、标线等设施清洁完整，无泥渍。</w:t>
            </w:r>
          </w:p>
          <w:p w14:paraId="2B05D5C8">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3.涵顶保持平整，洞内排水畅通。</w:t>
            </w:r>
          </w:p>
          <w:p w14:paraId="293EEFE1">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4.洞身、涵底、进出水口、护坡和填土完好、清洁。</w:t>
            </w:r>
          </w:p>
          <w:p w14:paraId="63D36024">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（四）交通工程及沿线设施保洁：定期对道路(红线范围)内交安附属设施等进行清扫、清洗保洁。</w:t>
            </w:r>
          </w:p>
          <w:p w14:paraId="6CFFE0DF">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1.要求标志版面内容整洁、清晰。</w:t>
            </w:r>
          </w:p>
          <w:p w14:paraId="01169CC9">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2.标线具有良好的可视性，边缘整齐、线形流畅， 无大面积脱落。</w:t>
            </w:r>
          </w:p>
          <w:p w14:paraId="7C8EE564">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3.轮廓标应进行表面清洗，无缺损，无明显的褪色。</w:t>
            </w:r>
          </w:p>
          <w:p w14:paraId="4CB27E53">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4.里程碑、百米桩、指示牌、波形梁钢护栏、公路防撞桶、减速带、示警标柱等交通安全设施清洁完整，无泥渍。</w:t>
            </w:r>
          </w:p>
          <w:p w14:paraId="57F9C821">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绿化养护：绿化养护应坚持“栽、管、护”相结合, 及时釆取浇水、修剪、松土、施肥、防治病虫害等管护措施，有效保证公路植物生长状态。主要包括行道树（含乔木）、花灌木、草坪地被等非专业养护管理工作。</w:t>
            </w:r>
          </w:p>
          <w:p w14:paraId="48C9AD11">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绿化养护管理主要内容及工作要求：</w:t>
            </w:r>
            <w:r>
              <w:rPr>
                <w:rFonts w:hint="eastAsia" w:ascii="仿宋" w:hAnsi="仿宋" w:eastAsia="仿宋" w:cs="仿宋"/>
                <w:color w:val="auto"/>
                <w:sz w:val="24"/>
                <w:szCs w:val="24"/>
                <w:highlight w:val="none"/>
                <w:lang w:val="en-US" w:eastAsia="zh-CN"/>
              </w:rPr>
              <w:t>（一）行道树（含乔木）养护管理</w:t>
            </w:r>
          </w:p>
          <w:p w14:paraId="74BA83C3">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1.行道树（含乔木）长势良好，树冠完整。</w:t>
            </w:r>
          </w:p>
          <w:p w14:paraId="54B3E96E">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2.行道树上（含乔木）无枯枝、下垂枝、过密枝、并生枝、病虫枝，主干上无萌蘖枝；无影响交通、架空线路、路灯、建</w:t>
            </w:r>
          </w:p>
          <w:p w14:paraId="490B6C0F">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筑、行人安全的树枝。</w:t>
            </w:r>
          </w:p>
          <w:p w14:paraId="3AE74B4B">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3.行道树修剪、除萌、剥芽及时，萌条不超过20cm；枝条修剪截面要平整，不留短桩。截面直径大于 6cm的伤口要涂防腐剂。</w:t>
            </w:r>
          </w:p>
          <w:p w14:paraId="60C9A051">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4.无明显病虫危害迹象；树体无钉挂物、悬挂物。</w:t>
            </w:r>
          </w:p>
          <w:p w14:paraId="4788C29D">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5.树穴无明显黄土裸露，无杂物，基本无杂草、树池篦子完好。</w:t>
            </w:r>
          </w:p>
          <w:p w14:paraId="521D2B73">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6.无死株、缺株、严重倾斜株；无法修整复壮的树木及时申报更换。</w:t>
            </w:r>
          </w:p>
          <w:p w14:paraId="37B267F9">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7.新栽、补栽的树木和易受害倒伏的树木应设立扶木支撑，扎缚规范有效。</w:t>
            </w:r>
          </w:p>
          <w:p w14:paraId="040EE97D">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8.按操作规程能及时地对行道树（含乔木）进行冬季刷白。</w:t>
            </w:r>
          </w:p>
          <w:p w14:paraId="5E539AD3">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（二）花灌木养护管理</w:t>
            </w:r>
          </w:p>
          <w:p w14:paraId="78138CAB">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1.花灌木整形修剪及时、修剪成型，层次分明，线条流畅，萌条枝长度不超过10cm。</w:t>
            </w:r>
          </w:p>
          <w:p w14:paraId="47CAFBF9">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2.绿篱基本无缺损脱脚；绿岛内基本无明显杂草、基本无明显黄叶、焦叶、卷叶。</w:t>
            </w:r>
          </w:p>
          <w:p w14:paraId="3BF8D881">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3.绿岛或绿地内无灌木缺株或黄土裸露（大于等于 1㎡）现象。</w:t>
            </w:r>
          </w:p>
          <w:p w14:paraId="695C1E76">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4.灌木基本无明显病虫害症状、虫粪、虫网、虫卵、病虫枝、虫蛹、虫茧及有关病原体。</w:t>
            </w:r>
          </w:p>
          <w:p w14:paraId="65854518">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5.花箱、花盆、花坛及地栽花卉要保证重大节日有花，长势良好；绿地护栏、花盆（箱）整洁无破损。</w:t>
            </w:r>
          </w:p>
          <w:p w14:paraId="46A0C7EE">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（三）草坪地被养护管理</w:t>
            </w:r>
          </w:p>
          <w:p w14:paraId="775B2FB7">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1.草坪生长良好，生长期基本无枯黄现象；草坪内基本无低洼积水处，基本无明显裸露地，草坪基本无病虫危害状。</w:t>
            </w:r>
          </w:p>
          <w:p w14:paraId="7F05F702">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2.草坪修剪平整，修剪后剪口基本无撕裂现象，草坪上无修剪残留草屑、杂物，基本无杂草。</w:t>
            </w:r>
          </w:p>
          <w:p w14:paraId="6669DCEF">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3.地被栽植密度适宜，分布均匀，规格整齐，基本无残花、枯叶、死株、缺株，基本无病虫危害现象。</w:t>
            </w:r>
          </w:p>
          <w:p w14:paraId="3687B168">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4.植物浇水及时、按照规范及时施肥（每年休眠期施基肥，生长期施 2-3次追肥，规范操作，施肥后及时覆盖，施肥方法适当，用量合理，不产生肥害）。</w:t>
            </w:r>
          </w:p>
          <w:p w14:paraId="198FADC9">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5.使用化学药剂要保证园林植物的安全，不发生药害。</w:t>
            </w:r>
          </w:p>
          <w:p w14:paraId="2734EAE4">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日常维修：日常维修（小修）工程按照工程部位分为路基维修、路面维修、桥梁涵 洞维修、交通工程及沿线设施维修、绿化工程。</w:t>
            </w:r>
          </w:p>
          <w:p w14:paraId="10545028">
            <w:pPr>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日常维修主要内容及工作要求：</w:t>
            </w:r>
          </w:p>
          <w:p w14:paraId="17F6B0E8">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（一）路基维修：小段开挖边沟、截水沟或分期铺砌边沟；清除零星塌方，填补路基缺口，轻微沉陷翻浆的处理；桥头接线 或桥头、涵顶跳车的处理；修理挡土墙、 护坡、护坡道、泄水槽、护栏和防冰雪设施等局部损坏；局部加固路肩。</w:t>
            </w:r>
          </w:p>
          <w:p w14:paraId="71DE52C4">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路面维修：处理沥青路面的泛油、拥包、裂缝、松散等病害；修补坑槽、沉陷，处理波浪、局部龟裂、啃边等病害；水泥混凝土路面日常清缝、灌缝及堵塞裂缝，水泥混凝土板块的局部修理；路缘石的修理和刷白；桥头、涵顶跳车段的处理。</w:t>
            </w:r>
          </w:p>
          <w:p w14:paraId="781306C9">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（三）桥梁涵洞维修：局部修理、更换桥栏杆和修理泄水孔、伸缩缝、支座和桥面的局部轻微损坏；修补墩、台及河床铺底和防护圬工的微小损坏；涵洞进出口铺砌的加固修理；通道的局部维修和修理排水沟。</w:t>
            </w:r>
          </w:p>
          <w:p w14:paraId="539022D8">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（四）交通工程及沿线设施维修：护栏、隔离栅、轮廓标、标志牌、里程碑、百米桩等修理、油漆或部分添置更换；路面标线的局部补画。</w:t>
            </w:r>
          </w:p>
          <w:p w14:paraId="16B3BBCC">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五）绿化工程：定期修剪、浇水、施肥、预防病虫害，更换、新植行道树及花草、开辟苗圃、公路景观提升等。养护工程：养护工程按照工程部位分为路基养护、路面养护、桥梁涵洞养护、交通工程及沿线设施养护、绿化工程。</w:t>
            </w:r>
          </w:p>
          <w:p w14:paraId="3FF5F478">
            <w:pPr>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养护工程主要内容及工作要求：</w:t>
            </w:r>
          </w:p>
          <w:p w14:paraId="10A0A851">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（一）路基养护：增设或完善柔性防护网、生态防护、网格防护等路基防护工程；增设或完善边沟、截水沟、排水沟、 拦水带、泄水槽等排水系统工程；路基路床沉降、桥头跳车、翻浆、开裂滑移等病害处治；增设或修复挡土墙、抗滑桩等支 档结构；维修加固失稳边坡；集中更换路 缘石、硬化路肩、修复排水设施等；局部路肩加高、加宽、裁弯取直等。</w:t>
            </w:r>
          </w:p>
          <w:p w14:paraId="2C86C7B8">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（二）路面养护：防治沥青路面面层轻微 病害而采取的防损、抗滑、抗老化等表面处治；改善沥青路面结构强度养护和修复（直接加铺、翻修加铺等）；水泥混凝土路面的防滑、防剥落表面处治、严重的板底脱空处治、以及接缝材料的集中清理更换；水泥混凝土路面结构形式改造、破碎板处理等路面修复工程。</w:t>
            </w:r>
          </w:p>
          <w:p w14:paraId="2ECF74B1">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桥梁、涵洞养护：桥梁涵洞周期性预防处置，如防腐、防锈、防侵蚀处理等；桥梁构件的集中维护或更换，如伸缩缝、支座等；桥梁涵洞加固、病害修复，如墩台（基础）、锥坡翼墙、护栏、拉索、调治结构物、径流系统等的维修完善。</w:t>
            </w:r>
          </w:p>
          <w:p w14:paraId="1EF43F88">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四）交通工程及沿线设施养护：集中更换或新设标志标牌、防眩板、隔音屏、隔离栅、限高架等交安设施；整段路面标线的重设和施划；集中维修、更换或新设公路护栏、警示桩、道口桩、减速带等交安设施；公共服务设施的建设和维修。</w:t>
            </w:r>
          </w:p>
          <w:p w14:paraId="7306C7A5">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（五）绿化工程养护：更换、新植行道树及花草、开辟苗圃等工程；公路景观提升、路域环境治理工程。</w:t>
            </w:r>
          </w:p>
        </w:tc>
      </w:tr>
      <w:tr w14:paraId="614AF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noWrap w:val="0"/>
            <w:vAlign w:val="center"/>
          </w:tcPr>
          <w:p w14:paraId="69C6FB8C">
            <w:pPr>
              <w:jc w:val="center"/>
              <w:rPr>
                <w:rFonts w:hint="eastAsia"/>
                <w:color w:val="auto"/>
                <w:highlight w:val="none"/>
                <w:vertAlign w:val="baseline"/>
                <w:lang w:val="en-US" w:eastAsia="zh-CN"/>
              </w:rPr>
            </w:pPr>
            <w:r>
              <w:rPr>
                <w:rFonts w:hint="eastAsia"/>
                <w:color w:val="auto"/>
                <w:highlight w:val="none"/>
                <w:vertAlign w:val="baseline"/>
                <w:lang w:val="en-US" w:eastAsia="zh-CN"/>
              </w:rPr>
              <w:t>2</w:t>
            </w:r>
          </w:p>
        </w:tc>
        <w:tc>
          <w:tcPr>
            <w:tcW w:w="1215" w:type="dxa"/>
            <w:noWrap w:val="0"/>
            <w:vAlign w:val="center"/>
          </w:tcPr>
          <w:p w14:paraId="48AEB3C3">
            <w:pPr>
              <w:jc w:val="left"/>
              <w:rPr>
                <w:color w:val="auto"/>
                <w:highlight w:val="none"/>
                <w:vertAlign w:val="baseline"/>
              </w:rPr>
            </w:pPr>
            <w:r>
              <w:rPr>
                <w:rFonts w:hint="eastAsia" w:ascii="仿宋" w:hAnsi="仿宋" w:eastAsia="仿宋" w:cs="仿宋"/>
                <w:color w:val="auto"/>
                <w:sz w:val="24"/>
                <w:szCs w:val="24"/>
                <w:highlight w:val="none"/>
                <w:lang w:val="en-US" w:eastAsia="zh-CN"/>
              </w:rPr>
              <w:t>非实质性要求</w:t>
            </w:r>
          </w:p>
        </w:tc>
        <w:tc>
          <w:tcPr>
            <w:tcW w:w="7403" w:type="dxa"/>
            <w:noWrap w:val="0"/>
            <w:vAlign w:val="center"/>
          </w:tcPr>
          <w:p w14:paraId="0A233660">
            <w:pPr>
              <w:jc w:val="center"/>
              <w:rPr>
                <w:rFonts w:hint="eastAsia" w:eastAsia="宋体"/>
                <w:color w:val="auto"/>
                <w:highlight w:val="none"/>
                <w:vertAlign w:val="baseline"/>
                <w:lang w:val="en-US" w:eastAsia="zh-CN"/>
              </w:rPr>
            </w:pPr>
            <w:r>
              <w:rPr>
                <w:rFonts w:hint="eastAsia"/>
                <w:color w:val="auto"/>
                <w:highlight w:val="none"/>
                <w:vertAlign w:val="baseline"/>
                <w:lang w:val="en-US" w:eastAsia="zh-CN"/>
              </w:rPr>
              <w:t>/</w:t>
            </w:r>
          </w:p>
        </w:tc>
      </w:tr>
      <w:tr w14:paraId="145E5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noWrap w:val="0"/>
            <w:vAlign w:val="center"/>
          </w:tcPr>
          <w:p w14:paraId="7A4F8712">
            <w:pPr>
              <w:jc w:val="center"/>
              <w:rPr>
                <w:rFonts w:hint="eastAsia"/>
                <w:color w:val="auto"/>
                <w:highlight w:val="none"/>
                <w:vertAlign w:val="baseline"/>
                <w:lang w:val="en-US" w:eastAsia="zh-CN"/>
              </w:rPr>
            </w:pPr>
            <w:r>
              <w:rPr>
                <w:rFonts w:hint="eastAsia"/>
                <w:color w:val="auto"/>
                <w:highlight w:val="none"/>
                <w:vertAlign w:val="baseline"/>
                <w:lang w:val="en-US" w:eastAsia="zh-CN"/>
              </w:rPr>
              <w:t>3</w:t>
            </w:r>
          </w:p>
        </w:tc>
        <w:tc>
          <w:tcPr>
            <w:tcW w:w="1215" w:type="dxa"/>
            <w:noWrap w:val="0"/>
            <w:vAlign w:val="center"/>
          </w:tcPr>
          <w:p w14:paraId="655CCE7C">
            <w:pPr>
              <w:jc w:val="left"/>
              <w:rPr>
                <w:color w:val="auto"/>
                <w:highlight w:val="none"/>
                <w:vertAlign w:val="baseline"/>
              </w:rPr>
            </w:pPr>
            <w:r>
              <w:rPr>
                <w:rFonts w:hint="eastAsia" w:ascii="仿宋" w:hAnsi="仿宋" w:eastAsia="仿宋" w:cs="仿宋"/>
                <w:color w:val="auto"/>
                <w:sz w:val="24"/>
                <w:szCs w:val="24"/>
                <w:highlight w:val="none"/>
                <w:lang w:val="en-US" w:eastAsia="zh-CN"/>
              </w:rPr>
              <w:t>参考图片</w:t>
            </w:r>
          </w:p>
        </w:tc>
        <w:tc>
          <w:tcPr>
            <w:tcW w:w="7403" w:type="dxa"/>
            <w:noWrap w:val="0"/>
            <w:vAlign w:val="center"/>
          </w:tcPr>
          <w:p w14:paraId="1FDD673C">
            <w:pPr>
              <w:jc w:val="center"/>
              <w:rPr>
                <w:color w:val="auto"/>
                <w:highlight w:val="none"/>
                <w:vertAlign w:val="baseline"/>
              </w:rPr>
            </w:pPr>
            <w:r>
              <w:rPr>
                <w:rFonts w:hint="eastAsia" w:ascii="仿宋" w:hAnsi="仿宋" w:eastAsia="仿宋" w:cs="仿宋"/>
                <w:color w:val="auto"/>
                <w:sz w:val="24"/>
                <w:szCs w:val="24"/>
                <w:highlight w:val="none"/>
                <w:lang w:val="en-US" w:eastAsia="zh-CN"/>
              </w:rPr>
              <w:t>暂无内容</w:t>
            </w:r>
          </w:p>
        </w:tc>
      </w:tr>
    </w:tbl>
    <w:p w14:paraId="65F0EFE7">
      <w:pPr>
        <w:rPr>
          <w:color w:val="auto"/>
          <w:highlight w:val="none"/>
        </w:rPr>
      </w:pPr>
    </w:p>
    <w:p w14:paraId="33633520">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4.4实施要求</w:t>
      </w:r>
    </w:p>
    <w:tbl>
      <w:tblPr>
        <w:tblStyle w:val="37"/>
        <w:tblW w:w="919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593"/>
        <w:gridCol w:w="2141"/>
        <w:gridCol w:w="6456"/>
      </w:tblGrid>
      <w:tr w14:paraId="6CF90D2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6" w:hRule="atLeast"/>
        </w:trPr>
        <w:tc>
          <w:tcPr>
            <w:tcW w:w="593"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3F4164D9">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序号</w:t>
            </w:r>
          </w:p>
        </w:tc>
        <w:tc>
          <w:tcPr>
            <w:tcW w:w="2141"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top"/>
          </w:tcPr>
          <w:p w14:paraId="1339AB9B">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名称</w:t>
            </w:r>
          </w:p>
        </w:tc>
        <w:tc>
          <w:tcPr>
            <w:tcW w:w="6456"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top"/>
          </w:tcPr>
          <w:p w14:paraId="20B3AC45">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采购要求</w:t>
            </w:r>
          </w:p>
        </w:tc>
      </w:tr>
      <w:tr w14:paraId="5E62235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4" w:hRule="atLeast"/>
        </w:trPr>
        <w:tc>
          <w:tcPr>
            <w:tcW w:w="59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3EE4E85E">
            <w:pPr>
              <w:ind w:firstLine="480"/>
              <w:jc w:val="both"/>
              <w:rPr>
                <w:rFonts w:hint="eastAsia" w:ascii="仿宋" w:hAnsi="仿宋" w:eastAsia="仿宋" w:cs="仿宋"/>
                <w:color w:val="auto"/>
                <w:sz w:val="24"/>
                <w:szCs w:val="24"/>
                <w:highlight w:val="none"/>
                <w:lang w:val="en-US" w:eastAsia="zh-CN"/>
              </w:rPr>
            </w:pPr>
          </w:p>
          <w:p w14:paraId="1A7FD69A">
            <w:pPr>
              <w:ind w:firstLine="240" w:firstLineChars="10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2141"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DAACEB1">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农村公路养护标准 (★实质性要求)</w:t>
            </w:r>
          </w:p>
        </w:tc>
        <w:tc>
          <w:tcPr>
            <w:tcW w:w="6456"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52801D3">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1.道路巡查：乡村道巡查每周不少于1次，特殊路段或遇有恶劣天气应适当加大巡查频率，并做好巡查记录。</w:t>
            </w:r>
          </w:p>
        </w:tc>
      </w:tr>
    </w:tbl>
    <w:p w14:paraId="06BB1967">
      <w:pPr>
        <w:ind w:firstLine="480"/>
        <w:jc w:val="both"/>
        <w:rPr>
          <w:rFonts w:hint="eastAsia" w:ascii="仿宋" w:hAnsi="仿宋" w:eastAsia="仿宋" w:cs="仿宋"/>
          <w:color w:val="auto"/>
          <w:sz w:val="24"/>
          <w:szCs w:val="24"/>
          <w:highlight w:val="none"/>
          <w:lang w:val="en-US" w:eastAsia="zh-CN"/>
        </w:rPr>
      </w:pPr>
    </w:p>
    <w:p w14:paraId="0D4553FB">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br w:type="page"/>
      </w:r>
    </w:p>
    <w:tbl>
      <w:tblPr>
        <w:tblStyle w:val="37"/>
        <w:tblW w:w="919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576"/>
        <w:gridCol w:w="2158"/>
        <w:gridCol w:w="6456"/>
      </w:tblGrid>
      <w:tr w14:paraId="11AA97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618" w:hRule="atLeast"/>
        </w:trPr>
        <w:tc>
          <w:tcPr>
            <w:tcW w:w="576"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4376BC2C">
            <w:pPr>
              <w:ind w:firstLine="480"/>
              <w:jc w:val="both"/>
              <w:rPr>
                <w:rFonts w:hint="eastAsia" w:ascii="仿宋" w:hAnsi="仿宋" w:eastAsia="仿宋" w:cs="仿宋"/>
                <w:color w:val="auto"/>
                <w:sz w:val="24"/>
                <w:szCs w:val="24"/>
                <w:highlight w:val="none"/>
                <w:lang w:val="en-US" w:eastAsia="zh-CN"/>
              </w:rPr>
            </w:pPr>
          </w:p>
        </w:tc>
        <w:tc>
          <w:tcPr>
            <w:tcW w:w="2158"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top"/>
          </w:tcPr>
          <w:p w14:paraId="350621AF">
            <w:pPr>
              <w:ind w:firstLine="480"/>
              <w:jc w:val="both"/>
              <w:rPr>
                <w:rFonts w:hint="eastAsia" w:ascii="仿宋" w:hAnsi="仿宋" w:eastAsia="仿宋" w:cs="仿宋"/>
                <w:color w:val="auto"/>
                <w:sz w:val="24"/>
                <w:szCs w:val="24"/>
                <w:highlight w:val="none"/>
                <w:lang w:val="en-US" w:eastAsia="zh-CN"/>
              </w:rPr>
            </w:pPr>
          </w:p>
        </w:tc>
        <w:tc>
          <w:tcPr>
            <w:tcW w:w="6456"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top"/>
          </w:tcPr>
          <w:p w14:paraId="75AD593F">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2.路基养护：割除路基内高草,乡村道每年不少于 6 次，清理路肩、边坡、边沟垃圾每周不少于 3 次，乡村道不少于2次。做到各部位保持完整，表面平整坚实，边坡稳定，排水畅通。路肩横坡适度，边缘顺适，无坑洼、沉陷、缺口、堆</w:t>
            </w:r>
          </w:p>
          <w:p w14:paraId="39A34A7F">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积物、高草；边坡稳定、坚固、平顺，无冲刷、缺口；边沟、排水沟等排水设施完好，排水通畅，无淤塞、无杂草。</w:t>
            </w:r>
          </w:p>
          <w:p w14:paraId="549B42F0">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3.路面养护：对道路进行清扫、清洗保洁，可采用人工配合机械进行作业。乡村道每周不少于 3 次，重点路段及精品线</w:t>
            </w:r>
          </w:p>
          <w:p w14:paraId="005D1ABE">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路每周不少于 5 次。路面病害及时修复，保持路面平整、整洁，无影响行车安全的病害，无积水、积雪，无垃圾、浮</w:t>
            </w:r>
          </w:p>
          <w:p w14:paraId="64DEDE9C">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土、石块等抛洒物，确保公路安全畅通、行车舒适，延长道路使用寿。</w:t>
            </w:r>
          </w:p>
          <w:p w14:paraId="26C473B2">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4.桥函养护：及时清除桥面污泥、积雪、积冰、杂物，保持清洁；及时疏通涵管，疏导桥下河槽；定期清理桥梁伸缝，疏通泄水孔，栏杆刷漆。涵洞清淤、泄水孔疏通、桥梁伸缩缝清理，乡村道每月不少于 2 次；栏杆刷漆每年不少于次。</w:t>
            </w:r>
          </w:p>
          <w:p w14:paraId="75CD947F">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做到结构完整、牢固，无安全隐患；桥面无深陷、坑槽；桥涵洞身、涵底、进出水口、护坡完好,无堵塞、冲刷，水流顺畅。</w:t>
            </w:r>
          </w:p>
          <w:p w14:paraId="521AA3B0">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5.交通工程及沿线设施养护：及时清洁和补充完善各类设施，做到完整、齐全、美观、醒目、清洁。</w:t>
            </w:r>
          </w:p>
          <w:p w14:paraId="78D0976B">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6.绿化养护：绿化修剪每年不少于 2次，及时清理补植死株，保持与周边环境相协调，确保公路现有绿化的存活率达95%以上。</w:t>
            </w:r>
          </w:p>
        </w:tc>
      </w:tr>
      <w:tr w14:paraId="206DBF3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62" w:hRule="atLeast"/>
        </w:trPr>
        <w:tc>
          <w:tcPr>
            <w:tcW w:w="576"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63DEE26C">
            <w:pPr>
              <w:ind w:firstLine="480"/>
              <w:jc w:val="both"/>
              <w:rPr>
                <w:rFonts w:hint="eastAsia" w:ascii="仿宋" w:hAnsi="仿宋" w:eastAsia="仿宋" w:cs="仿宋"/>
                <w:color w:val="auto"/>
                <w:sz w:val="24"/>
                <w:szCs w:val="24"/>
                <w:highlight w:val="none"/>
                <w:lang w:val="en-US" w:eastAsia="zh-CN"/>
              </w:rPr>
            </w:pPr>
          </w:p>
          <w:p w14:paraId="5CD3F976">
            <w:pPr>
              <w:ind w:firstLine="480"/>
              <w:jc w:val="both"/>
              <w:rPr>
                <w:rFonts w:hint="eastAsia" w:ascii="仿宋" w:hAnsi="仿宋" w:eastAsia="仿宋" w:cs="仿宋"/>
                <w:color w:val="auto"/>
                <w:sz w:val="24"/>
                <w:szCs w:val="24"/>
                <w:highlight w:val="none"/>
                <w:lang w:val="en-US" w:eastAsia="zh-CN"/>
              </w:rPr>
            </w:pPr>
          </w:p>
          <w:p w14:paraId="78862838">
            <w:pPr>
              <w:ind w:firstLine="480"/>
              <w:jc w:val="both"/>
              <w:rPr>
                <w:rFonts w:hint="eastAsia" w:ascii="仿宋" w:hAnsi="仿宋" w:eastAsia="仿宋" w:cs="仿宋"/>
                <w:color w:val="auto"/>
                <w:sz w:val="24"/>
                <w:szCs w:val="24"/>
                <w:highlight w:val="none"/>
                <w:lang w:val="en-US" w:eastAsia="zh-CN"/>
              </w:rPr>
            </w:pPr>
          </w:p>
          <w:p w14:paraId="7458F843">
            <w:pPr>
              <w:ind w:firstLine="240" w:firstLineChars="10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2158"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5A11CB1">
            <w:pPr>
              <w:ind w:firstLine="480"/>
              <w:jc w:val="both"/>
              <w:rPr>
                <w:rFonts w:hint="eastAsia" w:ascii="仿宋" w:hAnsi="仿宋" w:eastAsia="仿宋" w:cs="仿宋"/>
                <w:color w:val="auto"/>
                <w:sz w:val="24"/>
                <w:szCs w:val="24"/>
                <w:highlight w:val="none"/>
                <w:lang w:val="en-US" w:eastAsia="zh-CN"/>
              </w:rPr>
            </w:pPr>
          </w:p>
          <w:p w14:paraId="66F04670">
            <w:pPr>
              <w:ind w:firstLine="480"/>
              <w:jc w:val="both"/>
              <w:rPr>
                <w:rFonts w:hint="eastAsia" w:ascii="仿宋" w:hAnsi="仿宋" w:eastAsia="仿宋" w:cs="仿宋"/>
                <w:color w:val="auto"/>
                <w:sz w:val="24"/>
                <w:szCs w:val="24"/>
                <w:highlight w:val="none"/>
                <w:lang w:val="en-US" w:eastAsia="zh-CN"/>
              </w:rPr>
            </w:pPr>
          </w:p>
          <w:p w14:paraId="5A3DDF5A">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农村公路管养内容(★实质性要求)</w:t>
            </w:r>
          </w:p>
        </w:tc>
        <w:tc>
          <w:tcPr>
            <w:tcW w:w="6456"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0866F28E">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1.路基（包含土路肩、边坡、边沟、涵洞、护坡、挡墙等）；</w:t>
            </w:r>
          </w:p>
          <w:p w14:paraId="4FB7DFE3">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2.路面；3.桥梁；</w:t>
            </w:r>
          </w:p>
          <w:p w14:paraId="104928AD">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4.交通工程及沿线设施（包含标志牌、标线、护栏、警示桩、里程碑、百米桩等，不含红绿灯及路灯）；</w:t>
            </w:r>
          </w:p>
          <w:p w14:paraId="1E637F4F">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5.绿化（包含管养范围内的乔木、灌木、草坪、花草等）。</w:t>
            </w:r>
          </w:p>
        </w:tc>
      </w:tr>
    </w:tbl>
    <w:p w14:paraId="04D5722F">
      <w:pPr>
        <w:ind w:firstLine="480"/>
        <w:jc w:val="both"/>
        <w:rPr>
          <w:rFonts w:hint="eastAsia" w:ascii="仿宋" w:hAnsi="仿宋" w:eastAsia="仿宋" w:cs="仿宋"/>
          <w:color w:val="auto"/>
          <w:sz w:val="24"/>
          <w:szCs w:val="24"/>
          <w:highlight w:val="none"/>
          <w:lang w:val="en-US" w:eastAsia="zh-CN"/>
        </w:rPr>
      </w:pPr>
    </w:p>
    <w:p w14:paraId="1560D84C">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br w:type="page"/>
      </w:r>
    </w:p>
    <w:tbl>
      <w:tblPr>
        <w:tblStyle w:val="37"/>
        <w:tblW w:w="919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593"/>
        <w:gridCol w:w="2141"/>
        <w:gridCol w:w="6456"/>
      </w:tblGrid>
      <w:tr w14:paraId="5A7785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017" w:hRule="atLeast"/>
        </w:trPr>
        <w:tc>
          <w:tcPr>
            <w:tcW w:w="59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2B07CDC8">
            <w:pPr>
              <w:ind w:firstLine="480"/>
              <w:jc w:val="both"/>
              <w:rPr>
                <w:rFonts w:hint="eastAsia" w:ascii="仿宋" w:hAnsi="仿宋" w:eastAsia="仿宋" w:cs="仿宋"/>
                <w:color w:val="auto"/>
                <w:sz w:val="24"/>
                <w:szCs w:val="24"/>
                <w:highlight w:val="none"/>
                <w:lang w:val="en-US" w:eastAsia="zh-CN"/>
              </w:rPr>
            </w:pPr>
          </w:p>
          <w:p w14:paraId="4A7CBF4B">
            <w:pPr>
              <w:ind w:firstLine="480"/>
              <w:jc w:val="both"/>
              <w:rPr>
                <w:rFonts w:hint="eastAsia" w:ascii="仿宋" w:hAnsi="仿宋" w:eastAsia="仿宋" w:cs="仿宋"/>
                <w:color w:val="auto"/>
                <w:sz w:val="24"/>
                <w:szCs w:val="24"/>
                <w:highlight w:val="none"/>
                <w:lang w:val="en-US" w:eastAsia="zh-CN"/>
              </w:rPr>
            </w:pPr>
          </w:p>
          <w:p w14:paraId="5D7EDEE0">
            <w:pPr>
              <w:ind w:firstLine="480"/>
              <w:jc w:val="both"/>
              <w:rPr>
                <w:rFonts w:hint="eastAsia" w:ascii="仿宋" w:hAnsi="仿宋" w:eastAsia="仿宋" w:cs="仿宋"/>
                <w:color w:val="auto"/>
                <w:sz w:val="24"/>
                <w:szCs w:val="24"/>
                <w:highlight w:val="none"/>
                <w:lang w:val="en-US" w:eastAsia="zh-CN"/>
              </w:rPr>
            </w:pPr>
          </w:p>
          <w:p w14:paraId="611E9B8A">
            <w:pPr>
              <w:ind w:firstLine="480"/>
              <w:jc w:val="both"/>
              <w:rPr>
                <w:rFonts w:hint="eastAsia" w:ascii="仿宋" w:hAnsi="仿宋" w:eastAsia="仿宋" w:cs="仿宋"/>
                <w:color w:val="auto"/>
                <w:sz w:val="24"/>
                <w:szCs w:val="24"/>
                <w:highlight w:val="none"/>
                <w:lang w:val="en-US" w:eastAsia="zh-CN"/>
              </w:rPr>
            </w:pPr>
          </w:p>
          <w:p w14:paraId="7CF9077F">
            <w:pPr>
              <w:ind w:firstLine="240" w:firstLineChars="10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2141"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6A38D63E">
            <w:pPr>
              <w:ind w:firstLine="480"/>
              <w:jc w:val="both"/>
              <w:rPr>
                <w:rFonts w:hint="eastAsia" w:ascii="仿宋" w:hAnsi="仿宋" w:eastAsia="仿宋" w:cs="仿宋"/>
                <w:color w:val="auto"/>
                <w:sz w:val="24"/>
                <w:szCs w:val="24"/>
                <w:highlight w:val="none"/>
                <w:lang w:val="en-US" w:eastAsia="zh-CN"/>
              </w:rPr>
            </w:pPr>
          </w:p>
          <w:p w14:paraId="4434E3C4">
            <w:pPr>
              <w:ind w:firstLine="480"/>
              <w:jc w:val="both"/>
              <w:rPr>
                <w:rFonts w:hint="eastAsia" w:ascii="仿宋" w:hAnsi="仿宋" w:eastAsia="仿宋" w:cs="仿宋"/>
                <w:color w:val="auto"/>
                <w:sz w:val="24"/>
                <w:szCs w:val="24"/>
                <w:highlight w:val="none"/>
                <w:lang w:val="en-US" w:eastAsia="zh-CN"/>
              </w:rPr>
            </w:pPr>
          </w:p>
          <w:p w14:paraId="4E246575">
            <w:pPr>
              <w:ind w:firstLine="480"/>
              <w:jc w:val="both"/>
              <w:rPr>
                <w:rFonts w:hint="eastAsia" w:ascii="仿宋" w:hAnsi="仿宋" w:eastAsia="仿宋" w:cs="仿宋"/>
                <w:color w:val="auto"/>
                <w:sz w:val="24"/>
                <w:szCs w:val="24"/>
                <w:highlight w:val="none"/>
                <w:lang w:val="en-US" w:eastAsia="zh-CN"/>
              </w:rPr>
            </w:pPr>
          </w:p>
          <w:p w14:paraId="798B0B7E">
            <w:pPr>
              <w:ind w:firstLine="480"/>
              <w:jc w:val="both"/>
              <w:rPr>
                <w:rFonts w:hint="eastAsia" w:ascii="仿宋" w:hAnsi="仿宋" w:eastAsia="仿宋" w:cs="仿宋"/>
                <w:color w:val="auto"/>
                <w:sz w:val="24"/>
                <w:szCs w:val="24"/>
                <w:highlight w:val="none"/>
                <w:lang w:val="en-US" w:eastAsia="zh-CN"/>
              </w:rPr>
            </w:pPr>
          </w:p>
          <w:p w14:paraId="64412332">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农村公路的管养范围(★实质性要求)</w:t>
            </w:r>
          </w:p>
        </w:tc>
        <w:tc>
          <w:tcPr>
            <w:tcW w:w="6456"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6DB042CA">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农村公路管养范围是按照国家和省市有关公路工程技术标准修建的，已纳入江苏省农村公路电子地图数据库统计的乡道、村道及其附属设施，具体边界为：</w:t>
            </w:r>
          </w:p>
          <w:p w14:paraId="4A2F0B46">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1.一般路段：有边沟的到边沟外侧，无边沟的到路肩外侧或路田分界线；</w:t>
            </w:r>
          </w:p>
          <w:p w14:paraId="202414DA">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2.填方路段：有边沟的到边沟外侧，无边沟到路基边坡坡脚或路田界线；</w:t>
            </w:r>
          </w:p>
          <w:p w14:paraId="3E634361">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3.挖方路段：到边坡或挡墙的顶部，如顶部有截水沟的，到截水沟的外侧。</w:t>
            </w:r>
          </w:p>
        </w:tc>
      </w:tr>
      <w:tr w14:paraId="42E6C84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0" w:hRule="atLeast"/>
        </w:trPr>
        <w:tc>
          <w:tcPr>
            <w:tcW w:w="59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3489BFE9">
            <w:pPr>
              <w:ind w:firstLine="480"/>
              <w:jc w:val="both"/>
              <w:rPr>
                <w:rFonts w:hint="eastAsia" w:ascii="仿宋" w:hAnsi="仿宋" w:eastAsia="仿宋" w:cs="仿宋"/>
                <w:color w:val="auto"/>
                <w:sz w:val="24"/>
                <w:szCs w:val="24"/>
                <w:highlight w:val="none"/>
                <w:lang w:val="en-US" w:eastAsia="zh-CN"/>
              </w:rPr>
            </w:pPr>
          </w:p>
          <w:p w14:paraId="311AED17">
            <w:pPr>
              <w:bidi w:val="0"/>
              <w:ind w:firstLine="263" w:firstLineChars="0"/>
              <w:jc w:val="both"/>
              <w:rPr>
                <w:rFonts w:hint="default" w:ascii="Times New Roman" w:hAnsi="Times New Roman" w:eastAsia="宋体"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t>4</w:t>
            </w:r>
          </w:p>
        </w:tc>
        <w:tc>
          <w:tcPr>
            <w:tcW w:w="2141"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8D30F16">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农村公路的管养线路(★实质性要求)</w:t>
            </w:r>
          </w:p>
        </w:tc>
        <w:tc>
          <w:tcPr>
            <w:tcW w:w="6456"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4BD26C63">
            <w:pPr>
              <w:jc w:val="both"/>
              <w:rPr>
                <w:rFonts w:hint="eastAsia" w:ascii="仿宋" w:hAnsi="仿宋" w:eastAsia="仿宋" w:cs="仿宋"/>
                <w:color w:val="auto"/>
                <w:sz w:val="24"/>
                <w:szCs w:val="24"/>
                <w:highlight w:val="none"/>
                <w:lang w:val="en-US" w:eastAsia="zh-CN"/>
              </w:rPr>
            </w:pPr>
          </w:p>
          <w:p w14:paraId="54D45284">
            <w:pPr>
              <w:ind w:firstLine="240" w:firstLineChars="10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详见星甸街道2026年农村公路路线明细表</w:t>
            </w:r>
          </w:p>
        </w:tc>
      </w:tr>
      <w:tr w14:paraId="65305C9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44" w:hRule="atLeast"/>
        </w:trPr>
        <w:tc>
          <w:tcPr>
            <w:tcW w:w="59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12BA18CC">
            <w:pPr>
              <w:ind w:firstLine="480"/>
              <w:jc w:val="both"/>
              <w:rPr>
                <w:rFonts w:hint="eastAsia" w:ascii="仿宋" w:hAnsi="仿宋" w:eastAsia="仿宋" w:cs="仿宋"/>
                <w:color w:val="auto"/>
                <w:sz w:val="24"/>
                <w:szCs w:val="24"/>
                <w:highlight w:val="none"/>
                <w:lang w:val="en-US" w:eastAsia="zh-CN"/>
              </w:rPr>
            </w:pPr>
          </w:p>
          <w:p w14:paraId="19848796">
            <w:pPr>
              <w:ind w:firstLine="480"/>
              <w:jc w:val="both"/>
              <w:rPr>
                <w:rFonts w:hint="eastAsia" w:ascii="仿宋" w:hAnsi="仿宋" w:eastAsia="仿宋" w:cs="仿宋"/>
                <w:color w:val="auto"/>
                <w:sz w:val="24"/>
                <w:szCs w:val="24"/>
                <w:highlight w:val="none"/>
                <w:lang w:val="en-US" w:eastAsia="zh-CN"/>
              </w:rPr>
            </w:pPr>
          </w:p>
          <w:p w14:paraId="56C8CEA6">
            <w:pPr>
              <w:ind w:firstLine="480"/>
              <w:jc w:val="both"/>
              <w:rPr>
                <w:rFonts w:hint="eastAsia" w:ascii="仿宋" w:hAnsi="仿宋" w:eastAsia="仿宋" w:cs="仿宋"/>
                <w:color w:val="auto"/>
                <w:sz w:val="24"/>
                <w:szCs w:val="24"/>
                <w:highlight w:val="none"/>
                <w:lang w:val="en-US" w:eastAsia="zh-CN"/>
              </w:rPr>
            </w:pPr>
          </w:p>
          <w:p w14:paraId="6DC7406B">
            <w:pPr>
              <w:ind w:firstLine="480"/>
              <w:jc w:val="both"/>
              <w:rPr>
                <w:rFonts w:hint="eastAsia" w:ascii="仿宋" w:hAnsi="仿宋" w:eastAsia="仿宋" w:cs="仿宋"/>
                <w:color w:val="auto"/>
                <w:sz w:val="24"/>
                <w:szCs w:val="24"/>
                <w:highlight w:val="none"/>
                <w:lang w:val="en-US" w:eastAsia="zh-CN"/>
              </w:rPr>
            </w:pPr>
          </w:p>
          <w:p w14:paraId="6CE2F94C">
            <w:pPr>
              <w:ind w:firstLine="480"/>
              <w:jc w:val="both"/>
              <w:rPr>
                <w:rFonts w:hint="eastAsia" w:ascii="仿宋" w:hAnsi="仿宋" w:eastAsia="仿宋" w:cs="仿宋"/>
                <w:color w:val="auto"/>
                <w:sz w:val="24"/>
                <w:szCs w:val="24"/>
                <w:highlight w:val="none"/>
                <w:lang w:val="en-US" w:eastAsia="zh-CN"/>
              </w:rPr>
            </w:pPr>
          </w:p>
          <w:p w14:paraId="1910EF1C">
            <w:pPr>
              <w:ind w:firstLine="480"/>
              <w:jc w:val="both"/>
              <w:rPr>
                <w:rFonts w:hint="eastAsia" w:ascii="仿宋" w:hAnsi="仿宋" w:eastAsia="仿宋" w:cs="仿宋"/>
                <w:color w:val="auto"/>
                <w:sz w:val="24"/>
                <w:szCs w:val="24"/>
                <w:highlight w:val="none"/>
                <w:lang w:val="en-US" w:eastAsia="zh-CN"/>
              </w:rPr>
            </w:pPr>
          </w:p>
          <w:p w14:paraId="4BEB7D6C">
            <w:pPr>
              <w:ind w:firstLine="240" w:firstLineChars="10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p w14:paraId="4ED245BE">
            <w:pPr>
              <w:ind w:firstLine="480"/>
              <w:jc w:val="both"/>
              <w:rPr>
                <w:rFonts w:hint="eastAsia" w:ascii="仿宋" w:hAnsi="仿宋" w:eastAsia="仿宋" w:cs="仿宋"/>
                <w:color w:val="auto"/>
                <w:sz w:val="24"/>
                <w:szCs w:val="24"/>
                <w:highlight w:val="none"/>
                <w:lang w:val="en-US" w:eastAsia="zh-CN"/>
              </w:rPr>
            </w:pPr>
          </w:p>
        </w:tc>
        <w:tc>
          <w:tcPr>
            <w:tcW w:w="2141"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7393DE67">
            <w:pPr>
              <w:ind w:firstLine="480"/>
              <w:jc w:val="both"/>
              <w:rPr>
                <w:rFonts w:hint="eastAsia" w:ascii="仿宋" w:hAnsi="仿宋" w:eastAsia="仿宋" w:cs="仿宋"/>
                <w:color w:val="auto"/>
                <w:sz w:val="24"/>
                <w:szCs w:val="24"/>
                <w:highlight w:val="none"/>
                <w:lang w:val="en-US" w:eastAsia="zh-CN"/>
              </w:rPr>
            </w:pPr>
          </w:p>
          <w:p w14:paraId="7A975831">
            <w:pPr>
              <w:ind w:firstLine="480"/>
              <w:jc w:val="both"/>
              <w:rPr>
                <w:rFonts w:hint="eastAsia" w:ascii="仿宋" w:hAnsi="仿宋" w:eastAsia="仿宋" w:cs="仿宋"/>
                <w:color w:val="auto"/>
                <w:sz w:val="24"/>
                <w:szCs w:val="24"/>
                <w:highlight w:val="none"/>
                <w:lang w:val="en-US" w:eastAsia="zh-CN"/>
              </w:rPr>
            </w:pPr>
          </w:p>
          <w:p w14:paraId="74E23898">
            <w:pPr>
              <w:ind w:firstLine="480"/>
              <w:jc w:val="both"/>
              <w:rPr>
                <w:rFonts w:hint="eastAsia" w:ascii="仿宋" w:hAnsi="仿宋" w:eastAsia="仿宋" w:cs="仿宋"/>
                <w:color w:val="auto"/>
                <w:sz w:val="24"/>
                <w:szCs w:val="24"/>
                <w:highlight w:val="none"/>
                <w:lang w:val="en-US" w:eastAsia="zh-CN"/>
              </w:rPr>
            </w:pPr>
          </w:p>
          <w:p w14:paraId="6B80A389">
            <w:pPr>
              <w:ind w:firstLine="480"/>
              <w:jc w:val="both"/>
              <w:rPr>
                <w:rFonts w:hint="eastAsia" w:ascii="仿宋" w:hAnsi="仿宋" w:eastAsia="仿宋" w:cs="仿宋"/>
                <w:color w:val="auto"/>
                <w:sz w:val="24"/>
                <w:szCs w:val="24"/>
                <w:highlight w:val="none"/>
                <w:lang w:val="en-US" w:eastAsia="zh-CN"/>
              </w:rPr>
            </w:pPr>
          </w:p>
          <w:p w14:paraId="59576EE9">
            <w:pPr>
              <w:ind w:firstLine="480"/>
              <w:jc w:val="both"/>
              <w:rPr>
                <w:rFonts w:hint="eastAsia" w:ascii="仿宋" w:hAnsi="仿宋" w:eastAsia="仿宋" w:cs="仿宋"/>
                <w:color w:val="auto"/>
                <w:sz w:val="24"/>
                <w:szCs w:val="24"/>
                <w:highlight w:val="none"/>
                <w:lang w:val="en-US" w:eastAsia="zh-CN"/>
              </w:rPr>
            </w:pPr>
          </w:p>
          <w:p w14:paraId="49DD1C30">
            <w:pPr>
              <w:ind w:firstLine="480"/>
              <w:jc w:val="both"/>
              <w:rPr>
                <w:rFonts w:hint="eastAsia" w:ascii="仿宋" w:hAnsi="仿宋" w:eastAsia="仿宋" w:cs="仿宋"/>
                <w:color w:val="auto"/>
                <w:sz w:val="24"/>
                <w:szCs w:val="24"/>
                <w:highlight w:val="none"/>
                <w:lang w:val="en-US" w:eastAsia="zh-CN"/>
              </w:rPr>
            </w:pPr>
          </w:p>
          <w:p w14:paraId="3D08EDC1">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总体要求(★实质性要求)</w:t>
            </w:r>
          </w:p>
        </w:tc>
        <w:tc>
          <w:tcPr>
            <w:tcW w:w="6456"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41218515">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一、当出现以下因素时，采购人有权随时</w:t>
            </w:r>
          </w:p>
          <w:p w14:paraId="6791E603">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终止合同。中标人不得以任何理由提出索赔要求：</w:t>
            </w:r>
          </w:p>
          <w:p w14:paraId="33FB7264">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(1)因中标人原因发生安全事故；</w:t>
            </w:r>
          </w:p>
          <w:p w14:paraId="75AC30FD">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(2)中标人不服从采购人正常养护任务安排，造成工作延误；</w:t>
            </w:r>
          </w:p>
          <w:p w14:paraId="5C669C13">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(3)中标人未按照中标承诺要求配备相应设备和人员；</w:t>
            </w:r>
          </w:p>
          <w:p w14:paraId="4161FDBC">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(4)中标人未经采购人同意不得分包，如发现中标人擅自分包或转包，采购人有权单方解除合同。</w:t>
            </w:r>
          </w:p>
          <w:p w14:paraId="4E3CE5BF">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二、场地：供应商应承诺中标后在养护范</w:t>
            </w:r>
          </w:p>
          <w:p w14:paraId="4DAAAADD">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围内设立项目管理部、停车场地、材料仓库等。</w:t>
            </w:r>
          </w:p>
          <w:p w14:paraId="3C886A39">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（提供承诺书并加盖公章上传至系统，承诺书格式自拟）。</w:t>
            </w:r>
          </w:p>
        </w:tc>
      </w:tr>
      <w:tr w14:paraId="2101B29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97" w:hRule="atLeast"/>
        </w:trPr>
        <w:tc>
          <w:tcPr>
            <w:tcW w:w="59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31D50906">
            <w:pPr>
              <w:ind w:firstLine="480"/>
              <w:jc w:val="both"/>
              <w:rPr>
                <w:rFonts w:hint="eastAsia" w:ascii="仿宋" w:hAnsi="仿宋" w:eastAsia="仿宋" w:cs="仿宋"/>
                <w:color w:val="auto"/>
                <w:sz w:val="24"/>
                <w:szCs w:val="24"/>
                <w:highlight w:val="none"/>
                <w:lang w:val="en-US" w:eastAsia="zh-CN"/>
              </w:rPr>
            </w:pPr>
          </w:p>
          <w:p w14:paraId="2A310D27">
            <w:pPr>
              <w:ind w:firstLine="480"/>
              <w:jc w:val="both"/>
              <w:rPr>
                <w:rFonts w:hint="eastAsia" w:ascii="仿宋" w:hAnsi="仿宋" w:eastAsia="仿宋" w:cs="仿宋"/>
                <w:color w:val="auto"/>
                <w:sz w:val="24"/>
                <w:szCs w:val="24"/>
                <w:highlight w:val="none"/>
                <w:lang w:val="en-US" w:eastAsia="zh-CN"/>
              </w:rPr>
            </w:pPr>
          </w:p>
          <w:p w14:paraId="50CA4E09">
            <w:pPr>
              <w:bidi w:val="0"/>
              <w:ind w:firstLine="210" w:firstLineChars="100"/>
              <w:jc w:val="both"/>
              <w:rPr>
                <w:rFonts w:hint="default" w:ascii="Times New Roman" w:hAnsi="Times New Roman" w:eastAsia="宋体" w:cs="Times New Roman"/>
                <w:color w:val="auto"/>
                <w:sz w:val="21"/>
                <w:szCs w:val="22"/>
                <w:highlight w:val="none"/>
                <w:lang w:val="en-US" w:eastAsia="zh-CN" w:bidi="ar-SA"/>
              </w:rPr>
            </w:pPr>
            <w:r>
              <w:rPr>
                <w:rFonts w:hint="eastAsia" w:cs="Times New Roman"/>
                <w:color w:val="auto"/>
                <w:sz w:val="21"/>
                <w:szCs w:val="22"/>
                <w:highlight w:val="none"/>
                <w:lang w:val="en-US" w:eastAsia="zh-CN" w:bidi="ar-SA"/>
              </w:rPr>
              <w:t>6</w:t>
            </w:r>
          </w:p>
        </w:tc>
        <w:tc>
          <w:tcPr>
            <w:tcW w:w="2141"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7E40B47">
            <w:pPr>
              <w:ind w:firstLine="480"/>
              <w:jc w:val="both"/>
              <w:rPr>
                <w:rFonts w:hint="eastAsia" w:ascii="仿宋" w:hAnsi="仿宋" w:eastAsia="仿宋" w:cs="仿宋"/>
                <w:color w:val="auto"/>
                <w:sz w:val="24"/>
                <w:szCs w:val="24"/>
                <w:highlight w:val="none"/>
                <w:lang w:val="en-US" w:eastAsia="zh-CN"/>
              </w:rPr>
            </w:pPr>
          </w:p>
          <w:p w14:paraId="0BB363B2">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公路养护过程要求(★实质性要求)</w:t>
            </w:r>
          </w:p>
        </w:tc>
        <w:tc>
          <w:tcPr>
            <w:tcW w:w="6456"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501CB920">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（1）供应商应系统掌握区域内道路具体情况，建立健全日常巡查养护及管理台账制度，认真做好台账的整理和归档工作，按时报送相关周报、月报、管理养护计划、管理养护工作报表。</w:t>
            </w:r>
          </w:p>
        </w:tc>
      </w:tr>
    </w:tbl>
    <w:p w14:paraId="4BB3DACD">
      <w:pPr>
        <w:ind w:firstLine="480"/>
        <w:jc w:val="both"/>
        <w:rPr>
          <w:rFonts w:hint="eastAsia" w:ascii="仿宋" w:hAnsi="仿宋" w:eastAsia="仿宋" w:cs="仿宋"/>
          <w:color w:val="auto"/>
          <w:sz w:val="24"/>
          <w:szCs w:val="24"/>
          <w:highlight w:val="none"/>
          <w:lang w:val="en-US" w:eastAsia="zh-CN"/>
        </w:rPr>
      </w:pPr>
    </w:p>
    <w:p w14:paraId="15393AC7">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br w:type="page"/>
      </w:r>
    </w:p>
    <w:p w14:paraId="4256FE57">
      <w:pPr>
        <w:ind w:firstLine="480"/>
        <w:jc w:val="both"/>
        <w:rPr>
          <w:rFonts w:hint="eastAsia" w:ascii="仿宋" w:hAnsi="仿宋" w:eastAsia="仿宋" w:cs="仿宋"/>
          <w:color w:val="auto"/>
          <w:sz w:val="24"/>
          <w:szCs w:val="24"/>
          <w:highlight w:val="none"/>
          <w:lang w:val="en-US" w:eastAsia="zh-CN"/>
        </w:rPr>
      </w:pPr>
    </w:p>
    <w:tbl>
      <w:tblPr>
        <w:tblStyle w:val="37"/>
        <w:tblW w:w="919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10"/>
        <w:gridCol w:w="2124"/>
        <w:gridCol w:w="6456"/>
      </w:tblGrid>
      <w:tr w14:paraId="40676D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388" w:hRule="atLeast"/>
        </w:trPr>
        <w:tc>
          <w:tcPr>
            <w:tcW w:w="610"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455AB100">
            <w:pPr>
              <w:ind w:firstLine="480"/>
              <w:jc w:val="both"/>
              <w:rPr>
                <w:rFonts w:hint="eastAsia" w:ascii="仿宋" w:hAnsi="仿宋" w:eastAsia="仿宋" w:cs="仿宋"/>
                <w:color w:val="auto"/>
                <w:sz w:val="24"/>
                <w:szCs w:val="24"/>
                <w:highlight w:val="none"/>
                <w:lang w:val="en-US" w:eastAsia="zh-CN"/>
              </w:rPr>
            </w:pPr>
          </w:p>
        </w:tc>
        <w:tc>
          <w:tcPr>
            <w:tcW w:w="2124"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top"/>
          </w:tcPr>
          <w:p w14:paraId="41EF3B3C">
            <w:pPr>
              <w:ind w:firstLine="480"/>
              <w:jc w:val="both"/>
              <w:rPr>
                <w:rFonts w:hint="eastAsia" w:ascii="仿宋" w:hAnsi="仿宋" w:eastAsia="仿宋" w:cs="仿宋"/>
                <w:color w:val="auto"/>
                <w:sz w:val="24"/>
                <w:szCs w:val="24"/>
                <w:highlight w:val="none"/>
                <w:lang w:val="en-US" w:eastAsia="zh-CN"/>
              </w:rPr>
            </w:pPr>
          </w:p>
        </w:tc>
        <w:tc>
          <w:tcPr>
            <w:tcW w:w="6456"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top"/>
          </w:tcPr>
          <w:p w14:paraId="21232628">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（2）养护的各道工序施工要做到以人为本，养护作业人员在养护施工时应当统一着装，必须穿戴具有反光功能的安全标志 服装和防护帽，并按照要求在养护施工路 段设置明显安全标志和采取有效的安全防 护措施，必要时应安排专职的安全人员对 施工作业区域进行安全管理和监督，并进行现场交通疏导，夜间应设置黄色频闪警 示标志，以确保养护实施路段的施工安全 及行车安全。特殊路段的养护作业必须按 照采购人统一部署要求执行。供应商在施 工时应注意行人、车辆的安全，做好交通 安全防范和导流措施，并负责与交警、城管等部门的沟通协调。</w:t>
            </w:r>
          </w:p>
          <w:p w14:paraId="4DA7A3E8">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供应商应当遵守有关环境保护和安全生产法律、法规的规定，采取措施防止或者减少粉尘、废气、废水、固体废物、噪声、振动和照明产生的污染和危害。养护作业现场应干净整齐。余料及时清理、清扫，禁止随意丢弃。现场的各种设施、材料、设备器材等物料、应当定点存放。禁止在现场外擅自占道堆放建筑材料、工程渣土和建筑垃圾，施工结束后做到工完、料净、场地清。 (4)供应商在养护施工时应当保护地下管线和其他设施的完好。如确需暂时损坏或变更的，应当经采购人同意后方可实施，施工完成后应请权属单位检查验收，同时做好记录备案工作。</w:t>
            </w:r>
          </w:p>
          <w:p w14:paraId="0EE430DD">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(5)供应商应在重大节日、“迎检”、“创建”等期间按要求完成采购人交办的突击性任务和指令性任务。</w:t>
            </w:r>
          </w:p>
          <w:p w14:paraId="07432037">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(6）基础资料、台帐管理应做到以下几点：</w:t>
            </w:r>
          </w:p>
          <w:p w14:paraId="321886C1">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 每天做好详细的工地日志登记工作，以备采购人不定期抽查；</w:t>
            </w:r>
          </w:p>
          <w:p w14:paraId="7D4709C9">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 每月 25号前向采购人报送本月的养护总结及下月养护计划（质量、进度、安全、投资、材料计划等内容，反映存在的</w:t>
            </w:r>
          </w:p>
          <w:p w14:paraId="30F674EF">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问题和应对措施，一式三份提交采购人）；</w:t>
            </w:r>
          </w:p>
          <w:p w14:paraId="09758B2E">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③ 供应商应当严格按照采购人制定的养 护计划进行施工，不得擅自更改实施计划，并于每周五上报本周工作完成情况，交由采购人审定，作为考核依据。</w:t>
            </w:r>
          </w:p>
          <w:p w14:paraId="399D96D3">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④ 道路养护维修应当及时做好维修纪录，对有关道路养护的报表统计、竣工档案等信息资料应按相应的管理规定进行整</w:t>
            </w:r>
          </w:p>
          <w:p w14:paraId="0EC0B52C">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理。</w:t>
            </w:r>
          </w:p>
          <w:p w14:paraId="45F26BEB">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（7）施工中对涉及的现有建筑物、构筑物、线杆、地下管线、古树名木等，供应商应采取有效的保护、防护措施，如供应商对上述设施造成破坏的，则所有责任由供应商负责。</w:t>
            </w:r>
          </w:p>
          <w:p w14:paraId="7A817A60">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（提供承诺书并加盖公章上传至系统，承诺书格式自拟）。</w:t>
            </w:r>
          </w:p>
        </w:tc>
      </w:tr>
    </w:tbl>
    <w:p w14:paraId="5274C479">
      <w:pPr>
        <w:ind w:firstLine="480"/>
        <w:jc w:val="both"/>
        <w:rPr>
          <w:rFonts w:hint="eastAsia" w:ascii="仿宋" w:hAnsi="仿宋" w:eastAsia="仿宋" w:cs="仿宋"/>
          <w:color w:val="auto"/>
          <w:sz w:val="24"/>
          <w:szCs w:val="24"/>
          <w:highlight w:val="none"/>
          <w:lang w:val="en-US" w:eastAsia="zh-CN"/>
        </w:rPr>
      </w:pPr>
    </w:p>
    <w:p w14:paraId="5D5BFC21">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br w:type="page"/>
      </w:r>
    </w:p>
    <w:tbl>
      <w:tblPr>
        <w:tblStyle w:val="37"/>
        <w:tblW w:w="919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610"/>
        <w:gridCol w:w="2124"/>
        <w:gridCol w:w="6456"/>
      </w:tblGrid>
      <w:tr w14:paraId="25BD78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11" w:hRule="atLeast"/>
        </w:trPr>
        <w:tc>
          <w:tcPr>
            <w:tcW w:w="61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572813EF">
            <w:pPr>
              <w:ind w:firstLine="480"/>
              <w:jc w:val="both"/>
              <w:rPr>
                <w:rFonts w:hint="eastAsia" w:ascii="仿宋" w:hAnsi="仿宋" w:eastAsia="仿宋" w:cs="仿宋"/>
                <w:color w:val="auto"/>
                <w:sz w:val="24"/>
                <w:szCs w:val="24"/>
                <w:highlight w:val="none"/>
                <w:lang w:val="en-US" w:eastAsia="zh-CN"/>
              </w:rPr>
            </w:pPr>
          </w:p>
          <w:p w14:paraId="3CE7A672">
            <w:pPr>
              <w:ind w:firstLine="480"/>
              <w:jc w:val="both"/>
              <w:rPr>
                <w:rFonts w:hint="eastAsia" w:ascii="仿宋" w:hAnsi="仿宋" w:eastAsia="仿宋" w:cs="仿宋"/>
                <w:color w:val="auto"/>
                <w:sz w:val="24"/>
                <w:szCs w:val="24"/>
                <w:highlight w:val="none"/>
                <w:lang w:val="en-US" w:eastAsia="zh-CN"/>
              </w:rPr>
            </w:pPr>
          </w:p>
          <w:p w14:paraId="56016583">
            <w:pPr>
              <w:ind w:firstLine="480"/>
              <w:jc w:val="both"/>
              <w:rPr>
                <w:rFonts w:hint="eastAsia" w:ascii="仿宋" w:hAnsi="仿宋" w:eastAsia="仿宋" w:cs="仿宋"/>
                <w:color w:val="auto"/>
                <w:sz w:val="24"/>
                <w:szCs w:val="24"/>
                <w:highlight w:val="none"/>
                <w:lang w:val="en-US" w:eastAsia="zh-CN"/>
              </w:rPr>
            </w:pPr>
          </w:p>
          <w:p w14:paraId="033A3CED">
            <w:pPr>
              <w:ind w:firstLine="480"/>
              <w:jc w:val="both"/>
              <w:rPr>
                <w:rFonts w:hint="eastAsia" w:ascii="仿宋" w:hAnsi="仿宋" w:eastAsia="仿宋" w:cs="仿宋"/>
                <w:color w:val="auto"/>
                <w:sz w:val="24"/>
                <w:szCs w:val="24"/>
                <w:highlight w:val="none"/>
                <w:lang w:val="en-US" w:eastAsia="zh-CN"/>
              </w:rPr>
            </w:pPr>
          </w:p>
          <w:p w14:paraId="24BC3E25">
            <w:pPr>
              <w:ind w:firstLine="480"/>
              <w:jc w:val="both"/>
              <w:rPr>
                <w:rFonts w:hint="eastAsia" w:ascii="仿宋" w:hAnsi="仿宋" w:eastAsia="仿宋" w:cs="仿宋"/>
                <w:color w:val="auto"/>
                <w:sz w:val="24"/>
                <w:szCs w:val="24"/>
                <w:highlight w:val="none"/>
                <w:lang w:val="en-US" w:eastAsia="zh-CN"/>
              </w:rPr>
            </w:pPr>
          </w:p>
          <w:p w14:paraId="2BD1478F">
            <w:pPr>
              <w:ind w:firstLine="480"/>
              <w:jc w:val="both"/>
              <w:rPr>
                <w:rFonts w:hint="eastAsia" w:ascii="仿宋" w:hAnsi="仿宋" w:eastAsia="仿宋" w:cs="仿宋"/>
                <w:color w:val="auto"/>
                <w:sz w:val="24"/>
                <w:szCs w:val="24"/>
                <w:highlight w:val="none"/>
                <w:lang w:val="en-US" w:eastAsia="zh-CN"/>
              </w:rPr>
            </w:pPr>
          </w:p>
          <w:p w14:paraId="4928428B">
            <w:pPr>
              <w:ind w:firstLine="480"/>
              <w:jc w:val="both"/>
              <w:rPr>
                <w:rFonts w:hint="eastAsia" w:ascii="仿宋" w:hAnsi="仿宋" w:eastAsia="仿宋" w:cs="仿宋"/>
                <w:color w:val="auto"/>
                <w:sz w:val="24"/>
                <w:szCs w:val="24"/>
                <w:highlight w:val="none"/>
                <w:lang w:val="en-US" w:eastAsia="zh-CN"/>
              </w:rPr>
            </w:pPr>
          </w:p>
          <w:p w14:paraId="58F592A1">
            <w:pPr>
              <w:ind w:firstLine="480"/>
              <w:jc w:val="both"/>
              <w:rPr>
                <w:rFonts w:hint="eastAsia" w:ascii="仿宋" w:hAnsi="仿宋" w:eastAsia="仿宋" w:cs="仿宋"/>
                <w:color w:val="auto"/>
                <w:sz w:val="24"/>
                <w:szCs w:val="24"/>
                <w:highlight w:val="none"/>
                <w:lang w:val="en-US" w:eastAsia="zh-CN"/>
              </w:rPr>
            </w:pPr>
          </w:p>
          <w:p w14:paraId="4982F9E7">
            <w:pPr>
              <w:ind w:firstLine="480"/>
              <w:jc w:val="both"/>
              <w:rPr>
                <w:rFonts w:hint="eastAsia" w:ascii="仿宋" w:hAnsi="仿宋" w:eastAsia="仿宋" w:cs="仿宋"/>
                <w:color w:val="auto"/>
                <w:sz w:val="24"/>
                <w:szCs w:val="24"/>
                <w:highlight w:val="none"/>
                <w:lang w:val="en-US" w:eastAsia="zh-CN"/>
              </w:rPr>
            </w:pPr>
          </w:p>
          <w:p w14:paraId="032421F7">
            <w:pPr>
              <w:ind w:firstLine="480"/>
              <w:jc w:val="both"/>
              <w:rPr>
                <w:rFonts w:hint="eastAsia" w:ascii="仿宋" w:hAnsi="仿宋" w:eastAsia="仿宋" w:cs="仿宋"/>
                <w:color w:val="auto"/>
                <w:sz w:val="24"/>
                <w:szCs w:val="24"/>
                <w:highlight w:val="none"/>
                <w:lang w:val="en-US" w:eastAsia="zh-CN"/>
              </w:rPr>
            </w:pPr>
          </w:p>
          <w:p w14:paraId="0C02A5FA">
            <w:pPr>
              <w:ind w:firstLine="480"/>
              <w:jc w:val="both"/>
              <w:rPr>
                <w:rFonts w:hint="eastAsia" w:ascii="仿宋" w:hAnsi="仿宋" w:eastAsia="仿宋" w:cs="仿宋"/>
                <w:color w:val="auto"/>
                <w:sz w:val="24"/>
                <w:szCs w:val="24"/>
                <w:highlight w:val="none"/>
                <w:lang w:val="en-US" w:eastAsia="zh-CN"/>
              </w:rPr>
            </w:pPr>
          </w:p>
          <w:p w14:paraId="45A49700">
            <w:pPr>
              <w:jc w:val="both"/>
              <w:rPr>
                <w:rFonts w:hint="eastAsia" w:ascii="仿宋" w:hAnsi="仿宋" w:eastAsia="仿宋" w:cs="仿宋"/>
                <w:color w:val="auto"/>
                <w:sz w:val="24"/>
                <w:szCs w:val="24"/>
                <w:highlight w:val="none"/>
                <w:lang w:val="en-US" w:eastAsia="zh-CN"/>
              </w:rPr>
            </w:pPr>
          </w:p>
          <w:p w14:paraId="2E36CC64">
            <w:pPr>
              <w:tabs>
                <w:tab w:val="center" w:pos="295"/>
              </w:tabs>
              <w:ind w:firstLine="240" w:firstLineChars="10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2124"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6521E9FD">
            <w:pPr>
              <w:ind w:firstLine="480"/>
              <w:jc w:val="both"/>
              <w:rPr>
                <w:rFonts w:hint="eastAsia" w:ascii="仿宋" w:hAnsi="仿宋" w:eastAsia="仿宋" w:cs="仿宋"/>
                <w:color w:val="auto"/>
                <w:sz w:val="24"/>
                <w:szCs w:val="24"/>
                <w:highlight w:val="none"/>
                <w:lang w:val="en-US" w:eastAsia="zh-CN"/>
              </w:rPr>
            </w:pPr>
          </w:p>
          <w:p w14:paraId="3A158420">
            <w:pPr>
              <w:ind w:firstLine="480"/>
              <w:jc w:val="both"/>
              <w:rPr>
                <w:rFonts w:hint="eastAsia" w:ascii="仿宋" w:hAnsi="仿宋" w:eastAsia="仿宋" w:cs="仿宋"/>
                <w:color w:val="auto"/>
                <w:sz w:val="24"/>
                <w:szCs w:val="24"/>
                <w:highlight w:val="none"/>
                <w:lang w:val="en-US" w:eastAsia="zh-CN"/>
              </w:rPr>
            </w:pPr>
          </w:p>
          <w:p w14:paraId="30F9262A">
            <w:pPr>
              <w:ind w:firstLine="480"/>
              <w:jc w:val="both"/>
              <w:rPr>
                <w:rFonts w:hint="eastAsia" w:ascii="仿宋" w:hAnsi="仿宋" w:eastAsia="仿宋" w:cs="仿宋"/>
                <w:color w:val="auto"/>
                <w:sz w:val="24"/>
                <w:szCs w:val="24"/>
                <w:highlight w:val="none"/>
                <w:lang w:val="en-US" w:eastAsia="zh-CN"/>
              </w:rPr>
            </w:pPr>
          </w:p>
          <w:p w14:paraId="6A2BEB6E">
            <w:pPr>
              <w:ind w:firstLine="480"/>
              <w:jc w:val="both"/>
              <w:rPr>
                <w:rFonts w:hint="eastAsia" w:ascii="仿宋" w:hAnsi="仿宋" w:eastAsia="仿宋" w:cs="仿宋"/>
                <w:color w:val="auto"/>
                <w:sz w:val="24"/>
                <w:szCs w:val="24"/>
                <w:highlight w:val="none"/>
                <w:lang w:val="en-US" w:eastAsia="zh-CN"/>
              </w:rPr>
            </w:pPr>
          </w:p>
          <w:p w14:paraId="0C498639">
            <w:pPr>
              <w:ind w:firstLine="480"/>
              <w:jc w:val="both"/>
              <w:rPr>
                <w:rFonts w:hint="eastAsia" w:ascii="仿宋" w:hAnsi="仿宋" w:eastAsia="仿宋" w:cs="仿宋"/>
                <w:color w:val="auto"/>
                <w:sz w:val="24"/>
                <w:szCs w:val="24"/>
                <w:highlight w:val="none"/>
                <w:lang w:val="en-US" w:eastAsia="zh-CN"/>
              </w:rPr>
            </w:pPr>
          </w:p>
          <w:p w14:paraId="0552D716">
            <w:pPr>
              <w:ind w:firstLine="480"/>
              <w:jc w:val="both"/>
              <w:rPr>
                <w:rFonts w:hint="eastAsia" w:ascii="仿宋" w:hAnsi="仿宋" w:eastAsia="仿宋" w:cs="仿宋"/>
                <w:color w:val="auto"/>
                <w:sz w:val="24"/>
                <w:szCs w:val="24"/>
                <w:highlight w:val="none"/>
                <w:lang w:val="en-US" w:eastAsia="zh-CN"/>
              </w:rPr>
            </w:pPr>
          </w:p>
          <w:p w14:paraId="3C4C062C">
            <w:pPr>
              <w:ind w:firstLine="480"/>
              <w:jc w:val="both"/>
              <w:rPr>
                <w:rFonts w:hint="eastAsia" w:ascii="仿宋" w:hAnsi="仿宋" w:eastAsia="仿宋" w:cs="仿宋"/>
                <w:color w:val="auto"/>
                <w:sz w:val="24"/>
                <w:szCs w:val="24"/>
                <w:highlight w:val="none"/>
                <w:lang w:val="en-US" w:eastAsia="zh-CN"/>
              </w:rPr>
            </w:pPr>
          </w:p>
          <w:p w14:paraId="1255DE61">
            <w:pPr>
              <w:ind w:firstLine="480"/>
              <w:jc w:val="both"/>
              <w:rPr>
                <w:rFonts w:hint="eastAsia" w:ascii="仿宋" w:hAnsi="仿宋" w:eastAsia="仿宋" w:cs="仿宋"/>
                <w:color w:val="auto"/>
                <w:sz w:val="24"/>
                <w:szCs w:val="24"/>
                <w:highlight w:val="none"/>
                <w:lang w:val="en-US" w:eastAsia="zh-CN"/>
              </w:rPr>
            </w:pPr>
          </w:p>
          <w:p w14:paraId="7BA31011">
            <w:pPr>
              <w:ind w:firstLine="480"/>
              <w:jc w:val="both"/>
              <w:rPr>
                <w:rFonts w:hint="eastAsia" w:ascii="仿宋" w:hAnsi="仿宋" w:eastAsia="仿宋" w:cs="仿宋"/>
                <w:color w:val="auto"/>
                <w:sz w:val="24"/>
                <w:szCs w:val="24"/>
                <w:highlight w:val="none"/>
                <w:lang w:val="en-US" w:eastAsia="zh-CN"/>
              </w:rPr>
            </w:pPr>
          </w:p>
          <w:p w14:paraId="00008258">
            <w:pPr>
              <w:ind w:firstLine="480"/>
              <w:jc w:val="both"/>
              <w:rPr>
                <w:rFonts w:hint="eastAsia" w:ascii="仿宋" w:hAnsi="仿宋" w:eastAsia="仿宋" w:cs="仿宋"/>
                <w:color w:val="auto"/>
                <w:sz w:val="24"/>
                <w:szCs w:val="24"/>
                <w:highlight w:val="none"/>
                <w:lang w:val="en-US" w:eastAsia="zh-CN"/>
              </w:rPr>
            </w:pPr>
          </w:p>
          <w:p w14:paraId="247DF12F">
            <w:pPr>
              <w:ind w:firstLine="480"/>
              <w:jc w:val="both"/>
              <w:rPr>
                <w:rFonts w:hint="eastAsia" w:ascii="仿宋" w:hAnsi="仿宋" w:eastAsia="仿宋" w:cs="仿宋"/>
                <w:color w:val="auto"/>
                <w:sz w:val="24"/>
                <w:szCs w:val="24"/>
                <w:highlight w:val="none"/>
                <w:lang w:val="en-US" w:eastAsia="zh-CN"/>
              </w:rPr>
            </w:pPr>
          </w:p>
          <w:p w14:paraId="4BAA1534">
            <w:pPr>
              <w:ind w:firstLine="480"/>
              <w:jc w:val="both"/>
              <w:rPr>
                <w:rFonts w:hint="eastAsia" w:ascii="仿宋" w:hAnsi="仿宋" w:eastAsia="仿宋" w:cs="仿宋"/>
                <w:color w:val="auto"/>
                <w:sz w:val="24"/>
                <w:szCs w:val="24"/>
                <w:highlight w:val="none"/>
                <w:lang w:val="en-US" w:eastAsia="zh-CN"/>
              </w:rPr>
            </w:pPr>
          </w:p>
          <w:p w14:paraId="1DD785D1">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公路养护管理要求(★实质性要求)</w:t>
            </w:r>
          </w:p>
        </w:tc>
        <w:tc>
          <w:tcPr>
            <w:tcW w:w="6456"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782EA29F">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（1）中标人必须采取切实可行的措施并确保交通畅通和安全，确保安全文明施  工，确保各种管、杆线安全运营，确保沿线居民出行方便等，尽最大努力将施工给群众带来的干扰降至最低限度，并制定相关的安全文明措施。</w:t>
            </w:r>
          </w:p>
          <w:p w14:paraId="32B23F1A">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巡视中发现由于道路（含排水检查井、雨水篦）损坏、遗失或因自然灾害等原因造成安全隐患时，立即做好防护措施，必要时现场安排专人看护，必须在24小时内修复，特殊情况下，在经采购人同意后，最迟不得超过 72 小时，同时启动应急预案进行抢修处理，通知交警部门协助疏导交通，并以书面形式报告采购人。</w:t>
            </w:r>
          </w:p>
          <w:p w14:paraId="52111D69">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日常巡视及定期检查要认真巡查路况、路容，做到及时发现及时报告及时处理，确保路况整齐畅顺，设施的完好和安全，如被采购人发现养护不及时和设施损失（坏）导致安全事故，或被投拆、被新闻媒体曝光，除按招标文件的有关条款处理外采购人可另请施工单位进行紧急处理，费用由中标人承担。</w:t>
            </w:r>
          </w:p>
          <w:p w14:paraId="0842F59B">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中标人必须落实安全生产措施，为上岗人员配置统一的工作服和反光袖套，自行解决安全作业问题。在进行施工作业时必须认真负责，注意安全操作，施工作业现场应干净整洁，各类警示标志设置明显；现场的各种设施、材料、设备定点存放，如发生任何意外，中标人负责事故处理并承担及一切费用，与采购人无关。</w:t>
            </w:r>
          </w:p>
        </w:tc>
      </w:tr>
    </w:tbl>
    <w:p w14:paraId="1F17858D">
      <w:pPr>
        <w:ind w:firstLine="480"/>
        <w:jc w:val="both"/>
        <w:rPr>
          <w:rFonts w:hint="eastAsia" w:ascii="仿宋" w:hAnsi="仿宋" w:eastAsia="仿宋" w:cs="仿宋"/>
          <w:color w:val="auto"/>
          <w:sz w:val="24"/>
          <w:szCs w:val="24"/>
          <w:highlight w:val="none"/>
          <w:lang w:val="en-US" w:eastAsia="zh-CN"/>
        </w:rPr>
      </w:pPr>
    </w:p>
    <w:p w14:paraId="2B9FA524">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br w:type="page"/>
      </w:r>
    </w:p>
    <w:tbl>
      <w:tblPr>
        <w:tblStyle w:val="37"/>
        <w:tblW w:w="919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610"/>
        <w:gridCol w:w="2124"/>
        <w:gridCol w:w="6456"/>
      </w:tblGrid>
      <w:tr w14:paraId="2BA697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98" w:hRule="atLeast"/>
        </w:trPr>
        <w:tc>
          <w:tcPr>
            <w:tcW w:w="610" w:type="dxa"/>
            <w:tcBorders>
              <w:top w:val="single" w:color="auto" w:sz="4" w:space="0"/>
              <w:left w:val="single" w:color="auto" w:sz="4" w:space="0"/>
              <w:bottom w:val="single" w:color="auto" w:sz="4" w:space="0"/>
              <w:right w:val="single" w:color="000000" w:sz="8" w:space="0"/>
            </w:tcBorders>
            <w:noWrap w:val="0"/>
            <w:tcMar>
              <w:top w:w="0" w:type="dxa"/>
              <w:left w:w="0" w:type="dxa"/>
              <w:bottom w:w="0" w:type="dxa"/>
              <w:right w:w="0" w:type="dxa"/>
            </w:tcMar>
            <w:vAlign w:val="top"/>
          </w:tcPr>
          <w:p w14:paraId="2CE6351E">
            <w:pPr>
              <w:ind w:firstLine="480"/>
              <w:jc w:val="left"/>
              <w:rPr>
                <w:rFonts w:hint="eastAsia" w:ascii="仿宋" w:hAnsi="仿宋" w:eastAsia="仿宋" w:cs="仿宋"/>
                <w:color w:val="auto"/>
                <w:sz w:val="24"/>
                <w:szCs w:val="24"/>
                <w:highlight w:val="none"/>
                <w:lang w:val="en-US" w:eastAsia="zh-CN"/>
              </w:rPr>
            </w:pPr>
          </w:p>
          <w:p w14:paraId="07961B44">
            <w:pPr>
              <w:jc w:val="left"/>
              <w:rPr>
                <w:rFonts w:hint="eastAsia" w:ascii="仿宋" w:hAnsi="仿宋" w:eastAsia="仿宋" w:cs="仿宋"/>
                <w:color w:val="auto"/>
                <w:sz w:val="24"/>
                <w:szCs w:val="24"/>
                <w:highlight w:val="none"/>
                <w:lang w:val="en-US" w:eastAsia="zh-CN"/>
              </w:rPr>
            </w:pPr>
          </w:p>
          <w:p w14:paraId="29FF7193">
            <w:pPr>
              <w:ind w:firstLine="480"/>
              <w:jc w:val="left"/>
              <w:rPr>
                <w:rFonts w:hint="eastAsia" w:ascii="仿宋" w:hAnsi="仿宋" w:eastAsia="仿宋" w:cs="仿宋"/>
                <w:color w:val="auto"/>
                <w:sz w:val="24"/>
                <w:szCs w:val="24"/>
                <w:highlight w:val="none"/>
                <w:lang w:val="en-US" w:eastAsia="zh-CN"/>
              </w:rPr>
            </w:pPr>
          </w:p>
          <w:p w14:paraId="1FD643D0">
            <w:pPr>
              <w:ind w:firstLine="480"/>
              <w:jc w:val="left"/>
              <w:rPr>
                <w:rFonts w:hint="eastAsia" w:ascii="仿宋" w:hAnsi="仿宋" w:eastAsia="仿宋" w:cs="仿宋"/>
                <w:color w:val="auto"/>
                <w:sz w:val="24"/>
                <w:szCs w:val="24"/>
                <w:highlight w:val="none"/>
                <w:lang w:val="en-US" w:eastAsia="zh-CN"/>
              </w:rPr>
            </w:pPr>
          </w:p>
          <w:p w14:paraId="2248CA75">
            <w:pPr>
              <w:ind w:firstLine="480"/>
              <w:jc w:val="left"/>
              <w:rPr>
                <w:rFonts w:hint="eastAsia" w:ascii="仿宋" w:hAnsi="仿宋" w:eastAsia="仿宋" w:cs="仿宋"/>
                <w:color w:val="auto"/>
                <w:sz w:val="24"/>
                <w:szCs w:val="24"/>
                <w:highlight w:val="none"/>
                <w:lang w:val="en-US" w:eastAsia="zh-CN"/>
              </w:rPr>
            </w:pPr>
          </w:p>
          <w:p w14:paraId="1FDD59E7">
            <w:pPr>
              <w:ind w:firstLine="480"/>
              <w:jc w:val="left"/>
              <w:rPr>
                <w:rFonts w:hint="eastAsia" w:ascii="仿宋" w:hAnsi="仿宋" w:eastAsia="仿宋" w:cs="仿宋"/>
                <w:color w:val="auto"/>
                <w:sz w:val="24"/>
                <w:szCs w:val="24"/>
                <w:highlight w:val="none"/>
                <w:lang w:val="en-US" w:eastAsia="zh-CN"/>
              </w:rPr>
            </w:pPr>
          </w:p>
          <w:p w14:paraId="2193E44E">
            <w:pPr>
              <w:ind w:firstLine="480"/>
              <w:jc w:val="left"/>
              <w:rPr>
                <w:rFonts w:hint="eastAsia" w:ascii="仿宋" w:hAnsi="仿宋" w:eastAsia="仿宋" w:cs="仿宋"/>
                <w:color w:val="auto"/>
                <w:sz w:val="24"/>
                <w:szCs w:val="24"/>
                <w:highlight w:val="none"/>
                <w:lang w:val="en-US" w:eastAsia="zh-CN"/>
              </w:rPr>
            </w:pPr>
          </w:p>
          <w:p w14:paraId="142359C6">
            <w:pPr>
              <w:ind w:firstLine="480"/>
              <w:jc w:val="left"/>
              <w:rPr>
                <w:rFonts w:hint="eastAsia" w:ascii="仿宋" w:hAnsi="仿宋" w:eastAsia="仿宋" w:cs="仿宋"/>
                <w:color w:val="auto"/>
                <w:sz w:val="24"/>
                <w:szCs w:val="24"/>
                <w:highlight w:val="none"/>
                <w:lang w:val="en-US" w:eastAsia="zh-CN"/>
              </w:rPr>
            </w:pPr>
          </w:p>
          <w:p w14:paraId="3E57922B">
            <w:pPr>
              <w:ind w:firstLine="480"/>
              <w:jc w:val="left"/>
              <w:rPr>
                <w:rFonts w:hint="eastAsia" w:ascii="仿宋" w:hAnsi="仿宋" w:eastAsia="仿宋" w:cs="仿宋"/>
                <w:color w:val="auto"/>
                <w:sz w:val="24"/>
                <w:szCs w:val="24"/>
                <w:highlight w:val="none"/>
                <w:lang w:val="en-US" w:eastAsia="zh-CN"/>
              </w:rPr>
            </w:pPr>
          </w:p>
          <w:p w14:paraId="093EBBCE">
            <w:pPr>
              <w:ind w:firstLine="480"/>
              <w:jc w:val="left"/>
              <w:rPr>
                <w:rFonts w:hint="eastAsia" w:ascii="仿宋" w:hAnsi="仿宋" w:eastAsia="仿宋" w:cs="仿宋"/>
                <w:color w:val="auto"/>
                <w:sz w:val="24"/>
                <w:szCs w:val="24"/>
                <w:highlight w:val="none"/>
                <w:lang w:val="en-US" w:eastAsia="zh-CN"/>
              </w:rPr>
            </w:pPr>
          </w:p>
          <w:p w14:paraId="2BD96ADB">
            <w:pPr>
              <w:ind w:firstLine="480"/>
              <w:jc w:val="left"/>
              <w:rPr>
                <w:rFonts w:hint="eastAsia" w:ascii="仿宋" w:hAnsi="仿宋" w:eastAsia="仿宋" w:cs="仿宋"/>
                <w:color w:val="auto"/>
                <w:sz w:val="24"/>
                <w:szCs w:val="24"/>
                <w:highlight w:val="none"/>
                <w:lang w:val="en-US" w:eastAsia="zh-CN"/>
              </w:rPr>
            </w:pPr>
          </w:p>
          <w:p w14:paraId="005148AB">
            <w:pPr>
              <w:ind w:firstLine="480"/>
              <w:jc w:val="left"/>
              <w:rPr>
                <w:rFonts w:hint="eastAsia" w:ascii="仿宋" w:hAnsi="仿宋" w:eastAsia="仿宋" w:cs="仿宋"/>
                <w:color w:val="auto"/>
                <w:sz w:val="24"/>
                <w:szCs w:val="24"/>
                <w:highlight w:val="none"/>
                <w:lang w:val="en-US" w:eastAsia="zh-CN"/>
              </w:rPr>
            </w:pPr>
          </w:p>
          <w:p w14:paraId="1B570FBE">
            <w:pPr>
              <w:ind w:left="239" w:leftChars="114" w:firstLine="544" w:firstLineChars="227"/>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88</w:t>
            </w:r>
          </w:p>
          <w:p w14:paraId="02624592">
            <w:pPr>
              <w:ind w:firstLine="480"/>
              <w:jc w:val="left"/>
              <w:rPr>
                <w:rFonts w:hint="eastAsia" w:ascii="仿宋" w:hAnsi="仿宋" w:eastAsia="仿宋" w:cs="仿宋"/>
                <w:color w:val="auto"/>
                <w:sz w:val="24"/>
                <w:szCs w:val="24"/>
                <w:highlight w:val="none"/>
                <w:lang w:val="en-US" w:eastAsia="zh-CN"/>
              </w:rPr>
            </w:pPr>
          </w:p>
          <w:p w14:paraId="11BCB0FB">
            <w:pPr>
              <w:ind w:firstLine="480"/>
              <w:jc w:val="left"/>
              <w:rPr>
                <w:rFonts w:hint="eastAsia" w:ascii="仿宋" w:hAnsi="仿宋" w:eastAsia="仿宋" w:cs="仿宋"/>
                <w:color w:val="auto"/>
                <w:sz w:val="24"/>
                <w:szCs w:val="24"/>
                <w:highlight w:val="none"/>
                <w:lang w:val="en-US" w:eastAsia="zh-CN"/>
              </w:rPr>
            </w:pPr>
          </w:p>
          <w:p w14:paraId="39DF12F9">
            <w:pPr>
              <w:ind w:firstLine="480"/>
              <w:jc w:val="left"/>
              <w:rPr>
                <w:rFonts w:hint="eastAsia" w:ascii="仿宋" w:hAnsi="仿宋" w:eastAsia="仿宋" w:cs="仿宋"/>
                <w:color w:val="auto"/>
                <w:sz w:val="24"/>
                <w:szCs w:val="24"/>
                <w:highlight w:val="none"/>
                <w:lang w:val="en-US" w:eastAsia="zh-CN"/>
              </w:rPr>
            </w:pPr>
          </w:p>
          <w:p w14:paraId="4C504D2B">
            <w:pPr>
              <w:ind w:firstLine="480"/>
              <w:jc w:val="left"/>
              <w:rPr>
                <w:rFonts w:hint="eastAsia" w:ascii="仿宋" w:hAnsi="仿宋" w:eastAsia="仿宋" w:cs="仿宋"/>
                <w:color w:val="auto"/>
                <w:sz w:val="24"/>
                <w:szCs w:val="24"/>
                <w:highlight w:val="none"/>
                <w:lang w:val="en-US" w:eastAsia="zh-CN"/>
              </w:rPr>
            </w:pPr>
          </w:p>
        </w:tc>
        <w:tc>
          <w:tcPr>
            <w:tcW w:w="2124" w:type="dxa"/>
            <w:tcBorders>
              <w:top w:val="single" w:color="auto" w:sz="4" w:space="0"/>
              <w:left w:val="nil"/>
              <w:bottom w:val="single" w:color="auto" w:sz="4" w:space="0"/>
              <w:right w:val="single" w:color="auto" w:sz="4" w:space="0"/>
            </w:tcBorders>
            <w:noWrap w:val="0"/>
            <w:tcMar>
              <w:top w:w="0" w:type="dxa"/>
              <w:left w:w="0" w:type="dxa"/>
              <w:bottom w:w="0" w:type="dxa"/>
              <w:right w:w="0" w:type="dxa"/>
            </w:tcMar>
            <w:vAlign w:val="top"/>
          </w:tcPr>
          <w:p w14:paraId="22D69E4D">
            <w:pPr>
              <w:ind w:firstLine="480"/>
              <w:jc w:val="left"/>
              <w:rPr>
                <w:rFonts w:hint="eastAsia" w:ascii="仿宋" w:hAnsi="仿宋" w:eastAsia="仿宋" w:cs="仿宋"/>
                <w:color w:val="auto"/>
                <w:sz w:val="24"/>
                <w:szCs w:val="24"/>
                <w:highlight w:val="none"/>
                <w:lang w:val="en-US" w:eastAsia="zh-CN"/>
              </w:rPr>
            </w:pPr>
          </w:p>
          <w:p w14:paraId="1D91996B">
            <w:pPr>
              <w:ind w:firstLine="480"/>
              <w:jc w:val="left"/>
              <w:rPr>
                <w:rFonts w:hint="eastAsia" w:ascii="仿宋" w:hAnsi="仿宋" w:eastAsia="仿宋" w:cs="仿宋"/>
                <w:color w:val="auto"/>
                <w:sz w:val="24"/>
                <w:szCs w:val="24"/>
                <w:highlight w:val="none"/>
                <w:lang w:val="en-US" w:eastAsia="zh-CN"/>
              </w:rPr>
            </w:pPr>
          </w:p>
          <w:p w14:paraId="65071F26">
            <w:pPr>
              <w:ind w:firstLine="480"/>
              <w:jc w:val="left"/>
              <w:rPr>
                <w:rFonts w:hint="eastAsia" w:ascii="仿宋" w:hAnsi="仿宋" w:eastAsia="仿宋" w:cs="仿宋"/>
                <w:color w:val="auto"/>
                <w:sz w:val="24"/>
                <w:szCs w:val="24"/>
                <w:highlight w:val="none"/>
                <w:lang w:val="en-US" w:eastAsia="zh-CN"/>
              </w:rPr>
            </w:pPr>
          </w:p>
          <w:p w14:paraId="66F269C9">
            <w:pPr>
              <w:ind w:firstLine="480"/>
              <w:jc w:val="left"/>
              <w:rPr>
                <w:rFonts w:hint="eastAsia" w:ascii="仿宋" w:hAnsi="仿宋" w:eastAsia="仿宋" w:cs="仿宋"/>
                <w:color w:val="auto"/>
                <w:sz w:val="24"/>
                <w:szCs w:val="24"/>
                <w:highlight w:val="none"/>
                <w:lang w:val="en-US" w:eastAsia="zh-CN"/>
              </w:rPr>
            </w:pPr>
          </w:p>
          <w:p w14:paraId="6904FFDB">
            <w:pPr>
              <w:ind w:firstLine="480"/>
              <w:jc w:val="left"/>
              <w:rPr>
                <w:rFonts w:hint="eastAsia" w:ascii="仿宋" w:hAnsi="仿宋" w:eastAsia="仿宋" w:cs="仿宋"/>
                <w:color w:val="auto"/>
                <w:sz w:val="24"/>
                <w:szCs w:val="24"/>
                <w:highlight w:val="none"/>
                <w:lang w:val="en-US" w:eastAsia="zh-CN"/>
              </w:rPr>
            </w:pPr>
          </w:p>
          <w:p w14:paraId="752C85C0">
            <w:pPr>
              <w:ind w:firstLine="480"/>
              <w:jc w:val="left"/>
              <w:rPr>
                <w:rFonts w:hint="eastAsia" w:ascii="仿宋" w:hAnsi="仿宋" w:eastAsia="仿宋" w:cs="仿宋"/>
                <w:color w:val="auto"/>
                <w:sz w:val="24"/>
                <w:szCs w:val="24"/>
                <w:highlight w:val="none"/>
                <w:lang w:val="en-US" w:eastAsia="zh-CN"/>
              </w:rPr>
            </w:pPr>
          </w:p>
          <w:p w14:paraId="2618BF84">
            <w:pPr>
              <w:ind w:firstLine="480"/>
              <w:jc w:val="left"/>
              <w:rPr>
                <w:rFonts w:hint="eastAsia" w:ascii="仿宋" w:hAnsi="仿宋" w:eastAsia="仿宋" w:cs="仿宋"/>
                <w:color w:val="auto"/>
                <w:sz w:val="24"/>
                <w:szCs w:val="24"/>
                <w:highlight w:val="none"/>
                <w:lang w:val="en-US" w:eastAsia="zh-CN"/>
              </w:rPr>
            </w:pPr>
          </w:p>
          <w:p w14:paraId="2F40EEB8">
            <w:pPr>
              <w:ind w:firstLine="480"/>
              <w:jc w:val="left"/>
              <w:rPr>
                <w:rFonts w:hint="eastAsia" w:ascii="仿宋" w:hAnsi="仿宋" w:eastAsia="仿宋" w:cs="仿宋"/>
                <w:color w:val="auto"/>
                <w:sz w:val="24"/>
                <w:szCs w:val="24"/>
                <w:highlight w:val="none"/>
                <w:lang w:val="en-US" w:eastAsia="zh-CN"/>
              </w:rPr>
            </w:pPr>
          </w:p>
          <w:p w14:paraId="3005904B">
            <w:pPr>
              <w:ind w:firstLine="480"/>
              <w:jc w:val="left"/>
              <w:rPr>
                <w:rFonts w:hint="eastAsia" w:ascii="仿宋" w:hAnsi="仿宋" w:eastAsia="仿宋" w:cs="仿宋"/>
                <w:color w:val="auto"/>
                <w:sz w:val="24"/>
                <w:szCs w:val="24"/>
                <w:highlight w:val="none"/>
                <w:lang w:val="en-US" w:eastAsia="zh-CN"/>
              </w:rPr>
            </w:pPr>
          </w:p>
          <w:p w14:paraId="07D24DBE">
            <w:pPr>
              <w:ind w:firstLine="480"/>
              <w:jc w:val="left"/>
              <w:rPr>
                <w:rFonts w:hint="eastAsia" w:ascii="仿宋" w:hAnsi="仿宋" w:eastAsia="仿宋" w:cs="仿宋"/>
                <w:color w:val="auto"/>
                <w:sz w:val="24"/>
                <w:szCs w:val="24"/>
                <w:highlight w:val="none"/>
                <w:lang w:val="en-US" w:eastAsia="zh-CN"/>
              </w:rPr>
            </w:pPr>
          </w:p>
          <w:p w14:paraId="37647613">
            <w:pPr>
              <w:ind w:firstLine="480"/>
              <w:jc w:val="left"/>
              <w:rPr>
                <w:rFonts w:hint="eastAsia" w:ascii="仿宋" w:hAnsi="仿宋" w:eastAsia="仿宋" w:cs="仿宋"/>
                <w:color w:val="auto"/>
                <w:sz w:val="24"/>
                <w:szCs w:val="24"/>
                <w:highlight w:val="none"/>
                <w:lang w:val="en-US" w:eastAsia="zh-CN"/>
              </w:rPr>
            </w:pPr>
          </w:p>
          <w:p w14:paraId="4A4C7E68">
            <w:pPr>
              <w:jc w:val="left"/>
              <w:rPr>
                <w:rFonts w:hint="eastAsia" w:ascii="仿宋" w:hAnsi="仿宋" w:eastAsia="仿宋" w:cs="仿宋"/>
                <w:color w:val="auto"/>
                <w:sz w:val="24"/>
                <w:szCs w:val="24"/>
                <w:highlight w:val="none"/>
                <w:lang w:val="en-US" w:eastAsia="zh-CN"/>
              </w:rPr>
            </w:pPr>
          </w:p>
          <w:p w14:paraId="1F1ACAE5">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人员要求(★实质性要求)</w:t>
            </w:r>
          </w:p>
        </w:tc>
        <w:tc>
          <w:tcPr>
            <w:tcW w:w="645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36A09AD">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（1）每年考虑 4 个月的防汛期，必须保证人员及时调动。</w:t>
            </w:r>
          </w:p>
          <w:p w14:paraId="5CA33E05">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中标人负责维护管理进程中的一切责任，其中包括但不限于万一发生的一切工伤事故及工作人员的作业或非作业性的人身、财产安全等责任，或由于作业、养护管理不到位引起的第三方的人身、财产安全等责任。</w:t>
            </w:r>
          </w:p>
          <w:p w14:paraId="367D7BB8">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（3）中标人必须按时发工资，聘用人员工资待遇不能低于当地政府的最低工资待遇标准（社会保险和意外保险另算），任何劳资纠纷全由中标人负责。</w:t>
            </w:r>
          </w:p>
          <w:p w14:paraId="2CE4E912">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(4)中标人必须按法律、法规及有关政策规定为其服务人员购买社会保险、外保险</w:t>
            </w:r>
          </w:p>
          <w:p w14:paraId="64523395">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等相关保险。</w:t>
            </w:r>
          </w:p>
          <w:p w14:paraId="138485E0">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（5）中标人必须执行国家劳动法的相关规定。</w:t>
            </w:r>
          </w:p>
          <w:p w14:paraId="75E62D99">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（6）中标人必须落实好安全生产的措施、配置安全作业的劳保用品及统一安全 围挡、警示标识。</w:t>
            </w:r>
          </w:p>
          <w:p w14:paraId="4378332A">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（7）中标人的服务人员数量必须满足采购人的实际工作要求，且穿着统一标识、符合安全要求、有明显标志的工作服。</w:t>
            </w:r>
          </w:p>
          <w:p w14:paraId="78DFF7AF">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（8）所有管养、维修人员的年龄均不得超过56周岁。</w:t>
            </w:r>
          </w:p>
        </w:tc>
      </w:tr>
    </w:tbl>
    <w:p w14:paraId="6B128C60">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047E2A0B">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4FEADFB3">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五、考核内容</w:t>
      </w:r>
    </w:p>
    <w:p w14:paraId="5B467A61">
      <w:pPr>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本考核包含农村公路养护市场化、路长制、养护质量、日常管理和其他工作5个方面。</w:t>
      </w:r>
    </w:p>
    <w:p w14:paraId="262CEF1B">
      <w:pPr>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(一)养护市场化主要考核各街道(场)是否落实农村公路养护市场化经费，开展农村公路养护市场化工作。</w:t>
      </w:r>
    </w:p>
    <w:p w14:paraId="4D75A118">
      <w:pPr>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(二)路长制主要考核各街道(场)是否建立健全农村公路“路长制”组织管理机构，按照农村公路“路长制”四项制度落实开展常态化日常工作，并形成规范的台账、记录等资料。</w:t>
      </w:r>
    </w:p>
    <w:p w14:paraId="1EECF4AB">
      <w:pPr>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(三)养护质量主要考核各街道(场)养护目标完成情况:普通养护线路养护质量、精品线路养护质量3个方面。</w:t>
      </w:r>
    </w:p>
    <w:p w14:paraId="11F8B28E">
      <w:pPr>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(四)日常管理主要考核各街道(场)政府责任、组织机构、检查考核、巡查管理、内业管理、资金管理、桥梁管理、安全管理等8个方面。</w:t>
      </w:r>
    </w:p>
    <w:p w14:paraId="463CC0E0">
      <w:pPr>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(五)其他工作主要考核各街道(场)农村公路日常工作是否扎实、资料台账是否规范清晰，并能够按时完成上级交办的工作任务。</w:t>
      </w:r>
    </w:p>
    <w:p w14:paraId="2293D47C">
      <w:pPr>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 付款条件</w:t>
      </w:r>
    </w:p>
    <w:p w14:paraId="4EBE60C3">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(1)项目服务期满验收合格后，按照不超过合同价的50%付款，并退还履约保证金（如有）。</w:t>
      </w:r>
    </w:p>
    <w:p w14:paraId="204ECDB8">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(2)项目完成结算审计后，按照累计不超过审定金额的85%付款。</w:t>
      </w:r>
    </w:p>
    <w:p w14:paraId="6BDB33A7">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(3)剩余15%资金作为绩效保证金，根据服务考核情况，一年后支付尾款。</w:t>
      </w:r>
    </w:p>
    <w:p w14:paraId="6C43E525">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5.2交货时间和地点</w:t>
      </w:r>
    </w:p>
    <w:p w14:paraId="326A0356">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采购人指定地点（浦口区星甸街道）</w:t>
      </w:r>
    </w:p>
    <w:p w14:paraId="445B640B">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服务期：365天</w:t>
      </w:r>
    </w:p>
    <w:p w14:paraId="67C2E6E2">
      <w:pPr>
        <w:ind w:firstLine="480"/>
        <w:jc w:val="left"/>
        <w:rPr>
          <w:rFonts w:hint="eastAsia" w:ascii="仿宋" w:hAnsi="仿宋" w:eastAsia="仿宋" w:cs="仿宋"/>
          <w:color w:val="auto"/>
          <w:sz w:val="24"/>
          <w:szCs w:val="24"/>
          <w:highlight w:val="none"/>
          <w:lang w:val="en-US" w:eastAsia="zh-CN"/>
        </w:rPr>
      </w:pPr>
    </w:p>
    <w:p w14:paraId="7BE6ED14">
      <w:pPr>
        <w:pStyle w:val="2"/>
        <w:widowControl w:val="0"/>
        <w:numPr>
          <w:ilvl w:val="0"/>
          <w:numId w:val="0"/>
        </w:numPr>
        <w:ind w:firstLine="480" w:firstLineChars="200"/>
        <w:contextualSpacing/>
        <w:jc w:val="both"/>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t>六、中标单位在中标公示期满确定中标资格后3个工作日内，须向采购单位缴纳中标价款的5%作为本项目的履约保证金，项目竣工验收合格后，采购单位退还履约保证金。若中标单位未按时交纳履约保证金，视为自动放弃中标资格。中标单位凭中标通知书、采购单位财务部门出具的履约保证金收款证明与实施单位签订施工合同。</w:t>
      </w:r>
    </w:p>
    <w:p w14:paraId="46AD8D64">
      <w:pPr>
        <w:rPr>
          <w:rFonts w:hint="eastAsia" w:ascii="黑体" w:hAnsi="黑体" w:eastAsia="黑体" w:cs="黑体"/>
          <w:color w:val="auto"/>
          <w:highlight w:val="none"/>
        </w:rPr>
      </w:pPr>
      <w:r>
        <w:rPr>
          <w:rFonts w:hint="eastAsia" w:ascii="黑体" w:hAnsi="黑体" w:eastAsia="黑体" w:cs="黑体"/>
          <w:color w:val="auto"/>
          <w:highlight w:val="none"/>
        </w:rPr>
        <w:br w:type="page"/>
      </w:r>
    </w:p>
    <w:p w14:paraId="0C726CE2">
      <w:pPr>
        <w:pStyle w:val="3"/>
        <w:jc w:val="center"/>
        <w:rPr>
          <w:rFonts w:ascii="黑体" w:hAnsi="黑体" w:eastAsia="黑体" w:cs="黑体"/>
          <w:color w:val="auto"/>
          <w:highlight w:val="none"/>
        </w:rPr>
      </w:pPr>
      <w:r>
        <w:rPr>
          <w:rFonts w:hint="eastAsia" w:ascii="黑体" w:hAnsi="黑体" w:eastAsia="黑体" w:cs="黑体"/>
          <w:color w:val="auto"/>
          <w:highlight w:val="none"/>
        </w:rPr>
        <w:t>第五章  评审方法与评审标准</w:t>
      </w:r>
      <w:bookmarkEnd w:id="189"/>
    </w:p>
    <w:p w14:paraId="15E4758A">
      <w:pPr>
        <w:spacing w:line="288" w:lineRule="auto"/>
        <w:rPr>
          <w:color w:val="auto"/>
          <w:szCs w:val="21"/>
          <w:highlight w:val="none"/>
        </w:rPr>
      </w:pPr>
    </w:p>
    <w:p w14:paraId="542D7006">
      <w:pPr>
        <w:spacing w:before="44" w:line="360" w:lineRule="auto"/>
        <w:outlineLvl w:val="1"/>
        <w:rPr>
          <w:rFonts w:hint="eastAsia" w:ascii="仿宋" w:hAnsi="仿宋" w:eastAsia="仿宋" w:cs="仿宋"/>
          <w:color w:val="auto"/>
          <w:spacing w:val="6"/>
          <w:sz w:val="24"/>
          <w:szCs w:val="24"/>
          <w:highlight w:val="none"/>
        </w:rPr>
      </w:pPr>
      <w:bookmarkStart w:id="191" w:name="_Toc1557"/>
      <w:r>
        <w:rPr>
          <w:rFonts w:hint="eastAsia" w:ascii="仿宋" w:hAnsi="仿宋" w:eastAsia="仿宋" w:cs="仿宋"/>
          <w:color w:val="auto"/>
          <w:spacing w:val="6"/>
          <w:sz w:val="24"/>
          <w:szCs w:val="24"/>
          <w:highlight w:val="none"/>
        </w:rPr>
        <w:t>一、评标方法</w:t>
      </w:r>
    </w:p>
    <w:p w14:paraId="38335D5B">
      <w:pPr>
        <w:keepNext w:val="0"/>
        <w:keepLines w:val="0"/>
        <w:pageBreakBefore w:val="0"/>
        <w:widowControl w:val="0"/>
        <w:kinsoku/>
        <w:wordWrap/>
        <w:overflowPunct/>
        <w:topLinePunct w:val="0"/>
        <w:autoSpaceDE/>
        <w:autoSpaceDN/>
        <w:bidi w:val="0"/>
        <w:adjustRightInd/>
        <w:snapToGrid/>
        <w:spacing w:before="44" w:line="360" w:lineRule="auto"/>
        <w:ind w:firstLine="504" w:firstLineChars="200"/>
        <w:textAlignment w:val="auto"/>
        <w:outlineLvl w:val="1"/>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经磋商确定最终采购需求和提交最后报价的供应商后，由磋商小组采用综合评分法对提交最后报价的供应商的响应文件和最后报价进行综合评分。</w:t>
      </w:r>
    </w:p>
    <w:p w14:paraId="151A5034">
      <w:pPr>
        <w:keepNext w:val="0"/>
        <w:keepLines w:val="0"/>
        <w:pageBreakBefore w:val="0"/>
        <w:widowControl w:val="0"/>
        <w:kinsoku/>
        <w:wordWrap/>
        <w:overflowPunct/>
        <w:topLinePunct w:val="0"/>
        <w:autoSpaceDE/>
        <w:autoSpaceDN/>
        <w:bidi w:val="0"/>
        <w:adjustRightInd/>
        <w:snapToGrid/>
        <w:spacing w:before="44" w:line="360" w:lineRule="auto"/>
        <w:ind w:firstLine="504" w:firstLineChars="200"/>
        <w:textAlignment w:val="auto"/>
        <w:outlineLvl w:val="1"/>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8147DAF">
      <w:pPr>
        <w:keepNext w:val="0"/>
        <w:keepLines w:val="0"/>
        <w:pageBreakBefore w:val="0"/>
        <w:widowControl w:val="0"/>
        <w:kinsoku/>
        <w:wordWrap/>
        <w:overflowPunct/>
        <w:topLinePunct w:val="0"/>
        <w:autoSpaceDE/>
        <w:autoSpaceDN/>
        <w:bidi w:val="0"/>
        <w:adjustRightInd/>
        <w:snapToGrid/>
        <w:spacing w:before="44" w:line="360" w:lineRule="auto"/>
        <w:ind w:firstLine="504" w:firstLineChars="200"/>
        <w:textAlignment w:val="auto"/>
        <w:outlineLvl w:val="1"/>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磋商小组根据综合评分情况，按照评审得分由高到低顺序推荐3名成交候选供应商，并编写评审报告。符合本磋商文件第二章第25.1.2条情形的，可以推荐2名成交候选供应商。评审得分相同的，按照最后报价由低到高的顺序推荐。评审得分且最后报价相同的，按照“</w:t>
      </w:r>
      <w:r>
        <w:rPr>
          <w:rFonts w:hint="eastAsia" w:ascii="仿宋" w:hAnsi="仿宋" w:eastAsia="仿宋" w:cs="仿宋"/>
          <w:color w:val="auto"/>
          <w:spacing w:val="6"/>
          <w:sz w:val="24"/>
          <w:szCs w:val="24"/>
          <w:highlight w:val="none"/>
          <w:lang w:val="en-US" w:eastAsia="zh-CN"/>
        </w:rPr>
        <w:t>三</w:t>
      </w:r>
      <w:r>
        <w:rPr>
          <w:rFonts w:hint="eastAsia" w:ascii="仿宋" w:hAnsi="仿宋" w:eastAsia="仿宋" w:cs="仿宋"/>
          <w:color w:val="auto"/>
          <w:spacing w:val="6"/>
          <w:sz w:val="24"/>
          <w:szCs w:val="24"/>
          <w:highlight w:val="none"/>
        </w:rPr>
        <w:t>、评审标准中2.1-2.</w:t>
      </w:r>
      <w:r>
        <w:rPr>
          <w:rFonts w:hint="eastAsia" w:ascii="仿宋" w:hAnsi="仿宋" w:eastAsia="仿宋" w:cs="仿宋"/>
          <w:color w:val="auto"/>
          <w:spacing w:val="6"/>
          <w:sz w:val="24"/>
          <w:szCs w:val="24"/>
          <w:highlight w:val="none"/>
          <w:lang w:val="en-US" w:eastAsia="zh-CN"/>
        </w:rPr>
        <w:t>5</w:t>
      </w:r>
      <w:r>
        <w:rPr>
          <w:rFonts w:hint="eastAsia" w:ascii="仿宋" w:hAnsi="仿宋" w:eastAsia="仿宋" w:cs="仿宋"/>
          <w:color w:val="auto"/>
          <w:spacing w:val="6"/>
          <w:sz w:val="24"/>
          <w:szCs w:val="24"/>
          <w:highlight w:val="none"/>
        </w:rPr>
        <w:t>项”得分由高到低顺序排列的顺序推荐。</w:t>
      </w:r>
    </w:p>
    <w:p w14:paraId="6584428A">
      <w:pPr>
        <w:keepNext w:val="0"/>
        <w:keepLines w:val="0"/>
        <w:pageBreakBefore w:val="0"/>
        <w:widowControl w:val="0"/>
        <w:kinsoku/>
        <w:wordWrap/>
        <w:overflowPunct/>
        <w:topLinePunct w:val="0"/>
        <w:autoSpaceDE/>
        <w:autoSpaceDN/>
        <w:bidi w:val="0"/>
        <w:adjustRightInd/>
        <w:snapToGrid/>
        <w:spacing w:before="44" w:line="360" w:lineRule="auto"/>
        <w:textAlignment w:val="auto"/>
        <w:outlineLvl w:val="1"/>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t>二、政府采购政策功能落实</w:t>
      </w:r>
    </w:p>
    <w:p w14:paraId="712D1627">
      <w:pPr>
        <w:keepNext w:val="0"/>
        <w:keepLines w:val="0"/>
        <w:pageBreakBefore w:val="0"/>
        <w:widowControl w:val="0"/>
        <w:kinsoku/>
        <w:wordWrap/>
        <w:overflowPunct/>
        <w:topLinePunct w:val="0"/>
        <w:autoSpaceDE/>
        <w:autoSpaceDN/>
        <w:bidi w:val="0"/>
        <w:adjustRightInd/>
        <w:snapToGrid/>
        <w:spacing w:before="44" w:line="360" w:lineRule="auto"/>
        <w:ind w:firstLine="504" w:firstLineChars="200"/>
        <w:textAlignment w:val="auto"/>
        <w:outlineLvl w:val="1"/>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t>本项目专门面向中小企业采购，不执行价格扣除政策，供应商应为中小微企业、监狱企业、残疾人福利性单位。</w:t>
      </w:r>
    </w:p>
    <w:p w14:paraId="515F777B">
      <w:pPr>
        <w:numPr>
          <w:ilvl w:val="0"/>
          <w:numId w:val="6"/>
        </w:numPr>
        <w:spacing w:before="44" w:line="360" w:lineRule="auto"/>
        <w:outlineLvl w:val="1"/>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评</w:t>
      </w:r>
      <w:r>
        <w:rPr>
          <w:rFonts w:hint="eastAsia" w:ascii="仿宋" w:hAnsi="仿宋" w:eastAsia="仿宋" w:cs="仿宋"/>
          <w:color w:val="auto"/>
          <w:spacing w:val="6"/>
          <w:sz w:val="24"/>
          <w:szCs w:val="24"/>
          <w:highlight w:val="none"/>
          <w:lang w:val="en-US" w:eastAsia="zh-CN"/>
        </w:rPr>
        <w:t>审</w:t>
      </w:r>
      <w:r>
        <w:rPr>
          <w:rFonts w:hint="eastAsia" w:ascii="仿宋" w:hAnsi="仿宋" w:eastAsia="仿宋" w:cs="仿宋"/>
          <w:color w:val="auto"/>
          <w:spacing w:val="6"/>
          <w:sz w:val="24"/>
          <w:szCs w:val="24"/>
          <w:highlight w:val="none"/>
        </w:rPr>
        <w:t>标准</w:t>
      </w:r>
    </w:p>
    <w:tbl>
      <w:tblPr>
        <w:tblStyle w:val="37"/>
        <w:tblW w:w="919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60"/>
        <w:gridCol w:w="1192"/>
        <w:gridCol w:w="5658"/>
        <w:gridCol w:w="740"/>
        <w:gridCol w:w="740"/>
      </w:tblGrid>
      <w:tr w14:paraId="55B65A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42" w:hRule="atLeast"/>
        </w:trPr>
        <w:tc>
          <w:tcPr>
            <w:tcW w:w="860"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2896D2A1">
            <w:pPr>
              <w:ind w:firstLine="240" w:firstLineChars="100"/>
              <w:jc w:val="both"/>
              <w:rPr>
                <w:rFonts w:hint="eastAsia" w:ascii="仿宋" w:hAnsi="仿宋" w:eastAsia="仿宋" w:cs="仿宋"/>
                <w:color w:val="auto"/>
                <w:sz w:val="24"/>
                <w:szCs w:val="24"/>
                <w:highlight w:val="none"/>
                <w:lang w:val="en-US" w:eastAsia="zh-CN"/>
              </w:rPr>
            </w:pPr>
          </w:p>
          <w:p w14:paraId="24365039">
            <w:pPr>
              <w:ind w:firstLine="240" w:firstLineChars="10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序号</w:t>
            </w:r>
          </w:p>
        </w:tc>
        <w:tc>
          <w:tcPr>
            <w:tcW w:w="1192"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top"/>
          </w:tcPr>
          <w:p w14:paraId="7829FD69">
            <w:pPr>
              <w:jc w:val="both"/>
              <w:rPr>
                <w:rFonts w:hint="eastAsia" w:ascii="仿宋" w:hAnsi="仿宋" w:eastAsia="仿宋" w:cs="仿宋"/>
                <w:color w:val="auto"/>
                <w:sz w:val="24"/>
                <w:szCs w:val="24"/>
                <w:highlight w:val="none"/>
                <w:lang w:val="en-US" w:eastAsia="zh-CN"/>
              </w:rPr>
            </w:pPr>
          </w:p>
          <w:p w14:paraId="409029E9">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评审因素</w:t>
            </w:r>
          </w:p>
        </w:tc>
        <w:tc>
          <w:tcPr>
            <w:tcW w:w="5658"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top"/>
          </w:tcPr>
          <w:p w14:paraId="6563BEB0">
            <w:pPr>
              <w:ind w:firstLine="480"/>
              <w:jc w:val="both"/>
              <w:rPr>
                <w:rFonts w:hint="eastAsia" w:ascii="仿宋" w:hAnsi="仿宋" w:eastAsia="仿宋" w:cs="仿宋"/>
                <w:color w:val="auto"/>
                <w:sz w:val="24"/>
                <w:szCs w:val="24"/>
                <w:highlight w:val="none"/>
                <w:lang w:val="en-US" w:eastAsia="zh-CN"/>
              </w:rPr>
            </w:pPr>
          </w:p>
          <w:p w14:paraId="68601283">
            <w:pPr>
              <w:ind w:firstLine="1982" w:firstLineChars="826"/>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评审细则</w:t>
            </w:r>
          </w:p>
        </w:tc>
        <w:tc>
          <w:tcPr>
            <w:tcW w:w="740"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top"/>
          </w:tcPr>
          <w:p w14:paraId="557722EF">
            <w:pPr>
              <w:jc w:val="both"/>
              <w:rPr>
                <w:rFonts w:hint="eastAsia" w:ascii="仿宋" w:hAnsi="仿宋" w:eastAsia="仿宋" w:cs="仿宋"/>
                <w:color w:val="auto"/>
                <w:sz w:val="24"/>
                <w:szCs w:val="24"/>
                <w:highlight w:val="none"/>
                <w:lang w:val="en-US" w:eastAsia="zh-CN"/>
              </w:rPr>
            </w:pPr>
          </w:p>
          <w:p w14:paraId="19ABFE61">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分值</w:t>
            </w:r>
          </w:p>
        </w:tc>
        <w:tc>
          <w:tcPr>
            <w:tcW w:w="740"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top"/>
          </w:tcPr>
          <w:p w14:paraId="3EC8CAF6">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分值类型</w:t>
            </w:r>
          </w:p>
        </w:tc>
      </w:tr>
      <w:tr w14:paraId="7F57338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9190" w:type="dxa"/>
            <w:gridSpan w:val="5"/>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4866204F">
            <w:pPr>
              <w:ind w:firstLine="240" w:firstLineChars="10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价格</w:t>
            </w:r>
          </w:p>
        </w:tc>
      </w:tr>
      <w:tr w14:paraId="0AB4516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19" w:hRule="atLeast"/>
        </w:trPr>
        <w:tc>
          <w:tcPr>
            <w:tcW w:w="86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66167222">
            <w:pPr>
              <w:ind w:firstLine="480"/>
              <w:jc w:val="both"/>
              <w:rPr>
                <w:rFonts w:hint="eastAsia" w:ascii="仿宋" w:hAnsi="仿宋" w:eastAsia="仿宋" w:cs="仿宋"/>
                <w:color w:val="auto"/>
                <w:sz w:val="24"/>
                <w:szCs w:val="24"/>
                <w:highlight w:val="none"/>
                <w:lang w:val="en-US" w:eastAsia="zh-CN"/>
              </w:rPr>
            </w:pPr>
          </w:p>
          <w:p w14:paraId="4A7AF61A">
            <w:pPr>
              <w:ind w:firstLine="240" w:firstLineChars="100"/>
              <w:jc w:val="both"/>
              <w:rPr>
                <w:rFonts w:hint="eastAsia" w:ascii="仿宋" w:hAnsi="仿宋" w:eastAsia="仿宋" w:cs="仿宋"/>
                <w:color w:val="auto"/>
                <w:sz w:val="24"/>
                <w:szCs w:val="24"/>
                <w:highlight w:val="none"/>
                <w:lang w:val="en-US" w:eastAsia="zh-CN"/>
              </w:rPr>
            </w:pPr>
          </w:p>
          <w:p w14:paraId="721DC65D">
            <w:pPr>
              <w:ind w:firstLine="240" w:firstLineChars="10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1192"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6ACA030F">
            <w:pPr>
              <w:ind w:firstLine="480"/>
              <w:jc w:val="both"/>
              <w:rPr>
                <w:rFonts w:hint="eastAsia" w:ascii="仿宋" w:hAnsi="仿宋" w:eastAsia="仿宋" w:cs="仿宋"/>
                <w:color w:val="auto"/>
                <w:sz w:val="24"/>
                <w:szCs w:val="24"/>
                <w:highlight w:val="none"/>
                <w:lang w:val="en-US" w:eastAsia="zh-CN"/>
              </w:rPr>
            </w:pPr>
          </w:p>
          <w:p w14:paraId="15F968B2">
            <w:pPr>
              <w:jc w:val="both"/>
              <w:rPr>
                <w:rFonts w:hint="eastAsia" w:ascii="仿宋" w:hAnsi="仿宋" w:eastAsia="仿宋" w:cs="仿宋"/>
                <w:color w:val="auto"/>
                <w:sz w:val="24"/>
                <w:szCs w:val="24"/>
                <w:highlight w:val="none"/>
                <w:lang w:val="en-US" w:eastAsia="zh-CN"/>
              </w:rPr>
            </w:pPr>
          </w:p>
          <w:p w14:paraId="53D12C2D">
            <w:pPr>
              <w:ind w:firstLine="240" w:firstLineChars="10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价格分</w:t>
            </w:r>
          </w:p>
        </w:tc>
        <w:tc>
          <w:tcPr>
            <w:tcW w:w="5658"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579E3BEA">
            <w:pPr>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采用低价优先法计算，即满足招标文件要求且投标价格最低的投标报价为评标基准价，其价格分为满分。其他投标人的价格分统一按照下列公式计算：投标报价得分=(评标基准价/投标报价)×20</w:t>
            </w:r>
          </w:p>
        </w:tc>
        <w:tc>
          <w:tcPr>
            <w:tcW w:w="74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285CD0AA">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22662393">
            <w:pPr>
              <w:ind w:firstLine="480"/>
              <w:jc w:val="both"/>
              <w:rPr>
                <w:rFonts w:hint="eastAsia" w:ascii="仿宋" w:hAnsi="仿宋" w:eastAsia="仿宋" w:cs="仿宋"/>
                <w:color w:val="auto"/>
                <w:sz w:val="24"/>
                <w:szCs w:val="24"/>
                <w:highlight w:val="none"/>
                <w:lang w:val="en-US" w:eastAsia="zh-CN"/>
              </w:rPr>
            </w:pPr>
          </w:p>
          <w:p w14:paraId="1EA5910F">
            <w:pPr>
              <w:ind w:firstLine="240" w:firstLineChars="10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74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25B5860">
            <w:pPr>
              <w:jc w:val="both"/>
              <w:rPr>
                <w:rFonts w:hint="eastAsia" w:ascii="仿宋" w:hAnsi="仿宋" w:eastAsia="仿宋" w:cs="仿宋"/>
                <w:color w:val="auto"/>
                <w:sz w:val="24"/>
                <w:szCs w:val="24"/>
                <w:highlight w:val="none"/>
                <w:lang w:val="en-US" w:eastAsia="zh-CN"/>
              </w:rPr>
            </w:pPr>
          </w:p>
          <w:p w14:paraId="7CD45947">
            <w:pPr>
              <w:jc w:val="both"/>
              <w:rPr>
                <w:rFonts w:hint="eastAsia" w:ascii="仿宋" w:hAnsi="仿宋" w:eastAsia="仿宋" w:cs="仿宋"/>
                <w:color w:val="auto"/>
                <w:sz w:val="24"/>
                <w:szCs w:val="24"/>
                <w:highlight w:val="none"/>
                <w:lang w:val="en-US" w:eastAsia="zh-CN"/>
              </w:rPr>
            </w:pPr>
          </w:p>
          <w:p w14:paraId="48A0963E">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自动计算</w:t>
            </w:r>
          </w:p>
        </w:tc>
      </w:tr>
      <w:tr w14:paraId="1B0EE57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9190" w:type="dxa"/>
            <w:gridSpan w:val="5"/>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351B9B32">
            <w:pPr>
              <w:ind w:firstLine="240" w:firstLineChars="10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技术</w:t>
            </w:r>
          </w:p>
        </w:tc>
      </w:tr>
      <w:tr w14:paraId="62E465D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12" w:hRule="atLeast"/>
        </w:trPr>
        <w:tc>
          <w:tcPr>
            <w:tcW w:w="86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8E192DB">
            <w:pPr>
              <w:ind w:firstLine="240" w:firstLineChars="10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1192"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4639272F">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145BDB19">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1040AF09">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67945675">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786B0735">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应急处理预案</w:t>
            </w:r>
          </w:p>
        </w:tc>
        <w:tc>
          <w:tcPr>
            <w:tcW w:w="5658"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2D50A3B1">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磋商小组根据供应商提供的应急保障措施进行评分：</w:t>
            </w:r>
          </w:p>
          <w:p w14:paraId="041E57FF">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（1）供应商制定的应急保障措施具备可行性、先进性、合理性、有针对性的得10分；</w:t>
            </w:r>
          </w:p>
          <w:p w14:paraId="6E34B717">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（2）供应商制定的应急保障措施在遭遇突发事件时，（如雨雪道路湿滑）具备可行性，满足采购需求的得 7 分；</w:t>
            </w:r>
          </w:p>
          <w:p w14:paraId="524B50C5">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（3）供应商制定的应急保障措施可行性基本具备、合理性尚可的得4 分；</w:t>
            </w:r>
          </w:p>
          <w:p w14:paraId="6C2E2674">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（4）供应商制定的应急保障措施一般的得1分；</w:t>
            </w:r>
          </w:p>
          <w:p w14:paraId="19D6A533">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（5）未提供的不得分。</w:t>
            </w:r>
          </w:p>
        </w:tc>
        <w:tc>
          <w:tcPr>
            <w:tcW w:w="740"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095D2CA8">
            <w:pPr>
              <w:ind w:firstLine="240" w:firstLineChars="10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74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50309696">
            <w:pPr>
              <w:jc w:val="both"/>
              <w:rPr>
                <w:rFonts w:hint="eastAsia" w:ascii="仿宋" w:hAnsi="仿宋" w:eastAsia="仿宋" w:cs="仿宋"/>
                <w:color w:val="auto"/>
                <w:sz w:val="24"/>
                <w:szCs w:val="24"/>
                <w:highlight w:val="none"/>
                <w:lang w:val="en-US" w:eastAsia="zh-CN"/>
              </w:rPr>
            </w:pPr>
          </w:p>
          <w:p w14:paraId="426E0853">
            <w:pPr>
              <w:jc w:val="both"/>
              <w:rPr>
                <w:rFonts w:hint="eastAsia" w:ascii="仿宋" w:hAnsi="仿宋" w:eastAsia="仿宋" w:cs="仿宋"/>
                <w:color w:val="auto"/>
                <w:sz w:val="24"/>
                <w:szCs w:val="24"/>
                <w:highlight w:val="none"/>
                <w:lang w:val="en-US" w:eastAsia="zh-CN"/>
              </w:rPr>
            </w:pPr>
          </w:p>
          <w:p w14:paraId="3B595EC5">
            <w:pPr>
              <w:jc w:val="both"/>
              <w:rPr>
                <w:rFonts w:hint="eastAsia" w:ascii="仿宋" w:hAnsi="仿宋" w:eastAsia="仿宋" w:cs="仿宋"/>
                <w:color w:val="auto"/>
                <w:sz w:val="24"/>
                <w:szCs w:val="24"/>
                <w:highlight w:val="none"/>
                <w:lang w:val="en-US" w:eastAsia="zh-CN"/>
              </w:rPr>
            </w:pPr>
          </w:p>
          <w:p w14:paraId="33FEB938">
            <w:pPr>
              <w:jc w:val="both"/>
              <w:rPr>
                <w:rFonts w:hint="eastAsia" w:ascii="仿宋" w:hAnsi="仿宋" w:eastAsia="仿宋" w:cs="仿宋"/>
                <w:color w:val="auto"/>
                <w:sz w:val="24"/>
                <w:szCs w:val="24"/>
                <w:highlight w:val="none"/>
                <w:lang w:val="en-US" w:eastAsia="zh-CN"/>
              </w:rPr>
            </w:pPr>
          </w:p>
          <w:p w14:paraId="03C0D59A">
            <w:pPr>
              <w:jc w:val="both"/>
              <w:rPr>
                <w:rFonts w:hint="eastAsia" w:ascii="仿宋" w:hAnsi="仿宋" w:eastAsia="仿宋" w:cs="仿宋"/>
                <w:color w:val="auto"/>
                <w:sz w:val="24"/>
                <w:szCs w:val="24"/>
                <w:highlight w:val="none"/>
                <w:lang w:val="en-US" w:eastAsia="zh-CN"/>
              </w:rPr>
            </w:pPr>
          </w:p>
          <w:p w14:paraId="4ED11DBF">
            <w:pPr>
              <w:jc w:val="both"/>
              <w:rPr>
                <w:rFonts w:hint="eastAsia" w:ascii="仿宋" w:hAnsi="仿宋" w:eastAsia="仿宋" w:cs="仿宋"/>
                <w:color w:val="auto"/>
                <w:sz w:val="24"/>
                <w:szCs w:val="24"/>
                <w:highlight w:val="none"/>
                <w:lang w:val="en-US" w:eastAsia="zh-CN"/>
              </w:rPr>
            </w:pPr>
          </w:p>
          <w:p w14:paraId="78FDFC4C">
            <w:pPr>
              <w:jc w:val="both"/>
              <w:rPr>
                <w:rFonts w:hint="eastAsia" w:ascii="仿宋" w:hAnsi="仿宋" w:eastAsia="仿宋" w:cs="仿宋"/>
                <w:color w:val="auto"/>
                <w:sz w:val="24"/>
                <w:szCs w:val="24"/>
                <w:highlight w:val="none"/>
                <w:lang w:val="en-US" w:eastAsia="zh-CN"/>
              </w:rPr>
            </w:pPr>
          </w:p>
          <w:p w14:paraId="6F9B77B2">
            <w:pPr>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主观分</w:t>
            </w:r>
          </w:p>
        </w:tc>
      </w:tr>
      <w:tr w14:paraId="404062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12" w:hRule="atLeast"/>
        </w:trPr>
        <w:tc>
          <w:tcPr>
            <w:tcW w:w="86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F95DBB5">
            <w:pPr>
              <w:ind w:firstLine="240" w:firstLineChars="10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w:t>
            </w:r>
          </w:p>
        </w:tc>
        <w:tc>
          <w:tcPr>
            <w:tcW w:w="1192" w:type="dxa"/>
            <w:tcBorders>
              <w:top w:val="nil"/>
              <w:left w:val="nil"/>
              <w:bottom w:val="single" w:color="000000" w:sz="8" w:space="0"/>
              <w:right w:val="single" w:color="000000" w:sz="8" w:space="0"/>
            </w:tcBorders>
            <w:shd w:val="clear" w:color="auto" w:fill="auto"/>
            <w:noWrap w:val="0"/>
            <w:tcMar>
              <w:top w:w="0" w:type="dxa"/>
              <w:left w:w="0" w:type="dxa"/>
              <w:bottom w:w="0" w:type="dxa"/>
              <w:right w:w="0" w:type="dxa"/>
            </w:tcMar>
            <w:vAlign w:val="top"/>
          </w:tcPr>
          <w:p w14:paraId="5F633D03">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3E2A64BA">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25EE837F">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13593276">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08234AC9">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56D79AD3">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56D829C7">
            <w:pPr>
              <w:jc w:val="both"/>
              <w:rPr>
                <w:rFonts w:hint="eastAsia" w:ascii="仿宋" w:hAnsi="仿宋" w:eastAsia="仿宋" w:cs="仿宋"/>
                <w:color w:val="auto"/>
                <w:sz w:val="24"/>
                <w:szCs w:val="24"/>
                <w:highlight w:val="none"/>
                <w:lang w:val="en-US" w:eastAsia="zh-CN"/>
              </w:rPr>
            </w:pPr>
          </w:p>
          <w:p w14:paraId="4031E6B4">
            <w:pPr>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养护方案</w:t>
            </w:r>
          </w:p>
        </w:tc>
        <w:tc>
          <w:tcPr>
            <w:tcW w:w="5658" w:type="dxa"/>
            <w:tcBorders>
              <w:top w:val="nil"/>
              <w:left w:val="nil"/>
              <w:bottom w:val="single" w:color="000000" w:sz="8" w:space="0"/>
              <w:right w:val="single" w:color="000000" w:sz="8" w:space="0"/>
            </w:tcBorders>
            <w:shd w:val="clear" w:color="auto" w:fill="auto"/>
            <w:noWrap w:val="0"/>
            <w:tcMar>
              <w:top w:w="0" w:type="dxa"/>
              <w:left w:w="0" w:type="dxa"/>
              <w:bottom w:w="0" w:type="dxa"/>
              <w:right w:w="0" w:type="dxa"/>
            </w:tcMar>
            <w:vAlign w:val="top"/>
          </w:tcPr>
          <w:p w14:paraId="10BCD96B">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为建立健全养护管理长效运行机制，做到“路容整洁、设施齐全、路面平整、安全舒适、行车顺畅、环境宜人”。</w:t>
            </w:r>
          </w:p>
          <w:p w14:paraId="2A52E113">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磋商小组根据供应商提供的养护方案（包括但不限于日常养护及日常维修（小修））进行评分：</w:t>
            </w:r>
          </w:p>
          <w:p w14:paraId="3F1D6CB7">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（1）养护方案条理清晰、内容明确、重点详实、方法恰当的得10分；</w:t>
            </w:r>
          </w:p>
          <w:p w14:paraId="439A35A8">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（2）养护方案条理清晰、内容明确、重点详实、方法合理的得7分；</w:t>
            </w:r>
          </w:p>
          <w:p w14:paraId="62727078">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（3）养护方案条理较清晰、内容较明确、重点较详实、方法较合理得4分；</w:t>
            </w:r>
          </w:p>
          <w:p w14:paraId="23DF2454">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（4）养护方案条理基本清晰、内容基本明确、重点基本详实、方法基本合理的得1分；</w:t>
            </w:r>
          </w:p>
          <w:p w14:paraId="55409F2C">
            <w:pPr>
              <w:jc w:val="both"/>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（5）未提供方案的，不得分。</w:t>
            </w:r>
          </w:p>
        </w:tc>
        <w:tc>
          <w:tcPr>
            <w:tcW w:w="740" w:type="dxa"/>
            <w:tcBorders>
              <w:top w:val="nil"/>
              <w:left w:val="nil"/>
              <w:bottom w:val="single" w:color="000000" w:sz="8" w:space="0"/>
              <w:right w:val="single" w:color="000000" w:sz="8" w:space="0"/>
            </w:tcBorders>
            <w:shd w:val="clear" w:color="auto" w:fill="auto"/>
            <w:noWrap w:val="0"/>
            <w:tcMar>
              <w:top w:w="0" w:type="dxa"/>
              <w:left w:w="0" w:type="dxa"/>
              <w:bottom w:w="0" w:type="dxa"/>
              <w:right w:w="0" w:type="dxa"/>
            </w:tcMar>
            <w:vAlign w:val="center"/>
          </w:tcPr>
          <w:p w14:paraId="1BE53113">
            <w:pPr>
              <w:ind w:firstLine="240" w:firstLineChars="100"/>
              <w:jc w:val="both"/>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10</w:t>
            </w:r>
          </w:p>
        </w:tc>
        <w:tc>
          <w:tcPr>
            <w:tcW w:w="74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04AD20AF">
            <w:pPr>
              <w:jc w:val="both"/>
              <w:rPr>
                <w:rFonts w:hint="eastAsia" w:ascii="仿宋" w:hAnsi="仿宋" w:eastAsia="仿宋" w:cs="仿宋"/>
                <w:color w:val="auto"/>
                <w:sz w:val="24"/>
                <w:szCs w:val="24"/>
                <w:highlight w:val="none"/>
                <w:lang w:val="en-US" w:eastAsia="zh-CN"/>
              </w:rPr>
            </w:pPr>
          </w:p>
          <w:p w14:paraId="0A73BB02">
            <w:pPr>
              <w:jc w:val="both"/>
              <w:rPr>
                <w:rFonts w:hint="eastAsia" w:ascii="仿宋" w:hAnsi="仿宋" w:eastAsia="仿宋" w:cs="仿宋"/>
                <w:color w:val="auto"/>
                <w:sz w:val="24"/>
                <w:szCs w:val="24"/>
                <w:highlight w:val="none"/>
                <w:lang w:val="en-US" w:eastAsia="zh-CN"/>
              </w:rPr>
            </w:pPr>
          </w:p>
          <w:p w14:paraId="6510E12B">
            <w:pPr>
              <w:jc w:val="both"/>
              <w:rPr>
                <w:rFonts w:hint="eastAsia" w:ascii="仿宋" w:hAnsi="仿宋" w:eastAsia="仿宋" w:cs="仿宋"/>
                <w:color w:val="auto"/>
                <w:sz w:val="24"/>
                <w:szCs w:val="24"/>
                <w:highlight w:val="none"/>
                <w:lang w:val="en-US" w:eastAsia="zh-CN"/>
              </w:rPr>
            </w:pPr>
          </w:p>
          <w:p w14:paraId="4B6A4D72">
            <w:pPr>
              <w:jc w:val="both"/>
              <w:rPr>
                <w:rFonts w:hint="eastAsia" w:ascii="仿宋" w:hAnsi="仿宋" w:eastAsia="仿宋" w:cs="仿宋"/>
                <w:color w:val="auto"/>
                <w:sz w:val="24"/>
                <w:szCs w:val="24"/>
                <w:highlight w:val="none"/>
                <w:lang w:val="en-US" w:eastAsia="zh-CN"/>
              </w:rPr>
            </w:pPr>
          </w:p>
          <w:p w14:paraId="56EF42FB">
            <w:pPr>
              <w:jc w:val="both"/>
              <w:rPr>
                <w:rFonts w:hint="eastAsia" w:ascii="仿宋" w:hAnsi="仿宋" w:eastAsia="仿宋" w:cs="仿宋"/>
                <w:color w:val="auto"/>
                <w:sz w:val="24"/>
                <w:szCs w:val="24"/>
                <w:highlight w:val="none"/>
                <w:lang w:val="en-US" w:eastAsia="zh-CN"/>
              </w:rPr>
            </w:pPr>
          </w:p>
          <w:p w14:paraId="242C1B32">
            <w:pPr>
              <w:jc w:val="both"/>
              <w:rPr>
                <w:rFonts w:hint="eastAsia" w:ascii="仿宋" w:hAnsi="仿宋" w:eastAsia="仿宋" w:cs="仿宋"/>
                <w:color w:val="auto"/>
                <w:sz w:val="24"/>
                <w:szCs w:val="24"/>
                <w:highlight w:val="none"/>
                <w:lang w:val="en-US" w:eastAsia="zh-CN"/>
              </w:rPr>
            </w:pPr>
          </w:p>
          <w:p w14:paraId="642C9113">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主观分</w:t>
            </w:r>
          </w:p>
        </w:tc>
      </w:tr>
      <w:tr w14:paraId="2BDC938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08" w:hRule="atLeast"/>
        </w:trPr>
        <w:tc>
          <w:tcPr>
            <w:tcW w:w="86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AE289A3">
            <w:pPr>
              <w:ind w:firstLine="240" w:firstLineChars="10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2.3</w:t>
            </w:r>
          </w:p>
        </w:tc>
        <w:tc>
          <w:tcPr>
            <w:tcW w:w="1192"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6CF0F872">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0EF4626D">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354122B0">
            <w:pPr>
              <w:jc w:val="both"/>
              <w:rPr>
                <w:rFonts w:hint="eastAsia" w:ascii="仿宋" w:hAnsi="仿宋" w:eastAsia="仿宋" w:cs="仿宋"/>
                <w:color w:val="auto"/>
                <w:sz w:val="24"/>
                <w:szCs w:val="24"/>
                <w:highlight w:val="none"/>
                <w:lang w:val="en-US" w:eastAsia="zh-CN"/>
              </w:rPr>
            </w:pPr>
          </w:p>
          <w:p w14:paraId="0B02742F">
            <w:pPr>
              <w:jc w:val="both"/>
              <w:rPr>
                <w:rFonts w:hint="eastAsia" w:ascii="仿宋" w:hAnsi="仿宋" w:eastAsia="仿宋" w:cs="仿宋"/>
                <w:color w:val="auto"/>
                <w:sz w:val="24"/>
                <w:szCs w:val="24"/>
                <w:highlight w:val="none"/>
                <w:lang w:val="en-US" w:eastAsia="zh-CN"/>
              </w:rPr>
            </w:pPr>
          </w:p>
          <w:p w14:paraId="183C3D09">
            <w:pPr>
              <w:jc w:val="both"/>
              <w:rPr>
                <w:rFonts w:hint="eastAsia" w:ascii="仿宋" w:hAnsi="仿宋" w:eastAsia="仿宋" w:cs="仿宋"/>
                <w:color w:val="auto"/>
                <w:sz w:val="24"/>
                <w:szCs w:val="24"/>
                <w:highlight w:val="none"/>
                <w:lang w:val="en-US" w:eastAsia="zh-CN"/>
              </w:rPr>
            </w:pPr>
          </w:p>
          <w:p w14:paraId="7372A216">
            <w:pPr>
              <w:jc w:val="both"/>
              <w:rPr>
                <w:rFonts w:hint="eastAsia" w:ascii="仿宋" w:hAnsi="仿宋" w:eastAsia="仿宋" w:cs="仿宋"/>
                <w:color w:val="auto"/>
                <w:sz w:val="24"/>
                <w:szCs w:val="24"/>
                <w:highlight w:val="none"/>
                <w:lang w:val="en-US" w:eastAsia="zh-CN"/>
              </w:rPr>
            </w:pPr>
          </w:p>
          <w:p w14:paraId="27C2A207">
            <w:pPr>
              <w:jc w:val="both"/>
              <w:rPr>
                <w:rFonts w:hint="eastAsia" w:ascii="仿宋" w:hAnsi="仿宋" w:eastAsia="仿宋" w:cs="仿宋"/>
                <w:color w:val="auto"/>
                <w:sz w:val="24"/>
                <w:szCs w:val="24"/>
                <w:highlight w:val="none"/>
                <w:lang w:val="en-US" w:eastAsia="zh-CN"/>
              </w:rPr>
            </w:pPr>
          </w:p>
          <w:p w14:paraId="41A0B6B3">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日常保养</w:t>
            </w:r>
          </w:p>
        </w:tc>
        <w:tc>
          <w:tcPr>
            <w:tcW w:w="5658"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47D1A867">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日常保养包括路面保洁、路肩边坡保洁、桥涵保洁、安保设施保洁等日常养护管理工作以及绿化养护管理工作。</w:t>
            </w:r>
          </w:p>
          <w:p w14:paraId="2E7E3F8B">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磋商小组根据供应商提供的日常保养方案（包括但不限于道路、桥梁、雨水管道及相关附属设施的日常保养）进行评分：</w:t>
            </w:r>
          </w:p>
          <w:p w14:paraId="7989371A">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（1）日常保养制度完善、合理细致，执行力透彻的，得 10分；</w:t>
            </w:r>
          </w:p>
          <w:p w14:paraId="2A51757C">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（2）日常保养制度完善、合理、细致，具备可操作性，得7分；</w:t>
            </w:r>
          </w:p>
          <w:p w14:paraId="0EDD0A44">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（3）日常保养制度较完善、合理，执行力较强的，得4分；</w:t>
            </w:r>
          </w:p>
          <w:p w14:paraId="794A6E23">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（4）日常保养制度欠完善，合理性及可操作性一般的，得1分；</w:t>
            </w:r>
          </w:p>
          <w:p w14:paraId="1BA1126C">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（5）未提供规章制度的，不得分。</w:t>
            </w:r>
          </w:p>
        </w:tc>
        <w:tc>
          <w:tcPr>
            <w:tcW w:w="740"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45D56347">
            <w:pPr>
              <w:ind w:firstLine="240" w:firstLineChars="10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74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2B8D0E78">
            <w:pPr>
              <w:jc w:val="both"/>
              <w:rPr>
                <w:rFonts w:hint="eastAsia" w:ascii="仿宋" w:hAnsi="仿宋" w:eastAsia="仿宋" w:cs="仿宋"/>
                <w:color w:val="auto"/>
                <w:sz w:val="24"/>
                <w:szCs w:val="24"/>
                <w:highlight w:val="none"/>
                <w:lang w:val="en-US" w:eastAsia="zh-CN"/>
              </w:rPr>
            </w:pPr>
          </w:p>
          <w:p w14:paraId="198153E5">
            <w:pPr>
              <w:jc w:val="both"/>
              <w:rPr>
                <w:rFonts w:hint="eastAsia" w:ascii="仿宋" w:hAnsi="仿宋" w:eastAsia="仿宋" w:cs="仿宋"/>
                <w:color w:val="auto"/>
                <w:sz w:val="24"/>
                <w:szCs w:val="24"/>
                <w:highlight w:val="none"/>
                <w:lang w:val="en-US" w:eastAsia="zh-CN"/>
              </w:rPr>
            </w:pPr>
          </w:p>
          <w:p w14:paraId="2866A46E">
            <w:pPr>
              <w:jc w:val="both"/>
              <w:rPr>
                <w:rFonts w:hint="eastAsia" w:ascii="仿宋" w:hAnsi="仿宋" w:eastAsia="仿宋" w:cs="仿宋"/>
                <w:color w:val="auto"/>
                <w:sz w:val="24"/>
                <w:szCs w:val="24"/>
                <w:highlight w:val="none"/>
                <w:lang w:val="en-US" w:eastAsia="zh-CN"/>
              </w:rPr>
            </w:pPr>
          </w:p>
          <w:p w14:paraId="5C0073E2">
            <w:pPr>
              <w:jc w:val="both"/>
              <w:rPr>
                <w:rFonts w:hint="eastAsia" w:ascii="仿宋" w:hAnsi="仿宋" w:eastAsia="仿宋" w:cs="仿宋"/>
                <w:color w:val="auto"/>
                <w:sz w:val="24"/>
                <w:szCs w:val="24"/>
                <w:highlight w:val="none"/>
                <w:lang w:val="en-US" w:eastAsia="zh-CN"/>
              </w:rPr>
            </w:pPr>
          </w:p>
          <w:p w14:paraId="1ED17C14">
            <w:pPr>
              <w:jc w:val="both"/>
              <w:rPr>
                <w:rFonts w:hint="eastAsia" w:ascii="仿宋" w:hAnsi="仿宋" w:eastAsia="仿宋" w:cs="仿宋"/>
                <w:color w:val="auto"/>
                <w:sz w:val="24"/>
                <w:szCs w:val="24"/>
                <w:highlight w:val="none"/>
                <w:lang w:val="en-US" w:eastAsia="zh-CN"/>
              </w:rPr>
            </w:pPr>
          </w:p>
          <w:p w14:paraId="6F3BE1D6">
            <w:pPr>
              <w:jc w:val="both"/>
              <w:rPr>
                <w:rFonts w:hint="eastAsia" w:ascii="仿宋" w:hAnsi="仿宋" w:eastAsia="仿宋" w:cs="仿宋"/>
                <w:color w:val="auto"/>
                <w:sz w:val="24"/>
                <w:szCs w:val="24"/>
                <w:highlight w:val="none"/>
                <w:lang w:val="en-US" w:eastAsia="zh-CN"/>
              </w:rPr>
            </w:pPr>
          </w:p>
          <w:p w14:paraId="0E0C3D4E">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主观分</w:t>
            </w:r>
          </w:p>
        </w:tc>
      </w:tr>
      <w:tr w14:paraId="592C6C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84" w:hRule="atLeast"/>
        </w:trPr>
        <w:tc>
          <w:tcPr>
            <w:tcW w:w="86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57A560F">
            <w:pPr>
              <w:ind w:firstLine="240" w:firstLineChars="10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w:t>
            </w:r>
          </w:p>
        </w:tc>
        <w:tc>
          <w:tcPr>
            <w:tcW w:w="1192"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05A491C9">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46F1BB7A">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618AD366">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754E1A8B">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服务质量保障</w:t>
            </w:r>
          </w:p>
        </w:tc>
        <w:tc>
          <w:tcPr>
            <w:tcW w:w="5658"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132D77C4">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根据供应商针对本项目的服务质量保障方案（包括但不限于：具体的服务承诺以及保障方案能否保障项目顺利实施等方面）进行综合评分：</w:t>
            </w:r>
          </w:p>
          <w:p w14:paraId="3F53D25A">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（1）保障方案合理、完善且可行性强的得 9分；</w:t>
            </w:r>
          </w:p>
          <w:p w14:paraId="313BA4B7">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（2）保障方案较合理完善、基本可行得得 6分；</w:t>
            </w:r>
          </w:p>
          <w:p w14:paraId="77153E5B">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（3）保障方案一般、可行性一般的得 3分；</w:t>
            </w:r>
          </w:p>
          <w:p w14:paraId="206F676C">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（4）保障方案欠缺，不能满足采购人需求的得1 分；(5）未提供者不得分。</w:t>
            </w:r>
          </w:p>
        </w:tc>
        <w:tc>
          <w:tcPr>
            <w:tcW w:w="740"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79D03E91">
            <w:pPr>
              <w:ind w:firstLine="240" w:firstLineChars="10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74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0562D3EF">
            <w:pPr>
              <w:jc w:val="both"/>
              <w:rPr>
                <w:rFonts w:hint="eastAsia" w:ascii="仿宋" w:hAnsi="仿宋" w:eastAsia="仿宋" w:cs="仿宋"/>
                <w:color w:val="auto"/>
                <w:sz w:val="24"/>
                <w:szCs w:val="24"/>
                <w:highlight w:val="none"/>
                <w:lang w:val="en-US" w:eastAsia="zh-CN"/>
              </w:rPr>
            </w:pPr>
          </w:p>
          <w:p w14:paraId="6A920A6F">
            <w:pPr>
              <w:jc w:val="both"/>
              <w:rPr>
                <w:rFonts w:hint="eastAsia" w:ascii="仿宋" w:hAnsi="仿宋" w:eastAsia="仿宋" w:cs="仿宋"/>
                <w:color w:val="auto"/>
                <w:sz w:val="24"/>
                <w:szCs w:val="24"/>
                <w:highlight w:val="none"/>
                <w:lang w:val="en-US" w:eastAsia="zh-CN"/>
              </w:rPr>
            </w:pPr>
          </w:p>
          <w:p w14:paraId="59A7A1DB">
            <w:pPr>
              <w:jc w:val="both"/>
              <w:rPr>
                <w:rFonts w:hint="eastAsia" w:ascii="仿宋" w:hAnsi="仿宋" w:eastAsia="仿宋" w:cs="仿宋"/>
                <w:color w:val="auto"/>
                <w:sz w:val="24"/>
                <w:szCs w:val="24"/>
                <w:highlight w:val="none"/>
                <w:lang w:val="en-US" w:eastAsia="zh-CN"/>
              </w:rPr>
            </w:pPr>
          </w:p>
          <w:p w14:paraId="6B1F6D99">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主观分</w:t>
            </w:r>
          </w:p>
        </w:tc>
      </w:tr>
      <w:tr w14:paraId="7AF88FB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84" w:hRule="atLeast"/>
        </w:trPr>
        <w:tc>
          <w:tcPr>
            <w:tcW w:w="86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2C32256">
            <w:pPr>
              <w:ind w:firstLine="240" w:firstLineChars="10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w:t>
            </w:r>
          </w:p>
        </w:tc>
        <w:tc>
          <w:tcPr>
            <w:tcW w:w="1192"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461701E6">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011F3BA7">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08744101">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15556AA9">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5B9A0373">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4A9178DF">
            <w:pPr>
              <w:jc w:val="both"/>
              <w:rPr>
                <w:rFonts w:hint="eastAsia" w:ascii="仿宋" w:hAnsi="仿宋" w:eastAsia="仿宋" w:cs="仿宋"/>
                <w:color w:val="auto"/>
                <w:sz w:val="24"/>
                <w:szCs w:val="24"/>
                <w:highlight w:val="none"/>
                <w:lang w:val="en-US" w:eastAsia="zh-CN"/>
              </w:rPr>
            </w:pPr>
          </w:p>
          <w:p w14:paraId="6EC098E5">
            <w:pPr>
              <w:jc w:val="both"/>
              <w:rPr>
                <w:rFonts w:hint="eastAsia" w:ascii="仿宋" w:hAnsi="仿宋" w:eastAsia="仿宋" w:cs="仿宋"/>
                <w:color w:val="auto"/>
                <w:sz w:val="24"/>
                <w:szCs w:val="24"/>
                <w:highlight w:val="none"/>
                <w:lang w:val="en-US" w:eastAsia="zh-CN"/>
              </w:rPr>
            </w:pPr>
          </w:p>
          <w:p w14:paraId="1087DA01">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安全生产措施</w:t>
            </w:r>
          </w:p>
        </w:tc>
        <w:tc>
          <w:tcPr>
            <w:tcW w:w="5658"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670F8B2C">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磋商小组根据供应商提供的安全生产及风险防控措施、环保及文明作业措施等进行评分：</w:t>
            </w:r>
          </w:p>
          <w:p w14:paraId="5C9FC1F0">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（1）能够根据本项目的特点，清楚、详尽地描述养护、安全生产及风险防控措施和环保及文明作业措施，考虑周全，表述完整，切实可行的得9分；</w:t>
            </w:r>
          </w:p>
          <w:p w14:paraId="63A7A0D4">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（2）对养护、安全生产及风险防控措施和环保及文明作业措施内容表述较清楚，考虑较周全，表述较完整可行的得6分；</w:t>
            </w:r>
          </w:p>
          <w:p w14:paraId="62E695DF">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（3）对养护、安全生产及风险防控措施和环保及文明作业措施内容表述基本清楚，考虑基本周全，表述基本完整可行的得3分；</w:t>
            </w:r>
          </w:p>
          <w:p w14:paraId="17A06E6A">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（4）对养护、安全生产及风险防控措施和环保及文明作业措施内容表述不清或内容有缺项（如每项内容仅有概括性表述，未写明实际的措施等）的得1分。</w:t>
            </w:r>
          </w:p>
          <w:p w14:paraId="19ADC017">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（5）未提供安全生产措施的不得分。</w:t>
            </w:r>
          </w:p>
        </w:tc>
        <w:tc>
          <w:tcPr>
            <w:tcW w:w="740"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6B8A0037">
            <w:pPr>
              <w:ind w:firstLine="240" w:firstLineChars="10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74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7D8AC6CE">
            <w:pPr>
              <w:jc w:val="both"/>
              <w:rPr>
                <w:rFonts w:hint="eastAsia" w:ascii="仿宋" w:hAnsi="仿宋" w:eastAsia="仿宋" w:cs="仿宋"/>
                <w:color w:val="auto"/>
                <w:sz w:val="24"/>
                <w:szCs w:val="24"/>
                <w:highlight w:val="none"/>
                <w:lang w:val="en-US" w:eastAsia="zh-CN"/>
              </w:rPr>
            </w:pPr>
          </w:p>
          <w:p w14:paraId="0AFB3D4B">
            <w:pPr>
              <w:jc w:val="both"/>
              <w:rPr>
                <w:rFonts w:hint="eastAsia" w:ascii="仿宋" w:hAnsi="仿宋" w:eastAsia="仿宋" w:cs="仿宋"/>
                <w:color w:val="auto"/>
                <w:sz w:val="24"/>
                <w:szCs w:val="24"/>
                <w:highlight w:val="none"/>
                <w:lang w:val="en-US" w:eastAsia="zh-CN"/>
              </w:rPr>
            </w:pPr>
          </w:p>
          <w:p w14:paraId="5B3C9B24">
            <w:pPr>
              <w:jc w:val="both"/>
              <w:rPr>
                <w:rFonts w:hint="eastAsia" w:ascii="仿宋" w:hAnsi="仿宋" w:eastAsia="仿宋" w:cs="仿宋"/>
                <w:color w:val="auto"/>
                <w:sz w:val="24"/>
                <w:szCs w:val="24"/>
                <w:highlight w:val="none"/>
                <w:lang w:val="en-US" w:eastAsia="zh-CN"/>
              </w:rPr>
            </w:pPr>
          </w:p>
          <w:p w14:paraId="4C04206E">
            <w:pPr>
              <w:jc w:val="both"/>
              <w:rPr>
                <w:rFonts w:hint="eastAsia" w:ascii="仿宋" w:hAnsi="仿宋" w:eastAsia="仿宋" w:cs="仿宋"/>
                <w:color w:val="auto"/>
                <w:sz w:val="24"/>
                <w:szCs w:val="24"/>
                <w:highlight w:val="none"/>
                <w:lang w:val="en-US" w:eastAsia="zh-CN"/>
              </w:rPr>
            </w:pPr>
          </w:p>
          <w:p w14:paraId="63AF95FD">
            <w:pPr>
              <w:jc w:val="both"/>
              <w:rPr>
                <w:rFonts w:hint="eastAsia" w:ascii="仿宋" w:hAnsi="仿宋" w:eastAsia="仿宋" w:cs="仿宋"/>
                <w:color w:val="auto"/>
                <w:sz w:val="24"/>
                <w:szCs w:val="24"/>
                <w:highlight w:val="none"/>
                <w:lang w:val="en-US" w:eastAsia="zh-CN"/>
              </w:rPr>
            </w:pPr>
          </w:p>
          <w:p w14:paraId="59052BF5">
            <w:pPr>
              <w:jc w:val="both"/>
              <w:rPr>
                <w:rFonts w:hint="eastAsia" w:ascii="仿宋" w:hAnsi="仿宋" w:eastAsia="仿宋" w:cs="仿宋"/>
                <w:color w:val="auto"/>
                <w:sz w:val="24"/>
                <w:szCs w:val="24"/>
                <w:highlight w:val="none"/>
                <w:lang w:val="en-US" w:eastAsia="zh-CN"/>
              </w:rPr>
            </w:pPr>
          </w:p>
          <w:p w14:paraId="75EEACDA">
            <w:pPr>
              <w:jc w:val="both"/>
              <w:rPr>
                <w:rFonts w:hint="eastAsia" w:ascii="仿宋" w:hAnsi="仿宋" w:eastAsia="仿宋" w:cs="仿宋"/>
                <w:color w:val="auto"/>
                <w:sz w:val="24"/>
                <w:szCs w:val="24"/>
                <w:highlight w:val="none"/>
                <w:lang w:val="en-US" w:eastAsia="zh-CN"/>
              </w:rPr>
            </w:pPr>
          </w:p>
          <w:p w14:paraId="3AA2F7FB">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主观分</w:t>
            </w:r>
          </w:p>
        </w:tc>
      </w:tr>
      <w:tr w14:paraId="2EAA1F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40" w:hRule="atLeast"/>
        </w:trPr>
        <w:tc>
          <w:tcPr>
            <w:tcW w:w="9190" w:type="dxa"/>
            <w:gridSpan w:val="5"/>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64D09933">
            <w:pPr>
              <w:ind w:firstLine="480"/>
              <w:jc w:val="both"/>
              <w:rPr>
                <w:rFonts w:hint="eastAsia" w:ascii="仿宋" w:hAnsi="仿宋" w:eastAsia="仿宋" w:cs="仿宋"/>
                <w:color w:val="auto"/>
                <w:sz w:val="24"/>
                <w:szCs w:val="24"/>
                <w:highlight w:val="none"/>
                <w:lang w:val="en-US" w:eastAsia="zh-CN"/>
              </w:rPr>
            </w:pPr>
          </w:p>
          <w:p w14:paraId="59CF2475">
            <w:pPr>
              <w:ind w:firstLine="240" w:firstLineChars="10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履约能力</w:t>
            </w:r>
          </w:p>
        </w:tc>
      </w:tr>
      <w:tr w14:paraId="49B41C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40" w:hRule="atLeast"/>
        </w:trPr>
        <w:tc>
          <w:tcPr>
            <w:tcW w:w="86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6E776A1A">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6491500C">
            <w:pPr>
              <w:ind w:firstLine="240" w:firstLineChars="10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w:t>
            </w:r>
          </w:p>
        </w:tc>
        <w:tc>
          <w:tcPr>
            <w:tcW w:w="1192"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369F5B4">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08A8E72E">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机械设备</w:t>
            </w:r>
          </w:p>
        </w:tc>
        <w:tc>
          <w:tcPr>
            <w:tcW w:w="5658"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5FF7E04">
            <w:pPr>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供应商配备货车、洒水车、挖掘机的，每项得5分，最高得15 分。（须提供能反应标的物的发票复印件并加盖公章）</w:t>
            </w:r>
          </w:p>
        </w:tc>
        <w:tc>
          <w:tcPr>
            <w:tcW w:w="74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21F08C79">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3440C0C7">
            <w:pPr>
              <w:ind w:firstLine="240" w:firstLineChars="10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74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167651D">
            <w:pPr>
              <w:jc w:val="both"/>
              <w:rPr>
                <w:rFonts w:hint="eastAsia" w:ascii="仿宋" w:hAnsi="仿宋" w:eastAsia="仿宋" w:cs="仿宋"/>
                <w:color w:val="auto"/>
                <w:sz w:val="24"/>
                <w:szCs w:val="24"/>
                <w:highlight w:val="none"/>
                <w:lang w:val="en-US" w:eastAsia="zh-CN"/>
              </w:rPr>
            </w:pPr>
          </w:p>
          <w:p w14:paraId="50271B85">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客观分</w:t>
            </w:r>
          </w:p>
        </w:tc>
      </w:tr>
      <w:tr w14:paraId="3F48B7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40" w:hRule="atLeast"/>
        </w:trPr>
        <w:tc>
          <w:tcPr>
            <w:tcW w:w="86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E90BABB">
            <w:pPr>
              <w:ind w:firstLine="240" w:firstLineChars="10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w:t>
            </w:r>
          </w:p>
        </w:tc>
        <w:tc>
          <w:tcPr>
            <w:tcW w:w="1192"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2B9589D8">
            <w:pPr>
              <w:jc w:val="both"/>
              <w:rPr>
                <w:rFonts w:hint="eastAsia" w:ascii="仿宋" w:hAnsi="仿宋" w:eastAsia="仿宋" w:cs="仿宋"/>
                <w:color w:val="auto"/>
                <w:sz w:val="24"/>
                <w:szCs w:val="24"/>
                <w:highlight w:val="none"/>
                <w:lang w:val="en-US" w:eastAsia="zh-CN"/>
              </w:rPr>
            </w:pPr>
          </w:p>
          <w:p w14:paraId="2680A60C">
            <w:pPr>
              <w:jc w:val="both"/>
              <w:rPr>
                <w:rFonts w:hint="eastAsia" w:ascii="仿宋" w:hAnsi="仿宋" w:eastAsia="仿宋" w:cs="仿宋"/>
                <w:color w:val="auto"/>
                <w:sz w:val="24"/>
                <w:szCs w:val="24"/>
                <w:highlight w:val="none"/>
                <w:lang w:val="en-US" w:eastAsia="zh-CN"/>
              </w:rPr>
            </w:pPr>
          </w:p>
          <w:p w14:paraId="04121135">
            <w:pPr>
              <w:jc w:val="both"/>
              <w:rPr>
                <w:rFonts w:hint="eastAsia" w:ascii="仿宋" w:hAnsi="仿宋" w:eastAsia="仿宋" w:cs="仿宋"/>
                <w:color w:val="auto"/>
                <w:sz w:val="24"/>
                <w:szCs w:val="24"/>
                <w:highlight w:val="none"/>
                <w:lang w:val="en-US" w:eastAsia="zh-CN"/>
              </w:rPr>
            </w:pPr>
          </w:p>
          <w:p w14:paraId="12ACBE8B">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项目组成员</w:t>
            </w:r>
          </w:p>
          <w:p w14:paraId="28DA8568">
            <w:pPr>
              <w:jc w:val="both"/>
              <w:rPr>
                <w:rFonts w:hint="eastAsia" w:ascii="仿宋" w:hAnsi="仿宋" w:eastAsia="仿宋" w:cs="仿宋"/>
                <w:color w:val="auto"/>
                <w:sz w:val="24"/>
                <w:szCs w:val="24"/>
                <w:highlight w:val="none"/>
                <w:lang w:val="en-US" w:eastAsia="zh-CN"/>
              </w:rPr>
            </w:pPr>
          </w:p>
        </w:tc>
        <w:tc>
          <w:tcPr>
            <w:tcW w:w="5658"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2F1A218C">
            <w:pPr>
              <w:numPr>
                <w:ilvl w:val="0"/>
                <w:numId w:val="7"/>
              </w:num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项目负责人：供应商提供项目负责人具有市政公用工程二级及以上建造师注册证书的得2分；在此基础上，同时具有中级及以上职称的加2分。本项最高得4分。</w:t>
            </w:r>
          </w:p>
          <w:p w14:paraId="42F0174B">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项目组成员：提供安全员、二级及以上造价工程师各1名，以上人员均提供相关证明材料的得4分，每缺1个扣2分。（提供相关证书的复印件加盖公章，并提供2026年02月至 2026年07月任意一个月供应商为其缴纳的养老保险缴费证明材料，加盖社保中心章或社保中心参保缴费证明电子专用章，安全员须提供有效安全生产考核合格证C类证书复印件并加盖公章，二级及以上造价工程师须提供有效注册证书复印件并加盖公章，以上人员证书及岗位不得由同一人兼任，一人多证不重复得分）。</w:t>
            </w:r>
          </w:p>
        </w:tc>
        <w:tc>
          <w:tcPr>
            <w:tcW w:w="74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2D13BE93">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2BE90B04">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3CF52B82">
            <w:pPr>
              <w:ind w:firstLine="240" w:firstLineChars="100"/>
              <w:jc w:val="both"/>
              <w:rPr>
                <w:rFonts w:hint="eastAsia" w:ascii="仿宋" w:hAnsi="仿宋" w:eastAsia="仿宋" w:cs="仿宋"/>
                <w:color w:val="auto"/>
                <w:sz w:val="24"/>
                <w:szCs w:val="24"/>
                <w:highlight w:val="none"/>
                <w:lang w:val="en-US" w:eastAsia="zh-CN"/>
              </w:rPr>
            </w:pPr>
          </w:p>
          <w:p w14:paraId="642C88E5">
            <w:pPr>
              <w:ind w:firstLine="240" w:firstLineChars="100"/>
              <w:jc w:val="both"/>
              <w:rPr>
                <w:rFonts w:hint="eastAsia" w:ascii="仿宋" w:hAnsi="仿宋" w:eastAsia="仿宋" w:cs="仿宋"/>
                <w:color w:val="auto"/>
                <w:sz w:val="24"/>
                <w:szCs w:val="24"/>
                <w:highlight w:val="none"/>
                <w:lang w:val="en-US" w:eastAsia="zh-CN"/>
              </w:rPr>
            </w:pPr>
          </w:p>
          <w:p w14:paraId="48CD4A78">
            <w:pPr>
              <w:ind w:firstLine="240" w:firstLineChars="10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p w14:paraId="43FCE0DA">
            <w:pPr>
              <w:ind w:firstLine="240" w:firstLineChars="100"/>
              <w:jc w:val="both"/>
              <w:rPr>
                <w:rFonts w:hint="eastAsia" w:ascii="仿宋" w:hAnsi="仿宋" w:eastAsia="仿宋" w:cs="仿宋"/>
                <w:color w:val="auto"/>
                <w:sz w:val="24"/>
                <w:szCs w:val="24"/>
                <w:highlight w:val="none"/>
                <w:lang w:val="en-US" w:eastAsia="zh-CN"/>
              </w:rPr>
            </w:pPr>
          </w:p>
          <w:p w14:paraId="4594ECE3">
            <w:pPr>
              <w:ind w:firstLine="240" w:firstLineChars="100"/>
              <w:jc w:val="both"/>
              <w:rPr>
                <w:rFonts w:hint="eastAsia" w:ascii="仿宋" w:hAnsi="仿宋" w:eastAsia="仿宋" w:cs="仿宋"/>
                <w:color w:val="auto"/>
                <w:sz w:val="24"/>
                <w:szCs w:val="24"/>
                <w:highlight w:val="none"/>
                <w:lang w:val="en-US" w:eastAsia="zh-CN"/>
              </w:rPr>
            </w:pPr>
          </w:p>
        </w:tc>
        <w:tc>
          <w:tcPr>
            <w:tcW w:w="74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75D4F3FB">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24E0B169">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0664F8D3">
            <w:pPr>
              <w:jc w:val="both"/>
              <w:rPr>
                <w:rFonts w:hint="eastAsia" w:ascii="仿宋" w:hAnsi="仿宋" w:eastAsia="仿宋" w:cs="仿宋"/>
                <w:color w:val="auto"/>
                <w:sz w:val="24"/>
                <w:szCs w:val="24"/>
                <w:highlight w:val="none"/>
                <w:lang w:val="en-US" w:eastAsia="zh-CN"/>
              </w:rPr>
            </w:pPr>
          </w:p>
          <w:p w14:paraId="35FB7B75">
            <w:pPr>
              <w:jc w:val="both"/>
              <w:rPr>
                <w:rFonts w:hint="eastAsia" w:ascii="仿宋" w:hAnsi="仿宋" w:eastAsia="仿宋" w:cs="仿宋"/>
                <w:color w:val="auto"/>
                <w:sz w:val="24"/>
                <w:szCs w:val="24"/>
                <w:highlight w:val="none"/>
                <w:lang w:val="en-US" w:eastAsia="zh-CN"/>
              </w:rPr>
            </w:pPr>
          </w:p>
          <w:p w14:paraId="33FBC2EE">
            <w:pPr>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客观分</w:t>
            </w:r>
          </w:p>
          <w:p w14:paraId="3674E46A">
            <w:pPr>
              <w:jc w:val="both"/>
              <w:rPr>
                <w:rFonts w:hint="eastAsia" w:ascii="仿宋" w:hAnsi="仿宋" w:eastAsia="仿宋" w:cs="仿宋"/>
                <w:color w:val="auto"/>
                <w:sz w:val="24"/>
                <w:szCs w:val="24"/>
                <w:highlight w:val="none"/>
                <w:lang w:val="en-US" w:eastAsia="zh-CN"/>
              </w:rPr>
            </w:pPr>
          </w:p>
          <w:p w14:paraId="35F5C82D">
            <w:pPr>
              <w:jc w:val="both"/>
              <w:rPr>
                <w:rFonts w:hint="eastAsia" w:ascii="仿宋" w:hAnsi="仿宋" w:eastAsia="仿宋" w:cs="仿宋"/>
                <w:color w:val="auto"/>
                <w:sz w:val="24"/>
                <w:szCs w:val="24"/>
                <w:highlight w:val="none"/>
                <w:lang w:val="en-US" w:eastAsia="zh-CN"/>
              </w:rPr>
            </w:pPr>
          </w:p>
          <w:p w14:paraId="0DB580AA">
            <w:pPr>
              <w:jc w:val="both"/>
              <w:rPr>
                <w:rFonts w:hint="default" w:ascii="仿宋" w:hAnsi="仿宋" w:eastAsia="仿宋" w:cs="仿宋"/>
                <w:color w:val="auto"/>
                <w:sz w:val="24"/>
                <w:szCs w:val="24"/>
                <w:highlight w:val="none"/>
                <w:lang w:val="en-US" w:eastAsia="zh-CN"/>
              </w:rPr>
            </w:pPr>
          </w:p>
        </w:tc>
      </w:tr>
      <w:tr w14:paraId="67A386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0" w:hRule="atLeast"/>
        </w:trPr>
        <w:tc>
          <w:tcPr>
            <w:tcW w:w="9190" w:type="dxa"/>
            <w:gridSpan w:val="5"/>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183C0CE5">
            <w:pPr>
              <w:ind w:firstLine="480"/>
              <w:jc w:val="both"/>
              <w:rPr>
                <w:rFonts w:hint="eastAsia" w:ascii="仿宋" w:hAnsi="仿宋" w:eastAsia="仿宋" w:cs="仿宋"/>
                <w:color w:val="auto"/>
                <w:sz w:val="24"/>
                <w:szCs w:val="24"/>
                <w:highlight w:val="none"/>
                <w:lang w:val="en-US" w:eastAsia="zh-CN"/>
              </w:rPr>
            </w:pPr>
          </w:p>
          <w:p w14:paraId="4F820941">
            <w:pPr>
              <w:ind w:firstLine="240" w:firstLineChars="10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业绩</w:t>
            </w:r>
          </w:p>
        </w:tc>
      </w:tr>
      <w:tr w14:paraId="0C81D2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36" w:hRule="atLeast"/>
        </w:trPr>
        <w:tc>
          <w:tcPr>
            <w:tcW w:w="86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16F38BA0">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4C8F80FB">
            <w:pPr>
              <w:ind w:firstLine="240" w:firstLineChars="100"/>
              <w:jc w:val="both"/>
              <w:rPr>
                <w:rFonts w:hint="eastAsia" w:ascii="仿宋" w:hAnsi="仿宋" w:eastAsia="仿宋" w:cs="仿宋"/>
                <w:color w:val="auto"/>
                <w:sz w:val="24"/>
                <w:szCs w:val="24"/>
                <w:highlight w:val="none"/>
                <w:lang w:val="en-US" w:eastAsia="zh-CN"/>
              </w:rPr>
            </w:pPr>
          </w:p>
          <w:p w14:paraId="62195B39">
            <w:pPr>
              <w:ind w:firstLine="240" w:firstLineChars="10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w:t>
            </w:r>
          </w:p>
        </w:tc>
        <w:tc>
          <w:tcPr>
            <w:tcW w:w="1192"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62F6AF5A">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11EDC941">
            <w:pPr>
              <w:jc w:val="both"/>
              <w:rPr>
                <w:rFonts w:hint="eastAsia" w:ascii="仿宋" w:hAnsi="仿宋" w:eastAsia="仿宋" w:cs="仿宋"/>
                <w:color w:val="auto"/>
                <w:sz w:val="24"/>
                <w:szCs w:val="24"/>
                <w:highlight w:val="none"/>
                <w:lang w:val="en-US" w:eastAsia="zh-CN"/>
              </w:rPr>
            </w:pPr>
          </w:p>
          <w:p w14:paraId="64AA2792">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类似业绩</w:t>
            </w:r>
          </w:p>
        </w:tc>
        <w:tc>
          <w:tcPr>
            <w:tcW w:w="5658"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174A666E">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供应商提供 2023年7月1日以来完成的类似业绩，（合同内容包含道路养护，道路维修，环境整治中任意一项），每提供一个得3分，最多得9分。（提供中标通知书盖公章、合同扫描件加盖公章，中标单位在签订合同前必须提供相关原件进行核查，时间以合同签订时间为准）。</w:t>
            </w:r>
          </w:p>
        </w:tc>
        <w:tc>
          <w:tcPr>
            <w:tcW w:w="74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11365463">
            <w:pPr>
              <w:ind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79258017">
            <w:pPr>
              <w:ind w:firstLine="240" w:firstLineChars="100"/>
              <w:jc w:val="both"/>
              <w:rPr>
                <w:rFonts w:hint="eastAsia" w:ascii="仿宋" w:hAnsi="仿宋" w:eastAsia="仿宋" w:cs="仿宋"/>
                <w:color w:val="auto"/>
                <w:sz w:val="24"/>
                <w:szCs w:val="24"/>
                <w:highlight w:val="none"/>
                <w:lang w:val="en-US" w:eastAsia="zh-CN"/>
              </w:rPr>
            </w:pPr>
          </w:p>
          <w:p w14:paraId="7F528B30">
            <w:pPr>
              <w:ind w:firstLine="240" w:firstLineChars="10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74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498B30FE">
            <w:pPr>
              <w:jc w:val="both"/>
              <w:rPr>
                <w:rFonts w:hint="eastAsia" w:ascii="仿宋" w:hAnsi="仿宋" w:eastAsia="仿宋" w:cs="仿宋"/>
                <w:color w:val="auto"/>
                <w:sz w:val="24"/>
                <w:szCs w:val="24"/>
                <w:highlight w:val="none"/>
                <w:lang w:val="en-US" w:eastAsia="zh-CN"/>
              </w:rPr>
            </w:pPr>
          </w:p>
          <w:p w14:paraId="27FA4EB2">
            <w:pPr>
              <w:jc w:val="both"/>
              <w:rPr>
                <w:rFonts w:hint="eastAsia" w:ascii="仿宋" w:hAnsi="仿宋" w:eastAsia="仿宋" w:cs="仿宋"/>
                <w:color w:val="auto"/>
                <w:sz w:val="24"/>
                <w:szCs w:val="24"/>
                <w:highlight w:val="none"/>
                <w:lang w:val="en-US" w:eastAsia="zh-CN"/>
              </w:rPr>
            </w:pPr>
          </w:p>
          <w:p w14:paraId="2BB2E102">
            <w:pPr>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客观分</w:t>
            </w:r>
          </w:p>
        </w:tc>
      </w:tr>
      <w:tr w14:paraId="4967A64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74" w:hRule="atLeast"/>
        </w:trPr>
        <w:tc>
          <w:tcPr>
            <w:tcW w:w="86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8745F47">
            <w:pPr>
              <w:pBdr>
                <w:top w:val="none" w:color="000000" w:sz="0" w:space="0"/>
                <w:left w:val="none" w:color="000000" w:sz="0" w:space="0"/>
                <w:bottom w:val="none" w:color="000000" w:sz="0" w:space="0"/>
                <w:right w:val="none" w:color="000000" w:sz="0" w:space="0"/>
              </w:pBdr>
              <w:spacing w:before="0" w:after="0" w:line="83" w:lineRule="atLeast"/>
              <w:ind w:left="0" w:right="0" w:firstLine="220" w:firstLineChars="100"/>
              <w:jc w:val="both"/>
              <w:rPr>
                <w:color w:val="auto"/>
                <w:highlight w:val="none"/>
              </w:rPr>
            </w:pPr>
            <w:r>
              <w:rPr>
                <w:rFonts w:ascii="宋体" w:hAnsi="宋体" w:eastAsia="宋体" w:cs="宋体"/>
                <w:color w:val="auto"/>
                <w:sz w:val="22"/>
                <w:highlight w:val="none"/>
              </w:rPr>
              <w:t>合计</w:t>
            </w:r>
          </w:p>
        </w:tc>
        <w:tc>
          <w:tcPr>
            <w:tcW w:w="1192"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729EF1DE">
            <w:pPr>
              <w:pBdr>
                <w:top w:val="none" w:color="000000" w:sz="0" w:space="0"/>
                <w:left w:val="none" w:color="000000" w:sz="0" w:space="0"/>
                <w:bottom w:val="none" w:color="000000" w:sz="0" w:space="0"/>
                <w:right w:val="none" w:color="000000" w:sz="0" w:space="0"/>
              </w:pBdr>
              <w:spacing w:before="0" w:after="0" w:line="75" w:lineRule="atLeast"/>
              <w:ind w:left="0" w:right="0" w:firstLine="0"/>
              <w:jc w:val="both"/>
              <w:rPr>
                <w:color w:val="auto"/>
                <w:highlight w:val="none"/>
              </w:rPr>
            </w:pPr>
            <w:r>
              <w:rPr>
                <w:rFonts w:ascii="宋体" w:hAnsi="宋体" w:eastAsia="宋体" w:cs="宋体"/>
                <w:color w:val="auto"/>
                <w:sz w:val="22"/>
                <w:highlight w:val="none"/>
              </w:rPr>
              <w:t> </w:t>
            </w:r>
          </w:p>
        </w:tc>
        <w:tc>
          <w:tcPr>
            <w:tcW w:w="5658"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7E25FAF9">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宋体" w:hAnsi="宋体" w:eastAsia="宋体" w:cs="宋体"/>
                <w:color w:val="auto"/>
                <w:sz w:val="22"/>
                <w:highlight w:val="none"/>
              </w:rPr>
              <w:t> </w:t>
            </w:r>
          </w:p>
        </w:tc>
        <w:tc>
          <w:tcPr>
            <w:tcW w:w="1480" w:type="dxa"/>
            <w:gridSpan w:val="2"/>
            <w:tcBorders>
              <w:top w:val="nil"/>
              <w:left w:val="nil"/>
              <w:bottom w:val="single" w:color="000000" w:sz="8" w:space="0"/>
              <w:right w:val="single" w:color="000000" w:sz="8" w:space="0"/>
            </w:tcBorders>
            <w:noWrap w:val="0"/>
            <w:tcMar>
              <w:top w:w="0" w:type="dxa"/>
              <w:left w:w="0" w:type="dxa"/>
              <w:bottom w:w="0" w:type="dxa"/>
              <w:right w:w="0" w:type="dxa"/>
            </w:tcMar>
            <w:vAlign w:val="top"/>
          </w:tcPr>
          <w:p w14:paraId="603FFEF1">
            <w:pPr>
              <w:pBdr>
                <w:top w:val="none" w:color="000000" w:sz="0" w:space="0"/>
                <w:left w:val="none" w:color="000000" w:sz="0" w:space="0"/>
                <w:bottom w:val="none" w:color="000000" w:sz="0" w:space="0"/>
                <w:right w:val="none" w:color="000000" w:sz="0" w:space="0"/>
              </w:pBdr>
              <w:spacing w:before="253" w:after="0" w:line="54" w:lineRule="atLeast"/>
              <w:ind w:left="226" w:right="89" w:hanging="105"/>
              <w:jc w:val="both"/>
              <w:rPr>
                <w:color w:val="auto"/>
                <w:highlight w:val="none"/>
              </w:rPr>
            </w:pPr>
            <w:r>
              <w:rPr>
                <w:rFonts w:ascii="宋体" w:hAnsi="宋体" w:eastAsia="宋体" w:cs="宋体"/>
                <w:color w:val="auto"/>
                <w:spacing w:val="-5"/>
                <w:sz w:val="22"/>
                <w:highlight w:val="none"/>
              </w:rPr>
              <w:t>100</w:t>
            </w:r>
          </w:p>
        </w:tc>
      </w:tr>
    </w:tbl>
    <w:p w14:paraId="35A2FECF">
      <w:pPr>
        <w:pStyle w:val="2"/>
        <w:numPr>
          <w:ilvl w:val="0"/>
          <w:numId w:val="0"/>
        </w:numPr>
        <w:rPr>
          <w:rFonts w:hint="eastAsia"/>
          <w:color w:val="auto"/>
          <w:highlight w:val="none"/>
        </w:rPr>
      </w:pPr>
    </w:p>
    <w:bookmarkEnd w:id="187"/>
    <w:bookmarkEnd w:id="188"/>
    <w:bookmarkEnd w:id="190"/>
    <w:bookmarkEnd w:id="191"/>
    <w:p w14:paraId="5468B4F8">
      <w:pPr>
        <w:pBdr>
          <w:top w:val="none" w:color="000000" w:sz="0" w:space="0"/>
          <w:left w:val="none" w:color="000000" w:sz="0" w:space="0"/>
          <w:bottom w:val="none" w:color="000000" w:sz="0" w:space="0"/>
          <w:right w:val="none" w:color="000000" w:sz="0" w:space="0"/>
        </w:pBdr>
        <w:spacing w:before="0" w:after="0" w:line="52" w:lineRule="atLeast"/>
        <w:ind w:left="0" w:right="0" w:firstLine="0"/>
        <w:rPr>
          <w:color w:val="auto"/>
          <w:highlight w:val="none"/>
        </w:rPr>
      </w:pPr>
      <w:bookmarkStart w:id="192" w:name="_Hlt26671244"/>
      <w:bookmarkEnd w:id="192"/>
      <w:bookmarkStart w:id="193" w:name="_Hlt26955039"/>
      <w:bookmarkEnd w:id="193"/>
      <w:bookmarkStart w:id="194" w:name="_Toc49090576"/>
      <w:bookmarkStart w:id="195" w:name="_Toc120614282"/>
      <w:bookmarkStart w:id="196" w:name="_Toc26554094"/>
    </w:p>
    <w:bookmarkEnd w:id="184"/>
    <w:bookmarkEnd w:id="185"/>
    <w:bookmarkEnd w:id="194"/>
    <w:bookmarkEnd w:id="195"/>
    <w:bookmarkEnd w:id="196"/>
    <w:p w14:paraId="16AFE2A5">
      <w:pPr>
        <w:pStyle w:val="3"/>
        <w:jc w:val="center"/>
        <w:rPr>
          <w:rFonts w:hint="eastAsia" w:ascii="黑体" w:hAnsi="黑体" w:eastAsia="黑体" w:cs="黑体"/>
          <w:color w:val="auto"/>
          <w:highlight w:val="none"/>
        </w:rPr>
      </w:pPr>
      <w:r>
        <w:rPr>
          <w:rFonts w:hint="eastAsia" w:ascii="黑体" w:hAnsi="黑体" w:eastAsia="黑体" w:cs="黑体"/>
          <w:color w:val="auto"/>
          <w:highlight w:val="none"/>
        </w:rPr>
        <w:t xml:space="preserve">第六章  响应文件格式 </w:t>
      </w:r>
    </w:p>
    <w:p w14:paraId="124DB2DA">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w:t>
      </w:r>
    </w:p>
    <w:p w14:paraId="5D39007C">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1.本部分内容仅提供格式参考。</w:t>
      </w:r>
    </w:p>
    <w:p w14:paraId="25C7C839">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2.供应商应按照以下文件的要求格式、内容制作响应文件，并编制目录及页码，混乱的编排导致响应文件被误读或查找不到，后果由供应商承担。</w:t>
      </w:r>
    </w:p>
    <w:p w14:paraId="6F3CFC28">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3.所附表格中要求回答的全部问题和信息都必须正面回答。</w:t>
      </w:r>
    </w:p>
    <w:p w14:paraId="02319AF1">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4.供应商提交的材料不予退还。</w:t>
      </w:r>
    </w:p>
    <w:p w14:paraId="744153D4">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5.全部文件应按供应商须知以及前附表中规定的语言提交。</w:t>
      </w:r>
    </w:p>
    <w:p w14:paraId="1DBB3E38">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6.响应文件应按照响应文件格式逐项填写，无相应内容可填的项应填写“无”“未测试”“没有相应指标”等明确的回答文字。</w:t>
      </w:r>
    </w:p>
    <w:p w14:paraId="549F5E80">
      <w:pPr>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br w:type="page"/>
      </w:r>
    </w:p>
    <w:p w14:paraId="33C51F6B">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r>
        <w:rPr>
          <w:rFonts w:ascii="宋体" w:hAnsi="宋体" w:eastAsia="宋体" w:cs="宋体"/>
          <w:color w:val="auto"/>
          <w:sz w:val="21"/>
          <w:highlight w:val="none"/>
        </w:rPr>
        <w:t xml:space="preserve"> </w:t>
      </w:r>
    </w:p>
    <w:p w14:paraId="5E77403B">
      <w:pPr>
        <w:jc w:val="center"/>
        <w:rPr>
          <w:rFonts w:ascii="宋体" w:hAnsi="宋体"/>
          <w:b/>
          <w:color w:val="auto"/>
          <w:sz w:val="72"/>
          <w:highlight w:val="none"/>
        </w:rPr>
      </w:pPr>
    </w:p>
    <w:p w14:paraId="23DAFAEC">
      <w:pPr>
        <w:jc w:val="center"/>
        <w:rPr>
          <w:rFonts w:ascii="宋体" w:hAnsi="宋体"/>
          <w:b/>
          <w:color w:val="auto"/>
          <w:sz w:val="72"/>
          <w:highlight w:val="none"/>
        </w:rPr>
      </w:pPr>
      <w:r>
        <w:rPr>
          <w:rFonts w:hint="eastAsia" w:ascii="宋体" w:hAnsi="宋体"/>
          <w:b/>
          <w:color w:val="auto"/>
          <w:sz w:val="72"/>
          <w:highlight w:val="none"/>
        </w:rPr>
        <w:t>投  标  文  件</w:t>
      </w:r>
    </w:p>
    <w:p w14:paraId="48F0F22C">
      <w:pPr>
        <w:jc w:val="center"/>
        <w:rPr>
          <w:rFonts w:ascii="宋体" w:hAnsi="宋体"/>
          <w:b/>
          <w:color w:val="auto"/>
          <w:sz w:val="72"/>
          <w:highlight w:val="none"/>
        </w:rPr>
      </w:pPr>
    </w:p>
    <w:p w14:paraId="3BD837F3">
      <w:pPr>
        <w:jc w:val="center"/>
        <w:rPr>
          <w:rFonts w:ascii="宋体" w:hAnsi="宋体"/>
          <w:b/>
          <w:color w:val="auto"/>
          <w:sz w:val="72"/>
          <w:highlight w:val="none"/>
        </w:rPr>
      </w:pPr>
    </w:p>
    <w:p w14:paraId="3C15125D">
      <w:pPr>
        <w:jc w:val="center"/>
        <w:rPr>
          <w:rFonts w:ascii="宋体" w:hAnsi="宋体"/>
          <w:b/>
          <w:color w:val="auto"/>
          <w:sz w:val="36"/>
          <w:highlight w:val="none"/>
        </w:rPr>
      </w:pPr>
    </w:p>
    <w:p w14:paraId="30015DFF">
      <w:pPr>
        <w:jc w:val="center"/>
        <w:rPr>
          <w:rFonts w:ascii="宋体" w:hAnsi="宋体"/>
          <w:b/>
          <w:color w:val="auto"/>
          <w:sz w:val="36"/>
          <w:highlight w:val="none"/>
        </w:rPr>
      </w:pPr>
    </w:p>
    <w:p w14:paraId="5B2DBCFD">
      <w:pPr>
        <w:jc w:val="center"/>
        <w:rPr>
          <w:rFonts w:ascii="宋体" w:hAnsi="宋体"/>
          <w:b/>
          <w:color w:val="auto"/>
          <w:sz w:val="36"/>
          <w:highlight w:val="none"/>
        </w:rPr>
      </w:pPr>
    </w:p>
    <w:p w14:paraId="61A5ADC1">
      <w:pPr>
        <w:ind w:firstLine="1084"/>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2A8F7680">
      <w:pPr>
        <w:ind w:firstLine="1084"/>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79A6E8DD">
      <w:pPr>
        <w:rPr>
          <w:rFonts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（加盖电子公章）   </w:t>
      </w:r>
    </w:p>
    <w:p w14:paraId="4F9B1073">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04284AEA">
      <w:pPr>
        <w:spacing w:line="440" w:lineRule="exact"/>
        <w:jc w:val="center"/>
        <w:rPr>
          <w:rFonts w:ascii="宋体" w:hAnsi="宋体"/>
          <w:b/>
          <w:bCs/>
          <w:color w:val="auto"/>
          <w:sz w:val="32"/>
          <w:szCs w:val="32"/>
          <w:highlight w:val="none"/>
        </w:rPr>
      </w:pPr>
    </w:p>
    <w:p w14:paraId="5BE714B1">
      <w:pPr>
        <w:spacing w:line="440" w:lineRule="exact"/>
        <w:rPr>
          <w:rFonts w:ascii="宋体" w:hAnsi="宋体"/>
          <w:color w:val="auto"/>
          <w:highlight w:val="none"/>
        </w:rPr>
      </w:pPr>
    </w:p>
    <w:p w14:paraId="2536970D">
      <w:pPr>
        <w:jc w:val="center"/>
        <w:rPr>
          <w:rFonts w:ascii="宋体" w:hAnsi="宋体" w:cs="宋体"/>
          <w:b/>
          <w:bCs/>
          <w:color w:val="auto"/>
          <w:sz w:val="32"/>
          <w:szCs w:val="32"/>
          <w:highlight w:val="none"/>
        </w:rPr>
      </w:pPr>
      <w:r>
        <w:rPr>
          <w:rFonts w:ascii="宋体" w:hAnsi="宋体"/>
          <w:b/>
          <w:color w:val="auto"/>
          <w:sz w:val="36"/>
          <w:highlight w:val="none"/>
          <w:u w:val="single"/>
        </w:rPr>
        <w:br w:type="page" w:clear="all"/>
      </w:r>
      <w:r>
        <w:rPr>
          <w:rFonts w:hint="eastAsia" w:ascii="宋体" w:hAnsi="宋体" w:cs="宋体"/>
          <w:b/>
          <w:bCs/>
          <w:color w:val="auto"/>
          <w:sz w:val="32"/>
          <w:szCs w:val="32"/>
          <w:highlight w:val="none"/>
        </w:rPr>
        <w:t>响应文件目录</w:t>
      </w:r>
    </w:p>
    <w:p w14:paraId="28C2585F">
      <w:pPr>
        <w:spacing w:line="440" w:lineRule="exact"/>
        <w:jc w:val="center"/>
        <w:rPr>
          <w:rFonts w:ascii="宋体" w:hAnsi="宋体" w:cs="宋体"/>
          <w:b/>
          <w:bCs/>
          <w:color w:val="auto"/>
          <w:sz w:val="32"/>
          <w:szCs w:val="32"/>
          <w:highlight w:val="none"/>
        </w:rPr>
      </w:pPr>
    </w:p>
    <w:p w14:paraId="17194309">
      <w:pPr>
        <w:spacing w:line="60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一、供应商信用承诺函</w:t>
      </w:r>
    </w:p>
    <w:p w14:paraId="02E73561">
      <w:pPr>
        <w:spacing w:line="60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二、满足特定资格要求的证明文件</w:t>
      </w:r>
    </w:p>
    <w:p w14:paraId="590DA3F6">
      <w:pPr>
        <w:spacing w:line="60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三、法人授权书</w:t>
      </w:r>
    </w:p>
    <w:p w14:paraId="2B2CB99C">
      <w:pPr>
        <w:spacing w:line="60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四、磋商响应函</w:t>
      </w:r>
    </w:p>
    <w:p w14:paraId="6938D1F2">
      <w:pPr>
        <w:spacing w:line="60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五、磋商报价表</w:t>
      </w:r>
    </w:p>
    <w:p w14:paraId="2A6A8243">
      <w:pPr>
        <w:spacing w:line="600" w:lineRule="exact"/>
        <w:ind w:firstLine="560"/>
        <w:rPr>
          <w:rFonts w:ascii="宋体" w:hAnsi="宋体" w:cs="宋体"/>
          <w:color w:val="auto"/>
          <w:sz w:val="28"/>
          <w:szCs w:val="28"/>
          <w:highlight w:val="none"/>
        </w:rPr>
      </w:pPr>
      <w:r>
        <w:rPr>
          <w:rFonts w:hint="eastAsia" w:ascii="宋体" w:hAnsi="宋体" w:cs="宋体"/>
          <w:color w:val="auto"/>
          <w:sz w:val="28"/>
          <w:szCs w:val="28"/>
          <w:highlight w:val="none"/>
        </w:rPr>
        <w:t>六、实质性要求响应及偏离表</w:t>
      </w:r>
    </w:p>
    <w:p w14:paraId="3683097B">
      <w:pPr>
        <w:tabs>
          <w:tab w:val="left" w:pos="3727"/>
        </w:tabs>
        <w:spacing w:line="600" w:lineRule="exact"/>
        <w:ind w:firstLine="56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七、中小企业声明函</w:t>
      </w:r>
      <w:r>
        <w:rPr>
          <w:rFonts w:hint="eastAsia" w:ascii="宋体" w:hAnsi="宋体" w:cs="宋体"/>
          <w:color w:val="auto"/>
          <w:sz w:val="28"/>
          <w:szCs w:val="28"/>
          <w:highlight w:val="none"/>
          <w:lang w:eastAsia="zh-CN"/>
        </w:rPr>
        <w:tab/>
      </w:r>
    </w:p>
    <w:p w14:paraId="0B55F05C">
      <w:pPr>
        <w:spacing w:line="600" w:lineRule="exact"/>
        <w:ind w:firstLine="560"/>
        <w:rPr>
          <w:rFonts w:hint="eastAsia" w:ascii="宋体" w:hAnsi="宋体" w:eastAsia="宋体" w:cs="宋体"/>
          <w:color w:val="auto"/>
          <w:sz w:val="28"/>
          <w:szCs w:val="28"/>
          <w:highlight w:val="none"/>
        </w:rPr>
      </w:pPr>
      <w:bookmarkStart w:id="212" w:name="_GoBack"/>
      <w:r>
        <w:rPr>
          <w:rFonts w:hint="eastAsia" w:ascii="宋体" w:hAnsi="宋体" w:eastAsia="宋体" w:cs="宋体"/>
          <w:color w:val="auto"/>
          <w:sz w:val="28"/>
          <w:szCs w:val="28"/>
          <w:highlight w:val="none"/>
        </w:rPr>
        <w:t>八、残疾人福利性单位声明函（如有）</w:t>
      </w:r>
    </w:p>
    <w:p w14:paraId="57172EE2">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九、</w:t>
      </w:r>
      <w:r>
        <w:rPr>
          <w:rFonts w:hint="eastAsia" w:ascii="宋体" w:hAnsi="宋体" w:eastAsia="宋体" w:cs="宋体"/>
          <w:color w:val="auto"/>
          <w:sz w:val="28"/>
          <w:szCs w:val="28"/>
          <w:highlight w:val="none"/>
        </w:rPr>
        <w:t>南京市政府采购供应商信用记录表暨信用承诺书</w:t>
      </w:r>
    </w:p>
    <w:bookmarkEnd w:id="212"/>
    <w:p w14:paraId="2846371B">
      <w:pPr>
        <w:pStyle w:val="2"/>
        <w:rPr>
          <w:rFonts w:hint="eastAsia"/>
        </w:rPr>
      </w:pPr>
    </w:p>
    <w:p w14:paraId="4A57EF48">
      <w:pPr>
        <w:spacing w:line="600" w:lineRule="exact"/>
        <w:rPr>
          <w:rFonts w:ascii="宋体" w:hAnsi="宋体" w:cs="宋体"/>
          <w:color w:val="auto"/>
          <w:sz w:val="28"/>
          <w:szCs w:val="28"/>
          <w:highlight w:val="none"/>
        </w:rPr>
      </w:pPr>
    </w:p>
    <w:p w14:paraId="4602845C">
      <w:pPr>
        <w:spacing w:line="440" w:lineRule="exact"/>
        <w:ind w:firstLine="480"/>
        <w:rPr>
          <w:rFonts w:ascii="宋体" w:hAnsi="宋体" w:cs="宋体"/>
          <w:color w:val="auto"/>
          <w:sz w:val="24"/>
          <w:highlight w:val="none"/>
        </w:rPr>
      </w:pPr>
    </w:p>
    <w:p w14:paraId="78B4F1FE">
      <w:pPr>
        <w:spacing w:line="440" w:lineRule="exact"/>
        <w:ind w:firstLine="480"/>
        <w:rPr>
          <w:rFonts w:ascii="宋体" w:hAnsi="宋体" w:cs="宋体"/>
          <w:color w:val="auto"/>
          <w:sz w:val="24"/>
          <w:highlight w:val="none"/>
        </w:rPr>
      </w:pPr>
    </w:p>
    <w:p w14:paraId="4D1AAE65">
      <w:pPr>
        <w:spacing w:line="440" w:lineRule="exact"/>
        <w:ind w:firstLine="480"/>
        <w:rPr>
          <w:rFonts w:ascii="宋体" w:hAnsi="宋体" w:cs="宋体"/>
          <w:color w:val="auto"/>
          <w:sz w:val="24"/>
          <w:highlight w:val="none"/>
        </w:rPr>
      </w:pPr>
    </w:p>
    <w:p w14:paraId="4BD4A04A">
      <w:pPr>
        <w:spacing w:line="440" w:lineRule="exact"/>
        <w:ind w:firstLine="480"/>
        <w:rPr>
          <w:rFonts w:ascii="宋体" w:hAnsi="宋体" w:cs="宋体"/>
          <w:color w:val="auto"/>
          <w:sz w:val="24"/>
          <w:highlight w:val="none"/>
        </w:rPr>
      </w:pPr>
    </w:p>
    <w:p w14:paraId="4E7826BD">
      <w:pPr>
        <w:rPr>
          <w:rFonts w:ascii="宋体" w:hAnsi="宋体" w:cs="宋体"/>
          <w:i/>
          <w:color w:val="auto"/>
          <w:sz w:val="32"/>
          <w:szCs w:val="32"/>
          <w:highlight w:val="none"/>
          <w:u w:val="single"/>
        </w:rPr>
      </w:pPr>
      <w:r>
        <w:rPr>
          <w:rFonts w:hint="eastAsia" w:ascii="宋体" w:hAnsi="宋体" w:cs="宋体"/>
          <w:i/>
          <w:color w:val="auto"/>
          <w:sz w:val="32"/>
          <w:szCs w:val="32"/>
          <w:highlight w:val="none"/>
          <w:u w:val="single"/>
        </w:rPr>
        <w:br w:type="page" w:clear="all"/>
      </w:r>
      <w:r>
        <w:rPr>
          <w:rFonts w:hint="eastAsia" w:ascii="宋体" w:hAnsi="宋体" w:cs="宋体"/>
          <w:color w:val="auto"/>
          <w:sz w:val="32"/>
          <w:szCs w:val="32"/>
          <w:highlight w:val="none"/>
        </w:rPr>
        <w:t>一、供应商信用承诺函</w:t>
      </w:r>
    </w:p>
    <w:p w14:paraId="48CB6C96">
      <w:pPr>
        <w:spacing w:line="360" w:lineRule="auto"/>
        <w:jc w:val="center"/>
        <w:outlineLvl w:val="0"/>
        <w:rPr>
          <w:rFonts w:ascii="宋体" w:hAnsi="宋体" w:cs="宋体"/>
          <w:color w:val="auto"/>
          <w:sz w:val="32"/>
          <w:szCs w:val="32"/>
          <w:highlight w:val="none"/>
        </w:rPr>
      </w:pPr>
      <w:r>
        <w:rPr>
          <w:rFonts w:hint="eastAsia" w:ascii="宋体" w:hAnsi="宋体" w:cs="宋体"/>
          <w:color w:val="auto"/>
          <w:sz w:val="32"/>
          <w:szCs w:val="32"/>
          <w:highlight w:val="none"/>
        </w:rPr>
        <w:t>供应商信用承诺函</w:t>
      </w:r>
    </w:p>
    <w:p w14:paraId="27AA3FD7">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南京市公共资源交易中心浦口分中心：</w:t>
      </w:r>
    </w:p>
    <w:p w14:paraId="6671862A">
      <w:pPr>
        <w:spacing w:line="460" w:lineRule="exact"/>
        <w:ind w:firstLine="492"/>
        <w:rPr>
          <w:rFonts w:ascii="宋体" w:hAnsi="宋体" w:cs="宋体"/>
          <w:color w:val="auto"/>
          <w:sz w:val="24"/>
          <w:szCs w:val="24"/>
          <w:highlight w:val="none"/>
        </w:rPr>
      </w:pPr>
      <w:r>
        <w:rPr>
          <w:rFonts w:hint="eastAsia" w:ascii="宋体" w:hAnsi="宋体" w:cs="宋体"/>
          <w:color w:val="auto"/>
          <w:sz w:val="24"/>
          <w:szCs w:val="24"/>
          <w:highlight w:val="none"/>
        </w:rPr>
        <w:t>我公司</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（供应商名称）郑重承诺：</w:t>
      </w:r>
    </w:p>
    <w:p w14:paraId="29241698">
      <w:pPr>
        <w:spacing w:line="460" w:lineRule="exact"/>
        <w:ind w:firstLine="492"/>
        <w:rPr>
          <w:rFonts w:ascii="宋体" w:hAnsi="宋体" w:cs="宋体"/>
          <w:color w:val="auto"/>
          <w:sz w:val="24"/>
          <w:szCs w:val="24"/>
          <w:highlight w:val="none"/>
        </w:rPr>
      </w:pPr>
      <w:r>
        <w:rPr>
          <w:rFonts w:hint="eastAsia" w:ascii="宋体" w:hAnsi="宋体" w:cs="宋体"/>
          <w:color w:val="auto"/>
          <w:sz w:val="24"/>
          <w:szCs w:val="24"/>
          <w:highlight w:val="none"/>
        </w:rPr>
        <w:t>我公司符合下列要求：</w:t>
      </w:r>
    </w:p>
    <w:p w14:paraId="72B10076">
      <w:pPr>
        <w:spacing w:line="460" w:lineRule="exact"/>
        <w:ind w:firstLine="492"/>
        <w:rPr>
          <w:rFonts w:ascii="宋体" w:hAnsi="宋体" w:cs="宋体"/>
          <w:color w:val="auto"/>
          <w:sz w:val="24"/>
          <w:szCs w:val="24"/>
          <w:highlight w:val="none"/>
        </w:rPr>
      </w:pPr>
      <w:r>
        <w:rPr>
          <w:rFonts w:hint="eastAsia" w:ascii="宋体" w:hAnsi="宋体" w:cs="宋体"/>
          <w:color w:val="auto"/>
          <w:sz w:val="24"/>
          <w:szCs w:val="24"/>
          <w:highlight w:val="none"/>
        </w:rPr>
        <w:t>(一)具有独立承担民事责任的能力；</w:t>
      </w:r>
    </w:p>
    <w:p w14:paraId="019BDFC1">
      <w:pPr>
        <w:spacing w:line="460" w:lineRule="exact"/>
        <w:ind w:firstLine="492"/>
        <w:rPr>
          <w:rFonts w:ascii="宋体" w:hAnsi="宋体" w:cs="宋体"/>
          <w:color w:val="auto"/>
          <w:sz w:val="24"/>
          <w:szCs w:val="24"/>
          <w:highlight w:val="none"/>
        </w:rPr>
      </w:pPr>
      <w:r>
        <w:rPr>
          <w:rFonts w:hint="eastAsia" w:ascii="宋体" w:hAnsi="宋体" w:cs="宋体"/>
          <w:color w:val="auto"/>
          <w:sz w:val="24"/>
          <w:szCs w:val="24"/>
          <w:highlight w:val="none"/>
        </w:rPr>
        <w:t>(二)具有良好的商业信誉和健全的财务会计制度；</w:t>
      </w:r>
    </w:p>
    <w:p w14:paraId="626E4368">
      <w:pPr>
        <w:spacing w:line="460" w:lineRule="exact"/>
        <w:ind w:firstLine="492"/>
        <w:rPr>
          <w:rFonts w:ascii="宋体" w:hAnsi="宋体" w:cs="宋体"/>
          <w:color w:val="auto"/>
          <w:sz w:val="24"/>
          <w:szCs w:val="24"/>
          <w:highlight w:val="none"/>
        </w:rPr>
      </w:pPr>
      <w:r>
        <w:rPr>
          <w:rFonts w:hint="eastAsia" w:ascii="宋体" w:hAnsi="宋体" w:cs="宋体"/>
          <w:color w:val="auto"/>
          <w:sz w:val="24"/>
          <w:szCs w:val="24"/>
          <w:highlight w:val="none"/>
        </w:rPr>
        <w:t>(三)具有履行合同所必需的设备和专业技术能力；</w:t>
      </w:r>
    </w:p>
    <w:p w14:paraId="35FCD7D6">
      <w:pPr>
        <w:spacing w:line="460" w:lineRule="exact"/>
        <w:ind w:firstLine="492"/>
        <w:rPr>
          <w:rFonts w:ascii="宋体" w:hAnsi="宋体" w:cs="宋体"/>
          <w:color w:val="auto"/>
          <w:sz w:val="24"/>
          <w:szCs w:val="24"/>
          <w:highlight w:val="none"/>
        </w:rPr>
      </w:pPr>
      <w:r>
        <w:rPr>
          <w:rFonts w:hint="eastAsia" w:ascii="宋体" w:hAnsi="宋体" w:cs="宋体"/>
          <w:color w:val="auto"/>
          <w:sz w:val="24"/>
          <w:szCs w:val="24"/>
          <w:highlight w:val="none"/>
        </w:rPr>
        <w:t>(四)有依法缴纳税收和社会保障资金的良好记录；</w:t>
      </w:r>
    </w:p>
    <w:p w14:paraId="5680334C">
      <w:pPr>
        <w:spacing w:line="460" w:lineRule="exact"/>
        <w:ind w:firstLine="492"/>
        <w:rPr>
          <w:rFonts w:ascii="宋体" w:hAnsi="宋体" w:cs="宋体"/>
          <w:color w:val="auto"/>
          <w:sz w:val="24"/>
          <w:szCs w:val="24"/>
          <w:highlight w:val="none"/>
        </w:rPr>
      </w:pPr>
      <w:r>
        <w:rPr>
          <w:rFonts w:hint="eastAsia" w:ascii="宋体" w:hAnsi="宋体" w:cs="宋体"/>
          <w:color w:val="auto"/>
          <w:sz w:val="24"/>
          <w:szCs w:val="24"/>
          <w:highlight w:val="none"/>
        </w:rPr>
        <w:t>(五)参加政府采购活动前三年内，在经营活动中没有重大违法记录。</w:t>
      </w:r>
    </w:p>
    <w:p w14:paraId="3CF915E6">
      <w:pPr>
        <w:spacing w:line="460" w:lineRule="exact"/>
        <w:ind w:firstLine="492"/>
        <w:rPr>
          <w:rFonts w:ascii="宋体" w:hAnsi="宋体" w:cs="宋体"/>
          <w:color w:val="auto"/>
          <w:sz w:val="24"/>
          <w:szCs w:val="24"/>
          <w:highlight w:val="none"/>
        </w:rPr>
      </w:pPr>
      <w:r>
        <w:rPr>
          <w:rFonts w:hint="eastAsia" w:ascii="宋体" w:hAnsi="宋体" w:cs="宋体"/>
          <w:color w:val="auto"/>
          <w:sz w:val="24"/>
          <w:szCs w:val="24"/>
          <w:highlight w:val="none"/>
        </w:rPr>
        <w:t>如果我公司成交，将在成交结果公示后七个工作日内向采购人提供下列材料核验：</w:t>
      </w:r>
    </w:p>
    <w:p w14:paraId="4C709CB1">
      <w:pPr>
        <w:spacing w:line="460" w:lineRule="exact"/>
        <w:ind w:firstLine="492"/>
        <w:rPr>
          <w:rFonts w:ascii="宋体" w:hAnsi="宋体" w:cs="宋体"/>
          <w:color w:val="auto"/>
          <w:sz w:val="24"/>
          <w:szCs w:val="24"/>
          <w:highlight w:val="none"/>
        </w:rPr>
      </w:pPr>
      <w:r>
        <w:rPr>
          <w:rFonts w:hint="eastAsia" w:ascii="宋体" w:hAnsi="宋体" w:cs="宋体"/>
          <w:color w:val="auto"/>
          <w:sz w:val="24"/>
          <w:szCs w:val="24"/>
          <w:highlight w:val="none"/>
        </w:rPr>
        <w:t>（1）营业执照副本或事业单位法人登记证书；</w:t>
      </w:r>
    </w:p>
    <w:p w14:paraId="134891EC">
      <w:pPr>
        <w:spacing w:line="460" w:lineRule="exact"/>
        <w:ind w:firstLine="492"/>
        <w:rPr>
          <w:rFonts w:ascii="宋体" w:hAnsi="宋体" w:cs="宋体"/>
          <w:color w:val="auto"/>
          <w:sz w:val="24"/>
          <w:szCs w:val="24"/>
          <w:highlight w:val="none"/>
        </w:rPr>
      </w:pPr>
      <w:r>
        <w:rPr>
          <w:rFonts w:hint="eastAsia" w:ascii="宋体" w:hAnsi="宋体" w:cs="宋体"/>
          <w:color w:val="auto"/>
          <w:sz w:val="24"/>
          <w:szCs w:val="24"/>
          <w:highlight w:val="none"/>
        </w:rPr>
        <w:t>（2）参加本次政府采购活动前一年的经审计的财务报告（包括“四表一注”，法人成立满一年的提供）或参加本次政府采购活动前一年内的银行资信证明（法人或其他组织提供）或其他证明材料；</w:t>
      </w:r>
    </w:p>
    <w:p w14:paraId="2DD7B559">
      <w:pPr>
        <w:spacing w:line="460" w:lineRule="exact"/>
        <w:ind w:firstLine="492"/>
        <w:rPr>
          <w:rFonts w:ascii="宋体" w:hAnsi="宋体" w:cs="宋体"/>
          <w:color w:val="auto"/>
          <w:sz w:val="24"/>
          <w:szCs w:val="24"/>
          <w:highlight w:val="none"/>
        </w:rPr>
      </w:pPr>
      <w:r>
        <w:rPr>
          <w:rFonts w:hint="eastAsia" w:ascii="宋体" w:hAnsi="宋体" w:cs="宋体"/>
          <w:color w:val="auto"/>
          <w:sz w:val="24"/>
          <w:szCs w:val="24"/>
          <w:highlight w:val="none"/>
        </w:rPr>
        <w:t>（3）履行合同所必需的设备和专业技术能力证明材料；</w:t>
      </w:r>
    </w:p>
    <w:p w14:paraId="48B42B19">
      <w:pPr>
        <w:spacing w:line="460" w:lineRule="exact"/>
        <w:ind w:firstLine="492"/>
        <w:rPr>
          <w:rFonts w:ascii="宋体" w:hAnsi="宋体" w:cs="宋体"/>
          <w:color w:val="auto"/>
          <w:sz w:val="24"/>
          <w:szCs w:val="24"/>
          <w:highlight w:val="none"/>
        </w:rPr>
      </w:pPr>
      <w:r>
        <w:rPr>
          <w:rFonts w:hint="eastAsia" w:ascii="宋体" w:hAnsi="宋体" w:cs="宋体"/>
          <w:color w:val="auto"/>
          <w:sz w:val="24"/>
          <w:szCs w:val="24"/>
          <w:highlight w:val="none"/>
        </w:rPr>
        <w:t>（4）参加本次政府采购活动前一年内至少一个月依法缴纳税收和社会保障资金的证明材料。</w:t>
      </w:r>
    </w:p>
    <w:p w14:paraId="2B07B77A">
      <w:pPr>
        <w:spacing w:line="460" w:lineRule="exact"/>
        <w:ind w:firstLine="492"/>
        <w:rPr>
          <w:rFonts w:ascii="宋体" w:hAnsi="宋体" w:cs="宋体"/>
          <w:color w:val="auto"/>
          <w:sz w:val="24"/>
          <w:szCs w:val="24"/>
          <w:highlight w:val="none"/>
        </w:rPr>
      </w:pPr>
      <w:r>
        <w:rPr>
          <w:rFonts w:hint="eastAsia" w:ascii="宋体" w:hAnsi="宋体" w:cs="宋体"/>
          <w:color w:val="auto"/>
          <w:sz w:val="24"/>
          <w:szCs w:val="24"/>
          <w:highlight w:val="none"/>
        </w:rPr>
        <w:t>本公司对上述承诺内容的真实性、合法性、有效性负责，如有虚假，将依法承担相应责任。</w:t>
      </w:r>
    </w:p>
    <w:p w14:paraId="5DB99210">
      <w:pPr>
        <w:spacing w:line="460" w:lineRule="exact"/>
        <w:ind w:firstLine="492"/>
        <w:rPr>
          <w:rFonts w:ascii="宋体" w:hAnsi="宋体" w:cs="宋体"/>
          <w:color w:val="auto"/>
          <w:sz w:val="24"/>
          <w:szCs w:val="24"/>
          <w:highlight w:val="none"/>
        </w:rPr>
      </w:pPr>
    </w:p>
    <w:p w14:paraId="2453E56B">
      <w:pPr>
        <w:pStyle w:val="323"/>
        <w:rPr>
          <w:rFonts w:ascii="宋体" w:hAnsi="宋体" w:cs="宋体"/>
          <w:color w:val="auto"/>
          <w:sz w:val="24"/>
          <w:szCs w:val="24"/>
          <w:highlight w:val="none"/>
        </w:rPr>
      </w:pPr>
    </w:p>
    <w:p w14:paraId="7C6D4A44">
      <w:pPr>
        <w:spacing w:line="560" w:lineRule="exact"/>
        <w:ind w:right="180" w:firstLine="360"/>
        <w:jc w:val="right"/>
        <w:rPr>
          <w:rFonts w:ascii="宋体" w:hAnsi="宋体" w:cs="宋体"/>
          <w:color w:val="auto"/>
          <w:sz w:val="24"/>
          <w:szCs w:val="24"/>
          <w:highlight w:val="none"/>
        </w:rPr>
      </w:pPr>
      <w:r>
        <w:rPr>
          <w:rFonts w:hint="eastAsia" w:ascii="宋体" w:hAnsi="宋体" w:cs="宋体"/>
          <w:color w:val="auto"/>
          <w:sz w:val="24"/>
          <w:szCs w:val="24"/>
          <w:highlight w:val="none"/>
        </w:rPr>
        <w:t>供应商名称：（加盖电子公章）</w:t>
      </w:r>
    </w:p>
    <w:p w14:paraId="5C40677D">
      <w:pPr>
        <w:spacing w:line="560" w:lineRule="exact"/>
        <w:ind w:firstLine="6240"/>
        <w:rPr>
          <w:rFonts w:ascii="宋体" w:hAnsi="宋体" w:cs="宋体"/>
          <w:color w:val="auto"/>
          <w:sz w:val="24"/>
          <w:szCs w:val="24"/>
          <w:highlight w:val="none"/>
        </w:rPr>
      </w:pPr>
      <w:r>
        <w:rPr>
          <w:rFonts w:hint="eastAsia" w:ascii="宋体" w:hAnsi="宋体" w:cs="宋体"/>
          <w:color w:val="auto"/>
          <w:sz w:val="24"/>
          <w:szCs w:val="24"/>
          <w:highlight w:val="none"/>
        </w:rPr>
        <w:t>日  期：</w:t>
      </w:r>
    </w:p>
    <w:p w14:paraId="7E263158">
      <w:pPr>
        <w:rPr>
          <w:rFonts w:ascii="宋体" w:hAnsi="宋体" w:cs="宋体"/>
          <w:color w:val="auto"/>
          <w:sz w:val="24"/>
          <w:szCs w:val="24"/>
          <w:highlight w:val="none"/>
        </w:rPr>
      </w:pPr>
    </w:p>
    <w:p w14:paraId="4830EFEF">
      <w:pPr>
        <w:spacing w:line="440" w:lineRule="exact"/>
        <w:rPr>
          <w:rFonts w:ascii="宋体" w:hAnsi="宋体" w:cs="宋体"/>
          <w:color w:val="auto"/>
          <w:sz w:val="24"/>
          <w:szCs w:val="24"/>
          <w:highlight w:val="none"/>
        </w:rPr>
      </w:pPr>
    </w:p>
    <w:p w14:paraId="1C3A260B">
      <w:pPr>
        <w:spacing w:line="440" w:lineRule="exact"/>
        <w:ind w:firstLine="480"/>
        <w:rPr>
          <w:rFonts w:ascii="宋体" w:hAnsi="宋体" w:cs="宋体"/>
          <w:color w:val="auto"/>
          <w:sz w:val="24"/>
          <w:szCs w:val="24"/>
          <w:highlight w:val="none"/>
        </w:rPr>
      </w:pPr>
    </w:p>
    <w:p w14:paraId="2286AAD3">
      <w:pPr>
        <w:spacing w:line="44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说明：执行南京市财政局《关于在政府采购活动中推行信用承诺制的通知》（宁财购通</w:t>
      </w:r>
      <w:r>
        <w:rPr>
          <w:rFonts w:hint="eastAsia" w:ascii="宋体" w:hAnsi="宋体" w:cs="宋体"/>
          <w:color w:val="auto"/>
          <w:sz w:val="24"/>
          <w:szCs w:val="24"/>
          <w:highlight w:val="none"/>
          <w:lang w:val="zh-CN"/>
        </w:rPr>
        <w:t>〔202</w:t>
      </w:r>
      <w:r>
        <w:rPr>
          <w:rFonts w:hint="eastAsia" w:ascii="宋体" w:hAnsi="宋体" w:cs="宋体"/>
          <w:color w:val="auto"/>
          <w:sz w:val="24"/>
          <w:szCs w:val="24"/>
          <w:highlight w:val="none"/>
        </w:rPr>
        <w:t>1</w:t>
      </w:r>
      <w:r>
        <w:rPr>
          <w:rFonts w:hint="eastAsia" w:ascii="宋体" w:hAnsi="宋体" w:cs="宋体"/>
          <w:color w:val="auto"/>
          <w:sz w:val="24"/>
          <w:szCs w:val="24"/>
          <w:highlight w:val="none"/>
          <w:lang w:val="zh-CN"/>
        </w:rPr>
        <w:t>〕5号</w:t>
      </w:r>
      <w:r>
        <w:rPr>
          <w:rFonts w:hint="eastAsia" w:ascii="宋体" w:hAnsi="宋体" w:cs="宋体"/>
          <w:color w:val="auto"/>
          <w:sz w:val="24"/>
          <w:szCs w:val="24"/>
          <w:highlight w:val="none"/>
        </w:rPr>
        <w:t>）要求。</w:t>
      </w:r>
    </w:p>
    <w:p w14:paraId="5C7B5AED">
      <w:pPr>
        <w:pStyle w:val="62"/>
        <w:rPr>
          <w:rFonts w:ascii="宋体" w:hAnsi="宋体" w:eastAsia="宋体"/>
          <w:color w:val="auto"/>
          <w:highlight w:val="none"/>
        </w:rPr>
      </w:pPr>
    </w:p>
    <w:p w14:paraId="4687FBBD">
      <w:pPr>
        <w:pStyle w:val="62"/>
        <w:rPr>
          <w:rFonts w:ascii="宋体" w:hAnsi="宋体" w:eastAsia="宋体"/>
          <w:color w:val="auto"/>
          <w:highlight w:val="none"/>
        </w:rPr>
      </w:pPr>
    </w:p>
    <w:p w14:paraId="6ACE2B56">
      <w:pPr>
        <w:rPr>
          <w:rFonts w:ascii="宋体" w:hAnsi="宋体" w:cs="宋体"/>
          <w:color w:val="auto"/>
          <w:sz w:val="32"/>
          <w:szCs w:val="32"/>
          <w:highlight w:val="none"/>
        </w:rPr>
      </w:pPr>
      <w:r>
        <w:rPr>
          <w:rFonts w:hint="eastAsia" w:ascii="宋体" w:hAnsi="宋体" w:cs="宋体"/>
          <w:color w:val="auto"/>
          <w:sz w:val="32"/>
          <w:szCs w:val="32"/>
          <w:highlight w:val="none"/>
        </w:rPr>
        <w:t>二、特定资格要求的证明文件</w:t>
      </w:r>
    </w:p>
    <w:p w14:paraId="1EF2486B">
      <w:pPr>
        <w:spacing w:line="460" w:lineRule="exact"/>
        <w:rPr>
          <w:rFonts w:ascii="宋体" w:hAnsi="宋体" w:cs="宋体"/>
          <w:bCs/>
          <w:color w:val="auto"/>
          <w:sz w:val="24"/>
          <w:highlight w:val="none"/>
        </w:rPr>
      </w:pPr>
      <w:r>
        <w:rPr>
          <w:rFonts w:hint="eastAsia" w:ascii="宋体" w:hAnsi="宋体" w:cs="宋体"/>
          <w:color w:val="auto"/>
          <w:sz w:val="24"/>
          <w:highlight w:val="none"/>
        </w:rPr>
        <w:t xml:space="preserve">   供应商具有市政公用工程施工总承包三级（含）以上资质证书和安全生产许可证。</w:t>
      </w:r>
    </w:p>
    <w:p w14:paraId="6B034705">
      <w:pPr>
        <w:spacing w:line="460" w:lineRule="exact"/>
        <w:rPr>
          <w:rFonts w:ascii="宋体" w:hAnsi="宋体" w:cs="宋体"/>
          <w:bCs/>
          <w:color w:val="auto"/>
          <w:sz w:val="24"/>
          <w:highlight w:val="none"/>
        </w:rPr>
      </w:pPr>
      <w:bookmarkStart w:id="197" w:name="_Toc120614284"/>
    </w:p>
    <w:p w14:paraId="565C0812">
      <w:pPr>
        <w:jc w:val="left"/>
        <w:rPr>
          <w:rFonts w:ascii="宋体" w:hAnsi="宋体" w:cs="宋体"/>
          <w:i/>
          <w:color w:val="auto"/>
          <w:sz w:val="32"/>
          <w:szCs w:val="32"/>
          <w:highlight w:val="none"/>
          <w:u w:val="single"/>
        </w:rPr>
      </w:pPr>
    </w:p>
    <w:p w14:paraId="6C4DABE4">
      <w:pPr>
        <w:jc w:val="left"/>
        <w:rPr>
          <w:rFonts w:ascii="宋体" w:hAnsi="宋体" w:cs="宋体"/>
          <w:i/>
          <w:color w:val="auto"/>
          <w:sz w:val="32"/>
          <w:szCs w:val="32"/>
          <w:highlight w:val="none"/>
          <w:u w:val="single"/>
        </w:rPr>
      </w:pPr>
    </w:p>
    <w:p w14:paraId="0CAFBAE9">
      <w:pPr>
        <w:jc w:val="left"/>
        <w:rPr>
          <w:rFonts w:ascii="宋体" w:hAnsi="宋体" w:cs="宋体"/>
          <w:i/>
          <w:color w:val="auto"/>
          <w:sz w:val="32"/>
          <w:szCs w:val="32"/>
          <w:highlight w:val="none"/>
          <w:u w:val="single"/>
        </w:rPr>
      </w:pPr>
    </w:p>
    <w:p w14:paraId="39E9EE5D">
      <w:pPr>
        <w:rPr>
          <w:rFonts w:ascii="宋体" w:hAnsi="宋体" w:cs="宋体"/>
          <w:color w:val="auto"/>
          <w:sz w:val="32"/>
          <w:szCs w:val="32"/>
          <w:highlight w:val="none"/>
        </w:rPr>
      </w:pPr>
    </w:p>
    <w:p w14:paraId="641E421B">
      <w:pPr>
        <w:rPr>
          <w:rFonts w:ascii="宋体" w:hAnsi="宋体" w:cs="宋体"/>
          <w:color w:val="auto"/>
          <w:sz w:val="32"/>
          <w:szCs w:val="32"/>
          <w:highlight w:val="none"/>
        </w:rPr>
      </w:pPr>
    </w:p>
    <w:p w14:paraId="6450505E">
      <w:pPr>
        <w:rPr>
          <w:rFonts w:ascii="宋体" w:hAnsi="宋体" w:cs="宋体"/>
          <w:color w:val="auto"/>
          <w:sz w:val="32"/>
          <w:szCs w:val="32"/>
          <w:highlight w:val="none"/>
        </w:rPr>
      </w:pPr>
      <w:r>
        <w:rPr>
          <w:rFonts w:hint="eastAsia" w:ascii="宋体" w:hAnsi="宋体" w:cs="宋体"/>
          <w:color w:val="auto"/>
          <w:sz w:val="32"/>
          <w:szCs w:val="32"/>
          <w:highlight w:val="none"/>
        </w:rPr>
        <w:t>三、法人授权书</w:t>
      </w:r>
    </w:p>
    <w:p w14:paraId="3E6D1A3D">
      <w:pPr>
        <w:spacing w:line="360" w:lineRule="auto"/>
        <w:jc w:val="center"/>
        <w:outlineLvl w:val="0"/>
        <w:rPr>
          <w:rFonts w:ascii="宋体" w:hAnsi="宋体" w:cs="宋体"/>
          <w:color w:val="auto"/>
          <w:sz w:val="32"/>
          <w:szCs w:val="32"/>
          <w:highlight w:val="none"/>
          <w:lang w:val="zh-CN"/>
        </w:rPr>
      </w:pPr>
      <w:r>
        <w:rPr>
          <w:rFonts w:hint="eastAsia" w:ascii="宋体" w:hAnsi="宋体" w:cs="宋体"/>
          <w:color w:val="auto"/>
          <w:sz w:val="32"/>
          <w:szCs w:val="32"/>
          <w:highlight w:val="none"/>
          <w:lang w:val="zh-CN"/>
        </w:rPr>
        <w:t>法人授权书</w:t>
      </w:r>
    </w:p>
    <w:p w14:paraId="3C32E37A">
      <w:pPr>
        <w:pStyle w:val="294"/>
        <w:spacing w:line="48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本授权书声明：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（供应商名称）授权</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（被授权人的姓名）作为我方就编号为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的项目采购活动的合法代理人，以本单位名义全权处理一切与该项目采购有关的事务。</w:t>
      </w:r>
    </w:p>
    <w:p w14:paraId="4BE4D9C7">
      <w:pPr>
        <w:pStyle w:val="294"/>
        <w:spacing w:line="48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本授权书于______年____月____日起生效，特此声明。</w:t>
      </w:r>
    </w:p>
    <w:p w14:paraId="4A0FCBFD">
      <w:pPr>
        <w:pStyle w:val="294"/>
        <w:spacing w:line="480" w:lineRule="auto"/>
        <w:ind w:left="0" w:leftChars="0" w:firstLine="420" w:firstLineChars="175"/>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法定代表人（签名</w:t>
      </w:r>
      <w:r>
        <w:rPr>
          <w:rFonts w:hint="eastAsia" w:ascii="宋体" w:hAnsi="宋体" w:cs="宋体"/>
          <w:color w:val="auto"/>
          <w:sz w:val="24"/>
          <w:szCs w:val="24"/>
          <w:highlight w:val="none"/>
          <w:lang w:eastAsia="zh-CN"/>
        </w:rPr>
        <w:t>）</w:t>
      </w:r>
    </w:p>
    <w:p w14:paraId="387A1716">
      <w:pPr>
        <w:pStyle w:val="294"/>
        <w:spacing w:line="480" w:lineRule="auto"/>
        <w:ind w:left="0" w:leftChars="0" w:firstLine="420" w:firstLineChars="175"/>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被授权人</w:t>
      </w:r>
      <w:r>
        <w:rPr>
          <w:rFonts w:hint="eastAsia" w:ascii="宋体" w:hAnsi="宋体" w:cs="宋体"/>
          <w:color w:val="auto"/>
          <w:sz w:val="24"/>
          <w:szCs w:val="24"/>
          <w:highlight w:val="none"/>
          <w:lang w:val="en-US" w:eastAsia="zh-CN"/>
        </w:rPr>
        <w:t>（签名</w:t>
      </w:r>
      <w:r>
        <w:rPr>
          <w:rFonts w:hint="eastAsia" w:ascii="宋体" w:hAnsi="宋体" w:cs="宋体"/>
          <w:color w:val="auto"/>
          <w:sz w:val="24"/>
          <w:szCs w:val="24"/>
          <w:highlight w:val="none"/>
          <w:lang w:eastAsia="zh-CN"/>
        </w:rPr>
        <w:t>）</w:t>
      </w:r>
    </w:p>
    <w:p w14:paraId="20A39FCB">
      <w:pPr>
        <w:pStyle w:val="294"/>
        <w:spacing w:line="480" w:lineRule="auto"/>
        <w:ind w:left="0" w:leftChars="0" w:firstLine="420" w:firstLineChars="175"/>
        <w:rPr>
          <w:rFonts w:ascii="宋体" w:hAnsi="宋体" w:cs="宋体"/>
          <w:color w:val="auto"/>
          <w:sz w:val="24"/>
          <w:szCs w:val="24"/>
          <w:highlight w:val="none"/>
          <w:u w:val="single"/>
        </w:rPr>
      </w:pPr>
      <w:r>
        <w:rPr>
          <w:rFonts w:hint="eastAsia" w:ascii="宋体" w:hAnsi="宋体" w:cs="宋体"/>
          <w:color w:val="auto"/>
          <w:sz w:val="24"/>
          <w:szCs w:val="24"/>
          <w:highlight w:val="none"/>
        </w:rPr>
        <w:t>被授权人身份证号码：</w:t>
      </w:r>
    </w:p>
    <w:p w14:paraId="5F5144B1">
      <w:pPr>
        <w:pStyle w:val="294"/>
        <w:spacing w:line="480" w:lineRule="auto"/>
        <w:ind w:firstLine="480"/>
        <w:rPr>
          <w:rFonts w:ascii="宋体" w:hAnsi="宋体" w:cs="宋体"/>
          <w:color w:val="auto"/>
          <w:sz w:val="24"/>
          <w:szCs w:val="24"/>
          <w:highlight w:val="none"/>
          <w:u w:val="single"/>
        </w:rPr>
      </w:pPr>
      <w:r>
        <w:rPr>
          <w:rFonts w:hint="eastAsia" w:ascii="宋体" w:hAnsi="宋体" w:cs="宋体"/>
          <w:color w:val="auto"/>
          <w:sz w:val="24"/>
          <w:szCs w:val="24"/>
          <w:highlight w:val="none"/>
        </w:rPr>
        <w:t>被授权人联系电话：（手机）</w:t>
      </w:r>
    </w:p>
    <w:p w14:paraId="3F8A090A">
      <w:pPr>
        <w:pStyle w:val="294"/>
        <w:spacing w:line="48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授权单位名称：（加盖电子公章）</w:t>
      </w:r>
    </w:p>
    <w:p w14:paraId="4F2A8937">
      <w:pPr>
        <w:pStyle w:val="294"/>
        <w:spacing w:line="480" w:lineRule="auto"/>
        <w:ind w:firstLine="480"/>
        <w:rPr>
          <w:rFonts w:ascii="宋体" w:hAnsi="宋体" w:cs="宋体"/>
          <w:color w:val="auto"/>
          <w:sz w:val="24"/>
          <w:szCs w:val="24"/>
          <w:highlight w:val="none"/>
          <w:u w:val="single"/>
        </w:rPr>
      </w:pPr>
      <w:r>
        <w:rPr>
          <w:rFonts w:hint="eastAsia" w:ascii="宋体" w:hAnsi="宋体" w:cs="宋体"/>
          <w:color w:val="auto"/>
          <w:sz w:val="24"/>
          <w:szCs w:val="24"/>
          <w:highlight w:val="none"/>
        </w:rPr>
        <w:t>单位地址：</w:t>
      </w:r>
    </w:p>
    <w:p w14:paraId="79F39B49">
      <w:pPr>
        <w:pStyle w:val="294"/>
        <w:spacing w:line="48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日    期：</w:t>
      </w:r>
      <w:bookmarkStart w:id="198" w:name="_Hlt26955070"/>
      <w:bookmarkEnd w:id="198"/>
      <w:bookmarkStart w:id="199" w:name="_格式3__银行出具的资信证明"/>
      <w:bookmarkEnd w:id="199"/>
      <w:bookmarkStart w:id="200" w:name="_Hlt26671380"/>
      <w:bookmarkEnd w:id="200"/>
    </w:p>
    <w:p w14:paraId="3CCA7425">
      <w:pPr>
        <w:tabs>
          <w:tab w:val="left" w:pos="360"/>
        </w:tabs>
        <w:ind w:firstLine="480"/>
        <w:rPr>
          <w:rFonts w:ascii="宋体" w:hAnsi="宋体" w:cs="宋体"/>
          <w:color w:val="auto"/>
          <w:sz w:val="24"/>
          <w:szCs w:val="24"/>
          <w:highlight w:val="none"/>
          <w:u w:val="single"/>
        </w:rPr>
      </w:pPr>
    </w:p>
    <w:p w14:paraId="4291EB4A">
      <w:pPr>
        <w:tabs>
          <w:tab w:val="left" w:pos="360"/>
        </w:tabs>
        <w:ind w:firstLine="480"/>
        <w:rPr>
          <w:rFonts w:ascii="宋体" w:hAnsi="宋体" w:cs="宋体"/>
          <w:color w:val="auto"/>
          <w:sz w:val="24"/>
          <w:szCs w:val="24"/>
          <w:highlight w:val="none"/>
          <w:u w:val="single"/>
        </w:rPr>
      </w:pPr>
    </w:p>
    <w:p w14:paraId="091A8F13">
      <w:pPr>
        <w:tabs>
          <w:tab w:val="left" w:pos="360"/>
        </w:tabs>
        <w:ind w:firstLine="480"/>
        <w:rPr>
          <w:rFonts w:ascii="宋体" w:hAnsi="宋体" w:cs="宋体"/>
          <w:color w:val="auto"/>
          <w:sz w:val="24"/>
          <w:szCs w:val="24"/>
          <w:highlight w:val="none"/>
          <w:u w:val="single"/>
        </w:rPr>
      </w:pPr>
    </w:p>
    <w:p w14:paraId="643636C1">
      <w:pPr>
        <w:tabs>
          <w:tab w:val="left" w:pos="360"/>
        </w:tabs>
        <w:ind w:firstLine="480"/>
        <w:rPr>
          <w:rFonts w:ascii="宋体" w:hAnsi="宋体" w:cs="宋体"/>
          <w:color w:val="auto"/>
          <w:sz w:val="24"/>
          <w:szCs w:val="24"/>
          <w:highlight w:val="none"/>
          <w:u w:val="single"/>
        </w:rPr>
      </w:pPr>
    </w:p>
    <w:p w14:paraId="3648988E">
      <w:pPr>
        <w:tabs>
          <w:tab w:val="left" w:pos="360"/>
        </w:tabs>
        <w:ind w:firstLine="480"/>
        <w:rPr>
          <w:rFonts w:ascii="宋体" w:hAnsi="宋体" w:cs="宋体"/>
          <w:color w:val="auto"/>
          <w:sz w:val="24"/>
          <w:szCs w:val="24"/>
          <w:highlight w:val="none"/>
          <w:u w:val="single"/>
        </w:rPr>
      </w:pPr>
    </w:p>
    <w:p w14:paraId="14B3E99D">
      <w:pPr>
        <w:tabs>
          <w:tab w:val="left" w:pos="360"/>
        </w:tabs>
        <w:ind w:firstLine="480"/>
        <w:rPr>
          <w:rFonts w:ascii="宋体" w:hAnsi="宋体" w:cs="宋体"/>
          <w:color w:val="auto"/>
          <w:sz w:val="24"/>
          <w:szCs w:val="24"/>
          <w:highlight w:val="none"/>
          <w:u w:val="single"/>
        </w:rPr>
      </w:pPr>
    </w:p>
    <w:p w14:paraId="4F009BCB">
      <w:pPr>
        <w:tabs>
          <w:tab w:val="left" w:pos="360"/>
        </w:tabs>
        <w:ind w:firstLine="480"/>
        <w:rPr>
          <w:rFonts w:ascii="宋体" w:hAnsi="宋体" w:cs="宋体"/>
          <w:color w:val="auto"/>
          <w:sz w:val="24"/>
          <w:szCs w:val="24"/>
          <w:highlight w:val="none"/>
          <w:u w:val="single"/>
        </w:rPr>
      </w:pPr>
    </w:p>
    <w:p w14:paraId="0D93731A">
      <w:pPr>
        <w:tabs>
          <w:tab w:val="left" w:pos="360"/>
        </w:tabs>
        <w:ind w:firstLine="480"/>
        <w:rPr>
          <w:rFonts w:ascii="宋体" w:hAnsi="宋体" w:cs="宋体"/>
          <w:color w:val="auto"/>
          <w:sz w:val="24"/>
          <w:szCs w:val="24"/>
          <w:highlight w:val="none"/>
          <w:u w:val="single"/>
        </w:rPr>
      </w:pPr>
    </w:p>
    <w:p w14:paraId="2BA71480">
      <w:pPr>
        <w:tabs>
          <w:tab w:val="left" w:pos="360"/>
        </w:tabs>
        <w:ind w:firstLine="480"/>
        <w:rPr>
          <w:rFonts w:ascii="宋体" w:hAnsi="宋体" w:cs="宋体"/>
          <w:color w:val="auto"/>
          <w:sz w:val="24"/>
          <w:szCs w:val="24"/>
          <w:highlight w:val="none"/>
          <w:u w:val="single"/>
        </w:rPr>
      </w:pPr>
    </w:p>
    <w:p w14:paraId="6474B475">
      <w:pPr>
        <w:tabs>
          <w:tab w:val="left" w:pos="360"/>
        </w:tabs>
        <w:ind w:firstLine="480"/>
        <w:rPr>
          <w:rFonts w:ascii="宋体" w:hAnsi="宋体" w:cs="宋体"/>
          <w:color w:val="auto"/>
          <w:sz w:val="24"/>
          <w:szCs w:val="24"/>
          <w:highlight w:val="none"/>
          <w:u w:val="single"/>
        </w:rPr>
      </w:pPr>
    </w:p>
    <w:p w14:paraId="67A1DF40">
      <w:pPr>
        <w:tabs>
          <w:tab w:val="left" w:pos="360"/>
        </w:tabs>
        <w:ind w:firstLine="480"/>
        <w:rPr>
          <w:rFonts w:ascii="宋体" w:hAnsi="宋体" w:cs="宋体"/>
          <w:color w:val="auto"/>
          <w:sz w:val="24"/>
          <w:szCs w:val="24"/>
          <w:highlight w:val="none"/>
          <w:u w:val="single"/>
        </w:rPr>
      </w:pPr>
    </w:p>
    <w:p w14:paraId="7E5FF383">
      <w:pPr>
        <w:tabs>
          <w:tab w:val="left" w:pos="360"/>
        </w:tabs>
        <w:ind w:firstLine="480"/>
        <w:rPr>
          <w:rFonts w:ascii="宋体" w:hAnsi="宋体" w:cs="宋体"/>
          <w:color w:val="auto"/>
          <w:sz w:val="24"/>
          <w:szCs w:val="24"/>
          <w:highlight w:val="none"/>
          <w:u w:val="single"/>
        </w:rPr>
      </w:pPr>
    </w:p>
    <w:p w14:paraId="52226C4D">
      <w:pPr>
        <w:rPr>
          <w:rFonts w:ascii="宋体" w:hAnsi="宋体" w:cs="宋体"/>
          <w:color w:val="auto"/>
          <w:sz w:val="32"/>
          <w:szCs w:val="32"/>
          <w:highlight w:val="none"/>
        </w:rPr>
      </w:pPr>
      <w:r>
        <w:rPr>
          <w:rFonts w:hint="eastAsia" w:ascii="宋体" w:hAnsi="宋体" w:cs="宋体"/>
          <w:color w:val="auto"/>
          <w:sz w:val="32"/>
          <w:szCs w:val="32"/>
          <w:highlight w:val="none"/>
        </w:rPr>
        <w:t>四、磋商响应函</w:t>
      </w:r>
    </w:p>
    <w:p w14:paraId="1262385F">
      <w:pPr>
        <w:spacing w:line="360" w:lineRule="auto"/>
        <w:jc w:val="center"/>
        <w:outlineLvl w:val="0"/>
        <w:rPr>
          <w:rFonts w:ascii="宋体" w:hAnsi="宋体" w:cs="宋体"/>
          <w:color w:val="auto"/>
          <w:sz w:val="32"/>
          <w:szCs w:val="32"/>
          <w:highlight w:val="none"/>
          <w:lang w:val="zh-CN"/>
        </w:rPr>
      </w:pPr>
      <w:r>
        <w:rPr>
          <w:rFonts w:hint="eastAsia" w:ascii="宋体" w:hAnsi="宋体" w:cs="宋体"/>
          <w:color w:val="auto"/>
          <w:sz w:val="32"/>
          <w:szCs w:val="32"/>
          <w:highlight w:val="none"/>
        </w:rPr>
        <w:t>磋商响应函</w:t>
      </w:r>
    </w:p>
    <w:p w14:paraId="5CF38A23">
      <w:pPr>
        <w:spacing w:line="360" w:lineRule="auto"/>
        <w:jc w:val="left"/>
        <w:rPr>
          <w:rFonts w:ascii="宋体" w:hAnsi="宋体" w:cs="宋体"/>
          <w:color w:val="auto"/>
          <w:sz w:val="24"/>
          <w:highlight w:val="none"/>
        </w:rPr>
      </w:pPr>
      <w:r>
        <w:rPr>
          <w:rFonts w:hint="eastAsia" w:ascii="宋体" w:hAnsi="宋体" w:cs="宋体"/>
          <w:color w:val="auto"/>
          <w:sz w:val="24"/>
          <w:highlight w:val="none"/>
        </w:rPr>
        <w:t>致：南京市公共资源交易中心浦口分中心</w:t>
      </w:r>
    </w:p>
    <w:p w14:paraId="318604C2">
      <w:pPr>
        <w:pStyle w:val="296"/>
        <w:spacing w:before="0" w:after="0"/>
        <w:rPr>
          <w:rFonts w:ascii="宋体" w:hAnsi="宋体" w:cs="宋体"/>
          <w:color w:val="auto"/>
          <w:szCs w:val="21"/>
          <w:highlight w:val="none"/>
        </w:rPr>
      </w:pPr>
      <w:r>
        <w:rPr>
          <w:rFonts w:hint="eastAsia" w:ascii="宋体" w:hAnsi="宋体" w:cs="宋体"/>
          <w:color w:val="auto"/>
          <w:szCs w:val="21"/>
          <w:highlight w:val="none"/>
        </w:rPr>
        <w:t>根据贵方编号为</w:t>
      </w:r>
      <w:r>
        <w:rPr>
          <w:rFonts w:hint="eastAsia" w:ascii="宋体" w:hAnsi="宋体" w:cs="宋体"/>
          <w:color w:val="auto"/>
          <w:szCs w:val="21"/>
          <w:highlight w:val="none"/>
          <w:u w:val="single"/>
        </w:rPr>
        <w:t xml:space="preserve">                       </w:t>
      </w:r>
      <w:r>
        <w:rPr>
          <w:rFonts w:hint="eastAsia" w:ascii="宋体" w:hAnsi="宋体" w:cs="宋体"/>
          <w:color w:val="auto"/>
          <w:highlight w:val="none"/>
        </w:rPr>
        <w:t>的</w:t>
      </w:r>
      <w:r>
        <w:rPr>
          <w:rFonts w:hint="eastAsia" w:ascii="宋体" w:hAnsi="宋体" w:cs="宋体"/>
          <w:color w:val="auto"/>
          <w:szCs w:val="21"/>
          <w:highlight w:val="none"/>
        </w:rPr>
        <w:t>项目采购文件，我方正式提</w:t>
      </w:r>
      <w:r>
        <w:rPr>
          <w:rFonts w:hint="eastAsia" w:ascii="宋体" w:hAnsi="宋体" w:cs="宋体"/>
          <w:color w:val="auto"/>
          <w:highlight w:val="none"/>
        </w:rPr>
        <w:t>交磋商响应函，</w:t>
      </w:r>
      <w:r>
        <w:rPr>
          <w:rFonts w:hint="eastAsia" w:ascii="宋体" w:hAnsi="宋体" w:cs="宋体"/>
          <w:color w:val="auto"/>
          <w:szCs w:val="21"/>
          <w:highlight w:val="none"/>
        </w:rPr>
        <w:t>并宣布同意如下：</w:t>
      </w:r>
    </w:p>
    <w:p w14:paraId="7E5991FF">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1.按磋商文件规定的各项要求，向买方提供所需服务（包含与货物相关的服务及与服务相关的货物）。</w:t>
      </w:r>
    </w:p>
    <w:p w14:paraId="3D47FB8F">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2.我们完全理解贵方不一定将合同授予最低报价的供应商。</w:t>
      </w:r>
    </w:p>
    <w:p w14:paraId="1A71ED53">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3.我们已详细审核全部磋商文件及其有效补充文件，我们知道必须放弃提出含糊不清或误解问题的权利。</w:t>
      </w:r>
    </w:p>
    <w:p w14:paraId="69383617">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4.我们同意从规定的开标日期起遵循本响应文件，并在规定的磋商有效期期满之前均具有约束力。</w:t>
      </w:r>
    </w:p>
    <w:p w14:paraId="33A961AA">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5.同意向贵方提供贵方可能另外要求的与磋商有关的任何证据或资料，并保证我方已提供和将要提供的文件是真实的、准确的。</w:t>
      </w:r>
    </w:p>
    <w:p w14:paraId="71A170EA">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6.一旦我方成交，我方将根据磋商文件的规定，严格履行合同的责任和义务,并保证在磋商文件规定的时间完成项目，交付买方验收、使用。</w:t>
      </w:r>
    </w:p>
    <w:p w14:paraId="3991BCC1">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7.我方为：</w:t>
      </w:r>
      <w:r>
        <w:rPr>
          <w:rFonts w:ascii="Wingdings 2" w:hAnsi="Wingdings 2" w:eastAsia="Wingdings 2" w:cs="Wingdings 2"/>
          <w:color w:val="auto"/>
          <w:sz w:val="24"/>
          <w:szCs w:val="24"/>
          <w:highlight w:val="none"/>
          <w:lang w:val="zh-CN"/>
        </w:rPr>
        <w:t></w:t>
      </w:r>
      <w:r>
        <w:rPr>
          <w:rFonts w:hint="eastAsia" w:ascii="宋体" w:hAnsi="宋体"/>
          <w:color w:val="auto"/>
          <w:sz w:val="24"/>
          <w:szCs w:val="24"/>
          <w:highlight w:val="none"/>
        </w:rPr>
        <w:t xml:space="preserve">大型企业 </w:t>
      </w:r>
      <w:r>
        <w:rPr>
          <w:rFonts w:ascii="Wingdings 2" w:hAnsi="Wingdings 2" w:eastAsia="Wingdings 2" w:cs="Wingdings 2"/>
          <w:color w:val="auto"/>
          <w:sz w:val="24"/>
          <w:szCs w:val="24"/>
          <w:highlight w:val="none"/>
          <w:lang w:val="zh-CN"/>
        </w:rPr>
        <w:t></w:t>
      </w:r>
      <w:r>
        <w:rPr>
          <w:rFonts w:hint="eastAsia" w:ascii="宋体" w:hAnsi="宋体"/>
          <w:color w:val="auto"/>
          <w:sz w:val="24"/>
          <w:szCs w:val="24"/>
          <w:highlight w:val="none"/>
        </w:rPr>
        <w:t xml:space="preserve">中型企业 </w:t>
      </w:r>
      <w:r>
        <w:rPr>
          <w:rFonts w:ascii="Wingdings 2" w:hAnsi="Wingdings 2" w:eastAsia="Wingdings 2" w:cs="Wingdings 2"/>
          <w:color w:val="auto"/>
          <w:sz w:val="24"/>
          <w:szCs w:val="24"/>
          <w:highlight w:val="none"/>
          <w:lang w:val="zh-CN"/>
        </w:rPr>
        <w:t></w:t>
      </w:r>
      <w:r>
        <w:rPr>
          <w:rFonts w:hint="eastAsia" w:ascii="宋体" w:hAnsi="宋体"/>
          <w:color w:val="auto"/>
          <w:sz w:val="24"/>
          <w:szCs w:val="24"/>
          <w:highlight w:val="none"/>
        </w:rPr>
        <w:t xml:space="preserve">小型企业 </w:t>
      </w:r>
      <w:r>
        <w:rPr>
          <w:rFonts w:ascii="Wingdings 2" w:hAnsi="Wingdings 2" w:eastAsia="Wingdings 2" w:cs="Wingdings 2"/>
          <w:color w:val="auto"/>
          <w:sz w:val="24"/>
          <w:szCs w:val="24"/>
          <w:highlight w:val="none"/>
          <w:lang w:val="zh-CN"/>
        </w:rPr>
        <w:t></w:t>
      </w:r>
      <w:r>
        <w:rPr>
          <w:rFonts w:hint="eastAsia" w:ascii="宋体" w:hAnsi="宋体"/>
          <w:color w:val="auto"/>
          <w:sz w:val="24"/>
          <w:szCs w:val="24"/>
          <w:highlight w:val="none"/>
        </w:rPr>
        <w:t>微型企业</w:t>
      </w:r>
      <w:r>
        <w:rPr>
          <w:rFonts w:hint="eastAsia" w:ascii="宋体" w:hAnsi="宋体" w:cs="宋体"/>
          <w:color w:val="auto"/>
          <w:sz w:val="24"/>
          <w:szCs w:val="24"/>
          <w:highlight w:val="none"/>
        </w:rPr>
        <w:t>（对应</w:t>
      </w:r>
      <w:r>
        <w:rPr>
          <w:rFonts w:hint="eastAsia" w:ascii="宋体" w:hAnsi="宋体" w:cs="宋体"/>
          <w:color w:val="auto"/>
          <w:sz w:val="24"/>
          <w:szCs w:val="24"/>
          <w:highlight w:val="none"/>
          <w:lang w:val="zh-CN"/>
        </w:rPr>
        <w:t>£上打“√”</w:t>
      </w:r>
      <w:r>
        <w:rPr>
          <w:rFonts w:hint="eastAsia" w:ascii="宋体" w:hAnsi="宋体" w:cs="宋体"/>
          <w:color w:val="auto"/>
          <w:sz w:val="24"/>
          <w:szCs w:val="24"/>
          <w:highlight w:val="none"/>
        </w:rPr>
        <w:t>）</w:t>
      </w:r>
    </w:p>
    <w:p w14:paraId="3AACE87B">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8.我方与本磋商有关的正式通讯地址为：</w:t>
      </w:r>
    </w:p>
    <w:p w14:paraId="0E93A492">
      <w:pPr>
        <w:pStyle w:val="296"/>
        <w:spacing w:before="0" w:after="0"/>
        <w:rPr>
          <w:rFonts w:ascii="宋体" w:hAnsi="宋体" w:cs="宋体"/>
          <w:color w:val="auto"/>
          <w:szCs w:val="21"/>
          <w:highlight w:val="none"/>
        </w:rPr>
      </w:pPr>
      <w:r>
        <w:rPr>
          <w:rFonts w:hint="eastAsia" w:ascii="宋体" w:hAnsi="宋体" w:cs="宋体"/>
          <w:color w:val="auto"/>
          <w:szCs w:val="21"/>
          <w:highlight w:val="none"/>
        </w:rPr>
        <w:t>地  址：</w:t>
      </w:r>
    </w:p>
    <w:p w14:paraId="2F3B7523">
      <w:pPr>
        <w:pStyle w:val="296"/>
        <w:spacing w:before="0" w:after="0"/>
        <w:rPr>
          <w:rFonts w:ascii="宋体" w:hAnsi="宋体" w:cs="宋体"/>
          <w:color w:val="auto"/>
          <w:szCs w:val="21"/>
          <w:highlight w:val="none"/>
        </w:rPr>
      </w:pPr>
      <w:r>
        <w:rPr>
          <w:rFonts w:hint="eastAsia" w:ascii="宋体" w:hAnsi="宋体" w:cs="宋体"/>
          <w:color w:val="auto"/>
          <w:szCs w:val="21"/>
          <w:highlight w:val="none"/>
        </w:rPr>
        <w:t>邮  编：</w:t>
      </w:r>
    </w:p>
    <w:p w14:paraId="654A1937">
      <w:pPr>
        <w:pStyle w:val="296"/>
        <w:spacing w:before="0" w:after="0"/>
        <w:rPr>
          <w:rFonts w:ascii="宋体" w:hAnsi="宋体" w:cs="宋体"/>
          <w:color w:val="auto"/>
          <w:szCs w:val="21"/>
          <w:highlight w:val="none"/>
          <w:u w:val="single"/>
        </w:rPr>
      </w:pPr>
      <w:r>
        <w:rPr>
          <w:rFonts w:hint="eastAsia" w:ascii="宋体" w:hAnsi="宋体" w:cs="宋体"/>
          <w:color w:val="auto"/>
          <w:szCs w:val="21"/>
          <w:highlight w:val="none"/>
        </w:rPr>
        <w:t>电  话：</w:t>
      </w:r>
    </w:p>
    <w:p w14:paraId="4FFE826B">
      <w:pPr>
        <w:pStyle w:val="296"/>
        <w:spacing w:before="0" w:after="0"/>
        <w:rPr>
          <w:rFonts w:ascii="宋体" w:hAnsi="宋体" w:cs="宋体"/>
          <w:color w:val="auto"/>
          <w:szCs w:val="21"/>
          <w:highlight w:val="none"/>
          <w:u w:val="single"/>
        </w:rPr>
      </w:pPr>
      <w:r>
        <w:rPr>
          <w:rFonts w:hint="eastAsia" w:ascii="宋体" w:hAnsi="宋体" w:cs="宋体"/>
          <w:color w:val="auto"/>
          <w:szCs w:val="21"/>
          <w:highlight w:val="none"/>
        </w:rPr>
        <w:t>传  真：</w:t>
      </w:r>
    </w:p>
    <w:p w14:paraId="2B888F63">
      <w:pPr>
        <w:pStyle w:val="296"/>
        <w:spacing w:before="0" w:after="0"/>
        <w:rPr>
          <w:rFonts w:ascii="宋体" w:hAnsi="宋体" w:cs="宋体"/>
          <w:color w:val="auto"/>
          <w:szCs w:val="21"/>
          <w:highlight w:val="none"/>
          <w:u w:val="single"/>
        </w:rPr>
      </w:pPr>
      <w:r>
        <w:rPr>
          <w:rFonts w:hint="eastAsia" w:ascii="宋体" w:hAnsi="宋体" w:cs="宋体"/>
          <w:color w:val="auto"/>
          <w:szCs w:val="21"/>
          <w:highlight w:val="none"/>
        </w:rPr>
        <w:t>开户行：</w:t>
      </w:r>
    </w:p>
    <w:p w14:paraId="739AE9A4">
      <w:pPr>
        <w:pStyle w:val="296"/>
        <w:spacing w:before="0" w:after="0"/>
        <w:rPr>
          <w:rFonts w:ascii="宋体" w:hAnsi="宋体" w:cs="宋体"/>
          <w:color w:val="auto"/>
          <w:szCs w:val="21"/>
          <w:highlight w:val="none"/>
          <w:u w:val="single"/>
        </w:rPr>
      </w:pPr>
      <w:r>
        <w:rPr>
          <w:rFonts w:hint="eastAsia" w:ascii="宋体" w:hAnsi="宋体" w:cs="宋体"/>
          <w:color w:val="auto"/>
          <w:szCs w:val="21"/>
          <w:highlight w:val="none"/>
        </w:rPr>
        <w:t>账  号：</w:t>
      </w:r>
    </w:p>
    <w:p w14:paraId="0E988F07">
      <w:pPr>
        <w:spacing w:line="360" w:lineRule="auto"/>
        <w:ind w:right="180" w:firstLine="480"/>
        <w:rPr>
          <w:rFonts w:ascii="宋体" w:hAnsi="宋体" w:cs="宋体"/>
          <w:color w:val="auto"/>
          <w:sz w:val="24"/>
          <w:szCs w:val="24"/>
          <w:highlight w:val="none"/>
        </w:rPr>
      </w:pPr>
      <w:r>
        <w:rPr>
          <w:rFonts w:hint="eastAsia" w:ascii="宋体" w:hAnsi="宋体" w:cs="宋体"/>
          <w:color w:val="auto"/>
          <w:sz w:val="24"/>
          <w:szCs w:val="24"/>
          <w:highlight w:val="none"/>
        </w:rPr>
        <w:t>供应商名称：（加盖电子公章）</w:t>
      </w:r>
    </w:p>
    <w:p w14:paraId="33C39D86">
      <w:pPr>
        <w:pStyle w:val="296"/>
        <w:spacing w:before="0" w:after="0"/>
        <w:rPr>
          <w:rFonts w:ascii="宋体" w:hAnsi="宋体" w:cs="宋体"/>
          <w:color w:val="auto"/>
          <w:szCs w:val="21"/>
          <w:highlight w:val="none"/>
        </w:rPr>
      </w:pPr>
      <w:r>
        <w:rPr>
          <w:rFonts w:hint="eastAsia" w:ascii="宋体" w:hAnsi="宋体" w:cs="宋体"/>
          <w:color w:val="auto"/>
          <w:szCs w:val="21"/>
          <w:highlight w:val="none"/>
        </w:rPr>
        <w:t>日  期：</w:t>
      </w:r>
    </w:p>
    <w:p w14:paraId="3F348055">
      <w:pPr>
        <w:rPr>
          <w:rFonts w:ascii="宋体" w:hAnsi="宋体" w:cs="宋体"/>
          <w:color w:val="auto"/>
          <w:highlight w:val="none"/>
        </w:rPr>
      </w:pPr>
    </w:p>
    <w:p w14:paraId="7C36260A">
      <w:pPr>
        <w:rPr>
          <w:rFonts w:ascii="宋体" w:hAnsi="宋体" w:cs="宋体"/>
          <w:color w:val="auto"/>
          <w:highlight w:val="none"/>
        </w:rPr>
      </w:pPr>
    </w:p>
    <w:p w14:paraId="51007CCD">
      <w:pPr>
        <w:rPr>
          <w:rFonts w:ascii="宋体" w:hAnsi="宋体" w:cs="宋体"/>
          <w:color w:val="auto"/>
          <w:highlight w:val="none"/>
        </w:rPr>
      </w:pPr>
    </w:p>
    <w:p w14:paraId="38FAF684">
      <w:pPr>
        <w:rPr>
          <w:rFonts w:ascii="宋体" w:hAnsi="宋体" w:cs="宋体"/>
          <w:color w:val="auto"/>
          <w:highlight w:val="none"/>
        </w:rPr>
      </w:pPr>
    </w:p>
    <w:p w14:paraId="52991C5E">
      <w:pPr>
        <w:rPr>
          <w:rFonts w:ascii="宋体" w:hAnsi="宋体" w:cs="宋体"/>
          <w:color w:val="auto"/>
          <w:highlight w:val="none"/>
        </w:rPr>
      </w:pPr>
    </w:p>
    <w:p w14:paraId="74A366CE">
      <w:pPr>
        <w:pStyle w:val="62"/>
        <w:rPr>
          <w:rFonts w:ascii="宋体" w:hAnsi="宋体" w:eastAsia="宋体"/>
          <w:color w:val="auto"/>
          <w:highlight w:val="none"/>
        </w:rPr>
      </w:pPr>
    </w:p>
    <w:p w14:paraId="235E6D2F">
      <w:pPr>
        <w:rPr>
          <w:rFonts w:ascii="宋体" w:hAnsi="宋体" w:cs="宋体"/>
          <w:color w:val="auto"/>
          <w:sz w:val="32"/>
          <w:szCs w:val="32"/>
          <w:highlight w:val="none"/>
        </w:rPr>
      </w:pPr>
      <w:r>
        <w:rPr>
          <w:rFonts w:hint="eastAsia" w:ascii="宋体" w:hAnsi="宋体" w:cs="宋体"/>
          <w:color w:val="auto"/>
          <w:sz w:val="32"/>
          <w:szCs w:val="32"/>
          <w:highlight w:val="none"/>
        </w:rPr>
        <w:t>五、磋商报价表</w:t>
      </w:r>
    </w:p>
    <w:p w14:paraId="3CF7E4A5">
      <w:pPr>
        <w:spacing w:line="480" w:lineRule="auto"/>
        <w:jc w:val="center"/>
        <w:outlineLvl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磋商报价表</w:t>
      </w:r>
    </w:p>
    <w:p w14:paraId="4E508ECB">
      <w:pPr>
        <w:rPr>
          <w:rFonts w:ascii="宋体" w:hAnsi="宋体"/>
          <w:color w:val="auto"/>
          <w:sz w:val="24"/>
          <w:szCs w:val="24"/>
          <w:highlight w:val="none"/>
        </w:rPr>
      </w:pPr>
      <w:r>
        <w:rPr>
          <w:rFonts w:hint="eastAsia" w:ascii="宋体" w:hAnsi="宋体"/>
          <w:color w:val="auto"/>
          <w:sz w:val="24"/>
          <w:szCs w:val="24"/>
          <w:highlight w:val="none"/>
        </w:rPr>
        <w:t xml:space="preserve">供应商名称：（加盖电子公章） </w:t>
      </w:r>
    </w:p>
    <w:p w14:paraId="4D834330">
      <w:pPr>
        <w:widowControl/>
        <w:rPr>
          <w:rFonts w:ascii="宋体" w:hAnsi="宋体"/>
          <w:color w:val="auto"/>
          <w:sz w:val="24"/>
          <w:szCs w:val="24"/>
          <w:highlight w:val="none"/>
        </w:rPr>
      </w:pPr>
      <w:r>
        <w:rPr>
          <w:rFonts w:hint="eastAsia" w:ascii="宋体" w:hAnsi="宋体"/>
          <w:color w:val="auto"/>
          <w:sz w:val="24"/>
          <w:szCs w:val="24"/>
          <w:highlight w:val="none"/>
        </w:rPr>
        <w:t>项目名称：</w:t>
      </w:r>
    </w:p>
    <w:p w14:paraId="4443D7A0">
      <w:pPr>
        <w:widowControl/>
        <w:rPr>
          <w:rFonts w:ascii="宋体" w:hAnsi="宋体"/>
          <w:color w:val="auto"/>
          <w:sz w:val="24"/>
          <w:szCs w:val="24"/>
          <w:highlight w:val="none"/>
        </w:rPr>
      </w:pPr>
      <w:r>
        <w:rPr>
          <w:rFonts w:hint="eastAsia" w:ascii="宋体" w:hAnsi="宋体"/>
          <w:color w:val="auto"/>
          <w:sz w:val="24"/>
          <w:szCs w:val="24"/>
          <w:highlight w:val="none"/>
        </w:rPr>
        <w:t>项目编号：                                   分包号：</w:t>
      </w:r>
    </w:p>
    <w:tbl>
      <w:tblPr>
        <w:tblStyle w:val="36"/>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48"/>
      </w:tblGrid>
      <w:tr w14:paraId="5AD63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748" w:type="dxa"/>
            <w:noWrap w:val="0"/>
            <w:vAlign w:val="center"/>
          </w:tcPr>
          <w:p w14:paraId="221C963F">
            <w:pPr>
              <w:spacing w:line="480" w:lineRule="auto"/>
              <w:jc w:val="center"/>
              <w:rPr>
                <w:rFonts w:ascii="宋体" w:hAnsi="宋体"/>
                <w:color w:val="auto"/>
                <w:sz w:val="24"/>
                <w:szCs w:val="24"/>
                <w:highlight w:val="none"/>
              </w:rPr>
            </w:pPr>
            <w:r>
              <w:rPr>
                <w:rFonts w:hint="eastAsia" w:ascii="宋体" w:hAnsi="宋体"/>
                <w:color w:val="auto"/>
                <w:sz w:val="24"/>
                <w:szCs w:val="24"/>
                <w:highlight w:val="none"/>
              </w:rPr>
              <w:t>总报价</w:t>
            </w:r>
          </w:p>
        </w:tc>
      </w:tr>
      <w:tr w14:paraId="6D371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748" w:type="dxa"/>
            <w:noWrap w:val="0"/>
            <w:vAlign w:val="center"/>
          </w:tcPr>
          <w:p w14:paraId="28844E37">
            <w:pPr>
              <w:pStyle w:val="296"/>
              <w:spacing w:before="0" w:after="0" w:line="480" w:lineRule="auto"/>
              <w:ind w:firstLine="0"/>
              <w:rPr>
                <w:rFonts w:ascii="宋体" w:hAnsi="宋体"/>
                <w:color w:val="auto"/>
                <w:szCs w:val="21"/>
                <w:highlight w:val="none"/>
              </w:rPr>
            </w:pPr>
            <w:r>
              <w:rPr>
                <w:rFonts w:hint="eastAsia" w:ascii="宋体" w:hAnsi="宋体" w:cs="宋体"/>
                <w:color w:val="auto"/>
                <w:highlight w:val="none"/>
              </w:rPr>
              <w:t xml:space="preserve">小写（元）：                             </w:t>
            </w:r>
          </w:p>
        </w:tc>
      </w:tr>
    </w:tbl>
    <w:p w14:paraId="14B2CCB5">
      <w:pPr>
        <w:spacing w:line="480" w:lineRule="auto"/>
        <w:rPr>
          <w:rFonts w:ascii="宋体" w:hAnsi="宋体"/>
          <w:color w:val="auto"/>
          <w:sz w:val="24"/>
          <w:szCs w:val="24"/>
          <w:highlight w:val="none"/>
        </w:rPr>
      </w:pPr>
    </w:p>
    <w:p w14:paraId="52442F02">
      <w:pPr>
        <w:spacing w:line="480" w:lineRule="auto"/>
        <w:ind w:firstLine="480"/>
        <w:rPr>
          <w:rFonts w:ascii="黑体" w:hAnsi="黑体" w:eastAsia="黑体"/>
          <w:b/>
          <w:i/>
          <w:color w:val="auto"/>
          <w:sz w:val="32"/>
          <w:szCs w:val="32"/>
          <w:highlight w:val="none"/>
          <w:u w:val="single"/>
        </w:rPr>
      </w:pPr>
      <w:r>
        <w:rPr>
          <w:rFonts w:hint="eastAsia" w:ascii="宋体" w:hAnsi="宋体"/>
          <w:color w:val="auto"/>
          <w:sz w:val="24"/>
          <w:szCs w:val="24"/>
          <w:highlight w:val="none"/>
        </w:rPr>
        <w:t xml:space="preserve">                                              日  期：</w:t>
      </w:r>
    </w:p>
    <w:p w14:paraId="5D09887C">
      <w:pPr>
        <w:spacing w:line="360" w:lineRule="auto"/>
        <w:jc w:val="left"/>
        <w:rPr>
          <w:rFonts w:ascii="宋体" w:hAnsi="宋体" w:cs="宋体"/>
          <w:color w:val="auto"/>
          <w:sz w:val="32"/>
          <w:szCs w:val="32"/>
          <w:highlight w:val="none"/>
        </w:rPr>
      </w:pPr>
    </w:p>
    <w:p w14:paraId="133AB2F9">
      <w:pPr>
        <w:spacing w:line="360" w:lineRule="auto"/>
        <w:jc w:val="left"/>
        <w:rPr>
          <w:rFonts w:ascii="宋体" w:hAnsi="宋体" w:cs="宋体"/>
          <w:color w:val="auto"/>
          <w:sz w:val="32"/>
          <w:szCs w:val="32"/>
          <w:highlight w:val="none"/>
        </w:rPr>
      </w:pPr>
    </w:p>
    <w:p w14:paraId="2ED0A51B">
      <w:pP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备注：</w:t>
      </w:r>
    </w:p>
    <w:p w14:paraId="1A06E40B">
      <w:pP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按照苏财购[2026]36号文件转发的《财政部关于推动解决政府采购异常低价问题的通知》(财库[2026]2号)规定执行，包括：</w:t>
      </w:r>
    </w:p>
    <w:p w14:paraId="089F46AE">
      <w:pP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（一）评审过程中出现下列情形之一的，评审委员会应当启动异常低价投标（响应）审查程序：</w:t>
      </w:r>
    </w:p>
    <w:p w14:paraId="01870027">
      <w:pPr>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1.投标报价低于全部通过符合性审查供应商投标报价平均值65%的，即投标报价&lt;全部通过符合性审查供应商投标报价平均值×65%；</w:t>
      </w:r>
    </w:p>
    <w:p w14:paraId="5DB46C6A">
      <w:pPr>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2.投标报价低于通过符合性审查的次低报价供应商投标报价65%的，即投标报价&lt;通过符合性审查的次低报价供应商投标报价×65%；</w:t>
      </w:r>
    </w:p>
    <w:p w14:paraId="28744C51">
      <w:pPr>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3.投标报价低于采购项目最高限价65%的，即投标报价&lt;采购项目最高限价×65%；</w:t>
      </w:r>
    </w:p>
    <w:p w14:paraId="250E3BA4">
      <w:pPr>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4.评委会基于专业判断，认为供应商报价过低，有可能影响服务质量或者不能诚信履约的其他情形。</w:t>
      </w:r>
    </w:p>
    <w:p w14:paraId="31CF8C50">
      <w:pP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启动异常低价投标（响应）审查后，评审委员会应当要求相关供应商在评标合理的时间内，提供项目具体成本测算等与报价合理性相关的说明及相关证明材料，对投标（响应）价格作出解释，由评审委员会结合该行业当地薪资水平等情况，依据专业经验对供应商报价合理性进行判断。投标（响应）供应商不提供书面说明、证明材料，或者提供的说明、证明材料不能证明其报价合理性的，评审委员会应当将其作为无效投标（响应）处理。</w:t>
      </w:r>
    </w:p>
    <w:p w14:paraId="26BBEBC0">
      <w:pPr>
        <w:rPr>
          <w:rFonts w:hint="eastAsia" w:ascii="宋体" w:hAnsi="宋体" w:eastAsia="宋体" w:cs="Times New Roman"/>
          <w:color w:val="auto"/>
          <w:sz w:val="24"/>
          <w:szCs w:val="24"/>
          <w:highlight w:val="none"/>
        </w:rPr>
      </w:pPr>
    </w:p>
    <w:p w14:paraId="06DC07D2">
      <w:pPr>
        <w:spacing w:line="360" w:lineRule="auto"/>
        <w:jc w:val="left"/>
        <w:rPr>
          <w:rFonts w:ascii="宋体" w:hAnsi="宋体" w:cs="宋体"/>
          <w:color w:val="auto"/>
          <w:sz w:val="32"/>
          <w:szCs w:val="32"/>
          <w:highlight w:val="none"/>
        </w:rPr>
      </w:pPr>
    </w:p>
    <w:p w14:paraId="0A44F467">
      <w:pPr>
        <w:spacing w:line="360" w:lineRule="auto"/>
        <w:jc w:val="left"/>
        <w:rPr>
          <w:rFonts w:ascii="宋体" w:hAnsi="宋体" w:cs="宋体"/>
          <w:color w:val="auto"/>
          <w:sz w:val="32"/>
          <w:szCs w:val="32"/>
          <w:highlight w:val="none"/>
        </w:rPr>
      </w:pPr>
      <w:r>
        <w:rPr>
          <w:rFonts w:hint="eastAsia" w:ascii="宋体" w:hAnsi="宋体" w:cs="宋体"/>
          <w:color w:val="auto"/>
          <w:sz w:val="32"/>
          <w:szCs w:val="32"/>
          <w:highlight w:val="none"/>
        </w:rPr>
        <w:t>六、实质性要求响应及偏离表</w:t>
      </w:r>
    </w:p>
    <w:p w14:paraId="29251F1A">
      <w:pPr>
        <w:spacing w:line="360" w:lineRule="auto"/>
        <w:jc w:val="left"/>
        <w:outlineLvl w:val="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一</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技术要求响应及偏离表</w:t>
      </w:r>
    </w:p>
    <w:p w14:paraId="5C421FEC">
      <w:pPr>
        <w:spacing w:line="360" w:lineRule="auto"/>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技术要求响应及偏离表</w:t>
      </w:r>
    </w:p>
    <w:tbl>
      <w:tblPr>
        <w:tblStyle w:val="36"/>
        <w:tblW w:w="977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8"/>
        <w:gridCol w:w="2925"/>
        <w:gridCol w:w="2832"/>
        <w:gridCol w:w="1634"/>
        <w:gridCol w:w="1634"/>
      </w:tblGrid>
      <w:tr w14:paraId="5BDA4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48" w:type="dxa"/>
            <w:noWrap w:val="0"/>
            <w:vAlign w:val="center"/>
          </w:tcPr>
          <w:p w14:paraId="41559714">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序号</w:t>
            </w:r>
          </w:p>
        </w:tc>
        <w:tc>
          <w:tcPr>
            <w:tcW w:w="2925" w:type="dxa"/>
            <w:noWrap w:val="0"/>
            <w:vAlign w:val="center"/>
          </w:tcPr>
          <w:p w14:paraId="206E029C">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招标文件要求</w:t>
            </w:r>
          </w:p>
        </w:tc>
        <w:tc>
          <w:tcPr>
            <w:tcW w:w="2832" w:type="dxa"/>
            <w:noWrap w:val="0"/>
            <w:vAlign w:val="center"/>
          </w:tcPr>
          <w:p w14:paraId="3E6CC5C5">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投标响应情况</w:t>
            </w:r>
          </w:p>
        </w:tc>
        <w:tc>
          <w:tcPr>
            <w:tcW w:w="1634" w:type="dxa"/>
            <w:noWrap w:val="0"/>
            <w:vAlign w:val="center"/>
          </w:tcPr>
          <w:p w14:paraId="73536B7B">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正偏离、无偏离或负偏离</w:t>
            </w:r>
          </w:p>
        </w:tc>
        <w:tc>
          <w:tcPr>
            <w:tcW w:w="1634" w:type="dxa"/>
            <w:noWrap w:val="0"/>
            <w:vAlign w:val="center"/>
          </w:tcPr>
          <w:p w14:paraId="76471797">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所在页码</w:t>
            </w:r>
          </w:p>
        </w:tc>
      </w:tr>
      <w:tr w14:paraId="0CD57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2233F38D">
            <w:pPr>
              <w:jc w:val="center"/>
              <w:rPr>
                <w:rFonts w:hint="eastAsia" w:ascii="宋体" w:hAnsi="宋体" w:cs="宋体"/>
                <w:color w:val="auto"/>
                <w:sz w:val="24"/>
                <w:szCs w:val="24"/>
                <w:highlight w:val="none"/>
              </w:rPr>
            </w:pPr>
          </w:p>
        </w:tc>
        <w:tc>
          <w:tcPr>
            <w:tcW w:w="2925" w:type="dxa"/>
            <w:noWrap w:val="0"/>
            <w:vAlign w:val="top"/>
          </w:tcPr>
          <w:p w14:paraId="643228C1">
            <w:pPr>
              <w:jc w:val="center"/>
              <w:rPr>
                <w:rFonts w:hint="eastAsia" w:ascii="宋体" w:hAnsi="宋体" w:cs="宋体"/>
                <w:color w:val="auto"/>
                <w:sz w:val="24"/>
                <w:szCs w:val="24"/>
                <w:highlight w:val="none"/>
              </w:rPr>
            </w:pPr>
          </w:p>
        </w:tc>
        <w:tc>
          <w:tcPr>
            <w:tcW w:w="2832" w:type="dxa"/>
            <w:noWrap w:val="0"/>
            <w:vAlign w:val="top"/>
          </w:tcPr>
          <w:p w14:paraId="6FF9C577">
            <w:pPr>
              <w:jc w:val="center"/>
              <w:rPr>
                <w:rFonts w:hint="eastAsia" w:ascii="宋体" w:hAnsi="宋体" w:cs="宋体"/>
                <w:color w:val="auto"/>
                <w:sz w:val="24"/>
                <w:szCs w:val="24"/>
                <w:highlight w:val="none"/>
              </w:rPr>
            </w:pPr>
          </w:p>
        </w:tc>
        <w:tc>
          <w:tcPr>
            <w:tcW w:w="1634" w:type="dxa"/>
            <w:noWrap w:val="0"/>
            <w:vAlign w:val="top"/>
          </w:tcPr>
          <w:p w14:paraId="0D1475DD">
            <w:pPr>
              <w:jc w:val="center"/>
              <w:rPr>
                <w:rFonts w:hint="eastAsia" w:ascii="宋体" w:hAnsi="宋体" w:cs="宋体"/>
                <w:color w:val="auto"/>
                <w:sz w:val="24"/>
                <w:szCs w:val="24"/>
                <w:highlight w:val="none"/>
              </w:rPr>
            </w:pPr>
          </w:p>
        </w:tc>
        <w:tc>
          <w:tcPr>
            <w:tcW w:w="1634" w:type="dxa"/>
            <w:noWrap w:val="0"/>
            <w:vAlign w:val="top"/>
          </w:tcPr>
          <w:p w14:paraId="14B1156A">
            <w:pPr>
              <w:jc w:val="center"/>
              <w:rPr>
                <w:rFonts w:hint="eastAsia" w:ascii="宋体" w:hAnsi="宋体" w:cs="宋体"/>
                <w:color w:val="auto"/>
                <w:sz w:val="24"/>
                <w:szCs w:val="24"/>
                <w:highlight w:val="none"/>
              </w:rPr>
            </w:pPr>
          </w:p>
        </w:tc>
      </w:tr>
      <w:tr w14:paraId="6595F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0ABC7B7A">
            <w:pPr>
              <w:jc w:val="center"/>
              <w:rPr>
                <w:rFonts w:hint="eastAsia" w:ascii="宋体" w:hAnsi="宋体" w:cs="宋体"/>
                <w:color w:val="auto"/>
                <w:sz w:val="24"/>
                <w:szCs w:val="24"/>
                <w:highlight w:val="none"/>
              </w:rPr>
            </w:pPr>
          </w:p>
        </w:tc>
        <w:tc>
          <w:tcPr>
            <w:tcW w:w="2925" w:type="dxa"/>
            <w:noWrap w:val="0"/>
            <w:vAlign w:val="top"/>
          </w:tcPr>
          <w:p w14:paraId="4AEFE2EB">
            <w:pPr>
              <w:jc w:val="center"/>
              <w:rPr>
                <w:rFonts w:hint="eastAsia" w:ascii="宋体" w:hAnsi="宋体" w:cs="宋体"/>
                <w:color w:val="auto"/>
                <w:sz w:val="24"/>
                <w:szCs w:val="24"/>
                <w:highlight w:val="none"/>
              </w:rPr>
            </w:pPr>
          </w:p>
        </w:tc>
        <w:tc>
          <w:tcPr>
            <w:tcW w:w="2832" w:type="dxa"/>
            <w:noWrap w:val="0"/>
            <w:vAlign w:val="top"/>
          </w:tcPr>
          <w:p w14:paraId="7BB79489">
            <w:pPr>
              <w:jc w:val="center"/>
              <w:rPr>
                <w:rFonts w:hint="eastAsia" w:ascii="宋体" w:hAnsi="宋体" w:cs="宋体"/>
                <w:color w:val="auto"/>
                <w:sz w:val="24"/>
                <w:szCs w:val="24"/>
                <w:highlight w:val="none"/>
              </w:rPr>
            </w:pPr>
          </w:p>
        </w:tc>
        <w:tc>
          <w:tcPr>
            <w:tcW w:w="1634" w:type="dxa"/>
            <w:noWrap w:val="0"/>
            <w:vAlign w:val="top"/>
          </w:tcPr>
          <w:p w14:paraId="26677D84">
            <w:pPr>
              <w:jc w:val="center"/>
              <w:rPr>
                <w:rFonts w:hint="eastAsia" w:ascii="宋体" w:hAnsi="宋体" w:cs="宋体"/>
                <w:color w:val="auto"/>
                <w:sz w:val="24"/>
                <w:szCs w:val="24"/>
                <w:highlight w:val="none"/>
              </w:rPr>
            </w:pPr>
          </w:p>
        </w:tc>
        <w:tc>
          <w:tcPr>
            <w:tcW w:w="1634" w:type="dxa"/>
            <w:noWrap w:val="0"/>
            <w:vAlign w:val="top"/>
          </w:tcPr>
          <w:p w14:paraId="7567377B">
            <w:pPr>
              <w:jc w:val="center"/>
              <w:rPr>
                <w:rFonts w:hint="eastAsia" w:ascii="宋体" w:hAnsi="宋体" w:cs="宋体"/>
                <w:color w:val="auto"/>
                <w:sz w:val="24"/>
                <w:szCs w:val="24"/>
                <w:highlight w:val="none"/>
              </w:rPr>
            </w:pPr>
          </w:p>
        </w:tc>
      </w:tr>
      <w:tr w14:paraId="2ED11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73EE7339">
            <w:pPr>
              <w:jc w:val="center"/>
              <w:rPr>
                <w:rFonts w:hint="eastAsia" w:ascii="宋体" w:hAnsi="宋体" w:cs="宋体"/>
                <w:color w:val="auto"/>
                <w:sz w:val="24"/>
                <w:szCs w:val="24"/>
                <w:highlight w:val="none"/>
              </w:rPr>
            </w:pPr>
          </w:p>
        </w:tc>
        <w:tc>
          <w:tcPr>
            <w:tcW w:w="2925" w:type="dxa"/>
            <w:noWrap w:val="0"/>
            <w:vAlign w:val="top"/>
          </w:tcPr>
          <w:p w14:paraId="75208C06">
            <w:pPr>
              <w:jc w:val="center"/>
              <w:rPr>
                <w:rFonts w:hint="eastAsia" w:ascii="宋体" w:hAnsi="宋体" w:cs="宋体"/>
                <w:color w:val="auto"/>
                <w:sz w:val="24"/>
                <w:szCs w:val="24"/>
                <w:highlight w:val="none"/>
              </w:rPr>
            </w:pPr>
          </w:p>
        </w:tc>
        <w:tc>
          <w:tcPr>
            <w:tcW w:w="2832" w:type="dxa"/>
            <w:noWrap w:val="0"/>
            <w:vAlign w:val="top"/>
          </w:tcPr>
          <w:p w14:paraId="1D4C9936">
            <w:pPr>
              <w:jc w:val="center"/>
              <w:rPr>
                <w:rFonts w:hint="eastAsia" w:ascii="宋体" w:hAnsi="宋体" w:cs="宋体"/>
                <w:color w:val="auto"/>
                <w:sz w:val="24"/>
                <w:szCs w:val="24"/>
                <w:highlight w:val="none"/>
              </w:rPr>
            </w:pPr>
          </w:p>
        </w:tc>
        <w:tc>
          <w:tcPr>
            <w:tcW w:w="1634" w:type="dxa"/>
            <w:noWrap w:val="0"/>
            <w:vAlign w:val="top"/>
          </w:tcPr>
          <w:p w14:paraId="7C3BB0AC">
            <w:pPr>
              <w:jc w:val="center"/>
              <w:rPr>
                <w:rFonts w:hint="eastAsia" w:ascii="宋体" w:hAnsi="宋体" w:cs="宋体"/>
                <w:color w:val="auto"/>
                <w:sz w:val="24"/>
                <w:szCs w:val="24"/>
                <w:highlight w:val="none"/>
              </w:rPr>
            </w:pPr>
          </w:p>
        </w:tc>
        <w:tc>
          <w:tcPr>
            <w:tcW w:w="1634" w:type="dxa"/>
            <w:noWrap w:val="0"/>
            <w:vAlign w:val="top"/>
          </w:tcPr>
          <w:p w14:paraId="2EFB8A34">
            <w:pPr>
              <w:jc w:val="center"/>
              <w:rPr>
                <w:rFonts w:hint="eastAsia" w:ascii="宋体" w:hAnsi="宋体" w:cs="宋体"/>
                <w:color w:val="auto"/>
                <w:sz w:val="24"/>
                <w:szCs w:val="24"/>
                <w:highlight w:val="none"/>
              </w:rPr>
            </w:pPr>
          </w:p>
        </w:tc>
      </w:tr>
      <w:tr w14:paraId="76C7A2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7C17D041">
            <w:pPr>
              <w:jc w:val="center"/>
              <w:rPr>
                <w:rFonts w:hint="eastAsia" w:ascii="宋体" w:hAnsi="宋体" w:cs="宋体"/>
                <w:color w:val="auto"/>
                <w:sz w:val="24"/>
                <w:szCs w:val="24"/>
                <w:highlight w:val="none"/>
              </w:rPr>
            </w:pPr>
          </w:p>
        </w:tc>
        <w:tc>
          <w:tcPr>
            <w:tcW w:w="2925" w:type="dxa"/>
            <w:noWrap w:val="0"/>
            <w:vAlign w:val="top"/>
          </w:tcPr>
          <w:p w14:paraId="5E1950F0">
            <w:pPr>
              <w:jc w:val="center"/>
              <w:rPr>
                <w:rFonts w:hint="eastAsia" w:ascii="宋体" w:hAnsi="宋体" w:cs="宋体"/>
                <w:color w:val="auto"/>
                <w:sz w:val="24"/>
                <w:szCs w:val="24"/>
                <w:highlight w:val="none"/>
              </w:rPr>
            </w:pPr>
          </w:p>
        </w:tc>
        <w:tc>
          <w:tcPr>
            <w:tcW w:w="2832" w:type="dxa"/>
            <w:noWrap w:val="0"/>
            <w:vAlign w:val="top"/>
          </w:tcPr>
          <w:p w14:paraId="23C64ED1">
            <w:pPr>
              <w:jc w:val="center"/>
              <w:rPr>
                <w:rFonts w:hint="eastAsia" w:ascii="宋体" w:hAnsi="宋体" w:cs="宋体"/>
                <w:color w:val="auto"/>
                <w:sz w:val="24"/>
                <w:szCs w:val="24"/>
                <w:highlight w:val="none"/>
              </w:rPr>
            </w:pPr>
          </w:p>
        </w:tc>
        <w:tc>
          <w:tcPr>
            <w:tcW w:w="1634" w:type="dxa"/>
            <w:noWrap w:val="0"/>
            <w:vAlign w:val="top"/>
          </w:tcPr>
          <w:p w14:paraId="6F945566">
            <w:pPr>
              <w:jc w:val="center"/>
              <w:rPr>
                <w:rFonts w:hint="eastAsia" w:ascii="宋体" w:hAnsi="宋体" w:cs="宋体"/>
                <w:color w:val="auto"/>
                <w:sz w:val="24"/>
                <w:szCs w:val="24"/>
                <w:highlight w:val="none"/>
              </w:rPr>
            </w:pPr>
          </w:p>
        </w:tc>
        <w:tc>
          <w:tcPr>
            <w:tcW w:w="1634" w:type="dxa"/>
            <w:noWrap w:val="0"/>
            <w:vAlign w:val="top"/>
          </w:tcPr>
          <w:p w14:paraId="3C824D76">
            <w:pPr>
              <w:jc w:val="center"/>
              <w:rPr>
                <w:rFonts w:hint="eastAsia" w:ascii="宋体" w:hAnsi="宋体" w:cs="宋体"/>
                <w:color w:val="auto"/>
                <w:sz w:val="24"/>
                <w:szCs w:val="24"/>
                <w:highlight w:val="none"/>
              </w:rPr>
            </w:pPr>
          </w:p>
        </w:tc>
      </w:tr>
      <w:tr w14:paraId="36D57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4C9E5AD6">
            <w:pPr>
              <w:jc w:val="center"/>
              <w:rPr>
                <w:rFonts w:hint="eastAsia" w:ascii="宋体" w:hAnsi="宋体" w:cs="宋体"/>
                <w:color w:val="auto"/>
                <w:sz w:val="24"/>
                <w:szCs w:val="24"/>
                <w:highlight w:val="none"/>
              </w:rPr>
            </w:pPr>
          </w:p>
        </w:tc>
        <w:tc>
          <w:tcPr>
            <w:tcW w:w="2925" w:type="dxa"/>
            <w:noWrap w:val="0"/>
            <w:vAlign w:val="top"/>
          </w:tcPr>
          <w:p w14:paraId="5F0668BD">
            <w:pPr>
              <w:jc w:val="center"/>
              <w:rPr>
                <w:rFonts w:hint="eastAsia" w:ascii="宋体" w:hAnsi="宋体" w:cs="宋体"/>
                <w:color w:val="auto"/>
                <w:sz w:val="24"/>
                <w:szCs w:val="24"/>
                <w:highlight w:val="none"/>
              </w:rPr>
            </w:pPr>
          </w:p>
        </w:tc>
        <w:tc>
          <w:tcPr>
            <w:tcW w:w="2832" w:type="dxa"/>
            <w:noWrap w:val="0"/>
            <w:vAlign w:val="top"/>
          </w:tcPr>
          <w:p w14:paraId="14466472">
            <w:pPr>
              <w:jc w:val="center"/>
              <w:rPr>
                <w:rFonts w:hint="eastAsia" w:ascii="宋体" w:hAnsi="宋体" w:cs="宋体"/>
                <w:color w:val="auto"/>
                <w:sz w:val="24"/>
                <w:szCs w:val="24"/>
                <w:highlight w:val="none"/>
              </w:rPr>
            </w:pPr>
          </w:p>
        </w:tc>
        <w:tc>
          <w:tcPr>
            <w:tcW w:w="1634" w:type="dxa"/>
            <w:noWrap w:val="0"/>
            <w:vAlign w:val="top"/>
          </w:tcPr>
          <w:p w14:paraId="15E668E4">
            <w:pPr>
              <w:jc w:val="center"/>
              <w:rPr>
                <w:rFonts w:hint="eastAsia" w:ascii="宋体" w:hAnsi="宋体" w:cs="宋体"/>
                <w:color w:val="auto"/>
                <w:sz w:val="24"/>
                <w:szCs w:val="24"/>
                <w:highlight w:val="none"/>
              </w:rPr>
            </w:pPr>
          </w:p>
        </w:tc>
        <w:tc>
          <w:tcPr>
            <w:tcW w:w="1634" w:type="dxa"/>
            <w:noWrap w:val="0"/>
            <w:vAlign w:val="top"/>
          </w:tcPr>
          <w:p w14:paraId="74875FF6">
            <w:pPr>
              <w:jc w:val="center"/>
              <w:rPr>
                <w:rFonts w:hint="eastAsia" w:ascii="宋体" w:hAnsi="宋体" w:cs="宋体"/>
                <w:color w:val="auto"/>
                <w:sz w:val="24"/>
                <w:szCs w:val="24"/>
                <w:highlight w:val="none"/>
              </w:rPr>
            </w:pPr>
          </w:p>
        </w:tc>
      </w:tr>
      <w:tr w14:paraId="008C7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0BD4B3BE">
            <w:pPr>
              <w:jc w:val="center"/>
              <w:rPr>
                <w:rFonts w:hint="eastAsia" w:ascii="宋体" w:hAnsi="宋体" w:cs="宋体"/>
                <w:color w:val="auto"/>
                <w:sz w:val="24"/>
                <w:szCs w:val="24"/>
                <w:highlight w:val="none"/>
              </w:rPr>
            </w:pPr>
          </w:p>
        </w:tc>
        <w:tc>
          <w:tcPr>
            <w:tcW w:w="2925" w:type="dxa"/>
            <w:noWrap w:val="0"/>
            <w:vAlign w:val="top"/>
          </w:tcPr>
          <w:p w14:paraId="1CC7EFA3">
            <w:pPr>
              <w:jc w:val="center"/>
              <w:rPr>
                <w:rFonts w:hint="eastAsia" w:ascii="宋体" w:hAnsi="宋体" w:cs="宋体"/>
                <w:color w:val="auto"/>
                <w:sz w:val="24"/>
                <w:szCs w:val="24"/>
                <w:highlight w:val="none"/>
              </w:rPr>
            </w:pPr>
          </w:p>
        </w:tc>
        <w:tc>
          <w:tcPr>
            <w:tcW w:w="2832" w:type="dxa"/>
            <w:noWrap w:val="0"/>
            <w:vAlign w:val="top"/>
          </w:tcPr>
          <w:p w14:paraId="4B1F928A">
            <w:pPr>
              <w:jc w:val="center"/>
              <w:rPr>
                <w:rFonts w:hint="eastAsia" w:ascii="宋体" w:hAnsi="宋体" w:cs="宋体"/>
                <w:color w:val="auto"/>
                <w:sz w:val="24"/>
                <w:szCs w:val="24"/>
                <w:highlight w:val="none"/>
              </w:rPr>
            </w:pPr>
          </w:p>
        </w:tc>
        <w:tc>
          <w:tcPr>
            <w:tcW w:w="1634" w:type="dxa"/>
            <w:noWrap w:val="0"/>
            <w:vAlign w:val="top"/>
          </w:tcPr>
          <w:p w14:paraId="3EF03131">
            <w:pPr>
              <w:jc w:val="center"/>
              <w:rPr>
                <w:rFonts w:hint="eastAsia" w:ascii="宋体" w:hAnsi="宋体" w:cs="宋体"/>
                <w:color w:val="auto"/>
                <w:sz w:val="24"/>
                <w:szCs w:val="24"/>
                <w:highlight w:val="none"/>
              </w:rPr>
            </w:pPr>
          </w:p>
        </w:tc>
        <w:tc>
          <w:tcPr>
            <w:tcW w:w="1634" w:type="dxa"/>
            <w:noWrap w:val="0"/>
            <w:vAlign w:val="top"/>
          </w:tcPr>
          <w:p w14:paraId="6D00FE32">
            <w:pPr>
              <w:jc w:val="center"/>
              <w:rPr>
                <w:rFonts w:hint="eastAsia" w:ascii="宋体" w:hAnsi="宋体" w:cs="宋体"/>
                <w:color w:val="auto"/>
                <w:sz w:val="24"/>
                <w:szCs w:val="24"/>
                <w:highlight w:val="none"/>
              </w:rPr>
            </w:pPr>
          </w:p>
        </w:tc>
      </w:tr>
      <w:tr w14:paraId="1F2DD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00DDC179">
            <w:pPr>
              <w:jc w:val="center"/>
              <w:rPr>
                <w:rFonts w:hint="eastAsia" w:ascii="宋体" w:hAnsi="宋体" w:cs="宋体"/>
                <w:color w:val="auto"/>
                <w:sz w:val="24"/>
                <w:szCs w:val="24"/>
                <w:highlight w:val="none"/>
              </w:rPr>
            </w:pPr>
          </w:p>
        </w:tc>
        <w:tc>
          <w:tcPr>
            <w:tcW w:w="2925" w:type="dxa"/>
            <w:noWrap w:val="0"/>
            <w:vAlign w:val="top"/>
          </w:tcPr>
          <w:p w14:paraId="74DD99DF">
            <w:pPr>
              <w:jc w:val="center"/>
              <w:rPr>
                <w:rFonts w:hint="eastAsia" w:ascii="宋体" w:hAnsi="宋体" w:cs="宋体"/>
                <w:color w:val="auto"/>
                <w:sz w:val="24"/>
                <w:szCs w:val="24"/>
                <w:highlight w:val="none"/>
              </w:rPr>
            </w:pPr>
          </w:p>
        </w:tc>
        <w:tc>
          <w:tcPr>
            <w:tcW w:w="2832" w:type="dxa"/>
            <w:noWrap w:val="0"/>
            <w:vAlign w:val="top"/>
          </w:tcPr>
          <w:p w14:paraId="1F450B23">
            <w:pPr>
              <w:jc w:val="center"/>
              <w:rPr>
                <w:rFonts w:hint="eastAsia" w:ascii="宋体" w:hAnsi="宋体" w:cs="宋体"/>
                <w:color w:val="auto"/>
                <w:sz w:val="24"/>
                <w:szCs w:val="24"/>
                <w:highlight w:val="none"/>
              </w:rPr>
            </w:pPr>
          </w:p>
        </w:tc>
        <w:tc>
          <w:tcPr>
            <w:tcW w:w="1634" w:type="dxa"/>
            <w:noWrap w:val="0"/>
            <w:vAlign w:val="top"/>
          </w:tcPr>
          <w:p w14:paraId="2031A138">
            <w:pPr>
              <w:jc w:val="center"/>
              <w:rPr>
                <w:rFonts w:hint="eastAsia" w:ascii="宋体" w:hAnsi="宋体" w:cs="宋体"/>
                <w:color w:val="auto"/>
                <w:sz w:val="24"/>
                <w:szCs w:val="24"/>
                <w:highlight w:val="none"/>
              </w:rPr>
            </w:pPr>
          </w:p>
        </w:tc>
        <w:tc>
          <w:tcPr>
            <w:tcW w:w="1634" w:type="dxa"/>
            <w:noWrap w:val="0"/>
            <w:vAlign w:val="top"/>
          </w:tcPr>
          <w:p w14:paraId="76A2B30D">
            <w:pPr>
              <w:jc w:val="center"/>
              <w:rPr>
                <w:rFonts w:hint="eastAsia" w:ascii="宋体" w:hAnsi="宋体" w:cs="宋体"/>
                <w:color w:val="auto"/>
                <w:sz w:val="24"/>
                <w:szCs w:val="24"/>
                <w:highlight w:val="none"/>
              </w:rPr>
            </w:pPr>
          </w:p>
        </w:tc>
      </w:tr>
      <w:tr w14:paraId="1E9ACF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03829A87">
            <w:pPr>
              <w:jc w:val="center"/>
              <w:rPr>
                <w:rFonts w:hint="eastAsia" w:ascii="宋体" w:hAnsi="宋体" w:cs="宋体"/>
                <w:color w:val="auto"/>
                <w:sz w:val="24"/>
                <w:szCs w:val="24"/>
                <w:highlight w:val="none"/>
              </w:rPr>
            </w:pPr>
          </w:p>
        </w:tc>
        <w:tc>
          <w:tcPr>
            <w:tcW w:w="2925" w:type="dxa"/>
            <w:noWrap w:val="0"/>
            <w:vAlign w:val="top"/>
          </w:tcPr>
          <w:p w14:paraId="41C2EFCA">
            <w:pPr>
              <w:jc w:val="center"/>
              <w:rPr>
                <w:rFonts w:hint="eastAsia" w:ascii="宋体" w:hAnsi="宋体" w:cs="宋体"/>
                <w:color w:val="auto"/>
                <w:highlight w:val="none"/>
              </w:rPr>
            </w:pPr>
          </w:p>
          <w:p w14:paraId="2A72DB9D">
            <w:pPr>
              <w:pStyle w:val="276"/>
              <w:rPr>
                <w:rFonts w:hint="eastAsia" w:cs="宋体"/>
                <w:color w:val="auto"/>
                <w:highlight w:val="none"/>
              </w:rPr>
            </w:pPr>
          </w:p>
        </w:tc>
        <w:tc>
          <w:tcPr>
            <w:tcW w:w="2832" w:type="dxa"/>
            <w:noWrap w:val="0"/>
            <w:vAlign w:val="top"/>
          </w:tcPr>
          <w:p w14:paraId="4DDDB867">
            <w:pPr>
              <w:jc w:val="center"/>
              <w:rPr>
                <w:rFonts w:hint="eastAsia" w:ascii="宋体" w:hAnsi="宋体" w:cs="宋体"/>
                <w:color w:val="auto"/>
                <w:sz w:val="24"/>
                <w:szCs w:val="24"/>
                <w:highlight w:val="none"/>
              </w:rPr>
            </w:pPr>
          </w:p>
        </w:tc>
        <w:tc>
          <w:tcPr>
            <w:tcW w:w="1634" w:type="dxa"/>
            <w:noWrap w:val="0"/>
            <w:vAlign w:val="top"/>
          </w:tcPr>
          <w:p w14:paraId="037F0FB0">
            <w:pPr>
              <w:jc w:val="center"/>
              <w:rPr>
                <w:rFonts w:hint="eastAsia" w:ascii="宋体" w:hAnsi="宋体" w:cs="宋体"/>
                <w:color w:val="auto"/>
                <w:sz w:val="24"/>
                <w:szCs w:val="24"/>
                <w:highlight w:val="none"/>
              </w:rPr>
            </w:pPr>
          </w:p>
        </w:tc>
        <w:tc>
          <w:tcPr>
            <w:tcW w:w="1634" w:type="dxa"/>
            <w:noWrap w:val="0"/>
            <w:vAlign w:val="top"/>
          </w:tcPr>
          <w:p w14:paraId="6B22A8A2">
            <w:pPr>
              <w:jc w:val="center"/>
              <w:rPr>
                <w:rFonts w:hint="eastAsia" w:ascii="宋体" w:hAnsi="宋体" w:cs="宋体"/>
                <w:color w:val="auto"/>
                <w:sz w:val="24"/>
                <w:szCs w:val="24"/>
                <w:highlight w:val="none"/>
              </w:rPr>
            </w:pPr>
          </w:p>
        </w:tc>
      </w:tr>
    </w:tbl>
    <w:p w14:paraId="59CFCA3E">
      <w:pPr>
        <w:pStyle w:val="271"/>
        <w:spacing w:before="0" w:beforeAutospacing="0" w:after="0" w:afterAutospacing="0"/>
        <w:jc w:val="both"/>
        <w:rPr>
          <w:rFonts w:hint="eastAsia"/>
          <w:color w:val="auto"/>
          <w:highlight w:val="none"/>
        </w:rPr>
      </w:pPr>
    </w:p>
    <w:p w14:paraId="649EAB43">
      <w:pPr>
        <w:spacing w:line="360" w:lineRule="auto"/>
        <w:ind w:right="18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供应商名称：（加盖电子公章）</w:t>
      </w:r>
    </w:p>
    <w:p w14:paraId="7DD1DE38">
      <w:pPr>
        <w:rPr>
          <w:rFonts w:hint="eastAsia" w:ascii="宋体" w:hAnsi="宋体" w:cs="宋体"/>
          <w:color w:val="auto"/>
          <w:sz w:val="24"/>
          <w:szCs w:val="24"/>
          <w:highlight w:val="none"/>
        </w:rPr>
      </w:pPr>
    </w:p>
    <w:p w14:paraId="197B9B03">
      <w:pPr>
        <w:pStyle w:val="271"/>
        <w:spacing w:before="0" w:beforeAutospacing="0" w:after="0" w:afterAutospacing="0" w:line="360" w:lineRule="auto"/>
        <w:ind w:firstLine="480"/>
        <w:jc w:val="both"/>
        <w:rPr>
          <w:rFonts w:hint="eastAsia"/>
          <w:color w:val="auto"/>
          <w:highlight w:val="none"/>
        </w:rPr>
      </w:pPr>
      <w:r>
        <w:rPr>
          <w:rFonts w:hint="eastAsia"/>
          <w:color w:val="auto"/>
          <w:highlight w:val="none"/>
        </w:rPr>
        <w:t xml:space="preserve">备注： </w:t>
      </w:r>
    </w:p>
    <w:p w14:paraId="02806B03">
      <w:pPr>
        <w:pStyle w:val="271"/>
        <w:numPr>
          <w:ilvl w:val="0"/>
          <w:numId w:val="8"/>
        </w:numPr>
        <w:spacing w:before="0" w:beforeAutospacing="0" w:after="0" w:afterAutospacing="0" w:line="360" w:lineRule="auto"/>
        <w:ind w:firstLine="480"/>
        <w:jc w:val="both"/>
        <w:rPr>
          <w:rFonts w:hint="eastAsia"/>
          <w:color w:val="auto"/>
          <w:highlight w:val="none"/>
        </w:rPr>
      </w:pPr>
      <w:r>
        <w:rPr>
          <w:rFonts w:hint="eastAsia"/>
          <w:color w:val="auto"/>
          <w:highlight w:val="none"/>
        </w:rPr>
        <w:t>供应商须对招标文件技术要求中的实质性要求（</w:t>
      </w:r>
      <w:r>
        <w:rPr>
          <w:rFonts w:hint="eastAsia"/>
          <w:b/>
          <w:bCs/>
          <w:color w:val="auto"/>
          <w:highlight w:val="none"/>
        </w:rPr>
        <w:t>斜体下划线内容或打“★”内容）</w:t>
      </w:r>
      <w:r>
        <w:rPr>
          <w:rFonts w:hint="eastAsia"/>
          <w:color w:val="auto"/>
          <w:highlight w:val="none"/>
        </w:rPr>
        <w:t>及其他要求做出明确响应，否则视为无效投标。</w:t>
      </w:r>
    </w:p>
    <w:p w14:paraId="42E46594">
      <w:pPr>
        <w:pStyle w:val="271"/>
        <w:numPr>
          <w:ilvl w:val="0"/>
          <w:numId w:val="8"/>
        </w:numPr>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leftChars="0" w:firstLine="480" w:firstLineChars="0"/>
        <w:jc w:val="both"/>
        <w:rPr>
          <w:rFonts w:hint="eastAsia"/>
          <w:color w:val="auto"/>
          <w:highlight w:val="none"/>
        </w:rPr>
      </w:pPr>
      <w:r>
        <w:rPr>
          <w:rFonts w:hint="eastAsia"/>
          <w:color w:val="auto"/>
          <w:highlight w:val="none"/>
        </w:rPr>
        <w:t>如果采购文件要求提供证明材料，供应商必须将证明材料列于该表之下。</w:t>
      </w:r>
    </w:p>
    <w:p w14:paraId="2B22A34E">
      <w:pPr>
        <w:pStyle w:val="27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color w:val="auto"/>
          <w:highlight w:val="none"/>
        </w:rPr>
      </w:pPr>
      <w:r>
        <w:rPr>
          <w:rFonts w:hint="eastAsia"/>
          <w:color w:val="auto"/>
          <w:highlight w:val="none"/>
        </w:rPr>
        <w:t>3.供应商未对实质性要求作出明确响应的，</w:t>
      </w:r>
      <w:r>
        <w:rPr>
          <w:rFonts w:hint="eastAsia"/>
          <w:color w:val="auto"/>
          <w:highlight w:val="none"/>
          <w:lang w:val="en-US" w:eastAsia="zh-CN"/>
        </w:rPr>
        <w:t>或偏离表不符合格式要求的，</w:t>
      </w:r>
      <w:r>
        <w:rPr>
          <w:rFonts w:hint="eastAsia"/>
          <w:color w:val="auto"/>
          <w:highlight w:val="none"/>
        </w:rPr>
        <w:t>或未按采购文件要求提供证明材料的，作无效响应处理。</w:t>
      </w:r>
    </w:p>
    <w:p w14:paraId="633612A3">
      <w:pPr>
        <w:pStyle w:val="271"/>
        <w:spacing w:before="0" w:beforeAutospacing="0" w:after="0" w:afterAutospacing="0" w:line="360" w:lineRule="auto"/>
        <w:ind w:firstLine="480"/>
        <w:jc w:val="both"/>
        <w:rPr>
          <w:rFonts w:hint="eastAsia"/>
          <w:color w:val="auto"/>
          <w:highlight w:val="none"/>
        </w:rPr>
      </w:pPr>
      <w:r>
        <w:rPr>
          <w:rFonts w:hint="eastAsia"/>
          <w:color w:val="auto"/>
          <w:highlight w:val="none"/>
          <w:lang w:val="en-US" w:eastAsia="zh-CN"/>
        </w:rPr>
        <w:t>4</w:t>
      </w:r>
      <w:r>
        <w:rPr>
          <w:rFonts w:hint="eastAsia"/>
          <w:color w:val="auto"/>
          <w:highlight w:val="none"/>
        </w:rPr>
        <w:t>.行数不够，可自行添加。</w:t>
      </w:r>
    </w:p>
    <w:p w14:paraId="74EE65A8">
      <w:pPr>
        <w:jc w:val="center"/>
        <w:rPr>
          <w:rFonts w:hint="eastAsia" w:ascii="宋体" w:hAnsi="宋体" w:cs="宋体"/>
          <w:b/>
          <w:color w:val="auto"/>
          <w:sz w:val="36"/>
          <w:highlight w:val="none"/>
        </w:rPr>
      </w:pPr>
    </w:p>
    <w:p w14:paraId="616CA24C">
      <w:pPr>
        <w:rPr>
          <w:rFonts w:hint="eastAsia" w:ascii="宋体" w:hAnsi="宋体" w:cs="宋体"/>
          <w:iCs/>
          <w:color w:val="auto"/>
          <w:sz w:val="32"/>
          <w:szCs w:val="32"/>
          <w:highlight w:val="none"/>
        </w:rPr>
      </w:pPr>
      <w:bookmarkStart w:id="201" w:name="_Hlt26955054"/>
      <w:bookmarkEnd w:id="201"/>
    </w:p>
    <w:p w14:paraId="772994B4">
      <w:pPr>
        <w:rPr>
          <w:rFonts w:ascii="宋体" w:hAnsi="宋体" w:cs="宋体"/>
          <w:color w:val="auto"/>
          <w:sz w:val="32"/>
          <w:szCs w:val="32"/>
          <w:highlight w:val="none"/>
        </w:rPr>
      </w:pPr>
    </w:p>
    <w:p w14:paraId="65386075">
      <w:pPr>
        <w:rPr>
          <w:rFonts w:ascii="宋体" w:hAnsi="宋体" w:cs="宋体"/>
          <w:color w:val="auto"/>
          <w:sz w:val="32"/>
          <w:szCs w:val="32"/>
          <w:highlight w:val="none"/>
        </w:rPr>
      </w:pPr>
    </w:p>
    <w:p w14:paraId="41FC9864">
      <w:pPr>
        <w:rPr>
          <w:rFonts w:ascii="宋体" w:hAnsi="宋体" w:cs="宋体"/>
          <w:color w:val="auto"/>
          <w:sz w:val="32"/>
          <w:szCs w:val="32"/>
          <w:highlight w:val="none"/>
        </w:rPr>
      </w:pPr>
    </w:p>
    <w:p w14:paraId="70BA805D">
      <w:pPr>
        <w:outlineLvl w:val="0"/>
        <w:rPr>
          <w:rFonts w:hint="eastAsia" w:ascii="宋体" w:hAnsi="宋体" w:cs="宋体"/>
          <w:iCs/>
          <w:color w:val="auto"/>
          <w:sz w:val="32"/>
          <w:szCs w:val="32"/>
          <w:highlight w:val="none"/>
        </w:rPr>
      </w:pPr>
      <w:bookmarkStart w:id="202" w:name="_Toc15850"/>
    </w:p>
    <w:p w14:paraId="3575862C">
      <w:pPr>
        <w:outlineLvl w:val="0"/>
        <w:rPr>
          <w:rFonts w:hint="eastAsia" w:ascii="宋体" w:hAnsi="宋体" w:cs="宋体"/>
          <w:iCs/>
          <w:color w:val="auto"/>
          <w:sz w:val="24"/>
          <w:szCs w:val="24"/>
          <w:highlight w:val="none"/>
        </w:rPr>
      </w:pPr>
      <w:bookmarkStart w:id="203" w:name="_Toc203927460"/>
      <w:r>
        <w:rPr>
          <w:rFonts w:hint="eastAsia" w:ascii="宋体" w:hAnsi="宋体" w:cs="宋体"/>
          <w:iCs/>
          <w:color w:val="auto"/>
          <w:sz w:val="24"/>
          <w:szCs w:val="24"/>
          <w:highlight w:val="none"/>
          <w:lang w:eastAsia="zh-CN"/>
        </w:rPr>
        <w:t>（</w:t>
      </w:r>
      <w:r>
        <w:rPr>
          <w:rFonts w:hint="eastAsia" w:ascii="宋体" w:hAnsi="宋体" w:cs="宋体"/>
          <w:iCs/>
          <w:color w:val="auto"/>
          <w:sz w:val="24"/>
          <w:szCs w:val="24"/>
          <w:highlight w:val="none"/>
          <w:lang w:val="en-US" w:eastAsia="zh-CN"/>
        </w:rPr>
        <w:t>二</w:t>
      </w:r>
      <w:r>
        <w:rPr>
          <w:rFonts w:hint="eastAsia" w:ascii="宋体" w:hAnsi="宋体" w:cs="宋体"/>
          <w:iCs/>
          <w:color w:val="auto"/>
          <w:sz w:val="24"/>
          <w:szCs w:val="24"/>
          <w:highlight w:val="none"/>
          <w:lang w:eastAsia="zh-CN"/>
        </w:rPr>
        <w:t>）</w:t>
      </w:r>
      <w:r>
        <w:rPr>
          <w:rFonts w:hint="eastAsia" w:ascii="宋体" w:hAnsi="宋体" w:cs="宋体"/>
          <w:iCs/>
          <w:color w:val="auto"/>
          <w:sz w:val="24"/>
          <w:szCs w:val="24"/>
          <w:highlight w:val="none"/>
        </w:rPr>
        <w:t>商务要求响应及偏离表</w:t>
      </w:r>
      <w:bookmarkEnd w:id="202"/>
      <w:bookmarkEnd w:id="203"/>
    </w:p>
    <w:p w14:paraId="3148C3E4">
      <w:pPr>
        <w:spacing w:line="360" w:lineRule="auto"/>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商务要求响应及偏离表</w:t>
      </w:r>
    </w:p>
    <w:tbl>
      <w:tblPr>
        <w:tblStyle w:val="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5"/>
        <w:gridCol w:w="2838"/>
        <w:gridCol w:w="2832"/>
        <w:gridCol w:w="3346"/>
      </w:tblGrid>
      <w:tr w14:paraId="2412B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35" w:type="dxa"/>
            <w:noWrap w:val="0"/>
            <w:vAlign w:val="center"/>
          </w:tcPr>
          <w:p w14:paraId="2FE9DCA7">
            <w:pPr>
              <w:jc w:val="center"/>
              <w:rPr>
                <w:rFonts w:hint="eastAsia" w:ascii="宋体" w:hAnsi="宋体" w:cs="宋体"/>
                <w:color w:val="auto"/>
                <w:sz w:val="24"/>
                <w:szCs w:val="24"/>
                <w:highlight w:val="none"/>
              </w:rPr>
            </w:pPr>
            <w:bookmarkStart w:id="204" w:name="_Hlt26955064"/>
            <w:bookmarkEnd w:id="204"/>
            <w:bookmarkStart w:id="205" w:name="_Hlt26580838"/>
            <w:bookmarkEnd w:id="205"/>
            <w:bookmarkStart w:id="206" w:name="_Hlt26671372"/>
            <w:bookmarkEnd w:id="206"/>
            <w:bookmarkStart w:id="207" w:name="_Hlt26955056"/>
            <w:bookmarkEnd w:id="207"/>
            <w:bookmarkStart w:id="208" w:name="_Hlt26671343"/>
            <w:bookmarkEnd w:id="208"/>
            <w:bookmarkStart w:id="209" w:name="_Hlt24879081"/>
            <w:bookmarkEnd w:id="209"/>
            <w:bookmarkStart w:id="210" w:name="_Hlt26782999"/>
            <w:bookmarkEnd w:id="210"/>
            <w:bookmarkStart w:id="211" w:name="_Hlt26609391"/>
            <w:bookmarkEnd w:id="211"/>
            <w:r>
              <w:rPr>
                <w:rFonts w:hint="eastAsia" w:ascii="宋体" w:hAnsi="宋体" w:cs="宋体"/>
                <w:color w:val="auto"/>
                <w:sz w:val="24"/>
                <w:szCs w:val="24"/>
                <w:highlight w:val="none"/>
              </w:rPr>
              <w:t>序号</w:t>
            </w:r>
          </w:p>
        </w:tc>
        <w:tc>
          <w:tcPr>
            <w:tcW w:w="2838" w:type="dxa"/>
            <w:noWrap w:val="0"/>
            <w:vAlign w:val="center"/>
          </w:tcPr>
          <w:p w14:paraId="67730615">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招标文件要求</w:t>
            </w:r>
          </w:p>
        </w:tc>
        <w:tc>
          <w:tcPr>
            <w:tcW w:w="2832" w:type="dxa"/>
            <w:noWrap w:val="0"/>
            <w:vAlign w:val="center"/>
          </w:tcPr>
          <w:p w14:paraId="0652EF70">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投标响应情况</w:t>
            </w:r>
          </w:p>
        </w:tc>
        <w:tc>
          <w:tcPr>
            <w:tcW w:w="3346" w:type="dxa"/>
            <w:noWrap w:val="0"/>
            <w:vAlign w:val="center"/>
          </w:tcPr>
          <w:p w14:paraId="0B50A725">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正偏离、无偏离或负偏离</w:t>
            </w:r>
          </w:p>
        </w:tc>
      </w:tr>
      <w:tr w14:paraId="2AFEC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2CF6A2BF">
            <w:pPr>
              <w:jc w:val="center"/>
              <w:rPr>
                <w:rFonts w:hint="eastAsia" w:ascii="宋体" w:hAnsi="宋体" w:cs="宋体"/>
                <w:color w:val="auto"/>
                <w:sz w:val="24"/>
                <w:szCs w:val="24"/>
                <w:highlight w:val="none"/>
              </w:rPr>
            </w:pPr>
          </w:p>
        </w:tc>
        <w:tc>
          <w:tcPr>
            <w:tcW w:w="2838" w:type="dxa"/>
            <w:noWrap w:val="0"/>
            <w:vAlign w:val="top"/>
          </w:tcPr>
          <w:p w14:paraId="51A2F125">
            <w:pPr>
              <w:jc w:val="center"/>
              <w:rPr>
                <w:rFonts w:hint="eastAsia" w:ascii="宋体" w:hAnsi="宋体" w:cs="宋体"/>
                <w:color w:val="auto"/>
                <w:sz w:val="24"/>
                <w:szCs w:val="24"/>
                <w:highlight w:val="none"/>
              </w:rPr>
            </w:pPr>
          </w:p>
        </w:tc>
        <w:tc>
          <w:tcPr>
            <w:tcW w:w="2832" w:type="dxa"/>
            <w:noWrap w:val="0"/>
            <w:vAlign w:val="top"/>
          </w:tcPr>
          <w:p w14:paraId="05678C21">
            <w:pPr>
              <w:jc w:val="center"/>
              <w:rPr>
                <w:rFonts w:hint="eastAsia" w:ascii="宋体" w:hAnsi="宋体" w:cs="宋体"/>
                <w:color w:val="auto"/>
                <w:sz w:val="24"/>
                <w:szCs w:val="24"/>
                <w:highlight w:val="none"/>
              </w:rPr>
            </w:pPr>
          </w:p>
        </w:tc>
        <w:tc>
          <w:tcPr>
            <w:tcW w:w="3346" w:type="dxa"/>
            <w:noWrap w:val="0"/>
            <w:vAlign w:val="top"/>
          </w:tcPr>
          <w:p w14:paraId="5FFB197C">
            <w:pPr>
              <w:jc w:val="center"/>
              <w:rPr>
                <w:rFonts w:hint="eastAsia" w:ascii="宋体" w:hAnsi="宋体" w:cs="宋体"/>
                <w:color w:val="auto"/>
                <w:sz w:val="24"/>
                <w:szCs w:val="24"/>
                <w:highlight w:val="none"/>
              </w:rPr>
            </w:pPr>
          </w:p>
        </w:tc>
      </w:tr>
      <w:tr w14:paraId="725D46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1DA903A6">
            <w:pPr>
              <w:jc w:val="center"/>
              <w:rPr>
                <w:rFonts w:hint="eastAsia" w:ascii="宋体" w:hAnsi="宋体" w:cs="宋体"/>
                <w:color w:val="auto"/>
                <w:sz w:val="24"/>
                <w:szCs w:val="24"/>
                <w:highlight w:val="none"/>
              </w:rPr>
            </w:pPr>
          </w:p>
        </w:tc>
        <w:tc>
          <w:tcPr>
            <w:tcW w:w="2838" w:type="dxa"/>
            <w:noWrap w:val="0"/>
            <w:vAlign w:val="top"/>
          </w:tcPr>
          <w:p w14:paraId="2A41FA0E">
            <w:pPr>
              <w:jc w:val="center"/>
              <w:rPr>
                <w:rFonts w:hint="eastAsia" w:ascii="宋体" w:hAnsi="宋体" w:cs="宋体"/>
                <w:color w:val="auto"/>
                <w:sz w:val="24"/>
                <w:szCs w:val="24"/>
                <w:highlight w:val="none"/>
              </w:rPr>
            </w:pPr>
          </w:p>
        </w:tc>
        <w:tc>
          <w:tcPr>
            <w:tcW w:w="2832" w:type="dxa"/>
            <w:noWrap w:val="0"/>
            <w:vAlign w:val="top"/>
          </w:tcPr>
          <w:p w14:paraId="5E280C05">
            <w:pPr>
              <w:jc w:val="center"/>
              <w:rPr>
                <w:rFonts w:hint="eastAsia" w:ascii="宋体" w:hAnsi="宋体" w:cs="宋体"/>
                <w:color w:val="auto"/>
                <w:sz w:val="24"/>
                <w:szCs w:val="24"/>
                <w:highlight w:val="none"/>
              </w:rPr>
            </w:pPr>
          </w:p>
        </w:tc>
        <w:tc>
          <w:tcPr>
            <w:tcW w:w="3346" w:type="dxa"/>
            <w:noWrap w:val="0"/>
            <w:vAlign w:val="top"/>
          </w:tcPr>
          <w:p w14:paraId="3B9155AF">
            <w:pPr>
              <w:jc w:val="center"/>
              <w:rPr>
                <w:rFonts w:hint="eastAsia" w:ascii="宋体" w:hAnsi="宋体" w:cs="宋体"/>
                <w:color w:val="auto"/>
                <w:sz w:val="24"/>
                <w:szCs w:val="24"/>
                <w:highlight w:val="none"/>
              </w:rPr>
            </w:pPr>
          </w:p>
        </w:tc>
      </w:tr>
      <w:tr w14:paraId="59C7B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430C67D2">
            <w:pPr>
              <w:jc w:val="center"/>
              <w:rPr>
                <w:rFonts w:hint="eastAsia" w:ascii="宋体" w:hAnsi="宋体" w:cs="宋体"/>
                <w:color w:val="auto"/>
                <w:sz w:val="24"/>
                <w:szCs w:val="24"/>
                <w:highlight w:val="none"/>
              </w:rPr>
            </w:pPr>
          </w:p>
        </w:tc>
        <w:tc>
          <w:tcPr>
            <w:tcW w:w="2838" w:type="dxa"/>
            <w:noWrap w:val="0"/>
            <w:vAlign w:val="top"/>
          </w:tcPr>
          <w:p w14:paraId="46AEB2F1">
            <w:pPr>
              <w:jc w:val="center"/>
              <w:rPr>
                <w:rFonts w:hint="eastAsia" w:ascii="宋体" w:hAnsi="宋体" w:cs="宋体"/>
                <w:color w:val="auto"/>
                <w:sz w:val="24"/>
                <w:szCs w:val="24"/>
                <w:highlight w:val="none"/>
              </w:rPr>
            </w:pPr>
          </w:p>
        </w:tc>
        <w:tc>
          <w:tcPr>
            <w:tcW w:w="2832" w:type="dxa"/>
            <w:noWrap w:val="0"/>
            <w:vAlign w:val="top"/>
          </w:tcPr>
          <w:p w14:paraId="031EBBAB">
            <w:pPr>
              <w:jc w:val="center"/>
              <w:rPr>
                <w:rFonts w:hint="eastAsia" w:ascii="宋体" w:hAnsi="宋体" w:cs="宋体"/>
                <w:color w:val="auto"/>
                <w:sz w:val="24"/>
                <w:szCs w:val="24"/>
                <w:highlight w:val="none"/>
              </w:rPr>
            </w:pPr>
          </w:p>
        </w:tc>
        <w:tc>
          <w:tcPr>
            <w:tcW w:w="3346" w:type="dxa"/>
            <w:noWrap w:val="0"/>
            <w:vAlign w:val="top"/>
          </w:tcPr>
          <w:p w14:paraId="061238D1">
            <w:pPr>
              <w:jc w:val="center"/>
              <w:rPr>
                <w:rFonts w:hint="eastAsia" w:ascii="宋体" w:hAnsi="宋体" w:cs="宋体"/>
                <w:color w:val="auto"/>
                <w:sz w:val="24"/>
                <w:szCs w:val="24"/>
                <w:highlight w:val="none"/>
              </w:rPr>
            </w:pPr>
          </w:p>
        </w:tc>
      </w:tr>
      <w:tr w14:paraId="1C269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0742C443">
            <w:pPr>
              <w:jc w:val="center"/>
              <w:rPr>
                <w:rFonts w:hint="eastAsia" w:ascii="宋体" w:hAnsi="宋体" w:cs="宋体"/>
                <w:color w:val="auto"/>
                <w:sz w:val="24"/>
                <w:szCs w:val="24"/>
                <w:highlight w:val="none"/>
              </w:rPr>
            </w:pPr>
          </w:p>
        </w:tc>
        <w:tc>
          <w:tcPr>
            <w:tcW w:w="2838" w:type="dxa"/>
            <w:noWrap w:val="0"/>
            <w:vAlign w:val="top"/>
          </w:tcPr>
          <w:p w14:paraId="3AB3FF7E">
            <w:pPr>
              <w:jc w:val="center"/>
              <w:rPr>
                <w:rFonts w:hint="eastAsia" w:ascii="宋体" w:hAnsi="宋体" w:cs="宋体"/>
                <w:color w:val="auto"/>
                <w:sz w:val="24"/>
                <w:szCs w:val="24"/>
                <w:highlight w:val="none"/>
              </w:rPr>
            </w:pPr>
          </w:p>
        </w:tc>
        <w:tc>
          <w:tcPr>
            <w:tcW w:w="2832" w:type="dxa"/>
            <w:noWrap w:val="0"/>
            <w:vAlign w:val="top"/>
          </w:tcPr>
          <w:p w14:paraId="2E21D845">
            <w:pPr>
              <w:jc w:val="center"/>
              <w:rPr>
                <w:rFonts w:hint="eastAsia" w:ascii="宋体" w:hAnsi="宋体" w:cs="宋体"/>
                <w:color w:val="auto"/>
                <w:sz w:val="24"/>
                <w:szCs w:val="24"/>
                <w:highlight w:val="none"/>
              </w:rPr>
            </w:pPr>
          </w:p>
        </w:tc>
        <w:tc>
          <w:tcPr>
            <w:tcW w:w="3346" w:type="dxa"/>
            <w:noWrap w:val="0"/>
            <w:vAlign w:val="top"/>
          </w:tcPr>
          <w:p w14:paraId="36480A3B">
            <w:pPr>
              <w:jc w:val="center"/>
              <w:rPr>
                <w:rFonts w:hint="eastAsia" w:ascii="宋体" w:hAnsi="宋体" w:cs="宋体"/>
                <w:color w:val="auto"/>
                <w:sz w:val="24"/>
                <w:szCs w:val="24"/>
                <w:highlight w:val="none"/>
              </w:rPr>
            </w:pPr>
          </w:p>
        </w:tc>
      </w:tr>
      <w:tr w14:paraId="7823D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453284A3">
            <w:pPr>
              <w:jc w:val="center"/>
              <w:rPr>
                <w:rFonts w:hint="eastAsia" w:ascii="宋体" w:hAnsi="宋体" w:cs="宋体"/>
                <w:color w:val="auto"/>
                <w:sz w:val="24"/>
                <w:szCs w:val="24"/>
                <w:highlight w:val="none"/>
              </w:rPr>
            </w:pPr>
          </w:p>
        </w:tc>
        <w:tc>
          <w:tcPr>
            <w:tcW w:w="2838" w:type="dxa"/>
            <w:noWrap w:val="0"/>
            <w:vAlign w:val="top"/>
          </w:tcPr>
          <w:p w14:paraId="4C664E64">
            <w:pPr>
              <w:jc w:val="center"/>
              <w:rPr>
                <w:rFonts w:hint="eastAsia" w:ascii="宋体" w:hAnsi="宋体" w:cs="宋体"/>
                <w:color w:val="auto"/>
                <w:sz w:val="24"/>
                <w:szCs w:val="24"/>
                <w:highlight w:val="none"/>
              </w:rPr>
            </w:pPr>
          </w:p>
        </w:tc>
        <w:tc>
          <w:tcPr>
            <w:tcW w:w="2832" w:type="dxa"/>
            <w:noWrap w:val="0"/>
            <w:vAlign w:val="top"/>
          </w:tcPr>
          <w:p w14:paraId="1C920903">
            <w:pPr>
              <w:jc w:val="center"/>
              <w:rPr>
                <w:rFonts w:hint="eastAsia" w:ascii="宋体" w:hAnsi="宋体" w:cs="宋体"/>
                <w:color w:val="auto"/>
                <w:sz w:val="24"/>
                <w:szCs w:val="24"/>
                <w:highlight w:val="none"/>
              </w:rPr>
            </w:pPr>
          </w:p>
        </w:tc>
        <w:tc>
          <w:tcPr>
            <w:tcW w:w="3346" w:type="dxa"/>
            <w:noWrap w:val="0"/>
            <w:vAlign w:val="top"/>
          </w:tcPr>
          <w:p w14:paraId="73359516">
            <w:pPr>
              <w:jc w:val="center"/>
              <w:rPr>
                <w:rFonts w:hint="eastAsia" w:ascii="宋体" w:hAnsi="宋体" w:cs="宋体"/>
                <w:color w:val="auto"/>
                <w:sz w:val="24"/>
                <w:szCs w:val="24"/>
                <w:highlight w:val="none"/>
              </w:rPr>
            </w:pPr>
          </w:p>
        </w:tc>
      </w:tr>
      <w:tr w14:paraId="7D8282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5CDAB206">
            <w:pPr>
              <w:jc w:val="center"/>
              <w:rPr>
                <w:rFonts w:hint="eastAsia" w:ascii="宋体" w:hAnsi="宋体" w:cs="宋体"/>
                <w:color w:val="auto"/>
                <w:sz w:val="24"/>
                <w:szCs w:val="24"/>
                <w:highlight w:val="none"/>
              </w:rPr>
            </w:pPr>
          </w:p>
        </w:tc>
        <w:tc>
          <w:tcPr>
            <w:tcW w:w="2838" w:type="dxa"/>
            <w:noWrap w:val="0"/>
            <w:vAlign w:val="top"/>
          </w:tcPr>
          <w:p w14:paraId="4CCB9B1F">
            <w:pPr>
              <w:jc w:val="center"/>
              <w:rPr>
                <w:rFonts w:hint="eastAsia" w:ascii="宋体" w:hAnsi="宋体" w:cs="宋体"/>
                <w:color w:val="auto"/>
                <w:sz w:val="24"/>
                <w:szCs w:val="24"/>
                <w:highlight w:val="none"/>
              </w:rPr>
            </w:pPr>
          </w:p>
        </w:tc>
        <w:tc>
          <w:tcPr>
            <w:tcW w:w="2832" w:type="dxa"/>
            <w:noWrap w:val="0"/>
            <w:vAlign w:val="top"/>
          </w:tcPr>
          <w:p w14:paraId="17872C6F">
            <w:pPr>
              <w:jc w:val="center"/>
              <w:rPr>
                <w:rFonts w:hint="eastAsia" w:ascii="宋体" w:hAnsi="宋体" w:cs="宋体"/>
                <w:color w:val="auto"/>
                <w:sz w:val="24"/>
                <w:szCs w:val="24"/>
                <w:highlight w:val="none"/>
              </w:rPr>
            </w:pPr>
          </w:p>
        </w:tc>
        <w:tc>
          <w:tcPr>
            <w:tcW w:w="3346" w:type="dxa"/>
            <w:noWrap w:val="0"/>
            <w:vAlign w:val="top"/>
          </w:tcPr>
          <w:p w14:paraId="56A785A6">
            <w:pPr>
              <w:jc w:val="center"/>
              <w:rPr>
                <w:rFonts w:hint="eastAsia" w:ascii="宋体" w:hAnsi="宋体" w:cs="宋体"/>
                <w:color w:val="auto"/>
                <w:sz w:val="24"/>
                <w:szCs w:val="24"/>
                <w:highlight w:val="none"/>
              </w:rPr>
            </w:pPr>
          </w:p>
        </w:tc>
      </w:tr>
      <w:tr w14:paraId="5119B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3AA58945">
            <w:pPr>
              <w:jc w:val="center"/>
              <w:rPr>
                <w:rFonts w:hint="eastAsia" w:ascii="宋体" w:hAnsi="宋体" w:cs="宋体"/>
                <w:color w:val="auto"/>
                <w:sz w:val="24"/>
                <w:szCs w:val="24"/>
                <w:highlight w:val="none"/>
              </w:rPr>
            </w:pPr>
          </w:p>
        </w:tc>
        <w:tc>
          <w:tcPr>
            <w:tcW w:w="2838" w:type="dxa"/>
            <w:noWrap w:val="0"/>
            <w:vAlign w:val="top"/>
          </w:tcPr>
          <w:p w14:paraId="46005583">
            <w:pPr>
              <w:jc w:val="center"/>
              <w:rPr>
                <w:rFonts w:hint="eastAsia" w:ascii="宋体" w:hAnsi="宋体" w:cs="宋体"/>
                <w:color w:val="auto"/>
                <w:sz w:val="24"/>
                <w:szCs w:val="24"/>
                <w:highlight w:val="none"/>
              </w:rPr>
            </w:pPr>
          </w:p>
        </w:tc>
        <w:tc>
          <w:tcPr>
            <w:tcW w:w="2832" w:type="dxa"/>
            <w:noWrap w:val="0"/>
            <w:vAlign w:val="top"/>
          </w:tcPr>
          <w:p w14:paraId="12FBE130">
            <w:pPr>
              <w:jc w:val="center"/>
              <w:rPr>
                <w:rFonts w:hint="eastAsia" w:ascii="宋体" w:hAnsi="宋体" w:cs="宋体"/>
                <w:color w:val="auto"/>
                <w:sz w:val="24"/>
                <w:szCs w:val="24"/>
                <w:highlight w:val="none"/>
              </w:rPr>
            </w:pPr>
          </w:p>
        </w:tc>
        <w:tc>
          <w:tcPr>
            <w:tcW w:w="3346" w:type="dxa"/>
            <w:noWrap w:val="0"/>
            <w:vAlign w:val="top"/>
          </w:tcPr>
          <w:p w14:paraId="08348DDC">
            <w:pPr>
              <w:jc w:val="center"/>
              <w:rPr>
                <w:rFonts w:hint="eastAsia" w:ascii="宋体" w:hAnsi="宋体" w:cs="宋体"/>
                <w:color w:val="auto"/>
                <w:sz w:val="24"/>
                <w:szCs w:val="24"/>
                <w:highlight w:val="none"/>
              </w:rPr>
            </w:pPr>
          </w:p>
        </w:tc>
      </w:tr>
      <w:tr w14:paraId="4227C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64E82878">
            <w:pPr>
              <w:jc w:val="center"/>
              <w:rPr>
                <w:rFonts w:hint="eastAsia" w:ascii="宋体" w:hAnsi="宋体" w:cs="宋体"/>
                <w:color w:val="auto"/>
                <w:sz w:val="24"/>
                <w:szCs w:val="24"/>
                <w:highlight w:val="none"/>
              </w:rPr>
            </w:pPr>
          </w:p>
        </w:tc>
        <w:tc>
          <w:tcPr>
            <w:tcW w:w="2838" w:type="dxa"/>
            <w:noWrap w:val="0"/>
            <w:vAlign w:val="top"/>
          </w:tcPr>
          <w:p w14:paraId="12883876">
            <w:pPr>
              <w:jc w:val="center"/>
              <w:rPr>
                <w:rFonts w:hint="eastAsia" w:ascii="宋体" w:hAnsi="宋体" w:cs="宋体"/>
                <w:color w:val="auto"/>
                <w:highlight w:val="none"/>
              </w:rPr>
            </w:pPr>
          </w:p>
          <w:p w14:paraId="2DCE8E01">
            <w:pPr>
              <w:pStyle w:val="276"/>
              <w:rPr>
                <w:rFonts w:hint="eastAsia" w:cs="宋体"/>
                <w:color w:val="auto"/>
                <w:highlight w:val="none"/>
              </w:rPr>
            </w:pPr>
          </w:p>
        </w:tc>
        <w:tc>
          <w:tcPr>
            <w:tcW w:w="2832" w:type="dxa"/>
            <w:noWrap w:val="0"/>
            <w:vAlign w:val="top"/>
          </w:tcPr>
          <w:p w14:paraId="37088CB7">
            <w:pPr>
              <w:jc w:val="center"/>
              <w:rPr>
                <w:rFonts w:hint="eastAsia" w:ascii="宋体" w:hAnsi="宋体" w:cs="宋体"/>
                <w:color w:val="auto"/>
                <w:sz w:val="24"/>
                <w:szCs w:val="24"/>
                <w:highlight w:val="none"/>
              </w:rPr>
            </w:pPr>
          </w:p>
        </w:tc>
        <w:tc>
          <w:tcPr>
            <w:tcW w:w="3346" w:type="dxa"/>
            <w:noWrap w:val="0"/>
            <w:vAlign w:val="top"/>
          </w:tcPr>
          <w:p w14:paraId="192AE70C">
            <w:pPr>
              <w:jc w:val="center"/>
              <w:rPr>
                <w:rFonts w:hint="eastAsia" w:ascii="宋体" w:hAnsi="宋体" w:cs="宋体"/>
                <w:color w:val="auto"/>
                <w:sz w:val="24"/>
                <w:szCs w:val="24"/>
                <w:highlight w:val="none"/>
              </w:rPr>
            </w:pPr>
          </w:p>
        </w:tc>
      </w:tr>
    </w:tbl>
    <w:p w14:paraId="3F9A1BBC">
      <w:pPr>
        <w:pStyle w:val="271"/>
        <w:spacing w:before="0" w:beforeAutospacing="0" w:after="0" w:afterAutospacing="0"/>
        <w:jc w:val="both"/>
        <w:rPr>
          <w:rFonts w:hint="eastAsia"/>
          <w:color w:val="auto"/>
          <w:highlight w:val="none"/>
        </w:rPr>
      </w:pPr>
    </w:p>
    <w:p w14:paraId="25E75237">
      <w:pPr>
        <w:spacing w:line="360" w:lineRule="auto"/>
        <w:ind w:right="18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供应商名称：（加盖电子公章）</w:t>
      </w:r>
    </w:p>
    <w:p w14:paraId="30F73461">
      <w:pPr>
        <w:pStyle w:val="2"/>
        <w:rPr>
          <w:rFonts w:hint="default" w:eastAsia="宋体"/>
          <w:color w:val="auto"/>
          <w:highlight w:val="none"/>
          <w:lang w:val="en-US" w:eastAsia="zh-CN"/>
        </w:rPr>
      </w:pPr>
      <w:r>
        <w:rPr>
          <w:rFonts w:hint="eastAsia" w:ascii="宋体" w:hAnsi="宋体" w:cs="宋体"/>
          <w:color w:val="auto"/>
          <w:sz w:val="24"/>
          <w:szCs w:val="24"/>
          <w:highlight w:val="none"/>
          <w:lang w:val="en-US" w:eastAsia="zh-CN"/>
        </w:rPr>
        <w:t>法定代表人（签名）：</w:t>
      </w:r>
    </w:p>
    <w:p w14:paraId="7D5C25F2">
      <w:pPr>
        <w:rPr>
          <w:rFonts w:hint="eastAsia" w:ascii="宋体" w:hAnsi="宋体" w:cs="宋体"/>
          <w:color w:val="auto"/>
          <w:sz w:val="24"/>
          <w:szCs w:val="24"/>
          <w:highlight w:val="none"/>
        </w:rPr>
      </w:pPr>
    </w:p>
    <w:p w14:paraId="5486D0BA">
      <w:pPr>
        <w:pStyle w:val="271"/>
        <w:spacing w:before="0" w:beforeAutospacing="0" w:after="0" w:afterAutospacing="0" w:line="360" w:lineRule="auto"/>
        <w:ind w:firstLine="480"/>
        <w:jc w:val="both"/>
        <w:rPr>
          <w:rFonts w:hint="eastAsia"/>
          <w:color w:val="auto"/>
          <w:highlight w:val="none"/>
        </w:rPr>
      </w:pPr>
      <w:r>
        <w:rPr>
          <w:rFonts w:hint="eastAsia"/>
          <w:color w:val="auto"/>
          <w:highlight w:val="none"/>
        </w:rPr>
        <w:t xml:space="preserve">备注： </w:t>
      </w:r>
    </w:p>
    <w:p w14:paraId="2BFC28A5">
      <w:pPr>
        <w:pStyle w:val="271"/>
        <w:numPr>
          <w:ilvl w:val="0"/>
          <w:numId w:val="9"/>
        </w:numPr>
        <w:spacing w:before="0" w:beforeAutospacing="0" w:after="0" w:afterAutospacing="0" w:line="360" w:lineRule="auto"/>
        <w:ind w:firstLine="480" w:firstLineChars="200"/>
        <w:jc w:val="both"/>
        <w:rPr>
          <w:rFonts w:hint="eastAsia"/>
          <w:color w:val="auto"/>
          <w:highlight w:val="none"/>
        </w:rPr>
      </w:pPr>
      <w:r>
        <w:rPr>
          <w:rFonts w:hint="eastAsia"/>
          <w:color w:val="auto"/>
          <w:highlight w:val="none"/>
        </w:rPr>
        <w:t>供应商须对招标文件商务要求中的实质性要求（</w:t>
      </w:r>
      <w:r>
        <w:rPr>
          <w:rFonts w:hint="eastAsia"/>
          <w:b/>
          <w:bCs/>
          <w:color w:val="auto"/>
          <w:highlight w:val="none"/>
        </w:rPr>
        <w:t>斜体下划线内容或打“★”内容）</w:t>
      </w:r>
      <w:r>
        <w:rPr>
          <w:rFonts w:hint="eastAsia"/>
          <w:color w:val="auto"/>
          <w:highlight w:val="none"/>
        </w:rPr>
        <w:t>及其他要求做出明确响应，否则视为无效投标。</w:t>
      </w:r>
    </w:p>
    <w:p w14:paraId="3955031F">
      <w:pPr>
        <w:pStyle w:val="271"/>
        <w:numPr>
          <w:ilvl w:val="0"/>
          <w:numId w:val="9"/>
        </w:numPr>
        <w:spacing w:before="0" w:beforeAutospacing="0" w:after="0" w:afterAutospacing="0" w:line="360" w:lineRule="auto"/>
        <w:ind w:firstLine="480" w:firstLineChars="200"/>
        <w:jc w:val="both"/>
        <w:rPr>
          <w:rFonts w:hint="eastAsia"/>
          <w:color w:val="auto"/>
          <w:highlight w:val="none"/>
        </w:rPr>
      </w:pPr>
      <w:r>
        <w:rPr>
          <w:rFonts w:hint="eastAsia"/>
          <w:color w:val="auto"/>
          <w:highlight w:val="none"/>
        </w:rPr>
        <w:t>如果采购文件要求提供证明材料，供应商必须将证明材料列于该表之下。</w:t>
      </w:r>
    </w:p>
    <w:p w14:paraId="767BB8B6">
      <w:pPr>
        <w:pStyle w:val="271"/>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color w:val="auto"/>
          <w:highlight w:val="none"/>
        </w:rPr>
      </w:pPr>
      <w:r>
        <w:rPr>
          <w:rFonts w:hint="eastAsia"/>
          <w:color w:val="auto"/>
          <w:highlight w:val="none"/>
        </w:rPr>
        <w:t>3.供应商未对实质性要求作出明确响应的，</w:t>
      </w:r>
      <w:r>
        <w:rPr>
          <w:rFonts w:hint="eastAsia"/>
          <w:color w:val="auto"/>
          <w:highlight w:val="none"/>
          <w:lang w:val="en-US" w:eastAsia="zh-CN"/>
        </w:rPr>
        <w:t>或偏离表不符合格式要求的，</w:t>
      </w:r>
      <w:r>
        <w:rPr>
          <w:rFonts w:hint="eastAsia"/>
          <w:color w:val="auto"/>
          <w:highlight w:val="none"/>
        </w:rPr>
        <w:t>或未按采购文件要求提供证明材料的，作无效响应处理。</w:t>
      </w:r>
    </w:p>
    <w:p w14:paraId="4DFB345B">
      <w:pPr>
        <w:pStyle w:val="271"/>
        <w:spacing w:before="0" w:beforeAutospacing="0" w:after="0" w:afterAutospacing="0" w:line="360" w:lineRule="auto"/>
        <w:ind w:firstLine="480"/>
        <w:jc w:val="both"/>
        <w:rPr>
          <w:rFonts w:hint="eastAsia"/>
          <w:color w:val="auto"/>
          <w:highlight w:val="none"/>
        </w:rPr>
      </w:pPr>
      <w:r>
        <w:rPr>
          <w:rFonts w:hint="eastAsia"/>
          <w:color w:val="auto"/>
          <w:highlight w:val="none"/>
          <w:lang w:val="en-US" w:eastAsia="zh-CN"/>
        </w:rPr>
        <w:t>4</w:t>
      </w:r>
      <w:r>
        <w:rPr>
          <w:rFonts w:hint="eastAsia"/>
          <w:color w:val="auto"/>
          <w:highlight w:val="none"/>
        </w:rPr>
        <w:t>.行数不够，可自行添加。</w:t>
      </w:r>
    </w:p>
    <w:p w14:paraId="61A95D84">
      <w:pPr>
        <w:pStyle w:val="62"/>
        <w:ind w:left="0"/>
        <w:rPr>
          <w:rFonts w:ascii="宋体" w:hAnsi="宋体" w:eastAsia="宋体"/>
          <w:i/>
          <w:color w:val="auto"/>
          <w:sz w:val="32"/>
          <w:szCs w:val="32"/>
          <w:highlight w:val="none"/>
          <w:u w:val="single"/>
          <w:lang w:val="en-US"/>
        </w:rPr>
      </w:pPr>
    </w:p>
    <w:p w14:paraId="19D62737">
      <w:pPr>
        <w:rPr>
          <w:rFonts w:ascii="宋体" w:hAnsi="宋体" w:cs="宋体"/>
          <w:iCs/>
          <w:color w:val="auto"/>
          <w:sz w:val="32"/>
          <w:szCs w:val="32"/>
          <w:highlight w:val="none"/>
        </w:rPr>
      </w:pPr>
      <w:r>
        <w:rPr>
          <w:rFonts w:hint="eastAsia" w:ascii="宋体" w:hAnsi="宋体" w:cs="宋体"/>
          <w:iCs/>
          <w:color w:val="auto"/>
          <w:sz w:val="32"/>
          <w:szCs w:val="32"/>
          <w:highlight w:val="none"/>
        </w:rPr>
        <w:br w:type="page" w:clear="all"/>
      </w:r>
    </w:p>
    <w:p w14:paraId="21D47F6C">
      <w:pPr>
        <w:rPr>
          <w:rFonts w:ascii="宋体" w:hAnsi="宋体" w:cs="宋体"/>
          <w:iCs/>
          <w:color w:val="auto"/>
          <w:sz w:val="32"/>
          <w:szCs w:val="32"/>
          <w:highlight w:val="none"/>
        </w:rPr>
      </w:pPr>
      <w:r>
        <w:rPr>
          <w:rFonts w:hint="eastAsia" w:ascii="宋体" w:hAnsi="宋体" w:cs="宋体"/>
          <w:iCs/>
          <w:color w:val="auto"/>
          <w:sz w:val="32"/>
          <w:szCs w:val="32"/>
          <w:highlight w:val="none"/>
        </w:rPr>
        <w:t>七、中小企业声明函</w:t>
      </w:r>
    </w:p>
    <w:p w14:paraId="54787FF1">
      <w:pPr>
        <w:spacing w:line="360" w:lineRule="auto"/>
        <w:jc w:val="center"/>
        <w:rPr>
          <w:rFonts w:ascii="宋体" w:hAnsi="宋体" w:cs="宋体"/>
          <w:color w:val="auto"/>
          <w:sz w:val="32"/>
          <w:szCs w:val="32"/>
          <w:highlight w:val="none"/>
        </w:rPr>
      </w:pPr>
      <w:r>
        <w:rPr>
          <w:rFonts w:hint="eastAsia" w:ascii="宋体" w:hAnsi="宋体" w:cs="宋体"/>
          <w:color w:val="auto"/>
          <w:sz w:val="32"/>
          <w:szCs w:val="32"/>
          <w:highlight w:val="none"/>
        </w:rPr>
        <w:t>中小企业声明函（服务）</w:t>
      </w:r>
    </w:p>
    <w:p w14:paraId="29493888">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本公司（联合体）郑重声明，根据《政府采购促进中小企业发展管理办法》(财库〔2020〕46号)的规定，本公司（联合体）参加</w:t>
      </w:r>
      <w:r>
        <w:rPr>
          <w:rFonts w:hint="eastAsia" w:ascii="宋体" w:hAnsi="宋体" w:cs="宋体"/>
          <w:color w:val="auto"/>
          <w:sz w:val="24"/>
          <w:szCs w:val="24"/>
          <w:highlight w:val="none"/>
          <w:u w:val="single"/>
        </w:rPr>
        <w:t>XXXXXXXXXXXXXXXXXXX</w:t>
      </w:r>
      <w:r>
        <w:rPr>
          <w:rFonts w:hint="eastAsia" w:ascii="宋体" w:hAnsi="宋体" w:cs="宋体"/>
          <w:color w:val="auto"/>
          <w:sz w:val="24"/>
          <w:szCs w:val="24"/>
          <w:highlight w:val="none"/>
        </w:rPr>
        <w:t>（单位名称）采购编号为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项目（分包号：</w:t>
      </w:r>
      <w:r>
        <w:rPr>
          <w:rFonts w:hint="eastAsia" w:ascii="宋体" w:hAnsi="宋体" w:cs="宋体"/>
          <w:color w:val="auto"/>
          <w:sz w:val="24"/>
          <w:szCs w:val="24"/>
          <w:highlight w:val="none"/>
          <w:u w:val="single"/>
        </w:rPr>
        <w:t>XXX</w:t>
      </w:r>
      <w:r>
        <w:rPr>
          <w:rFonts w:hint="eastAsia" w:ascii="宋体" w:hAnsi="宋体" w:cs="宋体"/>
          <w:color w:val="auto"/>
          <w:sz w:val="24"/>
          <w:szCs w:val="24"/>
          <w:highlight w:val="none"/>
        </w:rPr>
        <w:t>）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p>
    <w:p w14:paraId="24F8DA67">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（标的名称）属于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行业（采购文件中明确的所属行业）；承接企业为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（企业名称），从业人员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w:t>
      </w:r>
      <w:r>
        <w:rPr>
          <w:rFonts w:hint="eastAsia" w:ascii="宋体" w:hAnsi="宋体" w:cs="宋体"/>
          <w:color w:val="auto"/>
          <w:sz w:val="24"/>
          <w:szCs w:val="24"/>
          <w:highlight w:val="none"/>
          <w:vertAlign w:val="superscript"/>
        </w:rPr>
        <w:t>1</w:t>
      </w:r>
      <w:r>
        <w:rPr>
          <w:rFonts w:hint="eastAsia" w:ascii="宋体" w:hAnsi="宋体" w:cs="宋体"/>
          <w:color w:val="auto"/>
          <w:sz w:val="24"/>
          <w:szCs w:val="24"/>
          <w:highlight w:val="none"/>
        </w:rPr>
        <w:t>，属于¨中型企业 ¨小型企业 ¨微型企业。</w:t>
      </w:r>
    </w:p>
    <w:p w14:paraId="1BB161EE">
      <w:pPr>
        <w:spacing w:line="360" w:lineRule="auto"/>
        <w:ind w:firstLine="480"/>
        <w:rPr>
          <w:rFonts w:ascii="宋体" w:hAnsi="宋体" w:cs="宋体"/>
          <w:i/>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（标的名称）属于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行业（采购文件中明确的所属行业）；承接企业为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（企业名称），从业人员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w:t>
      </w:r>
      <w:r>
        <w:rPr>
          <w:rFonts w:hint="eastAsia" w:ascii="宋体" w:hAnsi="宋体" w:cs="宋体"/>
          <w:color w:val="auto"/>
          <w:sz w:val="24"/>
          <w:szCs w:val="24"/>
          <w:highlight w:val="none"/>
          <w:vertAlign w:val="superscript"/>
        </w:rPr>
        <w:t>1</w:t>
      </w:r>
      <w:r>
        <w:rPr>
          <w:rFonts w:hint="eastAsia" w:ascii="宋体" w:hAnsi="宋体" w:cs="宋体"/>
          <w:color w:val="auto"/>
          <w:sz w:val="24"/>
          <w:szCs w:val="24"/>
          <w:highlight w:val="none"/>
        </w:rPr>
        <w:t>，属于¨中型企业 ¨小型企业 ¨微型企业。</w:t>
      </w:r>
    </w:p>
    <w:p w14:paraId="6415C4A0">
      <w:pPr>
        <w:spacing w:line="360" w:lineRule="auto"/>
        <w:ind w:firstLine="360"/>
        <w:rPr>
          <w:rFonts w:ascii="宋体" w:hAnsi="宋体" w:cs="宋体"/>
          <w:color w:val="auto"/>
          <w:sz w:val="24"/>
          <w:szCs w:val="24"/>
          <w:highlight w:val="none"/>
        </w:rPr>
      </w:pPr>
      <w:r>
        <w:rPr>
          <w:rFonts w:hint="eastAsia" w:ascii="宋体" w:hAnsi="宋体" w:cs="宋体"/>
          <w:color w:val="auto"/>
          <w:sz w:val="24"/>
          <w:szCs w:val="24"/>
          <w:highlight w:val="none"/>
        </w:rPr>
        <w:t>……</w:t>
      </w:r>
    </w:p>
    <w:p w14:paraId="43E3D02B">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以上企业，不属于大企业的分支机构，不存在控股股东为大企业的情形，也不存在与大企业的负责人为同一人的情形。</w:t>
      </w:r>
    </w:p>
    <w:p w14:paraId="31537999">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本企业对上述声明内容的真实性负责，如有虚假，将依法承担相应责任。</w:t>
      </w:r>
    </w:p>
    <w:p w14:paraId="6DD59FB6">
      <w:pPr>
        <w:pStyle w:val="62"/>
        <w:spacing w:line="360" w:lineRule="auto"/>
        <w:rPr>
          <w:rFonts w:ascii="宋体" w:hAnsi="宋体" w:eastAsia="宋体"/>
          <w:color w:val="auto"/>
          <w:sz w:val="24"/>
          <w:szCs w:val="24"/>
          <w:highlight w:val="none"/>
        </w:rPr>
      </w:pPr>
    </w:p>
    <w:p w14:paraId="59195232">
      <w:pPr>
        <w:spacing w:line="360" w:lineRule="auto"/>
        <w:rPr>
          <w:rFonts w:ascii="宋体" w:hAnsi="宋体" w:cs="宋体"/>
          <w:color w:val="auto"/>
          <w:highlight w:val="none"/>
        </w:rPr>
      </w:pPr>
    </w:p>
    <w:p w14:paraId="4C04593B">
      <w:pPr>
        <w:spacing w:line="360" w:lineRule="auto"/>
        <w:ind w:right="180" w:firstLine="36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                                           企业名称：（加盖电子公章）</w:t>
      </w:r>
    </w:p>
    <w:p w14:paraId="7CF1ED71">
      <w:pPr>
        <w:spacing w:line="360" w:lineRule="auto"/>
        <w:ind w:firstLine="6000"/>
        <w:rPr>
          <w:rFonts w:ascii="宋体" w:hAnsi="宋体" w:cs="宋体"/>
          <w:color w:val="auto"/>
          <w:sz w:val="24"/>
          <w:szCs w:val="24"/>
          <w:highlight w:val="none"/>
        </w:rPr>
      </w:pPr>
      <w:r>
        <w:rPr>
          <w:rFonts w:hint="eastAsia" w:ascii="宋体" w:hAnsi="宋体" w:cs="宋体"/>
          <w:color w:val="auto"/>
          <w:sz w:val="24"/>
          <w:szCs w:val="24"/>
          <w:highlight w:val="none"/>
        </w:rPr>
        <w:t>日    期：</w:t>
      </w:r>
    </w:p>
    <w:p w14:paraId="6DF2FFF5">
      <w:pPr>
        <w:widowControl/>
        <w:spacing w:line="360" w:lineRule="auto"/>
        <w:ind w:firstLine="480"/>
        <w:rPr>
          <w:rFonts w:ascii="宋体" w:hAnsi="宋体" w:cs="宋体"/>
          <w:color w:val="auto"/>
          <w:sz w:val="24"/>
          <w:szCs w:val="24"/>
          <w:highlight w:val="none"/>
        </w:rPr>
      </w:pPr>
    </w:p>
    <w:p w14:paraId="477564C4">
      <w:pPr>
        <w:spacing w:line="360" w:lineRule="auto"/>
        <w:ind w:firstLine="480"/>
        <w:rPr>
          <w:rFonts w:ascii="宋体" w:hAnsi="宋体" w:cs="宋体"/>
          <w:b/>
          <w:i/>
          <w:color w:val="auto"/>
          <w:sz w:val="32"/>
          <w:szCs w:val="32"/>
          <w:highlight w:val="none"/>
          <w:u w:val="single"/>
        </w:rPr>
      </w:pPr>
      <w:r>
        <w:rPr>
          <w:rFonts w:hint="eastAsia" w:ascii="宋体" w:hAnsi="宋体" w:cs="宋体"/>
          <w:color w:val="auto"/>
          <w:sz w:val="24"/>
          <w:szCs w:val="24"/>
          <w:highlight w:val="none"/>
        </w:rPr>
        <w:t>备注：1.从业人员、营业收入、资产总额填报上一年度数据，无上一年度数据的新成立企业可不填报。2.在所属企业类型前的¨内打“√”。3.此声明函将随成交结果同时公告，接受社会监督。</w:t>
      </w:r>
      <w:r>
        <w:rPr>
          <w:rFonts w:hint="eastAsia" w:ascii="宋体" w:hAnsi="宋体" w:cs="宋体"/>
          <w:b/>
          <w:color w:val="auto"/>
          <w:sz w:val="32"/>
          <w:szCs w:val="32"/>
          <w:highlight w:val="none"/>
        </w:rPr>
        <w:br w:type="page" w:clear="all"/>
      </w:r>
      <w:r>
        <w:rPr>
          <w:rFonts w:hint="eastAsia" w:ascii="宋体" w:hAnsi="宋体" w:cs="宋体"/>
          <w:iCs/>
          <w:color w:val="auto"/>
          <w:sz w:val="32"/>
          <w:szCs w:val="32"/>
          <w:highlight w:val="none"/>
        </w:rPr>
        <w:t>八、残疾人福利性单位声明函</w:t>
      </w:r>
    </w:p>
    <w:p w14:paraId="4A5A94A8">
      <w:pPr>
        <w:spacing w:line="360" w:lineRule="auto"/>
        <w:jc w:val="center"/>
        <w:outlineLvl w:val="0"/>
        <w:rPr>
          <w:rFonts w:ascii="宋体" w:hAnsi="宋体" w:cs="宋体"/>
          <w:color w:val="auto"/>
          <w:sz w:val="32"/>
          <w:szCs w:val="32"/>
          <w:highlight w:val="none"/>
        </w:rPr>
      </w:pPr>
      <w:r>
        <w:rPr>
          <w:rFonts w:hint="eastAsia" w:ascii="宋体" w:hAnsi="宋体" w:cs="宋体"/>
          <w:color w:val="auto"/>
          <w:sz w:val="32"/>
          <w:szCs w:val="32"/>
          <w:highlight w:val="none"/>
        </w:rPr>
        <w:t>残疾人福利性单位声明函</w:t>
      </w:r>
    </w:p>
    <w:p w14:paraId="58BC0393">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本单位郑重声明，根据《财政部 民政部 中国残疾人联合会关于促进残疾人就业政府采购政策的通知》（财库〔2017〕141号）的规定，本单位为符合条件的残疾人福利性单位，</w:t>
      </w:r>
      <w:r>
        <w:rPr>
          <w:rFonts w:hint="eastAsia" w:ascii="宋体" w:hAnsi="宋体" w:cs="宋体"/>
          <w:color w:val="auto"/>
          <w:sz w:val="24"/>
          <w:szCs w:val="24"/>
          <w:highlight w:val="none"/>
        </w:rPr>
        <w:t>参加</w:t>
      </w:r>
      <w:r>
        <w:rPr>
          <w:rFonts w:hint="eastAsia" w:ascii="宋体" w:hAnsi="宋体" w:cs="宋体"/>
          <w:color w:val="auto"/>
          <w:sz w:val="24"/>
          <w:szCs w:val="24"/>
          <w:highlight w:val="none"/>
          <w:u w:val="single"/>
        </w:rPr>
        <w:t>XXXXXXXXXXXXXXXXXXX</w:t>
      </w:r>
      <w:r>
        <w:rPr>
          <w:rFonts w:hint="eastAsia" w:ascii="宋体" w:hAnsi="宋体" w:cs="宋体"/>
          <w:color w:val="auto"/>
          <w:sz w:val="24"/>
          <w:szCs w:val="24"/>
          <w:highlight w:val="none"/>
        </w:rPr>
        <w:t>（单位名称）采购编号为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项目（分包号：</w:t>
      </w:r>
      <w:r>
        <w:rPr>
          <w:rFonts w:hint="eastAsia" w:ascii="宋体" w:hAnsi="宋体" w:cs="宋体"/>
          <w:color w:val="auto"/>
          <w:sz w:val="24"/>
          <w:szCs w:val="24"/>
          <w:highlight w:val="none"/>
          <w:u w:val="single"/>
        </w:rPr>
        <w:t>XXX</w:t>
      </w:r>
      <w:r>
        <w:rPr>
          <w:rFonts w:hint="eastAsia" w:ascii="宋体" w:hAnsi="宋体" w:cs="宋体"/>
          <w:color w:val="auto"/>
          <w:sz w:val="24"/>
          <w:szCs w:val="24"/>
          <w:highlight w:val="none"/>
        </w:rPr>
        <w:t>）的采购活动</w:t>
      </w:r>
      <w:r>
        <w:rPr>
          <w:rFonts w:hint="eastAsia" w:ascii="宋体" w:hAnsi="宋体" w:cs="宋体"/>
          <w:color w:val="auto"/>
          <w:sz w:val="24"/>
          <w:highlight w:val="none"/>
        </w:rPr>
        <w:t>，</w:t>
      </w:r>
      <w:r>
        <w:rPr>
          <w:rFonts w:hint="eastAsia" w:ascii="宋体" w:hAnsi="宋体" w:cs="宋体"/>
          <w:color w:val="auto"/>
          <w:sz w:val="24"/>
          <w:szCs w:val="24"/>
          <w:highlight w:val="none"/>
        </w:rPr>
        <w:t>服务全部由本单位提供</w:t>
      </w:r>
      <w:r>
        <w:rPr>
          <w:rFonts w:hint="eastAsia" w:ascii="宋体" w:hAnsi="宋体" w:cs="宋体"/>
          <w:color w:val="auto"/>
          <w:sz w:val="24"/>
          <w:highlight w:val="none"/>
        </w:rPr>
        <w:t>。</w:t>
      </w:r>
    </w:p>
    <w:p w14:paraId="2832124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本单位对上述声明的真实性负责，如有虚假，将依法承担相应责任。</w:t>
      </w:r>
    </w:p>
    <w:p w14:paraId="4D617393">
      <w:pPr>
        <w:pStyle w:val="62"/>
        <w:spacing w:line="360" w:lineRule="auto"/>
        <w:rPr>
          <w:rFonts w:ascii="宋体" w:hAnsi="宋体" w:eastAsia="宋体"/>
          <w:color w:val="auto"/>
          <w:sz w:val="24"/>
          <w:szCs w:val="24"/>
          <w:highlight w:val="none"/>
        </w:rPr>
      </w:pPr>
    </w:p>
    <w:p w14:paraId="1126E4D1">
      <w:pPr>
        <w:spacing w:line="360" w:lineRule="auto"/>
        <w:rPr>
          <w:rFonts w:ascii="宋体" w:hAnsi="宋体" w:cs="宋体"/>
          <w:color w:val="auto"/>
          <w:highlight w:val="none"/>
        </w:rPr>
      </w:pPr>
    </w:p>
    <w:p w14:paraId="7C0AC1EF">
      <w:pPr>
        <w:spacing w:line="360" w:lineRule="auto"/>
        <w:ind w:right="180" w:firstLine="36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                                            企业名称：（加盖电子公章）</w:t>
      </w:r>
    </w:p>
    <w:p w14:paraId="4003576F">
      <w:pPr>
        <w:spacing w:line="360" w:lineRule="auto"/>
        <w:ind w:firstLine="6000"/>
        <w:rPr>
          <w:rFonts w:ascii="宋体" w:hAnsi="宋体" w:cs="宋体"/>
          <w:color w:val="auto"/>
          <w:sz w:val="24"/>
          <w:szCs w:val="24"/>
          <w:highlight w:val="none"/>
        </w:rPr>
      </w:pPr>
      <w:r>
        <w:rPr>
          <w:rFonts w:hint="eastAsia" w:ascii="宋体" w:hAnsi="宋体" w:cs="宋体"/>
          <w:color w:val="auto"/>
          <w:sz w:val="24"/>
          <w:szCs w:val="24"/>
          <w:highlight w:val="none"/>
        </w:rPr>
        <w:t>日    期：</w:t>
      </w:r>
    </w:p>
    <w:p w14:paraId="487556A4">
      <w:pPr>
        <w:spacing w:line="360" w:lineRule="auto"/>
        <w:ind w:firstLine="480"/>
        <w:rPr>
          <w:rFonts w:ascii="宋体" w:hAnsi="宋体" w:cs="宋体"/>
          <w:color w:val="auto"/>
          <w:sz w:val="24"/>
          <w:highlight w:val="none"/>
        </w:rPr>
      </w:pPr>
    </w:p>
    <w:p w14:paraId="47733A84">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备注：1.供应商如不提供此声明函，价格将不做相应扣除。2.供应商为残疾人福利性单位的，此声明函将随成交结果同时公告，接受社会监督。</w:t>
      </w:r>
    </w:p>
    <w:p w14:paraId="587798FA">
      <w:pPr>
        <w:spacing w:line="560" w:lineRule="exact"/>
        <w:jc w:val="center"/>
        <w:rPr>
          <w:rFonts w:ascii="宋体" w:hAnsi="宋体" w:cs="宋体"/>
          <w:b/>
          <w:color w:val="auto"/>
          <w:sz w:val="32"/>
          <w:szCs w:val="32"/>
          <w:highlight w:val="none"/>
        </w:rPr>
      </w:pPr>
    </w:p>
    <w:p w14:paraId="32DB7819">
      <w:pPr>
        <w:spacing w:line="560" w:lineRule="exact"/>
        <w:jc w:val="center"/>
        <w:rPr>
          <w:rFonts w:ascii="宋体" w:hAnsi="宋体" w:cs="宋体"/>
          <w:b/>
          <w:color w:val="auto"/>
          <w:sz w:val="32"/>
          <w:szCs w:val="32"/>
          <w:highlight w:val="none"/>
        </w:rPr>
      </w:pPr>
    </w:p>
    <w:p w14:paraId="63A5938E">
      <w:pPr>
        <w:spacing w:line="560" w:lineRule="exact"/>
        <w:jc w:val="center"/>
        <w:rPr>
          <w:rFonts w:ascii="宋体" w:hAnsi="宋体" w:cs="宋体"/>
          <w:b/>
          <w:color w:val="auto"/>
          <w:sz w:val="32"/>
          <w:szCs w:val="32"/>
          <w:highlight w:val="none"/>
        </w:rPr>
      </w:pPr>
    </w:p>
    <w:p w14:paraId="0DE593E4">
      <w:pPr>
        <w:spacing w:line="360" w:lineRule="auto"/>
        <w:ind w:firstLine="480"/>
        <w:rPr>
          <w:rFonts w:hint="eastAsia" w:ascii="宋体" w:hAnsi="宋体" w:cs="宋体"/>
          <w:iCs/>
          <w:sz w:val="32"/>
          <w:szCs w:val="32"/>
          <w:highlight w:val="none"/>
          <w:lang w:val="en-US" w:eastAsia="zh-CN"/>
        </w:rPr>
      </w:pPr>
    </w:p>
    <w:p w14:paraId="0BA802CC">
      <w:pPr>
        <w:spacing w:line="360" w:lineRule="auto"/>
        <w:ind w:firstLine="480"/>
        <w:rPr>
          <w:rFonts w:hint="eastAsia" w:ascii="宋体" w:hAnsi="宋体" w:cs="宋体"/>
          <w:iCs/>
          <w:sz w:val="32"/>
          <w:szCs w:val="32"/>
          <w:highlight w:val="none"/>
          <w:lang w:val="en-US" w:eastAsia="zh-CN"/>
        </w:rPr>
      </w:pPr>
    </w:p>
    <w:p w14:paraId="23B02C08">
      <w:pPr>
        <w:spacing w:line="360" w:lineRule="auto"/>
        <w:ind w:firstLine="480"/>
        <w:rPr>
          <w:rFonts w:hint="eastAsia" w:ascii="宋体" w:hAnsi="宋体" w:cs="宋体"/>
          <w:iCs/>
          <w:sz w:val="32"/>
          <w:szCs w:val="32"/>
          <w:highlight w:val="none"/>
          <w:lang w:val="en-US" w:eastAsia="zh-CN"/>
        </w:rPr>
      </w:pPr>
    </w:p>
    <w:p w14:paraId="21349C70">
      <w:pPr>
        <w:spacing w:line="360" w:lineRule="auto"/>
        <w:ind w:firstLine="480"/>
        <w:rPr>
          <w:rFonts w:hint="eastAsia" w:ascii="宋体" w:hAnsi="宋体" w:cs="宋体"/>
          <w:iCs/>
          <w:sz w:val="32"/>
          <w:szCs w:val="32"/>
          <w:highlight w:val="none"/>
          <w:lang w:val="en-US" w:eastAsia="zh-CN"/>
        </w:rPr>
      </w:pPr>
    </w:p>
    <w:p w14:paraId="246CA6E8">
      <w:pPr>
        <w:spacing w:line="360" w:lineRule="auto"/>
        <w:ind w:firstLine="480"/>
        <w:rPr>
          <w:rFonts w:hint="eastAsia" w:ascii="宋体" w:hAnsi="宋体" w:cs="宋体"/>
          <w:iCs/>
          <w:sz w:val="32"/>
          <w:szCs w:val="32"/>
          <w:highlight w:val="none"/>
          <w:lang w:val="en-US" w:eastAsia="zh-CN"/>
        </w:rPr>
      </w:pPr>
    </w:p>
    <w:p w14:paraId="1E820386">
      <w:pPr>
        <w:spacing w:line="360" w:lineRule="auto"/>
        <w:ind w:firstLine="480"/>
        <w:rPr>
          <w:rFonts w:hint="eastAsia" w:ascii="宋体" w:hAnsi="宋体" w:cs="宋体"/>
          <w:iCs/>
          <w:sz w:val="32"/>
          <w:szCs w:val="32"/>
          <w:highlight w:val="none"/>
          <w:lang w:val="en-US" w:eastAsia="zh-CN"/>
        </w:rPr>
      </w:pPr>
    </w:p>
    <w:p w14:paraId="07CB4D0B">
      <w:pPr>
        <w:spacing w:line="360" w:lineRule="auto"/>
        <w:ind w:firstLine="480"/>
        <w:rPr>
          <w:rFonts w:hint="eastAsia" w:ascii="宋体" w:hAnsi="宋体" w:cs="宋体"/>
          <w:iCs/>
          <w:sz w:val="32"/>
          <w:szCs w:val="32"/>
          <w:highlight w:val="none"/>
          <w:lang w:val="en-US" w:eastAsia="zh-CN"/>
        </w:rPr>
      </w:pPr>
    </w:p>
    <w:p w14:paraId="2B5527DD">
      <w:pPr>
        <w:spacing w:line="360" w:lineRule="auto"/>
        <w:ind w:firstLine="480"/>
        <w:rPr>
          <w:rFonts w:hint="eastAsia" w:ascii="宋体" w:hAnsi="宋体" w:cs="宋体"/>
          <w:iCs/>
          <w:sz w:val="32"/>
          <w:szCs w:val="32"/>
          <w:highlight w:val="none"/>
          <w:lang w:val="en-US" w:eastAsia="zh-CN"/>
        </w:rPr>
      </w:pPr>
    </w:p>
    <w:p w14:paraId="48829353">
      <w:pPr>
        <w:spacing w:line="360" w:lineRule="auto"/>
        <w:ind w:firstLine="480"/>
        <w:rPr>
          <w:rFonts w:hint="eastAsia" w:ascii="宋体" w:hAnsi="宋体" w:cs="宋体"/>
          <w:iCs/>
          <w:sz w:val="32"/>
          <w:szCs w:val="32"/>
          <w:highlight w:val="none"/>
          <w:lang w:val="en-US" w:eastAsia="zh-CN"/>
        </w:rPr>
      </w:pPr>
    </w:p>
    <w:p w14:paraId="2C2AD2BB">
      <w:pPr>
        <w:spacing w:line="360" w:lineRule="auto"/>
        <w:ind w:firstLine="480"/>
        <w:rPr>
          <w:rFonts w:hint="eastAsia" w:ascii="宋体" w:hAnsi="宋体" w:cs="宋体"/>
          <w:iCs/>
          <w:sz w:val="32"/>
          <w:szCs w:val="32"/>
          <w:highlight w:val="none"/>
        </w:rPr>
      </w:pPr>
      <w:r>
        <w:rPr>
          <w:rFonts w:hint="eastAsia" w:ascii="宋体" w:hAnsi="宋体" w:cs="宋体"/>
          <w:iCs/>
          <w:sz w:val="32"/>
          <w:szCs w:val="32"/>
          <w:highlight w:val="none"/>
          <w:lang w:val="en-US" w:eastAsia="zh-CN"/>
        </w:rPr>
        <w:t>九、</w:t>
      </w:r>
      <w:r>
        <w:rPr>
          <w:rFonts w:hint="eastAsia" w:ascii="宋体" w:hAnsi="宋体" w:cs="宋体"/>
          <w:iCs/>
          <w:sz w:val="32"/>
          <w:szCs w:val="32"/>
          <w:highlight w:val="none"/>
        </w:rPr>
        <w:t>南京市政府采购供应商信用记录表暨信用承诺书</w:t>
      </w:r>
    </w:p>
    <w:p w14:paraId="7CAFD357">
      <w:pPr>
        <w:spacing w:after="120"/>
        <w:ind w:firstLine="361"/>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t>南京市政府采购供应商信用记录表暨信用承诺书</w:t>
      </w:r>
    </w:p>
    <w:p w14:paraId="4EED41A2">
      <w:pPr>
        <w:spacing w:after="120"/>
        <w:ind w:firstLine="210"/>
        <w:rPr>
          <w:rFonts w:hint="eastAsia" w:ascii="宋体" w:hAnsi="宋体" w:cs="宋体"/>
          <w:color w:val="000000"/>
          <w:szCs w:val="22"/>
          <w:highlight w:val="none"/>
        </w:rPr>
      </w:pPr>
      <w:r>
        <w:rPr>
          <w:rFonts w:hint="eastAsia" w:ascii="宋体" w:hAnsi="宋体" w:cs="宋体"/>
          <w:color w:val="000000"/>
          <w:szCs w:val="22"/>
          <w:highlight w:val="none"/>
        </w:rPr>
        <w:t>（仅为示范格式，直接填写无效，需至“南京政府采购供应商诚信档案管理系统”在线打印）</w:t>
      </w:r>
    </w:p>
    <w:tbl>
      <w:tblPr>
        <w:tblStyle w:val="3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1871"/>
        <w:gridCol w:w="2275"/>
        <w:gridCol w:w="2610"/>
        <w:gridCol w:w="2473"/>
      </w:tblGrid>
      <w:tr w14:paraId="779D5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24" w:hRule="atLeast"/>
        </w:trPr>
        <w:tc>
          <w:tcPr>
            <w:tcW w:w="1871" w:type="dxa"/>
            <w:noWrap w:val="0"/>
            <w:tcMar>
              <w:top w:w="15" w:type="dxa"/>
              <w:left w:w="15" w:type="dxa"/>
              <w:bottom w:w="15" w:type="dxa"/>
              <w:right w:w="15" w:type="dxa"/>
            </w:tcMar>
            <w:vAlign w:val="center"/>
          </w:tcPr>
          <w:p w14:paraId="5F2FE281">
            <w:pPr>
              <w:widowControl/>
              <w:jc w:val="left"/>
              <w:rPr>
                <w:rFonts w:hint="eastAsia" w:ascii="宋体" w:hAnsi="宋体" w:cs="宋体"/>
                <w:color w:val="000000"/>
                <w:sz w:val="24"/>
                <w:szCs w:val="22"/>
                <w:highlight w:val="none"/>
              </w:rPr>
            </w:pPr>
            <w:r>
              <w:rPr>
                <w:rFonts w:hint="eastAsia" w:ascii="宋体" w:hAnsi="宋体" w:cs="宋体"/>
                <w:color w:val="000000"/>
                <w:sz w:val="24"/>
                <w:szCs w:val="22"/>
                <w:highlight w:val="none"/>
                <w:lang w:bidi="ar"/>
              </w:rPr>
              <w:t>单位名称</w:t>
            </w:r>
          </w:p>
        </w:tc>
        <w:tc>
          <w:tcPr>
            <w:tcW w:w="2275" w:type="dxa"/>
            <w:noWrap w:val="0"/>
            <w:tcMar>
              <w:top w:w="15" w:type="dxa"/>
              <w:left w:w="15" w:type="dxa"/>
              <w:bottom w:w="15" w:type="dxa"/>
              <w:right w:w="15" w:type="dxa"/>
            </w:tcMar>
            <w:vAlign w:val="center"/>
          </w:tcPr>
          <w:p w14:paraId="03B1E6C7">
            <w:pPr>
              <w:jc w:val="left"/>
              <w:rPr>
                <w:rFonts w:hint="eastAsia" w:ascii="宋体" w:hAnsi="宋体" w:cs="宋体"/>
                <w:color w:val="000000"/>
                <w:sz w:val="24"/>
                <w:szCs w:val="22"/>
                <w:highlight w:val="none"/>
              </w:rPr>
            </w:pPr>
          </w:p>
        </w:tc>
        <w:tc>
          <w:tcPr>
            <w:tcW w:w="2610" w:type="dxa"/>
            <w:noWrap w:val="0"/>
            <w:tcMar>
              <w:top w:w="15" w:type="dxa"/>
              <w:left w:w="15" w:type="dxa"/>
              <w:bottom w:w="15" w:type="dxa"/>
              <w:right w:w="15" w:type="dxa"/>
            </w:tcMar>
            <w:vAlign w:val="center"/>
          </w:tcPr>
          <w:p w14:paraId="71EB4098">
            <w:pPr>
              <w:widowControl/>
              <w:jc w:val="left"/>
              <w:rPr>
                <w:rFonts w:hint="eastAsia" w:ascii="宋体" w:hAnsi="宋体" w:cs="宋体"/>
                <w:color w:val="000000"/>
                <w:sz w:val="24"/>
                <w:szCs w:val="22"/>
                <w:highlight w:val="none"/>
              </w:rPr>
            </w:pPr>
            <w:r>
              <w:rPr>
                <w:rFonts w:hint="eastAsia" w:ascii="宋体" w:hAnsi="宋体" w:cs="宋体"/>
                <w:color w:val="000000"/>
                <w:sz w:val="24"/>
                <w:szCs w:val="22"/>
                <w:highlight w:val="none"/>
                <w:lang w:bidi="ar"/>
              </w:rPr>
              <w:t>统一社会信用代码</w:t>
            </w:r>
          </w:p>
        </w:tc>
        <w:tc>
          <w:tcPr>
            <w:tcW w:w="2473" w:type="dxa"/>
            <w:noWrap w:val="0"/>
            <w:tcMar>
              <w:top w:w="15" w:type="dxa"/>
              <w:left w:w="15" w:type="dxa"/>
              <w:bottom w:w="15" w:type="dxa"/>
              <w:right w:w="15" w:type="dxa"/>
            </w:tcMar>
            <w:vAlign w:val="center"/>
          </w:tcPr>
          <w:p w14:paraId="131983EA">
            <w:pPr>
              <w:jc w:val="left"/>
              <w:rPr>
                <w:rFonts w:hint="eastAsia" w:ascii="宋体" w:hAnsi="宋体" w:cs="宋体"/>
                <w:color w:val="000000"/>
                <w:sz w:val="24"/>
                <w:szCs w:val="22"/>
                <w:highlight w:val="none"/>
              </w:rPr>
            </w:pPr>
          </w:p>
        </w:tc>
      </w:tr>
      <w:tr w14:paraId="1DF54C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85" w:hRule="atLeast"/>
        </w:trPr>
        <w:tc>
          <w:tcPr>
            <w:tcW w:w="1871" w:type="dxa"/>
            <w:noWrap w:val="0"/>
            <w:tcMar>
              <w:top w:w="15" w:type="dxa"/>
              <w:left w:w="15" w:type="dxa"/>
              <w:bottom w:w="15" w:type="dxa"/>
              <w:right w:w="15" w:type="dxa"/>
            </w:tcMar>
            <w:vAlign w:val="center"/>
          </w:tcPr>
          <w:p w14:paraId="71C73E79">
            <w:pPr>
              <w:widowControl/>
              <w:jc w:val="left"/>
              <w:rPr>
                <w:rFonts w:hint="eastAsia" w:ascii="宋体" w:hAnsi="宋体" w:cs="宋体"/>
                <w:color w:val="000000"/>
                <w:sz w:val="24"/>
                <w:szCs w:val="22"/>
                <w:highlight w:val="none"/>
              </w:rPr>
            </w:pPr>
            <w:r>
              <w:rPr>
                <w:rFonts w:hint="eastAsia" w:ascii="宋体" w:hAnsi="宋体" w:cs="宋体"/>
                <w:color w:val="000000"/>
                <w:sz w:val="24"/>
                <w:szCs w:val="22"/>
                <w:highlight w:val="none"/>
                <w:lang w:bidi="ar"/>
              </w:rPr>
              <w:t>法定代表人</w:t>
            </w:r>
          </w:p>
        </w:tc>
        <w:tc>
          <w:tcPr>
            <w:tcW w:w="2275" w:type="dxa"/>
            <w:noWrap w:val="0"/>
            <w:tcMar>
              <w:top w:w="15" w:type="dxa"/>
              <w:left w:w="15" w:type="dxa"/>
              <w:bottom w:w="15" w:type="dxa"/>
              <w:right w:w="15" w:type="dxa"/>
            </w:tcMar>
            <w:vAlign w:val="center"/>
          </w:tcPr>
          <w:p w14:paraId="368FCF3A">
            <w:pPr>
              <w:jc w:val="left"/>
              <w:rPr>
                <w:rFonts w:hint="eastAsia" w:ascii="宋体" w:hAnsi="宋体" w:cs="宋体"/>
                <w:color w:val="000000"/>
                <w:sz w:val="24"/>
                <w:szCs w:val="22"/>
                <w:highlight w:val="none"/>
              </w:rPr>
            </w:pPr>
          </w:p>
        </w:tc>
        <w:tc>
          <w:tcPr>
            <w:tcW w:w="2610" w:type="dxa"/>
            <w:noWrap w:val="0"/>
            <w:tcMar>
              <w:top w:w="15" w:type="dxa"/>
              <w:left w:w="15" w:type="dxa"/>
              <w:bottom w:w="15" w:type="dxa"/>
              <w:right w:w="15" w:type="dxa"/>
            </w:tcMar>
            <w:vAlign w:val="center"/>
          </w:tcPr>
          <w:p w14:paraId="63EE8531">
            <w:pPr>
              <w:widowControl/>
              <w:jc w:val="left"/>
              <w:rPr>
                <w:rFonts w:hint="eastAsia" w:ascii="宋体" w:hAnsi="宋体" w:cs="宋体"/>
                <w:color w:val="000000"/>
                <w:sz w:val="24"/>
                <w:szCs w:val="22"/>
                <w:highlight w:val="none"/>
              </w:rPr>
            </w:pPr>
            <w:r>
              <w:rPr>
                <w:rFonts w:hint="eastAsia" w:ascii="宋体" w:hAnsi="宋体" w:cs="宋体"/>
                <w:color w:val="000000"/>
                <w:sz w:val="24"/>
                <w:szCs w:val="22"/>
                <w:highlight w:val="none"/>
                <w:lang w:bidi="ar"/>
              </w:rPr>
              <w:t>联系人</w:t>
            </w:r>
          </w:p>
        </w:tc>
        <w:tc>
          <w:tcPr>
            <w:tcW w:w="2473" w:type="dxa"/>
            <w:noWrap w:val="0"/>
            <w:tcMar>
              <w:top w:w="15" w:type="dxa"/>
              <w:left w:w="15" w:type="dxa"/>
              <w:bottom w:w="15" w:type="dxa"/>
              <w:right w:w="15" w:type="dxa"/>
            </w:tcMar>
            <w:vAlign w:val="center"/>
          </w:tcPr>
          <w:p w14:paraId="29A4B991">
            <w:pPr>
              <w:jc w:val="left"/>
              <w:rPr>
                <w:rFonts w:hint="eastAsia" w:ascii="宋体" w:hAnsi="宋体" w:cs="宋体"/>
                <w:color w:val="000000"/>
                <w:sz w:val="24"/>
                <w:szCs w:val="22"/>
                <w:highlight w:val="none"/>
              </w:rPr>
            </w:pPr>
          </w:p>
        </w:tc>
      </w:tr>
      <w:tr w14:paraId="764F4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20" w:hRule="atLeast"/>
        </w:trPr>
        <w:tc>
          <w:tcPr>
            <w:tcW w:w="1871" w:type="dxa"/>
            <w:noWrap w:val="0"/>
            <w:tcMar>
              <w:top w:w="15" w:type="dxa"/>
              <w:left w:w="15" w:type="dxa"/>
              <w:bottom w:w="15" w:type="dxa"/>
              <w:right w:w="15" w:type="dxa"/>
            </w:tcMar>
            <w:vAlign w:val="center"/>
          </w:tcPr>
          <w:p w14:paraId="5FC9F18D">
            <w:pPr>
              <w:widowControl/>
              <w:jc w:val="left"/>
              <w:rPr>
                <w:rFonts w:hint="eastAsia" w:ascii="宋体" w:hAnsi="宋体" w:cs="宋体"/>
                <w:color w:val="000000"/>
                <w:sz w:val="24"/>
                <w:szCs w:val="22"/>
                <w:highlight w:val="none"/>
              </w:rPr>
            </w:pPr>
            <w:r>
              <w:rPr>
                <w:rFonts w:hint="eastAsia" w:ascii="宋体" w:hAnsi="宋体" w:cs="宋体"/>
                <w:color w:val="000000"/>
                <w:sz w:val="24"/>
                <w:szCs w:val="22"/>
                <w:highlight w:val="none"/>
                <w:lang w:bidi="ar"/>
              </w:rPr>
              <w:t>联系地址</w:t>
            </w:r>
          </w:p>
        </w:tc>
        <w:tc>
          <w:tcPr>
            <w:tcW w:w="2275" w:type="dxa"/>
            <w:noWrap w:val="0"/>
            <w:tcMar>
              <w:top w:w="15" w:type="dxa"/>
              <w:left w:w="15" w:type="dxa"/>
              <w:bottom w:w="15" w:type="dxa"/>
              <w:right w:w="15" w:type="dxa"/>
            </w:tcMar>
            <w:vAlign w:val="center"/>
          </w:tcPr>
          <w:p w14:paraId="400328F9">
            <w:pPr>
              <w:jc w:val="left"/>
              <w:rPr>
                <w:rFonts w:hint="eastAsia" w:ascii="宋体" w:hAnsi="宋体" w:cs="宋体"/>
                <w:color w:val="000000"/>
                <w:sz w:val="24"/>
                <w:szCs w:val="22"/>
                <w:highlight w:val="none"/>
              </w:rPr>
            </w:pPr>
          </w:p>
        </w:tc>
        <w:tc>
          <w:tcPr>
            <w:tcW w:w="2610" w:type="dxa"/>
            <w:noWrap w:val="0"/>
            <w:tcMar>
              <w:top w:w="15" w:type="dxa"/>
              <w:left w:w="15" w:type="dxa"/>
              <w:bottom w:w="15" w:type="dxa"/>
              <w:right w:w="15" w:type="dxa"/>
            </w:tcMar>
            <w:vAlign w:val="center"/>
          </w:tcPr>
          <w:p w14:paraId="786A34A9">
            <w:pPr>
              <w:widowControl/>
              <w:jc w:val="left"/>
              <w:rPr>
                <w:rFonts w:hint="eastAsia" w:ascii="宋体" w:hAnsi="宋体" w:cs="宋体"/>
                <w:color w:val="000000"/>
                <w:sz w:val="24"/>
                <w:szCs w:val="22"/>
                <w:highlight w:val="none"/>
              </w:rPr>
            </w:pPr>
            <w:r>
              <w:rPr>
                <w:rFonts w:hint="eastAsia" w:ascii="宋体" w:hAnsi="宋体" w:cs="宋体"/>
                <w:color w:val="000000"/>
                <w:sz w:val="24"/>
                <w:szCs w:val="22"/>
                <w:highlight w:val="none"/>
                <w:lang w:bidi="ar"/>
              </w:rPr>
              <w:t>联系电话</w:t>
            </w:r>
          </w:p>
        </w:tc>
        <w:tc>
          <w:tcPr>
            <w:tcW w:w="2473" w:type="dxa"/>
            <w:noWrap w:val="0"/>
            <w:tcMar>
              <w:top w:w="15" w:type="dxa"/>
              <w:left w:w="15" w:type="dxa"/>
              <w:bottom w:w="15" w:type="dxa"/>
              <w:right w:w="15" w:type="dxa"/>
            </w:tcMar>
            <w:vAlign w:val="center"/>
          </w:tcPr>
          <w:p w14:paraId="03C7B56F">
            <w:pPr>
              <w:jc w:val="left"/>
              <w:rPr>
                <w:rFonts w:hint="eastAsia" w:ascii="宋体" w:hAnsi="宋体" w:cs="宋体"/>
                <w:color w:val="000000"/>
                <w:sz w:val="24"/>
                <w:szCs w:val="22"/>
                <w:highlight w:val="none"/>
              </w:rPr>
            </w:pPr>
          </w:p>
        </w:tc>
      </w:tr>
      <w:tr w14:paraId="21E18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953" w:hRule="atLeast"/>
        </w:trPr>
        <w:tc>
          <w:tcPr>
            <w:tcW w:w="1871" w:type="dxa"/>
            <w:noWrap w:val="0"/>
            <w:tcMar>
              <w:top w:w="15" w:type="dxa"/>
              <w:left w:w="15" w:type="dxa"/>
              <w:bottom w:w="15" w:type="dxa"/>
              <w:right w:w="15" w:type="dxa"/>
            </w:tcMar>
            <w:vAlign w:val="center"/>
          </w:tcPr>
          <w:p w14:paraId="5DE8ACD0">
            <w:pPr>
              <w:widowControl/>
              <w:jc w:val="left"/>
              <w:rPr>
                <w:rFonts w:hint="eastAsia" w:ascii="宋体" w:hAnsi="宋体" w:cs="宋体"/>
                <w:color w:val="000000"/>
                <w:sz w:val="24"/>
                <w:szCs w:val="22"/>
                <w:highlight w:val="none"/>
              </w:rPr>
            </w:pPr>
            <w:r>
              <w:rPr>
                <w:rFonts w:hint="eastAsia" w:ascii="宋体" w:hAnsi="宋体" w:cs="宋体"/>
                <w:color w:val="000000"/>
                <w:sz w:val="24"/>
                <w:szCs w:val="22"/>
                <w:highlight w:val="none"/>
                <w:lang w:bidi="ar"/>
              </w:rPr>
              <w:t>诚信档案记录情况</w:t>
            </w:r>
          </w:p>
        </w:tc>
        <w:tc>
          <w:tcPr>
            <w:tcW w:w="7358" w:type="dxa"/>
            <w:gridSpan w:val="3"/>
            <w:noWrap w:val="0"/>
            <w:tcMar>
              <w:top w:w="15" w:type="dxa"/>
              <w:left w:w="15" w:type="dxa"/>
              <w:bottom w:w="15" w:type="dxa"/>
              <w:right w:w="15" w:type="dxa"/>
            </w:tcMar>
            <w:vAlign w:val="center"/>
          </w:tcPr>
          <w:p w14:paraId="3691895E">
            <w:pPr>
              <w:jc w:val="left"/>
              <w:rPr>
                <w:rFonts w:hint="eastAsia" w:ascii="宋体" w:hAnsi="宋体" w:cs="宋体"/>
                <w:color w:val="000000"/>
                <w:sz w:val="24"/>
                <w:szCs w:val="22"/>
                <w:highlight w:val="none"/>
              </w:rPr>
            </w:pPr>
          </w:p>
        </w:tc>
      </w:tr>
      <w:tr w14:paraId="3E083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512" w:hRule="atLeast"/>
        </w:trPr>
        <w:tc>
          <w:tcPr>
            <w:tcW w:w="1871" w:type="dxa"/>
            <w:noWrap w:val="0"/>
            <w:tcMar>
              <w:top w:w="15" w:type="dxa"/>
              <w:left w:w="15" w:type="dxa"/>
              <w:bottom w:w="15" w:type="dxa"/>
              <w:right w:w="15" w:type="dxa"/>
            </w:tcMar>
            <w:vAlign w:val="center"/>
          </w:tcPr>
          <w:p w14:paraId="1C6DFEB5">
            <w:pPr>
              <w:widowControl/>
              <w:jc w:val="left"/>
              <w:rPr>
                <w:rFonts w:hint="eastAsia" w:ascii="宋体" w:hAnsi="宋体" w:cs="宋体"/>
                <w:color w:val="000000"/>
                <w:sz w:val="24"/>
                <w:szCs w:val="22"/>
                <w:highlight w:val="none"/>
              </w:rPr>
            </w:pPr>
            <w:r>
              <w:rPr>
                <w:rFonts w:hint="eastAsia" w:ascii="宋体" w:hAnsi="宋体" w:cs="宋体"/>
                <w:color w:val="000000"/>
                <w:sz w:val="24"/>
                <w:szCs w:val="22"/>
                <w:highlight w:val="none"/>
                <w:lang w:bidi="ar"/>
              </w:rPr>
              <w:t>信用承诺</w:t>
            </w:r>
          </w:p>
        </w:tc>
        <w:tc>
          <w:tcPr>
            <w:tcW w:w="7358" w:type="dxa"/>
            <w:gridSpan w:val="3"/>
            <w:noWrap w:val="0"/>
            <w:tcMar>
              <w:top w:w="15" w:type="dxa"/>
              <w:left w:w="15" w:type="dxa"/>
              <w:bottom w:w="15" w:type="dxa"/>
              <w:right w:w="15" w:type="dxa"/>
            </w:tcMar>
            <w:vAlign w:val="center"/>
          </w:tcPr>
          <w:p w14:paraId="3CB9E73C">
            <w:pPr>
              <w:widowControl/>
              <w:spacing w:line="400" w:lineRule="exact"/>
              <w:jc w:val="left"/>
              <w:rPr>
                <w:rFonts w:hint="eastAsia" w:ascii="宋体" w:hAnsi="宋体" w:cs="宋体"/>
                <w:color w:val="000000"/>
                <w:sz w:val="24"/>
                <w:highlight w:val="none"/>
                <w:lang w:bidi="ar"/>
              </w:rPr>
            </w:pPr>
            <w:r>
              <w:rPr>
                <w:rFonts w:hint="eastAsia" w:ascii="宋体" w:hAnsi="宋体" w:cs="宋体"/>
                <w:color w:val="000000"/>
                <w:sz w:val="24"/>
                <w:highlight w:val="none"/>
                <w:lang w:bidi="ar"/>
              </w:rPr>
              <w:t>信用承诺：</w:t>
            </w:r>
          </w:p>
          <w:p w14:paraId="699FFE2C">
            <w:pPr>
              <w:widowControl/>
              <w:spacing w:line="400" w:lineRule="exact"/>
              <w:ind w:firstLine="480"/>
              <w:jc w:val="left"/>
              <w:rPr>
                <w:rFonts w:hint="eastAsia" w:ascii="宋体" w:hAnsi="宋体" w:cs="宋体"/>
                <w:color w:val="000000"/>
                <w:sz w:val="24"/>
                <w:highlight w:val="none"/>
              </w:rPr>
            </w:pPr>
            <w:r>
              <w:rPr>
                <w:rFonts w:hint="eastAsia" w:ascii="宋体" w:hAnsi="宋体" w:cs="宋体"/>
                <w:color w:val="000000"/>
                <w:sz w:val="24"/>
                <w:highlight w:val="none"/>
                <w:lang w:bidi="ar"/>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w:t>
            </w:r>
            <w:r>
              <w:rPr>
                <w:rFonts w:hint="eastAsia" w:ascii="宋体" w:hAnsi="宋体" w:cs="宋体"/>
                <w:color w:val="000000"/>
                <w:sz w:val="24"/>
                <w:highlight w:val="none"/>
              </w:rPr>
              <w:t>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如有弄虚作假或其他违法违规行为，愿承担一切法律责任，接受各级政府采购监管部门和有权机关的审查和处罚。</w:t>
            </w:r>
            <w:r>
              <w:rPr>
                <w:rFonts w:hint="eastAsia" w:ascii="宋体" w:hAnsi="宋体" w:cs="宋体"/>
                <w:color w:val="000000"/>
                <w:sz w:val="24"/>
                <w:highlight w:val="none"/>
                <w:lang w:bidi="ar"/>
              </w:rPr>
              <w:br w:type="textWrapping" w:clear="all"/>
            </w:r>
            <w:r>
              <w:rPr>
                <w:rFonts w:hint="eastAsia" w:ascii="宋体" w:hAnsi="宋体" w:cs="宋体"/>
                <w:color w:val="000000"/>
                <w:sz w:val="24"/>
                <w:highlight w:val="none"/>
                <w:lang w:bidi="ar"/>
              </w:rPr>
              <w:t xml:space="preserve">                      供应商名称（盖章）：</w:t>
            </w:r>
            <w:r>
              <w:rPr>
                <w:rFonts w:hint="eastAsia" w:ascii="宋体" w:hAnsi="宋体" w:cs="宋体"/>
                <w:color w:val="000000"/>
                <w:sz w:val="24"/>
                <w:highlight w:val="none"/>
                <w:lang w:bidi="ar"/>
              </w:rPr>
              <w:br w:type="textWrapping" w:clear="all"/>
            </w:r>
            <w:r>
              <w:rPr>
                <w:rFonts w:hint="eastAsia" w:ascii="宋体" w:hAnsi="宋体" w:cs="宋体"/>
                <w:color w:val="000000"/>
                <w:sz w:val="24"/>
                <w:highlight w:val="none"/>
                <w:lang w:bidi="ar"/>
              </w:rPr>
              <w:t xml:space="preserve">                      法定代表人（签字）：</w:t>
            </w:r>
            <w:r>
              <w:rPr>
                <w:rFonts w:hint="eastAsia" w:ascii="宋体" w:hAnsi="宋体" w:cs="宋体"/>
                <w:color w:val="000000"/>
                <w:sz w:val="24"/>
                <w:highlight w:val="none"/>
                <w:lang w:bidi="ar"/>
              </w:rPr>
              <w:br w:type="textWrapping" w:clear="all"/>
            </w:r>
            <w:r>
              <w:rPr>
                <w:rFonts w:hint="eastAsia" w:ascii="宋体" w:hAnsi="宋体" w:cs="宋体"/>
                <w:color w:val="000000"/>
                <w:sz w:val="24"/>
                <w:highlight w:val="none"/>
                <w:lang w:bidi="ar"/>
              </w:rPr>
              <w:t xml:space="preserve">                             年   月   日</w:t>
            </w:r>
          </w:p>
        </w:tc>
      </w:tr>
    </w:tbl>
    <w:p w14:paraId="5A5F807A">
      <w:pPr>
        <w:jc w:val="lef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注：1、供应商在中标（成交）后，应按采购文件要求，将上述由信用承诺书替代的证明材料提交采购人或采购代理机构核验。经核验无误后，由采购人或采购代理机构发出中标（成交）通知书。</w:t>
      </w:r>
    </w:p>
    <w:p w14:paraId="32A926D2">
      <w:pPr>
        <w:jc w:val="lef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    2、供应商对信用承诺内容真实性、合法性、有效性负责。如做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40CAD633">
      <w:pPr>
        <w:spacing w:line="560" w:lineRule="exact"/>
        <w:jc w:val="center"/>
        <w:rPr>
          <w:rFonts w:ascii="宋体" w:hAnsi="宋体" w:cs="宋体"/>
          <w:b/>
          <w:color w:val="auto"/>
          <w:sz w:val="32"/>
          <w:szCs w:val="32"/>
          <w:highlight w:val="none"/>
        </w:rPr>
      </w:pPr>
    </w:p>
    <w:p w14:paraId="5934E7B5">
      <w:pPr>
        <w:spacing w:line="560" w:lineRule="exact"/>
        <w:jc w:val="center"/>
        <w:rPr>
          <w:rFonts w:ascii="宋体" w:hAnsi="宋体" w:cs="宋体"/>
          <w:b/>
          <w:color w:val="auto"/>
          <w:sz w:val="32"/>
          <w:szCs w:val="32"/>
          <w:highlight w:val="none"/>
        </w:rPr>
      </w:pPr>
    </w:p>
    <w:p w14:paraId="65E909E2">
      <w:pPr>
        <w:rPr>
          <w:rFonts w:hint="eastAsia" w:ascii="宋体" w:hAnsi="宋体" w:cs="宋体"/>
          <w:iCs/>
          <w:color w:val="auto"/>
          <w:sz w:val="32"/>
          <w:szCs w:val="32"/>
          <w:highlight w:val="none"/>
          <w:lang w:val="en-US" w:eastAsia="zh-CN"/>
        </w:rPr>
      </w:pPr>
      <w:r>
        <w:rPr>
          <w:rFonts w:hint="eastAsia" w:ascii="宋体" w:hAnsi="宋体" w:cs="宋体"/>
          <w:iCs/>
          <w:color w:val="auto"/>
          <w:sz w:val="32"/>
          <w:szCs w:val="32"/>
          <w:highlight w:val="none"/>
          <w:lang w:val="en-US" w:eastAsia="zh-CN"/>
        </w:rPr>
        <w:br w:type="page"/>
      </w:r>
    </w:p>
    <w:bookmarkEnd w:id="197"/>
    <w:p w14:paraId="2C401197">
      <w:pPr>
        <w:spacing w:line="360" w:lineRule="auto"/>
        <w:jc w:val="center"/>
        <w:outlineLvl w:val="0"/>
        <w:rPr>
          <w:rFonts w:ascii="宋体" w:hAnsi="宋体" w:cs="宋体"/>
          <w:color w:val="auto"/>
          <w:sz w:val="32"/>
          <w:szCs w:val="32"/>
          <w:highlight w:val="none"/>
        </w:rPr>
      </w:pPr>
      <w:r>
        <w:rPr>
          <w:rFonts w:hint="eastAsia" w:ascii="宋体" w:hAnsi="宋体" w:cs="宋体"/>
          <w:color w:val="auto"/>
          <w:sz w:val="32"/>
          <w:szCs w:val="32"/>
          <w:highlight w:val="none"/>
        </w:rPr>
        <w:t>质疑函范本</w:t>
      </w:r>
    </w:p>
    <w:p w14:paraId="715CEFCC">
      <w:pPr>
        <w:spacing w:before="290"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一、质疑供应商基本信息</w:t>
      </w:r>
    </w:p>
    <w:p w14:paraId="7931BBF8">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质疑供应商：</w:t>
      </w:r>
      <w:r>
        <w:rPr>
          <w:rFonts w:hint="eastAsia" w:ascii="宋体" w:hAnsi="宋体" w:cs="宋体"/>
          <w:color w:val="auto"/>
          <w:sz w:val="24"/>
          <w:szCs w:val="24"/>
          <w:highlight w:val="none"/>
          <w:u w:val="single"/>
        </w:rPr>
        <w:t xml:space="preserve">                                                              </w:t>
      </w:r>
    </w:p>
    <w:p w14:paraId="3D240E0A">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邮编：</w:t>
      </w:r>
      <w:r>
        <w:rPr>
          <w:rFonts w:hint="eastAsia" w:ascii="宋体" w:hAnsi="宋体" w:cs="宋体"/>
          <w:color w:val="auto"/>
          <w:sz w:val="24"/>
          <w:szCs w:val="24"/>
          <w:highlight w:val="none"/>
          <w:u w:val="single"/>
        </w:rPr>
        <w:t xml:space="preserve">                                 </w:t>
      </w:r>
    </w:p>
    <w:p w14:paraId="18C56D60">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联系人：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u w:val="single"/>
        </w:rPr>
        <w:t xml:space="preserve">                                  </w:t>
      </w:r>
    </w:p>
    <w:p w14:paraId="14C63B85">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授权代表：</w:t>
      </w:r>
      <w:r>
        <w:rPr>
          <w:rFonts w:hint="eastAsia" w:ascii="宋体" w:hAnsi="宋体" w:cs="宋体"/>
          <w:color w:val="auto"/>
          <w:sz w:val="24"/>
          <w:szCs w:val="24"/>
          <w:highlight w:val="none"/>
          <w:u w:val="single"/>
        </w:rPr>
        <w:t xml:space="preserve">                                                                </w:t>
      </w:r>
    </w:p>
    <w:p w14:paraId="5B3114BC">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u w:val="single"/>
        </w:rPr>
        <w:t xml:space="preserve">                                                                </w:t>
      </w:r>
    </w:p>
    <w:p w14:paraId="455C42B6">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地址：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邮编：</w:t>
      </w:r>
      <w:r>
        <w:rPr>
          <w:rFonts w:hint="eastAsia" w:ascii="宋体" w:hAnsi="宋体" w:cs="宋体"/>
          <w:color w:val="auto"/>
          <w:sz w:val="24"/>
          <w:szCs w:val="24"/>
          <w:highlight w:val="none"/>
          <w:u w:val="single"/>
        </w:rPr>
        <w:t xml:space="preserve">                                     </w:t>
      </w:r>
    </w:p>
    <w:p w14:paraId="2BDD4B9D">
      <w:pPr>
        <w:spacing w:before="290"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二、质疑项目基本情况</w:t>
      </w:r>
    </w:p>
    <w:p w14:paraId="24C63815">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u w:val="single"/>
        </w:rPr>
        <w:t xml:space="preserve">                                                          </w:t>
      </w:r>
    </w:p>
    <w:p w14:paraId="37D188AD">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项目编号：</w:t>
      </w:r>
      <w:r>
        <w:rPr>
          <w:rFonts w:hint="eastAsia" w:ascii="宋体" w:hAnsi="宋体" w:cs="宋体"/>
          <w:color w:val="auto"/>
          <w:sz w:val="24"/>
          <w:szCs w:val="24"/>
          <w:highlight w:val="none"/>
          <w:u w:val="single"/>
        </w:rPr>
        <w:t xml:space="preserve">                         分</w:t>
      </w:r>
      <w:r>
        <w:rPr>
          <w:rFonts w:hint="eastAsia" w:ascii="宋体" w:hAnsi="宋体" w:cs="宋体"/>
          <w:color w:val="auto"/>
          <w:sz w:val="24"/>
          <w:szCs w:val="24"/>
          <w:highlight w:val="none"/>
        </w:rPr>
        <w:t>包号：</w:t>
      </w:r>
      <w:r>
        <w:rPr>
          <w:rFonts w:hint="eastAsia" w:ascii="宋体" w:hAnsi="宋体" w:cs="宋体"/>
          <w:color w:val="auto"/>
          <w:sz w:val="24"/>
          <w:szCs w:val="24"/>
          <w:highlight w:val="none"/>
          <w:u w:val="single"/>
        </w:rPr>
        <w:t xml:space="preserve">                           </w:t>
      </w:r>
    </w:p>
    <w:p w14:paraId="1B7F5133">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采购人名称：</w:t>
      </w:r>
      <w:r>
        <w:rPr>
          <w:rFonts w:hint="eastAsia" w:ascii="宋体" w:hAnsi="宋体" w:cs="宋体"/>
          <w:color w:val="auto"/>
          <w:sz w:val="24"/>
          <w:szCs w:val="24"/>
          <w:highlight w:val="none"/>
          <w:u w:val="single"/>
        </w:rPr>
        <w:t xml:space="preserve">                                                              </w:t>
      </w:r>
    </w:p>
    <w:p w14:paraId="50FBD64F">
      <w:pPr>
        <w:spacing w:before="290"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三、质疑事项具体内容</w:t>
      </w:r>
    </w:p>
    <w:p w14:paraId="4A21994E">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质疑事项1：</w:t>
      </w:r>
      <w:r>
        <w:rPr>
          <w:rFonts w:hint="eastAsia" w:ascii="宋体" w:hAnsi="宋体" w:cs="宋体"/>
          <w:color w:val="auto"/>
          <w:sz w:val="24"/>
          <w:szCs w:val="24"/>
          <w:highlight w:val="none"/>
          <w:u w:val="single"/>
        </w:rPr>
        <w:t xml:space="preserve">                                                              </w:t>
      </w:r>
    </w:p>
    <w:p w14:paraId="574BF86C">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事实依据：</w:t>
      </w:r>
      <w:r>
        <w:rPr>
          <w:rFonts w:hint="eastAsia" w:ascii="宋体" w:hAnsi="宋体" w:cs="宋体"/>
          <w:color w:val="auto"/>
          <w:sz w:val="24"/>
          <w:szCs w:val="24"/>
          <w:highlight w:val="none"/>
          <w:u w:val="single"/>
        </w:rPr>
        <w:t xml:space="preserve">                                                                </w:t>
      </w:r>
    </w:p>
    <w:p w14:paraId="1E4E6306">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p>
    <w:p w14:paraId="7180FE75">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法律依据：</w:t>
      </w:r>
      <w:r>
        <w:rPr>
          <w:rFonts w:hint="eastAsia" w:ascii="宋体" w:hAnsi="宋体" w:cs="宋体"/>
          <w:color w:val="auto"/>
          <w:sz w:val="24"/>
          <w:szCs w:val="24"/>
          <w:highlight w:val="none"/>
          <w:u w:val="single"/>
        </w:rPr>
        <w:t xml:space="preserve">                                                                </w:t>
      </w:r>
    </w:p>
    <w:p w14:paraId="584FEEF5">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w:t>
      </w:r>
    </w:p>
    <w:p w14:paraId="49300053">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质疑事项2</w:t>
      </w:r>
    </w:p>
    <w:p w14:paraId="0AD0533D">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w:t>
      </w:r>
    </w:p>
    <w:p w14:paraId="683F00EA">
      <w:pPr>
        <w:spacing w:before="290"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四、质疑事项相关请求</w:t>
      </w:r>
    </w:p>
    <w:p w14:paraId="78D5E9D6">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请求：</w:t>
      </w:r>
      <w:r>
        <w:rPr>
          <w:rFonts w:hint="eastAsia" w:ascii="宋体" w:hAnsi="宋体" w:cs="宋体"/>
          <w:color w:val="auto"/>
          <w:sz w:val="24"/>
          <w:szCs w:val="24"/>
          <w:highlight w:val="none"/>
          <w:u w:val="single"/>
        </w:rPr>
        <w:t xml:space="preserve">                                                                    </w:t>
      </w:r>
    </w:p>
    <w:p w14:paraId="5875533F">
      <w:pPr>
        <w:rPr>
          <w:rFonts w:ascii="宋体" w:hAnsi="宋体" w:cs="宋体"/>
          <w:color w:val="auto"/>
          <w:sz w:val="24"/>
          <w:szCs w:val="24"/>
          <w:highlight w:val="none"/>
        </w:rPr>
      </w:pPr>
    </w:p>
    <w:p w14:paraId="5EC98B4B">
      <w:pPr>
        <w:rPr>
          <w:rFonts w:ascii="宋体" w:hAnsi="宋体" w:cs="宋体"/>
          <w:color w:val="auto"/>
          <w:sz w:val="24"/>
          <w:szCs w:val="24"/>
          <w:highlight w:val="none"/>
        </w:rPr>
      </w:pPr>
      <w:r>
        <w:rPr>
          <w:rFonts w:hint="eastAsia" w:ascii="宋体" w:hAnsi="宋体" w:cs="宋体"/>
          <w:color w:val="auto"/>
          <w:sz w:val="24"/>
          <w:szCs w:val="24"/>
          <w:highlight w:val="none"/>
        </w:rPr>
        <w:t xml:space="preserve">签字(签章)：                   公章：                      </w:t>
      </w:r>
    </w:p>
    <w:p w14:paraId="384F04AA">
      <w:pPr>
        <w:rPr>
          <w:rFonts w:ascii="宋体" w:hAnsi="宋体" w:cs="宋体"/>
          <w:color w:val="auto"/>
          <w:sz w:val="24"/>
          <w:szCs w:val="24"/>
          <w:highlight w:val="none"/>
        </w:rPr>
      </w:pPr>
      <w:r>
        <w:rPr>
          <w:rFonts w:hint="eastAsia" w:ascii="宋体" w:hAnsi="宋体" w:cs="宋体"/>
          <w:color w:val="auto"/>
          <w:sz w:val="24"/>
          <w:szCs w:val="24"/>
          <w:highlight w:val="none"/>
        </w:rPr>
        <w:t xml:space="preserve">日期：    </w:t>
      </w:r>
    </w:p>
    <w:p w14:paraId="2F8D7331">
      <w:pPr>
        <w:spacing w:line="480" w:lineRule="exact"/>
        <w:rPr>
          <w:rFonts w:ascii="宋体" w:hAnsi="宋体" w:cs="宋体"/>
          <w:bCs/>
          <w:color w:val="auto"/>
          <w:sz w:val="24"/>
          <w:szCs w:val="24"/>
          <w:highlight w:val="none"/>
        </w:rPr>
      </w:pPr>
      <w:r>
        <w:rPr>
          <w:rFonts w:hint="eastAsia" w:ascii="宋体" w:hAnsi="宋体" w:cs="宋体"/>
          <w:bCs/>
          <w:color w:val="auto"/>
          <w:sz w:val="24"/>
          <w:szCs w:val="24"/>
          <w:highlight w:val="none"/>
        </w:rPr>
        <w:t>质疑函制作说明：</w:t>
      </w:r>
    </w:p>
    <w:p w14:paraId="65BA14CE">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1.供应商提出质疑，应提交《质疑函》和必要的证明材料。</w:t>
      </w:r>
    </w:p>
    <w:p w14:paraId="08B7EED7">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2.由授权代表负责质疑事宜的，《质疑函》附件中应提交由质疑供应商法定代表人签署的《授权委托书》。</w:t>
      </w:r>
    </w:p>
    <w:p w14:paraId="165CBCFE">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3.质疑供应商针对项目的某一分包进行质疑的，《质疑函》中应明确分包号。</w:t>
      </w:r>
    </w:p>
    <w:p w14:paraId="5F918036">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4.《质疑函》的质疑事项应具体、明确，并有必要的事实依据和法律依据。</w:t>
      </w:r>
    </w:p>
    <w:p w14:paraId="73A43E98">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5.《质疑函》的质疑请求应与质疑事项相关。</w:t>
      </w:r>
    </w:p>
    <w:p w14:paraId="561D7352">
      <w:pPr>
        <w:spacing w:line="480" w:lineRule="exact"/>
        <w:rPr>
          <w:rFonts w:ascii="宋体" w:hAnsi="宋体" w:cs="宋体"/>
          <w:color w:val="auto"/>
          <w:highlight w:val="none"/>
        </w:rPr>
      </w:pPr>
      <w:r>
        <w:rPr>
          <w:rFonts w:hint="eastAsia" w:ascii="宋体" w:hAnsi="宋体" w:cs="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7667552F">
      <w:pPr>
        <w:ind w:firstLine="420"/>
        <w:rPr>
          <w:rFonts w:ascii="宋体" w:hAnsi="宋体" w:cs="宋体"/>
          <w:color w:val="auto"/>
          <w:sz w:val="24"/>
          <w:szCs w:val="24"/>
          <w:highlight w:val="none"/>
        </w:rPr>
      </w:pPr>
    </w:p>
    <w:p w14:paraId="0BBCEEFB">
      <w:pPr>
        <w:ind w:firstLine="420"/>
        <w:rPr>
          <w:rFonts w:ascii="宋体" w:hAnsi="宋体" w:cs="宋体"/>
          <w:color w:val="auto"/>
          <w:sz w:val="24"/>
          <w:szCs w:val="24"/>
          <w:highlight w:val="none"/>
        </w:rPr>
      </w:pPr>
    </w:p>
    <w:p w14:paraId="75936BA0">
      <w:pPr>
        <w:spacing w:line="480" w:lineRule="exact"/>
        <w:ind w:firstLine="480"/>
        <w:rPr>
          <w:rFonts w:ascii="宋体" w:hAnsi="宋体" w:cs="仿宋"/>
          <w:color w:val="auto"/>
          <w:sz w:val="24"/>
          <w:szCs w:val="24"/>
          <w:highlight w:val="none"/>
        </w:rPr>
      </w:pPr>
    </w:p>
    <w:p w14:paraId="3AFA9520">
      <w:pPr>
        <w:ind w:firstLine="480"/>
        <w:jc w:val="left"/>
        <w:rPr>
          <w:rFonts w:hint="eastAsia" w:ascii="仿宋" w:hAnsi="仿宋" w:eastAsia="仿宋" w:cs="仿宋"/>
          <w:color w:val="auto"/>
          <w:sz w:val="24"/>
          <w:szCs w:val="24"/>
          <w:highlight w:val="none"/>
          <w:lang w:val="en-US" w:eastAsia="zh-CN"/>
        </w:rPr>
      </w:pPr>
    </w:p>
    <w:sectPr>
      <w:headerReference r:id="rId3" w:type="default"/>
      <w:footerReference r:id="rId4" w:type="default"/>
      <w:footerReference r:id="rId5" w:type="even"/>
      <w:pgSz w:w="11906" w:h="16838"/>
      <w:pgMar w:top="1418" w:right="1361"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宋体"/>
    <w:panose1 w:val="02010609030101010101"/>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7F" w:usb3="00000000" w:csb0="203F01FF" w:csb1="DFFF0000"/>
  </w:font>
  <w:font w:name="方正黑体_GBK">
    <w:altName w:val="微软雅黑"/>
    <w:panose1 w:val="0201060001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 w:name="KSOFEC83043A">
    <w:panose1 w:val="020B0503020204020204"/>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B11DE">
    <w:pPr>
      <w:pStyle w:val="256"/>
      <w:jc w:val="center"/>
      <w:rPr>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63A92576">
                          <w:pPr>
                            <w:pStyle w:val="256"/>
                            <w:rPr>
                              <w:rStyle w:val="282"/>
                              <w:rFonts w:ascii="宋体" w:hAnsi="宋体"/>
                            </w:rPr>
                          </w:pPr>
                          <w:r>
                            <w:rPr>
                              <w:rFonts w:ascii="宋体" w:hAnsi="宋体"/>
                            </w:rPr>
                            <w:fldChar w:fldCharType="begin"/>
                          </w:r>
                          <w:r>
                            <w:rPr>
                              <w:rStyle w:val="282"/>
                              <w:rFonts w:ascii="宋体" w:hAnsi="宋体"/>
                            </w:rPr>
                            <w:instrText xml:space="preserve">PAGE  </w:instrText>
                          </w:r>
                          <w:r>
                            <w:rPr>
                              <w:rFonts w:ascii="宋体" w:hAnsi="宋体"/>
                            </w:rPr>
                            <w:fldChar w:fldCharType="separate"/>
                          </w:r>
                          <w:r>
                            <w:rPr>
                              <w:rStyle w:val="282"/>
                              <w:rFonts w:ascii="宋体" w:hAnsi="宋体"/>
                            </w:rPr>
                            <w:t>28</w:t>
                          </w:r>
                          <w:r>
                            <w:rPr>
                              <w:rFonts w:ascii="宋体" w:hAnsi="宋体"/>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&#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qQ4Wm1QEAALEDAAAOAAAAAAAAAAEAIAAAAB4B&#10;AABkcnMvZTJvRG9jLnhtbFBLBQYAAAAABgAGAFkBAABlBQAAAAA=&#10;">
              <v:fill on="f" focussize="0,0"/>
              <v:stroke on="f" joinstyle="miter"/>
              <v:imagedata o:title=""/>
              <o:lock v:ext="edit" aspectratio="f"/>
              <v:textbox inset="0mm,0mm,0mm,0mm" style="mso-fit-shape-to-text:t;">
                <w:txbxContent>
                  <w:p w14:paraId="63A92576">
                    <w:pPr>
                      <w:pStyle w:val="256"/>
                      <w:rPr>
                        <w:rStyle w:val="282"/>
                        <w:rFonts w:ascii="宋体" w:hAnsi="宋体"/>
                      </w:rPr>
                    </w:pPr>
                    <w:r>
                      <w:rPr>
                        <w:rFonts w:ascii="宋体" w:hAnsi="宋体"/>
                      </w:rPr>
                      <w:fldChar w:fldCharType="begin"/>
                    </w:r>
                    <w:r>
                      <w:rPr>
                        <w:rStyle w:val="282"/>
                        <w:rFonts w:ascii="宋体" w:hAnsi="宋体"/>
                      </w:rPr>
                      <w:instrText xml:space="preserve">PAGE  </w:instrText>
                    </w:r>
                    <w:r>
                      <w:rPr>
                        <w:rFonts w:ascii="宋体" w:hAnsi="宋体"/>
                      </w:rPr>
                      <w:fldChar w:fldCharType="separate"/>
                    </w:r>
                    <w:r>
                      <w:rPr>
                        <w:rStyle w:val="282"/>
                        <w:rFonts w:ascii="宋体" w:hAnsi="宋体"/>
                      </w:rPr>
                      <w:t>28</w:t>
                    </w:r>
                    <w:r>
                      <w:rPr>
                        <w:rFonts w:ascii="宋体" w:hAnsi="宋体"/>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D4ACC">
    <w:pPr>
      <w:pStyle w:val="256"/>
      <w:framePr w:wrap="around" w:vAnchor="text" w:hAnchor="margin" w:xAlign="center" w:y="1"/>
      <w:rPr>
        <w:rStyle w:val="282"/>
      </w:rPr>
    </w:pPr>
    <w:r>
      <w:fldChar w:fldCharType="begin"/>
    </w:r>
    <w:r>
      <w:rPr>
        <w:rStyle w:val="282"/>
      </w:rPr>
      <w:instrText xml:space="preserve">PAGE  </w:instrText>
    </w:r>
    <w:r>
      <w:fldChar w:fldCharType="separate"/>
    </w:r>
    <w:r>
      <w:rPr>
        <w:rStyle w:val="282"/>
      </w:rPr>
      <w:t>1</w:t>
    </w:r>
    <w:r>
      <w:fldChar w:fldCharType="end"/>
    </w:r>
  </w:p>
  <w:p w14:paraId="7CB77142">
    <w:pPr>
      <w:pStyle w:val="25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390E77">
    <w:pPr>
      <w:pStyle w:val="258"/>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E99FFB"/>
    <w:multiLevelType w:val="singleLevel"/>
    <w:tmpl w:val="ABE99FFB"/>
    <w:lvl w:ilvl="0" w:tentative="0">
      <w:start w:val="1"/>
      <w:numFmt w:val="decimal"/>
      <w:lvlText w:val="%1."/>
      <w:lvlJc w:val="left"/>
      <w:pPr>
        <w:tabs>
          <w:tab w:val="left" w:pos="312"/>
        </w:tabs>
      </w:pPr>
    </w:lvl>
  </w:abstractNum>
  <w:abstractNum w:abstractNumId="1">
    <w:nsid w:val="B3EC96EC"/>
    <w:multiLevelType w:val="singleLevel"/>
    <w:tmpl w:val="B3EC96EC"/>
    <w:lvl w:ilvl="0" w:tentative="0">
      <w:start w:val="4"/>
      <w:numFmt w:val="chineseCounting"/>
      <w:suff w:val="space"/>
      <w:lvlText w:val="第%1章"/>
      <w:lvlJc w:val="left"/>
      <w:rPr>
        <w:rFonts w:hint="eastAsia"/>
      </w:rPr>
    </w:lvl>
  </w:abstractNum>
  <w:abstractNum w:abstractNumId="2">
    <w:nsid w:val="BF205925"/>
    <w:multiLevelType w:val="multilevel"/>
    <w:tmpl w:val="BF205925"/>
    <w:lvl w:ilvl="0" w:tentative="0">
      <w:start w:val="1"/>
      <w:numFmt w:val="decimal"/>
      <w:pStyle w:val="30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CF092B84"/>
    <w:multiLevelType w:val="multilevel"/>
    <w:tmpl w:val="CF092B84"/>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15"/>
      <w:suff w:val="nothing"/>
      <w:lvlText w:val=""/>
      <w:lvlJc w:val="left"/>
      <w:pPr>
        <w:ind w:left="0" w:firstLine="0"/>
      </w:pPr>
      <w:rPr>
        <w:rFonts w:hint="eastAsia"/>
      </w:rPr>
    </w:lvl>
    <w:lvl w:ilvl="6" w:tentative="0">
      <w:start w:val="1"/>
      <w:numFmt w:val="decimal"/>
      <w:pStyle w:val="216"/>
      <w:suff w:val="nothing"/>
      <w:lvlText w:val=""/>
      <w:lvlJc w:val="left"/>
      <w:pPr>
        <w:ind w:left="0" w:firstLine="0"/>
      </w:pPr>
      <w:rPr>
        <w:rFonts w:hint="eastAsia"/>
      </w:rPr>
    </w:lvl>
    <w:lvl w:ilvl="7" w:tentative="0">
      <w:start w:val="1"/>
      <w:numFmt w:val="decimal"/>
      <w:pStyle w:val="217"/>
      <w:suff w:val="nothing"/>
      <w:lvlText w:val=""/>
      <w:lvlJc w:val="left"/>
      <w:pPr>
        <w:ind w:left="0" w:firstLine="0"/>
      </w:pPr>
      <w:rPr>
        <w:rFonts w:hint="eastAsia"/>
      </w:rPr>
    </w:lvl>
    <w:lvl w:ilvl="8" w:tentative="0">
      <w:start w:val="1"/>
      <w:numFmt w:val="decimal"/>
      <w:pStyle w:val="218"/>
      <w:suff w:val="nothing"/>
      <w:lvlText w:val=""/>
      <w:lvlJc w:val="left"/>
      <w:pPr>
        <w:ind w:left="0" w:firstLine="0"/>
      </w:pPr>
      <w:rPr>
        <w:rFonts w:hint="eastAsia"/>
      </w:rPr>
    </w:lvl>
  </w:abstractNum>
  <w:abstractNum w:abstractNumId="4">
    <w:nsid w:val="E22994A2"/>
    <w:multiLevelType w:val="singleLevel"/>
    <w:tmpl w:val="E22994A2"/>
    <w:lvl w:ilvl="0" w:tentative="0">
      <w:start w:val="1"/>
      <w:numFmt w:val="decimal"/>
      <w:lvlText w:val="%1."/>
      <w:lvlJc w:val="left"/>
      <w:pPr>
        <w:tabs>
          <w:tab w:val="left" w:pos="312"/>
        </w:tabs>
      </w:pPr>
    </w:lvl>
  </w:abstractNum>
  <w:abstractNum w:abstractNumId="5">
    <w:nsid w:val="F19B0442"/>
    <w:multiLevelType w:val="singleLevel"/>
    <w:tmpl w:val="F19B0442"/>
    <w:lvl w:ilvl="0" w:tentative="0">
      <w:start w:val="3"/>
      <w:numFmt w:val="chineseCounting"/>
      <w:suff w:val="nothing"/>
      <w:lvlText w:val="%1、"/>
      <w:lvlJc w:val="left"/>
      <w:rPr>
        <w:rFonts w:hint="eastAsia"/>
      </w:rPr>
    </w:lvl>
  </w:abstractNum>
  <w:abstractNum w:abstractNumId="6">
    <w:nsid w:val="0053208E"/>
    <w:multiLevelType w:val="multilevel"/>
    <w:tmpl w:val="0053208E"/>
    <w:lvl w:ilvl="0" w:tentative="0">
      <w:start w:val="1"/>
      <w:numFmt w:val="bullet"/>
      <w:pStyle w:val="15"/>
      <w:lvlText w:val=""/>
      <w:lvlJc w:val="left"/>
      <w:pPr>
        <w:tabs>
          <w:tab w:val="left" w:pos="360"/>
        </w:tabs>
        <w:ind w:left="36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9ADCABA"/>
    <w:multiLevelType w:val="multilevel"/>
    <w:tmpl w:val="59ADCABA"/>
    <w:lvl w:ilvl="0" w:tentative="0">
      <w:start w:val="1"/>
      <w:numFmt w:val="upperLetter"/>
      <w:pStyle w:val="298"/>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75F04187"/>
    <w:multiLevelType w:val="singleLevel"/>
    <w:tmpl w:val="75F04187"/>
    <w:lvl w:ilvl="0" w:tentative="0">
      <w:start w:val="1"/>
      <w:numFmt w:val="decimal"/>
      <w:suff w:val="nothing"/>
      <w:lvlText w:val="（%1）"/>
      <w:lvlJc w:val="left"/>
    </w:lvl>
  </w:abstractNum>
  <w:num w:numId="1">
    <w:abstractNumId w:val="6"/>
  </w:num>
  <w:num w:numId="2">
    <w:abstractNumId w:val="3"/>
  </w:num>
  <w:num w:numId="3">
    <w:abstractNumId w:val="7"/>
  </w:num>
  <w:num w:numId="4">
    <w:abstractNumId w:val="2"/>
  </w:num>
  <w:num w:numId="5">
    <w:abstractNumId w:val="1"/>
  </w:num>
  <w:num w:numId="6">
    <w:abstractNumId w:val="5"/>
  </w:num>
  <w:num w:numId="7">
    <w:abstractNumId w:val="8"/>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73010D"/>
    <w:rsid w:val="038C76D9"/>
    <w:rsid w:val="045C24FC"/>
    <w:rsid w:val="082A5944"/>
    <w:rsid w:val="0A4D3E89"/>
    <w:rsid w:val="0ADD7C07"/>
    <w:rsid w:val="0E2B2934"/>
    <w:rsid w:val="10062C11"/>
    <w:rsid w:val="113076C2"/>
    <w:rsid w:val="11573496"/>
    <w:rsid w:val="137141F5"/>
    <w:rsid w:val="147452B7"/>
    <w:rsid w:val="1574621E"/>
    <w:rsid w:val="18B102E2"/>
    <w:rsid w:val="19FB597C"/>
    <w:rsid w:val="1A344D70"/>
    <w:rsid w:val="1A3D7765"/>
    <w:rsid w:val="1C5F6EE7"/>
    <w:rsid w:val="1CB32CB1"/>
    <w:rsid w:val="1E6359B1"/>
    <w:rsid w:val="20692E24"/>
    <w:rsid w:val="207559C8"/>
    <w:rsid w:val="20F326ED"/>
    <w:rsid w:val="280478D6"/>
    <w:rsid w:val="288E2F16"/>
    <w:rsid w:val="28EF66CB"/>
    <w:rsid w:val="295E3016"/>
    <w:rsid w:val="29634188"/>
    <w:rsid w:val="299802D6"/>
    <w:rsid w:val="2C695F59"/>
    <w:rsid w:val="2CA0678E"/>
    <w:rsid w:val="2CEB7B5B"/>
    <w:rsid w:val="300F1252"/>
    <w:rsid w:val="31490060"/>
    <w:rsid w:val="32672F3B"/>
    <w:rsid w:val="34EC078C"/>
    <w:rsid w:val="35753BC1"/>
    <w:rsid w:val="3A297155"/>
    <w:rsid w:val="3AA31842"/>
    <w:rsid w:val="3E1321C9"/>
    <w:rsid w:val="3FAA090B"/>
    <w:rsid w:val="40F167F2"/>
    <w:rsid w:val="45100C2E"/>
    <w:rsid w:val="45D3296A"/>
    <w:rsid w:val="4954779C"/>
    <w:rsid w:val="4977360C"/>
    <w:rsid w:val="49EA2082"/>
    <w:rsid w:val="4B115885"/>
    <w:rsid w:val="4BB328F5"/>
    <w:rsid w:val="4DA272C6"/>
    <w:rsid w:val="4EAE1998"/>
    <w:rsid w:val="4F275AD4"/>
    <w:rsid w:val="4F3431DC"/>
    <w:rsid w:val="4FB76E58"/>
    <w:rsid w:val="526747E0"/>
    <w:rsid w:val="52A90634"/>
    <w:rsid w:val="541008E5"/>
    <w:rsid w:val="54E104D3"/>
    <w:rsid w:val="54EB4EAE"/>
    <w:rsid w:val="556F788D"/>
    <w:rsid w:val="56DE116E"/>
    <w:rsid w:val="572823EA"/>
    <w:rsid w:val="575D7E54"/>
    <w:rsid w:val="59D531CE"/>
    <w:rsid w:val="5AA60365"/>
    <w:rsid w:val="5CF917AF"/>
    <w:rsid w:val="5D8F6D1E"/>
    <w:rsid w:val="5E0A45F7"/>
    <w:rsid w:val="602816AC"/>
    <w:rsid w:val="62344338"/>
    <w:rsid w:val="62B55E7E"/>
    <w:rsid w:val="63493E13"/>
    <w:rsid w:val="64FB0B07"/>
    <w:rsid w:val="663F5396"/>
    <w:rsid w:val="679F4002"/>
    <w:rsid w:val="69EF36D5"/>
    <w:rsid w:val="6B533A81"/>
    <w:rsid w:val="6C180827"/>
    <w:rsid w:val="6C923799"/>
    <w:rsid w:val="6DE6564D"/>
    <w:rsid w:val="738B18DE"/>
    <w:rsid w:val="73FE6554"/>
    <w:rsid w:val="747131CA"/>
    <w:rsid w:val="74BF5767"/>
    <w:rsid w:val="78C44CD8"/>
    <w:rsid w:val="78F61EF0"/>
    <w:rsid w:val="7993773F"/>
    <w:rsid w:val="7A387742"/>
    <w:rsid w:val="7C6B778C"/>
    <w:rsid w:val="7F3D43D5"/>
    <w:rsid w:val="7FFA407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qFormat="1"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3">
    <w:name w:val="heading 1"/>
    <w:basedOn w:val="1"/>
    <w:next w:val="1"/>
    <w:link w:val="63"/>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64"/>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65"/>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66"/>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67"/>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68"/>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69"/>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70"/>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71"/>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List Paragraph"/>
    <w:basedOn w:val="1"/>
    <w:qFormat/>
    <w:uiPriority w:val="34"/>
    <w:pPr>
      <w:ind w:left="720"/>
      <w:contextualSpacing/>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0"/>
    <w:pPr>
      <w:ind w:left="72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List Bullet"/>
    <w:basedOn w:val="1"/>
    <w:next w:val="1"/>
    <w:semiHidden/>
    <w:unhideWhenUsed/>
    <w:qFormat/>
    <w:uiPriority w:val="99"/>
    <w:pPr>
      <w:numPr>
        <w:ilvl w:val="0"/>
        <w:numId w:val="1"/>
      </w:numPr>
    </w:pPr>
  </w:style>
  <w:style w:type="paragraph" w:styleId="16">
    <w:name w:val="annotation text"/>
    <w:basedOn w:val="1"/>
    <w:semiHidden/>
    <w:unhideWhenUsed/>
    <w:qFormat/>
    <w:uiPriority w:val="99"/>
    <w:pPr>
      <w:jc w:val="left"/>
    </w:pPr>
  </w:style>
  <w:style w:type="paragraph" w:styleId="17">
    <w:name w:val="Body Text"/>
    <w:basedOn w:val="1"/>
    <w:qFormat/>
    <w:uiPriority w:val="1"/>
    <w:rPr>
      <w:sz w:val="24"/>
      <w:szCs w:val="24"/>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toc 8"/>
    <w:basedOn w:val="1"/>
    <w:next w:val="1"/>
    <w:unhideWhenUsed/>
    <w:qFormat/>
    <w:uiPriority w:val="39"/>
    <w:pPr>
      <w:spacing w:after="57"/>
      <w:ind w:left="1984"/>
    </w:pPr>
  </w:style>
  <w:style w:type="paragraph" w:styleId="21">
    <w:name w:val="endnote text"/>
    <w:basedOn w:val="1"/>
    <w:link w:val="208"/>
    <w:semiHidden/>
    <w:unhideWhenUsed/>
    <w:qFormat/>
    <w:uiPriority w:val="99"/>
    <w:rPr>
      <w:sz w:val="20"/>
    </w:rPr>
  </w:style>
  <w:style w:type="paragraph" w:styleId="22">
    <w:name w:val="Balloon Text"/>
    <w:basedOn w:val="1"/>
    <w:link w:val="331"/>
    <w:semiHidden/>
    <w:unhideWhenUsed/>
    <w:qFormat/>
    <w:uiPriority w:val="99"/>
    <w:rPr>
      <w:sz w:val="18"/>
      <w:szCs w:val="18"/>
    </w:rPr>
  </w:style>
  <w:style w:type="paragraph" w:styleId="23">
    <w:name w:val="footer"/>
    <w:basedOn w:val="1"/>
    <w:link w:val="81"/>
    <w:unhideWhenUsed/>
    <w:qFormat/>
    <w:uiPriority w:val="99"/>
    <w:pPr>
      <w:tabs>
        <w:tab w:val="center" w:pos="7143"/>
        <w:tab w:val="right" w:pos="14287"/>
      </w:tabs>
    </w:pPr>
  </w:style>
  <w:style w:type="paragraph" w:styleId="24">
    <w:name w:val="header"/>
    <w:basedOn w:val="1"/>
    <w:link w:val="79"/>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74"/>
    <w:qFormat/>
    <w:uiPriority w:val="11"/>
    <w:pPr>
      <w:spacing w:before="200" w:after="200"/>
    </w:pPr>
    <w:rPr>
      <w:sz w:val="24"/>
      <w:szCs w:val="24"/>
    </w:rPr>
  </w:style>
  <w:style w:type="paragraph" w:styleId="28">
    <w:name w:val="footnote text"/>
    <w:basedOn w:val="1"/>
    <w:link w:val="207"/>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semiHidden/>
    <w:unhideWhenUsed/>
    <w:qFormat/>
    <w:uiPriority w:val="99"/>
    <w:rPr>
      <w:sz w:val="24"/>
    </w:rPr>
  </w:style>
  <w:style w:type="paragraph" w:styleId="34">
    <w:name w:val="Title"/>
    <w:basedOn w:val="1"/>
    <w:next w:val="1"/>
    <w:link w:val="73"/>
    <w:qFormat/>
    <w:uiPriority w:val="10"/>
    <w:pPr>
      <w:spacing w:before="300" w:after="200"/>
      <w:contextualSpacing/>
    </w:pPr>
    <w:rPr>
      <w:sz w:val="48"/>
      <w:szCs w:val="48"/>
    </w:rPr>
  </w:style>
  <w:style w:type="paragraph" w:styleId="35">
    <w:name w:val="Body Text First Indent"/>
    <w:basedOn w:val="17"/>
    <w:unhideWhenUsed/>
    <w:qFormat/>
    <w:uiPriority w:val="99"/>
    <w:pPr>
      <w:spacing w:after="120"/>
      <w:ind w:firstLine="420"/>
    </w:pPr>
    <w:rPr>
      <w:rFonts w:asciiTheme="minorHAnsi" w:hAnsiTheme="minorHAnsi" w:eastAsiaTheme="minorEastAsia" w:cstheme="minorBidi"/>
      <w:sz w:val="21"/>
      <w:szCs w:val="22"/>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character" w:customStyle="1" w:styleId="42">
    <w:name w:val="Heading 1 Char"/>
    <w:basedOn w:val="38"/>
    <w:qFormat/>
    <w:uiPriority w:val="9"/>
    <w:rPr>
      <w:rFonts w:ascii="Arial" w:hAnsi="Arial" w:eastAsia="Arial" w:cs="Arial"/>
      <w:sz w:val="40"/>
      <w:szCs w:val="40"/>
    </w:rPr>
  </w:style>
  <w:style w:type="character" w:customStyle="1" w:styleId="43">
    <w:name w:val="Heading 2 Char"/>
    <w:basedOn w:val="38"/>
    <w:qFormat/>
    <w:uiPriority w:val="9"/>
    <w:rPr>
      <w:rFonts w:ascii="Arial" w:hAnsi="Arial" w:eastAsia="Arial" w:cs="Arial"/>
      <w:sz w:val="34"/>
    </w:rPr>
  </w:style>
  <w:style w:type="character" w:customStyle="1" w:styleId="44">
    <w:name w:val="Heading 3 Char"/>
    <w:basedOn w:val="38"/>
    <w:qFormat/>
    <w:uiPriority w:val="9"/>
    <w:rPr>
      <w:rFonts w:ascii="Arial" w:hAnsi="Arial" w:eastAsia="Arial" w:cs="Arial"/>
      <w:sz w:val="30"/>
      <w:szCs w:val="30"/>
    </w:rPr>
  </w:style>
  <w:style w:type="character" w:customStyle="1" w:styleId="45">
    <w:name w:val="Heading 4 Char"/>
    <w:basedOn w:val="38"/>
    <w:qFormat/>
    <w:uiPriority w:val="9"/>
    <w:rPr>
      <w:rFonts w:ascii="Arial" w:hAnsi="Arial" w:eastAsia="Arial" w:cs="Arial"/>
      <w:b/>
      <w:bCs/>
      <w:sz w:val="26"/>
      <w:szCs w:val="26"/>
    </w:rPr>
  </w:style>
  <w:style w:type="character" w:customStyle="1" w:styleId="46">
    <w:name w:val="Heading 5 Char"/>
    <w:basedOn w:val="38"/>
    <w:qFormat/>
    <w:uiPriority w:val="9"/>
    <w:rPr>
      <w:rFonts w:ascii="Arial" w:hAnsi="Arial" w:eastAsia="Arial" w:cs="Arial"/>
      <w:b/>
      <w:bCs/>
      <w:sz w:val="24"/>
      <w:szCs w:val="24"/>
    </w:rPr>
  </w:style>
  <w:style w:type="character" w:customStyle="1" w:styleId="47">
    <w:name w:val="Heading 6 Char"/>
    <w:basedOn w:val="38"/>
    <w:qFormat/>
    <w:uiPriority w:val="9"/>
    <w:rPr>
      <w:rFonts w:ascii="Arial" w:hAnsi="Arial" w:eastAsia="Arial" w:cs="Arial"/>
      <w:b/>
      <w:bCs/>
      <w:sz w:val="22"/>
      <w:szCs w:val="22"/>
    </w:rPr>
  </w:style>
  <w:style w:type="character" w:customStyle="1" w:styleId="48">
    <w:name w:val="Heading 7 Char"/>
    <w:basedOn w:val="38"/>
    <w:qFormat/>
    <w:uiPriority w:val="9"/>
    <w:rPr>
      <w:rFonts w:ascii="Arial" w:hAnsi="Arial" w:eastAsia="Arial" w:cs="Arial"/>
      <w:b/>
      <w:bCs/>
      <w:i/>
      <w:iCs/>
      <w:sz w:val="22"/>
      <w:szCs w:val="22"/>
    </w:rPr>
  </w:style>
  <w:style w:type="character" w:customStyle="1" w:styleId="49">
    <w:name w:val="Heading 8 Char"/>
    <w:basedOn w:val="38"/>
    <w:qFormat/>
    <w:uiPriority w:val="9"/>
    <w:rPr>
      <w:rFonts w:ascii="Arial" w:hAnsi="Arial" w:eastAsia="Arial" w:cs="Arial"/>
      <w:i/>
      <w:iCs/>
      <w:sz w:val="22"/>
      <w:szCs w:val="22"/>
    </w:rPr>
  </w:style>
  <w:style w:type="character" w:customStyle="1" w:styleId="50">
    <w:name w:val="Heading 9 Char"/>
    <w:basedOn w:val="38"/>
    <w:qFormat/>
    <w:uiPriority w:val="9"/>
    <w:rPr>
      <w:rFonts w:ascii="Arial" w:hAnsi="Arial" w:eastAsia="Arial" w:cs="Arial"/>
      <w:i/>
      <w:iCs/>
      <w:sz w:val="21"/>
      <w:szCs w:val="21"/>
    </w:rPr>
  </w:style>
  <w:style w:type="character" w:customStyle="1" w:styleId="51">
    <w:name w:val="Title Char"/>
    <w:basedOn w:val="38"/>
    <w:qFormat/>
    <w:uiPriority w:val="10"/>
    <w:rPr>
      <w:sz w:val="48"/>
      <w:szCs w:val="48"/>
    </w:rPr>
  </w:style>
  <w:style w:type="character" w:customStyle="1" w:styleId="52">
    <w:name w:val="Subtitle Char"/>
    <w:basedOn w:val="38"/>
    <w:qFormat/>
    <w:uiPriority w:val="11"/>
    <w:rPr>
      <w:sz w:val="24"/>
      <w:szCs w:val="24"/>
    </w:rPr>
  </w:style>
  <w:style w:type="character" w:customStyle="1" w:styleId="53">
    <w:name w:val="Quote Char"/>
    <w:qFormat/>
    <w:uiPriority w:val="29"/>
    <w:rPr>
      <w:i/>
    </w:rPr>
  </w:style>
  <w:style w:type="character" w:customStyle="1" w:styleId="54">
    <w:name w:val="Intense Quote Char"/>
    <w:qFormat/>
    <w:uiPriority w:val="30"/>
    <w:rPr>
      <w:i/>
    </w:rPr>
  </w:style>
  <w:style w:type="character" w:customStyle="1" w:styleId="55">
    <w:name w:val="Header Char"/>
    <w:basedOn w:val="38"/>
    <w:qFormat/>
    <w:uiPriority w:val="99"/>
  </w:style>
  <w:style w:type="character" w:customStyle="1" w:styleId="56">
    <w:name w:val="Caption Char"/>
    <w:qFormat/>
    <w:uiPriority w:val="99"/>
  </w:style>
  <w:style w:type="character" w:customStyle="1" w:styleId="57">
    <w:name w:val="Footnote Text Char"/>
    <w:qFormat/>
    <w:uiPriority w:val="99"/>
    <w:rPr>
      <w:sz w:val="18"/>
    </w:rPr>
  </w:style>
  <w:style w:type="character" w:customStyle="1" w:styleId="58">
    <w:name w:val="Endnote Text Char"/>
    <w:qFormat/>
    <w:uiPriority w:val="99"/>
    <w:rPr>
      <w:sz w:val="20"/>
    </w:rPr>
  </w:style>
  <w:style w:type="paragraph" w:customStyle="1" w:styleId="59">
    <w:name w:val="TOC Heading"/>
    <w:unhideWhenUsed/>
    <w:qFormat/>
    <w:uiPriority w:val="39"/>
    <w:rPr>
      <w:rFonts w:hint="default" w:ascii="Times New Roman" w:hAnsi="Times New Roman" w:eastAsia="宋体" w:cs="Times New Roman"/>
    </w:rPr>
  </w:style>
  <w:style w:type="character" w:customStyle="1" w:styleId="60">
    <w:name w:val="标题 1 Char"/>
    <w:link w:val="61"/>
    <w:qFormat/>
    <w:uiPriority w:val="0"/>
    <w:rPr>
      <w:rFonts w:ascii="楷体_GB2312" w:hAnsi="Times New Roman" w:eastAsia="楷体_GB2312" w:cs="Times New Roman"/>
      <w:sz w:val="28"/>
      <w:szCs w:val="28"/>
    </w:rPr>
  </w:style>
  <w:style w:type="paragraph" w:customStyle="1" w:styleId="61">
    <w:name w:val="标题 11"/>
    <w:basedOn w:val="1"/>
    <w:next w:val="1"/>
    <w:link w:val="60"/>
    <w:qFormat/>
    <w:uiPriority w:val="0"/>
    <w:pPr>
      <w:keepNext/>
      <w:jc w:val="center"/>
      <w:outlineLvl w:val="0"/>
    </w:pPr>
    <w:rPr>
      <w:rFonts w:ascii="楷体_GB2312" w:eastAsia="楷体_GB2312"/>
      <w:sz w:val="28"/>
      <w:szCs w:val="28"/>
    </w:rPr>
  </w:style>
  <w:style w:type="paragraph" w:customStyle="1" w:styleId="62">
    <w:name w:val="索引 41"/>
    <w:basedOn w:val="1"/>
    <w:next w:val="1"/>
    <w:semiHidden/>
    <w:qFormat/>
    <w:uiPriority w:val="0"/>
    <w:pPr>
      <w:ind w:left="1260"/>
    </w:pPr>
    <w:rPr>
      <w:rFonts w:ascii="Calibri" w:hAnsi="Calibri" w:eastAsia="Calibri" w:cs="宋体"/>
      <w:sz w:val="20"/>
      <w:lang w:val="zh-CN"/>
    </w:rPr>
  </w:style>
  <w:style w:type="character" w:customStyle="1" w:styleId="63">
    <w:name w:val="标题 1 Char1"/>
    <w:link w:val="3"/>
    <w:qFormat/>
    <w:uiPriority w:val="9"/>
    <w:rPr>
      <w:rFonts w:ascii="Arial" w:hAnsi="Arial" w:eastAsia="Arial" w:cs="Arial"/>
      <w:sz w:val="40"/>
      <w:szCs w:val="40"/>
    </w:rPr>
  </w:style>
  <w:style w:type="character" w:customStyle="1" w:styleId="64">
    <w:name w:val="标题 2 Char1"/>
    <w:link w:val="4"/>
    <w:qFormat/>
    <w:uiPriority w:val="9"/>
    <w:rPr>
      <w:rFonts w:ascii="Arial" w:hAnsi="Arial" w:eastAsia="Arial" w:cs="Arial"/>
      <w:sz w:val="34"/>
    </w:rPr>
  </w:style>
  <w:style w:type="character" w:customStyle="1" w:styleId="65">
    <w:name w:val="标题 3 Char1"/>
    <w:link w:val="5"/>
    <w:qFormat/>
    <w:uiPriority w:val="9"/>
    <w:rPr>
      <w:rFonts w:ascii="Arial" w:hAnsi="Arial" w:eastAsia="Arial" w:cs="Arial"/>
      <w:sz w:val="30"/>
      <w:szCs w:val="30"/>
    </w:rPr>
  </w:style>
  <w:style w:type="character" w:customStyle="1" w:styleId="66">
    <w:name w:val="标题 4 Char1"/>
    <w:link w:val="6"/>
    <w:qFormat/>
    <w:uiPriority w:val="9"/>
    <w:rPr>
      <w:rFonts w:ascii="Arial" w:hAnsi="Arial" w:eastAsia="Arial" w:cs="Arial"/>
      <w:b/>
      <w:bCs/>
      <w:sz w:val="26"/>
      <w:szCs w:val="26"/>
    </w:rPr>
  </w:style>
  <w:style w:type="character" w:customStyle="1" w:styleId="67">
    <w:name w:val="标题 5 Char1"/>
    <w:link w:val="7"/>
    <w:qFormat/>
    <w:uiPriority w:val="9"/>
    <w:rPr>
      <w:rFonts w:ascii="Arial" w:hAnsi="Arial" w:eastAsia="Arial" w:cs="Arial"/>
      <w:b/>
      <w:bCs/>
      <w:sz w:val="24"/>
      <w:szCs w:val="24"/>
    </w:rPr>
  </w:style>
  <w:style w:type="character" w:customStyle="1" w:styleId="68">
    <w:name w:val="标题 6 Char1"/>
    <w:link w:val="8"/>
    <w:qFormat/>
    <w:uiPriority w:val="9"/>
    <w:rPr>
      <w:rFonts w:ascii="Arial" w:hAnsi="Arial" w:eastAsia="Arial" w:cs="Arial"/>
      <w:b/>
      <w:bCs/>
      <w:sz w:val="22"/>
      <w:szCs w:val="22"/>
    </w:rPr>
  </w:style>
  <w:style w:type="character" w:customStyle="1" w:styleId="69">
    <w:name w:val="标题 7 Char1"/>
    <w:link w:val="9"/>
    <w:qFormat/>
    <w:uiPriority w:val="9"/>
    <w:rPr>
      <w:rFonts w:ascii="Arial" w:hAnsi="Arial" w:eastAsia="Arial" w:cs="Arial"/>
      <w:b/>
      <w:bCs/>
      <w:i/>
      <w:iCs/>
      <w:sz w:val="22"/>
      <w:szCs w:val="22"/>
    </w:rPr>
  </w:style>
  <w:style w:type="character" w:customStyle="1" w:styleId="70">
    <w:name w:val="标题 8 Char1"/>
    <w:link w:val="10"/>
    <w:qFormat/>
    <w:uiPriority w:val="9"/>
    <w:rPr>
      <w:rFonts w:ascii="Arial" w:hAnsi="Arial" w:eastAsia="Arial" w:cs="Arial"/>
      <w:i/>
      <w:iCs/>
      <w:sz w:val="22"/>
      <w:szCs w:val="22"/>
    </w:rPr>
  </w:style>
  <w:style w:type="character" w:customStyle="1" w:styleId="71">
    <w:name w:val="标题 9 Char1"/>
    <w:link w:val="11"/>
    <w:qFormat/>
    <w:uiPriority w:val="9"/>
    <w:rPr>
      <w:rFonts w:ascii="Arial" w:hAnsi="Arial" w:eastAsia="Arial" w:cs="Arial"/>
      <w:i/>
      <w:iCs/>
      <w:sz w:val="21"/>
      <w:szCs w:val="21"/>
    </w:rPr>
  </w:style>
  <w:style w:type="paragraph" w:styleId="72">
    <w:name w:val="No Spacing"/>
    <w:qFormat/>
    <w:uiPriority w:val="1"/>
    <w:rPr>
      <w:rFonts w:hint="default" w:ascii="Times New Roman" w:hAnsi="Times New Roman" w:eastAsia="宋体" w:cs="Times New Roman"/>
      <w:lang w:val="en-US" w:eastAsia="zh-CN" w:bidi="ar-SA"/>
    </w:rPr>
  </w:style>
  <w:style w:type="character" w:customStyle="1" w:styleId="73">
    <w:name w:val="标题 Char"/>
    <w:link w:val="34"/>
    <w:qFormat/>
    <w:uiPriority w:val="10"/>
    <w:rPr>
      <w:sz w:val="48"/>
      <w:szCs w:val="48"/>
    </w:rPr>
  </w:style>
  <w:style w:type="character" w:customStyle="1" w:styleId="74">
    <w:name w:val="副标题 Char"/>
    <w:link w:val="27"/>
    <w:qFormat/>
    <w:uiPriority w:val="11"/>
    <w:rPr>
      <w:sz w:val="24"/>
      <w:szCs w:val="24"/>
    </w:rPr>
  </w:style>
  <w:style w:type="paragraph" w:styleId="75">
    <w:name w:val="Quote"/>
    <w:basedOn w:val="1"/>
    <w:next w:val="1"/>
    <w:link w:val="76"/>
    <w:qFormat/>
    <w:uiPriority w:val="29"/>
    <w:pPr>
      <w:ind w:left="720" w:right="720"/>
    </w:pPr>
    <w:rPr>
      <w:i/>
    </w:rPr>
  </w:style>
  <w:style w:type="character" w:customStyle="1" w:styleId="76">
    <w:name w:val="引用 Char"/>
    <w:link w:val="75"/>
    <w:qFormat/>
    <w:uiPriority w:val="29"/>
    <w:rPr>
      <w:i/>
    </w:rPr>
  </w:style>
  <w:style w:type="paragraph" w:styleId="77">
    <w:name w:val="Intense Quote"/>
    <w:basedOn w:val="1"/>
    <w:next w:val="1"/>
    <w:link w:val="7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8">
    <w:name w:val="明显引用 Char"/>
    <w:link w:val="77"/>
    <w:qFormat/>
    <w:uiPriority w:val="30"/>
    <w:rPr>
      <w:i/>
    </w:rPr>
  </w:style>
  <w:style w:type="character" w:customStyle="1" w:styleId="79">
    <w:name w:val="页眉 Char1"/>
    <w:link w:val="24"/>
    <w:qFormat/>
    <w:uiPriority w:val="99"/>
  </w:style>
  <w:style w:type="character" w:customStyle="1" w:styleId="80">
    <w:name w:val="Footer Char"/>
    <w:link w:val="23"/>
    <w:qFormat/>
    <w:uiPriority w:val="99"/>
  </w:style>
  <w:style w:type="character" w:customStyle="1" w:styleId="81">
    <w:name w:val="页脚 Char1"/>
    <w:link w:val="23"/>
    <w:qFormat/>
    <w:uiPriority w:val="99"/>
  </w:style>
  <w:style w:type="table" w:customStyle="1" w:styleId="8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3">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4">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5">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9">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0">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1">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2">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3">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4">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5">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7">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4">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0">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1">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2">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3">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4">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5">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6">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3">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5">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6">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7">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8">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9">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0">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1">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2">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3">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4">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5">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6">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7">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8">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9">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0">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1">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2">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3">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4">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2">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3">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4">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5">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6">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7">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8">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9">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0">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1">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2">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3">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4">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5">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6">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7">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8">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9">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0">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1">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2">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3">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4">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5">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6">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7">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8">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9">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0">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1">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2">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3">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4">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5">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6">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4">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5">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6">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7">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8">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9">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0">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1">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2">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3">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4">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5">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6">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7">
    <w:name w:val="脚注文本 Char"/>
    <w:link w:val="28"/>
    <w:qFormat/>
    <w:uiPriority w:val="99"/>
    <w:rPr>
      <w:sz w:val="18"/>
    </w:rPr>
  </w:style>
  <w:style w:type="character" w:customStyle="1" w:styleId="208">
    <w:name w:val="尾注文本 Char"/>
    <w:link w:val="21"/>
    <w:qFormat/>
    <w:uiPriority w:val="99"/>
    <w:rPr>
      <w:sz w:val="20"/>
    </w:rPr>
  </w:style>
  <w:style w:type="paragraph" w:customStyle="1" w:styleId="209">
    <w:name w:val="TOC 标题1"/>
    <w:unhideWhenUsed/>
    <w:qFormat/>
    <w:uiPriority w:val="39"/>
    <w:rPr>
      <w:rFonts w:hint="default" w:ascii="Times New Roman" w:hAnsi="Times New Roman" w:eastAsia="宋体" w:cs="Times New Roman"/>
      <w:lang w:val="en-US" w:eastAsia="zh-CN" w:bidi="ar-SA"/>
    </w:rPr>
  </w:style>
  <w:style w:type="paragraph" w:customStyle="1" w:styleId="210">
    <w:name w:val="标题 21"/>
    <w:basedOn w:val="1"/>
    <w:next w:val="211"/>
    <w:link w:val="22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11">
    <w:name w:val="正文缩进1"/>
    <w:basedOn w:val="1"/>
    <w:link w:val="222"/>
    <w:qFormat/>
    <w:uiPriority w:val="0"/>
    <w:pPr>
      <w:ind w:firstLine="420"/>
    </w:pPr>
    <w:rPr>
      <w:szCs w:val="21"/>
    </w:rPr>
  </w:style>
  <w:style w:type="paragraph" w:customStyle="1" w:styleId="212">
    <w:name w:val="标题 31"/>
    <w:basedOn w:val="1"/>
    <w:next w:val="211"/>
    <w:link w:val="223"/>
    <w:qFormat/>
    <w:uiPriority w:val="0"/>
    <w:pPr>
      <w:keepNext/>
      <w:keepLines/>
      <w:spacing w:before="260" w:after="260" w:line="416" w:lineRule="auto"/>
      <w:outlineLvl w:val="2"/>
    </w:pPr>
    <w:rPr>
      <w:b/>
      <w:bCs/>
      <w:sz w:val="32"/>
      <w:szCs w:val="32"/>
    </w:rPr>
  </w:style>
  <w:style w:type="paragraph" w:customStyle="1" w:styleId="213">
    <w:name w:val="标题 41"/>
    <w:basedOn w:val="1"/>
    <w:next w:val="211"/>
    <w:link w:val="224"/>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14">
    <w:name w:val="标题 51"/>
    <w:basedOn w:val="1"/>
    <w:next w:val="211"/>
    <w:link w:val="225"/>
    <w:qFormat/>
    <w:uiPriority w:val="0"/>
    <w:pPr>
      <w:keepNext/>
      <w:outlineLvl w:val="4"/>
    </w:pPr>
    <w:rPr>
      <w:rFonts w:ascii="宋体"/>
      <w:color w:val="000000"/>
      <w:sz w:val="28"/>
      <w:szCs w:val="28"/>
    </w:rPr>
  </w:style>
  <w:style w:type="paragraph" w:customStyle="1" w:styleId="215">
    <w:name w:val="标题 61"/>
    <w:basedOn w:val="1"/>
    <w:next w:val="1"/>
    <w:link w:val="226"/>
    <w:qFormat/>
    <w:uiPriority w:val="0"/>
    <w:pPr>
      <w:keepNext/>
      <w:keepLines/>
      <w:numPr>
        <w:ilvl w:val="5"/>
        <w:numId w:val="2"/>
      </w:numPr>
      <w:spacing w:before="240" w:after="64" w:line="320" w:lineRule="auto"/>
      <w:outlineLvl w:val="5"/>
    </w:pPr>
    <w:rPr>
      <w:rFonts w:ascii="Arial" w:hAnsi="Arial" w:eastAsia="黑体"/>
      <w:b/>
      <w:bCs/>
      <w:sz w:val="24"/>
      <w:szCs w:val="24"/>
    </w:rPr>
  </w:style>
  <w:style w:type="paragraph" w:customStyle="1" w:styleId="216">
    <w:name w:val="标题 71"/>
    <w:basedOn w:val="1"/>
    <w:next w:val="1"/>
    <w:link w:val="227"/>
    <w:qFormat/>
    <w:uiPriority w:val="0"/>
    <w:pPr>
      <w:keepNext/>
      <w:keepLines/>
      <w:numPr>
        <w:ilvl w:val="6"/>
        <w:numId w:val="2"/>
      </w:numPr>
      <w:spacing w:before="240" w:after="64" w:line="320" w:lineRule="auto"/>
      <w:outlineLvl w:val="6"/>
    </w:pPr>
    <w:rPr>
      <w:b/>
      <w:bCs/>
      <w:sz w:val="24"/>
      <w:szCs w:val="24"/>
    </w:rPr>
  </w:style>
  <w:style w:type="paragraph" w:customStyle="1" w:styleId="217">
    <w:name w:val="标题 81"/>
    <w:basedOn w:val="1"/>
    <w:next w:val="1"/>
    <w:link w:val="228"/>
    <w:qFormat/>
    <w:uiPriority w:val="0"/>
    <w:pPr>
      <w:keepNext/>
      <w:keepLines/>
      <w:numPr>
        <w:ilvl w:val="7"/>
        <w:numId w:val="2"/>
      </w:numPr>
      <w:spacing w:before="240" w:after="64" w:line="320" w:lineRule="auto"/>
      <w:outlineLvl w:val="7"/>
    </w:pPr>
    <w:rPr>
      <w:rFonts w:ascii="Arial" w:hAnsi="Arial" w:eastAsia="黑体"/>
      <w:sz w:val="24"/>
      <w:szCs w:val="24"/>
    </w:rPr>
  </w:style>
  <w:style w:type="paragraph" w:customStyle="1" w:styleId="218">
    <w:name w:val="标题 91"/>
    <w:basedOn w:val="1"/>
    <w:next w:val="1"/>
    <w:link w:val="229"/>
    <w:qFormat/>
    <w:uiPriority w:val="0"/>
    <w:pPr>
      <w:keepNext/>
      <w:keepLines/>
      <w:numPr>
        <w:ilvl w:val="8"/>
        <w:numId w:val="2"/>
      </w:numPr>
      <w:spacing w:before="240" w:after="64" w:line="320" w:lineRule="auto"/>
      <w:outlineLvl w:val="8"/>
    </w:pPr>
    <w:rPr>
      <w:rFonts w:ascii="Arial" w:hAnsi="Arial" w:eastAsia="黑体"/>
      <w:szCs w:val="21"/>
    </w:rPr>
  </w:style>
  <w:style w:type="character" w:customStyle="1" w:styleId="219">
    <w:name w:val="默认段落字体1"/>
    <w:unhideWhenUsed/>
    <w:qFormat/>
    <w:uiPriority w:val="1"/>
  </w:style>
  <w:style w:type="table" w:customStyle="1" w:styleId="220">
    <w:name w:val="普通表格1"/>
    <w:unhideWhenUsed/>
    <w:qFormat/>
    <w:uiPriority w:val="99"/>
    <w:tblPr>
      <w:tblCellMar>
        <w:top w:w="0" w:type="dxa"/>
        <w:left w:w="0" w:type="dxa"/>
        <w:bottom w:w="0" w:type="dxa"/>
        <w:right w:w="0" w:type="dxa"/>
      </w:tblCellMar>
    </w:tblPr>
  </w:style>
  <w:style w:type="character" w:customStyle="1" w:styleId="221">
    <w:name w:val="标题 2 Char"/>
    <w:link w:val="210"/>
    <w:qFormat/>
    <w:uiPriority w:val="0"/>
    <w:rPr>
      <w:rFonts w:ascii="Arial" w:hAnsi="Arial" w:eastAsia="幼圆" w:cs="Arial"/>
      <w:b/>
      <w:bCs/>
      <w:sz w:val="44"/>
      <w:szCs w:val="44"/>
    </w:rPr>
  </w:style>
  <w:style w:type="character" w:customStyle="1" w:styleId="222">
    <w:name w:val="正文缩进 Char"/>
    <w:link w:val="211"/>
    <w:qFormat/>
    <w:uiPriority w:val="0"/>
    <w:rPr>
      <w:szCs w:val="21"/>
    </w:rPr>
  </w:style>
  <w:style w:type="character" w:customStyle="1" w:styleId="223">
    <w:name w:val="标题 3 Char"/>
    <w:link w:val="212"/>
    <w:qFormat/>
    <w:uiPriority w:val="0"/>
    <w:rPr>
      <w:rFonts w:ascii="Times New Roman" w:hAnsi="Times New Roman" w:eastAsia="宋体" w:cs="Times New Roman"/>
      <w:b/>
      <w:bCs/>
      <w:sz w:val="32"/>
      <w:szCs w:val="32"/>
    </w:rPr>
  </w:style>
  <w:style w:type="character" w:customStyle="1" w:styleId="224">
    <w:name w:val="标题 4 Char"/>
    <w:link w:val="213"/>
    <w:qFormat/>
    <w:uiPriority w:val="0"/>
    <w:rPr>
      <w:rFonts w:ascii="Arial" w:hAnsi="Arial" w:eastAsia="黑体" w:cs="Arial"/>
      <w:b/>
      <w:bCs/>
      <w:sz w:val="28"/>
      <w:szCs w:val="28"/>
    </w:rPr>
  </w:style>
  <w:style w:type="character" w:customStyle="1" w:styleId="225">
    <w:name w:val="标题 5 Char"/>
    <w:link w:val="214"/>
    <w:qFormat/>
    <w:uiPriority w:val="0"/>
    <w:rPr>
      <w:rFonts w:ascii="宋体" w:hAnsi="Times New Roman" w:eastAsia="宋体" w:cs="Times New Roman"/>
      <w:color w:val="000000"/>
      <w:sz w:val="28"/>
      <w:szCs w:val="28"/>
    </w:rPr>
  </w:style>
  <w:style w:type="character" w:customStyle="1" w:styleId="226">
    <w:name w:val="标题 6 Char"/>
    <w:link w:val="215"/>
    <w:qFormat/>
    <w:uiPriority w:val="0"/>
    <w:rPr>
      <w:rFonts w:ascii="Arial" w:hAnsi="Arial" w:eastAsia="黑体" w:cs="Times New Roman"/>
      <w:b/>
      <w:bCs/>
      <w:sz w:val="24"/>
      <w:szCs w:val="24"/>
    </w:rPr>
  </w:style>
  <w:style w:type="character" w:customStyle="1" w:styleId="227">
    <w:name w:val="标题 7 Char"/>
    <w:link w:val="216"/>
    <w:qFormat/>
    <w:uiPriority w:val="0"/>
    <w:rPr>
      <w:rFonts w:ascii="Times New Roman" w:hAnsi="Times New Roman" w:eastAsia="宋体" w:cs="Times New Roman"/>
      <w:b/>
      <w:bCs/>
      <w:sz w:val="24"/>
      <w:szCs w:val="24"/>
    </w:rPr>
  </w:style>
  <w:style w:type="character" w:customStyle="1" w:styleId="228">
    <w:name w:val="标题 8 Char"/>
    <w:link w:val="217"/>
    <w:qFormat/>
    <w:uiPriority w:val="0"/>
    <w:rPr>
      <w:rFonts w:ascii="Arial" w:hAnsi="Arial" w:eastAsia="黑体" w:cs="Times New Roman"/>
      <w:sz w:val="24"/>
      <w:szCs w:val="24"/>
    </w:rPr>
  </w:style>
  <w:style w:type="character" w:customStyle="1" w:styleId="229">
    <w:name w:val="标题 9 Char"/>
    <w:link w:val="218"/>
    <w:qFormat/>
    <w:uiPriority w:val="0"/>
    <w:rPr>
      <w:rFonts w:ascii="Arial" w:hAnsi="Arial" w:eastAsia="黑体" w:cs="Times New Roman"/>
      <w:szCs w:val="21"/>
    </w:rPr>
  </w:style>
  <w:style w:type="paragraph" w:customStyle="1" w:styleId="230">
    <w:name w:val="列表 31"/>
    <w:basedOn w:val="1"/>
    <w:qFormat/>
    <w:uiPriority w:val="0"/>
    <w:pPr>
      <w:ind w:left="100" w:hanging="200"/>
    </w:pPr>
    <w:rPr>
      <w:szCs w:val="21"/>
    </w:rPr>
  </w:style>
  <w:style w:type="paragraph" w:customStyle="1" w:styleId="231">
    <w:name w:val="目录 71"/>
    <w:basedOn w:val="1"/>
    <w:next w:val="1"/>
    <w:semiHidden/>
    <w:qFormat/>
    <w:uiPriority w:val="0"/>
    <w:pPr>
      <w:ind w:left="1260"/>
      <w:jc w:val="left"/>
    </w:pPr>
    <w:rPr>
      <w:szCs w:val="21"/>
    </w:rPr>
  </w:style>
  <w:style w:type="paragraph" w:customStyle="1" w:styleId="232">
    <w:name w:val="文档结构图1"/>
    <w:basedOn w:val="1"/>
    <w:link w:val="233"/>
    <w:semiHidden/>
    <w:qFormat/>
    <w:uiPriority w:val="0"/>
    <w:pPr>
      <w:shd w:val="clear" w:color="auto" w:fill="000080"/>
    </w:pPr>
    <w:rPr>
      <w:szCs w:val="21"/>
    </w:rPr>
  </w:style>
  <w:style w:type="character" w:customStyle="1" w:styleId="233">
    <w:name w:val="文档结构图 Char"/>
    <w:link w:val="232"/>
    <w:semiHidden/>
    <w:qFormat/>
    <w:uiPriority w:val="0"/>
    <w:rPr>
      <w:rFonts w:ascii="Times New Roman" w:hAnsi="Times New Roman" w:eastAsia="宋体" w:cs="Times New Roman"/>
      <w:szCs w:val="21"/>
      <w:shd w:val="clear" w:color="auto" w:fill="000080"/>
    </w:rPr>
  </w:style>
  <w:style w:type="paragraph" w:customStyle="1" w:styleId="234">
    <w:name w:val="批注文字1"/>
    <w:basedOn w:val="1"/>
    <w:link w:val="235"/>
    <w:unhideWhenUsed/>
    <w:qFormat/>
    <w:uiPriority w:val="0"/>
    <w:pPr>
      <w:jc w:val="left"/>
    </w:pPr>
  </w:style>
  <w:style w:type="character" w:customStyle="1" w:styleId="235">
    <w:name w:val="批注文字 Char"/>
    <w:basedOn w:val="219"/>
    <w:link w:val="234"/>
    <w:semiHidden/>
    <w:qFormat/>
    <w:uiPriority w:val="99"/>
  </w:style>
  <w:style w:type="paragraph" w:customStyle="1" w:styleId="236">
    <w:name w:val="正文文本 31"/>
    <w:basedOn w:val="1"/>
    <w:link w:val="237"/>
    <w:qFormat/>
    <w:uiPriority w:val="0"/>
    <w:rPr>
      <w:rFonts w:ascii="仿宋_GB2312" w:hAnsi="Arial" w:eastAsia="仿宋_GB2312"/>
      <w:sz w:val="32"/>
      <w:szCs w:val="32"/>
    </w:rPr>
  </w:style>
  <w:style w:type="character" w:customStyle="1" w:styleId="237">
    <w:name w:val="正文文本 3 Char"/>
    <w:link w:val="236"/>
    <w:qFormat/>
    <w:uiPriority w:val="0"/>
    <w:rPr>
      <w:rFonts w:ascii="仿宋_GB2312" w:hAnsi="Arial" w:eastAsia="仿宋_GB2312" w:cs="Times New Roman"/>
      <w:sz w:val="32"/>
      <w:szCs w:val="32"/>
    </w:rPr>
  </w:style>
  <w:style w:type="paragraph" w:customStyle="1" w:styleId="238">
    <w:name w:val="正文文本11"/>
    <w:basedOn w:val="1"/>
    <w:link w:val="239"/>
    <w:qFormat/>
    <w:uiPriority w:val="0"/>
    <w:rPr>
      <w:rFonts w:ascii="楷体_GB2312" w:hAnsi="Arial" w:eastAsia="楷体_GB2312"/>
      <w:sz w:val="28"/>
      <w:szCs w:val="28"/>
    </w:rPr>
  </w:style>
  <w:style w:type="character" w:customStyle="1" w:styleId="239">
    <w:name w:val="正文文本 Char"/>
    <w:link w:val="238"/>
    <w:qFormat/>
    <w:uiPriority w:val="0"/>
    <w:rPr>
      <w:rFonts w:ascii="楷体_GB2312" w:hAnsi="Arial" w:eastAsia="楷体_GB2312" w:cs="Times New Roman"/>
      <w:sz w:val="28"/>
      <w:szCs w:val="28"/>
    </w:rPr>
  </w:style>
  <w:style w:type="paragraph" w:customStyle="1" w:styleId="240">
    <w:name w:val="正文文本缩进1"/>
    <w:basedOn w:val="1"/>
    <w:next w:val="241"/>
    <w:link w:val="242"/>
    <w:unhideWhenUsed/>
    <w:qFormat/>
    <w:uiPriority w:val="0"/>
    <w:pPr>
      <w:spacing w:after="120"/>
      <w:ind w:left="420"/>
    </w:pPr>
  </w:style>
  <w:style w:type="paragraph" w:customStyle="1" w:styleId="241">
    <w:name w:val="寄信人地址1"/>
    <w:basedOn w:val="1"/>
    <w:qFormat/>
    <w:uiPriority w:val="0"/>
    <w:rPr>
      <w:rFonts w:ascii="Arial" w:hAnsi="Arial"/>
    </w:rPr>
  </w:style>
  <w:style w:type="character" w:customStyle="1" w:styleId="242">
    <w:name w:val="正文文本缩进 Char"/>
    <w:basedOn w:val="219"/>
    <w:link w:val="240"/>
    <w:semiHidden/>
    <w:qFormat/>
    <w:uiPriority w:val="99"/>
  </w:style>
  <w:style w:type="paragraph" w:customStyle="1" w:styleId="243">
    <w:name w:val="列表 21"/>
    <w:basedOn w:val="1"/>
    <w:qFormat/>
    <w:uiPriority w:val="0"/>
    <w:pPr>
      <w:ind w:left="100" w:hanging="200"/>
    </w:pPr>
    <w:rPr>
      <w:szCs w:val="21"/>
    </w:rPr>
  </w:style>
  <w:style w:type="paragraph" w:customStyle="1" w:styleId="244">
    <w:name w:val="索引 42"/>
    <w:basedOn w:val="1"/>
    <w:next w:val="1"/>
    <w:semiHidden/>
    <w:qFormat/>
    <w:uiPriority w:val="0"/>
    <w:pPr>
      <w:ind w:left="1260"/>
    </w:pPr>
    <w:rPr>
      <w:rFonts w:ascii="Calibri" w:hAnsi="Calibri" w:eastAsia="Calibri" w:cs="宋体"/>
      <w:sz w:val="20"/>
      <w:lang w:val="zh-CN"/>
    </w:rPr>
  </w:style>
  <w:style w:type="paragraph" w:customStyle="1" w:styleId="245">
    <w:name w:val="目录 51"/>
    <w:basedOn w:val="1"/>
    <w:next w:val="1"/>
    <w:semiHidden/>
    <w:qFormat/>
    <w:uiPriority w:val="0"/>
    <w:pPr>
      <w:ind w:left="840"/>
      <w:jc w:val="left"/>
    </w:pPr>
    <w:rPr>
      <w:szCs w:val="21"/>
    </w:rPr>
  </w:style>
  <w:style w:type="paragraph" w:customStyle="1" w:styleId="246">
    <w:name w:val="目录 31"/>
    <w:basedOn w:val="1"/>
    <w:next w:val="1"/>
    <w:semiHidden/>
    <w:qFormat/>
    <w:uiPriority w:val="0"/>
    <w:pPr>
      <w:ind w:left="420"/>
      <w:jc w:val="left"/>
    </w:pPr>
    <w:rPr>
      <w:i/>
      <w:iCs/>
      <w:szCs w:val="24"/>
    </w:rPr>
  </w:style>
  <w:style w:type="paragraph" w:customStyle="1" w:styleId="247">
    <w:name w:val="纯文本1"/>
    <w:basedOn w:val="1"/>
    <w:link w:val="248"/>
    <w:qFormat/>
    <w:uiPriority w:val="0"/>
    <w:rPr>
      <w:rFonts w:ascii="宋体" w:hAnsi="Courier New" w:cs="Courier New"/>
      <w:szCs w:val="21"/>
    </w:rPr>
  </w:style>
  <w:style w:type="character" w:customStyle="1" w:styleId="248">
    <w:name w:val="纯文本 Char"/>
    <w:link w:val="247"/>
    <w:qFormat/>
    <w:uiPriority w:val="0"/>
    <w:rPr>
      <w:rFonts w:ascii="宋体" w:hAnsi="Courier New" w:eastAsia="宋体" w:cs="Courier New"/>
      <w:szCs w:val="21"/>
    </w:rPr>
  </w:style>
  <w:style w:type="paragraph" w:customStyle="1" w:styleId="249">
    <w:name w:val="目录 81"/>
    <w:basedOn w:val="1"/>
    <w:next w:val="1"/>
    <w:semiHidden/>
    <w:qFormat/>
    <w:uiPriority w:val="0"/>
    <w:pPr>
      <w:ind w:left="1470"/>
      <w:jc w:val="left"/>
    </w:pPr>
    <w:rPr>
      <w:szCs w:val="21"/>
    </w:rPr>
  </w:style>
  <w:style w:type="paragraph" w:customStyle="1" w:styleId="250">
    <w:name w:val="日期1"/>
    <w:basedOn w:val="1"/>
    <w:next w:val="1"/>
    <w:link w:val="251"/>
    <w:qFormat/>
    <w:uiPriority w:val="0"/>
    <w:rPr>
      <w:sz w:val="24"/>
      <w:szCs w:val="24"/>
    </w:rPr>
  </w:style>
  <w:style w:type="character" w:customStyle="1" w:styleId="251">
    <w:name w:val="日期 Char"/>
    <w:link w:val="250"/>
    <w:qFormat/>
    <w:uiPriority w:val="0"/>
    <w:rPr>
      <w:rFonts w:ascii="Times New Roman" w:hAnsi="Times New Roman" w:eastAsia="宋体" w:cs="Times New Roman"/>
      <w:sz w:val="24"/>
      <w:szCs w:val="24"/>
    </w:rPr>
  </w:style>
  <w:style w:type="paragraph" w:customStyle="1" w:styleId="252">
    <w:name w:val="正文文本缩进 21"/>
    <w:basedOn w:val="1"/>
    <w:link w:val="253"/>
    <w:qFormat/>
    <w:uiPriority w:val="0"/>
    <w:pPr>
      <w:ind w:left="630" w:firstLine="645"/>
    </w:pPr>
    <w:rPr>
      <w:rFonts w:ascii="Arial" w:hAnsi="Arial" w:eastAsia="仿宋_GB2312" w:cs="Arial"/>
      <w:sz w:val="32"/>
      <w:szCs w:val="32"/>
    </w:rPr>
  </w:style>
  <w:style w:type="character" w:customStyle="1" w:styleId="253">
    <w:name w:val="正文文本缩进 2 Char"/>
    <w:link w:val="252"/>
    <w:qFormat/>
    <w:uiPriority w:val="0"/>
    <w:rPr>
      <w:rFonts w:ascii="Arial" w:hAnsi="Arial" w:eastAsia="仿宋_GB2312" w:cs="Arial"/>
      <w:sz w:val="32"/>
      <w:szCs w:val="32"/>
    </w:rPr>
  </w:style>
  <w:style w:type="paragraph" w:customStyle="1" w:styleId="254">
    <w:name w:val="批注框文本1"/>
    <w:basedOn w:val="1"/>
    <w:link w:val="255"/>
    <w:semiHidden/>
    <w:qFormat/>
    <w:uiPriority w:val="0"/>
    <w:rPr>
      <w:sz w:val="18"/>
      <w:szCs w:val="18"/>
    </w:rPr>
  </w:style>
  <w:style w:type="character" w:customStyle="1" w:styleId="255">
    <w:name w:val="批注框文本 Char"/>
    <w:link w:val="254"/>
    <w:semiHidden/>
    <w:qFormat/>
    <w:uiPriority w:val="0"/>
    <w:rPr>
      <w:rFonts w:ascii="Times New Roman" w:hAnsi="Times New Roman" w:eastAsia="宋体" w:cs="Times New Roman"/>
      <w:sz w:val="18"/>
      <w:szCs w:val="18"/>
    </w:rPr>
  </w:style>
  <w:style w:type="paragraph" w:customStyle="1" w:styleId="256">
    <w:name w:val="页脚1"/>
    <w:basedOn w:val="1"/>
    <w:link w:val="257"/>
    <w:qFormat/>
    <w:uiPriority w:val="0"/>
    <w:pPr>
      <w:tabs>
        <w:tab w:val="center" w:pos="4153"/>
        <w:tab w:val="right" w:pos="8306"/>
      </w:tabs>
      <w:jc w:val="left"/>
    </w:pPr>
    <w:rPr>
      <w:sz w:val="18"/>
      <w:szCs w:val="18"/>
    </w:rPr>
  </w:style>
  <w:style w:type="character" w:customStyle="1" w:styleId="257">
    <w:name w:val="页脚 Char"/>
    <w:link w:val="256"/>
    <w:qFormat/>
    <w:uiPriority w:val="0"/>
    <w:rPr>
      <w:rFonts w:ascii="Times New Roman" w:hAnsi="Times New Roman" w:eastAsia="宋体" w:cs="Times New Roman"/>
      <w:sz w:val="18"/>
      <w:szCs w:val="18"/>
    </w:rPr>
  </w:style>
  <w:style w:type="paragraph" w:customStyle="1" w:styleId="258">
    <w:name w:val="页眉1"/>
    <w:basedOn w:val="1"/>
    <w:link w:val="259"/>
    <w:qFormat/>
    <w:uiPriority w:val="0"/>
    <w:pPr>
      <w:pBdr>
        <w:bottom w:val="single" w:color="000000" w:sz="6" w:space="1"/>
      </w:pBdr>
      <w:tabs>
        <w:tab w:val="center" w:pos="4153"/>
        <w:tab w:val="right" w:pos="8306"/>
      </w:tabs>
      <w:jc w:val="center"/>
    </w:pPr>
    <w:rPr>
      <w:sz w:val="18"/>
      <w:szCs w:val="18"/>
    </w:rPr>
  </w:style>
  <w:style w:type="character" w:customStyle="1" w:styleId="259">
    <w:name w:val="页眉 Char"/>
    <w:link w:val="258"/>
    <w:qFormat/>
    <w:uiPriority w:val="0"/>
    <w:rPr>
      <w:rFonts w:ascii="Times New Roman" w:hAnsi="Times New Roman" w:eastAsia="宋体" w:cs="Times New Roman"/>
      <w:sz w:val="18"/>
      <w:szCs w:val="18"/>
    </w:rPr>
  </w:style>
  <w:style w:type="paragraph" w:customStyle="1" w:styleId="260">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61">
    <w:name w:val="目录 41"/>
    <w:basedOn w:val="1"/>
    <w:next w:val="1"/>
    <w:semiHidden/>
    <w:qFormat/>
    <w:uiPriority w:val="0"/>
    <w:pPr>
      <w:ind w:left="630"/>
      <w:jc w:val="left"/>
    </w:pPr>
    <w:rPr>
      <w:szCs w:val="21"/>
    </w:rPr>
  </w:style>
  <w:style w:type="paragraph" w:customStyle="1" w:styleId="262">
    <w:name w:val="列表1"/>
    <w:basedOn w:val="1"/>
    <w:qFormat/>
    <w:uiPriority w:val="0"/>
    <w:pPr>
      <w:ind w:left="200" w:hanging="200"/>
    </w:pPr>
    <w:rPr>
      <w:szCs w:val="21"/>
    </w:rPr>
  </w:style>
  <w:style w:type="paragraph" w:customStyle="1" w:styleId="263">
    <w:name w:val="目录 61"/>
    <w:basedOn w:val="1"/>
    <w:next w:val="1"/>
    <w:semiHidden/>
    <w:qFormat/>
    <w:uiPriority w:val="0"/>
    <w:pPr>
      <w:ind w:left="1050"/>
      <w:jc w:val="left"/>
    </w:pPr>
    <w:rPr>
      <w:szCs w:val="21"/>
    </w:rPr>
  </w:style>
  <w:style w:type="paragraph" w:customStyle="1" w:styleId="264">
    <w:name w:val="正文文本缩进 31"/>
    <w:basedOn w:val="1"/>
    <w:link w:val="265"/>
    <w:qFormat/>
    <w:uiPriority w:val="0"/>
    <w:pPr>
      <w:ind w:left="645" w:firstLine="645"/>
    </w:pPr>
    <w:rPr>
      <w:rFonts w:ascii="Arial" w:hAnsi="Arial" w:eastAsia="仿宋_GB2312" w:cs="Arial"/>
      <w:color w:val="FFFF00"/>
      <w:sz w:val="32"/>
      <w:szCs w:val="32"/>
    </w:rPr>
  </w:style>
  <w:style w:type="character" w:customStyle="1" w:styleId="265">
    <w:name w:val="正文文本缩进 3 Char"/>
    <w:link w:val="264"/>
    <w:qFormat/>
    <w:uiPriority w:val="0"/>
    <w:rPr>
      <w:rFonts w:ascii="Arial" w:hAnsi="Arial" w:eastAsia="仿宋_GB2312" w:cs="Arial"/>
      <w:color w:val="FFFF00"/>
      <w:sz w:val="32"/>
      <w:szCs w:val="32"/>
    </w:rPr>
  </w:style>
  <w:style w:type="paragraph" w:customStyle="1" w:styleId="266">
    <w:name w:val="图表目录1"/>
    <w:basedOn w:val="1"/>
    <w:next w:val="1"/>
    <w:semiHidden/>
    <w:qFormat/>
    <w:uiPriority w:val="0"/>
    <w:pPr>
      <w:ind w:left="840" w:hanging="420"/>
    </w:pPr>
    <w:rPr>
      <w:szCs w:val="21"/>
    </w:rPr>
  </w:style>
  <w:style w:type="paragraph" w:customStyle="1" w:styleId="267">
    <w:name w:val="目录 21"/>
    <w:basedOn w:val="1"/>
    <w:next w:val="1"/>
    <w:semiHidden/>
    <w:qFormat/>
    <w:uiPriority w:val="0"/>
    <w:pPr>
      <w:ind w:left="210"/>
      <w:jc w:val="left"/>
    </w:pPr>
    <w:rPr>
      <w:smallCaps/>
      <w:szCs w:val="24"/>
    </w:rPr>
  </w:style>
  <w:style w:type="paragraph" w:customStyle="1" w:styleId="268">
    <w:name w:val="目录 91"/>
    <w:basedOn w:val="1"/>
    <w:next w:val="1"/>
    <w:semiHidden/>
    <w:qFormat/>
    <w:uiPriority w:val="0"/>
    <w:pPr>
      <w:ind w:left="1680"/>
      <w:jc w:val="left"/>
    </w:pPr>
    <w:rPr>
      <w:szCs w:val="21"/>
    </w:rPr>
  </w:style>
  <w:style w:type="paragraph" w:customStyle="1" w:styleId="269">
    <w:name w:val="正文文本 21"/>
    <w:basedOn w:val="1"/>
    <w:link w:val="270"/>
    <w:qFormat/>
    <w:uiPriority w:val="0"/>
    <w:pPr>
      <w:widowControl/>
      <w:jc w:val="center"/>
    </w:pPr>
    <w:rPr>
      <w:rFonts w:ascii="楷体_GB2312" w:eastAsia="楷体_GB2312"/>
      <w:sz w:val="28"/>
      <w:szCs w:val="28"/>
    </w:rPr>
  </w:style>
  <w:style w:type="character" w:customStyle="1" w:styleId="270">
    <w:name w:val="正文文本 2 Char"/>
    <w:link w:val="269"/>
    <w:qFormat/>
    <w:uiPriority w:val="0"/>
    <w:rPr>
      <w:rFonts w:ascii="楷体_GB2312" w:hAnsi="Times New Roman" w:eastAsia="楷体_GB2312" w:cs="Times New Roman"/>
      <w:sz w:val="28"/>
      <w:szCs w:val="28"/>
    </w:rPr>
  </w:style>
  <w:style w:type="paragraph" w:customStyle="1" w:styleId="271">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72">
    <w:name w:val="索引 11"/>
    <w:basedOn w:val="1"/>
    <w:next w:val="1"/>
    <w:semiHidden/>
    <w:qFormat/>
    <w:uiPriority w:val="0"/>
    <w:pPr>
      <w:spacing w:line="240" w:lineRule="atLeast"/>
    </w:pPr>
    <w:rPr>
      <w:b/>
      <w:bCs/>
      <w:szCs w:val="21"/>
    </w:rPr>
  </w:style>
  <w:style w:type="paragraph" w:customStyle="1" w:styleId="273">
    <w:name w:val="批注主题1"/>
    <w:basedOn w:val="234"/>
    <w:next w:val="234"/>
    <w:link w:val="274"/>
    <w:semiHidden/>
    <w:qFormat/>
    <w:uiPriority w:val="0"/>
    <w:rPr>
      <w:b/>
      <w:bCs/>
      <w:szCs w:val="21"/>
    </w:rPr>
  </w:style>
  <w:style w:type="character" w:customStyle="1" w:styleId="274">
    <w:name w:val="批注主题 Char"/>
    <w:link w:val="273"/>
    <w:semiHidden/>
    <w:qFormat/>
    <w:uiPriority w:val="0"/>
    <w:rPr>
      <w:rFonts w:ascii="Times New Roman" w:hAnsi="Times New Roman" w:eastAsia="宋体" w:cs="Times New Roman"/>
      <w:b/>
      <w:bCs/>
      <w:szCs w:val="21"/>
    </w:rPr>
  </w:style>
  <w:style w:type="paragraph" w:customStyle="1" w:styleId="275">
    <w:name w:val="正文首行缩进1"/>
    <w:basedOn w:val="17"/>
    <w:next w:val="276"/>
    <w:link w:val="278"/>
    <w:qFormat/>
    <w:uiPriority w:val="0"/>
    <w:pPr>
      <w:spacing w:line="360" w:lineRule="auto"/>
      <w:ind w:firstLine="200"/>
    </w:pPr>
    <w:rPr>
      <w:rFonts w:ascii="仿宋_GB2312" w:eastAsia="仿宋_GB2312"/>
      <w:sz w:val="30"/>
      <w:szCs w:val="30"/>
    </w:rPr>
  </w:style>
  <w:style w:type="paragraph" w:customStyle="1" w:styleId="276">
    <w:name w:val="正文首行缩进 21"/>
    <w:basedOn w:val="277"/>
    <w:next w:val="1"/>
    <w:link w:val="279"/>
    <w:qFormat/>
    <w:uiPriority w:val="0"/>
    <w:pPr>
      <w:spacing w:after="0" w:line="360" w:lineRule="auto"/>
      <w:ind w:left="0" w:firstLine="420"/>
    </w:pPr>
    <w:rPr>
      <w:rFonts w:ascii="宋体" w:hAnsi="宋体"/>
      <w:szCs w:val="20"/>
    </w:rPr>
  </w:style>
  <w:style w:type="paragraph" w:customStyle="1" w:styleId="277">
    <w:name w:val="正文文本缩进11"/>
    <w:basedOn w:val="1"/>
    <w:next w:val="241"/>
    <w:qFormat/>
    <w:uiPriority w:val="99"/>
    <w:pPr>
      <w:spacing w:after="120"/>
      <w:ind w:left="420"/>
    </w:pPr>
    <w:rPr>
      <w:sz w:val="24"/>
    </w:rPr>
  </w:style>
  <w:style w:type="character" w:customStyle="1" w:styleId="278">
    <w:name w:val="正文首行缩进 Char"/>
    <w:link w:val="275"/>
    <w:qFormat/>
    <w:uiPriority w:val="0"/>
    <w:rPr>
      <w:rFonts w:ascii="仿宋_GB2312" w:hAnsi="Times New Roman" w:eastAsia="仿宋_GB2312" w:cs="Times New Roman"/>
      <w:sz w:val="30"/>
      <w:szCs w:val="30"/>
    </w:rPr>
  </w:style>
  <w:style w:type="character" w:customStyle="1" w:styleId="279">
    <w:name w:val="正文首行缩进 2 Char"/>
    <w:link w:val="276"/>
    <w:qFormat/>
    <w:uiPriority w:val="0"/>
    <w:rPr>
      <w:rFonts w:ascii="宋体" w:hAnsi="宋体" w:eastAsia="宋体" w:cs="Times New Roman"/>
      <w:szCs w:val="20"/>
    </w:rPr>
  </w:style>
  <w:style w:type="table" w:customStyle="1" w:styleId="280">
    <w:name w:val="网格型1"/>
    <w:basedOn w:val="220"/>
    <w:qFormat/>
    <w:uiPriority w:val="0"/>
    <w:pPr>
      <w:widowControl w:val="0"/>
      <w:jc w:val="both"/>
    </w:pPr>
    <w:tblPr>
      <w:tblCellMar>
        <w:top w:w="0" w:type="dxa"/>
        <w:left w:w="0" w:type="dxa"/>
        <w:bottom w:w="0" w:type="dxa"/>
        <w:right w:w="0" w:type="dxa"/>
      </w:tblCellMar>
    </w:tblPr>
  </w:style>
  <w:style w:type="character" w:customStyle="1" w:styleId="281">
    <w:name w:val="要点1"/>
    <w:qFormat/>
    <w:uiPriority w:val="0"/>
    <w:rPr>
      <w:b/>
      <w:bCs/>
    </w:rPr>
  </w:style>
  <w:style w:type="character" w:customStyle="1" w:styleId="282">
    <w:name w:val="页码1"/>
    <w:qFormat/>
    <w:uiPriority w:val="0"/>
  </w:style>
  <w:style w:type="character" w:customStyle="1" w:styleId="283">
    <w:name w:val="已访问的超链接1"/>
    <w:qFormat/>
    <w:uiPriority w:val="0"/>
    <w:rPr>
      <w:color w:val="800080"/>
      <w:u w:val="single"/>
    </w:rPr>
  </w:style>
  <w:style w:type="character" w:customStyle="1" w:styleId="284">
    <w:name w:val="超链接1"/>
    <w:qFormat/>
    <w:uiPriority w:val="0"/>
    <w:rPr>
      <w:color w:val="0000FF"/>
      <w:u w:val="single"/>
    </w:rPr>
  </w:style>
  <w:style w:type="character" w:customStyle="1" w:styleId="285">
    <w:name w:val="批注引用1"/>
    <w:semiHidden/>
    <w:qFormat/>
    <w:uiPriority w:val="0"/>
    <w:rPr>
      <w:sz w:val="21"/>
      <w:szCs w:val="21"/>
    </w:rPr>
  </w:style>
  <w:style w:type="character" w:customStyle="1" w:styleId="286">
    <w:name w:val="font5 Char"/>
    <w:qFormat/>
    <w:uiPriority w:val="0"/>
    <w:rPr>
      <w:rFonts w:ascii="宋体" w:hAnsi="宋体" w:eastAsia="宋体"/>
      <w:sz w:val="28"/>
      <w:szCs w:val="28"/>
      <w:lang w:val="en-US" w:eastAsia="zh-CN" w:bidi="ar-SA"/>
    </w:rPr>
  </w:style>
  <w:style w:type="character" w:customStyle="1" w:styleId="287">
    <w:name w:val="二级目录 Char"/>
    <w:link w:val="288"/>
    <w:qFormat/>
    <w:uiPriority w:val="0"/>
    <w:rPr>
      <w:b/>
      <w:sz w:val="30"/>
      <w:szCs w:val="28"/>
    </w:rPr>
  </w:style>
  <w:style w:type="paragraph" w:customStyle="1" w:styleId="288">
    <w:name w:val="二级目录"/>
    <w:next w:val="1"/>
    <w:link w:val="287"/>
    <w:qFormat/>
    <w:uiPriority w:val="0"/>
    <w:pPr>
      <w:tabs>
        <w:tab w:val="left" w:pos="907"/>
        <w:tab w:val="left" w:pos="1145"/>
      </w:tabs>
      <w:ind w:left="907" w:hanging="907"/>
      <w:outlineLvl w:val="1"/>
    </w:pPr>
    <w:rPr>
      <w:rFonts w:hint="default" w:ascii="Times New Roman" w:hAnsi="Times New Roman" w:eastAsia="宋体" w:cs="Times New Roman"/>
      <w:b/>
      <w:sz w:val="30"/>
      <w:szCs w:val="28"/>
      <w:lang w:val="en-US" w:eastAsia="zh-CN" w:bidi="ar-SA"/>
    </w:rPr>
  </w:style>
  <w:style w:type="character" w:customStyle="1" w:styleId="289">
    <w:name w:val="列出段落 Char"/>
    <w:link w:val="290"/>
    <w:qFormat/>
    <w:uiPriority w:val="0"/>
    <w:rPr>
      <w:rFonts w:ascii="Calibri" w:hAnsi="Calibri"/>
      <w:sz w:val="24"/>
      <w:szCs w:val="24"/>
      <w:lang w:eastAsia="en-US" w:bidi="en-US"/>
    </w:rPr>
  </w:style>
  <w:style w:type="paragraph" w:customStyle="1" w:styleId="290">
    <w:name w:val="列出段落1"/>
    <w:basedOn w:val="1"/>
    <w:link w:val="289"/>
    <w:qFormat/>
    <w:uiPriority w:val="0"/>
    <w:pPr>
      <w:widowControl/>
      <w:ind w:left="720"/>
      <w:contextualSpacing/>
      <w:jc w:val="left"/>
    </w:pPr>
    <w:rPr>
      <w:rFonts w:ascii="Calibri" w:hAnsi="Calibri"/>
      <w:sz w:val="24"/>
      <w:szCs w:val="24"/>
      <w:lang w:eastAsia="en-US" w:bidi="en-US"/>
    </w:rPr>
  </w:style>
  <w:style w:type="paragraph" w:customStyle="1" w:styleId="291">
    <w:name w:val="Body Text(ch)"/>
    <w:basedOn w:val="1"/>
    <w:next w:val="238"/>
    <w:qFormat/>
    <w:uiPriority w:val="0"/>
    <w:pPr>
      <w:spacing w:after="120"/>
    </w:pPr>
    <w:rPr>
      <w:rFonts w:ascii="宋体" w:hAnsi="Arial"/>
      <w:bCs/>
      <w:iCs/>
      <w:szCs w:val="24"/>
    </w:rPr>
  </w:style>
  <w:style w:type="paragraph" w:customStyle="1" w:styleId="29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94">
    <w:name w:val="Char"/>
    <w:basedOn w:val="1"/>
    <w:qFormat/>
    <w:uiPriority w:val="0"/>
    <w:pPr>
      <w:tabs>
        <w:tab w:val="left" w:pos="360"/>
      </w:tabs>
      <w:ind w:firstLine="200"/>
    </w:pPr>
    <w:rPr>
      <w:sz w:val="28"/>
      <w:szCs w:val="30"/>
    </w:rPr>
  </w:style>
  <w:style w:type="paragraph" w:customStyle="1" w:styleId="295">
    <w:name w:val="Char1"/>
    <w:basedOn w:val="232"/>
    <w:qFormat/>
    <w:uiPriority w:val="0"/>
    <w:rPr>
      <w:rFonts w:ascii="Tahoma" w:hAnsi="Tahoma"/>
      <w:sz w:val="24"/>
      <w:szCs w:val="24"/>
    </w:rPr>
  </w:style>
  <w:style w:type="paragraph" w:customStyle="1" w:styleId="296">
    <w:name w:val="普通正文"/>
    <w:basedOn w:val="1"/>
    <w:qFormat/>
    <w:uiPriority w:val="0"/>
    <w:pPr>
      <w:spacing w:before="120" w:after="120" w:line="360" w:lineRule="auto"/>
      <w:ind w:firstLine="480"/>
      <w:jc w:val="left"/>
    </w:pPr>
    <w:rPr>
      <w:rFonts w:ascii="Arial" w:hAnsi="Arial"/>
      <w:sz w:val="24"/>
      <w:szCs w:val="24"/>
    </w:rPr>
  </w:style>
  <w:style w:type="paragraph" w:customStyle="1" w:styleId="297">
    <w:name w:val="table_lines"/>
    <w:basedOn w:val="1"/>
    <w:qFormat/>
    <w:uiPriority w:val="0"/>
    <w:pPr>
      <w:widowControl/>
      <w:jc w:val="left"/>
    </w:pPr>
    <w:rPr>
      <w:sz w:val="20"/>
      <w:szCs w:val="20"/>
      <w:lang w:val="de-DE" w:eastAsia="de-DE"/>
    </w:rPr>
  </w:style>
  <w:style w:type="paragraph" w:customStyle="1" w:styleId="298">
    <w:name w:val="附录1"/>
    <w:qFormat/>
    <w:uiPriority w:val="0"/>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customStyle="1" w:styleId="299">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00">
    <w:name w:val="Char Char Char Char"/>
    <w:basedOn w:val="232"/>
    <w:qFormat/>
    <w:uiPriority w:val="0"/>
    <w:pPr>
      <w:spacing w:line="360" w:lineRule="auto"/>
    </w:pPr>
    <w:rPr>
      <w:rFonts w:ascii="Tahoma" w:hAnsi="Tahoma"/>
      <w:sz w:val="24"/>
      <w:szCs w:val="24"/>
    </w:rPr>
  </w:style>
  <w:style w:type="paragraph" w:customStyle="1" w:styleId="301">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302">
    <w:name w:val="4"/>
    <w:basedOn w:val="1"/>
    <w:next w:val="264"/>
    <w:qFormat/>
    <w:uiPriority w:val="0"/>
    <w:pPr>
      <w:spacing w:line="360" w:lineRule="auto"/>
      <w:ind w:firstLine="420"/>
    </w:pPr>
    <w:rPr>
      <w:color w:val="FF0000"/>
      <w:sz w:val="24"/>
      <w:szCs w:val="24"/>
    </w:rPr>
  </w:style>
  <w:style w:type="paragraph" w:customStyle="1" w:styleId="303">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04">
    <w:name w:val="Char Char Char Char Char Char Char Char Char Char"/>
    <w:basedOn w:val="1"/>
    <w:qFormat/>
    <w:uiPriority w:val="0"/>
    <w:pPr>
      <w:spacing w:line="360" w:lineRule="auto"/>
    </w:pPr>
    <w:rPr>
      <w:sz w:val="24"/>
      <w:szCs w:val="20"/>
    </w:rPr>
  </w:style>
  <w:style w:type="paragraph" w:customStyle="1" w:styleId="305">
    <w:name w:val="样式1"/>
    <w:basedOn w:val="1"/>
    <w:qFormat/>
    <w:uiPriority w:val="0"/>
    <w:pPr>
      <w:numPr>
        <w:ilvl w:val="0"/>
        <w:numId w:val="4"/>
      </w:numPr>
    </w:pPr>
    <w:rPr>
      <w:rFonts w:ascii="宋体" w:hAnsi="宋体"/>
      <w:szCs w:val="21"/>
    </w:rPr>
  </w:style>
  <w:style w:type="paragraph" w:customStyle="1" w:styleId="306">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07">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08">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09">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10">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11">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12">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13">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14">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15">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16">
    <w:name w:val="Char Char Char Char1"/>
    <w:basedOn w:val="232"/>
    <w:qFormat/>
    <w:uiPriority w:val="0"/>
    <w:pPr>
      <w:spacing w:line="360" w:lineRule="auto"/>
    </w:pPr>
    <w:rPr>
      <w:rFonts w:ascii="Tahoma" w:hAnsi="Tahoma"/>
      <w:sz w:val="24"/>
      <w:szCs w:val="24"/>
    </w:rPr>
  </w:style>
  <w:style w:type="paragraph" w:customStyle="1" w:styleId="317">
    <w:name w:val="table_1stline"/>
    <w:basedOn w:val="1"/>
    <w:qFormat/>
    <w:uiPriority w:val="0"/>
    <w:pPr>
      <w:widowControl/>
      <w:spacing w:before="120"/>
      <w:jc w:val="left"/>
    </w:pPr>
    <w:rPr>
      <w:bCs/>
      <w:sz w:val="20"/>
      <w:szCs w:val="20"/>
      <w:lang w:val="de-DE" w:eastAsia="de-DE"/>
    </w:rPr>
  </w:style>
  <w:style w:type="paragraph" w:customStyle="1" w:styleId="318">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19">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20">
    <w:name w:val="修订1"/>
    <w:semiHidden/>
    <w:qFormat/>
    <w:uiPriority w:val="99"/>
    <w:rPr>
      <w:rFonts w:hint="default" w:ascii="Times New Roman" w:hAnsi="Times New Roman" w:eastAsia="宋体" w:cs="Times New Roman"/>
      <w:sz w:val="21"/>
      <w:szCs w:val="21"/>
      <w:lang w:val="en-US" w:eastAsia="zh-CN" w:bidi="ar-SA"/>
    </w:rPr>
  </w:style>
  <w:style w:type="paragraph" w:customStyle="1" w:styleId="321">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table" w:customStyle="1" w:styleId="322">
    <w:name w:val="Table Normal"/>
    <w:qFormat/>
    <w:uiPriority w:val="0"/>
    <w:tblPr>
      <w:tblCellMar>
        <w:top w:w="0" w:type="dxa"/>
        <w:left w:w="0" w:type="dxa"/>
        <w:bottom w:w="0" w:type="dxa"/>
        <w:right w:w="0" w:type="dxa"/>
      </w:tblCellMar>
    </w:tblPr>
  </w:style>
  <w:style w:type="paragraph" w:customStyle="1" w:styleId="323">
    <w:name w:val="正文文本 211"/>
    <w:basedOn w:val="1"/>
    <w:qFormat/>
    <w:uiPriority w:val="99"/>
    <w:pPr>
      <w:jc w:val="center"/>
    </w:pPr>
    <w:rPr>
      <w:b/>
      <w:bCs/>
      <w:sz w:val="20"/>
      <w:szCs w:val="20"/>
    </w:rPr>
  </w:style>
  <w:style w:type="paragraph" w:customStyle="1" w:styleId="324">
    <w:name w:val="正文文本1"/>
    <w:basedOn w:val="1"/>
    <w:next w:val="275"/>
    <w:semiHidden/>
    <w:qFormat/>
    <w:uiPriority w:val="0"/>
    <w:rPr>
      <w:rFonts w:ascii="Arial" w:hAnsi="Arial" w:eastAsia="Arial" w:cs="Arial"/>
      <w:szCs w:val="21"/>
      <w:lang w:eastAsia="en-US"/>
    </w:rPr>
  </w:style>
  <w:style w:type="paragraph" w:customStyle="1" w:styleId="325">
    <w:name w:val="正文文本12"/>
    <w:basedOn w:val="1"/>
    <w:qFormat/>
    <w:uiPriority w:val="1"/>
    <w:pPr>
      <w:ind w:left="120"/>
    </w:pPr>
    <w:rPr>
      <w:rFonts w:ascii="宋体" w:hAnsi="宋体" w:cs="宋体"/>
      <w:szCs w:val="21"/>
      <w:lang w:val="zh-CN" w:bidi="zh-CN"/>
    </w:rPr>
  </w:style>
  <w:style w:type="paragraph" w:customStyle="1" w:styleId="326">
    <w:name w:val="Table Paragraph"/>
    <w:basedOn w:val="1"/>
    <w:qFormat/>
    <w:uiPriority w:val="1"/>
  </w:style>
  <w:style w:type="paragraph" w:customStyle="1" w:styleId="327">
    <w:name w:val="Table Text"/>
    <w:basedOn w:val="1"/>
    <w:semiHidden/>
    <w:qFormat/>
    <w:uiPriority w:val="0"/>
    <w:rPr>
      <w:rFonts w:ascii="宋体" w:hAnsi="宋体" w:cs="宋体"/>
    </w:rPr>
  </w:style>
  <w:style w:type="paragraph" w:customStyle="1" w:styleId="328">
    <w:name w:val="列表段落1"/>
    <w:basedOn w:val="1"/>
    <w:qFormat/>
    <w:uiPriority w:val="99"/>
    <w:pPr>
      <w:ind w:firstLine="420"/>
    </w:pPr>
  </w:style>
  <w:style w:type="paragraph" w:customStyle="1" w:styleId="329">
    <w:name w:val="首行缩进"/>
    <w:basedOn w:val="1"/>
    <w:qFormat/>
    <w:uiPriority w:val="0"/>
    <w:pPr>
      <w:spacing w:line="360" w:lineRule="auto"/>
      <w:ind w:firstLine="420"/>
    </w:pPr>
    <w:rPr>
      <w:sz w:val="20"/>
    </w:rPr>
  </w:style>
  <w:style w:type="paragraph" w:customStyle="1" w:styleId="330">
    <w:name w:val="WPSOffice手动目录 1"/>
    <w:qFormat/>
    <w:uiPriority w:val="0"/>
    <w:rPr>
      <w:rFonts w:hint="default" w:ascii="Times New Roman" w:hAnsi="Times New Roman" w:eastAsia="宋体" w:cs="Times New Roman"/>
      <w:lang w:val="en-US" w:eastAsia="zh-CN" w:bidi="ar-SA"/>
    </w:rPr>
  </w:style>
  <w:style w:type="character" w:customStyle="1" w:styleId="331">
    <w:name w:val="批注框文本 Char1"/>
    <w:basedOn w:val="38"/>
    <w:link w:val="22"/>
    <w:semiHidden/>
    <w:qFormat/>
    <w:uiPriority w:val="99"/>
    <w:rPr>
      <w:sz w:val="18"/>
      <w:szCs w:val="18"/>
    </w:rPr>
  </w:style>
  <w:style w:type="character" w:customStyle="1" w:styleId="332">
    <w:name w:val="font71"/>
    <w:basedOn w:val="38"/>
    <w:qFormat/>
    <w:uiPriority w:val="0"/>
    <w:rPr>
      <w:rFonts w:hint="eastAsia" w:ascii="宋体" w:hAnsi="宋体" w:eastAsia="宋体" w:cs="宋体"/>
      <w:b/>
      <w:bCs/>
      <w:color w:val="000000"/>
      <w:sz w:val="22"/>
      <w:szCs w:val="22"/>
      <w:u w:val="none"/>
    </w:rPr>
  </w:style>
  <w:style w:type="character" w:customStyle="1" w:styleId="333">
    <w:name w:val="font131"/>
    <w:basedOn w:val="38"/>
    <w:qFormat/>
    <w:uiPriority w:val="0"/>
    <w:rPr>
      <w:rFonts w:hint="default" w:ascii="Times New Roman" w:hAnsi="Times New Roman" w:cs="Times New Roman"/>
      <w:b/>
      <w:bCs/>
      <w:color w:val="000000"/>
      <w:sz w:val="22"/>
      <w:szCs w:val="22"/>
      <w:u w:val="none"/>
    </w:rPr>
  </w:style>
  <w:style w:type="character" w:customStyle="1" w:styleId="334">
    <w:name w:val="font11"/>
    <w:basedOn w:val="38"/>
    <w:qFormat/>
    <w:uiPriority w:val="0"/>
    <w:rPr>
      <w:rFonts w:hint="eastAsia" w:ascii="宋体" w:hAnsi="宋体" w:eastAsia="宋体" w:cs="宋体"/>
      <w:color w:val="000000"/>
      <w:sz w:val="22"/>
      <w:szCs w:val="22"/>
      <w:u w:val="none"/>
    </w:rPr>
  </w:style>
  <w:style w:type="character" w:customStyle="1" w:styleId="335">
    <w:name w:val="font61"/>
    <w:basedOn w:val="38"/>
    <w:qFormat/>
    <w:uiPriority w:val="0"/>
    <w:rPr>
      <w:rFonts w:hint="default" w:ascii="Times New Roman" w:hAnsi="Times New Roman" w:cs="Times New Roman"/>
      <w:color w:val="000000"/>
      <w:sz w:val="22"/>
      <w:szCs w:val="22"/>
      <w:u w:val="none"/>
    </w:rPr>
  </w:style>
  <w:style w:type="character" w:customStyle="1" w:styleId="336">
    <w:name w:val="font41"/>
    <w:basedOn w:val="38"/>
    <w:qFormat/>
    <w:uiPriority w:val="0"/>
    <w:rPr>
      <w:rFonts w:hint="default" w:ascii="Times New Roman" w:hAnsi="Times New Roman" w:cs="Times New Roman"/>
      <w:b/>
      <w:bCs/>
      <w:color w:val="000000"/>
      <w:sz w:val="28"/>
      <w:szCs w:val="28"/>
      <w:u w:val="none"/>
    </w:rPr>
  </w:style>
  <w:style w:type="character" w:customStyle="1" w:styleId="337">
    <w:name w:val="font51"/>
    <w:basedOn w:val="38"/>
    <w:qFormat/>
    <w:uiPriority w:val="0"/>
    <w:rPr>
      <w:rFonts w:hint="eastAsia" w:ascii="宋体" w:hAnsi="宋体" w:eastAsia="宋体" w:cs="宋体"/>
      <w:b/>
      <w:bCs/>
      <w:color w:val="000000"/>
      <w:sz w:val="28"/>
      <w:szCs w:val="28"/>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50</Pages>
  <Words>819</Words>
  <Characters>958</Characters>
  <TotalTime>0</TotalTime>
  <ScaleCrop>false</ScaleCrop>
  <LinksUpToDate>false</LinksUpToDate>
  <CharactersWithSpaces>1005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2023-03-29T15:28:00Z</dcterms:created>
  <dc:creator>赵国</dc:creator>
  <cp:lastModifiedBy>封天奇</cp:lastModifiedBy>
  <cp:lastPrinted>2026-08-03T01:33:00Z</cp:lastPrinted>
  <dcterms:modified xsi:type="dcterms:W3CDTF">2026-08-05T02:08:44Z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0F919E50B25249CA9B573D2FAE22BC62_13</vt:lpwstr>
  </property>
  <property fmtid="{D5CDD505-2E9C-101B-9397-08002B2CF9AE}" pid="4" name="KSOTemplateDocerSaveRecord">
    <vt:lpwstr>eyJoZGlkIjoiNWJiMmU2YmFlY2UzYjAyZjFjNWZjNTA3ZTU1ZmVkMmUiLCJ1c2VySWQiOiIxNDM1NTE5OTc3In0=</vt:lpwstr>
  </property>
</Properties>
</file>