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宋体" w:hAnsi="宋体" w:cs="宋体"/>
          <w:b/>
          <w:bCs/>
          <w:color w:val="000000"/>
          <w:sz w:val="44"/>
          <w:szCs w:val="44"/>
        </w:rPr>
      </w:pPr>
      <w:r>
        <w:rPr>
          <w:rFonts w:ascii="宋体" w:hAnsi="宋体" w:cs="宋体"/>
          <w:b/>
          <w:bCs/>
          <w:color w:val="000000"/>
          <w:sz w:val="44"/>
          <w:szCs w:val="44"/>
        </w:rPr>
      </w:r>
      <w:r/>
    </w:p>
    <w:p>
      <w:pPr>
        <w:spacing w:line="360" w:lineRule="auto"/>
        <w:rPr>
          <w:rFonts w:ascii="宋体" w:hAnsi="宋体" w:cs="宋体"/>
          <w:b/>
          <w:bCs/>
          <w:color w:val="000000"/>
          <w:sz w:val="44"/>
          <w:szCs w:val="44"/>
        </w:rPr>
      </w:pPr>
      <w:r>
        <w:rPr>
          <w:rFonts w:ascii="宋体" w:hAnsi="宋体" w:cs="宋体"/>
          <w:b/>
          <w:bCs/>
          <w:color w:val="000000"/>
          <w:sz w:val="44"/>
          <w:szCs w:val="44"/>
        </w:rPr>
      </w:r>
      <w:r/>
    </w:p>
    <w:p>
      <w:pPr>
        <w:jc w:val="center"/>
        <w:spacing w:line="360" w:lineRule="auto"/>
        <w:shd w:val="clear" w:color="auto" w:fill="ffffff"/>
        <w:widowControl/>
        <w:rPr>
          <w:rFonts w:ascii="宋体" w:hAnsi="宋体" w:cs="宋体"/>
          <w:b/>
          <w:bCs/>
          <w:sz w:val="40"/>
          <w:szCs w:val="40"/>
          <w:lang w:val="zh-CN"/>
        </w:rPr>
      </w:pPr>
      <w:r>
        <w:rPr>
          <w:rFonts w:hint="eastAsia" w:ascii="宋体" w:hAnsi="宋体" w:cs="宋体"/>
          <w:b/>
          <w:bCs/>
          <w:sz w:val="40"/>
          <w:szCs w:val="40"/>
        </w:rPr>
        <w:t xml:space="preserve">江苏省安全生产行政执法系统年度运维</w:t>
      </w:r>
      <w:r/>
    </w:p>
    <w:p>
      <w:pPr>
        <w:spacing w:line="360" w:lineRule="auto"/>
        <w:rPr>
          <w:rFonts w:ascii="宋体" w:hAnsi="宋体" w:cs="宋体"/>
          <w:color w:val="000000"/>
          <w:sz w:val="44"/>
          <w:szCs w:val="44"/>
        </w:rPr>
      </w:pPr>
      <w:r>
        <w:rPr>
          <w:rFonts w:ascii="宋体" w:hAnsi="宋体" w:cs="宋体"/>
          <w:color w:val="000000"/>
          <w:sz w:val="44"/>
          <w:szCs w:val="44"/>
        </w:rPr>
      </w:r>
      <w:r/>
    </w:p>
    <w:p>
      <w:pPr>
        <w:pStyle w:val="918"/>
      </w:pPr>
      <w:r/>
      <w:r/>
    </w:p>
    <w:p>
      <w:pPr>
        <w:pStyle w:val="927"/>
        <w:rPr>
          <w:rFonts w:ascii="宋体" w:hAnsi="宋体" w:cs="宋体"/>
          <w:color w:val="000000"/>
          <w:sz w:val="44"/>
          <w:szCs w:val="44"/>
        </w:rPr>
      </w:pPr>
      <w:r>
        <w:rPr>
          <w:rFonts w:ascii="宋体" w:hAnsi="宋体" w:cs="宋体"/>
          <w:color w:val="000000"/>
          <w:sz w:val="44"/>
          <w:szCs w:val="44"/>
        </w:rPr>
      </w:r>
      <w:r/>
    </w:p>
    <w:p>
      <w:pPr>
        <w:pStyle w:val="927"/>
        <w:rPr>
          <w:rFonts w:ascii="宋体" w:hAnsi="宋体" w:cs="宋体"/>
          <w:color w:val="000000"/>
          <w:sz w:val="44"/>
          <w:szCs w:val="44"/>
        </w:rPr>
      </w:pPr>
      <w:r>
        <w:rPr>
          <w:rFonts w:ascii="宋体" w:hAnsi="宋体" w:cs="宋体"/>
          <w:color w:val="000000"/>
          <w:sz w:val="44"/>
          <w:szCs w:val="44"/>
        </w:rPr>
      </w:r>
      <w:r/>
    </w:p>
    <w:p>
      <w:pPr>
        <w:pStyle w:val="927"/>
        <w:rPr>
          <w:rFonts w:ascii="宋体" w:hAnsi="宋体" w:cs="宋体"/>
          <w:color w:val="000000"/>
          <w:sz w:val="44"/>
          <w:szCs w:val="44"/>
        </w:rPr>
      </w:pPr>
      <w:r>
        <w:rPr>
          <w:rFonts w:ascii="宋体" w:hAnsi="宋体" w:cs="宋体"/>
          <w:color w:val="000000"/>
          <w:sz w:val="44"/>
          <w:szCs w:val="44"/>
        </w:rPr>
      </w:r>
      <w:r/>
    </w:p>
    <w:p>
      <w:pPr>
        <w:jc w:val="center"/>
        <w:spacing w:line="360" w:lineRule="auto"/>
        <w:tabs>
          <w:tab w:val="left" w:pos="390" w:leader="none"/>
          <w:tab w:val="center" w:pos="4404" w:leader="none"/>
        </w:tabs>
        <w:rPr>
          <w:rFonts w:ascii="宋体" w:hAnsi="宋体" w:cs="宋体"/>
          <w:b/>
          <w:bCs/>
          <w:color w:val="000000"/>
          <w:sz w:val="44"/>
          <w:szCs w:val="44"/>
        </w:rPr>
      </w:pPr>
      <w:r>
        <w:rPr>
          <w:rFonts w:hint="eastAsia" w:ascii="宋体" w:hAnsi="宋体" w:cs="宋体"/>
          <w:b/>
          <w:bCs/>
          <w:color w:val="000000"/>
          <w:sz w:val="44"/>
          <w:szCs w:val="44"/>
        </w:rPr>
        <w:t xml:space="preserve">竞争性磋商文件</w:t>
      </w:r>
      <w:r/>
    </w:p>
    <w:p>
      <w:pPr>
        <w:jc w:val="center"/>
        <w:spacing w:line="360" w:lineRule="auto"/>
        <w:rPr>
          <w:rFonts w:ascii="宋体" w:hAnsi="宋体" w:cs="宋体"/>
          <w:b/>
          <w:bCs/>
          <w:color w:val="000000"/>
          <w:sz w:val="40"/>
          <w:szCs w:val="40"/>
        </w:rPr>
      </w:pPr>
      <w:r>
        <w:rPr>
          <w:rFonts w:hint="eastAsia" w:ascii="宋体" w:hAnsi="宋体" w:cs="宋体"/>
          <w:b/>
          <w:bCs/>
          <w:color w:val="000000"/>
          <w:sz w:val="36"/>
          <w:szCs w:val="36"/>
        </w:rPr>
        <w:t xml:space="preserve">项目编号：JSZC-320000-JCEC-C2026-0276</w:t>
      </w:r>
      <w:r/>
    </w:p>
    <w:p>
      <w:pPr>
        <w:jc w:val="center"/>
        <w:spacing w:line="360" w:lineRule="auto"/>
        <w:rPr>
          <w:rFonts w:hint="eastAsia" w:ascii="宋体" w:hAnsi="宋体" w:eastAsia="宋体" w:cs="宋体"/>
          <w:color w:val="000000"/>
          <w:sz w:val="48"/>
          <w:szCs w:val="48"/>
          <w:lang w:eastAsia="zh-CN"/>
        </w:rPr>
      </w:pPr>
      <w:r>
        <w:rPr>
          <w:rFonts w:hint="eastAsia" w:ascii="宋体" w:hAnsi="宋体" w:cs="宋体"/>
          <w:color w:val="000000"/>
          <w:sz w:val="48"/>
          <w:szCs w:val="48"/>
          <w:lang w:eastAsia="zh-CN"/>
        </w:rPr>
        <w:t xml:space="preserve">（ZZ06602658ZC02723）</w:t>
      </w:r>
      <w:r/>
    </w:p>
    <w:p>
      <w:pPr>
        <w:pStyle w:val="990"/>
        <w:ind w:firstLine="0"/>
        <w:rPr>
          <w:rFonts w:hAnsi="宋体" w:cs="宋体"/>
          <w:color w:val="000000"/>
          <w:sz w:val="48"/>
          <w:szCs w:val="48"/>
        </w:rPr>
      </w:pPr>
      <w:r>
        <w:rPr>
          <w:rFonts w:hAnsi="宋体" w:cs="宋体"/>
          <w:color w:val="000000"/>
          <w:sz w:val="48"/>
          <w:szCs w:val="48"/>
        </w:rPr>
      </w:r>
      <w:r/>
    </w:p>
    <w:p>
      <w:r/>
      <w:r/>
    </w:p>
    <w:p>
      <w:pPr>
        <w:pStyle w:val="990"/>
        <w:ind w:firstLine="480"/>
      </w:pPr>
      <w:r/>
      <w:r/>
    </w:p>
    <w:p>
      <w:r/>
      <w:r/>
    </w:p>
    <w:p>
      <w:pPr>
        <w:pStyle w:val="975"/>
        <w:ind w:firstLine="1285"/>
        <w:rPr>
          <w:rFonts w:ascii="宋体" w:hAnsi="宋体" w:cs="宋体"/>
          <w:b/>
          <w:sz w:val="32"/>
          <w:szCs w:val="32"/>
        </w:rPr>
      </w:pPr>
      <w:r>
        <w:rPr>
          <w:rFonts w:hint="eastAsia" w:ascii="宋体" w:hAnsi="宋体" w:cs="宋体"/>
          <w:b/>
          <w:sz w:val="32"/>
          <w:szCs w:val="32"/>
        </w:rPr>
        <w:t xml:space="preserve">采购人：江苏省应急管理厅</w:t>
      </w:r>
      <w:r/>
    </w:p>
    <w:p>
      <w:pPr>
        <w:pStyle w:val="975"/>
        <w:ind w:firstLine="1285"/>
        <w:rPr>
          <w:rFonts w:ascii="宋体" w:hAnsi="宋体" w:cs="宋体"/>
          <w:b/>
        </w:rPr>
      </w:pPr>
      <w:r>
        <w:rPr>
          <w:rFonts w:hint="eastAsia" w:ascii="宋体" w:hAnsi="宋体" w:cs="宋体"/>
          <w:b/>
          <w:sz w:val="32"/>
          <w:szCs w:val="32"/>
        </w:rPr>
        <w:t xml:space="preserve">采购代理机构：江苏省设备成套股份有限公司</w:t>
      </w:r>
      <w:r/>
    </w:p>
    <w:p>
      <w:pPr>
        <w:pStyle w:val="1068"/>
        <w:numPr>
          <w:ilvl w:val="0"/>
          <w:numId w:val="0"/>
        </w:numPr>
        <w:ind w:right="-733"/>
        <w:jc w:val="center"/>
        <w:spacing w:after="624" w:line="360" w:lineRule="auto"/>
        <w:rPr>
          <w:rFonts w:ascii="宋体" w:hAnsi="宋体" w:cs="宋体"/>
          <w:color w:val="auto"/>
          <w:sz w:val="36"/>
          <w:lang w:val="zh-CN"/>
        </w:rPr>
      </w:pPr>
      <w:r/>
      <w:bookmarkStart w:id="0" w:name="_Toc29585"/>
      <w:r>
        <w:rPr>
          <w:rFonts w:hint="eastAsia" w:ascii="宋体" w:hAnsi="宋体" w:cs="宋体"/>
          <w:bCs w:val="0"/>
          <w:color w:val="auto"/>
          <w:sz w:val="32"/>
          <w:szCs w:val="32"/>
        </w:rPr>
        <w:t xml:space="preserve">2026年7月</w:t>
      </w:r>
      <w:r>
        <w:rPr>
          <w:rFonts w:hint="eastAsia" w:ascii="宋体" w:hAnsi="宋体" w:cs="宋体"/>
          <w:color w:val="auto"/>
          <w:sz w:val="36"/>
          <w:lang w:val="zh-CN"/>
        </w:rPr>
        <w:br w:type="page" w:clear="all"/>
      </w:r>
      <w:r>
        <w:rPr>
          <w:rFonts w:hint="eastAsia" w:ascii="宋体" w:hAnsi="宋体" w:cs="宋体"/>
          <w:color w:val="auto"/>
          <w:sz w:val="36"/>
          <w:lang w:val="zh-CN"/>
        </w:rPr>
        <w:t xml:space="preserve">目</w:t>
      </w:r>
      <w:r>
        <w:rPr>
          <w:rFonts w:hint="eastAsia" w:ascii="宋体" w:hAnsi="宋体" w:cs="宋体"/>
          <w:color w:val="auto"/>
          <w:sz w:val="36"/>
        </w:rPr>
        <w:t xml:space="preserve"> </w:t>
      </w:r>
      <w:r>
        <w:rPr>
          <w:rFonts w:hint="eastAsia" w:ascii="宋体" w:hAnsi="宋体" w:cs="宋体"/>
          <w:color w:val="auto"/>
          <w:sz w:val="36"/>
          <w:lang w:val="zh-CN"/>
        </w:rPr>
        <w:t xml:space="preserve">录</w:t>
      </w:r>
      <w:bookmarkEnd w:id="0"/>
      <w:r/>
      <w:r/>
    </w:p>
    <w:p>
      <w:pPr>
        <w:pStyle w:val="958"/>
        <w:spacing w:before="0" w:after="0" w:line="480" w:lineRule="auto"/>
        <w:tabs>
          <w:tab w:val="right" w:pos="8306" w:leader="dot"/>
        </w:tabs>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w:t>
      </w:r>
      <w:r>
        <w:rPr>
          <w:rFonts w:hint="eastAsia" w:ascii="宋体" w:hAnsi="宋体" w:cs="宋体"/>
          <w:b w:val="0"/>
          <w:sz w:val="24"/>
          <w:szCs w:val="24"/>
        </w:rPr>
        <w:t xml:space="preserve"> </w:t>
      </w:r>
      <w:r>
        <w:rPr>
          <w:rFonts w:hint="eastAsia" w:ascii="宋体" w:hAnsi="宋体" w:cs="宋体"/>
          <w:b w:val="0"/>
          <w:sz w:val="24"/>
          <w:szCs w:val="24"/>
          <w:lang w:val="zh-CN"/>
        </w:rPr>
        <w:t xml:space="preserve">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 xml:space="preserve">1</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58"/>
        <w:spacing w:before="0" w:after="0" w:line="480" w:lineRule="auto"/>
        <w:tabs>
          <w:tab w:val="right" w:pos="8306" w:leader="dot"/>
        </w:tabs>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 xml:space="preserve">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 xml:space="preserve">4</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58"/>
        <w:spacing w:before="0" w:after="0" w:line="480" w:lineRule="auto"/>
        <w:tabs>
          <w:tab w:val="right" w:pos="8306" w:leader="dot"/>
        </w:tabs>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w:t>
      </w:r>
      <w:r>
        <w:rPr>
          <w:rFonts w:hint="eastAsia" w:ascii="宋体" w:hAnsi="宋体" w:cs="宋体"/>
          <w:b w:val="0"/>
          <w:sz w:val="24"/>
          <w:szCs w:val="24"/>
        </w:rPr>
        <w:t xml:space="preserve"> </w:t>
      </w:r>
      <w:r>
        <w:rPr>
          <w:rFonts w:hint="eastAsia" w:ascii="宋体" w:hAnsi="宋体" w:cs="宋体"/>
          <w:b w:val="0"/>
          <w:sz w:val="24"/>
          <w:szCs w:val="24"/>
          <w:lang w:val="zh-CN"/>
        </w:rPr>
        <w:t xml:space="preserve">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 xml:space="preserve">13</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58"/>
        <w:spacing w:before="0" w:after="0" w:line="480" w:lineRule="auto"/>
        <w:tabs>
          <w:tab w:val="right" w:pos="8306" w:leader="dot"/>
        </w:tabs>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 xml:space="preserve">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 xml:space="preserve">17</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58"/>
        <w:spacing w:before="0" w:after="0" w:line="480" w:lineRule="auto"/>
        <w:tabs>
          <w:tab w:val="right" w:pos="8306" w:leader="dot"/>
        </w:tabs>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w:t>
      </w:r>
      <w:r>
        <w:rPr>
          <w:rFonts w:hint="eastAsia" w:ascii="宋体" w:hAnsi="宋体" w:cs="宋体"/>
          <w:b w:val="0"/>
          <w:sz w:val="24"/>
          <w:szCs w:val="24"/>
        </w:rPr>
        <w:t xml:space="preserve"> </w:t>
      </w:r>
      <w:r>
        <w:rPr>
          <w:rFonts w:hint="eastAsia" w:ascii="宋体" w:hAnsi="宋体" w:cs="宋体"/>
          <w:b w:val="0"/>
          <w:sz w:val="24"/>
          <w:szCs w:val="24"/>
          <w:lang w:val="zh-CN"/>
        </w:rPr>
        <w:t xml:space="preserve">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 xml:space="preserve">30</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58"/>
        <w:spacing w:before="0" w:after="0" w:line="480" w:lineRule="auto"/>
        <w:tabs>
          <w:tab w:val="right" w:pos="8306" w:leader="dot"/>
        </w:tabs>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sz w:val="24"/>
          <w:szCs w:val="24"/>
        </w:rPr>
        <w:t xml:space="preserve">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 xml:space="preserve">36</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jc w:val="center"/>
        <w:spacing w:line="480" w:lineRule="auto"/>
        <w:rPr>
          <w:rFonts w:ascii="宋体" w:hAnsi="宋体" w:cs="宋体"/>
          <w:b/>
          <w:bCs/>
          <w:sz w:val="72"/>
          <w:szCs w:val="30"/>
          <w:lang w:val="zh-CN"/>
        </w:rPr>
      </w:pPr>
      <w:r>
        <w:rPr>
          <w:rFonts w:hint="eastAsia" w:ascii="宋体" w:hAnsi="宋体" w:cs="宋体"/>
          <w:sz w:val="24"/>
          <w:szCs w:val="24"/>
          <w:lang w:val="zh-CN"/>
        </w:rPr>
        <w:fldChar w:fldCharType="end"/>
      </w:r>
      <w:r/>
    </w:p>
    <w:p>
      <w:pPr>
        <w:pStyle w:val="926"/>
        <w:rPr>
          <w:rFonts w:ascii="宋体" w:hAnsi="宋体" w:cs="宋体"/>
          <w:lang w:val="zh-CN"/>
        </w:rPr>
        <w:sectPr>
          <w:headerReference w:type="default" r:id="rId9"/>
          <w:headerReference w:type="first" r:id="rId10"/>
          <w:footerReference w:type="default" r:id="rId13"/>
          <w:footerReference w:type="first" r:id="rId14"/>
          <w:footnotePr/>
          <w:endnotePr/>
          <w:type w:val="continuous"/>
          <w:pgSz w:w="11906" w:h="16838" w:orient="portrait"/>
          <w:pgMar w:top="1440" w:right="1486" w:bottom="1440" w:left="1600" w:header="851" w:footer="992" w:gutter="0"/>
          <w:pgNumType w:start="1"/>
          <w:cols w:num="1" w:sep="0" w:space="720" w:equalWidth="1"/>
          <w:docGrid w:linePitch="360"/>
          <w:titlePg/>
        </w:sectPr>
      </w:pPr>
      <w:r/>
      <w:bookmarkStart w:id="1" w:name="_Toc22476"/>
      <w:r/>
      <w:r/>
    </w:p>
    <w:p>
      <w:pPr>
        <w:pStyle w:val="926"/>
        <w:rPr>
          <w:rFonts w:ascii="宋体" w:hAnsi="宋体" w:cs="宋体"/>
        </w:rPr>
      </w:pPr>
      <w:r>
        <w:rPr>
          <w:rFonts w:hint="eastAsia" w:ascii="宋体" w:hAnsi="宋体" w:cs="宋体"/>
          <w:lang w:val="zh-CN"/>
        </w:rPr>
        <w:t xml:space="preserve">第一章 竞争性磋商公告</w:t>
      </w:r>
      <w:bookmarkEnd w:id="1"/>
      <w:r/>
      <w:r/>
    </w:p>
    <w:p>
      <w:pPr>
        <w:jc w:val="cente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360"/>
        <w:spacing w:line="360" w:lineRule="auto"/>
        <w:shd w:val="clear" w:color="auto" w:fill="ffffff"/>
        <w:widowControl/>
        <w:rPr>
          <w:rFonts w:ascii="宋体" w:hAnsi="宋体" w:cs="宋体"/>
          <w:szCs w:val="21"/>
        </w:rPr>
      </w:pPr>
      <w:r>
        <w:rPr>
          <w:rFonts w:hint="eastAsia" w:ascii="宋体" w:hAnsi="宋体" w:cs="宋体"/>
          <w:szCs w:val="21"/>
          <w:lang w:val="zh-CN"/>
        </w:rPr>
        <w:t xml:space="preserve">江苏省安全生产行政执法系统年度运维</w:t>
      </w:r>
      <w:r>
        <w:rPr>
          <w:rFonts w:hint="eastAsia" w:ascii="宋体" w:hAnsi="宋体" w:cs="宋体"/>
          <w:szCs w:val="21"/>
        </w:rPr>
        <w:t xml:space="preserve">的潜在供应商应在</w:t>
      </w:r>
      <w:r>
        <w:rPr>
          <w:rFonts w:hint="eastAsia" w:ascii="宋体" w:hAnsi="宋体" w:cs="宋体"/>
          <w:spacing w:val="15"/>
          <w:szCs w:val="21"/>
          <w:u w:val="single"/>
          <w:shd w:val="clear" w:color="auto" w:fill="ffffff"/>
        </w:rPr>
        <w:t xml:space="preserve">江苏政府采购网</w:t>
      </w:r>
      <w:r>
        <w:fldChar w:fldCharType="begin"/>
      </w:r>
      <w:r>
        <w:instrText xml:space="preserve"> HYPERLINK "http://nynct.jiangsu.gov.cn）获取采购文件，并于2025年" </w:instrText>
      </w:r>
      <w:r>
        <w:fldChar w:fldCharType="separate"/>
      </w:r>
      <w:r>
        <w:rPr>
          <w:rStyle w:val="984"/>
          <w:rFonts w:hint="eastAsia" w:ascii="宋体" w:hAnsi="宋体" w:cs="宋体"/>
          <w:color w:val="auto"/>
          <w:szCs w:val="21"/>
          <w:u w:val="none"/>
        </w:rPr>
        <w:t xml:space="preserve">获取采购文件，并于</w:t>
      </w:r>
      <w:r>
        <w:rPr>
          <w:rStyle w:val="984"/>
          <w:rFonts w:ascii="宋体" w:hAnsi="宋体" w:cs="宋体"/>
          <w:iCs/>
          <w:color w:val="auto"/>
          <w:spacing w:val="8"/>
          <w:szCs w:val="21"/>
          <w:u w:val="none"/>
        </w:rPr>
        <w:t xml:space="preserve">202</w:t>
      </w:r>
      <w:r>
        <w:rPr>
          <w:rStyle w:val="984"/>
          <w:rFonts w:hint="eastAsia" w:ascii="宋体" w:hAnsi="宋体" w:cs="宋体"/>
          <w:iCs/>
          <w:color w:val="auto"/>
          <w:spacing w:val="8"/>
          <w:szCs w:val="21"/>
          <w:u w:val="none"/>
        </w:rPr>
        <w:t xml:space="preserve">6</w:t>
      </w:r>
      <w:r>
        <w:rPr>
          <w:rStyle w:val="984"/>
          <w:rFonts w:ascii="宋体" w:hAnsi="宋体" w:cs="宋体"/>
          <w:iCs/>
          <w:color w:val="auto"/>
          <w:spacing w:val="8"/>
          <w:szCs w:val="21"/>
          <w:u w:val="none"/>
        </w:rPr>
        <w:t xml:space="preserve">年</w:t>
      </w:r>
      <w:r>
        <w:rPr>
          <w:rStyle w:val="984"/>
          <w:rFonts w:ascii="宋体" w:hAnsi="宋体" w:cs="宋体"/>
          <w:iCs/>
          <w:color w:val="auto"/>
          <w:spacing w:val="8"/>
          <w:szCs w:val="21"/>
          <w:u w:val="none"/>
        </w:rPr>
        <w:fldChar w:fldCharType="end"/>
      </w:r>
      <w:r>
        <w:rPr>
          <w:rFonts w:hint="eastAsia" w:ascii="宋体" w:hAnsi="宋体" w:cs="宋体"/>
          <w:iCs/>
          <w:spacing w:val="8"/>
          <w:szCs w:val="21"/>
          <w:lang w:val="en-US" w:eastAsia="zh-CN"/>
        </w:rPr>
        <w:t xml:space="preserve">8</w:t>
      </w:r>
      <w:r>
        <w:rPr>
          <w:rFonts w:hint="eastAsia" w:ascii="宋体" w:hAnsi="宋体" w:cs="宋体"/>
          <w:iCs/>
          <w:spacing w:val="8"/>
          <w:szCs w:val="21"/>
        </w:rPr>
        <w:t xml:space="preserve">月</w:t>
      </w:r>
      <w:r>
        <w:rPr>
          <w:rFonts w:hint="eastAsia" w:ascii="宋体" w:hAnsi="宋体" w:cs="宋体"/>
          <w:iCs/>
          <w:spacing w:val="8"/>
          <w:szCs w:val="21"/>
          <w:lang w:val="en-US" w:eastAsia="zh-CN"/>
        </w:rPr>
        <w:t xml:space="preserve">5</w:t>
      </w:r>
      <w:r>
        <w:rPr>
          <w:rFonts w:hint="eastAsia" w:ascii="宋体" w:hAnsi="宋体" w:cs="宋体"/>
          <w:iCs/>
          <w:spacing w:val="8"/>
          <w:szCs w:val="21"/>
        </w:rPr>
        <w:t xml:space="preserve">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spacing w:line="360" w:lineRule="auto"/>
        <w:shd w:val="clear" w:color="auto" w:fill="ffffff"/>
        <w:widowControl/>
        <w:rPr>
          <w:rFonts w:ascii="宋体" w:hAnsi="宋体" w:cs="宋体"/>
          <w:b/>
          <w:spacing w:val="8"/>
          <w:sz w:val="24"/>
        </w:rPr>
        <w:outlineLvl w:val="1"/>
      </w:pPr>
      <w:r/>
      <w:bookmarkStart w:id="2" w:name="_Toc1270"/>
      <w:r/>
      <w:bookmarkStart w:id="3" w:name="_Toc19084"/>
      <w:r>
        <w:rPr>
          <w:rFonts w:hint="eastAsia" w:ascii="宋体" w:hAnsi="宋体" w:cs="宋体"/>
          <w:b/>
          <w:spacing w:val="8"/>
          <w:sz w:val="24"/>
        </w:rPr>
        <w:t xml:space="preserve">一、项目基本情况</w:t>
      </w:r>
      <w:bookmarkEnd w:id="2"/>
      <w:r/>
      <w:bookmarkEnd w:id="3"/>
      <w:r/>
      <w:r/>
    </w:p>
    <w:p>
      <w:pPr>
        <w:ind w:firstLine="370"/>
        <w:spacing w:line="360" w:lineRule="auto"/>
        <w:shd w:val="clear" w:color="auto" w:fill="ffffff"/>
        <w:widowControl/>
        <w:rPr>
          <w:rFonts w:hint="eastAsia" w:ascii="宋体" w:hAnsi="宋体" w:eastAsia="宋体" w:cs="宋体"/>
          <w:spacing w:val="8"/>
          <w:szCs w:val="21"/>
          <w:lang w:eastAsia="zh-CN"/>
        </w:rPr>
      </w:pPr>
      <w:r>
        <w:rPr>
          <w:rFonts w:hint="eastAsia" w:ascii="宋体" w:hAnsi="宋体" w:cs="宋体"/>
          <w:spacing w:val="8"/>
          <w:szCs w:val="21"/>
        </w:rPr>
        <w:t xml:space="preserve">1.1项目编号：</w:t>
      </w:r>
      <w:r>
        <w:rPr>
          <w:rFonts w:ascii="Segoe UI" w:hAnsi="Segoe UI" w:eastAsia="Segoe UI" w:cs="Segoe UI"/>
          <w:i w:val="0"/>
          <w:iCs w:val="0"/>
          <w:caps w:val="0"/>
          <w:spacing w:val="0"/>
          <w:sz w:val="21"/>
          <w:szCs w:val="21"/>
          <w:shd w:val="clear" w:color="auto" w:fill="ffffff"/>
        </w:rPr>
        <w:t xml:space="preserve">JSZC-320000-JCEC-C2026-0276</w:t>
      </w:r>
      <w:r>
        <w:rPr>
          <w:rFonts w:hint="eastAsia" w:ascii="Segoe UI" w:hAnsi="Segoe UI" w:cs="Segoe UI"/>
          <w:i w:val="0"/>
          <w:iCs w:val="0"/>
          <w:caps w:val="0"/>
          <w:spacing w:val="0"/>
          <w:sz w:val="21"/>
          <w:szCs w:val="21"/>
          <w:shd w:val="clear" w:color="auto" w:fill="ffffff"/>
          <w:lang w:eastAsia="zh-CN"/>
        </w:rPr>
        <w:t xml:space="preserve">（ZZ06602658ZC02723）</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1.2项目名称：</w:t>
      </w:r>
      <w:bookmarkStart w:id="4" w:name="OLE_LINK4"/>
      <w:r>
        <w:rPr>
          <w:rFonts w:hint="eastAsia" w:ascii="宋体" w:hAnsi="宋体" w:cs="宋体"/>
          <w:spacing w:val="8"/>
          <w:szCs w:val="21"/>
        </w:rPr>
        <w:t xml:space="preserve">江苏省安全生产行政执法系统年度运维</w:t>
      </w:r>
      <w:bookmarkEnd w:id="4"/>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1.3采购方式：竞争性磋商</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1.4预算金额：145.8万元</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1.5最高限价：145.8万元,</w:t>
      </w:r>
      <w:r>
        <w:rPr>
          <w:rFonts w:hint="eastAsia" w:ascii="宋体" w:hAnsi="宋体" w:cs="宋体"/>
          <w:szCs w:val="21"/>
        </w:rPr>
        <w:t xml:space="preserve">超过</w:t>
      </w:r>
      <w:r>
        <w:rPr>
          <w:rFonts w:hint="eastAsia" w:ascii="宋体" w:hAnsi="宋体" w:cs="宋体"/>
          <w:spacing w:val="8"/>
          <w:szCs w:val="21"/>
        </w:rPr>
        <w:t xml:space="preserve">最高限价</w:t>
      </w:r>
      <w:r>
        <w:rPr>
          <w:rFonts w:hint="eastAsia" w:ascii="宋体" w:hAnsi="宋体" w:cs="宋体"/>
          <w:szCs w:val="21"/>
        </w:rPr>
        <w:t xml:space="preserve">作无效响应处理。</w:t>
      </w:r>
      <w:r/>
    </w:p>
    <w:p>
      <w:pPr>
        <w:ind w:firstLine="370"/>
        <w:spacing w:line="360" w:lineRule="auto"/>
        <w:shd w:val="clear" w:color="auto" w:fill="ffffff"/>
        <w:widowControl/>
        <w:rPr>
          <w:rFonts w:ascii="宋体" w:hAnsi="宋体" w:cs="宋体"/>
          <w:spacing w:val="8"/>
          <w:szCs w:val="21"/>
        </w:rPr>
      </w:pPr>
      <w:r>
        <w:rPr>
          <w:rFonts w:ascii="宋体" w:hAnsi="宋体" w:cs="宋体"/>
          <w:spacing w:val="8"/>
          <w:szCs w:val="21"/>
        </w:rPr>
        <w:t xml:space="preserve">1.6</w:t>
      </w:r>
      <w:r>
        <w:rPr>
          <w:rFonts w:hint="eastAsia" w:ascii="宋体" w:hAnsi="宋体" w:cs="宋体"/>
          <w:spacing w:val="8"/>
          <w:szCs w:val="21"/>
        </w:rPr>
        <w:t xml:space="preserve">采购需求：本项目拟对江苏省安全生产行政执法系统全系统进行运维服务。具体参数详见采购文件第四章采购需求。</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1.7合同履行期限：合同签订之日起至2027年7月3</w:t>
      </w:r>
      <w:r>
        <w:rPr>
          <w:rFonts w:hint="eastAsia" w:ascii="宋体" w:hAnsi="宋体" w:cs="宋体"/>
          <w:spacing w:val="8"/>
          <w:szCs w:val="21"/>
          <w:lang w:val="en-US" w:eastAsia="zh-CN"/>
        </w:rPr>
        <w:t xml:space="preserve">1</w:t>
      </w:r>
      <w:r>
        <w:rPr>
          <w:rFonts w:hint="eastAsia" w:ascii="宋体" w:hAnsi="宋体" w:cs="宋体"/>
          <w:spacing w:val="8"/>
          <w:szCs w:val="21"/>
        </w:rPr>
        <w:t xml:space="preserve">日止</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1.8行业划分：软件和信息技术服务业</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1.9本项目是否专门面向中小企业（或监狱企业或残疾人福利性单位）采购：否。</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1.10本项目</w:t>
      </w:r>
      <w:r>
        <w:rPr>
          <w:rFonts w:hint="eastAsia" w:ascii="宋体" w:hAnsi="宋体" w:cs="宋体"/>
          <w:spacing w:val="8"/>
          <w:szCs w:val="21"/>
          <w:u w:val="single"/>
        </w:rPr>
        <w:t xml:space="preserve">不接受</w:t>
      </w:r>
      <w:r>
        <w:rPr>
          <w:rFonts w:hint="eastAsia" w:ascii="宋体" w:hAnsi="宋体" w:cs="宋体"/>
          <w:spacing w:val="8"/>
          <w:szCs w:val="21"/>
        </w:rPr>
        <w:t xml:space="preserve">联合体投标。</w:t>
      </w:r>
      <w:r/>
    </w:p>
    <w:p>
      <w:pPr>
        <w:spacing w:line="360" w:lineRule="auto"/>
        <w:shd w:val="clear" w:color="auto" w:fill="ffffff"/>
        <w:widowControl/>
        <w:rPr>
          <w:rFonts w:ascii="宋体" w:hAnsi="宋体" w:cs="宋体"/>
          <w:b/>
          <w:spacing w:val="8"/>
          <w:sz w:val="24"/>
        </w:rPr>
        <w:outlineLvl w:val="1"/>
      </w:pPr>
      <w:r/>
      <w:bookmarkStart w:id="5" w:name="_Toc26468"/>
      <w:r/>
      <w:bookmarkStart w:id="6" w:name="_Toc1756"/>
      <w:r>
        <w:rPr>
          <w:rFonts w:hint="eastAsia" w:ascii="宋体" w:hAnsi="宋体" w:cs="宋体"/>
          <w:b/>
          <w:spacing w:val="8"/>
          <w:sz w:val="24"/>
        </w:rPr>
        <w:t xml:space="preserve">二、申请人的资格要求：</w:t>
      </w:r>
      <w:bookmarkEnd w:id="5"/>
      <w:r/>
      <w:bookmarkEnd w:id="6"/>
      <w:r/>
      <w:r/>
    </w:p>
    <w:p>
      <w:pPr>
        <w:ind w:firstLine="422"/>
        <w:spacing w:line="360" w:lineRule="auto"/>
        <w:rPr>
          <w:rFonts w:ascii="宋体" w:hAnsi="宋体" w:cs="宋体"/>
          <w:b/>
          <w:color w:val="000000"/>
          <w:szCs w:val="21"/>
          <w:lang w:val="zh-CN"/>
        </w:rPr>
      </w:pPr>
      <w:r>
        <w:rPr>
          <w:rFonts w:hint="eastAsia" w:ascii="宋体" w:hAnsi="宋体" w:cs="宋体"/>
          <w:b/>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4"/>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（2）具有良好的商业信誉和健全的财务会计制度（提供2024或2025年度财务报表（公司成立不满一年，至少提供投标截止时间前近一个月的财务报表），或磋商截止时间前六个月内银行出具的资信证明）；</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rPr>
          <w:rFonts w:ascii="宋体" w:hAnsi="宋体" w:cs="宋体"/>
          <w:i/>
          <w:color w:val="ff0000"/>
          <w:spacing w:val="8"/>
          <w:szCs w:val="21"/>
          <w:u w:val="single"/>
        </w:rPr>
      </w:pPr>
      <w:r>
        <w:rPr>
          <w:rFonts w:hint="eastAsia" w:ascii="宋体" w:hAnsi="宋体" w:cs="宋体"/>
          <w:b/>
          <w:spacing w:val="8"/>
          <w:szCs w:val="21"/>
        </w:rPr>
        <w:t xml:space="preserve">2.2落实政府采购政策需满足的资格要求：无</w:t>
      </w:r>
      <w:r/>
    </w:p>
    <w:p>
      <w:pPr>
        <w:ind w:firstLine="454"/>
        <w:spacing w:line="360" w:lineRule="auto"/>
        <w:rPr>
          <w:rFonts w:ascii="宋体" w:hAnsi="宋体"/>
          <w:b/>
        </w:rPr>
      </w:pPr>
      <w:r>
        <w:rPr>
          <w:rFonts w:hint="eastAsia" w:ascii="宋体" w:hAnsi="宋体" w:cs="宋体"/>
          <w:b/>
          <w:spacing w:val="8"/>
          <w:szCs w:val="21"/>
        </w:rPr>
        <w:t xml:space="preserve">2.3</w:t>
      </w:r>
      <w:r>
        <w:rPr>
          <w:rFonts w:hint="eastAsia" w:ascii="宋体" w:hAnsi="宋体" w:cs="宋体"/>
          <w:b/>
          <w:szCs w:val="21"/>
        </w:rPr>
        <w:t xml:space="preserve">采购人根据采购项目的特殊要求规定的特定条件，并提供符合特殊要求的证明材料或者情况说明：</w:t>
      </w:r>
      <w:r>
        <w:rPr>
          <w:rFonts w:hint="eastAsia" w:ascii="宋体" w:hAnsi="宋体" w:cs="宋体"/>
          <w:b/>
          <w:bCs/>
          <w:spacing w:val="8"/>
          <w:szCs w:val="21"/>
        </w:rPr>
        <w:t xml:space="preserve">无</w:t>
      </w:r>
      <w:r/>
    </w:p>
    <w:p>
      <w:pPr>
        <w:ind w:firstLine="456"/>
        <w:spacing w:line="360" w:lineRule="auto"/>
        <w:rPr>
          <w:rFonts w:ascii="宋体" w:hAnsi="宋体" w:cs="宋体"/>
          <w:bCs/>
          <w:szCs w:val="21"/>
        </w:rPr>
      </w:pPr>
      <w:r>
        <w:rPr>
          <w:rFonts w:hint="eastAsia" w:ascii="宋体" w:hAnsi="宋体" w:cs="宋体"/>
          <w:spacing w:val="8"/>
          <w:szCs w:val="21"/>
        </w:rPr>
        <w:t xml:space="preserve">2.4</w:t>
      </w:r>
      <w:r>
        <w:rPr>
          <w:rFonts w:hint="eastAsia" w:ascii="宋体" w:hAnsi="宋体" w:cs="宋体"/>
          <w:bCs/>
          <w:szCs w:val="21"/>
        </w:rPr>
        <w:t xml:space="preserve">第2.1（5）条所称重大违法记录，是指供应商因违法经营受到刑事处罚或者责令停产停业、吊销许可证或者执照、较大数额罚款等行政处罚。</w:t>
      </w:r>
      <w:r/>
    </w:p>
    <w:p>
      <w:pPr>
        <w:ind w:firstLine="456"/>
        <w:spacing w:line="360" w:lineRule="auto"/>
        <w:rPr>
          <w:rFonts w:ascii="宋体" w:hAnsi="宋体" w:cs="宋体"/>
          <w:bCs/>
          <w:szCs w:val="21"/>
        </w:rPr>
      </w:pPr>
      <w:r>
        <w:rPr>
          <w:rFonts w:hint="eastAsia" w:ascii="宋体" w:hAnsi="宋体" w:cs="宋体"/>
          <w:spacing w:val="8"/>
          <w:szCs w:val="21"/>
        </w:rPr>
        <w:t xml:space="preserve">2.5</w:t>
      </w:r>
      <w:r>
        <w:rPr>
          <w:rFonts w:hint="eastAsia" w:ascii="宋体" w:hAnsi="宋体" w:cs="宋体"/>
          <w:bCs/>
          <w:szCs w:val="21"/>
        </w:rPr>
        <w:t xml:space="preserve">供应商在参加政府采购活动前3年内因违法经营被禁止在一定期限内参加政府采购活动，期限届满的，可以参加政府采购活动。</w:t>
      </w:r>
      <w:r/>
    </w:p>
    <w:p>
      <w:pPr>
        <w:ind w:firstLine="456"/>
        <w:spacing w:line="360" w:lineRule="auto"/>
        <w:rPr>
          <w:rFonts w:ascii="宋体" w:hAnsi="宋体" w:cs="宋体"/>
          <w:bCs/>
          <w:szCs w:val="21"/>
        </w:rPr>
      </w:pPr>
      <w:r>
        <w:rPr>
          <w:rFonts w:hint="eastAsia" w:ascii="宋体" w:hAnsi="宋体" w:cs="宋体"/>
          <w:spacing w:val="8"/>
          <w:szCs w:val="21"/>
        </w:rPr>
        <w:t xml:space="preserve">2.6</w:t>
      </w:r>
      <w:r>
        <w:rPr>
          <w:rFonts w:hint="eastAsia" w:ascii="宋体" w:hAnsi="宋体" w:cs="宋体"/>
          <w:bCs/>
          <w:szCs w:val="21"/>
        </w:rPr>
        <w:t xml:space="preserve">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56"/>
        <w:spacing w:line="360" w:lineRule="auto"/>
        <w:rPr>
          <w:rFonts w:ascii="宋体" w:hAnsi="宋体" w:cs="宋体"/>
          <w:b/>
          <w:szCs w:val="21"/>
          <w:lang w:val="zh-CN"/>
        </w:rPr>
      </w:pPr>
      <w:r>
        <w:rPr>
          <w:rFonts w:hint="eastAsia" w:ascii="宋体" w:hAnsi="宋体" w:cs="宋体"/>
          <w:spacing w:val="8"/>
          <w:szCs w:val="21"/>
        </w:rPr>
        <w:t xml:space="preserve">2.7</w:t>
      </w:r>
      <w:r>
        <w:rPr>
          <w:rFonts w:hint="eastAsia" w:ascii="宋体" w:hAnsi="宋体" w:cs="宋体"/>
          <w:bCs/>
          <w:szCs w:val="21"/>
        </w:rPr>
        <w:t xml:space="preserve">拒绝列入失信被执行人、重大税收违法失信主体名单、政府采购严重违法失信行为记录名单</w:t>
      </w:r>
      <w:r>
        <w:rPr>
          <w:rFonts w:hint="eastAsia" w:ascii="宋体" w:hAnsi="宋体" w:cs="宋体"/>
          <w:color w:val="333333"/>
          <w:szCs w:val="21"/>
          <w:shd w:val="clear" w:color="auto" w:fill="ffffff"/>
        </w:rPr>
        <w:t xml:space="preserve">及其他不符合《中华人民共和国政府采购法》第二十二条规定条件</w:t>
      </w:r>
      <w:r>
        <w:rPr>
          <w:rFonts w:hint="eastAsia" w:ascii="宋体" w:hAnsi="宋体" w:cs="宋体"/>
          <w:bCs/>
          <w:szCs w:val="21"/>
        </w:rPr>
        <w:t xml:space="preserve">的供应商参与政府采购活动。磋商小组对响应文件进行审查时，依法通过“中国政府采购网”、“信用中国”网站渠道查询供应商信用记录并保存。</w:t>
      </w:r>
      <w:r/>
    </w:p>
    <w:p>
      <w:pPr>
        <w:spacing w:line="360" w:lineRule="auto"/>
        <w:shd w:val="clear" w:color="auto" w:fill="ffffff"/>
        <w:widowControl/>
        <w:rPr>
          <w:rFonts w:ascii="宋体" w:hAnsi="宋体" w:cs="宋体"/>
          <w:b/>
          <w:spacing w:val="8"/>
          <w:sz w:val="24"/>
        </w:rPr>
        <w:outlineLvl w:val="1"/>
      </w:pPr>
      <w:r/>
      <w:bookmarkStart w:id="7" w:name="_Toc24617"/>
      <w:r/>
      <w:bookmarkStart w:id="8" w:name="_Toc5823"/>
      <w:r>
        <w:rPr>
          <w:rFonts w:hint="eastAsia" w:ascii="宋体" w:hAnsi="宋体" w:cs="宋体"/>
          <w:b/>
          <w:spacing w:val="8"/>
          <w:sz w:val="24"/>
        </w:rPr>
        <w:t xml:space="preserve">三、获取采购文件</w:t>
      </w:r>
      <w:bookmarkEnd w:id="7"/>
      <w:r/>
      <w:bookmarkEnd w:id="8"/>
      <w:r/>
      <w:r/>
    </w:p>
    <w:p>
      <w:pPr>
        <w:ind w:firstLine="360"/>
        <w:spacing w:line="360" w:lineRule="auto"/>
        <w:shd w:val="clear" w:color="auto" w:fill="ffffff"/>
        <w:widowControl/>
        <w:rPr>
          <w:rFonts w:ascii="Arial" w:hAnsi="Arial" w:cs="Arial"/>
          <w:spacing w:val="8"/>
          <w:szCs w:val="21"/>
        </w:rPr>
      </w:pPr>
      <w:r>
        <w:rPr>
          <w:rFonts w:ascii="Arial" w:hAnsi="Arial" w:cs="Arial"/>
          <w:spacing w:val="8"/>
          <w:szCs w:val="21"/>
        </w:rPr>
        <w:t xml:space="preserve">3.1时间：</w:t>
      </w:r>
      <w:r>
        <w:rPr>
          <w:rFonts w:hint="eastAsia" w:ascii="Arial" w:hAnsi="Arial" w:cs="Arial"/>
          <w:spacing w:val="8"/>
          <w:szCs w:val="21"/>
        </w:rPr>
        <w:t xml:space="preserve">自公告发布之日起5个工作日</w:t>
      </w:r>
      <w:r/>
    </w:p>
    <w:p>
      <w:pPr>
        <w:ind w:firstLine="36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3.2地点：江苏政府采购网</w:t>
      </w:r>
      <w:r/>
    </w:p>
    <w:p>
      <w:pPr>
        <w:ind w:firstLine="36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3.3</w:t>
      </w:r>
      <w:r>
        <w:rPr>
          <w:rFonts w:hint="eastAsia" w:ascii="Arial" w:hAnsi="Arial" w:cs="Arial"/>
          <w:szCs w:val="21"/>
        </w:rPr>
        <w:t xml:space="preserve">获取方式：</w:t>
      </w:r>
      <w:bookmarkStart w:id="9" w:name="OLE_LINK10"/>
      <w:r>
        <w:rPr>
          <w:rFonts w:hint="eastAsia" w:ascii="Arial" w:hAnsi="Arial" w:cs="Arial"/>
          <w:szCs w:val="21"/>
        </w:rPr>
        <w:t xml:space="preserve">网上下载</w:t>
      </w:r>
      <w:bookmarkEnd w:id="9"/>
      <w:r>
        <w:rPr>
          <w:rFonts w:hint="eastAsia" w:ascii="Arial" w:hAnsi="Arial" w:cs="Arial"/>
          <w:szCs w:val="21"/>
        </w:rPr>
        <w:t xml:space="preserve"> </w:t>
      </w:r>
      <w:r/>
    </w:p>
    <w:p>
      <w:pPr>
        <w:spacing w:line="360" w:lineRule="auto"/>
        <w:shd w:val="clear" w:color="auto" w:fill="ffffff"/>
        <w:widowControl/>
        <w:rPr>
          <w:rFonts w:ascii="宋体" w:hAnsi="宋体" w:cs="宋体"/>
          <w:b/>
          <w:spacing w:val="8"/>
          <w:sz w:val="24"/>
        </w:rPr>
        <w:outlineLvl w:val="1"/>
      </w:pPr>
      <w:r/>
      <w:bookmarkStart w:id="10" w:name="_Toc21817"/>
      <w:r/>
      <w:bookmarkStart w:id="11" w:name="_Toc1456"/>
      <w:r>
        <w:rPr>
          <w:rFonts w:hint="eastAsia" w:ascii="宋体" w:hAnsi="宋体" w:cs="宋体"/>
          <w:b/>
          <w:spacing w:val="8"/>
          <w:sz w:val="24"/>
        </w:rPr>
        <w:t xml:space="preserve">四、响应文件提交</w:t>
      </w:r>
      <w:bookmarkEnd w:id="10"/>
      <w:r/>
      <w:bookmarkEnd w:id="11"/>
      <w:r/>
      <w:r/>
    </w:p>
    <w:p>
      <w:pPr>
        <w:ind w:firstLine="420"/>
        <w:spacing w:line="360" w:lineRule="auto"/>
        <w:rPr>
          <w:rFonts w:ascii="宋体" w:hAnsi="宋体" w:cs="宋体"/>
          <w:spacing w:val="8"/>
          <w:szCs w:val="21"/>
        </w:rPr>
      </w:pPr>
      <w:r>
        <w:rPr>
          <w:rFonts w:hint="eastAsia" w:ascii="宋体" w:hAnsi="宋体" w:cs="宋体"/>
          <w:szCs w:val="21"/>
        </w:rPr>
        <w:t xml:space="preserve">4.1截止时间：2026年</w:t>
      </w:r>
      <w:r>
        <w:rPr>
          <w:rFonts w:hint="eastAsia" w:ascii="宋体" w:hAnsi="宋体" w:cs="宋体"/>
          <w:szCs w:val="21"/>
          <w:lang w:val="en-US" w:eastAsia="zh-CN"/>
        </w:rPr>
        <w:t xml:space="preserve">8</w:t>
      </w:r>
      <w:r>
        <w:rPr>
          <w:rFonts w:hint="eastAsia" w:ascii="宋体" w:hAnsi="宋体" w:cs="宋体"/>
          <w:szCs w:val="21"/>
        </w:rPr>
        <w:t xml:space="preserve">月</w:t>
      </w:r>
      <w:r>
        <w:rPr>
          <w:rFonts w:hint="eastAsia" w:ascii="宋体" w:hAnsi="宋体" w:cs="宋体"/>
          <w:szCs w:val="21"/>
          <w:lang w:val="en-US" w:eastAsia="zh-CN"/>
        </w:rPr>
        <w:t xml:space="preserve">5</w:t>
      </w:r>
      <w:r>
        <w:rPr>
          <w:rFonts w:hint="eastAsia" w:ascii="宋体" w:hAnsi="宋体" w:cs="宋体"/>
          <w:szCs w:val="21"/>
        </w:rPr>
        <w:t xml:space="preserve">日9点30分</w:t>
      </w:r>
      <w:r>
        <w:rPr>
          <w:rFonts w:hint="eastAsia" w:ascii="宋体" w:hAnsi="宋体" w:cs="宋体"/>
          <w:spacing w:val="8"/>
          <w:szCs w:val="21"/>
        </w:rPr>
        <w:t xml:space="preserve">（北京时间）</w:t>
      </w:r>
      <w:r/>
    </w:p>
    <w:p>
      <w:pPr>
        <w:ind w:firstLine="420"/>
        <w:spacing w:line="360" w:lineRule="auto"/>
        <w:rPr>
          <w:rFonts w:ascii="宋体" w:hAnsi="宋体" w:cs="宋体"/>
          <w:b/>
          <w:spacing w:val="8"/>
          <w:sz w:val="24"/>
        </w:rPr>
      </w:pPr>
      <w:r>
        <w:rPr>
          <w:rFonts w:hint="eastAsia" w:ascii="宋体" w:hAnsi="宋体" w:cs="宋体"/>
          <w:szCs w:val="21"/>
        </w:rPr>
        <w:t xml:space="preserve">4.2</w:t>
      </w:r>
      <w:r>
        <w:rPr>
          <w:rFonts w:hint="eastAsia" w:ascii="宋体" w:hAnsi="宋体" w:cs="宋体"/>
          <w:spacing w:val="8"/>
          <w:szCs w:val="21"/>
        </w:rPr>
        <w:t xml:space="preserve">提交响应文件地点：</w:t>
      </w:r>
      <w:r>
        <w:rPr>
          <w:spacing w:val="8"/>
          <w:szCs w:val="21"/>
        </w:rPr>
        <w:t xml:space="preserve">江苏省政府采购管理交易系统（苏采云）</w:t>
      </w:r>
      <w:bookmarkStart w:id="12" w:name="_Toc22940"/>
      <w:r/>
      <w:bookmarkStart w:id="13" w:name="_Toc21891"/>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五、开启</w:t>
      </w:r>
      <w:bookmarkEnd w:id="12"/>
      <w:r/>
      <w:bookmarkEnd w:id="13"/>
      <w:r/>
      <w:r/>
    </w:p>
    <w:p>
      <w:pPr>
        <w:ind w:firstLine="420"/>
        <w:spacing w:line="360" w:lineRule="auto"/>
        <w:rPr>
          <w:rFonts w:ascii="宋体" w:hAnsi="宋体" w:cs="宋体"/>
          <w:spacing w:val="8"/>
          <w:szCs w:val="21"/>
        </w:rPr>
      </w:pPr>
      <w:r>
        <w:rPr>
          <w:rFonts w:hint="eastAsia" w:ascii="宋体" w:hAnsi="宋体" w:cs="宋体"/>
          <w:szCs w:val="21"/>
        </w:rPr>
        <w:t xml:space="preserve">5.1时间：2026年</w:t>
      </w:r>
      <w:r>
        <w:rPr>
          <w:rFonts w:hint="eastAsia" w:ascii="宋体" w:hAnsi="宋体" w:cs="宋体"/>
          <w:szCs w:val="21"/>
          <w:lang w:val="en-US" w:eastAsia="zh-CN"/>
        </w:rPr>
        <w:t xml:space="preserve">8</w:t>
      </w:r>
      <w:r>
        <w:rPr>
          <w:rFonts w:hint="eastAsia" w:ascii="宋体" w:hAnsi="宋体" w:cs="宋体"/>
          <w:szCs w:val="21"/>
        </w:rPr>
        <w:t xml:space="preserve">月</w:t>
      </w:r>
      <w:r>
        <w:rPr>
          <w:rFonts w:hint="eastAsia" w:ascii="宋体" w:hAnsi="宋体" w:cs="宋体"/>
          <w:szCs w:val="21"/>
          <w:lang w:val="en-US" w:eastAsia="zh-CN"/>
        </w:rPr>
        <w:t xml:space="preserve">5</w:t>
      </w:r>
      <w:r>
        <w:rPr>
          <w:rFonts w:hint="eastAsia" w:ascii="宋体" w:hAnsi="宋体" w:cs="宋体"/>
          <w:szCs w:val="21"/>
        </w:rPr>
        <w:t xml:space="preserve">日9点30分（北京时间）</w:t>
      </w:r>
      <w:r/>
    </w:p>
    <w:p>
      <w:pPr>
        <w:ind w:firstLine="420"/>
        <w:spacing w:line="360" w:lineRule="auto"/>
        <w:rPr>
          <w:rFonts w:ascii="宋体" w:hAnsi="宋体" w:cs="宋体"/>
          <w:b/>
          <w:spacing w:val="8"/>
          <w:sz w:val="24"/>
        </w:rPr>
      </w:pPr>
      <w:r>
        <w:rPr>
          <w:rFonts w:hint="eastAsia" w:ascii="宋体" w:hAnsi="宋体" w:cs="宋体"/>
          <w:szCs w:val="21"/>
        </w:rPr>
        <w:t xml:space="preserve">5.2地点：</w:t>
      </w:r>
      <w:r>
        <w:rPr>
          <w:rFonts w:hint="eastAsia" w:ascii="Arial" w:hAnsi="Arial" w:cs="Arial"/>
          <w:szCs w:val="21"/>
        </w:rPr>
        <w:t xml:space="preserve">“</w:t>
      </w:r>
      <w:r>
        <w:rPr>
          <w:rFonts w:ascii="Arial" w:hAnsi="Arial" w:cs="Arial"/>
          <w:szCs w:val="21"/>
        </w:rPr>
        <w:t xml:space="preserve">苏采云</w:t>
      </w:r>
      <w:r>
        <w:rPr>
          <w:rFonts w:hint="eastAsia" w:ascii="Arial" w:hAnsi="Arial" w:cs="Arial"/>
          <w:szCs w:val="21"/>
        </w:rPr>
        <w:t xml:space="preserve">”</w:t>
      </w:r>
      <w:r>
        <w:rPr>
          <w:rFonts w:ascii="Arial" w:hAnsi="Arial" w:cs="Arial"/>
          <w:szCs w:val="21"/>
        </w:rPr>
        <w:t xml:space="preserve">网上开标大厅</w:t>
      </w:r>
      <w:bookmarkStart w:id="14" w:name="_Toc26308"/>
      <w:r/>
      <w:bookmarkStart w:id="15" w:name="_Toc23729"/>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六、公告期限</w:t>
      </w:r>
      <w:bookmarkEnd w:id="14"/>
      <w:r/>
      <w:bookmarkEnd w:id="15"/>
      <w:r/>
      <w:r/>
    </w:p>
    <w:p>
      <w:pPr>
        <w:ind w:firstLine="370"/>
        <w:spacing w:line="360" w:lineRule="auto"/>
        <w:shd w:val="clear" w:color="auto" w:fill="ffffff"/>
        <w:widowControl/>
        <w:rPr>
          <w:rFonts w:ascii="宋体" w:hAnsi="宋体" w:cs="宋体"/>
          <w:b/>
          <w:spacing w:val="8"/>
          <w:sz w:val="24"/>
        </w:rPr>
      </w:pPr>
      <w:r>
        <w:rPr>
          <w:rFonts w:hint="eastAsia" w:ascii="宋体" w:hAnsi="宋体" w:cs="宋体"/>
          <w:spacing w:val="8"/>
          <w:szCs w:val="21"/>
        </w:rPr>
        <w:t xml:space="preserve">自本公告发布之日起3个工作日。</w:t>
      </w:r>
      <w:bookmarkStart w:id="16" w:name="_Toc11013"/>
      <w:r/>
      <w:bookmarkStart w:id="17" w:name="_Toc29605"/>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七、其他补充事宜</w:t>
      </w:r>
      <w:bookmarkEnd w:id="16"/>
      <w:r/>
      <w:bookmarkEnd w:id="17"/>
      <w:r/>
      <w:r/>
    </w:p>
    <w:p>
      <w:pPr>
        <w:ind w:firstLine="420"/>
        <w:spacing w:line="360" w:lineRule="auto"/>
        <w:rPr>
          <w:rFonts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ascii="宋体" w:hAnsi="宋体" w:cs="宋体"/>
        </w:rPr>
      </w:pPr>
      <w:r>
        <w:rPr>
          <w:rFonts w:hint="eastAsia" w:ascii="宋体" w:hAnsi="宋体" w:cs="宋体"/>
        </w:rPr>
        <w:t xml:space="preserve">7.2供应商应当从</w:t>
      </w:r>
      <w:r>
        <w:rPr>
          <w:rFonts w:ascii="FangSong" w:hAnsi="FangSong" w:eastAsia="FangSong" w:cs="FangSong"/>
          <w:color w:val="000000"/>
          <w:sz w:val="20"/>
          <w:szCs w:val="20"/>
        </w:rPr>
        <w:t xml:space="preserve">“苏采云”</w:t>
      </w:r>
      <w:r>
        <w:rPr>
          <w:rFonts w:hint="eastAsia" w:ascii="宋体" w:hAnsi="宋体" w:cs="宋体"/>
        </w:rPr>
        <w:t xml:space="preserve">合法获得本项目磋商文件。</w:t>
      </w:r>
      <w:r/>
    </w:p>
    <w:p>
      <w:pPr>
        <w:ind w:firstLine="420"/>
        <w:spacing w:line="360" w:lineRule="auto"/>
        <w:rPr>
          <w:rFonts w:ascii="宋体" w:hAnsi="宋体" w:cs="宋体"/>
          <w:b/>
          <w:spacing w:val="8"/>
          <w:sz w:val="24"/>
        </w:rPr>
      </w:pPr>
      <w:r>
        <w:rPr>
          <w:rFonts w:hint="eastAsia" w:ascii="宋体" w:hAnsi="宋体" w:cs="宋体"/>
        </w:rPr>
        <w:t xml:space="preserve">7.3</w:t>
      </w:r>
      <w:bookmarkStart w:id="18" w:name="_Toc18338"/>
      <w:r/>
      <w:bookmarkStart w:id="19" w:name="_Toc7011"/>
      <w:r>
        <w:rPr>
          <w:rFonts w:hint="eastAsia" w:ascii="宋体" w:hAnsi="宋体" w:cs="宋体"/>
          <w:szCs w:val="21"/>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操作手册下载地址：http://www.ccgp-jiangsu.gov.cn/jiangsu/zlxz/ee/ee3a4bc5a3454aa2b0d9312230633ce9.html</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首次登录“苏采云”系统的新用户，登录网址后，点击“用户注册”--“新CA办理指南”--获取CA后绑定、登录系统--采购项目参与--下载采购文件（文件后缀名为“.kedt”）。</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“苏采云”南京地区客服热线025-83633744、025-83633743。</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7.4有关本次采购的事项若存在变动或修改，请及时关注“江苏政府采购网”（www.ccgp-jiangsu.gov.cn）更正公告。</w:t>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八、对本次采购提出询问，请按以下方式联系。</w:t>
      </w:r>
      <w:bookmarkEnd w:id="18"/>
      <w:r/>
      <w:bookmarkEnd w:id="19"/>
      <w:r/>
      <w:r/>
    </w:p>
    <w:p>
      <w:pPr>
        <w:ind w:firstLine="420"/>
        <w:jc w:val="left"/>
        <w:spacing w:line="360" w:lineRule="auto"/>
        <w:rPr>
          <w:rFonts w:ascii="宋体" w:hAnsi="宋体" w:cs="宋体"/>
          <w:szCs w:val="21"/>
        </w:rPr>
      </w:pPr>
      <w:r>
        <w:rPr>
          <w:rFonts w:hint="eastAsia" w:ascii="宋体" w:hAnsi="宋体" w:cs="宋体"/>
          <w:szCs w:val="21"/>
        </w:rPr>
        <w:t xml:space="preserve">8.1采购人信息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名称：江苏省应急管理厅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地址：鼓楼区浦江路30号鸿瑞大厦1号楼</w:t>
      </w:r>
      <w:r/>
    </w:p>
    <w:p>
      <w:pPr>
        <w:ind w:firstLine="452"/>
        <w:spacing w:line="360" w:lineRule="auto"/>
        <w:rPr>
          <w:rFonts w:ascii="宋体" w:hAnsi="宋体" w:eastAsia="宋体"/>
          <w:sz w:val="24"/>
          <w:szCs w:val="24"/>
          <w:highlight w:val="none"/>
          <w:lang w:val="en-US"/>
        </w:rPr>
      </w:pPr>
      <w:r>
        <w:rPr>
          <w:rFonts w:hint="eastAsia" w:ascii="宋体" w:hAnsi="宋体" w:cs="宋体"/>
          <w:spacing w:val="8"/>
          <w:szCs w:val="21"/>
        </w:rPr>
        <w:t xml:space="preserve">联系人：</w:t>
      </w:r>
      <w:r>
        <w:rPr>
          <w:rFonts w:hint="eastAsia" w:ascii="宋体" w:hAnsi="宋体" w:cs="宋体"/>
          <w:spacing w:val="8"/>
          <w:szCs w:val="21"/>
          <w:lang w:val="en-US"/>
        </w:rPr>
        <w:t xml:space="preserve">洪卸华  </w:t>
      </w:r>
      <w:bookmarkStart w:id="20" w:name="OLE_LINK22"/>
      <w:r>
        <w:rPr>
          <w:rFonts w:hint="eastAsia" w:ascii="宋体" w:hAnsi="宋体" w:cs="宋体"/>
          <w:spacing w:val="8"/>
          <w:szCs w:val="21"/>
          <w:lang w:val="en-US"/>
        </w:rPr>
        <w:t xml:space="preserve">周小云</w:t>
      </w:r>
      <w:bookmarkEnd w:id="20"/>
      <w:r>
        <w:rPr>
          <w:rFonts w:hint="eastAsia" w:ascii="宋体" w:hAnsi="宋体" w:cs="宋体"/>
          <w:spacing w:val="8"/>
          <w:szCs w:val="21"/>
          <w:lang w:val="en-US"/>
        </w:rPr>
        <w:t xml:space="preserve"> </w:t>
      </w:r>
      <w:r>
        <w:rPr>
          <w:rFonts w:hint="eastAsia" w:ascii="宋体" w:hAnsi="宋体" w:eastAsia="宋体"/>
          <w:bCs/>
          <w:sz w:val="24"/>
          <w:szCs w:val="24"/>
          <w:highlight w:val="none"/>
          <w:lang w:val="en-US"/>
        </w:rPr>
        <w:t xml:space="preserve">                       </w:t>
      </w:r>
      <w:r>
        <w:rPr>
          <w:rFonts w:hint="eastAsia" w:ascii="宋体" w:hAnsi="宋体" w:eastAsia="宋体"/>
          <w:sz w:val="24"/>
          <w:szCs w:val="24"/>
          <w:highlight w:val="none"/>
          <w:lang w:val="en-US"/>
        </w:rPr>
        <w:t xml:space="preserve">       </w:t>
      </w:r>
      <w:r/>
    </w:p>
    <w:p>
      <w:pPr>
        <w:ind w:firstLine="452"/>
        <w:jc w:val="left"/>
        <w:spacing w:line="360" w:lineRule="auto"/>
        <w:shd w:val="clear" w:color="auto" w:fill="ffffff"/>
        <w:widowControl/>
        <w:rPr>
          <w:rFonts w:hint="eastAsia" w:ascii="宋体" w:hAnsi="宋体" w:eastAsia="宋体"/>
          <w:bCs/>
          <w:sz w:val="24"/>
          <w:szCs w:val="24"/>
          <w:highlight w:val="none"/>
          <w:lang w:val="en-US"/>
        </w:rPr>
      </w:pPr>
      <w:r>
        <w:rPr>
          <w:rFonts w:hint="eastAsia" w:ascii="宋体" w:hAnsi="宋体" w:cs="宋体"/>
          <w:spacing w:val="8"/>
          <w:szCs w:val="21"/>
        </w:rPr>
        <w:t xml:space="preserve">联系电话：</w:t>
      </w:r>
      <w:bookmarkStart w:id="21" w:name="OLE_LINK23"/>
      <w:r/>
      <w:bookmarkStart w:id="22" w:name="OLE_LINK21"/>
      <w:r>
        <w:rPr>
          <w:rFonts w:hint="eastAsia" w:ascii="宋体" w:hAnsi="宋体" w:cs="宋体"/>
          <w:spacing w:val="8"/>
          <w:szCs w:val="21"/>
          <w:lang w:val="en-US"/>
        </w:rPr>
        <w:t xml:space="preserve">025-</w:t>
      </w:r>
      <w:bookmarkStart w:id="23" w:name="OLE_LINK8"/>
      <w:r>
        <w:rPr>
          <w:rFonts w:hint="eastAsia" w:ascii="宋体" w:hAnsi="宋体" w:cs="宋体"/>
          <w:spacing w:val="8"/>
          <w:szCs w:val="21"/>
          <w:lang w:val="en-US"/>
        </w:rPr>
        <w:t xml:space="preserve">83332415  83332331</w:t>
      </w:r>
      <w:bookmarkEnd w:id="21"/>
      <w:r>
        <w:rPr>
          <w:rFonts w:hint="eastAsia" w:ascii="宋体" w:hAnsi="宋体" w:cs="宋体"/>
          <w:spacing w:val="8"/>
          <w:szCs w:val="21"/>
          <w:lang w:val="en-US"/>
        </w:rPr>
        <w:t xml:space="preserve"> </w:t>
      </w:r>
      <w:bookmarkEnd w:id="22"/>
      <w:r/>
      <w:bookmarkEnd w:id="23"/>
      <w:r>
        <w:rPr>
          <w:rFonts w:hint="eastAsia" w:ascii="宋体" w:hAnsi="宋体" w:eastAsia="宋体"/>
          <w:bCs/>
          <w:sz w:val="24"/>
          <w:szCs w:val="24"/>
          <w:highlight w:val="none"/>
          <w:lang w:val="en-US"/>
        </w:rPr>
        <w:t xml:space="preserve">  </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8.2采购代理机构信息</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名称：江苏省设备成套股份有限公司</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地址：南京市鼓楼区清江南路18号鼓楼创新广场D栋1002室</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联系人：</w:t>
      </w:r>
      <w:r>
        <w:rPr>
          <w:rFonts w:hint="eastAsia" w:ascii="宋体" w:hAnsi="宋体" w:cs="宋体"/>
          <w:spacing w:val="8"/>
          <w:szCs w:val="21"/>
        </w:rPr>
        <w:t xml:space="preserve">李婷婷</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联系电话：025-86635193</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邮箱：</w:t>
      </w:r>
      <w:r>
        <w:rPr>
          <w:rFonts w:hint="eastAsia" w:ascii="宋体" w:hAnsi="宋体" w:cs="宋体"/>
          <w:spacing w:val="8"/>
          <w:szCs w:val="21"/>
        </w:rPr>
        <w:t xml:space="preserve">litt</w:t>
      </w:r>
      <w:r>
        <w:rPr>
          <w:rFonts w:hint="eastAsia" w:ascii="宋体" w:hAnsi="宋体" w:cs="宋体"/>
          <w:spacing w:val="8"/>
          <w:szCs w:val="21"/>
          <w:lang w:val="zh-CN"/>
        </w:rPr>
        <w:t xml:space="preserve">@jcec.cn</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8.3项目联系方式</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项目联系人：</w:t>
      </w:r>
      <w:r>
        <w:rPr>
          <w:rFonts w:hint="eastAsia" w:ascii="宋体" w:hAnsi="宋体" w:cs="宋体"/>
          <w:spacing w:val="8"/>
          <w:szCs w:val="21"/>
        </w:rPr>
        <w:t xml:space="preserve">李婷婷</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电话：025-86635193</w:t>
      </w:r>
      <w:r/>
    </w:p>
    <w:p>
      <w:pPr>
        <w:pStyle w:val="989"/>
        <w:ind w:firstLine="452"/>
        <w:rPr>
          <w:rFonts w:ascii="宋体" w:hAnsi="宋体" w:cs="宋体"/>
          <w:spacing w:val="8"/>
        </w:rPr>
        <w:sectPr>
          <w:footnotePr/>
          <w:endnotePr/>
          <w:type w:val="nextPage"/>
          <w:pgSz w:w="11906" w:h="16838" w:orient="portrait"/>
          <w:pgMar w:top="1440" w:right="1486" w:bottom="1440" w:left="1600" w:header="851" w:footer="992" w:gutter="0"/>
          <w:pgNumType w:start="1"/>
          <w:cols w:num="1" w:sep="0" w:space="720" w:equalWidth="1"/>
          <w:docGrid w:linePitch="360"/>
          <w:titlePg/>
        </w:sectPr>
      </w:pPr>
      <w:r>
        <w:rPr>
          <w:rFonts w:ascii="宋体" w:hAnsi="宋体" w:cs="宋体"/>
          <w:spacing w:val="8"/>
        </w:rPr>
      </w:r>
      <w:r/>
    </w:p>
    <w:p>
      <w:pPr>
        <w:pStyle w:val="926"/>
        <w:rPr>
          <w:rFonts w:ascii="宋体" w:hAnsi="宋体" w:cs="宋体"/>
          <w:lang w:val="zh-CN"/>
        </w:rPr>
      </w:pPr>
      <w:r/>
      <w:bookmarkStart w:id="24"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24"/>
      <w:r/>
      <w:r/>
    </w:p>
    <w:p>
      <w:pPr>
        <w:ind w:firstLine="420"/>
        <w:spacing w:line="360" w:lineRule="auto"/>
        <w:rPr>
          <w:rFonts w:ascii="宋体" w:hAnsi="宋体" w:cs="宋体"/>
          <w:szCs w:val="21"/>
          <w:lang w:val="zh-CN"/>
        </w:rPr>
      </w:pPr>
      <w:r>
        <w:rPr>
          <w:rFonts w:hint="eastAsia" w:ascii="宋体" w:hAnsi="宋体" w:cs="宋体"/>
          <w:szCs w:val="21"/>
          <w:lang w:val="zh-CN"/>
        </w:rPr>
        <w:t xml:space="preserve">一、总    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适用</w:t>
      </w:r>
      <w:r>
        <w:rPr>
          <w:rFonts w:hint="eastAsia" w:ascii="宋体" w:hAnsi="宋体" w:cs="宋体"/>
          <w:szCs w:val="21"/>
          <w:lang w:val="zh-CN"/>
        </w:rPr>
        <w:t xml:space="preserve">法律</w:t>
      </w:r>
      <w:r/>
    </w:p>
    <w:p>
      <w:pPr>
        <w:ind w:firstLine="420"/>
        <w:spacing w:line="360" w:lineRule="auto"/>
        <w:rPr>
          <w:rFonts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2.4“货物和服务”指本采购文件中所述产品及相关服务。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2.5“用户或使用单位”是指使用服务的单位。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磋商文件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磋商文件构成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4.1磋商文件包括以下主要内容：</w:t>
      </w:r>
      <w:r/>
    </w:p>
    <w:p>
      <w:pPr>
        <w:ind w:firstLine="779"/>
        <w:spacing w:line="360" w:lineRule="auto"/>
        <w:shd w:val="clear" w:color="auto" w:fill="ffffff"/>
        <w:widowControl/>
        <w:rPr>
          <w:rFonts w:ascii="宋体" w:hAnsi="宋体" w:cs="宋体"/>
          <w:szCs w:val="21"/>
        </w:rPr>
      </w:pPr>
      <w:r>
        <w:rPr>
          <w:rFonts w:hint="eastAsia" w:ascii="宋体" w:hAnsi="宋体" w:cs="宋体"/>
          <w:szCs w:val="21"/>
        </w:rPr>
        <w:t xml:space="preserve">第一章  竞争性磋商公告</w:t>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"_Toc534273794" </w:instrText>
      </w:r>
      <w:r>
        <w:fldChar w:fldCharType="separate"/>
      </w:r>
      <w:r>
        <w:rPr>
          <w:rFonts w:hint="eastAsia" w:ascii="宋体" w:hAnsi="宋体" w:cs="宋体"/>
          <w:szCs w:val="21"/>
          <w:lang w:val="zh-CN"/>
        </w:rPr>
        <w:t xml:space="preserve">第三章  评标标准</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磋商文件的澄清或者修改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60" w:lineRule="auto"/>
        <w:rPr>
          <w:rFonts w:ascii="宋体" w:hAnsi="宋体" w:cs="宋体"/>
          <w:szCs w:val="21"/>
          <w:lang w:val="zh-CN"/>
        </w:rPr>
      </w:pPr>
      <w:r>
        <w:rPr>
          <w:rFonts w:hint="eastAsia" w:ascii="宋体" w:hAnsi="宋体" w:cs="宋体"/>
          <w:szCs w:val="21"/>
        </w:rPr>
        <w:t xml:space="preserve">三</w:t>
      </w:r>
      <w:r>
        <w:rPr>
          <w:rFonts w:hint="eastAsia" w:ascii="宋体" w:hAnsi="宋体" w:cs="宋体"/>
          <w:szCs w:val="21"/>
          <w:lang w:val="zh-CN"/>
        </w:rPr>
        <w:t xml:space="preserve">、磋商响应文件编制</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、磋商响应文件的语言、计量单位、货币和编制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.2供应商所使用的计量单位应为国家法定计量单位。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.3供应商应用人民币报价。报价产品如果是进口产品的，应提供人民币与外币之间的汇率。</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.4磋商响应文件应按照竞争性磋商文件规定的顺序打印、装订成册并编制目录，由于编排混乱导致响应文件被误读或查找不到，责任由供应商承担。</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5供应商应在磋商响应文件中写清相应的项目编号、项目名称、供应商全称、地址、电话、传真等。</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、磋商响应文件的组成</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.1供应商应当根据磋商文件要求编制磋商响应文件，并根据自己的商务能力、技术水平对磋商文件提出的要求和条件逐条标明是否响应。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.2磋商响应文件由商务、技术、价格，以及其他部分</w:t>
      </w:r>
      <w:r>
        <w:rPr>
          <w:rFonts w:hint="eastAsia" w:ascii="宋体" w:hAnsi="宋体" w:cs="宋体"/>
          <w:szCs w:val="21"/>
        </w:rPr>
        <w:t xml:space="preserve">内容</w:t>
      </w:r>
      <w:r>
        <w:rPr>
          <w:rFonts w:hint="eastAsia" w:ascii="宋体" w:hAnsi="宋体" w:cs="宋体"/>
          <w:szCs w:val="21"/>
          <w:lang w:val="zh-CN"/>
        </w:rPr>
        <w:t xml:space="preserve">组成。</w:t>
      </w:r>
      <w:r>
        <w:rPr>
          <w:rFonts w:hint="eastAsia" w:ascii="宋体" w:hAnsi="宋体" w:cs="宋体"/>
          <w:szCs w:val="21"/>
        </w:rPr>
        <w:t xml:space="preserve">磋商响应文件目录及有关格式按磋商文件“第六章磋商响应文件格式及附件”的要求编制。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7.3本次采购的最小单位是标段。采购项目的技术要求中未分标段的，供应商对要求提供的服务不得部分响应；采购项目的技术要求中已经分标段的，可以以标段为单位响应。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.4磋商响应文件的商务</w:t>
      </w:r>
      <w:r>
        <w:rPr>
          <w:rFonts w:hint="eastAsia" w:ascii="宋体" w:hAnsi="宋体" w:cs="宋体"/>
          <w:szCs w:val="21"/>
        </w:rPr>
        <w:t xml:space="preserve">内容</w:t>
      </w:r>
      <w:r>
        <w:rPr>
          <w:rFonts w:hint="eastAsia" w:ascii="宋体" w:hAnsi="宋体" w:cs="宋体"/>
          <w:szCs w:val="21"/>
          <w:lang w:val="zh-CN"/>
        </w:rPr>
        <w:t xml:space="preserve">。商务部分</w:t>
      </w:r>
      <w:r>
        <w:rPr>
          <w:rFonts w:hint="eastAsia" w:ascii="宋体" w:hAnsi="宋体" w:cs="宋体"/>
          <w:szCs w:val="21"/>
        </w:rPr>
        <w:t xml:space="preserve">内容</w:t>
      </w:r>
      <w:r>
        <w:rPr>
          <w:rFonts w:hint="eastAsia" w:ascii="宋体" w:hAnsi="宋体" w:cs="宋体"/>
          <w:szCs w:val="21"/>
          <w:lang w:val="zh-CN"/>
        </w:rPr>
        <w:t xml:space="preserve">是证明供应商有资格参加磋商和成交后有能力履行合同的文件，</w:t>
      </w:r>
      <w:r>
        <w:rPr>
          <w:rFonts w:hint="eastAsia" w:ascii="宋体" w:hAnsi="宋体" w:cs="宋体"/>
          <w:szCs w:val="21"/>
        </w:rPr>
        <w:t xml:space="preserve">这些文件应能满足竞争性磋商采购的要求</w:t>
      </w:r>
      <w:r>
        <w:rPr>
          <w:rFonts w:hint="eastAsia" w:ascii="宋体" w:hAnsi="宋体" w:cs="宋体"/>
          <w:szCs w:val="21"/>
          <w:lang w:val="zh-CN"/>
        </w:rPr>
        <w:t xml:space="preserve">，包括但不限于下列文件</w:t>
      </w:r>
      <w:r>
        <w:rPr>
          <w:rFonts w:hint="eastAsia" w:ascii="宋体" w:hAnsi="宋体" w:cs="宋体"/>
          <w:szCs w:val="21"/>
        </w:rPr>
        <w:t xml:space="preserve">（（1）-（6）所述材料，如提供不全或不满足磋商文件的实质性要求，磋商小组有权按无效响应处理）</w:t>
      </w:r>
      <w:r>
        <w:rPr>
          <w:rFonts w:hint="eastAsia" w:ascii="宋体" w:hAnsi="宋体" w:cs="宋体"/>
          <w:szCs w:val="21"/>
          <w:lang w:val="zh-CN"/>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（1）竞争性磋商申请及声明</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（2）法定代表人授权书及委托代理人的身份证复印件</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（3）申请人资格资信证明文件：</w:t>
      </w:r>
      <w:r/>
    </w:p>
    <w:p>
      <w:pPr>
        <w:ind w:firstLine="840"/>
        <w:jc w:val="left"/>
        <w:spacing w:line="360" w:lineRule="auto"/>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第一章竞争性磋商公告中2.1《中华人民共和国政府采购法》规定的资格条件证明文件；</w:t>
      </w:r>
      <w:r/>
    </w:p>
    <w:p>
      <w:pPr>
        <w:ind w:firstLine="840"/>
        <w:jc w:val="left"/>
        <w:spacing w:line="360" w:lineRule="auto"/>
        <w:widowControl/>
        <w:rPr>
          <w:rFonts w:ascii="宋体" w:hAnsi="宋体" w:cs="宋体"/>
          <w:szCs w:val="21"/>
        </w:rPr>
      </w:pPr>
      <w:r>
        <w:rPr>
          <w:rFonts w:hint="eastAsia" w:ascii="宋体" w:hAnsi="宋体" w:cs="宋体"/>
          <w:szCs w:val="21"/>
        </w:rPr>
        <w:t xml:space="preserve">2）第一章竞争性磋商公告中2.2</w:t>
      </w:r>
      <w:r>
        <w:rPr>
          <w:rFonts w:hint="eastAsia" w:ascii="宋体" w:hAnsi="宋体" w:cs="宋体"/>
          <w:spacing w:val="8"/>
          <w:szCs w:val="21"/>
        </w:rPr>
        <w:t xml:space="preserve">落实政府采购政策需满足的资格要求；</w:t>
      </w:r>
      <w:r/>
    </w:p>
    <w:p>
      <w:pPr>
        <w:ind w:firstLine="840"/>
        <w:jc w:val="left"/>
        <w:spacing w:line="360" w:lineRule="auto"/>
        <w:widowControl/>
        <w:rPr>
          <w:rFonts w:ascii="宋体" w:hAnsi="宋体" w:cs="宋体"/>
          <w:szCs w:val="21"/>
        </w:rPr>
      </w:pPr>
      <w:r>
        <w:rPr>
          <w:rFonts w:hint="eastAsia" w:ascii="宋体" w:hAnsi="宋体" w:cs="宋体"/>
          <w:szCs w:val="21"/>
        </w:rPr>
        <w:t xml:space="preserve">3）第一章竞争性磋商公告中2.3采购人根据采购项目的特殊要求规定的特定条件证明文件；</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（4）报价一览表及附表（格式见第六章）；</w:t>
      </w:r>
      <w:r/>
    </w:p>
    <w:p>
      <w:pPr>
        <w:ind w:firstLine="420"/>
        <w:jc w:val="left"/>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.5磋商响应文件的技术</w:t>
      </w:r>
      <w:r>
        <w:rPr>
          <w:rFonts w:hint="eastAsia" w:ascii="宋体" w:hAnsi="宋体" w:cs="宋体"/>
          <w:szCs w:val="21"/>
        </w:rPr>
        <w:t xml:space="preserve">内容</w:t>
      </w:r>
      <w:r>
        <w:rPr>
          <w:rFonts w:hint="eastAsia" w:ascii="宋体" w:hAnsi="宋体" w:cs="宋体"/>
          <w:szCs w:val="21"/>
          <w:lang w:val="zh-CN"/>
        </w:rPr>
        <w:t xml:space="preserve">。技术</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项目技术方案或服务说明；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（2）《采购需求条款偏离表》；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（3）供应商认为需要</w:t>
      </w:r>
      <w:r>
        <w:rPr>
          <w:rFonts w:hint="eastAsia" w:ascii="宋体" w:hAnsi="宋体" w:cs="宋体"/>
          <w:szCs w:val="21"/>
          <w:lang w:val="zh-CN"/>
        </w:rPr>
        <w:t xml:space="preserve">提供的其他技术资料。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.6磋商响应文件的价格</w:t>
      </w:r>
      <w:r>
        <w:rPr>
          <w:rFonts w:hint="eastAsia" w:ascii="宋体" w:hAnsi="宋体" w:cs="宋体"/>
          <w:szCs w:val="21"/>
        </w:rPr>
        <w:t xml:space="preserve">内容</w:t>
      </w:r>
      <w:r/>
    </w:p>
    <w:p>
      <w:pPr>
        <w:numPr>
          <w:ilvl w:val="0"/>
          <w:numId w:val="7"/>
        </w:num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价格部分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是对</w:t>
      </w:r>
      <w:r>
        <w:rPr>
          <w:rFonts w:hint="eastAsia" w:ascii="宋体" w:hAnsi="宋体" w:cs="宋体"/>
          <w:color w:val="000000"/>
          <w:szCs w:val="21"/>
        </w:rPr>
        <w:t xml:space="preserve">标的</w:t>
      </w:r>
      <w:r>
        <w:rPr>
          <w:rFonts w:hint="eastAsia" w:ascii="宋体" w:hAnsi="宋体" w:cs="宋体"/>
          <w:color w:val="000000"/>
          <w:szCs w:val="21"/>
          <w:lang w:val="zh-CN"/>
        </w:rPr>
        <w:t xml:space="preserve">价格构成的说明，磋商文件如没有特别说明的话，仅接受一个价格。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报价应包含为履行本项目合同项下所有义务的全部费用（包括但不限于</w:t>
      </w:r>
      <w:r>
        <w:rPr>
          <w:rFonts w:hint="eastAsia" w:ascii="宋体" w:hAnsi="宋体" w:cs="宋体"/>
          <w:szCs w:val="21"/>
        </w:rPr>
        <w:t xml:space="preserve">技术资料、设计成果、人员培训等发生的所有含税费用、支付给员工的工资和国家强制缴纳的各种社会保障资金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以及供应商认为需要的其他费用等。</w:t>
      </w:r>
      <w:r/>
    </w:p>
    <w:p>
      <w:pPr>
        <w:ind w:firstLine="420"/>
        <w:spacing w:line="360" w:lineRule="auto"/>
        <w:rPr>
          <w:rFonts w:ascii="宋体" w:hAnsi="宋体" w:cs="宋体"/>
          <w:szCs w:val="21"/>
          <w:lang w:val="zh-CN"/>
        </w:rPr>
      </w:pPr>
      <w:r>
        <w:rPr>
          <w:rFonts w:hint="eastAsia" w:ascii="宋体" w:hAnsi="宋体" w:cs="宋体"/>
          <w:szCs w:val="21"/>
          <w:lang w:val="zh-CN"/>
        </w:rPr>
        <w:t xml:space="preserve">（3）供应商应在《报价一览表》《分项报价</w:t>
      </w:r>
      <w:r>
        <w:rPr>
          <w:rFonts w:hint="eastAsia" w:ascii="宋体" w:hAnsi="宋体" w:cs="宋体"/>
          <w:szCs w:val="21"/>
        </w:rPr>
        <w:t xml:space="preserve">表</w:t>
      </w:r>
      <w:r>
        <w:rPr>
          <w:rFonts w:hint="eastAsia" w:ascii="宋体" w:hAnsi="宋体" w:cs="宋体"/>
          <w:szCs w:val="21"/>
          <w:lang w:val="zh-CN"/>
        </w:rPr>
        <w:t xml:space="preserve">》等标明</w:t>
      </w:r>
      <w:r>
        <w:rPr>
          <w:rFonts w:hint="eastAsia" w:ascii="宋体" w:hAnsi="宋体" w:cs="宋体"/>
          <w:szCs w:val="21"/>
        </w:rPr>
        <w:t xml:space="preserve">标的</w:t>
      </w:r>
      <w:r>
        <w:rPr>
          <w:rFonts w:hint="eastAsia" w:ascii="宋体" w:hAnsi="宋体" w:cs="宋体"/>
          <w:szCs w:val="21"/>
          <w:lang w:val="zh-CN"/>
        </w:rPr>
        <w:t xml:space="preserve">的单价、总价以及分项报价</w:t>
      </w:r>
      <w:r>
        <w:rPr>
          <w:rFonts w:hint="eastAsia" w:ascii="宋体" w:hAnsi="宋体" w:cs="宋体"/>
          <w:szCs w:val="21"/>
        </w:rPr>
        <w:t xml:space="preserve">等</w:t>
      </w:r>
      <w:r>
        <w:rPr>
          <w:rFonts w:hint="eastAsia" w:ascii="宋体" w:hAnsi="宋体" w:cs="宋体"/>
          <w:szCs w:val="21"/>
          <w:lang w:val="zh-CN"/>
        </w:rPr>
        <w:t xml:space="preserve">。</w:t>
      </w:r>
      <w:r/>
    </w:p>
    <w:p>
      <w:pPr>
        <w:ind w:firstLine="412"/>
        <w:spacing w:line="360" w:lineRule="auto"/>
        <w:shd w:val="clear" w:color="auto" w:fill="ffffff"/>
        <w:widowControl/>
        <w:rPr>
          <w:rFonts w:ascii="宋体" w:hAnsi="宋体" w:cs="宋体"/>
          <w:szCs w:val="21"/>
        </w:rPr>
      </w:pPr>
      <w:r>
        <w:rPr>
          <w:rFonts w:hint="eastAsia" w:ascii="宋体" w:hAnsi="宋体" w:cs="宋体"/>
          <w:szCs w:val="21"/>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）经磋商后，如果成交价低于供应商</w:t>
      </w:r>
      <w:r>
        <w:rPr>
          <w:rFonts w:hint="eastAsia" w:ascii="宋体" w:hAnsi="宋体" w:cs="宋体"/>
          <w:szCs w:val="21"/>
        </w:rPr>
        <w:t xml:space="preserve">首次</w:t>
      </w:r>
      <w:r>
        <w:rPr>
          <w:rFonts w:hint="eastAsia" w:ascii="宋体" w:hAnsi="宋体" w:cs="宋体"/>
          <w:szCs w:val="21"/>
          <w:lang w:val="zh-CN"/>
        </w:rPr>
        <w:t xml:space="preserve">响应报价的话，除特别注明外，分项报价同比例调整。</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.7磋商响应文件的其他部分。其他部分由供应商根据编制磋商响应文件需要提供的其他相关文件组成。</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、磋商保证金</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不收取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四、磋商响应文件的递交</w:t>
      </w:r>
      <w:r/>
    </w:p>
    <w:p>
      <w:pPr>
        <w:ind w:firstLine="420"/>
        <w:spacing w:line="360" w:lineRule="auto"/>
        <w:rPr>
          <w:rFonts w:ascii="Arial" w:hAnsi="Arial" w:cs="Arial"/>
          <w:szCs w:val="21"/>
          <w:lang w:val="zh-CN"/>
        </w:rPr>
      </w:pPr>
      <w:r>
        <w:rPr>
          <w:rFonts w:hint="eastAsia" w:ascii="Arial" w:hAnsi="Arial" w:cs="Arial"/>
          <w:szCs w:val="21"/>
          <w:lang w:val="zh-CN"/>
        </w:rPr>
        <w:t xml:space="preserve">响应文件递交与解密</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.1</w:t>
      </w:r>
      <w:r>
        <w:rPr>
          <w:rFonts w:hint="eastAsia" w:ascii="Arial" w:hAnsi="Arial" w:cs="Arial"/>
          <w:szCs w:val="21"/>
          <w:lang w:val="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w:t>
      </w:r>
      <w:r>
        <w:rPr>
          <w:rFonts w:hint="eastAsia" w:ascii="Arial" w:hAnsi="Arial" w:cs="Arial"/>
          <w:szCs w:val="21"/>
          <w:lang w:val="zh-CN"/>
        </w:rPr>
        <w:t xml:space="preserve">2</w:t>
      </w:r>
      <w:r>
        <w:rPr>
          <w:rFonts w:ascii="Arial" w:hAnsi="Arial" w:cs="Arial"/>
          <w:szCs w:val="21"/>
          <w:lang w:val="zh-CN"/>
        </w:rPr>
        <w:t xml:space="preserve"> </w:t>
      </w:r>
      <w:r>
        <w:rPr>
          <w:rFonts w:hint="eastAsia" w:ascii="Arial" w:hAnsi="Arial" w:cs="Arial"/>
          <w:szCs w:val="21"/>
          <w:lang w:val="zh-CN"/>
        </w:rPr>
        <w:t xml:space="preserve">供应商应当按照《操作手册》规定，在“苏采云”系统规定的时间内对响应文件进行解密。</w:t>
      </w:r>
      <w:r/>
    </w:p>
    <w:p>
      <w:pPr>
        <w:ind w:firstLine="420"/>
        <w:spacing w:line="360" w:lineRule="auto"/>
        <w:rPr>
          <w:rFonts w:ascii="Arial" w:hAnsi="Arial" w:cs="Arial"/>
          <w:szCs w:val="21"/>
          <w:lang w:val="zh-CN"/>
        </w:rPr>
      </w:pPr>
      <w:r>
        <w:rPr>
          <w:rFonts w:hint="eastAsia" w:ascii="Arial" w:hAnsi="Arial" w:cs="Arial"/>
          <w:szCs w:val="21"/>
          <w:lang w:val="zh-CN"/>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联合体</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不接受联合体投标。</w:t>
      </w:r>
      <w:r/>
    </w:p>
    <w:p>
      <w:pPr>
        <w:ind w:firstLine="420"/>
        <w:spacing w:line="360" w:lineRule="auto"/>
        <w:rPr>
          <w:rFonts w:ascii="宋体" w:hAnsi="宋体" w:cs="宋体"/>
          <w:szCs w:val="21"/>
          <w:lang w:val="zh-CN"/>
        </w:rPr>
      </w:pPr>
      <w:r>
        <w:rPr>
          <w:rFonts w:hint="eastAsia" w:ascii="宋体" w:hAnsi="宋体" w:cs="宋体"/>
          <w:szCs w:val="21"/>
        </w:rPr>
        <w:t xml:space="preserve">五</w:t>
      </w:r>
      <w:r>
        <w:rPr>
          <w:rFonts w:hint="eastAsia" w:ascii="宋体" w:hAnsi="宋体" w:cs="宋体"/>
          <w:szCs w:val="21"/>
          <w:lang w:val="zh-CN"/>
        </w:rPr>
        <w:t xml:space="preserve">、磋商</w:t>
      </w:r>
      <w:r/>
    </w:p>
    <w:p>
      <w:pPr>
        <w:ind w:firstLine="420"/>
        <w:spacing w:line="360" w:lineRule="auto"/>
        <w:rPr>
          <w:rFonts w:ascii="宋体" w:hAnsi="宋体" w:cs="宋体"/>
          <w:szCs w:val="21"/>
        </w:rPr>
      </w:pPr>
      <w:r>
        <w:rPr>
          <w:rFonts w:hint="eastAsia" w:ascii="宋体" w:hAnsi="宋体" w:cs="宋体"/>
          <w:szCs w:val="21"/>
        </w:rPr>
        <w:t xml:space="preserve">11、磋商有效期</w:t>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.1 磋商小组审阅供应商所递交的响应文件，凡不具备资格条件的供应商不得进入磋商程序。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.2 </w:t>
      </w:r>
      <w:r>
        <w:rPr>
          <w:rFonts w:hint="eastAsia" w:ascii="Arial" w:hAnsi="Arial" w:cs="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szCs w:val="21"/>
          <w:lang w:val="zh-CN"/>
        </w:rPr>
      </w:pPr>
      <w:r>
        <w:rPr>
          <w:rFonts w:ascii="Arial" w:hAnsi="Arial" w:cs="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.4 如磋商文件有实质性变动的，</w:t>
      </w:r>
      <w:r>
        <w:rPr>
          <w:rFonts w:hint="eastAsia" w:ascii="Arial" w:hAnsi="Arial" w:cs="Arial"/>
          <w:szCs w:val="21"/>
          <w:lang w:val="zh-CN"/>
        </w:rPr>
        <w:t xml:space="preserve">供应商应当按照磋商文件的变动情况和磋商小组的要求在苏采云系统中重新提交响应文件，并加盖电子公章</w:t>
      </w:r>
      <w:r>
        <w:rPr>
          <w:rFonts w:ascii="Arial" w:hAnsi="Arial" w:cs="Arial"/>
          <w:szCs w:val="21"/>
          <w:lang w:val="zh-CN"/>
        </w:rPr>
        <w:t xml:space="preserve">。</w:t>
      </w:r>
      <w:r/>
    </w:p>
    <w:p>
      <w:pPr>
        <w:ind w:firstLine="420"/>
        <w:spacing w:line="360" w:lineRule="auto"/>
        <w:rPr>
          <w:rFonts w:ascii="Arial" w:hAnsi="Arial" w:cs="Arial"/>
          <w:szCs w:val="21"/>
          <w:lang w:val="zh-CN"/>
        </w:rPr>
      </w:pPr>
      <w:r>
        <w:rPr>
          <w:rFonts w:hint="eastAsia" w:ascii="Arial" w:hAnsi="Arial" w:cs="Arial"/>
          <w:szCs w:val="21"/>
          <w:lang w:val="zh-CN"/>
        </w:rPr>
        <w:t xml:space="preserve">13.5 磋商</w:t>
      </w:r>
      <w:r>
        <w:rPr>
          <w:rFonts w:hint="eastAsia" w:ascii="Arial" w:hAnsi="Arial" w:cs="Arial"/>
          <w:szCs w:val="21"/>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cs="Arial"/>
          <w:szCs w:val="21"/>
          <w:lang w:val="zh-CN"/>
        </w:rPr>
      </w:pPr>
      <w:r>
        <w:rPr>
          <w:rFonts w:hint="eastAsia" w:ascii="Arial" w:hAnsi="Arial" w:cs="Arial"/>
          <w:szCs w:val="21"/>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.7 出现下列情形之一的响应文件按照无效处理：</w:t>
      </w:r>
      <w:r/>
    </w:p>
    <w:p>
      <w:pPr>
        <w:ind w:firstLine="420"/>
        <w:spacing w:line="360" w:lineRule="auto"/>
        <w:rPr>
          <w:rFonts w:ascii="Arial" w:hAnsi="Arial" w:cs="Arial"/>
          <w:szCs w:val="21"/>
          <w:lang w:val="zh-CN"/>
        </w:rPr>
      </w:pPr>
      <w:r>
        <w:rPr>
          <w:rFonts w:hint="eastAsia" w:ascii="Arial" w:hAnsi="Arial" w:cs="Arial"/>
          <w:szCs w:val="21"/>
          <w:lang w:val="zh-CN"/>
        </w:rPr>
        <w:t xml:space="preserve">（1）投标人在“苏采云”系统规定的时间内未成功解密电子投标文件的；</w:t>
      </w:r>
      <w:r/>
    </w:p>
    <w:p>
      <w:pPr>
        <w:ind w:firstLine="420"/>
        <w:spacing w:line="360" w:lineRule="auto"/>
        <w:rPr>
          <w:rFonts w:ascii="Arial" w:hAnsi="Arial" w:cs="Arial"/>
          <w:szCs w:val="21"/>
          <w:lang w:val="zh-CN"/>
        </w:rPr>
      </w:pPr>
      <w:r>
        <w:rPr>
          <w:rFonts w:hint="eastAsia" w:ascii="Arial" w:hAnsi="Arial" w:cs="Arial"/>
          <w:szCs w:val="21"/>
          <w:lang w:val="zh-CN"/>
        </w:rPr>
        <w:t xml:space="preserve">（2）投标人未按照磋商文件要求上传电子投标文件的；</w:t>
      </w:r>
      <w:r/>
    </w:p>
    <w:p>
      <w:pPr>
        <w:ind w:firstLine="420"/>
        <w:spacing w:line="360" w:lineRule="auto"/>
        <w:rPr>
          <w:rFonts w:ascii="Arial" w:hAnsi="Arial" w:cs="Arial"/>
          <w:szCs w:val="21"/>
          <w:lang w:val="zh-CN"/>
        </w:rPr>
      </w:pPr>
      <w:r>
        <w:rPr>
          <w:rFonts w:hint="eastAsia" w:ascii="Arial" w:hAnsi="Arial" w:cs="Arial"/>
          <w:szCs w:val="21"/>
          <w:lang w:val="zh-CN"/>
        </w:rPr>
        <w:t xml:space="preserve">（3）同一投标人提交两个（含两个）以上不同的投标报价的；</w:t>
      </w:r>
      <w:r/>
    </w:p>
    <w:p>
      <w:pPr>
        <w:ind w:firstLine="420"/>
        <w:spacing w:line="360" w:lineRule="auto"/>
        <w:rPr>
          <w:rFonts w:ascii="Arial" w:hAnsi="Arial" w:cs="Arial"/>
          <w:szCs w:val="21"/>
          <w:lang w:val="zh-CN"/>
        </w:rPr>
      </w:pPr>
      <w:r>
        <w:rPr>
          <w:rFonts w:hint="eastAsia" w:ascii="Arial" w:hAnsi="Arial" w:cs="Arial"/>
          <w:szCs w:val="21"/>
          <w:lang w:val="zh-CN"/>
        </w:rPr>
        <w:t xml:space="preserve">（4）投标文件未按照磋商文件要求加盖电子公章的；</w:t>
      </w:r>
      <w:r/>
    </w:p>
    <w:p>
      <w:pPr>
        <w:ind w:firstLine="420"/>
        <w:spacing w:line="360" w:lineRule="auto"/>
        <w:rPr>
          <w:rFonts w:ascii="Arial" w:hAnsi="Arial" w:cs="Arial"/>
          <w:szCs w:val="21"/>
          <w:lang w:val="zh-CN"/>
        </w:rPr>
      </w:pPr>
      <w:r>
        <w:rPr>
          <w:rFonts w:hint="eastAsia" w:ascii="Arial" w:hAnsi="Arial" w:cs="Arial"/>
          <w:szCs w:val="21"/>
          <w:lang w:val="zh-CN"/>
        </w:rPr>
        <w:t xml:space="preserve">（5）报价超过磋商文件中规定的预算金额或者最高限价的；</w:t>
      </w:r>
      <w:r/>
    </w:p>
    <w:p>
      <w:pPr>
        <w:ind w:firstLine="420"/>
        <w:spacing w:line="360" w:lineRule="auto"/>
        <w:rPr>
          <w:rFonts w:ascii="Arial" w:hAnsi="Arial" w:cs="Arial"/>
          <w:szCs w:val="21"/>
          <w:lang w:val="zh-CN"/>
        </w:rPr>
      </w:pPr>
      <w:r>
        <w:rPr>
          <w:rFonts w:hint="eastAsia" w:ascii="Arial" w:hAnsi="Arial" w:cs="Arial"/>
          <w:szCs w:val="21"/>
          <w:lang w:val="zh-CN"/>
        </w:rPr>
        <w:t xml:space="preserve">（6）投标文件含有采购人不能接受的附加条件的；</w:t>
      </w:r>
      <w:r/>
    </w:p>
    <w:p>
      <w:pPr>
        <w:ind w:firstLine="420"/>
        <w:spacing w:line="360" w:lineRule="auto"/>
        <w:rPr>
          <w:rFonts w:ascii="Arial" w:hAnsi="Arial" w:cs="Arial"/>
          <w:szCs w:val="21"/>
          <w:lang w:val="zh-CN"/>
        </w:rPr>
      </w:pPr>
      <w:r>
        <w:rPr>
          <w:rFonts w:hint="eastAsia" w:ascii="Arial" w:hAnsi="Arial" w:cs="Arial"/>
          <w:szCs w:val="21"/>
          <w:lang w:val="zh-CN"/>
        </w:rPr>
        <w:t xml:space="preserve">（7）投标文件内容不全或不符合磋商文件中规定的其他实质性要求的；</w:t>
      </w:r>
      <w:r/>
    </w:p>
    <w:p>
      <w:pPr>
        <w:ind w:firstLine="420"/>
        <w:spacing w:line="360" w:lineRule="auto"/>
        <w:rPr>
          <w:rFonts w:ascii="Arial" w:hAnsi="Arial" w:cs="Arial"/>
          <w:b/>
          <w:bCs/>
          <w:szCs w:val="21"/>
          <w:lang w:val="zh-CN"/>
        </w:rPr>
      </w:pPr>
      <w:r>
        <w:rPr>
          <w:rFonts w:hint="eastAsia" w:ascii="Arial" w:hAnsi="Arial" w:cs="Arial"/>
          <w:szCs w:val="21"/>
          <w:lang w:val="zh-CN"/>
        </w:rPr>
        <w:t xml:space="preserve">（8）现行法律、法规、规章和磋商文件规定的其他无效情形。</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.8</w:t>
      </w:r>
      <w:r>
        <w:rPr>
          <w:rFonts w:hint="eastAsia" w:ascii="Arial" w:hAnsi="Arial" w:cs="Arial"/>
          <w:szCs w:val="21"/>
        </w:rPr>
        <w:t xml:space="preserve"> </w:t>
      </w:r>
      <w:r>
        <w:rPr>
          <w:rFonts w:ascii="Arial" w:hAnsi="Arial" w:cs="Arial"/>
          <w:szCs w:val="21"/>
          <w:lang w:val="zh-CN"/>
        </w:rPr>
        <w:t xml:space="preserve">出现下列情形之一的磋商终止：</w:t>
      </w:r>
      <w:r/>
    </w:p>
    <w:p>
      <w:pPr>
        <w:ind w:firstLine="420"/>
        <w:spacing w:line="360" w:lineRule="auto"/>
        <w:rPr>
          <w:rFonts w:ascii="Arial" w:hAnsi="Arial" w:cs="Arial"/>
          <w:szCs w:val="21"/>
          <w:lang w:val="zh-CN"/>
        </w:rPr>
      </w:pPr>
      <w:r>
        <w:rPr>
          <w:rFonts w:ascii="Arial" w:hAnsi="Arial" w:cs="Arial"/>
          <w:szCs w:val="21"/>
          <w:lang w:val="zh-CN"/>
        </w:rPr>
        <w:t xml:space="preserve">（1）因情况变化，不再符合规定的竞争性磋商采购方式适用情形的；</w:t>
      </w:r>
      <w:r/>
    </w:p>
    <w:p>
      <w:pPr>
        <w:ind w:firstLine="420"/>
        <w:spacing w:line="360" w:lineRule="auto"/>
        <w:rPr>
          <w:rFonts w:ascii="Arial" w:hAnsi="Arial" w:cs="Arial"/>
          <w:szCs w:val="21"/>
          <w:lang w:val="zh-CN"/>
        </w:rPr>
      </w:pPr>
      <w:r>
        <w:rPr>
          <w:rFonts w:ascii="Arial" w:hAnsi="Arial" w:cs="Arial"/>
          <w:szCs w:val="21"/>
          <w:lang w:val="zh-CN"/>
        </w:rPr>
        <w:t xml:space="preserve">（2）出现影响采购公正的违法、违规行为的；</w:t>
      </w:r>
      <w:r/>
    </w:p>
    <w:p>
      <w:pPr>
        <w:ind w:firstLine="420"/>
        <w:spacing w:line="360" w:lineRule="auto"/>
        <w:rPr>
          <w:rFonts w:ascii="Arial" w:hAnsi="Arial" w:cs="Arial"/>
          <w:szCs w:val="21"/>
          <w:lang w:val="zh-CN"/>
        </w:rPr>
      </w:pPr>
      <w:r>
        <w:rPr>
          <w:rFonts w:ascii="Arial" w:hAnsi="Arial" w:cs="Arial"/>
          <w:szCs w:val="21"/>
          <w:lang w:val="zh-CN"/>
        </w:rPr>
        <w:t xml:space="preserve">（3）</w:t>
      </w:r>
      <w:r>
        <w:rPr>
          <w:rFonts w:hint="eastAsia" w:ascii="Arial" w:hAnsi="Arial" w:cs="Arial"/>
          <w:szCs w:val="21"/>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Arial" w:hAnsi="Arial" w:cs="Arial"/>
          <w:szCs w:val="21"/>
          <w:lang w:val="zh-CN"/>
        </w:rPr>
      </w:pPr>
      <w:r>
        <w:rPr>
          <w:rFonts w:hint="eastAsia" w:ascii="Arial" w:hAnsi="Arial" w:cs="Arial"/>
          <w:szCs w:val="21"/>
          <w:lang w:val="zh-CN"/>
        </w:rPr>
        <w:t xml:space="preserve">（4）在“苏采云”系统规定时间内成功解密电子响应文件的供应商不足3家的。</w:t>
      </w:r>
      <w:r/>
    </w:p>
    <w:p>
      <w:pPr>
        <w:ind w:firstLine="420"/>
        <w:spacing w:line="360" w:lineRule="auto"/>
        <w:rPr>
          <w:rFonts w:ascii="宋体" w:hAnsi="宋体" w:cs="宋体"/>
          <w:szCs w:val="21"/>
          <w:lang w:val="zh-CN"/>
        </w:rPr>
      </w:pPr>
      <w:r>
        <w:rPr>
          <w:rFonts w:ascii="宋体" w:hAnsi="宋体" w:cs="宋体"/>
          <w:szCs w:val="21"/>
          <w:lang w:val="zh-CN"/>
        </w:rPr>
        <w:t xml:space="preserve">13.9</w:t>
      </w:r>
      <w:r>
        <w:rPr>
          <w:rFonts w:hint="eastAsia" w:ascii="宋体" w:hAnsi="宋体" w:cs="宋体"/>
          <w:szCs w:val="21"/>
        </w:rPr>
        <w:t xml:space="preserve"> </w:t>
      </w:r>
      <w:r>
        <w:rPr>
          <w:rFonts w:ascii="宋体" w:hAnsi="宋体" w:cs="宋体"/>
          <w:szCs w:val="21"/>
        </w:rPr>
        <w:t xml:space="preserve">磋商小组</w:t>
      </w:r>
      <w:r>
        <w:rPr>
          <w:rFonts w:hint="eastAsia" w:ascii="宋体" w:hAnsi="宋体" w:cs="宋体"/>
          <w:szCs w:val="21"/>
          <w:lang w:val="zh-CN"/>
        </w:rPr>
        <w:t xml:space="preserve">启动异常低价</w:t>
      </w:r>
      <w:r>
        <w:rPr>
          <w:rFonts w:ascii="宋体" w:hAnsi="宋体" w:cs="宋体"/>
          <w:szCs w:val="21"/>
        </w:rPr>
        <w:t xml:space="preserve">响应</w:t>
      </w:r>
      <w:r>
        <w:rPr>
          <w:rFonts w:hint="eastAsia" w:ascii="宋体" w:hAnsi="宋体" w:cs="宋体"/>
          <w:szCs w:val="21"/>
          <w:lang w:val="zh-CN"/>
        </w:rPr>
        <w:t xml:space="preserve">审查的情形和具体要求：</w:t>
      </w:r>
      <w:r/>
    </w:p>
    <w:p>
      <w:pPr>
        <w:ind w:firstLine="420"/>
        <w:spacing w:line="360" w:lineRule="auto"/>
        <w:rPr>
          <w:rFonts w:ascii="宋体" w:hAnsi="宋体" w:cs="宋体"/>
          <w:szCs w:val="21"/>
          <w:lang w:val="zh-CN"/>
        </w:rPr>
      </w:pPr>
      <w:r>
        <w:rPr>
          <w:rFonts w:hint="eastAsia" w:ascii="宋体" w:hAnsi="宋体" w:cs="宋体"/>
          <w:szCs w:val="21"/>
        </w:rPr>
        <w:t xml:space="preserve">13.9.1</w:t>
      </w:r>
      <w:r>
        <w:rPr>
          <w:rFonts w:ascii="宋体" w:hAnsi="宋体" w:cs="宋体"/>
          <w:szCs w:val="21"/>
          <w:lang w:val="zh-CN"/>
        </w:rPr>
        <w:t xml:space="preserve">评</w:t>
      </w:r>
      <w:r>
        <w:rPr>
          <w:rFonts w:hint="eastAsia" w:ascii="宋体" w:hAnsi="宋体" w:cs="宋体"/>
          <w:szCs w:val="21"/>
        </w:rPr>
        <w:t xml:space="preserve">审</w:t>
      </w:r>
      <w:r>
        <w:rPr>
          <w:rFonts w:ascii="宋体" w:hAnsi="宋体" w:cs="宋体"/>
          <w:szCs w:val="21"/>
          <w:lang w:val="zh-CN"/>
        </w:rPr>
        <w:t xml:space="preserve">过程中出现下列情形之一的，</w:t>
      </w:r>
      <w:r>
        <w:rPr>
          <w:rFonts w:hint="eastAsia" w:ascii="宋体" w:hAnsi="宋体" w:cs="宋体"/>
          <w:szCs w:val="21"/>
        </w:rPr>
        <w:t xml:space="preserve">磋商小组</w:t>
      </w:r>
      <w:r>
        <w:rPr>
          <w:rFonts w:ascii="宋体" w:hAnsi="宋体" w:cs="宋体"/>
          <w:szCs w:val="21"/>
          <w:lang w:val="zh-CN"/>
        </w:rPr>
        <w:t xml:space="preserve">应当启动异常低价</w:t>
      </w:r>
      <w:r>
        <w:rPr>
          <w:rFonts w:hint="eastAsia" w:ascii="宋体" w:hAnsi="宋体" w:cs="宋体"/>
          <w:szCs w:val="21"/>
        </w:rPr>
        <w:t xml:space="preserve">响应</w:t>
      </w:r>
      <w:r>
        <w:rPr>
          <w:rFonts w:ascii="宋体" w:hAnsi="宋体" w:cs="宋体"/>
          <w:szCs w:val="21"/>
          <w:lang w:val="zh-CN"/>
        </w:rPr>
        <w:t xml:space="preserve">审查程序：</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（1）响应</w:t>
      </w:r>
      <w:r>
        <w:rPr>
          <w:rFonts w:ascii="Arial" w:hAnsi="Arial" w:cs="Arial"/>
          <w:szCs w:val="21"/>
        </w:rPr>
        <w:t xml:space="preserve">报价低于</w:t>
      </w:r>
      <w:r>
        <w:rPr>
          <w:rFonts w:hint="eastAsia" w:ascii="Arial" w:hAnsi="Arial" w:cs="Arial"/>
          <w:szCs w:val="21"/>
        </w:rPr>
        <w:t xml:space="preserve">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（2）响应报价低于通过符合性审查的次低报价供应商响应报价50%的，即响应报价&lt;通过符合性审查的次低报价供应商响应报价×50%；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（3）响应报价低于本项目最高限价45%的，即响应报价&lt;本项目最高限价×45%；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供应商不能提供书面说明、证明材料，或者提供的书面说明、证明材料不能证明其报价合理性的，磋商小组应当将其作为无效响应处理。</w:t>
      </w:r>
      <w:r/>
    </w:p>
    <w:p>
      <w:pPr>
        <w:ind w:firstLine="420"/>
        <w:spacing w:line="360" w:lineRule="auto"/>
        <w:rPr>
          <w:rFonts w:ascii="宋体" w:hAnsi="宋体" w:cs="宋体"/>
          <w:szCs w:val="21"/>
          <w:lang w:val="zh-CN"/>
        </w:rPr>
      </w:pPr>
      <w:r>
        <w:rPr>
          <w:rFonts w:hint="eastAsia" w:ascii="Arial" w:hAnsi="Arial" w:cs="Arial"/>
          <w:szCs w:val="21"/>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color w:val="000000"/>
          <w:szCs w:val="21"/>
          <w:lang w:val="zh-CN"/>
        </w:rPr>
        <w:t xml:space="preserve">评分方法和标准</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.1采用综合评分法。即</w:t>
      </w:r>
      <w:r>
        <w:rPr>
          <w:rFonts w:hint="eastAsia" w:ascii="宋体" w:hAnsi="宋体" w:cs="宋体"/>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.2</w:t>
      </w:r>
      <w:r>
        <w:rPr>
          <w:rFonts w:hint="eastAsia" w:ascii="宋体" w:hAnsi="宋体" w:cs="宋体"/>
          <w:szCs w:val="21"/>
        </w:rPr>
        <w:t xml:space="preserve">综合评分的</w:t>
      </w:r>
      <w:r>
        <w:rPr>
          <w:rFonts w:hint="eastAsia" w:ascii="宋体" w:hAnsi="宋体" w:cs="宋体"/>
          <w:szCs w:val="21"/>
          <w:lang w:val="zh-CN"/>
        </w:rPr>
        <w:t xml:space="preserve">主要因素是：</w:t>
      </w:r>
      <w:r>
        <w:rPr>
          <w:rFonts w:hint="eastAsia" w:ascii="宋体" w:hAnsi="宋体" w:cs="宋体"/>
          <w:szCs w:val="21"/>
        </w:rPr>
        <w:t xml:space="preserve">价格、服务、业绩、投标响应性等。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14.3评分标准详见第三章。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15、确定成交供应商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szCs w:val="21"/>
        </w:rPr>
        <w:t xml:space="preserve">评审</w:t>
      </w:r>
      <w:r>
        <w:rPr>
          <w:rFonts w:ascii="Arial" w:hAnsi="Arial" w:cs="Arial"/>
          <w:szCs w:val="21"/>
        </w:rPr>
        <w:t xml:space="preserve">委员会将综合排名第一的供应商确定为中标供应商。</w:t>
      </w:r>
      <w:r/>
    </w:p>
    <w:p>
      <w:pPr>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 磋商小组根据磋商过程和结果编写磋商（评审）报告。</w:t>
      </w:r>
      <w:r/>
    </w:p>
    <w:p>
      <w:pPr>
        <w:ind w:firstLine="420"/>
        <w:spacing w:line="360" w:lineRule="auto"/>
        <w:shd w:val="clear" w:color="auto" w:fill="ffffff"/>
        <w:widowControl/>
        <w:rPr>
          <w:rFonts w:ascii="Arial" w:hAnsi="Arial"/>
          <w:szCs w:val="21"/>
          <w:lang w:val="zh-CN"/>
        </w:rPr>
      </w:pPr>
      <w:r>
        <w:rPr>
          <w:rFonts w:hint="eastAsia" w:ascii="Arial" w:hAnsi="Arial"/>
          <w:szCs w:val="21"/>
        </w:rPr>
        <w:t xml:space="preserve">15.3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cs="Arial"/>
          <w:szCs w:val="21"/>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4</w:t>
      </w:r>
      <w:r>
        <w:rPr>
          <w:rFonts w:ascii="Arial" w:hAnsi="Arial" w:cs="Arial"/>
          <w:szCs w:val="21"/>
          <w:lang w:val="zh-CN"/>
        </w:rPr>
        <w:t xml:space="preserve"> 成交通知书对采购人和成交供应商具有同等法律效力。</w:t>
      </w:r>
      <w:r/>
    </w:p>
    <w:p>
      <w:pPr>
        <w:ind w:firstLine="420"/>
        <w:spacing w:line="360" w:lineRule="auto"/>
        <w:shd w:val="clear" w:color="auto" w:fill="ffffff"/>
        <w:widowControl/>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5</w:t>
      </w:r>
      <w:r>
        <w:rPr>
          <w:rFonts w:ascii="Arial" w:hAnsi="Arial" w:cs="Arial"/>
          <w:szCs w:val="21"/>
          <w:lang w:val="zh-CN"/>
        </w:rPr>
        <w:t xml:space="preserve"> </w:t>
      </w:r>
      <w:r>
        <w:rPr>
          <w:rFonts w:hint="eastAsia" w:ascii="Arial" w:hAnsi="Arial" w:cs="Arial"/>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shd w:val="clear" w:color="auto" w:fill="ffffff"/>
        <w:widowControl/>
        <w:rPr>
          <w:rFonts w:ascii="宋体" w:hAnsi="宋体" w:cs="宋体"/>
          <w:szCs w:val="21"/>
          <w:lang w:val="zh-CN"/>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所有响应文件不论成交与否，均不退回。</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16.1成交供应商应当自成交通知书发出之日起三十日内，与采购人签订合同，所签订的合同不得对磋商文件和响应文件作实质性修改。</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16.2采购人不得向成交供应商提出任何不合理的要求作为签订合同的条件，不得与成交供应商私下订立背离合同实质性内容的协议。</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16.4成交供应商拒绝签订采购合同的，采购人可以确定其他供应商作为成交供应商并签订采购合同，也可以重新开展采购活动。</w:t>
      </w:r>
      <w:r/>
    </w:p>
    <w:p>
      <w:pPr>
        <w:ind w:firstLine="420"/>
        <w:spacing w:line="360" w:lineRule="auto"/>
        <w:rPr>
          <w:rFonts w:ascii="宋体" w:hAnsi="宋体" w:cs="宋体"/>
          <w:szCs w:val="21"/>
          <w:lang w:val="zh-CN"/>
        </w:rPr>
      </w:pPr>
      <w:r>
        <w:rPr>
          <w:rFonts w:hint="eastAsia" w:ascii="宋体" w:hAnsi="宋体" w:cs="宋体"/>
          <w:szCs w:val="21"/>
        </w:rPr>
        <w:t xml:space="preserve">六</w:t>
      </w:r>
      <w:r>
        <w:rPr>
          <w:rFonts w:hint="eastAsia" w:ascii="宋体" w:hAnsi="宋体" w:cs="宋体"/>
          <w:szCs w:val="21"/>
          <w:lang w:val="zh-CN"/>
        </w:rPr>
        <w:t xml:space="preserve">、质疑和投诉</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17.1供应商认为磋商文件、磋商过程和中标、成交结果使自己的权益受到损害的，可以在知道或者应知其权益受到损害之日起七个工作日内，以书面形式向</w:t>
      </w:r>
      <w:r>
        <w:rPr>
          <w:rFonts w:hint="eastAsia" w:ascii="宋体" w:hAnsi="宋体" w:cs="宋体"/>
          <w:szCs w:val="21"/>
        </w:rPr>
        <w:t xml:space="preserve">采购人或</w:t>
      </w:r>
      <w:r>
        <w:rPr>
          <w:rFonts w:hint="eastAsia" w:ascii="宋体" w:hAnsi="宋体" w:cs="宋体"/>
          <w:szCs w:val="21"/>
          <w:lang w:val="zh-CN"/>
        </w:rPr>
        <w:t xml:space="preserve">采购代理机构提出提出质疑。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17.7质疑函应当使用中文。相关当事人提供外文书证或者外国语视听资料的，应当附有中文译本，由翻译机构盖章或者翻译人员签名。</w:t>
      </w:r>
      <w:r/>
    </w:p>
    <w:p>
      <w:pPr>
        <w:ind w:firstLine="420"/>
        <w:spacing w:line="360" w:lineRule="auto"/>
        <w:rPr>
          <w:rFonts w:ascii="宋体" w:hAnsi="宋体" w:cs="宋体"/>
          <w:szCs w:val="21"/>
          <w:lang w:val="zh-CN"/>
        </w:rPr>
      </w:pPr>
      <w:r>
        <w:rPr>
          <w:rFonts w:hint="eastAsia" w:ascii="宋体" w:hAnsi="宋体" w:cs="宋体"/>
          <w:szCs w:val="21"/>
        </w:rPr>
        <w:t xml:space="preserve">18</w:t>
      </w:r>
      <w:r>
        <w:rPr>
          <w:rFonts w:hint="eastAsia" w:ascii="宋体" w:hAnsi="宋体" w:cs="宋体"/>
          <w:szCs w:val="21"/>
          <w:lang w:val="zh-CN"/>
        </w:rPr>
        <w:t xml:space="preserve">、投诉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8.2供应商投诉应当有明确的请求和必要的证明材料。供应商投诉的事项不得超出已质疑事项的范围。</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8.3投诉人对同级政府采购监督管理部门的投诉处理决定不服或者采购人逾期未作处理的，可以依法申请行政复议或者向人民法院提起行政诉讼。</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8.4 投诉人有下列行为之一的，属于严重失信行为，由财政部门列入不良行为记录名单，禁止其一至三年内参加政府采购活动。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（1）投诉人在全国范围12个月内三次以上投诉查无实据的；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（2）采用捏造事实、提供虚假材料或者以非法手段取得证明材料等方式进行虚假、恶意投诉。</w:t>
      </w:r>
      <w:r/>
    </w:p>
    <w:p>
      <w:pPr>
        <w:ind w:firstLine="420"/>
        <w:spacing w:line="360" w:lineRule="auto"/>
        <w:rPr>
          <w:rFonts w:ascii="宋体" w:hAnsi="宋体" w:cs="宋体"/>
          <w:szCs w:val="21"/>
          <w:lang w:val="zh-CN"/>
        </w:rPr>
      </w:pPr>
      <w:r>
        <w:rPr>
          <w:rFonts w:hint="eastAsia" w:ascii="宋体" w:hAnsi="宋体" w:cs="宋体"/>
          <w:szCs w:val="21"/>
          <w:lang w:val="zh-CN"/>
        </w:rPr>
        <w:t xml:space="preserve">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cs="宋体"/>
          <w:szCs w:val="21"/>
          <w:lang w:val="zh-CN"/>
        </w:rPr>
      </w:pPr>
      <w:r>
        <w:rPr>
          <w:rFonts w:hint="eastAsia" w:ascii="宋体" w:hAnsi="宋体" w:cs="宋体"/>
          <w:szCs w:val="21"/>
        </w:rPr>
        <w:t xml:space="preserve">七</w:t>
      </w:r>
      <w:r>
        <w:rPr>
          <w:rFonts w:hint="eastAsia" w:ascii="宋体" w:hAnsi="宋体" w:cs="宋体"/>
          <w:szCs w:val="21"/>
          <w:lang w:val="zh-CN"/>
        </w:rPr>
        <w:t xml:space="preserve">、诚实信用</w:t>
      </w:r>
      <w:r/>
    </w:p>
    <w:p>
      <w:pPr>
        <w:ind w:firstLine="420"/>
        <w:spacing w:line="360" w:lineRule="auto"/>
        <w:rPr>
          <w:rFonts w:ascii="宋体" w:hAnsi="宋体" w:cs="宋体"/>
          <w:szCs w:val="21"/>
        </w:rPr>
      </w:pPr>
      <w:r>
        <w:rPr>
          <w:rFonts w:hint="eastAsia" w:ascii="宋体" w:hAnsi="宋体" w:cs="宋体"/>
          <w:szCs w:val="21"/>
        </w:rPr>
        <w:t xml:space="preserve">19、诚实信用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.4供应商不得虚假承诺，否则，按照提供虚假材料谋取成交处理。</w:t>
      </w:r>
      <w:r/>
    </w:p>
    <w:p>
      <w:pPr>
        <w:ind w:firstLine="420"/>
        <w:spacing w:line="360" w:lineRule="auto"/>
        <w:rPr>
          <w:rFonts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、磋商费用</w:t>
      </w:r>
      <w:r/>
    </w:p>
    <w:p>
      <w:pPr>
        <w:ind w:firstLine="420"/>
        <w:spacing w:line="360" w:lineRule="auto"/>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、磋商费用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.1供应商应承担所有与准备和参加磋商有关的费用，无论采购结果如何，采购代理机构和采购人在任何情况下均无义务和责任承担这些费用。</w:t>
      </w:r>
      <w:r/>
    </w:p>
    <w:p>
      <w:pPr>
        <w:ind w:firstLine="420"/>
        <w:jc w:val="left"/>
        <w:spacing w:line="360" w:lineRule="auto"/>
        <w:shd w:val="clear" w:color="auto" w:fill="ffffff"/>
        <w:widowControl/>
        <w:rPr>
          <w:rFonts w:ascii="宋体" w:hAnsi="宋体" w:cs="宋体"/>
          <w:lang w:val="zh-CN"/>
        </w:rPr>
      </w:pPr>
      <w:r>
        <w:rPr>
          <w:rFonts w:hint="eastAsia" w:ascii="宋体" w:hAnsi="宋体" w:cs="宋体"/>
          <w:szCs w:val="21"/>
        </w:rPr>
        <w:t xml:space="preserve">20</w:t>
      </w:r>
      <w:r>
        <w:rPr>
          <w:rFonts w:hint="eastAsia" w:ascii="宋体" w:hAnsi="宋体" w:cs="宋体"/>
          <w:szCs w:val="21"/>
          <w:lang w:val="zh-CN"/>
        </w:rPr>
        <w:t xml:space="preserve">.2本次采购，参照《招标代理服务收费管理暂行办法》（国家发展计划委员会“计价格【2002】1980号”）招标收费基准费率标准（最低单包不少于陆仟元整）收取招标咨询服务费。本项费用无需在投标报价表中单列。</w:t>
      </w:r>
      <w:bookmarkStart w:id="25" w:name="_Toc614"/>
      <w:r>
        <w:rPr>
          <w:rFonts w:hint="eastAsia" w:ascii="宋体" w:hAnsi="宋体" w:cs="宋体"/>
          <w:lang w:val="zh-CN"/>
        </w:rPr>
        <w:br w:type="page" w:clear="all"/>
      </w:r>
      <w:r>
        <w:rPr>
          <w:rFonts w:hint="eastAsia" w:ascii="宋体" w:hAnsi="宋体" w:cs="宋体"/>
        </w:rPr>
        <w:t xml:space="preserve">                            </w:t>
      </w:r>
      <w:r>
        <w:rPr>
          <w:rFonts w:hint="eastAsia" w:ascii="宋体" w:hAnsi="宋体" w:cs="宋体"/>
          <w:b/>
          <w:bCs/>
          <w:sz w:val="32"/>
          <w:szCs w:val="32"/>
          <w:lang w:val="zh-CN"/>
        </w:rPr>
        <w:t xml:space="preserve">第三章 评标标准</w:t>
      </w:r>
      <w:bookmarkEnd w:id="25"/>
      <w:r/>
      <w:r/>
    </w:p>
    <w:p>
      <w:pPr>
        <w:spacing w:line="360" w:lineRule="auto"/>
        <w:shd w:val="clear" w:color="auto" w:fill="ffffff"/>
        <w:widowControl/>
        <w:rPr>
          <w:rFonts w:ascii="宋体" w:hAnsi="宋体" w:cs="宋体"/>
          <w:b/>
          <w:bCs/>
          <w:szCs w:val="21"/>
        </w:rPr>
      </w:pPr>
      <w:r>
        <w:rPr>
          <w:rFonts w:ascii="宋体" w:hAnsi="宋体" w:cs="宋体"/>
          <w:b/>
          <w:bCs/>
          <w:szCs w:val="21"/>
        </w:rPr>
      </w:r>
      <w:r/>
    </w:p>
    <w:p>
      <w:pPr>
        <w:ind w:firstLine="420"/>
        <w:spacing w:line="360" w:lineRule="auto"/>
        <w:rPr>
          <w:rFonts w:ascii="宋体" w:hAnsi="宋体" w:cs="宋体"/>
          <w:highlight w:val="yellow"/>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9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047"/>
        <w:gridCol w:w="956"/>
        <w:gridCol w:w="1089"/>
        <w:gridCol w:w="4356"/>
        <w:gridCol w:w="616"/>
      </w:tblGrid>
      <w:tr>
        <w:trPr>
          <w:jc w:val="center"/>
          <w:trHeight w:val="50"/>
        </w:trPr>
        <w:tc>
          <w:tcPr>
            <w:tcBorders>
              <w:bottom w:val="single" w:color="000000" w:sz="4" w:space="0"/>
            </w:tcBorders>
            <w:tcW w:w="377" w:type="pct"/>
            <w:vAlign w:val="center"/>
            <w:textDirection w:val="lrTb"/>
            <w:noWrap w:val="false"/>
          </w:tcPr>
          <w:p>
            <w:pPr>
              <w:jc w:val="center"/>
              <w:spacing w:line="360" w:lineRule="auto"/>
              <w:widowControl/>
              <w:rPr>
                <w:rFonts w:ascii="宋体" w:hAnsi="宋体"/>
                <w:b/>
                <w:bCs/>
                <w:szCs w:val="21"/>
              </w:rPr>
            </w:pPr>
            <w:r>
              <w:rPr>
                <w:rFonts w:ascii="宋体" w:hAnsi="宋体"/>
                <w:b/>
                <w:bCs/>
                <w:szCs w:val="21"/>
              </w:rPr>
              <w:t xml:space="preserve">序号</w:t>
            </w:r>
            <w:r/>
          </w:p>
        </w:tc>
        <w:tc>
          <w:tcPr>
            <w:tcBorders>
              <w:bottom w:val="single" w:color="000000" w:sz="4" w:space="0"/>
            </w:tcBorders>
            <w:tcW w:w="600" w:type="pct"/>
            <w:vAlign w:val="center"/>
            <w:textDirection w:val="lrTb"/>
            <w:noWrap w:val="false"/>
          </w:tcPr>
          <w:p>
            <w:pPr>
              <w:jc w:val="center"/>
              <w:spacing w:line="360" w:lineRule="auto"/>
              <w:widowControl/>
              <w:rPr>
                <w:rFonts w:ascii="宋体" w:hAnsi="宋体"/>
                <w:b/>
                <w:bCs/>
                <w:szCs w:val="21"/>
              </w:rPr>
            </w:pPr>
            <w:r>
              <w:rPr>
                <w:rFonts w:ascii="宋体" w:hAnsi="宋体"/>
                <w:b/>
                <w:bCs/>
                <w:szCs w:val="21"/>
              </w:rPr>
              <w:t xml:space="preserve">评分因素</w:t>
            </w:r>
            <w:r/>
          </w:p>
        </w:tc>
        <w:tc>
          <w:tcPr>
            <w:gridSpan w:val="3"/>
            <w:tcBorders>
              <w:bottom w:val="single" w:color="000000" w:sz="4" w:space="0"/>
            </w:tcBorders>
            <w:tcW w:w="3668" w:type="pct"/>
            <w:vAlign w:val="center"/>
            <w:textDirection w:val="lrTb"/>
            <w:noWrap w:val="false"/>
          </w:tcPr>
          <w:p>
            <w:pPr>
              <w:jc w:val="center"/>
              <w:spacing w:line="360" w:lineRule="auto"/>
              <w:widowControl/>
              <w:rPr>
                <w:rFonts w:ascii="宋体" w:hAnsi="宋体"/>
                <w:b/>
                <w:bCs/>
                <w:szCs w:val="21"/>
              </w:rPr>
            </w:pPr>
            <w:r>
              <w:rPr>
                <w:rFonts w:ascii="宋体" w:hAnsi="宋体"/>
                <w:b/>
                <w:bCs/>
                <w:szCs w:val="21"/>
              </w:rPr>
              <w:t xml:space="preserve">评审标准</w:t>
            </w:r>
            <w:r/>
          </w:p>
        </w:tc>
        <w:tc>
          <w:tcPr>
            <w:tcBorders>
              <w:bottom w:val="single" w:color="000000" w:sz="4" w:space="0"/>
            </w:tcBorders>
            <w:tcW w:w="353" w:type="pct"/>
            <w:vAlign w:val="center"/>
            <w:textDirection w:val="lrTb"/>
            <w:noWrap w:val="false"/>
          </w:tcPr>
          <w:p>
            <w:pPr>
              <w:jc w:val="center"/>
              <w:spacing w:line="360" w:lineRule="auto"/>
              <w:widowControl/>
              <w:rPr>
                <w:rFonts w:ascii="宋体" w:hAnsi="宋体"/>
                <w:b/>
                <w:bCs/>
                <w:szCs w:val="21"/>
              </w:rPr>
            </w:pPr>
            <w:r>
              <w:rPr>
                <w:rFonts w:ascii="宋体" w:hAnsi="宋体"/>
                <w:b/>
                <w:bCs/>
                <w:szCs w:val="21"/>
              </w:rPr>
              <w:t xml:space="preserve">分值</w:t>
            </w:r>
            <w:r/>
          </w:p>
        </w:tc>
      </w:tr>
      <w:tr>
        <w:trPr>
          <w:jc w:val="center"/>
          <w:trHeight w:val="1824"/>
        </w:trPr>
        <w:tc>
          <w:tcPr>
            <w:tcW w:w="377" w:type="pct"/>
            <w:vAlign w:val="center"/>
            <w:textDirection w:val="lrTb"/>
            <w:noWrap w:val="false"/>
          </w:tcPr>
          <w:p>
            <w:pPr>
              <w:jc w:val="center"/>
              <w:spacing w:line="360" w:lineRule="auto"/>
              <w:widowControl/>
              <w:rPr>
                <w:rFonts w:ascii="宋体" w:hAnsi="宋体"/>
                <w:szCs w:val="21"/>
              </w:rPr>
            </w:pPr>
            <w:r/>
            <w:bookmarkStart w:id="26" w:name="OLE_LINK3"/>
            <w:r/>
            <w:bookmarkStart w:id="27" w:name="OLE_LINK5"/>
            <w:r/>
            <w:bookmarkStart w:id="28" w:name="OLE_LINK6"/>
            <w:r>
              <w:rPr>
                <w:rFonts w:ascii="宋体" w:hAnsi="宋体"/>
                <w:szCs w:val="21"/>
              </w:rPr>
              <w:t xml:space="preserve">1</w:t>
            </w:r>
            <w:r/>
          </w:p>
        </w:tc>
        <w:tc>
          <w:tcPr>
            <w:tcW w:w="600" w:type="pct"/>
            <w:vAlign w:val="center"/>
            <w:textDirection w:val="lrTb"/>
            <w:noWrap w:val="false"/>
          </w:tcPr>
          <w:p>
            <w:pPr>
              <w:jc w:val="center"/>
              <w:spacing w:line="360" w:lineRule="auto"/>
              <w:widowControl/>
              <w:rPr>
                <w:rFonts w:ascii="宋体" w:hAnsi="宋体"/>
                <w:szCs w:val="21"/>
              </w:rPr>
            </w:pPr>
            <w:r>
              <w:rPr>
                <w:rFonts w:ascii="宋体" w:hAnsi="宋体"/>
                <w:szCs w:val="21"/>
              </w:rPr>
              <w:t xml:space="preserve">价格</w:t>
            </w:r>
            <w:r/>
          </w:p>
          <w:p>
            <w:pPr>
              <w:jc w:val="center"/>
              <w:spacing w:line="360" w:lineRule="auto"/>
              <w:widowControl/>
              <w:rPr>
                <w:rFonts w:ascii="宋体" w:hAnsi="宋体"/>
                <w:szCs w:val="21"/>
              </w:rPr>
            </w:pPr>
            <w:r>
              <w:rPr>
                <w:rFonts w:ascii="宋体" w:hAnsi="宋体"/>
                <w:szCs w:val="21"/>
              </w:rPr>
              <w:t xml:space="preserve">（10分）</w:t>
            </w:r>
            <w:r/>
          </w:p>
        </w:tc>
        <w:tc>
          <w:tcPr>
            <w:gridSpan w:val="3"/>
            <w:tcW w:w="3668"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价格分采用低价优先法计算，即满足磋商文件要求且磋商最终报价最低的供应商磋商报价为评审基准价，其价格分为满分10分，其它供应商的价格分统一按照以下公式计算：</w:t>
            </w:r>
            <w:r/>
          </w:p>
          <w:p>
            <w:pPr>
              <w:spacing w:line="360" w:lineRule="auto"/>
              <w:widowControl/>
              <w:rPr>
                <w:rFonts w:ascii="宋体" w:hAnsi="宋体"/>
                <w:szCs w:val="21"/>
              </w:rPr>
            </w:pPr>
            <w:r>
              <w:rPr>
                <w:rFonts w:hint="eastAsia" w:ascii="宋体" w:hAnsi="宋体"/>
                <w:szCs w:val="21"/>
              </w:rPr>
              <w:t xml:space="preserve">磋商报价得分=（评审基准价/该供应商的磋商最终报价）×10分（小数点后保留两位小数）。</w:t>
            </w:r>
            <w:r/>
          </w:p>
        </w:tc>
        <w:tc>
          <w:tcPr>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10</w:t>
            </w:r>
            <w:r/>
          </w:p>
        </w:tc>
      </w:tr>
      <w:tr>
        <w:trPr>
          <w:jc w:val="center"/>
          <w:trHeight w:val="1286"/>
        </w:trPr>
        <w:tc>
          <w:tcPr>
            <w:tcBorders>
              <w:bottom w:val="single" w:color="auto" w:sz="4" w:space="0"/>
            </w:tcBorders>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2.1</w:t>
            </w:r>
            <w:r/>
          </w:p>
        </w:tc>
        <w:tc>
          <w:tcPr>
            <w:tcW w:w="600" w:type="pct"/>
            <w:vAlign w:val="center"/>
            <w:vMerge w:val="restart"/>
            <w:textDirection w:val="lrTb"/>
            <w:noWrap w:val="false"/>
          </w:tcPr>
          <w:p>
            <w:pPr>
              <w:jc w:val="center"/>
              <w:spacing w:line="360" w:lineRule="auto"/>
              <w:widowControl/>
              <w:rPr>
                <w:rFonts w:ascii="宋体" w:hAnsi="宋体"/>
                <w:szCs w:val="21"/>
              </w:rPr>
            </w:pPr>
            <w:r>
              <w:rPr>
                <w:rFonts w:hint="eastAsia" w:ascii="宋体" w:hAnsi="宋体"/>
                <w:szCs w:val="21"/>
              </w:rPr>
              <w:t xml:space="preserve">技术部分</w:t>
            </w:r>
            <w:r/>
          </w:p>
          <w:p>
            <w:pPr>
              <w:jc w:val="center"/>
              <w:spacing w:line="360" w:lineRule="auto"/>
              <w:widowControl/>
              <w:rPr>
                <w:rFonts w:ascii="宋体" w:hAnsi="宋体"/>
                <w:szCs w:val="21"/>
              </w:rPr>
            </w:pPr>
            <w:r>
              <w:rPr>
                <w:rFonts w:hint="eastAsia" w:ascii="宋体" w:hAnsi="宋体"/>
                <w:szCs w:val="21"/>
              </w:rPr>
              <w:t xml:space="preserve">（50分）</w:t>
            </w:r>
            <w:r/>
          </w:p>
        </w:tc>
        <w:tc>
          <w:tcPr>
            <w:tcBorders>
              <w:bottom w:val="single" w:color="auto" w:sz="4" w:space="0"/>
              <w:right w:val="single" w:color="auto" w:sz="4" w:space="0"/>
            </w:tcBorders>
            <w:tcW w:w="548"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服务内容响应</w:t>
            </w:r>
            <w:r/>
          </w:p>
        </w:tc>
        <w:tc>
          <w:tcPr>
            <w:gridSpan w:val="2"/>
            <w:tcBorders>
              <w:left w:val="single" w:color="auto" w:sz="4" w:space="0"/>
              <w:bottom w:val="single" w:color="auto" w:sz="4" w:space="0"/>
            </w:tcBorders>
            <w:tcW w:w="3119"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磋商供应商需对采购需求中的技术要求进行逐项响应，完全符合技术要求的得15分。打▲项每有一项不满足的，扣</w:t>
            </w:r>
            <w:r>
              <w:rPr>
                <w:rFonts w:hint="eastAsia" w:ascii="宋体" w:hAnsi="宋体"/>
                <w:szCs w:val="21"/>
                <w:lang w:val="en-US" w:eastAsia="zh-CN"/>
              </w:rPr>
              <w:t xml:space="preserve">1</w:t>
            </w:r>
            <w:r>
              <w:rPr>
                <w:rFonts w:hint="eastAsia" w:ascii="宋体" w:hAnsi="宋体"/>
                <w:szCs w:val="21"/>
              </w:rPr>
              <w:t xml:space="preserve">分；其他一般技术要求每有一项不满足的，扣</w:t>
            </w:r>
            <w:r>
              <w:rPr>
                <w:rFonts w:hint="eastAsia" w:ascii="宋体" w:hAnsi="宋体"/>
                <w:szCs w:val="21"/>
                <w:lang w:val="en-US" w:eastAsia="zh-CN"/>
              </w:rPr>
              <w:t xml:space="preserve">0.5</w:t>
            </w:r>
            <w:r>
              <w:rPr>
                <w:rFonts w:hint="eastAsia" w:ascii="宋体" w:hAnsi="宋体"/>
                <w:szCs w:val="21"/>
              </w:rPr>
              <w:t xml:space="preserve">分，扣完为止。</w:t>
            </w:r>
            <w:r/>
          </w:p>
        </w:tc>
        <w:tc>
          <w:tcPr>
            <w:tcBorders>
              <w:bottom w:val="single" w:color="auto" w:sz="4" w:space="0"/>
            </w:tcBorders>
            <w:tcW w:w="353" w:type="pct"/>
            <w:vAlign w:val="center"/>
            <w:textDirection w:val="lrTb"/>
            <w:noWrap w:val="false"/>
          </w:tcPr>
          <w:p>
            <w:pPr>
              <w:jc w:val="center"/>
              <w:widowControl/>
              <w:rPr>
                <w:rFonts w:ascii="宋体" w:hAnsi="宋体"/>
                <w:sz w:val="24"/>
                <w:szCs w:val="24"/>
                <w:lang w:bidi="ar"/>
              </w:rPr>
            </w:pPr>
            <w:r>
              <w:rPr>
                <w:rFonts w:hint="eastAsia" w:ascii="宋体" w:hAnsi="宋体"/>
                <w:szCs w:val="21"/>
              </w:rPr>
              <w:t xml:space="preserve">15</w:t>
            </w:r>
            <w:r/>
          </w:p>
        </w:tc>
      </w:tr>
      <w:tr>
        <w:trPr>
          <w:jc w:val="center"/>
          <w:trHeight w:val="1663"/>
        </w:trPr>
        <w:tc>
          <w:tcPr>
            <w:tcBorders>
              <w:top w:val="single" w:color="auto" w:sz="4" w:space="0"/>
            </w:tcBorders>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2.2</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4" w:space="0"/>
              <w:right w:val="single" w:color="auto" w:sz="4" w:space="0"/>
            </w:tcBorders>
            <w:tcW w:w="548" w:type="pct"/>
            <w:vAlign w:val="center"/>
            <w:vMerge w:val="restart"/>
            <w:textDirection w:val="lrTb"/>
            <w:noWrap w:val="false"/>
          </w:tcPr>
          <w:p>
            <w:pPr>
              <w:spacing w:line="360" w:lineRule="auto"/>
              <w:widowControl/>
              <w:rPr>
                <w:rFonts w:ascii="宋体" w:hAnsi="宋体"/>
                <w:szCs w:val="21"/>
              </w:rPr>
            </w:pPr>
            <w:r>
              <w:rPr>
                <w:rFonts w:hint="eastAsia" w:ascii="宋体" w:hAnsi="宋体"/>
                <w:szCs w:val="21"/>
                <w:highlight w:val="none"/>
              </w:rPr>
              <w:t xml:space="preserve">系统功能维护升级响应</w:t>
            </w:r>
            <w:r/>
          </w:p>
        </w:tc>
        <w:tc>
          <w:tcPr>
            <w:tcBorders>
              <w:top w:val="single" w:color="auto" w:sz="4" w:space="0"/>
              <w:left w:val="single" w:color="auto" w:sz="4" w:space="0"/>
              <w:right w:val="single" w:color="auto" w:sz="4" w:space="0"/>
            </w:tcBorders>
            <w:tcW w:w="624" w:type="pct"/>
            <w:vAlign w:val="center"/>
            <w:textDirection w:val="lrTb"/>
            <w:noWrap w:val="false"/>
          </w:tcPr>
          <w:p>
            <w:pPr>
              <w:spacing w:line="26" w:lineRule="atLeast"/>
              <w:widowControl/>
              <w:rPr>
                <w:rFonts w:ascii="宋体" w:hAnsi="宋体"/>
                <w:szCs w:val="21"/>
              </w:rPr>
            </w:pPr>
            <w:r>
              <w:rPr>
                <w:rFonts w:hint="eastAsia" w:ascii="宋体" w:hAnsi="宋体"/>
                <w:bCs/>
                <w:szCs w:val="21"/>
              </w:rPr>
              <w:t xml:space="preserve">分析研判性能优化方案</w:t>
            </w:r>
            <w:r/>
          </w:p>
        </w:tc>
        <w:tc>
          <w:tcPr>
            <w:tcBorders>
              <w:top w:val="single" w:color="auto" w:sz="4" w:space="0"/>
              <w:left w:val="single" w:color="auto" w:sz="4" w:space="0"/>
            </w:tcBorders>
            <w:tcW w:w="2494"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方案需要包含分析研判-报表中心下所有统计分析的离线计算展示等内容，根据方案的科学性、优化后能达到的效果评分，</w:t>
            </w:r>
            <w:r>
              <w:t xml:space="preserve">方案清晰合理、可行性高，完全满足项目需求的得</w:t>
            </w:r>
            <w:r>
              <w:rPr>
                <w:rFonts w:hint="eastAsia"/>
                <w:lang w:val="en-US" w:eastAsia="zh-CN"/>
              </w:rPr>
              <w:t xml:space="preserve">4</w:t>
            </w:r>
            <w:r>
              <w:t xml:space="preserve">分；基本合理可行，基本满足项目需求，略有欠缺需要完善的，得</w:t>
            </w:r>
            <w:r>
              <w:rPr>
                <w:rFonts w:hint="eastAsia"/>
                <w:lang w:val="en-US" w:eastAsia="zh-CN"/>
              </w:rPr>
              <w:t xml:space="preserve">3</w:t>
            </w:r>
            <w:r>
              <w:t xml:space="preserve">分；方案一般、可行性一般，不能较好满足项目需求的</w:t>
            </w:r>
            <w:r>
              <w:rPr>
                <w:rFonts w:hint="eastAsia"/>
                <w:lang w:val="en-US" w:eastAsia="zh-CN"/>
              </w:rPr>
              <w:t xml:space="preserve">2</w:t>
            </w:r>
            <w:r>
              <w:t xml:space="preserve">分；方案简单粗陋、可行性较差，基本不能满足项目需求的</w:t>
            </w:r>
            <w:r>
              <w:rPr>
                <w:rFonts w:hint="eastAsia"/>
              </w:rPr>
              <w:t xml:space="preserve">或未</w:t>
            </w:r>
            <w:r>
              <w:t xml:space="preserve">提供的得</w:t>
            </w:r>
            <w:r>
              <w:rPr>
                <w:rFonts w:hint="eastAsia"/>
              </w:rPr>
              <w:t xml:space="preserve">0</w:t>
            </w:r>
            <w:r>
              <w:t xml:space="preserve">分。</w:t>
            </w:r>
            <w:r/>
          </w:p>
        </w:tc>
        <w:tc>
          <w:tcPr>
            <w:tcBorders>
              <w:top w:val="single" w:color="auto" w:sz="4" w:space="0"/>
            </w:tcBorders>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w:t>
            </w:r>
            <w:r/>
          </w:p>
        </w:tc>
      </w:tr>
      <w:tr>
        <w:trPr>
          <w:jc w:val="center"/>
          <w:trHeight w:val="1998"/>
        </w:trPr>
        <w:tc>
          <w:tcPr>
            <w:tcBorders>
              <w:top w:val="single" w:color="auto" w:sz="4" w:space="0"/>
              <w:bottom w:val="single" w:color="auto" w:sz="4" w:space="0"/>
            </w:tcBorders>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2.3</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right w:val="single" w:color="auto" w:sz="4" w:space="0"/>
            </w:tcBorders>
            <w:tcW w:w="548" w:type="pct"/>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624" w:type="pct"/>
            <w:vAlign w:val="center"/>
            <w:vMerge w:val="restart"/>
            <w:textDirection w:val="lrTb"/>
            <w:noWrap w:val="false"/>
          </w:tcPr>
          <w:p>
            <w:pPr>
              <w:spacing w:line="26" w:lineRule="atLeast"/>
              <w:widowControl/>
              <w:rPr>
                <w:rFonts w:ascii="宋体" w:hAnsi="宋体"/>
                <w:szCs w:val="21"/>
              </w:rPr>
            </w:pPr>
            <w:r>
              <w:rPr>
                <w:rFonts w:hint="eastAsia" w:ascii="宋体" w:hAnsi="宋体"/>
                <w:szCs w:val="21"/>
              </w:rPr>
              <w:t xml:space="preserve">存量数据治理方案</w:t>
            </w:r>
            <w:r/>
          </w:p>
        </w:tc>
        <w:tc>
          <w:tcPr>
            <w:tcBorders>
              <w:top w:val="single" w:color="auto" w:sz="4" w:space="0"/>
              <w:left w:val="single" w:color="auto" w:sz="4" w:space="0"/>
            </w:tcBorders>
            <w:tcW w:w="2494" w:type="pct"/>
            <w:vAlign w:val="center"/>
            <w:vMerge w:val="restart"/>
            <w:textDirection w:val="lrTb"/>
            <w:noWrap w:val="false"/>
          </w:tcPr>
          <w:p>
            <w:pPr>
              <w:spacing w:line="360" w:lineRule="auto"/>
              <w:widowControl/>
              <w:rPr>
                <w:rFonts w:ascii="宋体" w:hAnsi="宋体"/>
                <w:szCs w:val="21"/>
              </w:rPr>
            </w:pPr>
            <w:r>
              <w:rPr>
                <w:rFonts w:hint="eastAsia" w:ascii="宋体" w:hAnsi="宋体"/>
                <w:szCs w:val="21"/>
              </w:rPr>
              <w:t xml:space="preserve">方案需要体现存量非结构化执法数据备份以及结构化数据清理等，根据方案的科学性，与需求的匹配程度评分，</w:t>
            </w:r>
            <w:r>
              <w:t xml:space="preserve">方案清晰合理、可行性高，完全满足项目需求的得</w:t>
            </w:r>
            <w:r>
              <w:rPr>
                <w:rFonts w:hint="eastAsia"/>
                <w:lang w:val="en-US" w:eastAsia="zh-CN"/>
              </w:rPr>
              <w:t xml:space="preserve">4</w:t>
            </w:r>
            <w:r>
              <w:t xml:space="preserve">分；基本合理可行，基本满足项目需求，略有欠缺需要完善的，得</w:t>
            </w:r>
            <w:r>
              <w:rPr>
                <w:rFonts w:hint="eastAsia"/>
                <w:lang w:val="en-US" w:eastAsia="zh-CN"/>
              </w:rPr>
              <w:t xml:space="preserve">3</w:t>
            </w:r>
            <w:r>
              <w:t xml:space="preserve">分；方案一般、可行性一般，不能较好满足项目需求的</w:t>
            </w:r>
            <w:r>
              <w:rPr>
                <w:rFonts w:hint="eastAsia"/>
                <w:lang w:val="en-US" w:eastAsia="zh-CN"/>
              </w:rPr>
              <w:t xml:space="preserve">2</w:t>
            </w:r>
            <w:r>
              <w:t xml:space="preserve">分；方案简单粗陋、可行性较差，基本不能满足项目需求的</w:t>
            </w:r>
            <w:r>
              <w:rPr>
                <w:rFonts w:hint="eastAsia"/>
              </w:rPr>
              <w:t xml:space="preserve">或未</w:t>
            </w:r>
            <w:r>
              <w:t xml:space="preserve">提供的得</w:t>
            </w:r>
            <w:r>
              <w:rPr>
                <w:rFonts w:hint="eastAsia"/>
              </w:rPr>
              <w:t xml:space="preserve">0</w:t>
            </w:r>
            <w:r>
              <w:t xml:space="preserve">分。</w:t>
            </w:r>
            <w:r/>
          </w:p>
        </w:tc>
        <w:tc>
          <w:tcPr>
            <w:tcBorders>
              <w:top w:val="single" w:color="auto" w:sz="4" w:space="0"/>
            </w:tcBorders>
            <w:tcW w:w="353" w:type="pct"/>
            <w:vAlign w:val="center"/>
            <w:vMerge w:val="restart"/>
            <w:textDirection w:val="lrTb"/>
            <w:noWrap w:val="false"/>
          </w:tcPr>
          <w:p>
            <w:pPr>
              <w:jc w:val="center"/>
              <w:spacing w:line="360" w:lineRule="auto"/>
              <w:widowControl/>
              <w:tabs>
                <w:tab w:val="center" w:pos="320" w:leader="none"/>
                <w:tab w:val="left" w:pos="470" w:leader="none"/>
              </w:tabs>
              <w:rPr>
                <w:rFonts w:ascii="宋体" w:hAnsi="宋体"/>
                <w:szCs w:val="21"/>
              </w:rPr>
            </w:pPr>
            <w:r>
              <w:rPr>
                <w:rFonts w:hint="eastAsia" w:ascii="宋体" w:hAnsi="宋体"/>
                <w:szCs w:val="21"/>
              </w:rPr>
              <w:t xml:space="preserve">4</w:t>
            </w:r>
            <w:r/>
          </w:p>
        </w:tc>
      </w:tr>
      <w:tr>
        <w:trPr>
          <w:jc w:val="center"/>
          <w:trHeight w:val="409"/>
        </w:trPr>
        <w:tc>
          <w:tcPr>
            <w:tcBorders>
              <w:top w:val="single" w:color="auto" w:sz="4" w:space="0"/>
            </w:tcBorders>
            <w:tcW w:w="377" w:type="pct"/>
            <w:vAlign w:val="center"/>
            <w:vMerge w:val="restart"/>
            <w:textDirection w:val="lrTb"/>
            <w:noWrap w:val="false"/>
          </w:tcPr>
          <w:p>
            <w:pPr>
              <w:jc w:val="center"/>
              <w:spacing w:line="360" w:lineRule="auto"/>
              <w:widowControl/>
              <w:rPr>
                <w:rFonts w:ascii="宋体" w:hAnsi="宋体"/>
                <w:szCs w:val="21"/>
              </w:rPr>
            </w:pPr>
            <w:r>
              <w:rPr>
                <w:rFonts w:hint="eastAsia" w:ascii="宋体" w:hAnsi="宋体"/>
                <w:szCs w:val="21"/>
              </w:rPr>
              <w:t xml:space="preserve">2.4</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right w:val="single" w:color="auto" w:sz="4" w:space="0"/>
            </w:tcBorders>
            <w:tcW w:w="548" w:type="pct"/>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624" w:type="pct"/>
            <w:vAlign w:val="center"/>
            <w:vMerge w:val="continue"/>
            <w:textDirection w:val="lrTb"/>
            <w:noWrap w:val="false"/>
          </w:tcPr>
          <w:p>
            <w:pPr>
              <w:spacing w:line="26" w:lineRule="atLeast"/>
              <w:widowControl/>
              <w:rPr>
                <w:rFonts w:ascii="宋体" w:hAnsi="宋体"/>
                <w:szCs w:val="21"/>
              </w:rPr>
            </w:pPr>
            <w:r>
              <w:rPr>
                <w:rFonts w:ascii="宋体" w:hAnsi="宋体"/>
                <w:szCs w:val="21"/>
              </w:rPr>
            </w:r>
            <w:r/>
          </w:p>
        </w:tc>
        <w:tc>
          <w:tcPr>
            <w:tcBorders>
              <w:left w:val="single" w:color="auto" w:sz="4" w:space="0"/>
              <w:bottom w:val="single" w:color="auto" w:sz="4" w:space="0"/>
            </w:tcBorders>
            <w:tcW w:w="2494" w:type="pct"/>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bottom w:val="single" w:color="auto" w:sz="4" w:space="0"/>
            </w:tcBorders>
            <w:tcW w:w="353"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72"/>
        </w:trPr>
        <w:tc>
          <w:tcPr>
            <w:tcBorders>
              <w:bottom w:val="single" w:color="auto" w:sz="4" w:space="0"/>
            </w:tcBorders>
            <w:tcW w:w="377"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right w:val="single" w:color="auto" w:sz="4" w:space="0"/>
            </w:tcBorders>
            <w:tcW w:w="548" w:type="pct"/>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spacing w:line="26" w:lineRule="atLeast"/>
              <w:widowControl/>
              <w:rPr>
                <w:rFonts w:ascii="宋体" w:hAnsi="宋体"/>
                <w:szCs w:val="21"/>
              </w:rPr>
            </w:pPr>
            <w:r>
              <w:rPr>
                <w:rFonts w:hint="eastAsia" w:ascii="宋体" w:hAnsi="宋体"/>
                <w:szCs w:val="21"/>
              </w:rPr>
              <w:t xml:space="preserve">外部数据上报功能升级方案</w:t>
            </w:r>
            <w:r/>
          </w:p>
        </w:tc>
        <w:tc>
          <w:tcPr>
            <w:tcBorders>
              <w:top w:val="single" w:color="auto" w:sz="4" w:space="0"/>
              <w:left w:val="single" w:color="auto" w:sz="4" w:space="0"/>
              <w:bottom w:val="single" w:color="auto" w:sz="4" w:space="0"/>
            </w:tcBorders>
            <w:tcW w:w="2494"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方案需要包括应急部及信用中国等数据上报管理升级等，根据方案的科学性、可行性，以及优化后的效果评分，</w:t>
            </w:r>
            <w:r>
              <w:t xml:space="preserve">方案清晰合理、可行性高，完全满足项目需求的得</w:t>
            </w:r>
            <w:r>
              <w:rPr>
                <w:rFonts w:hint="eastAsia"/>
                <w:lang w:val="en-US" w:eastAsia="zh-CN"/>
              </w:rPr>
              <w:t xml:space="preserve">4</w:t>
            </w:r>
            <w:r>
              <w:t xml:space="preserve">分；基本合理可行，基本满足项目需求，略有欠缺需要完善的，得</w:t>
            </w:r>
            <w:r>
              <w:rPr>
                <w:rFonts w:hint="eastAsia"/>
                <w:lang w:val="en-US" w:eastAsia="zh-CN"/>
              </w:rPr>
              <w:t xml:space="preserve">3</w:t>
            </w:r>
            <w:r>
              <w:t xml:space="preserve">分；方案一般、可行性一般，不能较好满足项目需求的</w:t>
            </w:r>
            <w:r>
              <w:rPr>
                <w:rFonts w:hint="eastAsia"/>
                <w:lang w:val="en-US" w:eastAsia="zh-CN"/>
              </w:rPr>
              <w:t xml:space="preserve">2</w:t>
            </w:r>
            <w:r>
              <w:t xml:space="preserve">分；方案简单粗陋、可行性较差，基本不能满足项目需求的</w:t>
            </w:r>
            <w:r>
              <w:rPr>
                <w:rFonts w:hint="eastAsia"/>
              </w:rPr>
              <w:t xml:space="preserve">或未</w:t>
            </w:r>
            <w:r>
              <w:t xml:space="preserve">提供的得</w:t>
            </w:r>
            <w:r>
              <w:rPr>
                <w:rFonts w:hint="eastAsia"/>
              </w:rPr>
              <w:t xml:space="preserve">0</w:t>
            </w:r>
            <w:r>
              <w:t xml:space="preserve">分。</w:t>
            </w:r>
            <w:r/>
          </w:p>
        </w:tc>
        <w:tc>
          <w:tcPr>
            <w:tcBorders>
              <w:top w:val="single" w:color="auto" w:sz="4" w:space="0"/>
            </w:tcBorders>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w:t>
            </w:r>
            <w:r/>
          </w:p>
        </w:tc>
      </w:tr>
      <w:tr>
        <w:trPr>
          <w:jc w:val="center"/>
          <w:trHeight w:val="1163"/>
        </w:trPr>
        <w:tc>
          <w:tcPr>
            <w:tcBorders>
              <w:top w:val="single" w:color="auto" w:sz="4" w:space="0"/>
              <w:bottom w:val="single" w:color="auto" w:sz="4" w:space="0"/>
            </w:tcBorders>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2.5</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right w:val="single" w:color="auto" w:sz="4" w:space="0"/>
            </w:tcBorders>
            <w:tcW w:w="548" w:type="pct"/>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624" w:type="pct"/>
            <w:vAlign w:val="center"/>
            <w:textDirection w:val="lrTb"/>
            <w:noWrap w:val="false"/>
          </w:tcPr>
          <w:p>
            <w:pPr>
              <w:spacing w:line="26" w:lineRule="atLeast"/>
              <w:widowControl/>
              <w:rPr>
                <w:rFonts w:ascii="宋体" w:hAnsi="宋体"/>
                <w:szCs w:val="21"/>
              </w:rPr>
            </w:pPr>
            <w:r>
              <w:rPr>
                <w:rFonts w:hint="eastAsia" w:ascii="宋体" w:hAnsi="宋体"/>
                <w:szCs w:val="21"/>
              </w:rPr>
              <w:t xml:space="preserve">执法检查功能优化方案</w:t>
            </w:r>
            <w:r/>
          </w:p>
        </w:tc>
        <w:tc>
          <w:tcPr>
            <w:tcBorders>
              <w:top w:val="single" w:color="auto" w:sz="4" w:space="0"/>
              <w:left w:val="single" w:color="auto" w:sz="4" w:space="0"/>
            </w:tcBorders>
            <w:tcW w:w="2494"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方案需要包括执法检查过程中相关管理功能升级优化项，根据方案的科学性、实用性评分，</w:t>
            </w:r>
            <w:r>
              <w:t xml:space="preserve">方案清晰合理、可行性高，完全满足项目需求的得</w:t>
            </w:r>
            <w:r>
              <w:rPr>
                <w:rFonts w:hint="eastAsia"/>
                <w:lang w:val="en-US" w:eastAsia="zh-CN"/>
              </w:rPr>
              <w:t xml:space="preserve">4</w:t>
            </w:r>
            <w:r>
              <w:t xml:space="preserve">分；基本合理可行，基本满足项目需求，略有欠缺需要完善的，得</w:t>
            </w:r>
            <w:r>
              <w:rPr>
                <w:rFonts w:hint="eastAsia"/>
                <w:lang w:val="en-US" w:eastAsia="zh-CN"/>
              </w:rPr>
              <w:t xml:space="preserve">3</w:t>
            </w:r>
            <w:r>
              <w:t xml:space="preserve">分；方案一般、可行性一般，不能较好满足项目需求的</w:t>
            </w:r>
            <w:r>
              <w:rPr>
                <w:rFonts w:hint="eastAsia"/>
                <w:lang w:val="en-US" w:eastAsia="zh-CN"/>
              </w:rPr>
              <w:t xml:space="preserve">2</w:t>
            </w:r>
            <w:r>
              <w:t xml:space="preserve">分；方案简单粗陋、可行性较差，基本不能满足项目需求的</w:t>
            </w:r>
            <w:r>
              <w:rPr>
                <w:rFonts w:hint="eastAsia"/>
              </w:rPr>
              <w:t xml:space="preserve">或未</w:t>
            </w:r>
            <w:r>
              <w:t xml:space="preserve">提供的得</w:t>
            </w:r>
            <w:r>
              <w:rPr>
                <w:rFonts w:hint="eastAsia"/>
              </w:rPr>
              <w:t xml:space="preserve">0</w:t>
            </w:r>
            <w:r>
              <w:t xml:space="preserve">分。</w:t>
            </w:r>
            <w:r/>
          </w:p>
        </w:tc>
        <w:tc>
          <w:tcPr>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w:t>
            </w:r>
            <w:r/>
          </w:p>
        </w:tc>
      </w:tr>
      <w:tr>
        <w:trPr>
          <w:jc w:val="center"/>
          <w:trHeight w:val="1709"/>
        </w:trPr>
        <w:tc>
          <w:tcPr>
            <w:tcBorders>
              <w:top w:val="single" w:color="auto" w:sz="4" w:space="0"/>
            </w:tcBorders>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2.6</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right w:val="single" w:color="auto" w:sz="4" w:space="0"/>
            </w:tcBorders>
            <w:tcW w:w="548" w:type="pct"/>
            <w:vAlign w:val="center"/>
            <w:textDirection w:val="lrTb"/>
            <w:noWrap w:val="false"/>
          </w:tcPr>
          <w:p>
            <w:pPr>
              <w:spacing w:line="360" w:lineRule="auto"/>
              <w:widowControl/>
              <w:rPr>
                <w:rFonts w:ascii="宋体" w:hAnsi="宋体"/>
                <w:szCs w:val="21"/>
              </w:rPr>
            </w:pPr>
            <w:r>
              <w:rPr>
                <w:rFonts w:hint="eastAsia" w:ascii="宋体" w:hAnsi="宋体"/>
                <w:szCs w:val="21"/>
                <w:highlight w:val="none"/>
              </w:rPr>
              <w:t xml:space="preserve">项目需求理解</w:t>
            </w:r>
            <w:r/>
          </w:p>
        </w:tc>
        <w:tc>
          <w:tcPr>
            <w:gridSpan w:val="2"/>
            <w:tcBorders>
              <w:left w:val="single" w:color="auto" w:sz="4" w:space="0"/>
            </w:tcBorders>
            <w:tcW w:w="3119"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磋商供应商需充分理解项目运维服务需求、服务范围、服务内容，并对项目运维需求进行分析。根据方案的科学性、先进性、合理性、实用性、完整性评分，</w:t>
            </w:r>
            <w:r>
              <w:t xml:space="preserve">方案清晰合理、可行性高，完全满足项目需求的得</w:t>
            </w:r>
            <w:r>
              <w:rPr>
                <w:rFonts w:hint="eastAsia"/>
                <w:lang w:val="en-US" w:eastAsia="zh-CN"/>
              </w:rPr>
              <w:t xml:space="preserve">4</w:t>
            </w:r>
            <w:r>
              <w:t xml:space="preserve">分；基本合理可行，基本满足项目需求，略有欠缺需要完善的，得</w:t>
            </w:r>
            <w:r>
              <w:rPr>
                <w:rFonts w:hint="eastAsia"/>
                <w:lang w:val="en-US" w:eastAsia="zh-CN"/>
              </w:rPr>
              <w:t xml:space="preserve">3</w:t>
            </w:r>
            <w:r>
              <w:t xml:space="preserve">分；方案一般、可行性一般，不能较好满足项目需求的</w:t>
            </w:r>
            <w:r>
              <w:rPr>
                <w:rFonts w:hint="eastAsia"/>
                <w:lang w:val="en-US" w:eastAsia="zh-CN"/>
              </w:rPr>
              <w:t xml:space="preserve">2</w:t>
            </w:r>
            <w:r>
              <w:t xml:space="preserve">分；方案简单粗陋、可行性较差，基本不能满足项目需求的</w:t>
            </w:r>
            <w:r>
              <w:rPr>
                <w:rFonts w:hint="eastAsia"/>
              </w:rPr>
              <w:t xml:space="preserve">或未</w:t>
            </w:r>
            <w:r>
              <w:t xml:space="preserve">提供的得</w:t>
            </w:r>
            <w:r>
              <w:rPr>
                <w:rFonts w:hint="eastAsia"/>
              </w:rPr>
              <w:t xml:space="preserve">0</w:t>
            </w:r>
            <w:r>
              <w:t xml:space="preserve">分。</w:t>
            </w:r>
            <w:r/>
          </w:p>
        </w:tc>
        <w:tc>
          <w:tcPr>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w:t>
            </w:r>
            <w:r/>
          </w:p>
        </w:tc>
      </w:tr>
      <w:tr>
        <w:trPr>
          <w:jc w:val="center"/>
          <w:trHeight w:val="337"/>
        </w:trPr>
        <w:tc>
          <w:tcPr>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2.7</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right w:val="single" w:color="auto" w:sz="4" w:space="0"/>
            </w:tcBorders>
            <w:tcW w:w="548"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软件系统运维方案</w:t>
            </w:r>
            <w:r/>
          </w:p>
        </w:tc>
        <w:tc>
          <w:tcPr>
            <w:gridSpan w:val="2"/>
            <w:tcBorders>
              <w:left w:val="single" w:color="auto" w:sz="4" w:space="0"/>
            </w:tcBorders>
            <w:tcW w:w="3119"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磋商供应商需提供软件系统运维方案，方案内容应包括但不限于服务内容、服务方式、服务流程等。</w:t>
            </w:r>
            <w:r>
              <w:t xml:space="preserve">方案清晰合理、可行性高，完全满足项目需求的得</w:t>
            </w:r>
            <w:r>
              <w:rPr>
                <w:rFonts w:hint="eastAsia"/>
              </w:rPr>
              <w:t xml:space="preserve">5</w:t>
            </w:r>
            <w:r>
              <w:t xml:space="preserve">分；基本合理可行，基本满足项目需求，略有欠缺需要完善的，得</w:t>
            </w:r>
            <w:r>
              <w:rPr>
                <w:rFonts w:hint="eastAsia"/>
              </w:rPr>
              <w:t xml:space="preserve">4</w:t>
            </w:r>
            <w:r>
              <w:t xml:space="preserve">分；方案一般、可行性一般，不能较好满足项目需求的</w:t>
            </w:r>
            <w:r>
              <w:rPr>
                <w:rFonts w:hint="eastAsia"/>
              </w:rPr>
              <w:t xml:space="preserve">3</w:t>
            </w:r>
            <w:r>
              <w:t xml:space="preserve">分；方案简单粗陋、可行性较差，基本不能满足项目需求的</w:t>
            </w:r>
            <w:r>
              <w:rPr>
                <w:rFonts w:hint="eastAsia"/>
              </w:rPr>
              <w:t xml:space="preserve">或未</w:t>
            </w:r>
            <w:r>
              <w:t xml:space="preserve">提供的得</w:t>
            </w:r>
            <w:r>
              <w:rPr>
                <w:rFonts w:hint="eastAsia"/>
              </w:rPr>
              <w:t xml:space="preserve">0</w:t>
            </w:r>
            <w:r>
              <w:t xml:space="preserve">分。</w:t>
            </w:r>
            <w:r/>
          </w:p>
        </w:tc>
        <w:tc>
          <w:tcPr>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w:t>
            </w:r>
            <w:r/>
          </w:p>
        </w:tc>
      </w:tr>
      <w:tr>
        <w:trPr>
          <w:jc w:val="center"/>
          <w:trHeight w:val="1904"/>
        </w:trPr>
        <w:tc>
          <w:tcPr>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2.8</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right w:val="single" w:color="auto" w:sz="4" w:space="0"/>
            </w:tcBorders>
            <w:tcW w:w="548"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网络安全和数据安全防护方案</w:t>
            </w:r>
            <w:r/>
          </w:p>
        </w:tc>
        <w:tc>
          <w:tcPr>
            <w:gridSpan w:val="2"/>
            <w:tcBorders>
              <w:left w:val="single" w:color="auto" w:sz="4" w:space="0"/>
            </w:tcBorders>
            <w:tcW w:w="3119"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磋商供应商需提供网络安全和数据安全防护方案，方案内容应包括但不限于</w:t>
            </w:r>
            <w:r>
              <w:rPr>
                <w:rFonts w:hint="eastAsia" w:ascii="宋体" w:hAnsi="宋体"/>
                <w:szCs w:val="21"/>
                <w:lang w:eastAsia="zh-Hans"/>
              </w:rPr>
              <w:t xml:space="preserve">密码应用防护方案</w:t>
            </w:r>
            <w:r>
              <w:rPr>
                <w:rFonts w:hint="eastAsia" w:ascii="宋体" w:hAnsi="宋体"/>
                <w:szCs w:val="21"/>
              </w:rPr>
              <w:t xml:space="preserve">、</w:t>
            </w:r>
            <w:r>
              <w:rPr>
                <w:rFonts w:hint="eastAsia" w:ascii="宋体" w:hAnsi="宋体"/>
                <w:szCs w:val="21"/>
                <w:lang w:eastAsia="zh-Hans"/>
              </w:rPr>
              <w:t xml:space="preserve">网络安全保护方案</w:t>
            </w:r>
            <w:r>
              <w:rPr>
                <w:rFonts w:hint="eastAsia" w:ascii="宋体" w:hAnsi="宋体"/>
                <w:szCs w:val="21"/>
              </w:rPr>
              <w:t xml:space="preserve">。</w:t>
            </w:r>
            <w:r>
              <w:t xml:space="preserve">方案清晰合理、可行性高，完全满足项目需求的得</w:t>
            </w:r>
            <w:r>
              <w:rPr>
                <w:rFonts w:hint="eastAsia"/>
              </w:rPr>
              <w:t xml:space="preserve">5</w:t>
            </w:r>
            <w:r>
              <w:t xml:space="preserve">分；基本合理可行，基本满足项目需求，略有欠缺需要完善的，得</w:t>
            </w:r>
            <w:r>
              <w:rPr>
                <w:rFonts w:hint="eastAsia"/>
              </w:rPr>
              <w:t xml:space="preserve">4</w:t>
            </w:r>
            <w:r>
              <w:t xml:space="preserve">分；方案一般、可行性一般，不能较好满足项目需求的</w:t>
            </w:r>
            <w:r>
              <w:rPr>
                <w:rFonts w:hint="eastAsia"/>
              </w:rPr>
              <w:t xml:space="preserve">3</w:t>
            </w:r>
            <w:r>
              <w:t xml:space="preserve">分；方案简单粗陋、可行性较差，基本不能满足项目需求的</w:t>
            </w:r>
            <w:r>
              <w:rPr>
                <w:rFonts w:hint="eastAsia"/>
              </w:rPr>
              <w:t xml:space="preserve">或未</w:t>
            </w:r>
            <w:r>
              <w:t xml:space="preserve">提供的得</w:t>
            </w:r>
            <w:r>
              <w:rPr>
                <w:rFonts w:hint="eastAsia"/>
              </w:rPr>
              <w:t xml:space="preserve">0</w:t>
            </w:r>
            <w:r>
              <w:t xml:space="preserve">分。</w:t>
            </w:r>
            <w:r/>
          </w:p>
        </w:tc>
        <w:tc>
          <w:tcPr>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w:t>
            </w:r>
            <w:r/>
          </w:p>
        </w:tc>
      </w:tr>
      <w:tr>
        <w:trPr>
          <w:jc w:val="center"/>
          <w:trHeight w:val="44"/>
        </w:trPr>
        <w:tc>
          <w:tcPr>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2.9</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right w:val="single" w:color="auto" w:sz="4" w:space="0"/>
            </w:tcBorders>
            <w:tcW w:w="548"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故障保障方案</w:t>
            </w:r>
            <w:r/>
          </w:p>
        </w:tc>
        <w:tc>
          <w:tcPr>
            <w:gridSpan w:val="2"/>
            <w:tcBorders>
              <w:left w:val="single" w:color="auto" w:sz="4" w:space="0"/>
            </w:tcBorders>
            <w:tcW w:w="3119"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磋商供应商需针对运维期间可能发生的故障事件，如宕机、数据丢失、业务中断等制定故障保障方案，方案内容应包括但不限于故障事件应急策略、故障处理流程、应急保障措施等。</w:t>
            </w:r>
            <w:r>
              <w:t xml:space="preserve">方案清晰合理、可行性高，完全满足项目需求的得</w:t>
            </w:r>
            <w:r>
              <w:rPr>
                <w:rFonts w:hint="eastAsia"/>
              </w:rPr>
              <w:t xml:space="preserve">5</w:t>
            </w:r>
            <w:r>
              <w:t xml:space="preserve">分；基本合理可行，基本满足项目需求，略有欠缺需要完善的，得</w:t>
            </w:r>
            <w:r>
              <w:rPr>
                <w:rFonts w:hint="eastAsia"/>
              </w:rPr>
              <w:t xml:space="preserve">4</w:t>
            </w:r>
            <w:r>
              <w:t xml:space="preserve">分；方案一般、可行性一般，不能较好满足项目需求的</w:t>
            </w:r>
            <w:r>
              <w:rPr>
                <w:rFonts w:hint="eastAsia"/>
              </w:rPr>
              <w:t xml:space="preserve">3</w:t>
            </w:r>
            <w:r>
              <w:t xml:space="preserve">分；方案简单粗陋、可行性较差，基本不能满足项目需求的</w:t>
            </w:r>
            <w:r>
              <w:rPr>
                <w:rFonts w:hint="eastAsia"/>
              </w:rPr>
              <w:t xml:space="preserve">或未</w:t>
            </w:r>
            <w:r>
              <w:t xml:space="preserve">提供的得</w:t>
            </w:r>
            <w:r>
              <w:rPr>
                <w:rFonts w:hint="eastAsia"/>
              </w:rPr>
              <w:t xml:space="preserve">0</w:t>
            </w:r>
            <w:r>
              <w:t xml:space="preserve">分。</w:t>
            </w:r>
            <w:r/>
          </w:p>
        </w:tc>
        <w:tc>
          <w:tcPr>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w:t>
            </w:r>
            <w:r/>
          </w:p>
        </w:tc>
      </w:tr>
      <w:tr>
        <w:trPr>
          <w:jc w:val="center"/>
          <w:trHeight w:val="596"/>
        </w:trPr>
        <w:tc>
          <w:tcPr>
            <w:tcBorders>
              <w:bottom w:val="single" w:color="auto" w:sz="4" w:space="0"/>
            </w:tcBorders>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3.1</w:t>
            </w:r>
            <w:r/>
          </w:p>
        </w:tc>
        <w:tc>
          <w:tcPr>
            <w:tcW w:w="600" w:type="pct"/>
            <w:vAlign w:val="center"/>
            <w:vMerge w:val="restart"/>
            <w:textDirection w:val="lrTb"/>
            <w:noWrap w:val="false"/>
          </w:tcPr>
          <w:p>
            <w:pPr>
              <w:jc w:val="center"/>
              <w:spacing w:line="360" w:lineRule="auto"/>
              <w:widowControl/>
              <w:rPr>
                <w:rFonts w:ascii="宋体" w:hAnsi="宋体"/>
                <w:szCs w:val="21"/>
              </w:rPr>
            </w:pPr>
            <w:r>
              <w:rPr>
                <w:rFonts w:hint="eastAsia" w:ascii="宋体" w:hAnsi="宋体"/>
                <w:szCs w:val="21"/>
              </w:rPr>
              <w:t xml:space="preserve">团队人员配置(14分）</w:t>
            </w:r>
            <w:r/>
          </w:p>
        </w:tc>
        <w:tc>
          <w:tcPr>
            <w:tcBorders>
              <w:bottom w:val="single" w:color="auto" w:sz="4" w:space="0"/>
              <w:right w:val="single" w:color="auto" w:sz="4" w:space="0"/>
            </w:tcBorders>
            <w:tcW w:w="548"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项目经理配置</w:t>
            </w:r>
            <w:r/>
          </w:p>
        </w:tc>
        <w:tc>
          <w:tcPr>
            <w:gridSpan w:val="2"/>
            <w:tcBorders>
              <w:left w:val="single" w:color="auto" w:sz="4" w:space="0"/>
              <w:bottom w:val="single" w:color="auto" w:sz="4" w:space="0"/>
            </w:tcBorders>
            <w:tcW w:w="3119"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供应商针对本项目组建的团队配备1名项目经理，项目经理具备人力资源和社会保障部、工业和信息化部颁发的高级系统分析师、高级信息系统项目管理师、</w:t>
            </w:r>
            <w:bookmarkStart w:id="29" w:name="OLE_LINK12"/>
            <w:r>
              <w:rPr>
                <w:rFonts w:hint="eastAsia" w:ascii="宋体" w:hAnsi="宋体"/>
                <w:szCs w:val="21"/>
              </w:rPr>
              <w:t xml:space="preserve">高级系统架构设计师</w:t>
            </w:r>
            <w:bookmarkEnd w:id="29"/>
            <w:r>
              <w:rPr>
                <w:rFonts w:hint="eastAsia" w:ascii="宋体" w:hAnsi="宋体"/>
                <w:szCs w:val="21"/>
              </w:rPr>
              <w:t xml:space="preserve">、高级系统规划与管理师等证书，中国信息安全测评中心的注册</w:t>
            </w:r>
            <w:bookmarkStart w:id="30" w:name="OLE_LINK11"/>
            <w:r>
              <w:rPr>
                <w:rFonts w:hint="eastAsia" w:ascii="宋体" w:hAnsi="宋体"/>
                <w:szCs w:val="21"/>
              </w:rPr>
              <w:t xml:space="preserve">信息安全专业人员（CISP）</w:t>
            </w:r>
            <w:bookmarkEnd w:id="30"/>
            <w:r>
              <w:rPr>
                <w:rFonts w:hint="eastAsia" w:ascii="宋体" w:hAnsi="宋体"/>
                <w:szCs w:val="21"/>
              </w:rPr>
              <w:t xml:space="preserve">等证书，每提供上述任意一种证书得2分，最高得4分。（提供证书复印件及投标截止时间前6个月内任意一个月供应商为其缴纳的社保证明材料并加盖公章）。</w:t>
            </w:r>
            <w:r/>
          </w:p>
        </w:tc>
        <w:tc>
          <w:tcPr>
            <w:tcBorders>
              <w:bottom w:val="single" w:color="auto" w:sz="4" w:space="0"/>
            </w:tcBorders>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w:t>
            </w:r>
            <w:r/>
          </w:p>
        </w:tc>
      </w:tr>
      <w:tr>
        <w:trPr>
          <w:jc w:val="center"/>
          <w:trHeight w:val="639"/>
        </w:trPr>
        <w:tc>
          <w:tcPr>
            <w:tcBorders>
              <w:top w:val="single" w:color="auto" w:sz="4" w:space="0"/>
              <w:bottom w:val="single" w:color="auto" w:sz="4" w:space="0"/>
            </w:tcBorders>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3.2</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4" w:space="0"/>
              <w:right w:val="single" w:color="auto" w:sz="4" w:space="0"/>
            </w:tcBorders>
            <w:tcW w:w="548" w:type="pct"/>
            <w:vAlign w:val="center"/>
            <w:textDirection w:val="lrTb"/>
            <w:noWrap w:val="false"/>
          </w:tcPr>
          <w:p>
            <w:pPr>
              <w:spacing w:line="360" w:lineRule="auto"/>
              <w:widowControl/>
              <w:rPr>
                <w:rFonts w:ascii="宋体" w:hAnsi="宋体"/>
                <w:szCs w:val="21"/>
                <w:highlight w:val="none"/>
              </w:rPr>
            </w:pPr>
            <w:r>
              <w:rPr>
                <w:rFonts w:hint="eastAsia" w:ascii="宋体" w:hAnsi="宋体"/>
                <w:szCs w:val="21"/>
                <w:highlight w:val="none"/>
              </w:rPr>
              <w:t xml:space="preserve">团队成员配置</w:t>
            </w:r>
            <w:r/>
          </w:p>
        </w:tc>
        <w:tc>
          <w:tcPr>
            <w:gridSpan w:val="2"/>
            <w:tcBorders>
              <w:top w:val="single" w:color="auto" w:sz="4" w:space="0"/>
              <w:left w:val="single" w:color="auto" w:sz="4" w:space="0"/>
            </w:tcBorders>
            <w:tcW w:w="3119" w:type="pct"/>
            <w:vAlign w:val="center"/>
            <w:textDirection w:val="lrTb"/>
            <w:noWrap w:val="false"/>
          </w:tcPr>
          <w:p>
            <w:pPr>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本项目配备售后服务团队人员不少于5人，</w:t>
            </w:r>
            <w:r>
              <w:rPr>
                <w:rFonts w:hint="eastAsia" w:ascii="宋体" w:hAnsi="宋体"/>
                <w:szCs w:val="21"/>
                <w:highlight w:val="none"/>
                <w:lang w:val="en-US" w:eastAsia="zh-CN"/>
              </w:rPr>
              <w:t xml:space="preserve">其中</w:t>
            </w:r>
            <w:r>
              <w:rPr>
                <w:rFonts w:hint="eastAsia" w:ascii="宋体" w:hAnsi="宋体"/>
                <w:szCs w:val="21"/>
                <w:highlight w:val="none"/>
              </w:rPr>
              <w:t xml:space="preserve">技术人员</w:t>
            </w:r>
            <w:r>
              <w:rPr>
                <w:rFonts w:hint="eastAsia" w:ascii="宋体" w:hAnsi="宋体"/>
                <w:szCs w:val="21"/>
                <w:highlight w:val="none"/>
                <w:lang w:val="en-US" w:eastAsia="zh-CN"/>
              </w:rPr>
              <w:t xml:space="preserve">不少于3人，且</w:t>
            </w:r>
            <w:r>
              <w:rPr>
                <w:rFonts w:hint="eastAsia" w:ascii="宋体" w:hAnsi="宋体"/>
                <w:szCs w:val="21"/>
                <w:highlight w:val="none"/>
              </w:rPr>
              <w:t xml:space="preserve">具有</w:t>
            </w:r>
            <w:r>
              <w:rPr>
                <w:rFonts w:hint="eastAsia" w:ascii="宋体" w:hAnsi="宋体"/>
                <w:szCs w:val="21"/>
                <w:highlight w:val="none"/>
                <w:lang w:val="en-US" w:eastAsia="zh-CN"/>
              </w:rPr>
              <w:t xml:space="preserve">类似项目</w:t>
            </w:r>
            <w:r>
              <w:rPr>
                <w:rFonts w:hint="eastAsia" w:ascii="宋体" w:hAnsi="宋体"/>
                <w:szCs w:val="21"/>
                <w:highlight w:val="none"/>
              </w:rPr>
              <w:t xml:space="preserve">工作经验</w:t>
            </w:r>
            <w:r>
              <w:rPr>
                <w:rFonts w:hint="eastAsia" w:ascii="宋体" w:hAnsi="宋体"/>
                <w:szCs w:val="21"/>
                <w:highlight w:val="none"/>
                <w:lang w:eastAsia="zh-CN"/>
              </w:rPr>
              <w:t xml:space="preserve">：</w:t>
            </w:r>
            <w:r/>
          </w:p>
          <w:p>
            <w:pPr>
              <w:spacing w:line="360" w:lineRule="auto"/>
              <w:widowControl/>
              <w:rPr>
                <w:rFonts w:hint="eastAsia" w:ascii="宋体" w:hAnsi="宋体"/>
                <w:szCs w:val="21"/>
                <w:highlight w:val="none"/>
                <w:lang w:eastAsia="zh-CN"/>
              </w:rPr>
            </w:pPr>
            <w:r>
              <w:rPr>
                <w:rFonts w:hint="eastAsia" w:ascii="宋体" w:hAnsi="宋体"/>
                <w:szCs w:val="21"/>
                <w:highlight w:val="none"/>
              </w:rPr>
              <w:t xml:space="preserve">技术人员具备人力资源社会保障部、工业和信息化部联合颁发的计算机技术与软件专业技术中级资格证书（含系统集成项目管理工程师、软件设计师、信息系统管理工程师、信息安全工程师</w:t>
            </w:r>
            <w:r>
              <w:rPr>
                <w:rFonts w:hint="eastAsia" w:ascii="宋体" w:hAnsi="宋体"/>
                <w:szCs w:val="21"/>
                <w:highlight w:val="none"/>
                <w:lang w:val="en-US" w:eastAsia="zh-CN"/>
              </w:rPr>
              <w:t xml:space="preserve">中任意一种</w:t>
            </w:r>
            <w:r>
              <w:rPr>
                <w:rFonts w:hint="eastAsia" w:ascii="宋体" w:hAnsi="宋体"/>
                <w:szCs w:val="21"/>
                <w:highlight w:val="none"/>
              </w:rPr>
              <w:t xml:space="preserve">），每提供</w:t>
            </w:r>
            <w:r>
              <w:rPr>
                <w:rFonts w:hint="eastAsia" w:ascii="宋体" w:hAnsi="宋体"/>
                <w:szCs w:val="21"/>
                <w:highlight w:val="none"/>
                <w:lang w:val="en-US" w:eastAsia="zh-CN"/>
              </w:rPr>
              <w:t xml:space="preserve">1人证书</w:t>
            </w:r>
            <w:r>
              <w:rPr>
                <w:rFonts w:hint="eastAsia" w:ascii="宋体" w:hAnsi="宋体"/>
                <w:szCs w:val="21"/>
                <w:highlight w:val="none"/>
              </w:rPr>
              <w:t xml:space="preserve">得2分，最高得</w:t>
            </w:r>
            <w:r>
              <w:rPr>
                <w:rFonts w:hint="eastAsia" w:ascii="宋体" w:hAnsi="宋体"/>
                <w:szCs w:val="21"/>
                <w:highlight w:val="none"/>
                <w:lang w:val="en-US" w:eastAsia="zh-CN"/>
              </w:rPr>
              <w:t xml:space="preserve">6</w:t>
            </w:r>
            <w:r>
              <w:rPr>
                <w:rFonts w:hint="eastAsia" w:ascii="宋体" w:hAnsi="宋体"/>
                <w:szCs w:val="21"/>
                <w:highlight w:val="none"/>
              </w:rPr>
              <w:t xml:space="preserve">分</w:t>
            </w:r>
            <w:r>
              <w:rPr>
                <w:rFonts w:hint="eastAsia" w:ascii="宋体" w:hAnsi="宋体"/>
                <w:szCs w:val="21"/>
                <w:highlight w:val="none"/>
                <w:lang w:eastAsia="zh-CN"/>
              </w:rPr>
              <w:t xml:space="preserve">；</w:t>
            </w:r>
            <w:r/>
          </w:p>
          <w:p>
            <w:pPr>
              <w:spacing w:line="360" w:lineRule="auto"/>
              <w:widowControl/>
              <w:rPr>
                <w:rFonts w:hint="eastAsia" w:ascii="宋体" w:hAnsi="宋体"/>
                <w:szCs w:val="21"/>
                <w:highlight w:val="none"/>
                <w:lang w:val="en-US" w:eastAsia="zh-CN"/>
              </w:rPr>
            </w:pPr>
            <w:r>
              <w:rPr>
                <w:rFonts w:hint="eastAsia" w:ascii="宋体" w:hAnsi="宋体"/>
                <w:szCs w:val="21"/>
                <w:highlight w:val="none"/>
              </w:rPr>
              <w:t xml:space="preserve">售后服务团队人员</w:t>
            </w:r>
            <w:r>
              <w:rPr>
                <w:rFonts w:hint="eastAsia" w:ascii="宋体" w:hAnsi="宋体"/>
                <w:szCs w:val="21"/>
                <w:highlight w:val="none"/>
                <w:lang w:val="en-US" w:eastAsia="zh-CN"/>
              </w:rPr>
              <w:t xml:space="preserve">提供相关业绩证明材料或</w:t>
            </w:r>
            <w:r>
              <w:rPr>
                <w:rFonts w:hint="eastAsia" w:ascii="宋体" w:hAnsi="宋体"/>
                <w:szCs w:val="21"/>
                <w:highlight w:val="none"/>
              </w:rPr>
              <w:t xml:space="preserve">供应商出具</w:t>
            </w:r>
            <w:r>
              <w:rPr>
                <w:rFonts w:hint="eastAsia" w:ascii="宋体" w:hAnsi="宋体"/>
                <w:szCs w:val="21"/>
                <w:highlight w:val="none"/>
                <w:lang w:eastAsia="zh-CN"/>
              </w:rPr>
              <w:t xml:space="preserve">的</w:t>
            </w:r>
            <w:r>
              <w:rPr>
                <w:rFonts w:hint="eastAsia" w:ascii="宋体" w:hAnsi="宋体"/>
                <w:szCs w:val="21"/>
                <w:highlight w:val="none"/>
              </w:rPr>
              <w:t xml:space="preserve">工作经验承诺书并加盖公章</w:t>
            </w:r>
            <w:r>
              <w:rPr>
                <w:rFonts w:hint="eastAsia" w:ascii="宋体" w:hAnsi="宋体"/>
                <w:szCs w:val="21"/>
                <w:highlight w:val="none"/>
                <w:lang w:val="en-US" w:eastAsia="zh-CN"/>
              </w:rPr>
              <w:t xml:space="preserve">的，有一人得1分，最高得4分。</w:t>
            </w:r>
            <w:r/>
          </w:p>
          <w:p>
            <w:pPr>
              <w:spacing w:line="360" w:lineRule="auto"/>
              <w:widowControl/>
              <w:rPr>
                <w:rFonts w:hint="default" w:ascii="宋体" w:hAnsi="宋体" w:eastAsia="宋体"/>
                <w:szCs w:val="21"/>
                <w:highlight w:val="none"/>
                <w:lang w:val="en-US"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以上</w:t>
            </w:r>
            <w:r>
              <w:rPr>
                <w:rFonts w:hint="eastAsia" w:ascii="宋体" w:hAnsi="宋体"/>
                <w:szCs w:val="21"/>
                <w:highlight w:val="none"/>
              </w:rPr>
              <w:t xml:space="preserve">售后服务团队人员</w:t>
            </w:r>
            <w:r>
              <w:rPr>
                <w:rFonts w:hint="eastAsia" w:ascii="宋体" w:hAnsi="宋体"/>
                <w:szCs w:val="21"/>
                <w:highlight w:val="none"/>
                <w:lang w:val="en-US" w:eastAsia="zh-CN"/>
              </w:rPr>
              <w:t xml:space="preserve">均需</w:t>
            </w:r>
            <w:r>
              <w:rPr>
                <w:rFonts w:hint="eastAsia" w:ascii="宋体" w:hAnsi="宋体"/>
                <w:szCs w:val="21"/>
                <w:highlight w:val="none"/>
              </w:rPr>
              <w:t xml:space="preserve">提供投标截止时间前6个月内任意一个月供应商为其缴纳的社保证明材料并加盖公章）</w:t>
            </w:r>
            <w:r/>
          </w:p>
        </w:tc>
        <w:tc>
          <w:tcPr>
            <w:tcBorders>
              <w:top w:val="single" w:color="auto" w:sz="4" w:space="0"/>
            </w:tcBorders>
            <w:tcW w:w="353" w:type="pct"/>
            <w:vAlign w:val="center"/>
            <w:textDirection w:val="lrTb"/>
            <w:noWrap w:val="false"/>
          </w:tcPr>
          <w:p>
            <w:pPr>
              <w:jc w:val="center"/>
              <w:spacing w:line="360" w:lineRule="auto"/>
              <w:widowControl/>
              <w:rPr>
                <w:rFonts w:hint="default" w:ascii="宋体" w:hAnsi="宋体" w:eastAsia="宋体"/>
                <w:szCs w:val="21"/>
                <w:highlight w:val="yellow"/>
                <w:lang w:val="en-US" w:eastAsia="zh-CN"/>
              </w:rPr>
            </w:pPr>
            <w:r>
              <w:rPr>
                <w:rFonts w:hint="eastAsia" w:ascii="宋体" w:hAnsi="宋体"/>
                <w:szCs w:val="21"/>
                <w:highlight w:val="none"/>
                <w:lang w:val="en-US" w:eastAsia="zh-CN"/>
              </w:rPr>
              <w:t xml:space="preserve">10</w:t>
            </w:r>
            <w:r/>
          </w:p>
        </w:tc>
      </w:tr>
      <w:tr>
        <w:trPr>
          <w:jc w:val="center"/>
          <w:trHeight w:val="1243"/>
        </w:trPr>
        <w:tc>
          <w:tcPr>
            <w:tcBorders>
              <w:top w:val="single" w:color="auto" w:sz="4" w:space="0"/>
            </w:tcBorders>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4.1</w:t>
            </w:r>
            <w:r/>
          </w:p>
        </w:tc>
        <w:tc>
          <w:tcPr>
            <w:tcW w:w="600" w:type="pct"/>
            <w:vAlign w:val="center"/>
            <w:vMerge w:val="restart"/>
            <w:textDirection w:val="lrTb"/>
            <w:noWrap w:val="false"/>
          </w:tcPr>
          <w:p>
            <w:pPr>
              <w:jc w:val="center"/>
              <w:spacing w:line="360" w:lineRule="auto"/>
              <w:widowControl/>
              <w:rPr>
                <w:rFonts w:ascii="宋体" w:hAnsi="宋体"/>
                <w:szCs w:val="21"/>
              </w:rPr>
            </w:pPr>
            <w:r>
              <w:rPr>
                <w:rFonts w:hint="eastAsia" w:ascii="宋体" w:hAnsi="宋体"/>
                <w:szCs w:val="21"/>
              </w:rPr>
              <w:t xml:space="preserve">履约能力</w:t>
            </w:r>
            <w:r/>
          </w:p>
          <w:p>
            <w:pPr>
              <w:jc w:val="center"/>
              <w:spacing w:line="360" w:lineRule="auto"/>
              <w:widowControl/>
              <w:rPr>
                <w:rFonts w:ascii="宋体" w:hAnsi="宋体"/>
                <w:szCs w:val="21"/>
              </w:rPr>
            </w:pPr>
            <w:r>
              <w:rPr>
                <w:rFonts w:hint="eastAsia" w:ascii="宋体" w:hAnsi="宋体"/>
                <w:szCs w:val="21"/>
              </w:rPr>
              <w:t xml:space="preserve">（26分）</w:t>
            </w:r>
            <w:r/>
          </w:p>
        </w:tc>
        <w:tc>
          <w:tcPr>
            <w:tcBorders>
              <w:top w:val="single" w:color="auto" w:sz="4" w:space="0"/>
              <w:right w:val="single" w:color="auto" w:sz="4" w:space="0"/>
            </w:tcBorders>
            <w:tcW w:w="548"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综合资质</w:t>
            </w:r>
            <w:r/>
          </w:p>
        </w:tc>
        <w:tc>
          <w:tcPr>
            <w:gridSpan w:val="2"/>
            <w:tcBorders>
              <w:top w:val="single" w:color="auto" w:sz="4" w:space="0"/>
              <w:left w:val="single" w:color="auto" w:sz="4" w:space="0"/>
            </w:tcBorders>
            <w:tcW w:w="3119"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供应商具有</w:t>
            </w:r>
            <w:bookmarkStart w:id="31" w:name="OLE_LINK15"/>
            <w:r>
              <w:rPr>
                <w:rFonts w:hint="eastAsia" w:ascii="宋体" w:hAnsi="宋体"/>
                <w:szCs w:val="21"/>
              </w:rPr>
              <w:t xml:space="preserve">质量管理体系证书</w:t>
            </w:r>
            <w:bookmarkEnd w:id="31"/>
            <w:r>
              <w:rPr>
                <w:rFonts w:hint="eastAsia" w:ascii="宋体" w:hAnsi="宋体"/>
                <w:szCs w:val="21"/>
              </w:rPr>
              <w:t xml:space="preserve">(ISO9001</w:t>
            </w:r>
            <w:bookmarkStart w:id="32" w:name="OLE_LINK16"/>
            <w:r>
              <w:rPr>
                <w:rFonts w:hint="eastAsia" w:ascii="宋体" w:hAnsi="宋体"/>
                <w:szCs w:val="21"/>
              </w:rPr>
              <w:t xml:space="preserve">)</w:t>
            </w:r>
            <w:bookmarkEnd w:id="32"/>
            <w:r>
              <w:rPr>
                <w:rFonts w:hint="eastAsia" w:ascii="宋体" w:hAnsi="宋体"/>
                <w:szCs w:val="21"/>
              </w:rPr>
              <w:t xml:space="preserve">、</w:t>
            </w:r>
            <w:r>
              <w:rPr>
                <w:rFonts w:ascii="宋体" w:hAnsi="宋体"/>
                <w:szCs w:val="21"/>
              </w:rPr>
              <w:t xml:space="preserve">ISO27001信息安全管理体系认证证书</w:t>
            </w:r>
            <w:r>
              <w:rPr>
                <w:rFonts w:hint="eastAsia" w:ascii="宋体" w:hAnsi="宋体"/>
                <w:szCs w:val="21"/>
              </w:rPr>
              <w:t xml:space="preserve">、</w:t>
            </w:r>
            <w:r>
              <w:rPr>
                <w:rFonts w:ascii="宋体" w:hAnsi="宋体"/>
                <w:szCs w:val="21"/>
              </w:rPr>
              <w:t xml:space="preserve">ISO</w:t>
            </w:r>
            <w:r>
              <w:rPr>
                <w:rFonts w:hint="eastAsia" w:ascii="宋体" w:hAnsi="宋体"/>
                <w:szCs w:val="21"/>
              </w:rPr>
              <w:t xml:space="preserve">2000信息技术服务管理体系认证等证书的，每个证书得2分，最高得6分，未提供有效证书复印件等证明材料不得分。</w:t>
            </w:r>
            <w:r/>
          </w:p>
        </w:tc>
        <w:tc>
          <w:tcPr>
            <w:tcBorders>
              <w:top w:val="single" w:color="auto" w:sz="4" w:space="0"/>
            </w:tcBorders>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6</w:t>
            </w:r>
            <w:r/>
          </w:p>
        </w:tc>
      </w:tr>
      <w:tr>
        <w:trPr>
          <w:jc w:val="center"/>
          <w:trHeight w:val="1312"/>
        </w:trPr>
        <w:tc>
          <w:tcPr>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4.2</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4" w:space="0"/>
              <w:right w:val="single" w:color="auto" w:sz="4" w:space="0"/>
            </w:tcBorders>
            <w:tcW w:w="548"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软件著作权证书</w:t>
            </w:r>
            <w:r/>
          </w:p>
        </w:tc>
        <w:tc>
          <w:tcPr>
            <w:gridSpan w:val="2"/>
            <w:tcBorders>
              <w:top w:val="single" w:color="auto" w:sz="4" w:space="0"/>
              <w:left w:val="single" w:color="auto" w:sz="4" w:space="0"/>
            </w:tcBorders>
            <w:tcW w:w="3119"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供应商具有国家版权局颁发的合法有效的安全生产行政执法相关或类似功能效果的软件著作权</w:t>
            </w:r>
            <w:bookmarkStart w:id="33" w:name="OLE_LINK9"/>
            <w:r>
              <w:rPr>
                <w:rFonts w:hint="eastAsia" w:ascii="宋体" w:hAnsi="宋体"/>
                <w:szCs w:val="21"/>
              </w:rPr>
              <w:t xml:space="preserve">证书</w:t>
            </w:r>
            <w:bookmarkEnd w:id="33"/>
            <w:r>
              <w:rPr>
                <w:rFonts w:hint="eastAsia" w:ascii="宋体" w:hAnsi="宋体"/>
                <w:szCs w:val="21"/>
              </w:rPr>
              <w:t xml:space="preserve">，每个2分，最高10分。</w:t>
            </w:r>
            <w:r/>
          </w:p>
        </w:tc>
        <w:tc>
          <w:tcPr>
            <w:tcBorders>
              <w:top w:val="single" w:color="auto" w:sz="4" w:space="0"/>
            </w:tcBorders>
            <w:tcW w:w="353" w:type="pct"/>
            <w:vAlign w:val="center"/>
            <w:textDirection w:val="lrTb"/>
            <w:noWrap w:val="false"/>
          </w:tcPr>
          <w:p>
            <w:pPr>
              <w:jc w:val="center"/>
              <w:widowControl/>
              <w:rPr>
                <w:rFonts w:ascii="宋体" w:hAnsi="宋体"/>
                <w:szCs w:val="21"/>
              </w:rPr>
            </w:pPr>
            <w:r>
              <w:rPr>
                <w:rFonts w:hint="eastAsia" w:ascii="宋体" w:hAnsi="宋体"/>
                <w:szCs w:val="21"/>
              </w:rPr>
              <w:t xml:space="preserve">10</w:t>
            </w:r>
            <w:r/>
          </w:p>
        </w:tc>
      </w:tr>
      <w:tr>
        <w:trPr>
          <w:jc w:val="center"/>
          <w:trHeight w:val="2351"/>
        </w:trPr>
        <w:tc>
          <w:tcPr>
            <w:tcW w:w="37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4.3</w:t>
            </w:r>
            <w:r/>
          </w:p>
        </w:tc>
        <w:tc>
          <w:tcPr>
            <w:tcW w:w="600" w:type="pct"/>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4" w:space="0"/>
              <w:right w:val="single" w:color="auto" w:sz="4" w:space="0"/>
            </w:tcBorders>
            <w:tcW w:w="548"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类似业绩</w:t>
            </w:r>
            <w:r/>
          </w:p>
        </w:tc>
        <w:tc>
          <w:tcPr>
            <w:gridSpan w:val="2"/>
            <w:tcBorders>
              <w:top w:val="single" w:color="auto" w:sz="4" w:space="0"/>
              <w:left w:val="single" w:color="auto" w:sz="4" w:space="0"/>
            </w:tcBorders>
            <w:tcW w:w="3119" w:type="pct"/>
            <w:vAlign w:val="center"/>
            <w:textDirection w:val="lrTb"/>
            <w:noWrap w:val="false"/>
          </w:tcPr>
          <w:p>
            <w:pPr>
              <w:spacing w:line="360" w:lineRule="auto"/>
              <w:widowControl/>
              <w:rPr>
                <w:rFonts w:ascii="宋体" w:hAnsi="宋体"/>
                <w:szCs w:val="21"/>
              </w:rPr>
            </w:pPr>
            <w:r>
              <w:rPr>
                <w:rFonts w:hint="eastAsia" w:ascii="宋体" w:hAnsi="宋体"/>
                <w:szCs w:val="21"/>
              </w:rPr>
              <w:t xml:space="preserve">供应商自</w:t>
            </w:r>
            <w:bookmarkStart w:id="34" w:name="OLE_LINK18"/>
            <w:r/>
            <w:bookmarkStart w:id="35" w:name="OLE_LINK17"/>
            <w:r>
              <w:rPr>
                <w:rFonts w:hint="eastAsia" w:ascii="宋体" w:hAnsi="宋体"/>
                <w:szCs w:val="21"/>
              </w:rPr>
              <w:t xml:space="preserve">202</w:t>
            </w:r>
            <w:bookmarkEnd w:id="34"/>
            <w:r>
              <w:rPr>
                <w:rFonts w:hint="eastAsia" w:ascii="宋体" w:hAnsi="宋体"/>
                <w:szCs w:val="21"/>
              </w:rPr>
              <w:t xml:space="preserve">3年</w:t>
            </w:r>
            <w:bookmarkEnd w:id="35"/>
            <w:r>
              <w:rPr>
                <w:rFonts w:hint="eastAsia" w:ascii="宋体" w:hAnsi="宋体"/>
                <w:szCs w:val="21"/>
              </w:rPr>
              <w:t xml:space="preserve">1月1日以来，承担过类似项目运维服务。每提供1项有效的类似项目业绩得2分，本项最多得10分。</w:t>
            </w:r>
            <w:r/>
          </w:p>
          <w:p>
            <w:pPr>
              <w:spacing w:line="360" w:lineRule="auto"/>
              <w:widowControl/>
              <w:rPr>
                <w:rFonts w:ascii="宋体" w:hAnsi="宋体"/>
                <w:szCs w:val="21"/>
              </w:rPr>
            </w:pPr>
            <w:r>
              <w:rPr>
                <w:rFonts w:hint="eastAsia" w:ascii="宋体" w:hAnsi="宋体"/>
                <w:szCs w:val="21"/>
              </w:rPr>
              <w:t xml:space="preserve">注：提供合同复印件并加盖磋商供应商公章（合同签订时间为2023年1月1日以后，合同需清晰可见合同签订时间及合同主要内容，未</w:t>
            </w:r>
            <w:bookmarkStart w:id="119" w:name="_GoBack"/>
            <w:r/>
            <w:bookmarkEnd w:id="119"/>
            <w:r>
              <w:rPr>
                <w:rFonts w:hint="eastAsia" w:ascii="宋体" w:hAnsi="宋体"/>
                <w:szCs w:val="21"/>
              </w:rPr>
              <w:t xml:space="preserve">提供不得分。）</w:t>
            </w:r>
            <w:r/>
          </w:p>
        </w:tc>
        <w:tc>
          <w:tcPr>
            <w:tcBorders>
              <w:top w:val="single" w:color="auto" w:sz="4" w:space="0"/>
            </w:tcBorders>
            <w:tcW w:w="353"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10</w:t>
            </w:r>
            <w:bookmarkEnd w:id="26"/>
            <w:bookmarkEnd w:id="27"/>
            <w:bookmarkEnd w:id="28"/>
            <w:r/>
          </w:p>
        </w:tc>
      </w:tr>
    </w:tbl>
    <w:p>
      <w:pPr>
        <w:pStyle w:val="989"/>
        <w:rPr>
          <w:rFonts w:ascii="宋体" w:hAnsi="宋体" w:cs="宋体"/>
          <w:bCs/>
        </w:rPr>
      </w:pPr>
      <w:r>
        <w:rPr>
          <w:rFonts w:hint="eastAsia" w:ascii="宋体" w:hAnsi="宋体" w:cs="宋体"/>
          <w:bCs/>
        </w:rPr>
        <w:t xml:space="preserve">说明：</w:t>
      </w:r>
      <w:r/>
    </w:p>
    <w:p>
      <w:pPr>
        <w:pStyle w:val="989"/>
        <w:rPr>
          <w:rFonts w:ascii="宋体" w:hAnsi="宋体" w:cs="宋体"/>
          <w:bCs/>
        </w:rPr>
      </w:pPr>
      <w:r>
        <w:rPr>
          <w:rFonts w:hint="eastAsia" w:ascii="宋体" w:hAnsi="宋体" w:cs="宋体"/>
          <w:bCs/>
        </w:rPr>
        <w:t xml:space="preserve">1、所有认证、证明和业绩均以有效清晰的证明文件的复印件为依据，原件备查。</w:t>
      </w:r>
      <w:r/>
    </w:p>
    <w:p>
      <w:pPr>
        <w:pStyle w:val="989"/>
        <w:rPr>
          <w:rFonts w:ascii="宋体" w:hAnsi="宋体" w:cs="宋体"/>
          <w:bCs/>
        </w:rPr>
      </w:pPr>
      <w:r>
        <w:rPr>
          <w:rFonts w:hint="eastAsia" w:ascii="宋体" w:hAnsi="宋体" w:cs="宋体"/>
          <w:bCs/>
        </w:rPr>
        <w:t xml:space="preserve">2、小微企业价格扣除</w:t>
      </w:r>
      <w:r/>
    </w:p>
    <w:p>
      <w:pPr>
        <w:pStyle w:val="989"/>
        <w:rPr>
          <w:rFonts w:ascii="宋体" w:hAnsi="宋体" w:cs="宋体"/>
          <w:bCs/>
        </w:rPr>
      </w:pPr>
      <w:r>
        <w:rPr>
          <w:rFonts w:hint="eastAsia" w:ascii="宋体" w:hAnsi="宋体" w:cs="宋体"/>
          <w:bCs/>
        </w:rPr>
        <w:t xml:space="preserve">2.1对于专门面向中小企业或小型、微型企业的项目，只面向中小企业或小型、微型企业采购。对于非专门面向中小企业的项目，对小型和微型企业的价格给予5%的扣除，用扣除后的价格参与评审。</w:t>
      </w:r>
      <w:r/>
    </w:p>
    <w:p>
      <w:pPr>
        <w:pStyle w:val="989"/>
        <w:rPr>
          <w:rFonts w:ascii="宋体" w:hAnsi="宋体" w:cs="宋体"/>
          <w:bCs/>
        </w:rPr>
      </w:pPr>
      <w:r>
        <w:rPr>
          <w:rFonts w:hint="eastAsia" w:ascii="宋体" w:hAnsi="宋体" w:cs="宋体"/>
          <w:bCs/>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pStyle w:val="989"/>
        <w:rPr>
          <w:rFonts w:ascii="宋体" w:hAnsi="宋体" w:cs="宋体"/>
          <w:bCs/>
        </w:rPr>
      </w:pPr>
      <w:r>
        <w:rPr>
          <w:rFonts w:hint="eastAsia" w:ascii="宋体" w:hAnsi="宋体" w:cs="宋体"/>
          <w:bCs/>
        </w:rPr>
        <w:t xml:space="preserve">3、监狱和戒毒企业的价格扣除</w:t>
      </w:r>
      <w:r/>
    </w:p>
    <w:p>
      <w:pPr>
        <w:pStyle w:val="989"/>
        <w:rPr>
          <w:rFonts w:ascii="宋体" w:hAnsi="宋体" w:cs="宋体"/>
          <w:bCs/>
        </w:rPr>
      </w:pPr>
      <w:r>
        <w:rPr>
          <w:rFonts w:hint="eastAsia" w:ascii="宋体" w:hAnsi="宋体" w:cs="宋体"/>
          <w:bCs/>
        </w:rPr>
        <w:t xml:space="preserve">3.1本项目对监狱和戒毒企业，给予5%的价格扣除，用扣除后的价格参与评审。</w:t>
      </w:r>
      <w:r/>
    </w:p>
    <w:p>
      <w:pPr>
        <w:pStyle w:val="989"/>
        <w:rPr>
          <w:rFonts w:ascii="宋体" w:hAnsi="宋体" w:cs="宋体"/>
          <w:bCs/>
        </w:rPr>
      </w:pPr>
      <w:r>
        <w:rPr>
          <w:rFonts w:hint="eastAsia" w:ascii="宋体" w:hAnsi="宋体" w:cs="宋体"/>
          <w:bCs/>
        </w:rPr>
        <w:t xml:space="preserve">3.2监狱企业需提供由省级以上监狱管理局、戒毒管理局（含新疆生产建设兵团）出具的属于监狱企业的证明文件。</w:t>
      </w:r>
      <w:r/>
    </w:p>
    <w:p>
      <w:pPr>
        <w:pStyle w:val="989"/>
        <w:rPr>
          <w:rFonts w:ascii="宋体" w:hAnsi="宋体" w:cs="宋体"/>
          <w:bCs/>
        </w:rPr>
      </w:pPr>
      <w:r>
        <w:rPr>
          <w:rFonts w:hint="eastAsia" w:ascii="宋体" w:hAnsi="宋体" w:cs="宋体"/>
          <w:bCs/>
        </w:rPr>
        <w:t xml:space="preserve">3.3监狱企业标准请参照《关于政府采购支持监狱企业发展有关问题的通知》（财库〔2014〕68号）。</w:t>
      </w:r>
      <w:r/>
    </w:p>
    <w:p>
      <w:pPr>
        <w:pStyle w:val="989"/>
        <w:rPr>
          <w:rFonts w:ascii="宋体" w:hAnsi="宋体" w:cs="宋体"/>
          <w:bCs/>
        </w:rPr>
      </w:pPr>
      <w:r>
        <w:rPr>
          <w:rFonts w:hint="eastAsia" w:ascii="宋体" w:hAnsi="宋体" w:cs="宋体"/>
          <w:bCs/>
        </w:rPr>
        <w:t xml:space="preserve">4、残疾人福利性单位的价格扣除</w:t>
      </w:r>
      <w:r/>
    </w:p>
    <w:p>
      <w:pPr>
        <w:pStyle w:val="989"/>
        <w:rPr>
          <w:rFonts w:ascii="宋体" w:hAnsi="宋体" w:cs="宋体"/>
          <w:bCs/>
        </w:rPr>
      </w:pPr>
      <w:r>
        <w:rPr>
          <w:rFonts w:hint="eastAsia" w:ascii="宋体" w:hAnsi="宋体" w:cs="宋体"/>
          <w:bCs/>
        </w:rPr>
        <w:t xml:space="preserve">4.1本项目对残疾人福利性单位，给予5%的价格扣除，用扣除后的价格参与评审。</w:t>
      </w:r>
      <w:r/>
    </w:p>
    <w:p>
      <w:pPr>
        <w:pStyle w:val="989"/>
        <w:rPr>
          <w:rFonts w:ascii="宋体" w:hAnsi="宋体" w:cs="宋体"/>
          <w:bCs/>
        </w:rPr>
      </w:pPr>
      <w:r>
        <w:rPr>
          <w:rFonts w:hint="eastAsia" w:ascii="宋体" w:hAnsi="宋体" w:cs="宋体"/>
          <w:bCs/>
        </w:rPr>
        <w:t xml:space="preserve">4.2残疾人福利性单位需提供《残疾人福利性单位声明函》。</w:t>
      </w:r>
      <w:r/>
    </w:p>
    <w:p>
      <w:pPr>
        <w:pStyle w:val="989"/>
        <w:rPr>
          <w:rFonts w:ascii="宋体" w:hAnsi="宋体" w:cs="宋体"/>
          <w:bCs/>
        </w:rPr>
      </w:pPr>
      <w:r>
        <w:rPr>
          <w:rFonts w:hint="eastAsia" w:ascii="宋体" w:hAnsi="宋体" w:cs="宋体"/>
          <w:bCs/>
        </w:rPr>
        <w:t xml:space="preserve">4.3残疾人福利性单位标准请参照《关于促进残疾人就业政府采购政策的通知》（财库〔2017〕141号）。</w:t>
      </w:r>
      <w:r/>
    </w:p>
    <w:p>
      <w:pPr>
        <w:pStyle w:val="989"/>
        <w:rPr>
          <w:rFonts w:ascii="宋体" w:hAnsi="宋体" w:cs="宋体"/>
        </w:rPr>
        <w:sectPr>
          <w:footerReference w:type="default" r:id="rId15"/>
          <w:footerReference w:type="first" r:id="rId16"/>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bCs/>
        </w:rPr>
        <w:t xml:space="preserve">5、监狱企业、残疾人福利性单位属于小型、微型企业的，不重复享受政策。</w:t>
      </w:r>
      <w:r/>
    </w:p>
    <w:p>
      <w:pPr>
        <w:pStyle w:val="926"/>
        <w:rPr>
          <w:rFonts w:ascii="宋体" w:hAnsi="宋体" w:cs="宋体"/>
          <w:lang w:val="zh-CN"/>
        </w:rPr>
      </w:pPr>
      <w:r/>
      <w:bookmarkStart w:id="36" w:name="_Toc7631"/>
      <w:r>
        <w:rPr>
          <w:rFonts w:hint="eastAsia" w:ascii="宋体" w:hAnsi="宋体" w:cs="宋体"/>
        </w:rPr>
        <w:t xml:space="preserve">第四章 </w:t>
      </w:r>
      <w:r>
        <w:rPr>
          <w:rFonts w:hint="eastAsia" w:ascii="宋体" w:hAnsi="宋体" w:cs="宋体"/>
          <w:lang w:val="zh-CN"/>
        </w:rPr>
        <w:t xml:space="preserve">采购需求</w:t>
      </w:r>
      <w:bookmarkEnd w:id="36"/>
      <w:r/>
      <w:r/>
    </w:p>
    <w:p>
      <w:pPr>
        <w:ind w:firstLine="482"/>
        <w:spacing w:line="360" w:lineRule="auto"/>
        <w:rPr>
          <w:rFonts w:ascii="宋体" w:hAnsi="宋体"/>
          <w:b/>
          <w:sz w:val="24"/>
          <w:szCs w:val="24"/>
        </w:rPr>
        <w:outlineLvl w:val="0"/>
      </w:pPr>
      <w:r>
        <w:rPr>
          <w:rFonts w:hint="eastAsia" w:ascii="宋体" w:hAnsi="宋体"/>
          <w:b/>
          <w:sz w:val="24"/>
          <w:szCs w:val="24"/>
        </w:rPr>
        <w:t xml:space="preserve">一、采购项目清单</w:t>
      </w:r>
      <w:r/>
    </w:p>
    <w:tbl>
      <w:tblPr>
        <w:tblStyle w:val="9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4421"/>
        <w:gridCol w:w="3507"/>
      </w:tblGrid>
      <w:tr>
        <w:trPr>
          <w:cantSplit/>
          <w:jc w:val="center"/>
        </w:trPr>
        <w:tc>
          <w:tcPr>
            <w:tcW w:w="524"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序号</w:t>
            </w:r>
            <w:r/>
          </w:p>
        </w:tc>
        <w:tc>
          <w:tcPr>
            <w:tcW w:w="2496"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采购标的</w:t>
            </w:r>
            <w:r/>
          </w:p>
        </w:tc>
        <w:tc>
          <w:tcPr>
            <w:tcW w:w="1980" w:type="pct"/>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对应中小企业划分标准所属行业</w:t>
            </w:r>
            <w:r/>
          </w:p>
        </w:tc>
      </w:tr>
      <w:tr>
        <w:trPr>
          <w:cantSplit/>
          <w:jc w:val="center"/>
          <w:trHeight w:val="291"/>
        </w:trPr>
        <w:tc>
          <w:tcPr>
            <w:tcW w:w="52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2496" w:type="pct"/>
            <w:vAlign w:val="center"/>
            <w:textDirection w:val="lrTb"/>
            <w:noWrap w:val="false"/>
          </w:tcPr>
          <w:p>
            <w:pPr>
              <w:jc w:val="center"/>
              <w:spacing w:line="360" w:lineRule="auto"/>
              <w:tabs>
                <w:tab w:val="left" w:pos="2020" w:leader="none"/>
              </w:tabs>
              <w:rPr>
                <w:rFonts w:ascii="宋体" w:hAnsi="宋体"/>
                <w:sz w:val="24"/>
                <w:szCs w:val="24"/>
              </w:rPr>
            </w:pPr>
            <w:r>
              <w:rPr>
                <w:rFonts w:hint="eastAsia" w:ascii="宋体" w:hAnsi="宋体"/>
                <w:sz w:val="24"/>
                <w:szCs w:val="24"/>
              </w:rPr>
              <w:t xml:space="preserve">江苏省安全生产行政执法系统年度运维</w:t>
            </w:r>
            <w:r/>
          </w:p>
        </w:tc>
        <w:tc>
          <w:tcPr>
            <w:tcW w:w="1980"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shd w:val="clear" w:color="auto" w:fill="ffffff"/>
              </w:rPr>
              <w:t xml:space="preserve">软件和信息技术服务业</w:t>
            </w:r>
            <w:r/>
          </w:p>
        </w:tc>
      </w:tr>
    </w:tbl>
    <w:p>
      <w:pPr>
        <w:ind w:firstLine="482"/>
        <w:spacing w:line="360" w:lineRule="auto"/>
        <w:rPr>
          <w:rFonts w:ascii="宋体" w:hAnsi="宋体"/>
          <w:b/>
          <w:sz w:val="24"/>
          <w:szCs w:val="24"/>
        </w:rPr>
        <w:outlineLvl w:val="0"/>
      </w:pPr>
      <w:r>
        <w:rPr>
          <w:rFonts w:hint="eastAsia" w:ascii="宋体" w:hAnsi="宋体"/>
          <w:b/>
          <w:sz w:val="24"/>
          <w:szCs w:val="24"/>
        </w:rPr>
        <w:t xml:space="preserve">二、项目背景</w:t>
      </w:r>
      <w:r/>
    </w:p>
    <w:p>
      <w:pPr>
        <w:ind w:firstLine="480"/>
        <w:spacing w:line="360" w:lineRule="auto"/>
        <w:rPr>
          <w:rFonts w:ascii="宋体" w:hAnsi="宋体"/>
          <w:bCs/>
          <w:sz w:val="24"/>
          <w:szCs w:val="24"/>
        </w:rPr>
      </w:pPr>
      <w:r>
        <w:rPr>
          <w:rFonts w:hint="eastAsia" w:ascii="宋体" w:hAnsi="宋体"/>
          <w:bCs/>
          <w:sz w:val="24"/>
          <w:szCs w:val="24"/>
        </w:rPr>
        <w:t xml:space="preserve">2020年初应急部下发了“互联网+执法”系统建设的基本要求，规范了“互联网+执法”系统的建设方式、总体架构、技术路线、建设内容以及技术指标，要求按照“一云一端一系统”的总体布局，采用大数据、微服务技术路线，重点建设执法检查、执法管理、执法专题和综合分析等业务应用，大力推动网上执法、视频巡查、电子文书、智能辅助等新工作模式，建立健全标准化、规范化、简易化执法流程，为安全生产形势持续稳定好转提供坚强支撑。</w:t>
      </w:r>
      <w:r/>
    </w:p>
    <w:p>
      <w:pPr>
        <w:ind w:firstLine="480"/>
        <w:spacing w:line="360" w:lineRule="auto"/>
        <w:rPr>
          <w:rFonts w:ascii="宋体" w:hAnsi="宋体"/>
          <w:bCs/>
          <w:sz w:val="24"/>
          <w:szCs w:val="24"/>
        </w:rPr>
      </w:pPr>
      <w:r>
        <w:rPr>
          <w:rFonts w:hint="eastAsia" w:ascii="宋体" w:hAnsi="宋体"/>
          <w:bCs/>
          <w:sz w:val="24"/>
          <w:szCs w:val="24"/>
        </w:rPr>
        <w:t xml:space="preserve">江苏省安全生产行政执法系统(以下简称执法系统)目前已经完成了五期内容的建设等，适配新的法律法规、满足三年专项整治的需求、满足执法全过程可视化的要求、实现多个系统信息互联互通等新形势下的高标准要求，结合优化体验、增强管控、互联互通的目标。</w:t>
      </w:r>
      <w:r/>
    </w:p>
    <w:p>
      <w:pPr>
        <w:ind w:firstLine="480"/>
        <w:spacing w:line="360" w:lineRule="auto"/>
        <w:rPr>
          <w:rFonts w:ascii="宋体" w:hAnsi="宋体"/>
          <w:sz w:val="24"/>
          <w:szCs w:val="24"/>
        </w:rPr>
        <w:outlineLvl w:val="0"/>
      </w:pPr>
      <w:r>
        <w:rPr>
          <w:rFonts w:hint="eastAsia" w:ascii="宋体" w:hAnsi="宋体" w:cs="宋体"/>
          <w:sz w:val="24"/>
          <w:szCs w:val="24"/>
          <w:lang w:val="zh-CN"/>
        </w:rPr>
        <w:t xml:space="preserve">三、</w:t>
      </w:r>
      <w:r>
        <w:rPr>
          <w:rFonts w:hint="eastAsia" w:ascii="宋体" w:hAnsi="宋体"/>
          <w:b/>
          <w:sz w:val="24"/>
          <w:szCs w:val="24"/>
        </w:rPr>
        <w:t xml:space="preserve">服务要求</w:t>
      </w:r>
      <w:r/>
    </w:p>
    <w:p>
      <w:pPr>
        <w:ind w:firstLine="480"/>
        <w:spacing w:line="360" w:lineRule="auto"/>
        <w:rPr>
          <w:rFonts w:ascii="宋体" w:hAnsi="宋体"/>
          <w:sz w:val="24"/>
          <w:szCs w:val="24"/>
        </w:rPr>
        <w:outlineLvl w:val="1"/>
      </w:pPr>
      <w:r>
        <w:rPr>
          <w:rFonts w:hint="eastAsia" w:ascii="宋体" w:hAnsi="宋体"/>
          <w:sz w:val="24"/>
          <w:szCs w:val="24"/>
        </w:rPr>
        <w:t xml:space="preserve">3.1、运维服务地点</w:t>
      </w:r>
      <w:r/>
    </w:p>
    <w:p>
      <w:pPr>
        <w:pStyle w:val="1094"/>
        <w:ind w:firstLine="485"/>
        <w:rPr>
          <w:rFonts w:ascii="宋体" w:hAnsi="宋体"/>
        </w:rPr>
      </w:pPr>
      <w:r>
        <w:rPr>
          <w:rFonts w:hint="eastAsia" w:ascii="宋体" w:hAnsi="宋体"/>
        </w:rPr>
        <w:t xml:space="preserve">运维服务地点范围包括：江苏省应急管理厅。</w:t>
      </w:r>
      <w:r/>
    </w:p>
    <w:p>
      <w:pPr>
        <w:pStyle w:val="1094"/>
        <w:ind w:firstLine="485"/>
        <w:rPr>
          <w:rFonts w:ascii="宋体" w:hAnsi="宋体"/>
        </w:rPr>
        <w:outlineLvl w:val="1"/>
      </w:pPr>
      <w:r>
        <w:rPr>
          <w:rFonts w:hint="eastAsia" w:ascii="宋体" w:hAnsi="宋体"/>
        </w:rPr>
        <w:t xml:space="preserve">3.2、服务总体要求</w:t>
      </w:r>
      <w:r/>
    </w:p>
    <w:p>
      <w:pPr>
        <w:pStyle w:val="1094"/>
        <w:ind w:firstLine="485"/>
      </w:pPr>
      <w:r>
        <w:rPr>
          <w:rFonts w:hint="eastAsia" w:ascii="宋体" w:hAnsi="宋体"/>
        </w:rPr>
        <w:t xml:space="preserve">投标人需安排专业工程师进行本地化服务，对全省范围内的线上执法办案流程的实时解答、支持。</w:t>
      </w:r>
      <w:r>
        <w:rPr>
          <w:rFonts w:ascii="宋体" w:hAnsi="宋体"/>
        </w:rPr>
        <w:t xml:space="preserve">全面熟悉掌握执法系统1至</w:t>
      </w:r>
      <w:r>
        <w:rPr>
          <w:rFonts w:hint="eastAsia" w:ascii="宋体" w:hAnsi="宋体"/>
        </w:rPr>
        <w:t xml:space="preserve">5</w:t>
      </w:r>
      <w:r>
        <w:rPr>
          <w:rFonts w:ascii="宋体" w:hAnsi="宋体"/>
        </w:rPr>
        <w:t xml:space="preserve">期建设情况，了解省应急厅及地市系统部署应用情况，熟悉应急管理相关法律法规，具有服务安全生产现场执法的工作经验，系统性了解执法文书和现场执法流程。</w:t>
      </w:r>
      <w:r>
        <w:rPr>
          <w:rFonts w:hint="eastAsia" w:ascii="宋体" w:hAnsi="宋体"/>
        </w:rPr>
        <w:t xml:space="preserve">配置不少于5名专职技术人员，提供在线服务和根据项目需要提供现场运维服务，做好系统运维、数据处理、技术支持、巡检服务、系统优化升级、系统完善修改、安全防护服务、系统培训、应急响应和故障排除、维护服务记录等服务工作，保障系统的日常平稳运行</w:t>
      </w:r>
      <w:r>
        <w:rPr>
          <w:rFonts w:ascii="宋体" w:hAnsi="宋体"/>
        </w:rPr>
        <w:t xml:space="preserve">。</w:t>
      </w:r>
      <w:r/>
    </w:p>
    <w:p>
      <w:pPr>
        <w:ind w:firstLine="482"/>
        <w:jc w:val="left"/>
        <w:spacing w:line="360" w:lineRule="auto"/>
        <w:widowControl/>
        <w:rPr>
          <w:rFonts w:ascii="宋体" w:hAnsi="宋体"/>
          <w:b/>
          <w:sz w:val="24"/>
          <w:szCs w:val="24"/>
        </w:rPr>
        <w:outlineLvl w:val="0"/>
      </w:pPr>
      <w:r>
        <w:rPr>
          <w:rFonts w:hint="eastAsia" w:ascii="宋体" w:hAnsi="宋体"/>
          <w:b/>
          <w:sz w:val="24"/>
          <w:szCs w:val="24"/>
        </w:rPr>
        <w:t xml:space="preserve">四、服务范围</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4.1系统全功能模块运维</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投标人需熟知执法系统的1-5期的建设内容，完成日常的运维工作。具体建设内容如下：</w:t>
      </w:r>
      <w:r/>
    </w:p>
    <w:tbl>
      <w:tblPr>
        <w:tblStyle w:val="9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057"/>
        <w:gridCol w:w="2183"/>
        <w:gridCol w:w="3769"/>
      </w:tblGrid>
      <w:tr>
        <w:trPr>
          <w:jc w:val="center"/>
        </w:trPr>
        <w:tc>
          <w:tcPr>
            <w:tcW w:w="478" w:type="pct"/>
            <w:vAlign w:val="center"/>
            <w:textDirection w:val="lrTb"/>
            <w:noWrap w:val="false"/>
          </w:tcPr>
          <w:p>
            <w:pPr>
              <w:rPr>
                <w:rFonts w:ascii="宋体" w:hAnsi="宋体"/>
                <w:b/>
                <w:sz w:val="24"/>
                <w:szCs w:val="24"/>
              </w:rPr>
            </w:pPr>
            <w:r>
              <w:rPr>
                <w:rFonts w:hint="eastAsia" w:ascii="宋体" w:hAnsi="宋体"/>
                <w:b/>
                <w:sz w:val="24"/>
                <w:szCs w:val="24"/>
              </w:rPr>
              <w:t xml:space="preserve">序号</w:t>
            </w:r>
            <w:r/>
          </w:p>
        </w:tc>
        <w:tc>
          <w:tcPr>
            <w:tcW w:w="1161" w:type="pct"/>
            <w:vAlign w:val="center"/>
            <w:textDirection w:val="lrTb"/>
            <w:noWrap w:val="false"/>
          </w:tcPr>
          <w:p>
            <w:pPr>
              <w:rPr>
                <w:rFonts w:ascii="宋体" w:hAnsi="宋体"/>
                <w:b/>
                <w:sz w:val="24"/>
                <w:szCs w:val="24"/>
              </w:rPr>
            </w:pPr>
            <w:r>
              <w:rPr>
                <w:rFonts w:hint="eastAsia" w:ascii="宋体" w:hAnsi="宋体"/>
                <w:b/>
                <w:sz w:val="24"/>
                <w:szCs w:val="24"/>
              </w:rPr>
              <w:t xml:space="preserve">建设项目</w:t>
            </w:r>
            <w:r/>
          </w:p>
        </w:tc>
        <w:tc>
          <w:tcPr>
            <w:tcW w:w="1232" w:type="pct"/>
            <w:vAlign w:val="center"/>
            <w:textDirection w:val="lrTb"/>
            <w:noWrap w:val="false"/>
          </w:tcPr>
          <w:p>
            <w:pPr>
              <w:rPr>
                <w:rFonts w:ascii="宋体" w:hAnsi="宋体"/>
                <w:b/>
                <w:sz w:val="24"/>
                <w:szCs w:val="24"/>
              </w:rPr>
            </w:pPr>
            <w:r>
              <w:rPr>
                <w:rFonts w:hint="eastAsia" w:ascii="宋体" w:hAnsi="宋体"/>
                <w:b/>
                <w:sz w:val="24"/>
                <w:szCs w:val="24"/>
              </w:rPr>
              <w:t xml:space="preserve">功能模块</w:t>
            </w:r>
            <w:r/>
          </w:p>
        </w:tc>
        <w:tc>
          <w:tcPr>
            <w:tcW w:w="2127" w:type="pct"/>
            <w:vAlign w:val="center"/>
            <w:textDirection w:val="lrTb"/>
            <w:noWrap w:val="false"/>
          </w:tcPr>
          <w:p>
            <w:pPr>
              <w:rPr>
                <w:rFonts w:ascii="宋体" w:hAnsi="宋体"/>
                <w:b/>
                <w:sz w:val="24"/>
                <w:szCs w:val="24"/>
              </w:rPr>
            </w:pPr>
            <w:r>
              <w:rPr>
                <w:rFonts w:hint="eastAsia" w:ascii="宋体" w:hAnsi="宋体"/>
                <w:b/>
                <w:sz w:val="24"/>
                <w:szCs w:val="24"/>
              </w:rPr>
              <w:t xml:space="preserve">描述</w:t>
            </w:r>
            <w:r/>
          </w:p>
        </w:tc>
      </w:tr>
      <w:tr>
        <w:trPr>
          <w:jc w:val="center"/>
        </w:trPr>
        <w:tc>
          <w:tcPr>
            <w:tcW w:w="478"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1</w:t>
            </w:r>
            <w:r/>
          </w:p>
        </w:tc>
        <w:tc>
          <w:tcPr>
            <w:tcW w:w="1161" w:type="pct"/>
            <w:vAlign w:val="center"/>
            <w:vMerge w:val="restart"/>
            <w:textDirection w:val="lrTb"/>
            <w:noWrap w:val="false"/>
          </w:tcPr>
          <w:p>
            <w:pPr>
              <w:rPr>
                <w:rFonts w:ascii="宋体" w:hAnsi="宋体"/>
                <w:b/>
                <w:sz w:val="24"/>
                <w:szCs w:val="24"/>
              </w:rPr>
            </w:pPr>
            <w:r>
              <w:rPr>
                <w:rFonts w:hint="eastAsia" w:ascii="宋体" w:hAnsi="宋体"/>
                <w:sz w:val="24"/>
                <w:szCs w:val="24"/>
              </w:rPr>
              <w:t xml:space="preserve">一期建设项目</w:t>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文书模板管理</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为执法办案过程中提供了所有的文书模板，支持修改配置</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执法检查</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从检查方案的制作到现场检查再到复查，包含整个执法检查流程，保障了执法检查的完整性</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行政处罚</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涵盖了整个案件办理的整个流程</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企业库</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和国家企业信用信息公示系统（江苏）做了对接网，为执法检查提供了企业对象，支持新增和维护企业</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用户管理</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提供人员管理列表，支持执法人员、审核审批人员、法制审核人员、集体讨论人员、组织听证人员、系统管理人员等人员角色分配和信息维护</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部门管理</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提供组织部门管理信息表，支持部门全称、银行信息、诉讼法院等相关部门信息的维护</w:t>
            </w:r>
            <w:r/>
          </w:p>
        </w:tc>
      </w:tr>
      <w:tr>
        <w:trPr>
          <w:jc w:val="center"/>
        </w:trPr>
        <w:tc>
          <w:tcPr>
            <w:tcW w:w="478"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2</w:t>
            </w:r>
            <w:r/>
          </w:p>
        </w:tc>
        <w:tc>
          <w:tcPr>
            <w:tcW w:w="1161"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二期建设项目</w:t>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执法知识库</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用户通过此模块可对江苏省自由裁量内容的信息进行维护，包括添加、删除、查询等功能</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分析研判数据统计</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该模块对全省行政执法的相关信息进行了汇总统计，包括执法检查情况统计、安全生产执法工作情况统计、企业检查统计、案由统计</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简易程序处罚</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用户通过此模块可新增简易程序处罚的信息，也可对已转入的信息进行数据及业务操作</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整改复查延期</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用户通过此模块可对转入整改复查延期环节中的信息数据进行处理</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非职责范围安全问题移交</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用户通过此模块可非职责范围安全问题的信息进行处理</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通知公告</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用户通过此模块可对通知公告的信息进行维护，包括新增、修改、查看、删除、查询、方案添加等操作</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月度计划</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用户通过此模块可对行政执法月度计划的信息进行维护，包括新增、修改、查看、删除、查询、方案添加等操作</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年度计划</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用户通过此模块可对行政执法年度计划的信息进行维护，包括新增、修改、查看、删除、查询等操作</w:t>
            </w:r>
            <w:r/>
          </w:p>
        </w:tc>
      </w:tr>
      <w:tr>
        <w:trPr>
          <w:jc w:val="center"/>
        </w:trPr>
        <w:tc>
          <w:tcPr>
            <w:tcW w:w="478"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3</w:t>
            </w:r>
            <w:r/>
          </w:p>
        </w:tc>
        <w:tc>
          <w:tcPr>
            <w:tcW w:w="1161"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三期建设项目</w:t>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移动端业务系统</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（手机）软件依照PC端功能建设，配合PC端管理系统为全省执法人员共同实现执法数据全流程管理</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pStyle w:val="918"/>
              <w:rPr>
                <w:rFonts w:ascii="宋体" w:hAnsi="宋体" w:cs="宋体"/>
                <w:sz w:val="24"/>
                <w:szCs w:val="24"/>
              </w:rPr>
            </w:pPr>
            <w:r>
              <w:rPr>
                <w:rFonts w:hint="eastAsia" w:ascii="宋体" w:hAnsi="宋体" w:cs="宋体"/>
                <w:sz w:val="24"/>
                <w:szCs w:val="24"/>
              </w:rPr>
              <w:t xml:space="preserve">执法助手</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提供了自由裁量系、重点检查事项、执法文书使用手册、执法知识库等搜索查询</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短信预警催办</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集成短信服务和系统消息提醒</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企业历史检查记录</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所有企业的历史检查记录做系统留痕</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文书在线编辑</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支持用户在原有的自动生成的文书的基本模板上进行灵活的样式调整</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转办</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检查、复查、行政处罚增加转办功能</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卷宗制作功能</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检查，案件全流程都增加卷宗制作</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文书模板预制</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执法系统所有文书都采用较为先进的Freemarker技术进行预制</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数据同步融合</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各个地市的执法数据信息需要与省厅的执法系统持续性的保持数据同步，融合</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bookmarkStart w:id="37" w:name="_Toc33808011"/>
            <w:r>
              <w:rPr>
                <w:rFonts w:hint="eastAsia" w:ascii="宋体" w:hAnsi="宋体"/>
                <w:sz w:val="24"/>
                <w:szCs w:val="24"/>
              </w:rPr>
              <w:t xml:space="preserve">执法工作台</w:t>
            </w:r>
            <w:bookmarkEnd w:id="37"/>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工作台展示多个流程待处理数据和总数据统计等</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pStyle w:val="919"/>
              <w:spacing w:before="120" w:after="120"/>
              <w:rPr>
                <w:rFonts w:ascii="宋体" w:hAnsi="宋体" w:cs="宋体"/>
                <w:b w:val="0"/>
                <w:sz w:val="24"/>
                <w:szCs w:val="24"/>
              </w:rPr>
            </w:pPr>
            <w:r>
              <w:rPr>
                <w:rFonts w:hint="eastAsia" w:ascii="宋体" w:hAnsi="宋体" w:cs="宋体"/>
                <w:b w:val="0"/>
                <w:sz w:val="24"/>
                <w:szCs w:val="24"/>
              </w:rPr>
              <w:t xml:space="preserve">电子签章公章优化</w:t>
            </w:r>
            <w:r/>
          </w:p>
        </w:tc>
        <w:tc>
          <w:tcPr>
            <w:tcW w:w="2127" w:type="pct"/>
            <w:vAlign w:val="center"/>
            <w:textDirection w:val="lrTb"/>
            <w:noWrap w:val="false"/>
          </w:tcPr>
          <w:p>
            <w:pPr>
              <w:rPr>
                <w:rFonts w:ascii="宋体" w:hAnsi="宋体"/>
                <w:bCs/>
                <w:sz w:val="24"/>
                <w:szCs w:val="24"/>
              </w:rPr>
            </w:pPr>
            <w:r>
              <w:rPr>
                <w:rFonts w:hint="eastAsia" w:ascii="宋体" w:hAnsi="宋体"/>
                <w:bCs/>
                <w:sz w:val="24"/>
                <w:szCs w:val="24"/>
              </w:rPr>
              <w:t xml:space="preserve">系统集成了第三方签章系统，直接直接在线签名，执法章公章自由切换</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pStyle w:val="919"/>
              <w:spacing w:before="120" w:after="120"/>
              <w:rPr>
                <w:rFonts w:ascii="宋体" w:hAnsi="宋体" w:cs="宋体"/>
                <w:b w:val="0"/>
                <w:sz w:val="24"/>
                <w:szCs w:val="24"/>
              </w:rPr>
            </w:pPr>
            <w:r>
              <w:rPr>
                <w:rFonts w:hint="eastAsia" w:ascii="宋体" w:hAnsi="宋体" w:cs="宋体"/>
                <w:b w:val="0"/>
                <w:sz w:val="24"/>
                <w:szCs w:val="24"/>
              </w:rPr>
              <w:t xml:space="preserve">笔录模板管理</w:t>
            </w:r>
            <w:r/>
          </w:p>
        </w:tc>
        <w:tc>
          <w:tcPr>
            <w:tcW w:w="2127" w:type="pct"/>
            <w:vAlign w:val="center"/>
            <w:textDirection w:val="lrTb"/>
            <w:noWrap w:val="false"/>
          </w:tcPr>
          <w:p>
            <w:pPr>
              <w:rPr>
                <w:rFonts w:ascii="宋体" w:hAnsi="宋体"/>
                <w:bCs/>
                <w:sz w:val="24"/>
                <w:szCs w:val="24"/>
              </w:rPr>
            </w:pPr>
            <w:r>
              <w:rPr>
                <w:rFonts w:hint="eastAsia" w:ascii="宋体" w:hAnsi="宋体"/>
                <w:bCs/>
                <w:sz w:val="24"/>
                <w:szCs w:val="24"/>
              </w:rPr>
              <w:t xml:space="preserve">增加了检查项模板、笔录模板等功能</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pStyle w:val="919"/>
              <w:spacing w:before="120" w:after="120"/>
              <w:rPr>
                <w:rFonts w:ascii="宋体" w:hAnsi="宋体" w:cs="宋体"/>
                <w:b w:val="0"/>
                <w:sz w:val="24"/>
                <w:szCs w:val="24"/>
              </w:rPr>
            </w:pPr>
            <w:r>
              <w:rPr>
                <w:rFonts w:hint="eastAsia" w:ascii="宋体" w:hAnsi="宋体" w:cs="宋体"/>
                <w:b w:val="0"/>
                <w:sz w:val="24"/>
                <w:szCs w:val="24"/>
              </w:rPr>
              <w:t xml:space="preserve">分析研判数据统计</w:t>
            </w:r>
            <w:r/>
          </w:p>
        </w:tc>
        <w:tc>
          <w:tcPr>
            <w:tcW w:w="2127" w:type="pct"/>
            <w:vAlign w:val="center"/>
            <w:textDirection w:val="lrTb"/>
            <w:noWrap w:val="false"/>
          </w:tcPr>
          <w:p>
            <w:pPr>
              <w:rPr>
                <w:rFonts w:ascii="宋体" w:hAnsi="宋体"/>
                <w:bCs/>
                <w:sz w:val="24"/>
                <w:szCs w:val="24"/>
              </w:rPr>
            </w:pPr>
            <w:r>
              <w:rPr>
                <w:rFonts w:hint="eastAsia" w:ascii="宋体" w:hAnsi="宋体"/>
                <w:bCs/>
                <w:sz w:val="24"/>
                <w:szCs w:val="24"/>
              </w:rPr>
              <w:t xml:space="preserve">增加安全生产执法工作季度统计、文书统计、执法计划统计、案由统计、监管预警统计分析</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事故立案</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增加事故立案全流程及统计</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行政复议和诉讼</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增加了案件复议和诉讼功能</w:t>
            </w:r>
            <w:r/>
          </w:p>
        </w:tc>
      </w:tr>
      <w:tr>
        <w:trPr>
          <w:jc w:val="center"/>
        </w:trPr>
        <w:tc>
          <w:tcPr>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W w:w="1232" w:type="pct"/>
            <w:vAlign w:val="center"/>
            <w:textDirection w:val="lrTb"/>
            <w:noWrap w:val="false"/>
          </w:tcPr>
          <w:p>
            <w:pPr>
              <w:rPr>
                <w:rFonts w:ascii="宋体" w:hAnsi="宋体"/>
                <w:sz w:val="24"/>
                <w:szCs w:val="24"/>
              </w:rPr>
            </w:pPr>
            <w:r>
              <w:rPr>
                <w:rFonts w:hint="eastAsia" w:ascii="宋体" w:hAnsi="宋体"/>
                <w:sz w:val="24"/>
                <w:szCs w:val="24"/>
              </w:rPr>
              <w:t xml:space="preserve">执法系统数据与多平台对接</w:t>
            </w:r>
            <w:r/>
          </w:p>
        </w:tc>
        <w:tc>
          <w:tcPr>
            <w:tcW w:w="2127" w:type="pct"/>
            <w:vAlign w:val="center"/>
            <w:textDirection w:val="lrTb"/>
            <w:noWrap w:val="false"/>
          </w:tcPr>
          <w:p>
            <w:pPr>
              <w:rPr>
                <w:rFonts w:ascii="宋体" w:hAnsi="宋体"/>
                <w:sz w:val="24"/>
                <w:szCs w:val="24"/>
              </w:rPr>
            </w:pPr>
            <w:r>
              <w:rPr>
                <w:rFonts w:hint="eastAsia" w:ascii="宋体" w:hAnsi="宋体"/>
                <w:sz w:val="24"/>
                <w:szCs w:val="24"/>
              </w:rPr>
              <w:t xml:space="preserve">对接江苏省安全生产问题处置监管平台、各地市执法系统对接本地综合平台数据、数梦、互联网+监管、互联网+统计</w:t>
            </w:r>
            <w:r/>
          </w:p>
        </w:tc>
      </w:tr>
      <w:tr>
        <w:trPr>
          <w:jc w:val="center"/>
        </w:trPr>
        <w:tc>
          <w:tcPr>
            <w:tcBorders>
              <w:top w:val="single" w:color="auto" w:sz="4" w:space="0"/>
              <w:left w:val="single" w:color="auto" w:sz="4" w:space="0"/>
              <w:right w:val="single" w:color="auto" w:sz="4" w:space="0"/>
            </w:tcBorders>
            <w:tcW w:w="478"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161" w:type="pct"/>
            <w:vAlign w:val="center"/>
            <w:vMerge w:val="restart"/>
            <w:textDirection w:val="lrTb"/>
            <w:noWrap w:val="false"/>
          </w:tcPr>
          <w:p>
            <w:pPr>
              <w:rPr>
                <w:rFonts w:ascii="宋体" w:hAnsi="宋体"/>
                <w:sz w:val="24"/>
                <w:szCs w:val="24"/>
              </w:rPr>
            </w:pPr>
            <w:r>
              <w:rPr>
                <w:rFonts w:hint="eastAsia" w:ascii="宋体" w:hAnsi="宋体"/>
                <w:sz w:val="24"/>
                <w:szCs w:val="24"/>
              </w:rPr>
              <w:t xml:space="preserve">四期建设项目</w:t>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可视化执法大屏</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根据业务需求，实现执法可视化大屏，统计全省执法在线情况，关联的案件信息，执法签到率，执法记录仪现场使用率、现场检查、整改复查、一般行政处罚各环节执法清单等信息</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融合调度</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实现音视频通话，支持指挥中心PC终端与执法记录仪进行实时通讯与信息交互，各级指挥中心可实时和执法人员进行音视频通话，实现轨迹回放、SOS等</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实时视频</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省厅可以查看本级和各个地市区县的执法实况、地市可查看本级和下级区县执法实况、区县可查看本级和下属单位执法实况。支持4、9、16宫格展示</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音视频采集</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音视频采集时显示用户名、剩余内存、分辨率、关联案件后显示案件名称，视频采集过程中用户可通过按键或者屏幕操作的方式实现照片拍摄。</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案件关联</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用户可在执法记录仪上关联案件，音视频相关证据自动上传到相关案件下</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三年专项</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支持钢铁厂、粉尘企业、铝加工企业设备管理，同时实现检查方案、现场检查记录、检查结果处理、整改复查等模块的定制化功能开发</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交办功能</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实现市局向区县交办复查和案件信息的功能</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用章流程自管理</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支持各地市、区县自定义文书部门盖章类型，用户可以自己设置哪些文书盖执法专用章，哪些文书盖公章。系统需要提供用章管理的后管功能，方便用户配置用章规则。</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数据项优化</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应急部互联网+监管、互联网+执法、行政执法统计系统、问题处置平台在数据对接过程中，因江苏省安全行政执法系统部分数据项缺失，修改系统前后端程序，来补充缺失的数据项。</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企业库优化</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企业库数据自行梳理，与风险报告系统企业进行对接</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模拟执法</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在执法系统中嵌入模拟执法系统，帮助执法人员学习执法系统的具体操作。采用与真实系统同一套用户体系，用户在模拟系统的数据不计入真实系统。</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法律法规适配</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根据新版安全生产法对系统中文书及相关流程进行优化修改</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基础分析</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包含执法检查情况综合分析、现场检查记录统计、整改复查统计、行政处罚统计、文书统计、企业统计、执法人员统计、排行榜、法条统计等功能</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预警提醒</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针对13个时间受控节点，进行预警报警 ，可在排行榜中对超期进行统一考核。</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异常数据分析</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针对立案异常、罚款异常、异常企业、超期预警等信息进行统计分析</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三年专项相关数据分析</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针对三年专项的执法检查情况、执法检查中发现的隐患及整改情况、立案情况、经济处罚情况、其他行政处罚情况进行统计分析。</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工贸行业专项统计</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主要针对工贸行业的执法检查进行统计分析，分为两个功能模块，分别为工贸行业执法统计和工贸行业执法情况统计。</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现场检查问题描述推送</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从案例、历史检查适配隐患关键热词，将相关的信息推送给执法人员。方便执法人员在历史案例和历史检查中获取隐患等级判别、隐患处理方式的参考和建议。</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PAD端执法流程功能</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现场检查方案、现场检查、检查结果处理、整改复查、延期整改复查、一般行政处罚、简易程序处罚、执法计划、审核审批、法制审核、集体讨论、组织听证、执法知识库、企业信息等</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rPr>
                <w:rFonts w:ascii="宋体" w:hAnsi="宋体"/>
                <w:sz w:val="24"/>
                <w:szCs w:val="24"/>
              </w:rPr>
            </w:pPr>
            <w:r>
              <w:rPr>
                <w:rFonts w:hint="eastAsia" w:ascii="宋体" w:hAnsi="宋体"/>
                <w:sz w:val="24"/>
                <w:szCs w:val="24"/>
              </w:rPr>
              <w:t xml:space="preserve">卷宗评审</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rPr>
                <w:rFonts w:ascii="宋体" w:hAnsi="宋体"/>
                <w:sz w:val="24"/>
                <w:szCs w:val="24"/>
              </w:rPr>
            </w:pPr>
            <w:r>
              <w:rPr>
                <w:rFonts w:hint="eastAsia" w:ascii="宋体" w:hAnsi="宋体"/>
                <w:sz w:val="24"/>
                <w:szCs w:val="24"/>
              </w:rPr>
              <w:t xml:space="preserve">卷宗评审专家通过此功能，对指定的卷宗进行打分评审</w:t>
            </w:r>
            <w:r/>
          </w:p>
        </w:tc>
      </w:tr>
      <w:tr>
        <w:trPr>
          <w:jc w:val="center"/>
        </w:trPr>
        <w:tc>
          <w:tcPr>
            <w:tcBorders>
              <w:left w:val="single" w:color="auto" w:sz="4" w:space="0"/>
              <w:right w:val="single" w:color="auto" w:sz="4" w:space="0"/>
            </w:tcBorders>
            <w:tcW w:w="478" w:type="pct"/>
            <w:vAlign w:val="center"/>
            <w:vMerge w:val="restart"/>
            <w:textDirection w:val="lrTb"/>
            <w:noWrap w:val="false"/>
          </w:tcPr>
          <w:p>
            <w:pPr>
              <w:rPr>
                <w:rFonts w:ascii="宋体" w:hAnsi="宋体" w:cs="宋体"/>
                <w:sz w:val="24"/>
                <w:szCs w:val="24"/>
              </w:rPr>
            </w:pPr>
            <w:r>
              <w:rPr>
                <w:rFonts w:hint="eastAsia" w:ascii="宋体" w:hAnsi="宋体"/>
                <w:sz w:val="24"/>
                <w:szCs w:val="24"/>
              </w:rPr>
              <w:t xml:space="preserve">5</w:t>
            </w:r>
            <w:r/>
          </w:p>
        </w:tc>
        <w:tc>
          <w:tcPr>
            <w:tcBorders>
              <w:left w:val="single" w:color="auto" w:sz="4" w:space="0"/>
              <w:right w:val="single" w:color="auto" w:sz="4" w:space="0"/>
            </w:tcBorders>
            <w:tcW w:w="1161" w:type="pct"/>
            <w:vAlign w:val="center"/>
            <w:vMerge w:val="restart"/>
            <w:textDirection w:val="lrTb"/>
            <w:noWrap w:val="false"/>
          </w:tcPr>
          <w:p>
            <w:pPr>
              <w:rPr>
                <w:rFonts w:ascii="宋体" w:hAnsi="宋体" w:cs="宋体"/>
                <w:sz w:val="24"/>
                <w:szCs w:val="24"/>
              </w:rPr>
            </w:pPr>
            <w:r>
              <w:rPr>
                <w:rFonts w:hint="eastAsia" w:ascii="宋体" w:hAnsi="宋体"/>
                <w:sz w:val="24"/>
                <w:szCs w:val="24"/>
              </w:rPr>
              <w:t xml:space="preserve">五期建设项目</w:t>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widowControl/>
              <w:rPr>
                <w:rFonts w:ascii="宋体" w:hAnsi="宋体" w:cs="宋体"/>
                <w:sz w:val="24"/>
                <w:szCs w:val="24"/>
                <w:lang w:val="zh-CN"/>
              </w:rPr>
            </w:pPr>
            <w:r>
              <w:rPr>
                <w:rFonts w:hint="eastAsia" w:ascii="宋体" w:hAnsi="宋体" w:cs="宋体"/>
                <w:sz w:val="24"/>
                <w:szCs w:val="24"/>
                <w:lang w:val="zh-CN"/>
              </w:rPr>
              <w:t xml:space="preserve">隐患判定和重点检查事项调整</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jc w:val="left"/>
              <w:widowControl/>
              <w:rPr>
                <w:rFonts w:ascii="宋体" w:hAnsi="宋体" w:cs="宋体"/>
                <w:sz w:val="24"/>
                <w:szCs w:val="24"/>
                <w:lang w:val="zh-CN"/>
              </w:rPr>
            </w:pPr>
            <w:r>
              <w:rPr>
                <w:rFonts w:hint="eastAsia"/>
                <w:sz w:val="24"/>
                <w:szCs w:val="24"/>
              </w:rPr>
              <w:t xml:space="preserve">重大隐患判定调整：根据文件要求细化企业分类，根据分类调整和展示详细的判定标准，便于执法人员选择判定标准；重点检查事项调整：根据相关文件需要，调整危化品重点检查事项和裁量的内容。</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highlight w:val="green"/>
              </w:rPr>
            </w:pPr>
            <w:r>
              <w:rPr>
                <w:rFonts w:ascii="宋体" w:hAnsi="宋体"/>
                <w:sz w:val="24"/>
                <w:szCs w:val="24"/>
                <w:highlight w:val="green"/>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highlight w:val="green"/>
              </w:rPr>
            </w:pPr>
            <w:r>
              <w:rPr>
                <w:rFonts w:ascii="宋体" w:hAnsi="宋体"/>
                <w:sz w:val="24"/>
                <w:szCs w:val="24"/>
                <w:highlight w:val="green"/>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widowControl/>
              <w:rPr>
                <w:rFonts w:ascii="宋体" w:hAnsi="宋体" w:cs="宋体"/>
                <w:sz w:val="24"/>
                <w:szCs w:val="24"/>
                <w:lang w:val="zh-CN"/>
              </w:rPr>
            </w:pPr>
            <w:r>
              <w:rPr>
                <w:rFonts w:hint="eastAsia" w:ascii="宋体" w:hAnsi="宋体" w:cs="宋体"/>
                <w:sz w:val="24"/>
                <w:szCs w:val="24"/>
                <w:lang w:val="zh-CN"/>
              </w:rPr>
              <w:t xml:space="preserve">季度专项执法检查</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jc w:val="left"/>
              <w:widowControl/>
              <w:rPr>
                <w:rFonts w:ascii="宋体" w:hAnsi="宋体" w:cs="宋体"/>
                <w:sz w:val="24"/>
                <w:szCs w:val="24"/>
                <w:lang w:val="zh-CN"/>
              </w:rPr>
            </w:pPr>
            <w:r>
              <w:rPr>
                <w:rFonts w:hint="eastAsia" w:ascii="宋体" w:hAnsi="宋体" w:cs="宋体"/>
                <w:sz w:val="24"/>
                <w:szCs w:val="24"/>
                <w:lang w:val="zh-CN"/>
              </w:rPr>
              <w:t xml:space="preserve">根据执法工作要聚焦重大事故隐患、重点检查事项的要求，开展季度专项执法工作，新增研发季度专项检查功能，包括专项执法检查方案、专项执法检查记录独立管理，季度专项公告即每季度专项检查内容及操作指南，重大隐患执法能手数据统计，执法能手公示及排名，重大隐患典型案例公示及排名等方面的需求开发。</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widowControl/>
              <w:rPr>
                <w:rFonts w:ascii="宋体" w:hAnsi="宋体" w:cs="宋体"/>
                <w:sz w:val="24"/>
                <w:szCs w:val="24"/>
                <w:lang w:val="zh-CN"/>
              </w:rPr>
            </w:pPr>
            <w:r>
              <w:rPr>
                <w:rFonts w:hint="eastAsia" w:ascii="宋体" w:hAnsi="宋体" w:cs="宋体"/>
                <w:sz w:val="24"/>
                <w:szCs w:val="24"/>
                <w:lang w:val="zh-CN"/>
              </w:rPr>
              <w:t xml:space="preserve">执法数据共享对接</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jc w:val="left"/>
              <w:widowControl/>
              <w:rPr>
                <w:rFonts w:ascii="宋体" w:hAnsi="宋体" w:cs="宋体"/>
                <w:sz w:val="24"/>
                <w:szCs w:val="24"/>
                <w:lang w:val="zh-CN"/>
              </w:rPr>
            </w:pPr>
            <w:r>
              <w:rPr>
                <w:rFonts w:hint="eastAsia"/>
                <w:sz w:val="24"/>
                <w:szCs w:val="24"/>
              </w:rPr>
              <w:t xml:space="preserve">升级和新增行政执法系统与应急管理部系统、江苏省应急管理厅等多个系统的数据对接、同步，按要求完成全量数据上报，修改完善执法数据库结构和指标项，确保与部执法系统数据采集标准完全一致等工作项。</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widowControl/>
              <w:rPr>
                <w:rFonts w:ascii="宋体" w:hAnsi="宋体" w:cs="宋体"/>
                <w:sz w:val="24"/>
                <w:szCs w:val="24"/>
                <w:lang w:val="zh-CN"/>
              </w:rPr>
            </w:pPr>
            <w:r>
              <w:rPr>
                <w:rFonts w:hint="eastAsia" w:ascii="宋体" w:hAnsi="宋体" w:cs="宋体"/>
                <w:sz w:val="24"/>
                <w:szCs w:val="24"/>
                <w:lang w:val="zh-CN"/>
              </w:rPr>
              <w:t xml:space="preserve">执法效能评价</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jc w:val="left"/>
              <w:widowControl/>
              <w:rPr>
                <w:rFonts w:ascii="宋体" w:hAnsi="宋体" w:cs="宋体"/>
                <w:sz w:val="24"/>
                <w:szCs w:val="24"/>
                <w:lang w:val="zh-CN"/>
              </w:rPr>
            </w:pPr>
            <w:r>
              <w:rPr>
                <w:rFonts w:hint="eastAsia" w:ascii="宋体" w:hAnsi="宋体" w:cs="宋体"/>
                <w:sz w:val="24"/>
                <w:szCs w:val="24"/>
                <w:lang w:val="zh-CN"/>
              </w:rPr>
              <w:t xml:space="preserve">根据应急部《安全生产行政执法效能评价指标》完善系统数据统计功能，该功能持续升级中。此次根据应急部要求，新增执法人员录入率、执法重点企业录入率、重大数据隐患发现率、查办重大事故隐患案件比例、立案率、执法人员人均办案量、线上执法办案率、报送危险作业案例数等统计功能。该工作将对标应急部相关要求持续改进优化，实现数据结果向部系统的实时推送，参与全国执法业务考核。</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widowControl/>
              <w:rPr>
                <w:rFonts w:ascii="宋体" w:hAnsi="宋体" w:cs="宋体"/>
                <w:sz w:val="24"/>
                <w:szCs w:val="24"/>
                <w:lang w:val="zh-CN"/>
              </w:rPr>
            </w:pPr>
            <w:r>
              <w:rPr>
                <w:rFonts w:hint="eastAsia" w:ascii="宋体" w:hAnsi="宋体" w:cs="宋体"/>
                <w:sz w:val="24"/>
                <w:szCs w:val="24"/>
                <w:lang w:val="zh-CN"/>
              </w:rPr>
              <w:t xml:space="preserve">分析研判</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jc w:val="left"/>
              <w:widowControl/>
              <w:rPr>
                <w:rFonts w:ascii="宋体" w:hAnsi="宋体" w:cs="宋体"/>
                <w:sz w:val="24"/>
                <w:szCs w:val="24"/>
                <w:lang w:val="zh-CN"/>
              </w:rPr>
            </w:pPr>
            <w:r>
              <w:rPr>
                <w:rFonts w:hint="eastAsia"/>
                <w:sz w:val="24"/>
                <w:szCs w:val="24"/>
              </w:rPr>
              <w:t xml:space="preserve">设计和开发执法可视化大屏，以行政执法相关数据为基础，围绕检查计划、现场检查、行政处罚、企业画像等设计功能。</w:t>
            </w:r>
            <w:r/>
          </w:p>
        </w:tc>
      </w:tr>
      <w:tr>
        <w:trPr>
          <w:jc w:val="center"/>
        </w:trPr>
        <w:tc>
          <w:tcPr>
            <w:tcBorders>
              <w:left w:val="single" w:color="auto" w:sz="4" w:space="0"/>
              <w:right w:val="single" w:color="auto" w:sz="4" w:space="0"/>
            </w:tcBorders>
            <w:tcW w:w="478"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1161" w:type="pct"/>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widowControl/>
              <w:rPr>
                <w:rFonts w:ascii="宋体" w:hAnsi="宋体" w:cs="宋体"/>
                <w:sz w:val="24"/>
                <w:szCs w:val="24"/>
                <w:lang w:val="zh-CN"/>
              </w:rPr>
            </w:pPr>
            <w:r>
              <w:rPr>
                <w:rFonts w:hint="eastAsia" w:ascii="宋体" w:hAnsi="宋体" w:cs="宋体"/>
                <w:sz w:val="24"/>
                <w:szCs w:val="24"/>
                <w:lang w:val="zh-CN"/>
              </w:rPr>
              <w:t xml:space="preserve">执法流程和功能升级</w:t>
            </w:r>
            <w:r/>
          </w:p>
        </w:tc>
        <w:tc>
          <w:tcPr>
            <w:tcBorders>
              <w:top w:val="single" w:color="auto" w:sz="4" w:space="0"/>
              <w:left w:val="single" w:color="auto" w:sz="4" w:space="0"/>
              <w:bottom w:val="single" w:color="auto" w:sz="4" w:space="0"/>
              <w:right w:val="single" w:color="auto" w:sz="4" w:space="0"/>
            </w:tcBorders>
            <w:tcW w:w="2127" w:type="pct"/>
            <w:vAlign w:val="center"/>
            <w:textDirection w:val="lrTb"/>
            <w:noWrap w:val="false"/>
          </w:tcPr>
          <w:p>
            <w:pPr>
              <w:jc w:val="left"/>
              <w:widowControl/>
              <w:rPr>
                <w:rFonts w:ascii="宋体" w:hAnsi="宋体" w:cs="宋体"/>
                <w:sz w:val="24"/>
                <w:szCs w:val="24"/>
                <w:lang w:val="zh-CN"/>
              </w:rPr>
            </w:pPr>
            <w:r>
              <w:rPr>
                <w:rFonts w:hint="eastAsia"/>
                <w:sz w:val="24"/>
                <w:szCs w:val="24"/>
              </w:rPr>
              <w:t xml:space="preserve">包含：单点登录、数据改造和迁移、公告管理、企业库优化调整、文书上云、证据分类、执法日历、检查方案文书撤销、法审流程优化、签字优化、一案双罚证据材料自动关联、告知书纠错、扣押期限提醒、送达回执关联、增加执法被检查人类型、省级延期审批、企业信息查看权限调整。</w:t>
            </w:r>
            <w:r/>
          </w:p>
        </w:tc>
      </w:tr>
    </w:tbl>
    <w:p>
      <w:pPr>
        <w:jc w:val="left"/>
        <w:spacing w:line="360" w:lineRule="auto"/>
        <w:widowControl/>
        <w:rPr>
          <w:rFonts w:ascii="宋体" w:hAnsi="宋体"/>
          <w:b/>
          <w:sz w:val="24"/>
          <w:szCs w:val="24"/>
        </w:rPr>
      </w:pPr>
      <w:r>
        <w:rPr>
          <w:rFonts w:ascii="宋体" w:hAnsi="宋体"/>
          <w:b/>
          <w:sz w:val="24"/>
          <w:szCs w:val="24"/>
        </w:rPr>
      </w:r>
      <w:r/>
    </w:p>
    <w:p>
      <w:pPr>
        <w:ind w:firstLine="482"/>
        <w:jc w:val="left"/>
        <w:spacing w:line="360" w:lineRule="auto"/>
        <w:widowControl/>
        <w:rPr>
          <w:rFonts w:ascii="宋体" w:hAnsi="宋体"/>
          <w:b/>
          <w:sz w:val="24"/>
          <w:szCs w:val="24"/>
          <w:highlight w:val="green"/>
        </w:rPr>
        <w:outlineLvl w:val="0"/>
      </w:pPr>
      <w:r>
        <w:rPr>
          <w:rFonts w:hint="eastAsia" w:ascii="宋体" w:hAnsi="宋体"/>
          <w:b/>
          <w:sz w:val="24"/>
          <w:szCs w:val="24"/>
        </w:rPr>
        <w:t xml:space="preserve">五、服务内容</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5.1日常问题处理</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1)▲对系统日常使用问题进行支持，做好答疑、解决问题工作；</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2)▲协助全省各地市行政执法部门更新组织架构和人员调整；</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3)▲协助全省各地市行政执法人员的电子签章制作和添加； </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4)▲配合各地市行政执法人员进行知识库中法律法规的维护及内容审核；</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5)及时响应用户信息维护，包括用户的新增及用户密码的重置等工作，保障全省用户的登录和使用；</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5.2日常数据运维</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1)▲各地市日常数据汇总同步上报至省厅系统；</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2)▲配合做好执法计划、重点企业等数据的维护和更新工作；</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3)系统数据分析和修复错误数据；</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4)数据统计和日常数据提取导出；</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5)▲针对地市推送到省厅出现数据不一致的问题，提出合理化解决方案；</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5.3系统培训服务</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（1）运维人员培训：为保证系统日常的运行、维护和管理等工作，相关运维团队人员应接受必要的技术和业务培训后方能上岗。</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（2）▲用户培训：运维周期内对政府端用户每季度开展不少于1次系统培训，对系统用户开展所有功能改进的系统操作培训，并为所有培训提供免费培训相关文档材料。</w:t>
      </w:r>
      <w:r>
        <w:rPr>
          <w:rFonts w:hint="eastAsia" w:ascii="宋体" w:hAnsi="宋体"/>
          <w:b/>
          <w:bCs w:val="0"/>
          <w:sz w:val="24"/>
          <w:szCs w:val="24"/>
          <w:u w:val="single"/>
        </w:rPr>
        <w:t xml:space="preserve">供应商应提供盖章的承诺书。</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5.4系统巡检</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（1）▲定期巡检：提供每月不少于2次的巡检服务，巡检内容包括但不限于服务器硬件使用情况、操作系统安全漏洞、应用服务运行情况、数据库运行情况等。</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（2）系统运行分析：通过现场核查、调取相关的运维工作记录、审查运维报告等方式，对各系统的日常工作情况进行全面的检查与审核，以发现、分析系统整体的运行问题。</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5.5系统部署实施</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根据项目需求和特点，投标人需提供项目系统部署实施方案，对系统功能和维护需求进行统一说明，明确系统部署实施计划以及具体的部署实施项目更新的步骤。</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5.6应急响应</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（1）应急联系人：提供7×24小时应急联系人支持服务；</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（2）▲应急响应时间要求：制定明确故障等级，提供不同的故障响应服务，在接到采购人报修后，应在及时响应，1个小时内提供解决方案，并在最短的时间内排除故障，保障各子系统有效运行。</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（3）▲紧急情况现场保障服务要求：当发生突发事件时，运维人员须在收到通知后30分钟内到达现场，保障突发事件数据支撑需要。</w:t>
      </w:r>
      <w:r>
        <w:rPr>
          <w:rFonts w:hint="eastAsia" w:ascii="宋体" w:hAnsi="宋体"/>
          <w:b/>
          <w:bCs w:val="0"/>
          <w:sz w:val="24"/>
          <w:szCs w:val="24"/>
        </w:rPr>
        <w:t xml:space="preserve">供应商应提供盖章的承诺书</w:t>
      </w:r>
      <w:r>
        <w:rPr>
          <w:rFonts w:hint="eastAsia" w:ascii="宋体" w:hAnsi="宋体"/>
          <w:bCs/>
          <w:sz w:val="24"/>
          <w:szCs w:val="24"/>
        </w:rPr>
        <w:t xml:space="preserve">。</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（4）▲重要节假日保障：重要节假日除常规1名驻场7*8小时值班人员外，需提供1名值班备勤人员，该人员不得离开南京，保证24小时电话畅通，确保1小时内到达采购人现场。</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5.7数据处理与安全防护</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数据处理：负责对现有业务数据库进行维护、调优，并对应急部及13个地市的数据进行对接。配合采购人对数据资源进行更新处理，包括数据采集、分析、录入、更新、核对等。如有需要，供应商应提供有数据处理专业能力的技术人员到场协助。</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数据安全防护：强化密码防护，定期做好重要数据备份，及时更新设备软件与操作系统，防止数据丢失或损坏。建立保密制度，防止敏感信息泄露。进行任何生产环境的数据操作时，需取得采购人的授权同意。</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5.8固定组件采购与适配要求</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采购CA签证证书，并适配执法系统，支持对电子文书进行签名操作；采购OCR接口服务，适配执法系统并支持识别营业执照和身份证，提供明确的对接方案；采购文书在线编辑插件，适配执法系统支持省厅与各地市的文书在线编辑等，此部分为按年采购的第三方插件和升级对接服务。以下表格中所列的系统用到的第三方插件服务费用均包含在本次采购预算中。</w:t>
      </w:r>
      <w:r/>
    </w:p>
    <w:tbl>
      <w:tblPr>
        <w:tblStyle w:val="925"/>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1449"/>
        <w:gridCol w:w="4607"/>
        <w:gridCol w:w="893"/>
        <w:gridCol w:w="1036"/>
      </w:tblGrid>
      <w:tr>
        <w:trPr>
          <w:jc w:val="center"/>
        </w:trPr>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项目</w:t>
            </w:r>
            <w:r/>
          </w:p>
        </w:tc>
        <w:tc>
          <w:tcPr>
            <w:tcBorders>
              <w:top w:val="single" w:color="auto" w:sz="4" w:space="0"/>
              <w:left w:val="single" w:color="auto" w:sz="4" w:space="0"/>
              <w:bottom w:val="single" w:color="auto" w:sz="4" w:space="0"/>
              <w:right w:val="single" w:color="auto" w:sz="4" w:space="0"/>
            </w:tcBorders>
            <w:tcW w:w="4607"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描述</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ascii="宋体" w:hAnsi="宋体"/>
                <w:b/>
                <w:bCs/>
                <w:sz w:val="24"/>
                <w:szCs w:val="24"/>
              </w:rPr>
            </w:pPr>
            <w:r>
              <w:rPr>
                <w:rFonts w:hint="eastAsia" w:ascii="宋体" w:hAnsi="宋体"/>
                <w:b/>
                <w:bCs/>
                <w:sz w:val="24"/>
                <w:szCs w:val="24"/>
              </w:rPr>
              <w:t xml:space="preserve">数量</w:t>
            </w:r>
            <w:r/>
          </w:p>
        </w:tc>
      </w:tr>
      <w:tr>
        <w:trPr>
          <w:jc w:val="center"/>
        </w:trPr>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44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CA证书</w:t>
            </w:r>
            <w:r/>
          </w:p>
        </w:tc>
        <w:tc>
          <w:tcPr>
            <w:tcBorders>
              <w:top w:val="single" w:color="auto" w:sz="4" w:space="0"/>
              <w:left w:val="single" w:color="auto" w:sz="4" w:space="0"/>
              <w:bottom w:val="single" w:color="auto" w:sz="4" w:space="0"/>
              <w:right w:val="single" w:color="auto" w:sz="4" w:space="0"/>
            </w:tcBorders>
            <w:tcW w:w="460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执法系统签章认证，采用CA一年使用服务。</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年</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44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OCR识别</w:t>
            </w:r>
            <w:r/>
          </w:p>
        </w:tc>
        <w:tc>
          <w:tcPr>
            <w:tcBorders>
              <w:top w:val="single" w:color="auto" w:sz="4" w:space="0"/>
              <w:left w:val="single" w:color="auto" w:sz="4" w:space="0"/>
              <w:bottom w:val="single" w:color="auto" w:sz="4" w:space="0"/>
              <w:right w:val="single" w:color="auto" w:sz="4" w:space="0"/>
            </w:tcBorders>
            <w:tcW w:w="460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PAD端营业执照/身份证OCR识别，第三方接口调用。一年接口调用服务。</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年</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3</w:t>
            </w:r>
            <w:r/>
          </w:p>
        </w:tc>
        <w:tc>
          <w:tcPr>
            <w:tcBorders>
              <w:left w:val="single" w:color="auto" w:sz="4" w:space="0"/>
              <w:right w:val="single" w:color="auto" w:sz="4" w:space="0"/>
            </w:tcBorders>
            <w:tcW w:w="144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文书在线编辑插件</w:t>
            </w:r>
            <w:r/>
          </w:p>
        </w:tc>
        <w:tc>
          <w:tcPr>
            <w:tcBorders>
              <w:top w:val="single" w:color="auto" w:sz="4" w:space="0"/>
              <w:left w:val="single" w:color="auto" w:sz="4" w:space="0"/>
              <w:bottom w:val="single" w:color="auto" w:sz="4" w:space="0"/>
              <w:right w:val="single" w:color="auto" w:sz="4" w:space="0"/>
            </w:tcBorders>
            <w:tcW w:w="460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文书编辑插件pageoffice支持省厅与13个地市，一共14个节点，一年费用，需同时兼容office和wps，并维持插件与系统的稳定对接和使用。</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年</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r>
    </w:tbl>
    <w:p>
      <w:pPr>
        <w:ind w:firstLine="482"/>
        <w:jc w:val="left"/>
        <w:spacing w:line="360" w:lineRule="auto"/>
        <w:widowControl/>
        <w:rPr>
          <w:rFonts w:ascii="宋体" w:hAnsi="宋体"/>
          <w:bCs/>
          <w:sz w:val="24"/>
          <w:szCs w:val="24"/>
          <w:u w:val="single"/>
        </w:rPr>
      </w:pPr>
      <w:r>
        <w:rPr>
          <w:rFonts w:hint="eastAsia" w:ascii="宋体" w:hAnsi="宋体"/>
          <w:b/>
          <w:bCs w:val="0"/>
          <w:sz w:val="24"/>
          <w:szCs w:val="24"/>
          <w:u w:val="single"/>
        </w:rPr>
        <w:t xml:space="preserve">供应商需提供盖章承诺书</w:t>
      </w:r>
      <w:r>
        <w:rPr>
          <w:rFonts w:hint="eastAsia" w:ascii="宋体" w:hAnsi="宋体"/>
          <w:bCs/>
          <w:sz w:val="24"/>
          <w:szCs w:val="24"/>
          <w:u w:val="single"/>
        </w:rPr>
        <w:t xml:space="preserve">，承诺在合同签订完成后15个工作日内，提供以上第三方插件的采购合同（合同中需明确插件的使用期限覆盖完整的运维周期）和相应的资质文件给到采购人。</w:t>
      </w:r>
      <w:r/>
    </w:p>
    <w:p>
      <w:pPr>
        <w:ind w:firstLine="482"/>
        <w:jc w:val="left"/>
        <w:spacing w:line="360" w:lineRule="auto"/>
        <w:widowControl/>
        <w:rPr>
          <w:rFonts w:ascii="宋体" w:hAnsi="宋体"/>
          <w:b/>
          <w:sz w:val="24"/>
          <w:szCs w:val="24"/>
        </w:rPr>
        <w:outlineLvl w:val="0"/>
      </w:pPr>
      <w:r>
        <w:rPr>
          <w:rFonts w:hint="eastAsia" w:ascii="宋体" w:hAnsi="宋体"/>
          <w:b/>
          <w:sz w:val="24"/>
          <w:szCs w:val="24"/>
        </w:rPr>
        <w:t xml:space="preserve">六、系统功能维护升级需求</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6.1分析研判优化</w:t>
      </w:r>
      <w:r/>
    </w:p>
    <w:p>
      <w:pPr>
        <w:ind w:firstLine="480"/>
        <w:jc w:val="left"/>
        <w:spacing w:line="360" w:lineRule="auto"/>
        <w:widowControl/>
        <w:rPr>
          <w:rFonts w:ascii="宋体" w:hAnsi="宋体"/>
          <w:bCs/>
          <w:sz w:val="24"/>
          <w:szCs w:val="24"/>
        </w:rPr>
      </w:pPr>
      <w:r>
        <w:rPr>
          <w:rFonts w:hint="eastAsia" w:ascii="宋体" w:hAnsi="宋体"/>
          <w:bCs/>
          <w:sz w:val="24"/>
          <w:szCs w:val="24"/>
          <w:lang w:val="en-US" w:eastAsia="zh-CN"/>
        </w:rPr>
        <w:t xml:space="preserve">优化整个</w:t>
      </w:r>
      <w:r>
        <w:rPr>
          <w:rFonts w:hint="eastAsia" w:ascii="宋体" w:hAnsi="宋体"/>
          <w:bCs/>
          <w:sz w:val="24"/>
          <w:szCs w:val="24"/>
        </w:rPr>
        <w:t xml:space="preserve">分析研判</w:t>
      </w:r>
      <w:r>
        <w:rPr>
          <w:rFonts w:hint="eastAsia" w:ascii="宋体" w:hAnsi="宋体"/>
          <w:bCs/>
          <w:sz w:val="24"/>
          <w:szCs w:val="24"/>
          <w:lang w:val="en-US" w:eastAsia="zh-CN"/>
        </w:rPr>
        <w:t xml:space="preserve">所有功能（包括但不限于报表中心、业务数据、智能分析、监管预警、案卷评查等功能），针对每个功能，提出详细的优化方案，优化后</w:t>
      </w:r>
      <w:r>
        <w:rPr>
          <w:rFonts w:hint="eastAsia" w:ascii="宋体" w:hAnsi="宋体"/>
          <w:bCs/>
          <w:sz w:val="24"/>
          <w:szCs w:val="24"/>
        </w:rPr>
        <w:t xml:space="preserve">页面查询响应低于3秒。</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6.2存量数据治理</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1）全省执法非结构化视听资料数据存储分库备份；</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推进省级企业信息库更新维护，同步对接风险报告中的工贸企业数据，集中梳理并清理老旧失效企业信息，全面净化数据库，保障库内数据规范、精准、有效。</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6.3外部数据上报功能升级</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1）应急部数据上报巡检功能；</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2）应急部企业自查隐患承诺数据定时处理上报；</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3）处罚决定书增加是否信用公示，推送对接信用中国；</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6.4执法检查功能优化</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1）检查结果处理现场处理措施法律依据内容根据法条实时更新调整；</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2）执法系统部门新增业务条线：危化条线、基础条线、执法条件，用于分析研判；</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3）移动端新增特种作业证识别功能；</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4）2027年度执法计划填报工作、2027年度重点企业库梳理对接</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5）</w:t>
      </w:r>
      <w:r>
        <w:rPr>
          <w:rFonts w:ascii="宋体" w:hAnsi="宋体"/>
          <w:bCs/>
          <w:sz w:val="24"/>
          <w:szCs w:val="24"/>
        </w:rPr>
        <w:t xml:space="preserve">执法检查模块新增行政检查通知节点，调整方案-现场检查为方案-行政检查通知-现场检查</w:t>
      </w:r>
      <w:r/>
    </w:p>
    <w:p>
      <w:pPr>
        <w:ind w:firstLine="482"/>
        <w:jc w:val="left"/>
        <w:spacing w:line="360" w:lineRule="auto"/>
        <w:widowControl/>
        <w:rPr>
          <w:rFonts w:ascii="宋体" w:hAnsi="宋体"/>
          <w:b/>
          <w:sz w:val="24"/>
          <w:szCs w:val="24"/>
        </w:rPr>
        <w:outlineLvl w:val="0"/>
      </w:pPr>
      <w:r>
        <w:rPr>
          <w:rFonts w:hint="eastAsia" w:ascii="宋体" w:hAnsi="宋体"/>
          <w:b/>
          <w:sz w:val="24"/>
          <w:szCs w:val="24"/>
        </w:rPr>
        <w:t xml:space="preserve">七、服务质量要求</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运维技术支撑单位需按照本项目采购需求和合同规定的质量标准提供优质运维服务，保障系统稳定运行，采购人按照《信息系统运维工作考核细则（试行）》对运维单位进行考核。</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7.1运维计划要求</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为本次运维项目制定良好的项目运维服务计划，提供良好的管理监控，并对项目中各管理组织之间的持续运作建立恰当联系。</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7.2项目保密要求</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必须严格规范项目组成员的行为，执行各项保密制度，合同签订完成后签订保密协议，对在项目实施过程中接触的各类信息进行保密管理，杜绝敏感信息泄露事件的发生。</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目前执法系统正常稳定运行，根据“互联网+执法”系统建设的基本要求和江苏省应急执法人员日常工作的需求，依照安全生产行政执法的规范程序，做好系统运维工作。</w:t>
      </w:r>
      <w:r/>
    </w:p>
    <w:p>
      <w:pPr>
        <w:ind w:firstLine="482"/>
        <w:jc w:val="left"/>
        <w:spacing w:line="360" w:lineRule="auto"/>
        <w:widowControl/>
        <w:rPr>
          <w:rFonts w:ascii="宋体" w:hAnsi="宋体"/>
          <w:b/>
          <w:sz w:val="24"/>
          <w:szCs w:val="24"/>
        </w:rPr>
        <w:outlineLvl w:val="0"/>
      </w:pPr>
      <w:r>
        <w:rPr>
          <w:rFonts w:hint="eastAsia" w:ascii="宋体" w:hAnsi="宋体"/>
          <w:b/>
          <w:sz w:val="24"/>
          <w:szCs w:val="24"/>
        </w:rPr>
        <w:t xml:space="preserve">八、人员配置要求</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根据安全生产行政执法系统的实际情况，配置有效的系统基础运维组织和服务团队，建立运维体系。</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▲8.1驻场运维人员：</w:t>
      </w:r>
      <w:r>
        <w:rPr>
          <w:rFonts w:hint="eastAsia" w:ascii="宋体" w:hAnsi="宋体"/>
          <w:bCs/>
          <w:sz w:val="24"/>
          <w:szCs w:val="24"/>
          <w:u w:val="single"/>
        </w:rPr>
        <w:t xml:space="preserve">派驻不少于1名运维人员提供现场服务</w:t>
      </w:r>
      <w:r>
        <w:rPr>
          <w:rFonts w:hint="eastAsia" w:ascii="宋体" w:hAnsi="宋体"/>
          <w:bCs/>
          <w:sz w:val="24"/>
          <w:szCs w:val="24"/>
        </w:rPr>
        <w:t xml:space="preserve">，7*8小时值守应急。驻场人员具备计算机相关专业能力，品行端正，责任心强。</w:t>
      </w:r>
      <w:r>
        <w:rPr>
          <w:rFonts w:hint="eastAsia" w:ascii="宋体" w:hAnsi="宋体"/>
          <w:b/>
          <w:bCs w:val="0"/>
          <w:sz w:val="24"/>
          <w:szCs w:val="24"/>
          <w:u w:val="single"/>
        </w:rPr>
        <w:t xml:space="preserve">供应商应提供盖章的承诺书，承诺书应明确的驻场人员名单和一年内人员更换不超过2次的承诺。</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8.2配置不少于5名专职技术人员，提供在线服务和根据项目需要提供现场运维服务，做好系统运维、数据处理、技术支持、巡检服务、系统优化升级、系统完善修改、安全防护服务、系统培训、应急响应和故障排除、维护服务记录等服务工作，保障系统的日常平稳运行。</w:t>
      </w:r>
      <w:r/>
    </w:p>
    <w:p>
      <w:pPr>
        <w:ind w:firstLine="482"/>
        <w:jc w:val="left"/>
        <w:spacing w:line="360" w:lineRule="auto"/>
        <w:widowControl/>
        <w:rPr>
          <w:rFonts w:ascii="宋体" w:hAnsi="宋体"/>
          <w:b/>
          <w:sz w:val="24"/>
          <w:szCs w:val="24"/>
        </w:rPr>
        <w:outlineLvl w:val="0"/>
      </w:pPr>
      <w:r>
        <w:rPr>
          <w:rFonts w:hint="eastAsia" w:ascii="宋体" w:hAnsi="宋体"/>
          <w:b/>
          <w:sz w:val="24"/>
          <w:szCs w:val="24"/>
        </w:rPr>
        <w:t xml:space="preserve">九、供应商服务能力要求</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9.1技术要求</w:t>
      </w:r>
      <w:r/>
    </w:p>
    <w:p>
      <w:pPr>
        <w:ind w:firstLine="480"/>
        <w:jc w:val="left"/>
        <w:spacing w:line="360" w:lineRule="auto"/>
        <w:widowControl/>
        <w:rPr>
          <w:rFonts w:ascii="宋体" w:hAnsi="宋体"/>
          <w:bCs/>
          <w:sz w:val="24"/>
          <w:szCs w:val="24"/>
        </w:rPr>
        <w:outlineLvl w:val="2"/>
      </w:pPr>
      <w:r>
        <w:rPr>
          <w:rFonts w:hint="eastAsia" w:ascii="宋体" w:hAnsi="宋体"/>
          <w:bCs/>
          <w:sz w:val="24"/>
          <w:szCs w:val="24"/>
        </w:rPr>
        <w:t xml:space="preserve">（1）项目需求理解要求</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为确保项目运维服务的高质量开展，磋商供应商必须深入且全面地理解项目运维服务需求、服务范围与服务内容。要求供应商仔细研读项目文档中关于运维服务的各项条款，更需要其凭借专业知识与行业经验，精准把握项目在不同阶段、不同场景下的运维核心诉求，对项目运维需求进行科学、合理、实用分析。</w:t>
      </w:r>
      <w:r/>
    </w:p>
    <w:p>
      <w:pPr>
        <w:ind w:firstLine="480"/>
        <w:jc w:val="left"/>
        <w:spacing w:line="360" w:lineRule="auto"/>
        <w:widowControl/>
        <w:rPr>
          <w:rFonts w:ascii="宋体" w:hAnsi="宋体"/>
          <w:bCs/>
          <w:sz w:val="24"/>
          <w:szCs w:val="24"/>
        </w:rPr>
        <w:outlineLvl w:val="2"/>
      </w:pPr>
      <w:r>
        <w:rPr>
          <w:rFonts w:hint="eastAsia" w:ascii="宋体" w:hAnsi="宋体"/>
          <w:bCs/>
          <w:sz w:val="24"/>
          <w:szCs w:val="24"/>
        </w:rPr>
        <w:t xml:space="preserve">（2）软件系统运维方案要求</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为保障安全生产行政执法系统的稳定运行与持续优化，磋商供应商需基于专业视角，全面且深入地制定一套完备的运维方案。该方案应涵盖丰富且细致的服务内容，采用多样化、高效的服务方式，并构建科学严谨的服务流程，确保对系统的全生命周期管理。</w:t>
      </w:r>
      <w:r/>
    </w:p>
    <w:p>
      <w:pPr>
        <w:ind w:firstLine="480"/>
        <w:jc w:val="left"/>
        <w:spacing w:line="360" w:lineRule="auto"/>
        <w:widowControl/>
        <w:rPr>
          <w:rFonts w:ascii="宋体" w:hAnsi="宋体"/>
          <w:bCs/>
          <w:sz w:val="24"/>
          <w:szCs w:val="24"/>
        </w:rPr>
        <w:outlineLvl w:val="2"/>
      </w:pPr>
      <w:r>
        <w:rPr>
          <w:rFonts w:hint="eastAsia" w:ascii="宋体" w:hAnsi="宋体"/>
          <w:bCs/>
          <w:sz w:val="24"/>
          <w:szCs w:val="24"/>
        </w:rPr>
        <w:t xml:space="preserve">（3）网络安全和数据安全防护方案</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磋商供应商需根据本项目的数据安全防护需求和系统安全防护需求，提供网络安全和数据安全防护方案，方案内容应包括但不限于密码应用防护方案、网络安全保护方案等。</w:t>
      </w:r>
      <w:r/>
    </w:p>
    <w:p>
      <w:pPr>
        <w:ind w:firstLine="480"/>
        <w:jc w:val="left"/>
        <w:spacing w:line="360" w:lineRule="auto"/>
        <w:widowControl/>
        <w:rPr>
          <w:rFonts w:ascii="宋体" w:hAnsi="宋体"/>
          <w:bCs/>
          <w:sz w:val="24"/>
          <w:szCs w:val="24"/>
        </w:rPr>
        <w:outlineLvl w:val="2"/>
      </w:pPr>
      <w:r>
        <w:rPr>
          <w:rFonts w:hint="eastAsia" w:ascii="宋体" w:hAnsi="宋体"/>
          <w:bCs/>
          <w:sz w:val="24"/>
          <w:szCs w:val="24"/>
        </w:rPr>
        <w:t xml:space="preserve">（4）故障保障方案</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磋商供应商需针对运维期间可能发生的故障事件，如宕机、数据丢失、业务中断等制定故障保障方案，方案内容应包括但不限于故障事件应急策略、故障处理流程、应急保障措施等。</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9.2团队人员配置</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为保障本项目顺利实施，供应商为本项目配置的项目团队人员须具备相应的专业能力。项目经理作为本项目主要负责人，应具备人力资源和社会保障部、工业和信息化部颁发的高级系统分析师、高级信息系统项目管理师、高级系统架构设计师、高级系统规划与管理师等证书；项目团队成员需售后服务团队提供5人的团队，技术人员应具有相关工作经验。。</w:t>
      </w:r>
      <w:r/>
    </w:p>
    <w:p>
      <w:pPr>
        <w:ind w:firstLine="482"/>
        <w:jc w:val="left"/>
        <w:spacing w:line="360" w:lineRule="auto"/>
        <w:widowControl/>
        <w:rPr>
          <w:rFonts w:ascii="宋体" w:hAnsi="宋体"/>
          <w:b/>
          <w:sz w:val="24"/>
          <w:szCs w:val="24"/>
        </w:rPr>
        <w:outlineLvl w:val="0"/>
      </w:pPr>
      <w:r>
        <w:rPr>
          <w:rFonts w:hint="eastAsia" w:ascii="宋体" w:hAnsi="宋体"/>
          <w:b/>
          <w:sz w:val="24"/>
          <w:szCs w:val="24"/>
        </w:rPr>
        <w:t xml:space="preserve">十、验收要求</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10.1验收依据</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采购文件、磋商响应文件、项目合同。</w:t>
      </w:r>
      <w:r/>
    </w:p>
    <w:p>
      <w:pPr>
        <w:ind w:firstLine="480"/>
        <w:jc w:val="left"/>
        <w:spacing w:line="360" w:lineRule="auto"/>
        <w:widowControl/>
        <w:rPr>
          <w:rFonts w:ascii="宋体" w:hAnsi="宋体"/>
          <w:bCs/>
          <w:sz w:val="24"/>
          <w:szCs w:val="24"/>
        </w:rPr>
        <w:outlineLvl w:val="1"/>
      </w:pPr>
      <w:r>
        <w:rPr>
          <w:rFonts w:hint="eastAsia" w:ascii="宋体" w:hAnsi="宋体"/>
          <w:bCs/>
          <w:sz w:val="24"/>
          <w:szCs w:val="24"/>
        </w:rPr>
        <w:t xml:space="preserve">10.2验收条件</w:t>
      </w:r>
      <w:r/>
    </w:p>
    <w:p>
      <w:pPr>
        <w:ind w:firstLine="480"/>
        <w:jc w:val="left"/>
        <w:spacing w:line="360" w:lineRule="auto"/>
        <w:widowControl/>
        <w:rPr>
          <w:rFonts w:ascii="宋体" w:hAnsi="宋体"/>
          <w:bCs/>
          <w:szCs w:val="21"/>
        </w:rPr>
      </w:pPr>
      <w:r>
        <w:rPr>
          <w:rFonts w:hint="eastAsia" w:ascii="宋体" w:hAnsi="宋体"/>
          <w:bCs/>
          <w:sz w:val="24"/>
          <w:szCs w:val="24"/>
        </w:rPr>
        <w:t xml:space="preserve">项目服务供应商按要求完成本项目要求的服务内容，服务到期后可申请验收，验收应提供完整的服务记录等相关文档。</w:t>
      </w:r>
      <w:r/>
    </w:p>
    <w:p>
      <w:pPr>
        <w:ind w:firstLine="482"/>
        <w:jc w:val="left"/>
        <w:spacing w:line="360" w:lineRule="auto"/>
        <w:widowControl/>
        <w:rPr>
          <w:rFonts w:ascii="宋体" w:hAnsi="宋体"/>
          <w:bCs/>
          <w:sz w:val="24"/>
          <w:szCs w:val="24"/>
        </w:rPr>
        <w:outlineLvl w:val="0"/>
      </w:pPr>
      <w:r>
        <w:rPr>
          <w:rFonts w:hint="eastAsia" w:ascii="宋体" w:hAnsi="宋体"/>
          <w:b/>
          <w:bCs/>
          <w:sz w:val="24"/>
          <w:szCs w:val="24"/>
        </w:rPr>
        <w:t xml:space="preserve">十一、付款方式</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合同签订后，</w:t>
      </w:r>
      <w:r>
        <w:rPr>
          <w:rFonts w:hint="eastAsia" w:ascii="宋体" w:hAnsi="宋体"/>
          <w:bCs/>
          <w:sz w:val="24"/>
          <w:szCs w:val="24"/>
          <w:lang w:val="en-US" w:eastAsia="zh-CN"/>
        </w:rPr>
        <w:t xml:space="preserve">乙方需在15个工作日内</w:t>
      </w:r>
      <w:r>
        <w:rPr>
          <w:rFonts w:hint="eastAsia" w:ascii="宋体" w:hAnsi="宋体"/>
          <w:bCs/>
          <w:sz w:val="24"/>
          <w:szCs w:val="24"/>
          <w:u w:val="none"/>
        </w:rPr>
        <w:t xml:space="preserve">提供</w:t>
      </w:r>
      <w:r>
        <w:rPr>
          <w:rFonts w:hint="eastAsia" w:ascii="宋体" w:hAnsi="宋体"/>
          <w:bCs/>
          <w:sz w:val="24"/>
          <w:szCs w:val="24"/>
        </w:rPr>
        <w:t xml:space="preserve">CA签证证书</w:t>
      </w:r>
      <w:r>
        <w:rPr>
          <w:rFonts w:hint="eastAsia" w:ascii="宋体" w:hAnsi="宋体"/>
          <w:bCs/>
          <w:sz w:val="24"/>
          <w:szCs w:val="24"/>
          <w:lang w:eastAsia="zh-CN"/>
        </w:rPr>
        <w:t xml:space="preserve">、</w:t>
      </w:r>
      <w:r>
        <w:rPr>
          <w:rFonts w:hint="eastAsia" w:ascii="宋体" w:hAnsi="宋体"/>
          <w:bCs/>
          <w:sz w:val="24"/>
          <w:szCs w:val="24"/>
          <w:lang w:val="en-US" w:eastAsia="zh-CN"/>
        </w:rPr>
        <w:t xml:space="preserve">ORC识别组件、</w:t>
      </w:r>
      <w:r>
        <w:rPr>
          <w:rFonts w:hint="eastAsia" w:ascii="宋体" w:hAnsi="宋体"/>
          <w:sz w:val="24"/>
          <w:szCs w:val="24"/>
        </w:rPr>
        <w:t xml:space="preserve">文书在线编辑插件</w:t>
      </w:r>
      <w:r>
        <w:rPr>
          <w:rFonts w:hint="eastAsia" w:ascii="宋体" w:hAnsi="宋体"/>
          <w:sz w:val="24"/>
          <w:szCs w:val="24"/>
          <w:lang w:val="en-US" w:eastAsia="zh-CN"/>
        </w:rPr>
        <w:t xml:space="preserve">的采购合同给甲方，</w:t>
      </w:r>
      <w:r>
        <w:rPr>
          <w:rFonts w:hint="eastAsia" w:ascii="宋体" w:hAnsi="宋体"/>
          <w:bCs/>
          <w:sz w:val="24"/>
          <w:szCs w:val="24"/>
        </w:rPr>
        <w:t xml:space="preserve">甲方在</w:t>
      </w:r>
      <w:r>
        <w:rPr>
          <w:rFonts w:hint="eastAsia" w:ascii="宋体" w:hAnsi="宋体"/>
          <w:bCs/>
          <w:sz w:val="24"/>
          <w:szCs w:val="24"/>
          <w:lang w:val="en-US" w:eastAsia="zh-CN"/>
        </w:rPr>
        <w:t xml:space="preserve">收到合同后</w:t>
      </w:r>
      <w:r>
        <w:rPr>
          <w:rFonts w:hint="eastAsia" w:ascii="宋体" w:hAnsi="宋体"/>
          <w:bCs/>
          <w:sz w:val="24"/>
          <w:szCs w:val="24"/>
        </w:rPr>
        <w:t xml:space="preserve">15个工作日内，一次性支付合同金额的100%。</w:t>
      </w:r>
      <w:r/>
    </w:p>
    <w:p>
      <w:pPr>
        <w:ind w:firstLine="482"/>
        <w:spacing w:line="360" w:lineRule="auto"/>
        <w:rPr>
          <w:rFonts w:ascii="宋体" w:hAnsi="宋体"/>
          <w:b/>
          <w:sz w:val="24"/>
          <w:szCs w:val="24"/>
        </w:rPr>
        <w:outlineLvl w:val="0"/>
      </w:pPr>
      <w:r>
        <w:rPr>
          <w:rFonts w:hint="eastAsia" w:ascii="宋体" w:hAnsi="宋体"/>
          <w:b/>
          <w:bCs/>
          <w:sz w:val="24"/>
          <w:szCs w:val="24"/>
        </w:rPr>
        <w:t xml:space="preserve">十一、合同履行期限：合同签订之日至2027年7月31日止。</w:t>
      </w:r>
      <w:r/>
    </w:p>
    <w:p>
      <w:pPr>
        <w:ind w:firstLine="482"/>
        <w:spacing w:line="360" w:lineRule="auto"/>
        <w:rPr>
          <w:rFonts w:ascii="宋体" w:hAnsi="宋体"/>
          <w:b/>
          <w:sz w:val="24"/>
          <w:szCs w:val="24"/>
        </w:rPr>
        <w:outlineLvl w:val="0"/>
      </w:pPr>
      <w:r>
        <w:rPr>
          <w:rFonts w:hint="eastAsia" w:ascii="宋体" w:hAnsi="宋体"/>
          <w:b/>
          <w:sz w:val="24"/>
          <w:szCs w:val="24"/>
        </w:rPr>
        <w:t xml:space="preserve">十二、服务保障和自罚承诺</w:t>
      </w:r>
      <w:r/>
    </w:p>
    <w:p>
      <w:pPr>
        <w:ind w:firstLine="480"/>
        <w:jc w:val="left"/>
        <w:spacing w:line="360" w:lineRule="auto"/>
        <w:rPr>
          <w:rFonts w:ascii="宋体" w:hAnsi="宋体"/>
          <w:bCs/>
          <w:sz w:val="24"/>
          <w:szCs w:val="24"/>
        </w:rPr>
      </w:pPr>
      <w:r>
        <w:rPr>
          <w:rFonts w:hint="eastAsia" w:ascii="宋体" w:hAnsi="宋体"/>
          <w:bCs/>
          <w:sz w:val="24"/>
          <w:szCs w:val="24"/>
        </w:rPr>
        <w:t xml:space="preserve">12.1供应商应对照采购文件要求（具体见采购文件第四章），说明所提供已对采购人的需求做出了实质性的响应，或申明与需求的偏差和例外。</w:t>
      </w:r>
      <w:r/>
    </w:p>
    <w:p>
      <w:pPr>
        <w:ind w:firstLine="480"/>
        <w:jc w:val="left"/>
        <w:spacing w:line="360" w:lineRule="auto"/>
        <w:rPr>
          <w:rFonts w:ascii="宋体" w:hAnsi="宋体"/>
          <w:bCs/>
          <w:sz w:val="24"/>
          <w:szCs w:val="24"/>
        </w:rPr>
      </w:pPr>
      <w:r>
        <w:rPr>
          <w:rFonts w:hint="eastAsia" w:ascii="宋体" w:hAnsi="宋体"/>
          <w:bCs/>
          <w:sz w:val="24"/>
          <w:szCs w:val="24"/>
        </w:rPr>
        <w:t xml:space="preserve">12.2供应商可以在投标文件中提出不同的服务标准和保障承诺，使磋商小组会相信替代服务相同于或优于原需求。</w:t>
      </w:r>
      <w:r/>
    </w:p>
    <w:p>
      <w:pPr>
        <w:spacing w:line="360" w:lineRule="auto"/>
        <w:shd w:val="clear" w:color="auto" w:fill="ffffff"/>
        <w:widowControl/>
      </w:pPr>
      <w:r>
        <w:rPr>
          <w:rFonts w:hint="eastAsia" w:ascii="宋体" w:hAnsi="宋体"/>
          <w:bCs/>
          <w:sz w:val="24"/>
          <w:szCs w:val="24"/>
        </w:rPr>
        <w:t xml:space="preserve">    12.3供应商能承诺安全责任，包括人身伤害、火灾、物品失窃等，违约承担相应责任。</w:t>
      </w:r>
      <w:r/>
    </w:p>
    <w:p>
      <w:pPr>
        <w:pStyle w:val="926"/>
        <w:ind w:firstLine="482"/>
        <w:jc w:val="left"/>
        <w:spacing w:before="0" w:after="0" w:line="360" w:lineRule="auto"/>
        <w:rPr>
          <w:rFonts w:ascii="宋体" w:hAnsi="宋体" w:cs="宋体"/>
          <w:lang w:val="zh-CN"/>
        </w:rPr>
      </w:pPr>
      <w:r>
        <w:rPr>
          <w:rFonts w:hint="eastAsia" w:ascii="宋体" w:hAnsi="宋体"/>
          <w:sz w:val="24"/>
          <w:szCs w:val="24"/>
        </w:rPr>
        <w:t xml:space="preserve">12.4如果发生因供应商工作失职造成的安全事故或其他财产损失和人身伤害，均由供应商承担相关经济和法律责任。</w:t>
      </w:r>
      <w:r>
        <w:rPr>
          <w:rFonts w:hint="eastAsia" w:ascii="宋体" w:hAnsi="宋体" w:cs="宋体"/>
          <w:sz w:val="24"/>
          <w:szCs w:val="24"/>
        </w:rPr>
        <w:br w:type="page" w:clear="all"/>
      </w:r>
      <w:bookmarkStart w:id="38" w:name="_Toc13426"/>
      <w:r>
        <w:rPr>
          <w:rFonts w:hint="eastAsia" w:ascii="宋体" w:hAnsi="宋体" w:cs="宋体"/>
          <w:sz w:val="24"/>
          <w:szCs w:val="24"/>
        </w:rPr>
        <w:t xml:space="preserve">                  </w:t>
      </w:r>
      <w:r>
        <w:rPr>
          <w:rFonts w:hint="eastAsia" w:ascii="宋体" w:hAnsi="宋体" w:cs="宋体"/>
          <w:lang w:val="zh-CN"/>
        </w:rPr>
        <w:t xml:space="preserve">第五章 合同主要条款</w:t>
      </w:r>
      <w:bookmarkEnd w:id="38"/>
      <w:r/>
      <w:bookmarkStart w:id="39" w:name="_Toc16938559"/>
      <w:r/>
      <w:bookmarkStart w:id="40" w:name="_Toc513029243"/>
      <w:r/>
      <w:bookmarkStart w:id="41" w:name="_Toc20823315"/>
      <w:r/>
      <w:bookmarkEnd w:id="39"/>
      <w:bookmarkEnd w:id="40"/>
      <w:bookmarkEnd w:id="41"/>
      <w:r/>
    </w:p>
    <w:p>
      <w:r/>
      <w:bookmarkStart w:id="42" w:name="_Toc14104719"/>
      <w:r/>
      <w:bookmarkStart w:id="43" w:name="_Toc26736"/>
      <w:r/>
      <w:bookmarkStart w:id="44" w:name="_Toc534273798"/>
      <w:r/>
      <w:bookmarkStart w:id="45" w:name="_Toc534273675"/>
      <w:r/>
      <w:bookmarkStart w:id="46" w:name="_Toc504573082"/>
      <w:r/>
      <w:r/>
    </w:p>
    <w:p>
      <w:pPr>
        <w:jc w:val="center"/>
        <w:spacing w:line="360" w:lineRule="auto"/>
        <w:rPr>
          <w:rFonts w:ascii="宋体" w:hAnsi="宋体" w:cs="宋体"/>
          <w:b/>
          <w:sz w:val="24"/>
          <w:szCs w:val="24"/>
        </w:rPr>
      </w:pPr>
      <w:r>
        <w:rPr>
          <w:rFonts w:ascii="宋体" w:hAnsi="宋体" w:cs="宋体"/>
          <w:b/>
          <w:sz w:val="24"/>
          <w:szCs w:val="24"/>
        </w:rPr>
      </w:r>
      <w:r/>
    </w:p>
    <w:p>
      <w:pPr>
        <w:pStyle w:val="939"/>
        <w:rPr>
          <w:rFonts w:ascii="宋体" w:hAnsi="宋体" w:cs="宋体"/>
          <w:b/>
          <w:sz w:val="24"/>
        </w:rPr>
      </w:pPr>
      <w:r>
        <w:rPr>
          <w:rFonts w:ascii="宋体" w:hAnsi="宋体" w:cs="宋体"/>
          <w:b/>
          <w:sz w:val="24"/>
        </w:rPr>
      </w:r>
      <w:r/>
    </w:p>
    <w:p>
      <w:pPr>
        <w:rPr>
          <w:rFonts w:ascii="宋体" w:hAnsi="宋体" w:cs="宋体"/>
          <w:b/>
          <w:sz w:val="24"/>
          <w:szCs w:val="24"/>
        </w:rPr>
      </w:pPr>
      <w:r>
        <w:rPr>
          <w:rFonts w:ascii="宋体" w:hAnsi="宋体" w:cs="宋体"/>
          <w:b/>
          <w:sz w:val="24"/>
          <w:szCs w:val="24"/>
        </w:rPr>
      </w:r>
      <w:r/>
    </w:p>
    <w:p>
      <w:pPr>
        <w:jc w:val="center"/>
        <w:spacing w:line="360" w:lineRule="auto"/>
        <w:rPr>
          <w:rFonts w:eastAsia="仿宋"/>
          <w:sz w:val="24"/>
        </w:rPr>
      </w:pPr>
      <w:r/>
      <w:bookmarkStart w:id="47" w:name="_Toc303675711"/>
      <w:r/>
      <w:bookmarkStart w:id="48" w:name="_Toc303672995"/>
      <w:r/>
      <w:bookmarkStart w:id="49" w:name="_Toc405373416"/>
      <w:r/>
      <w:bookmarkStart w:id="50" w:name="_Toc198105329"/>
      <w:r/>
      <w:bookmarkStart w:id="51" w:name="_Toc303794202"/>
      <w:r/>
      <w:bookmarkStart w:id="52" w:name="_Toc303675913"/>
      <w:r/>
      <w:bookmarkStart w:id="53" w:name="_Toc303674226"/>
      <w:r/>
      <w:bookmarkStart w:id="54" w:name="_Toc303669671"/>
      <w:r/>
      <w:bookmarkStart w:id="55" w:name="_Toc7492858"/>
      <w:r/>
      <w:bookmarkStart w:id="56" w:name="_Toc7584971"/>
      <w:r>
        <w:rPr>
          <w:b/>
        </w:rPr>
        <w:t xml:space="preserve">（说明：本合同内容条款在正式签署前可具体补充细化，仅作参考）</w:t>
      </w:r>
      <w:bookmarkEnd w:id="47"/>
      <w:r/>
      <w:bookmarkEnd w:id="48"/>
      <w:r/>
      <w:bookmarkEnd w:id="49"/>
      <w:r/>
      <w:bookmarkEnd w:id="50"/>
      <w:r/>
      <w:bookmarkEnd w:id="51"/>
      <w:r/>
      <w:bookmarkEnd w:id="52"/>
      <w:r/>
      <w:bookmarkEnd w:id="53"/>
      <w:r/>
      <w:bookmarkEnd w:id="54"/>
      <w:r/>
      <w:bookmarkEnd w:id="55"/>
      <w:r/>
      <w:bookmarkEnd w:id="56"/>
      <w:r/>
      <w:r/>
    </w:p>
    <w:p>
      <w:pPr>
        <w:jc w:val="center"/>
        <w:spacing w:line="360" w:lineRule="auto"/>
        <w:shd w:val="clear" w:color="auto" w:fill="ffffff"/>
        <w:widowControl/>
        <w:rPr>
          <w:rFonts w:ascii="宋体" w:hAnsi="宋体"/>
          <w:b/>
          <w:bCs/>
          <w:sz w:val="32"/>
          <w:szCs w:val="32"/>
        </w:rPr>
        <w:outlineLvl w:val="0"/>
      </w:pPr>
      <w:r>
        <w:rPr>
          <w:rFonts w:ascii="宋体" w:hAnsi="宋体"/>
          <w:b/>
          <w:bCs/>
          <w:sz w:val="32"/>
          <w:szCs w:val="32"/>
        </w:rPr>
      </w:r>
      <w:r/>
    </w:p>
    <w:p>
      <w:pPr>
        <w:jc w:val="center"/>
        <w:spacing w:line="360" w:lineRule="auto"/>
        <w:shd w:val="clear" w:color="auto" w:fill="ffffff"/>
        <w:widowControl/>
        <w:rPr>
          <w:rFonts w:hint="eastAsia" w:ascii="宋体" w:hAnsi="宋体"/>
          <w:b/>
          <w:bCs/>
          <w:sz w:val="32"/>
          <w:szCs w:val="32"/>
        </w:rPr>
        <w:outlineLvl w:val="0"/>
      </w:pPr>
      <w:r>
        <w:rPr>
          <w:rFonts w:hint="eastAsia" w:ascii="宋体" w:hAnsi="宋体"/>
          <w:b/>
          <w:bCs/>
          <w:sz w:val="32"/>
          <w:szCs w:val="32"/>
        </w:rPr>
        <w:t xml:space="preserve">政府采购合同</w:t>
      </w:r>
      <w:r/>
    </w:p>
    <w:p>
      <w:pPr>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ind w:firstLine="1918"/>
        <w:spacing w:line="360" w:lineRule="auto"/>
        <w:shd w:val="clear" w:color="auto" w:fill="ffffff"/>
        <w:widowControl/>
        <w:rPr>
          <w:rFonts w:hint="eastAsia" w:ascii="宋体" w:hAnsi="宋体"/>
          <w:sz w:val="30"/>
          <w:szCs w:val="30"/>
        </w:rPr>
      </w:pPr>
      <w:r>
        <w:rPr>
          <w:rFonts w:hint="eastAsia" w:ascii="宋体" w:hAnsi="宋体"/>
          <w:b/>
          <w:bCs/>
          <w:sz w:val="30"/>
          <w:szCs w:val="30"/>
        </w:rPr>
        <w:t xml:space="preserve">合同编号 ：</w:t>
      </w:r>
      <w:r>
        <w:rPr>
          <w:rFonts w:hint="eastAsia" w:ascii="宋体" w:hAnsi="宋体"/>
          <w:b/>
          <w:bCs/>
          <w:sz w:val="30"/>
          <w:szCs w:val="30"/>
          <w:u w:val="single"/>
        </w:rPr>
        <w:t xml:space="preserve">          </w:t>
      </w:r>
      <w:r/>
    </w:p>
    <w:p>
      <w:pPr>
        <w:ind w:firstLine="1918"/>
        <w:spacing w:line="360" w:lineRule="auto"/>
        <w:shd w:val="clear" w:color="auto" w:fill="ffffff"/>
        <w:widowControl/>
        <w:rPr>
          <w:rFonts w:hint="eastAsia" w:ascii="宋体" w:hAnsi="宋体"/>
          <w:sz w:val="30"/>
          <w:szCs w:val="30"/>
        </w:rPr>
      </w:pPr>
      <w:r>
        <w:rPr>
          <w:rFonts w:hint="eastAsia" w:ascii="宋体" w:hAnsi="宋体"/>
          <w:b/>
          <w:bCs/>
          <w:sz w:val="30"/>
          <w:szCs w:val="30"/>
        </w:rPr>
        <w:t xml:space="preserve">项目名称 ：</w:t>
      </w:r>
      <w:r>
        <w:rPr>
          <w:rFonts w:hint="eastAsia" w:ascii="宋体" w:hAnsi="宋体"/>
          <w:b/>
          <w:bCs/>
          <w:sz w:val="30"/>
          <w:szCs w:val="30"/>
          <w:u w:val="single"/>
        </w:rPr>
        <w:t xml:space="preserve">          </w:t>
      </w:r>
      <w:r/>
    </w:p>
    <w:p>
      <w:pPr>
        <w:ind w:firstLine="1918"/>
        <w:spacing w:line="360" w:lineRule="auto"/>
        <w:shd w:val="clear" w:color="auto" w:fill="ffffff"/>
        <w:widowControl/>
        <w:rPr>
          <w:rFonts w:hint="eastAsia" w:ascii="宋体" w:hAnsi="宋体"/>
          <w:sz w:val="30"/>
          <w:szCs w:val="30"/>
        </w:rPr>
      </w:pPr>
      <w:r>
        <w:rPr>
          <w:rFonts w:hint="eastAsia" w:ascii="宋体" w:hAnsi="宋体"/>
          <w:b/>
          <w:bCs/>
          <w:sz w:val="30"/>
          <w:szCs w:val="30"/>
        </w:rPr>
        <w:t xml:space="preserve">采 购 人 ：</w:t>
      </w:r>
      <w:r>
        <w:rPr>
          <w:rFonts w:hint="eastAsia" w:ascii="宋体" w:hAnsi="宋体"/>
          <w:b/>
          <w:bCs/>
          <w:sz w:val="30"/>
          <w:szCs w:val="30"/>
          <w:u w:val="single"/>
        </w:rPr>
        <w:t xml:space="preserve">          </w:t>
      </w:r>
      <w:r/>
    </w:p>
    <w:p>
      <w:pPr>
        <w:ind w:firstLine="1916"/>
        <w:spacing w:line="360" w:lineRule="auto"/>
        <w:shd w:val="clear" w:color="auto" w:fill="ffffff"/>
        <w:widowControl/>
        <w:rPr>
          <w:rFonts w:hint="eastAsia" w:ascii="宋体" w:hAnsi="宋体"/>
          <w:sz w:val="30"/>
          <w:szCs w:val="30"/>
        </w:rPr>
      </w:pPr>
      <w:r>
        <w:rPr>
          <w:rFonts w:hint="eastAsia" w:ascii="宋体" w:hAnsi="宋体"/>
          <w:b/>
          <w:bCs/>
          <w:sz w:val="30"/>
          <w:szCs w:val="30"/>
        </w:rPr>
        <w:t xml:space="preserve">供 应 商 ：</w:t>
      </w:r>
      <w:r>
        <w:rPr>
          <w:rFonts w:hint="eastAsia" w:ascii="宋体" w:hAnsi="宋体"/>
          <w:b/>
          <w:bCs/>
          <w:sz w:val="30"/>
          <w:szCs w:val="30"/>
          <w:u w:val="single"/>
        </w:rPr>
        <w:t xml:space="preserve">          </w:t>
      </w:r>
      <w:r/>
    </w:p>
    <w:p>
      <w:pPr>
        <w:ind w:firstLine="1916"/>
        <w:spacing w:line="360" w:lineRule="auto"/>
        <w:shd w:val="clear" w:color="auto" w:fill="ffffff"/>
        <w:widowControl/>
        <w:rPr>
          <w:rFonts w:hint="eastAsia" w:ascii="宋体" w:hAnsi="宋体"/>
          <w:sz w:val="30"/>
          <w:szCs w:val="30"/>
        </w:rPr>
      </w:pPr>
      <w:r>
        <w:rPr>
          <w:rFonts w:hint="eastAsia" w:ascii="宋体" w:hAnsi="宋体"/>
          <w:b/>
          <w:bCs/>
          <w:sz w:val="30"/>
          <w:szCs w:val="30"/>
        </w:rPr>
        <w:t xml:space="preserve">签订日期 ：</w:t>
      </w:r>
      <w:r>
        <w:rPr>
          <w:rFonts w:hint="eastAsia" w:ascii="宋体" w:hAnsi="宋体"/>
          <w:b/>
          <w:bCs/>
          <w:sz w:val="30"/>
          <w:szCs w:val="30"/>
          <w:u w:val="single"/>
        </w:rPr>
        <w:t xml:space="preserve">          </w:t>
      </w:r>
      <w:r/>
    </w:p>
    <w:p>
      <w:pPr>
        <w:spacing w:line="360" w:lineRule="auto"/>
        <w:shd w:val="clear" w:color="auto" w:fill="ffffff"/>
        <w:widowControl/>
        <w:rPr>
          <w:rFonts w:hint="eastAsia" w:ascii="宋体" w:hAnsi="宋体"/>
          <w:sz w:val="30"/>
          <w:szCs w:val="30"/>
        </w:rPr>
      </w:pPr>
      <w:r>
        <w:rPr>
          <w:rFonts w:hint="eastAsia" w:ascii="宋体" w:hAnsi="宋体"/>
          <w:sz w:val="30"/>
          <w:szCs w:val="30"/>
        </w:rPr>
        <w:t xml:space="preserve">      </w:t>
      </w:r>
      <w:r/>
    </w:p>
    <w:p>
      <w:pPr>
        <w:spacing w:line="360" w:lineRule="auto"/>
        <w:shd w:val="clear" w:color="auto" w:fill="ffffff"/>
        <w:widowControl/>
        <w:rPr>
          <w:rFonts w:hint="eastAsia" w:ascii="宋体" w:hAnsi="宋体"/>
          <w:sz w:val="30"/>
          <w:szCs w:val="30"/>
        </w:rPr>
      </w:pPr>
      <w:r>
        <w:rPr>
          <w:rFonts w:hint="eastAsia" w:ascii="宋体" w:hAnsi="宋体"/>
          <w:sz w:val="30"/>
          <w:szCs w:val="30"/>
        </w:rPr>
      </w:r>
      <w:r/>
    </w:p>
    <w:p>
      <w:pPr>
        <w:spacing w:line="360" w:lineRule="auto"/>
        <w:shd w:val="clear" w:color="auto" w:fill="ffffff"/>
        <w:widowControl/>
        <w:rPr>
          <w:rFonts w:hint="eastAsia" w:ascii="宋体" w:hAnsi="宋体"/>
          <w:sz w:val="30"/>
          <w:szCs w:val="30"/>
        </w:rPr>
      </w:pPr>
      <w:r>
        <w:rPr>
          <w:rFonts w:hint="eastAsia" w:ascii="宋体" w:hAnsi="宋体"/>
          <w:sz w:val="30"/>
          <w:szCs w:val="30"/>
        </w:rPr>
      </w:r>
      <w:r/>
    </w:p>
    <w:p>
      <w:pPr>
        <w:ind w:firstLine="480"/>
        <w:spacing w:line="360" w:lineRule="auto"/>
        <w:rPr>
          <w:rFonts w:ascii="宋体" w:hAnsi="宋体"/>
          <w:bCs/>
          <w:sz w:val="24"/>
          <w:szCs w:val="21"/>
        </w:rPr>
      </w:pPr>
      <w:r>
        <w:rPr>
          <w:rFonts w:ascii="宋体" w:hAnsi="宋体"/>
          <w:bCs/>
          <w:sz w:val="24"/>
          <w:szCs w:val="21"/>
        </w:rPr>
      </w:r>
      <w:r/>
    </w:p>
    <w:p>
      <w:pPr>
        <w:ind w:firstLine="480"/>
        <w:spacing w:line="360" w:lineRule="auto"/>
        <w:rPr>
          <w:rFonts w:ascii="宋体" w:hAnsi="宋体"/>
          <w:bCs/>
          <w:sz w:val="24"/>
          <w:szCs w:val="21"/>
        </w:rPr>
      </w:pPr>
      <w:r>
        <w:rPr>
          <w:rFonts w:ascii="宋体" w:hAnsi="宋体"/>
          <w:bCs/>
          <w:sz w:val="24"/>
          <w:szCs w:val="21"/>
        </w:rPr>
      </w:r>
      <w:r/>
    </w:p>
    <w:p>
      <w:pPr>
        <w:ind w:firstLine="480"/>
        <w:spacing w:line="360" w:lineRule="auto"/>
        <w:rPr>
          <w:rFonts w:hint="eastAsia" w:ascii="宋体" w:hAnsi="宋体"/>
          <w:bCs/>
          <w:sz w:val="24"/>
          <w:szCs w:val="21"/>
        </w:rPr>
      </w:pPr>
      <w:r>
        <w:rPr>
          <w:rFonts w:hint="eastAsia" w:ascii="宋体" w:hAnsi="宋体"/>
          <w:bCs/>
          <w:sz w:val="24"/>
          <w:szCs w:val="21"/>
        </w:rPr>
        <w:t xml:space="preserve">以下为成交后签定本项目合同的通用条款，成交供应商不得提出实质性的修改。</w:t>
      </w:r>
      <w:r/>
    </w:p>
    <w:p>
      <w:pPr>
        <w:spacing w:before="120" w:after="120" w:line="360" w:lineRule="auto"/>
        <w:rPr>
          <w:rFonts w:hint="eastAsia" w:ascii="宋体" w:hAnsi="宋体" w:eastAsia="等线" w:cs="Courier New"/>
          <w:sz w:val="24"/>
          <w:szCs w:val="24"/>
        </w:rPr>
      </w:pPr>
      <w:r>
        <w:rPr>
          <w:rFonts w:hint="eastAsia" w:ascii="宋体" w:hAnsi="宋体" w:eastAsia="等线" w:cs="Courier New"/>
          <w:sz w:val="24"/>
          <w:szCs w:val="24"/>
        </w:rPr>
      </w:r>
      <w:r/>
    </w:p>
    <w:p>
      <w:pPr>
        <w:spacing w:before="120" w:after="120" w:line="360" w:lineRule="auto"/>
        <w:rPr>
          <w:rFonts w:ascii="宋体" w:hAnsi="宋体" w:cs="Courier New"/>
          <w:sz w:val="24"/>
          <w:szCs w:val="24"/>
        </w:rPr>
      </w:pPr>
      <w:r>
        <w:rPr>
          <w:rFonts w:ascii="宋体" w:hAnsi="宋体" w:cs="Courier New"/>
          <w:sz w:val="24"/>
          <w:szCs w:val="24"/>
        </w:rPr>
        <w:t xml:space="preserve">甲方：（买方）_________</w:t>
      </w:r>
      <w:r/>
    </w:p>
    <w:p>
      <w:pPr>
        <w:spacing w:before="120" w:after="120" w:line="360" w:lineRule="auto"/>
        <w:rPr>
          <w:rFonts w:hint="eastAsia" w:ascii="宋体" w:hAnsi="宋体" w:cs="Courier New"/>
          <w:sz w:val="24"/>
          <w:szCs w:val="24"/>
        </w:rPr>
      </w:pPr>
      <w:r>
        <w:rPr>
          <w:rFonts w:ascii="宋体" w:hAnsi="宋体" w:cs="Courier New"/>
          <w:sz w:val="24"/>
          <w:szCs w:val="24"/>
        </w:rPr>
        <w:t xml:space="preserve">乙方：（卖方）_________</w:t>
      </w:r>
      <w:r/>
    </w:p>
    <w:p>
      <w:pPr>
        <w:spacing w:before="120" w:after="120" w:line="36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bookmarkStart w:id="57" w:name="OLE_LINK7"/>
      <w:r>
        <w:rPr>
          <w:rFonts w:hint="eastAsia" w:ascii="宋体" w:hAnsi="宋体" w:cs="Courier New"/>
          <w:b/>
          <w:bCs/>
          <w:sz w:val="24"/>
          <w:szCs w:val="24"/>
          <w:u w:val="single"/>
          <w:lang w:val="zh-CN"/>
        </w:rPr>
        <w:t xml:space="preserve">江苏省安全生产行政执法系统年度运维</w:t>
      </w:r>
      <w:bookmarkEnd w:id="57"/>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项目</w:t>
      </w:r>
      <w:r>
        <w:rPr>
          <w:rFonts w:ascii="宋体" w:hAnsi="宋体" w:cs="Courier New"/>
          <w:sz w:val="24"/>
          <w:szCs w:val="24"/>
        </w:rPr>
        <w:t xml:space="preserve">名称：</w:t>
      </w:r>
      <w:r/>
    </w:p>
    <w:p>
      <w:pPr>
        <w:jc w:val="left"/>
        <w:spacing w:before="120" w:after="120" w:line="360" w:lineRule="auto"/>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技术要求：详见磋商文件第四章</w:t>
      </w:r>
      <w:r/>
    </w:p>
    <w:p>
      <w:pPr>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1.3履行时间（期限）：</w:t>
      </w:r>
      <w:r/>
    </w:p>
    <w:p>
      <w:pPr>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4</w:t>
      </w:r>
      <w:r>
        <w:rPr>
          <w:rFonts w:hint="eastAsia" w:ascii="宋体" w:hAnsi="宋体" w:cs="Courier New"/>
          <w:sz w:val="24"/>
          <w:szCs w:val="24"/>
        </w:rPr>
        <w:t xml:space="preserve">履行地点：</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二、合同金额</w:t>
      </w:r>
      <w:r/>
    </w:p>
    <w:p>
      <w:pPr>
        <w:jc w:val="left"/>
        <w:spacing w:before="120" w:after="120" w:line="360" w:lineRule="auto"/>
        <w:rPr>
          <w:rFonts w:ascii="宋体" w:hAnsi="宋体" w:cs="Courier New"/>
          <w:sz w:val="24"/>
          <w:szCs w:val="24"/>
        </w:rPr>
      </w:pPr>
      <w:r>
        <w:rPr>
          <w:rFonts w:ascii="宋体" w:hAnsi="宋体" w:cs="Courier New"/>
          <w:sz w:val="24"/>
          <w:szCs w:val="24"/>
        </w:rPr>
        <w:t xml:space="preserve">2.1 本合同金额为（大写）：_________</w:t>
      </w:r>
      <w:r>
        <w:rPr>
          <w:rFonts w:hint="eastAsia" w:ascii="宋体" w:hAnsi="宋体" w:cs="Courier New"/>
          <w:sz w:val="24"/>
          <w:szCs w:val="24"/>
        </w:rPr>
        <w:t xml:space="preserve">圆</w:t>
      </w:r>
      <w:r>
        <w:rPr>
          <w:rFonts w:ascii="宋体" w:hAnsi="宋体" w:cs="Courier New"/>
          <w:sz w:val="24"/>
          <w:szCs w:val="24"/>
        </w:rPr>
        <w:t xml:space="preserve">（_________元）人民币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三、技术资料</w:t>
      </w:r>
      <w:r/>
    </w:p>
    <w:p>
      <w:pPr>
        <w:jc w:val="left"/>
        <w:spacing w:before="120" w:after="120" w:line="360" w:lineRule="auto"/>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jc w:val="left"/>
        <w:spacing w:before="120" w:after="120" w:line="360" w:lineRule="auto"/>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四、知识产权</w:t>
      </w:r>
      <w:r/>
    </w:p>
    <w:p>
      <w:pPr>
        <w:jc w:val="left"/>
        <w:spacing w:before="120" w:after="120" w:line="360" w:lineRule="auto"/>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jc w:val="left"/>
        <w:spacing w:before="120" w:after="120" w:line="360" w:lineRule="auto"/>
        <w:rPr>
          <w:rFonts w:ascii="宋体" w:hAnsi="宋体" w:cs="Courier New"/>
          <w:sz w:val="24"/>
          <w:szCs w:val="24"/>
          <w:u w:val="single"/>
        </w:rPr>
        <w:outlineLvl w:val="0"/>
      </w:pPr>
      <w:r>
        <w:rPr>
          <w:rFonts w:ascii="宋体" w:hAnsi="宋体" w:cs="Courier New"/>
          <w:b/>
          <w:sz w:val="24"/>
          <w:szCs w:val="24"/>
        </w:rPr>
        <w:t xml:space="preserve">五、产权担保</w:t>
      </w:r>
      <w:r/>
    </w:p>
    <w:p>
      <w:pPr>
        <w:jc w:val="left"/>
        <w:spacing w:before="120" w:after="120" w:line="360" w:lineRule="auto"/>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六、</w:t>
      </w:r>
      <w:r>
        <w:rPr>
          <w:rFonts w:ascii="宋体" w:hAnsi="宋体" w:cs="Courier New"/>
          <w:b/>
          <w:sz w:val="24"/>
          <w:szCs w:val="24"/>
          <w:highlight w:val="none"/>
        </w:rPr>
        <w:t xml:space="preserve">履约保证金</w:t>
      </w:r>
      <w:r/>
    </w:p>
    <w:p>
      <w:pPr>
        <w:spacing w:before="120" w:after="120" w:line="360" w:lineRule="auto"/>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ascii="宋体" w:hAnsi="宋体" w:cs="Courier New"/>
          <w:color w:val="000000"/>
          <w:sz w:val="24"/>
          <w:szCs w:val="24"/>
        </w:rPr>
        <w:t xml:space="preserve">。</w:t>
      </w:r>
      <w:r>
        <w:rPr>
          <w:rFonts w:hint="eastAsia" w:ascii="宋体" w:hAnsi="宋体" w:cs="Courier New"/>
          <w:color w:val="000000"/>
          <w:sz w:val="24"/>
          <w:szCs w:val="24"/>
        </w:rPr>
        <w:t xml:space="preserve">（合同金额的10%）</w:t>
      </w:r>
      <w:r/>
    </w:p>
    <w:p>
      <w:pPr>
        <w:spacing w:before="120" w:after="120" w:line="360" w:lineRule="auto"/>
        <w:rPr>
          <w:rFonts w:hint="eastAsia" w:ascii="宋体" w:hAnsi="宋体" w:cs="Courier New"/>
          <w:sz w:val="24"/>
          <w:szCs w:val="24"/>
        </w:rPr>
      </w:pPr>
      <w:r>
        <w:rPr>
          <w:rFonts w:hint="eastAsia" w:ascii="宋体" w:hAnsi="宋体" w:cs="Courier New"/>
          <w:bCs/>
          <w:sz w:val="24"/>
          <w:szCs w:val="24"/>
        </w:rPr>
        <w:t xml:space="preserve">6.2 </w:t>
      </w:r>
      <w:r>
        <w:rPr>
          <w:rFonts w:hint="eastAsia" w:ascii="宋体" w:hAnsi="宋体" w:cs="Courier New"/>
          <w:sz w:val="24"/>
          <w:szCs w:val="24"/>
        </w:rPr>
        <w:t xml:space="preserve">合同签订后10个工作日内，乙方需向甲方所规定的银行内存入合同规定金额的履约保证金，并将保函交给甲方。</w:t>
      </w:r>
      <w:r/>
    </w:p>
    <w:p>
      <w:pPr>
        <w:spacing w:before="120" w:after="120" w:line="360" w:lineRule="auto"/>
        <w:rPr>
          <w:rFonts w:hint="eastAsia" w:ascii="宋体" w:hAnsi="宋体" w:cs="Courier New"/>
          <w:sz w:val="24"/>
          <w:szCs w:val="24"/>
        </w:rPr>
      </w:pPr>
      <w:r>
        <w:rPr>
          <w:rFonts w:hint="eastAsia" w:ascii="宋体" w:hAnsi="宋体" w:cs="Courier New"/>
          <w:sz w:val="24"/>
          <w:szCs w:val="24"/>
        </w:rPr>
        <w:t xml:space="preserve">6.3合同履行结束后，甲方应及时退还交纳的履约保证金。</w:t>
      </w:r>
      <w:r/>
    </w:p>
    <w:p>
      <w:pPr>
        <w:jc w:val="left"/>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6.3.1履约保证金退还方式：将履约保函归还乙方，由乙方到相应银行自行解冻履约保证金。</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6.3.2履约保证金退还时间：合同到期后10个工作日内</w:t>
      </w:r>
      <w:r/>
    </w:p>
    <w:p>
      <w:pPr>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6.3.3履约保证金退还条件：甲方在运维年度结束前1个月内，根据《信息系统运维工作考核细则（试行）》（见附件一）对乙方的年度服务打分评级，评级为A或B的，甲方将归还乙方的履约保证金。</w:t>
      </w:r>
      <w:r/>
    </w:p>
    <w:p>
      <w:pPr>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6.3.4履约保证金不予退还的情形：甲方在运维年度结束前1个月内，根据《信息系统运维工作考核细则（试行）》（见附件一）对乙方的年度服务打分评级，评级为C或D的，将扣除本年度缴纳的履约保证金。</w:t>
      </w:r>
      <w:r/>
    </w:p>
    <w:p>
      <w:pPr>
        <w:jc w:val="left"/>
        <w:spacing w:before="120" w:after="120" w:line="360" w:lineRule="auto"/>
        <w:rPr>
          <w:rFonts w:ascii="宋体" w:hAnsi="宋体" w:eastAsia="仿宋_GB2312"/>
          <w:b/>
          <w:sz w:val="24"/>
          <w:szCs w:val="24"/>
        </w:rPr>
        <w:outlineLvl w:val="0"/>
      </w:pPr>
      <w:r>
        <w:rPr>
          <w:rFonts w:hint="eastAsia" w:ascii="宋体" w:hAnsi="宋体"/>
          <w:b/>
          <w:sz w:val="24"/>
          <w:szCs w:val="24"/>
        </w:rPr>
        <w:t xml:space="preserve">七、合同转包或分包</w:t>
      </w:r>
      <w:r/>
    </w:p>
    <w:p>
      <w:pPr>
        <w:jc w:val="left"/>
        <w:spacing w:before="120" w:after="120" w:line="360" w:lineRule="auto"/>
        <w:rPr>
          <w:rFonts w:hint="eastAsia" w:ascii="宋体" w:hAnsi="宋体"/>
          <w:sz w:val="24"/>
          <w:szCs w:val="24"/>
        </w:rPr>
      </w:pPr>
      <w:r>
        <w:rPr>
          <w:rFonts w:hint="eastAsia" w:ascii="宋体" w:hAnsi="宋体"/>
          <w:sz w:val="24"/>
          <w:szCs w:val="24"/>
        </w:rPr>
        <w:t xml:space="preserve">7.1乙方不得将合同标的转包给他人履行。</w:t>
      </w:r>
      <w:r/>
    </w:p>
    <w:p>
      <w:pPr>
        <w:jc w:val="left"/>
        <w:spacing w:before="120" w:after="120" w:line="360" w:lineRule="auto"/>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jc w:val="left"/>
        <w:spacing w:before="120" w:after="120"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jc w:val="left"/>
        <w:spacing w:before="120" w:after="120" w:line="360" w:lineRule="auto"/>
        <w:rPr>
          <w:rFonts w:ascii="宋体" w:hAnsi="宋体" w:cs="Courier New"/>
          <w:b/>
          <w:sz w:val="24"/>
          <w:szCs w:val="24"/>
        </w:rPr>
        <w:outlineLvl w:val="0"/>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jc w:val="left"/>
        <w:spacing w:before="120" w:after="120" w:line="360" w:lineRule="auto"/>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jc w:val="left"/>
        <w:spacing w:line="360" w:lineRule="auto"/>
        <w:widowControl/>
        <w:rPr>
          <w:rFonts w:hint="default" w:ascii="宋体" w:hAnsi="宋体" w:eastAsia="宋体"/>
          <w:b/>
          <w:bCs w:val="0"/>
          <w:sz w:val="24"/>
          <w:szCs w:val="24"/>
          <w:lang w:val="en-US" w:eastAsia="zh-CN"/>
        </w:rPr>
      </w:pPr>
      <w:r>
        <w:rPr>
          <w:rFonts w:hint="eastAsia" w:ascii="宋体" w:hAnsi="宋体" w:cs="Courier New"/>
          <w:b/>
          <w:bCs w:val="0"/>
          <w:sz w:val="24"/>
          <w:szCs w:val="24"/>
        </w:rPr>
        <w:t xml:space="preserve">8.1.1 </w:t>
      </w:r>
      <w:r>
        <w:rPr>
          <w:rFonts w:hint="eastAsia" w:ascii="宋体" w:hAnsi="宋体"/>
          <w:b/>
          <w:bCs w:val="0"/>
          <w:sz w:val="24"/>
          <w:szCs w:val="24"/>
        </w:rPr>
        <w:t xml:space="preserve">合同签订后，</w:t>
      </w:r>
      <w:r>
        <w:rPr>
          <w:rFonts w:hint="eastAsia" w:ascii="宋体" w:hAnsi="宋体"/>
          <w:b/>
          <w:bCs w:val="0"/>
          <w:sz w:val="24"/>
          <w:szCs w:val="24"/>
          <w:lang w:val="en-US" w:eastAsia="zh-CN"/>
        </w:rPr>
        <w:t xml:space="preserve">乙方需在15个工作日内</w:t>
      </w:r>
      <w:r>
        <w:rPr>
          <w:rFonts w:hint="eastAsia" w:ascii="宋体" w:hAnsi="宋体"/>
          <w:b/>
          <w:bCs w:val="0"/>
          <w:sz w:val="24"/>
          <w:szCs w:val="24"/>
          <w:u w:val="none"/>
        </w:rPr>
        <w:t xml:space="preserve">提供</w:t>
      </w:r>
      <w:r>
        <w:rPr>
          <w:rFonts w:hint="eastAsia" w:ascii="宋体" w:hAnsi="宋体"/>
          <w:b/>
          <w:bCs w:val="0"/>
          <w:sz w:val="24"/>
          <w:szCs w:val="24"/>
        </w:rPr>
        <w:t xml:space="preserve">CA签证证书</w:t>
      </w:r>
      <w:r>
        <w:rPr>
          <w:rFonts w:hint="eastAsia" w:ascii="宋体" w:hAnsi="宋体"/>
          <w:b/>
          <w:bCs w:val="0"/>
          <w:sz w:val="24"/>
          <w:szCs w:val="24"/>
          <w:lang w:eastAsia="zh-CN"/>
        </w:rPr>
        <w:t xml:space="preserve">、</w:t>
      </w:r>
      <w:r>
        <w:rPr>
          <w:rFonts w:hint="eastAsia" w:ascii="宋体" w:hAnsi="宋体"/>
          <w:b/>
          <w:bCs w:val="0"/>
          <w:sz w:val="24"/>
          <w:szCs w:val="24"/>
          <w:lang w:val="en-US" w:eastAsia="zh-CN"/>
        </w:rPr>
        <w:t xml:space="preserve">ORC识别组件、</w:t>
      </w:r>
      <w:r>
        <w:rPr>
          <w:rFonts w:hint="eastAsia" w:ascii="宋体" w:hAnsi="宋体"/>
          <w:b/>
          <w:bCs w:val="0"/>
          <w:sz w:val="24"/>
          <w:szCs w:val="24"/>
        </w:rPr>
        <w:t xml:space="preserve">文书在线编辑插件</w:t>
      </w:r>
      <w:r>
        <w:rPr>
          <w:rFonts w:hint="eastAsia" w:ascii="宋体" w:hAnsi="宋体"/>
          <w:b/>
          <w:bCs w:val="0"/>
          <w:sz w:val="24"/>
          <w:szCs w:val="24"/>
          <w:lang w:val="en-US" w:eastAsia="zh-CN"/>
        </w:rPr>
        <w:t xml:space="preserve">的采购合同给甲方，</w:t>
      </w:r>
      <w:r>
        <w:rPr>
          <w:rFonts w:hint="eastAsia" w:ascii="宋体" w:hAnsi="宋体"/>
          <w:b/>
          <w:bCs w:val="0"/>
          <w:sz w:val="24"/>
          <w:szCs w:val="24"/>
        </w:rPr>
        <w:t xml:space="preserve">甲方在</w:t>
      </w:r>
      <w:r>
        <w:rPr>
          <w:rFonts w:hint="eastAsia" w:ascii="宋体" w:hAnsi="宋体"/>
          <w:b/>
          <w:bCs w:val="0"/>
          <w:sz w:val="24"/>
          <w:szCs w:val="24"/>
          <w:lang w:val="en-US" w:eastAsia="zh-CN"/>
        </w:rPr>
        <w:t xml:space="preserve">收到合同后</w:t>
      </w:r>
      <w:r>
        <w:rPr>
          <w:rFonts w:hint="eastAsia" w:ascii="宋体" w:hAnsi="宋体"/>
          <w:b/>
          <w:bCs w:val="0"/>
          <w:sz w:val="24"/>
          <w:szCs w:val="24"/>
        </w:rPr>
        <w:t xml:space="preserve">15个工作日内，一次性支付合同金额的100%。</w:t>
      </w:r>
      <w:r>
        <w:rPr>
          <w:rFonts w:hint="eastAsia" w:ascii="宋体" w:hAnsi="宋体"/>
          <w:b/>
          <w:bCs w:val="0"/>
          <w:sz w:val="24"/>
          <w:szCs w:val="24"/>
          <w:lang w:val="en-US" w:eastAsia="zh-CN"/>
        </w:rPr>
        <w:t xml:space="preserve">若在规定时间内乙方未提供相关采购合同给甲方，从规定时间的第十个自然日起计，每超过一天甲方扣除总费用1%。</w:t>
      </w:r>
      <w:r/>
    </w:p>
    <w:p>
      <w:pPr>
        <w:jc w:val="left"/>
        <w:spacing w:before="120" w:after="120" w:line="360" w:lineRule="auto"/>
        <w:rPr>
          <w:rFonts w:ascii="宋体" w:hAnsi="宋体" w:eastAsia="仿宋_GB2312"/>
          <w:b/>
          <w:sz w:val="24"/>
          <w:szCs w:val="24"/>
        </w:rPr>
        <w:outlineLvl w:val="0"/>
      </w:pPr>
      <w:r>
        <w:rPr>
          <w:rFonts w:hint="eastAsia" w:ascii="宋体" w:hAnsi="宋体"/>
          <w:b/>
          <w:sz w:val="24"/>
          <w:szCs w:val="24"/>
        </w:rPr>
        <w:t xml:space="preserve">九、税费</w:t>
      </w:r>
      <w:r/>
    </w:p>
    <w:p>
      <w:pPr>
        <w:jc w:val="left"/>
        <w:spacing w:before="120" w:after="120"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jc w:val="left"/>
        <w:spacing w:before="120" w:after="120" w:line="360" w:lineRule="auto"/>
        <w:rPr>
          <w:rFonts w:ascii="宋体" w:hAnsi="宋体" w:cs="Courier New"/>
          <w:b/>
          <w:sz w:val="24"/>
          <w:szCs w:val="24"/>
        </w:rPr>
        <w:outlineLvl w:val="0"/>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360" w:lineRule="auto"/>
        <w:rPr>
          <w:rFonts w:ascii="宋体" w:hAnsi="宋体" w:cs="Courier New"/>
          <w:sz w:val="24"/>
          <w:szCs w:val="24"/>
        </w:rPr>
      </w:pPr>
      <w:r>
        <w:rPr>
          <w:rFonts w:ascii="宋体" w:hAnsi="宋体" w:cs="Courier New"/>
          <w:sz w:val="24"/>
          <w:szCs w:val="24"/>
        </w:rPr>
        <w:t xml:space="preserve">  甲方：                        乙方： </w:t>
      </w:r>
      <w:r/>
    </w:p>
    <w:p>
      <w:pPr>
        <w:spacing w:before="120" w:after="120" w:line="360" w:lineRule="auto"/>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360" w:lineRule="auto"/>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360" w:lineRule="auto"/>
        <w:rPr>
          <w:rFonts w:hint="eastAsia" w:ascii="宋体" w:hAnsi="宋体" w:cs="Courier New"/>
          <w:sz w:val="24"/>
          <w:szCs w:val="24"/>
        </w:rPr>
      </w:pPr>
      <w:r>
        <w:rPr>
          <w:rFonts w:hint="eastAsia" w:ascii="宋体" w:hAnsi="宋体" w:cs="Courier New"/>
          <w:sz w:val="24"/>
          <w:szCs w:val="24"/>
        </w:rPr>
        <w:t xml:space="preserve">联系电话：                    联系电话：          </w:t>
      </w:r>
      <w:r/>
    </w:p>
    <w:p>
      <w:pPr>
        <w:ind w:firstLine="480"/>
        <w:spacing w:line="360" w:lineRule="auto"/>
        <w:rPr>
          <w:rFonts w:hint="eastAsia" w:ascii="宋体" w:hAnsi="宋体"/>
          <w:bCs/>
          <w:sz w:val="24"/>
          <w:szCs w:val="24"/>
        </w:rPr>
      </w:pPr>
      <w:r>
        <w:rPr>
          <w:rFonts w:hint="eastAsia" w:ascii="宋体" w:hAnsi="宋体"/>
          <w:sz w:val="24"/>
          <w:szCs w:val="24"/>
        </w:rPr>
        <w:t xml:space="preserve">                            </w:t>
      </w:r>
      <w:r>
        <w:rPr>
          <w:rFonts w:ascii="宋体" w:hAnsi="宋体"/>
          <w:sz w:val="24"/>
          <w:szCs w:val="24"/>
        </w:rPr>
        <w:t xml:space="preserve">签订日期：      年  </w:t>
      </w:r>
      <w:r>
        <w:rPr>
          <w:rFonts w:hint="eastAsia" w:ascii="宋体" w:hAnsi="宋体"/>
          <w:sz w:val="24"/>
          <w:szCs w:val="24"/>
        </w:rPr>
        <w:t xml:space="preserve">  </w:t>
      </w:r>
      <w:r>
        <w:rPr>
          <w:rFonts w:ascii="宋体" w:hAnsi="宋体"/>
          <w:sz w:val="24"/>
          <w:szCs w:val="24"/>
        </w:rPr>
        <w:t xml:space="preserve">月  </w:t>
      </w:r>
      <w:r>
        <w:rPr>
          <w:rFonts w:hint="eastAsia" w:ascii="宋体" w:hAnsi="宋体"/>
          <w:sz w:val="24"/>
          <w:szCs w:val="24"/>
        </w:rPr>
        <w:t xml:space="preserve"> </w:t>
      </w:r>
      <w:r>
        <w:rPr>
          <w:rFonts w:ascii="宋体" w:hAnsi="宋体"/>
          <w:sz w:val="24"/>
          <w:szCs w:val="24"/>
        </w:rPr>
        <w:t xml:space="preserve">日</w:t>
      </w:r>
      <w:r/>
    </w:p>
    <w:p>
      <w:pPr>
        <w:ind w:firstLine="3990"/>
        <w:spacing w:line="400" w:lineRule="exact"/>
        <w:rPr>
          <w:rFonts w:ascii="仿宋" w:hAnsi="仿宋" w:eastAsia="仿宋" w:cs="仿宋"/>
          <w:color w:val="000000"/>
          <w:szCs w:val="21"/>
        </w:rPr>
        <w:sectPr>
          <w:footerReference w:type="default" r:id="rId17"/>
          <w:footnotePr/>
          <w:endnotePr/>
          <w:type w:val="continuous"/>
          <w:pgSz w:w="12240" w:h="15840" w:orient="portrait"/>
          <w:pgMar w:top="1440" w:right="1800" w:bottom="1440" w:left="1800" w:header="720" w:footer="720" w:gutter="0"/>
          <w:cols w:num="1" w:sep="0" w:space="720" w:equalWidth="1"/>
          <w:docGrid w:linePitch="360"/>
        </w:sectPr>
      </w:pPr>
      <w:r>
        <w:rPr>
          <w:rFonts w:ascii="仿宋" w:hAnsi="仿宋" w:eastAsia="仿宋" w:cs="仿宋"/>
          <w:color w:val="000000"/>
          <w:szCs w:val="21"/>
        </w:rPr>
      </w:r>
      <w:bookmarkEnd w:id="42"/>
      <w:bookmarkEnd w:id="43"/>
      <w:r/>
    </w:p>
    <w:p>
      <w:pPr>
        <w:pStyle w:val="926"/>
        <w:rPr>
          <w:rFonts w:ascii="宋体" w:hAnsi="宋体" w:cs="宋体"/>
        </w:rPr>
      </w:pPr>
      <w:r/>
      <w:bookmarkStart w:id="58" w:name="_Toc10404"/>
      <w:r>
        <w:rPr>
          <w:rFonts w:hint="eastAsia" w:ascii="宋体" w:hAnsi="宋体" w:cs="宋体"/>
          <w:lang w:val="zh-CN"/>
        </w:rPr>
        <w:t xml:space="preserve">第六章  </w:t>
      </w:r>
      <w:bookmarkEnd w:id="44"/>
      <w:r/>
      <w:bookmarkEnd w:id="45"/>
      <w:r/>
      <w:bookmarkEnd w:id="46"/>
      <w:r>
        <w:rPr>
          <w:rFonts w:hint="eastAsia" w:ascii="宋体" w:hAnsi="宋体" w:cs="宋体"/>
          <w:szCs w:val="21"/>
        </w:rPr>
        <w:t xml:space="preserve">磋商响应文件格式及附件</w:t>
      </w:r>
      <w:bookmarkEnd w:id="58"/>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rPr>
          <w:rFonts w:ascii="宋体" w:hAnsi="宋体" w:cs="宋体"/>
          <w:sz w:val="20"/>
        </w:rPr>
      </w:pPr>
      <w:r>
        <w:rPr>
          <w:rFonts w:hint="eastAsia" w:ascii="宋体" w:hAnsi="宋体" w:cs="宋体"/>
          <w:sz w:val="28"/>
          <w:szCs w:val="28"/>
        </w:rPr>
        <w:t xml:space="preserve">（项目名称）</w:t>
      </w:r>
      <w:r/>
    </w:p>
    <w:p>
      <w:pPr>
        <w:jc w:val="center"/>
        <w:rPr>
          <w:rFonts w:ascii="宋体" w:hAnsi="宋体" w:cs="宋体"/>
          <w:sz w:val="20"/>
        </w:rPr>
      </w:pPr>
      <w:r>
        <w:rPr>
          <w:rFonts w:ascii="宋体" w:hAnsi="宋体" w:cs="宋体"/>
          <w:sz w:val="20"/>
        </w:rPr>
      </w:r>
      <w:r/>
    </w:p>
    <w:p>
      <w:pPr>
        <w:jc w:val="center"/>
        <w:rPr>
          <w:rFonts w:ascii="宋体" w:hAnsi="宋体" w:cs="宋体"/>
          <w:sz w:val="20"/>
        </w:rPr>
      </w:pPr>
      <w:r>
        <w:rPr>
          <w:rFonts w:ascii="宋体" w:hAnsi="宋体" w:cs="宋体"/>
          <w:sz w:val="20"/>
        </w:rPr>
      </w:r>
      <w:r/>
    </w:p>
    <w:p>
      <w:pPr>
        <w:jc w:val="center"/>
        <w:rPr>
          <w:rFonts w:ascii="宋体" w:hAnsi="宋体" w:cs="宋体"/>
          <w:sz w:val="44"/>
          <w:szCs w:val="44"/>
        </w:rPr>
      </w:pPr>
      <w:r>
        <w:rPr>
          <w:rFonts w:hint="eastAsia" w:ascii="宋体" w:hAnsi="宋体" w:cs="宋体"/>
          <w:sz w:val="44"/>
          <w:szCs w:val="44"/>
        </w:rPr>
        <w:t xml:space="preserve">竞争性磋商响应文件</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rPr>
          <w:rFonts w:ascii="宋体" w:hAnsi="宋体" w:cs="宋体"/>
          <w:sz w:val="28"/>
          <w:szCs w:val="28"/>
          <w:u w:val="single"/>
        </w:rPr>
      </w:pPr>
      <w:r>
        <w:rPr>
          <w:rFonts w:hint="eastAsia" w:ascii="宋体" w:hAnsi="宋体" w:cs="宋体"/>
          <w:sz w:val="28"/>
          <w:szCs w:val="28"/>
        </w:rPr>
        <w:t xml:space="preserve">供应商：（</w:t>
      </w:r>
      <w:r>
        <w:rPr>
          <w:rFonts w:hint="eastAsia" w:ascii="Arial" w:hAnsi="Arial" w:cs="Arial"/>
          <w:sz w:val="28"/>
          <w:szCs w:val="28"/>
        </w:rPr>
        <w:t xml:space="preserve">加盖电子公章</w:t>
      </w:r>
      <w:r>
        <w:rPr>
          <w:rFonts w:hint="eastAsia" w:ascii="宋体" w:hAnsi="宋体" w:cs="宋体"/>
          <w:sz w:val="28"/>
          <w:szCs w:val="28"/>
        </w:rPr>
        <w:t xml:space="preserve">）</w:t>
      </w:r>
      <w:r/>
    </w:p>
    <w:p>
      <w:pPr>
        <w:jc w:val="center"/>
        <w:rPr>
          <w:rFonts w:ascii="宋体" w:hAnsi="宋体" w:cs="宋体"/>
          <w:sz w:val="28"/>
          <w:szCs w:val="28"/>
        </w:rPr>
      </w:pPr>
      <w:r>
        <w:rPr>
          <w:rFonts w:hint="eastAsia" w:ascii="宋体" w:hAnsi="宋体" w:cs="宋体"/>
          <w:sz w:val="28"/>
          <w:szCs w:val="28"/>
        </w:rPr>
        <w:t xml:space="preserve">法定代表人或其授权代表：（签字/签章）</w:t>
      </w:r>
      <w:r/>
    </w:p>
    <w:p>
      <w:pPr>
        <w:jc w:val="center"/>
        <w:rPr>
          <w:rFonts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ascii="宋体" w:hAnsi="宋体" w:cs="宋体"/>
        </w:rPr>
      </w:pPr>
      <w:r>
        <w:rPr>
          <w:rFonts w:ascii="宋体" w:hAnsi="宋体" w:cs="宋体"/>
        </w:rPr>
      </w:r>
      <w:r/>
    </w:p>
    <w:p>
      <w:pPr>
        <w:ind w:firstLine="3845"/>
        <w:spacing w:line="360" w:lineRule="auto"/>
        <w:shd w:val="clear" w:color="auto" w:fill="ffffff"/>
        <w:widowControl/>
        <w:rPr>
          <w:rFonts w:ascii="宋体" w:hAnsi="宋体" w:cs="宋体"/>
          <w:b/>
          <w:bCs/>
          <w:color w:val="000000"/>
          <w:sz w:val="44"/>
          <w:szCs w:val="44"/>
        </w:rPr>
      </w:pPr>
      <w:r>
        <w:rPr>
          <w:rFonts w:hint="eastAsia" w:ascii="宋体" w:hAnsi="宋体" w:cs="宋体"/>
          <w:b/>
          <w:bCs/>
          <w:sz w:val="24"/>
        </w:rPr>
        <w:br w:type="page" w:clear="all"/>
      </w:r>
      <w:r>
        <w:rPr>
          <w:rFonts w:hint="eastAsia" w:ascii="宋体" w:hAnsi="宋体" w:cs="宋体"/>
          <w:b/>
          <w:bCs/>
          <w:color w:val="000000"/>
          <w:sz w:val="44"/>
          <w:szCs w:val="44"/>
        </w:rPr>
        <w:t xml:space="preserve">目录</w:t>
      </w:r>
      <w:r/>
    </w:p>
    <w:p>
      <w:pPr>
        <w:jc w:val="center"/>
        <w:spacing w:line="440" w:lineRule="exact"/>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szCs w:val="21"/>
        </w:rPr>
      </w:pPr>
      <w:r>
        <w:rPr>
          <w:rFonts w:hint="eastAsia" w:ascii="宋体" w:hAnsi="宋体" w:cs="宋体"/>
          <w:szCs w:val="21"/>
        </w:rPr>
        <w:t xml:space="preserve">（注：供应商根据本章提供的附件顺序编制投标文件并制作目录（须生成页码））</w:t>
      </w:r>
      <w:r/>
    </w:p>
    <w:p>
      <w:pPr>
        <w:spacing w:before="312" w:after="312"/>
        <w:rPr>
          <w:rFonts w:ascii="宋体" w:hAnsi="宋体" w:cs="宋体"/>
          <w:b/>
        </w:rPr>
      </w:pPr>
      <w:r/>
      <w:bookmarkStart w:id="59" w:name="_Toc490133028"/>
      <w:r/>
      <w:bookmarkStart w:id="60" w:name="_Toc504044380"/>
      <w:r/>
      <w:bookmarkStart w:id="61" w:name="_Toc504573083"/>
      <w:r/>
      <w:bookmarkStart w:id="62" w:name="_Toc504056868"/>
      <w:r>
        <w:rPr>
          <w:rFonts w:hint="eastAsia" w:ascii="宋体" w:hAnsi="宋体" w:cs="宋体"/>
          <w:b/>
          <w:bCs/>
        </w:rPr>
        <w:br w:type="page" w:clear="all"/>
      </w:r>
      <w:bookmarkStart w:id="63" w:name="_Toc534273677"/>
      <w:r/>
      <w:bookmarkStart w:id="64" w:name="_Toc534273800"/>
      <w:r>
        <w:rPr>
          <w:rFonts w:hint="eastAsia" w:ascii="宋体" w:hAnsi="宋体" w:cs="宋体"/>
          <w:b/>
        </w:rPr>
        <w:t xml:space="preserve">附件一、竞争性磋商申请及声明</w:t>
      </w:r>
      <w:bookmarkEnd w:id="59"/>
      <w:r/>
      <w:bookmarkEnd w:id="60"/>
      <w:r/>
      <w:bookmarkEnd w:id="61"/>
      <w:r/>
      <w:bookmarkEnd w:id="62"/>
      <w:r/>
      <w:bookmarkEnd w:id="63"/>
      <w:r/>
      <w:bookmarkEnd w:id="64"/>
      <w:r/>
      <w:r/>
    </w:p>
    <w:p>
      <w:pPr>
        <w:rPr>
          <w:rFonts w:ascii="宋体" w:hAnsi="宋体" w:cs="宋体"/>
          <w:szCs w:val="21"/>
          <w:lang w:val="zh-CN"/>
        </w:rPr>
      </w:pPr>
      <w:r>
        <w:rPr>
          <w:rFonts w:ascii="宋体" w:hAnsi="宋体" w:cs="宋体"/>
          <w:szCs w:val="21"/>
          <w:lang w:val="zh-CN"/>
        </w:rPr>
      </w:r>
      <w:r/>
    </w:p>
    <w:p>
      <w:pPr>
        <w:jc w:val="center"/>
        <w:rPr>
          <w:rFonts w:ascii="宋体" w:hAnsi="宋体" w:cs="宋体"/>
          <w:b/>
          <w:sz w:val="36"/>
          <w:szCs w:val="36"/>
        </w:rPr>
      </w:pPr>
      <w:r>
        <w:rPr>
          <w:rFonts w:hint="eastAsia" w:ascii="宋体" w:hAnsi="宋体" w:cs="宋体"/>
          <w:b/>
          <w:sz w:val="36"/>
          <w:szCs w:val="36"/>
        </w:rPr>
        <w:t xml:space="preserve">竞争性磋商申请及声明</w:t>
      </w:r>
      <w:r/>
    </w:p>
    <w:p>
      <w:pPr>
        <w:jc w:val="center"/>
        <w:rPr>
          <w:rFonts w:ascii="宋体" w:hAnsi="宋体" w:cs="宋体"/>
          <w:szCs w:val="21"/>
        </w:rPr>
      </w:pPr>
      <w:r>
        <w:rPr>
          <w:rFonts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(姓名和职务)代表（供应商名称），提交响应性文件并参加磋商。</w:t>
      </w:r>
      <w:r/>
    </w:p>
    <w:p>
      <w:pPr>
        <w:ind w:firstLine="420"/>
        <w:spacing w:line="440" w:lineRule="exact"/>
        <w:rPr>
          <w:rFonts w:ascii="宋体" w:hAnsi="宋体" w:cs="宋体"/>
          <w:szCs w:val="21"/>
        </w:rPr>
      </w:pPr>
      <w:r>
        <w:rPr>
          <w:rFonts w:hint="eastAsia" w:ascii="宋体" w:hAnsi="宋体" w:cs="宋体"/>
          <w:szCs w:val="21"/>
        </w:rPr>
        <w:t xml:space="preserve">据此函，签字人兹宣布同意如下：</w:t>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宋体"/>
          <w:szCs w:val="21"/>
        </w:rPr>
      </w:pPr>
      <w:r>
        <w:rPr>
          <w:rFonts w:hint="eastAsia" w:ascii="宋体" w:hAnsi="宋体" w:cs="宋体"/>
          <w:szCs w:val="21"/>
        </w:rPr>
        <w:t xml:space="preserve">7、我方正式通讯方式为：</w:t>
      </w:r>
      <w:r/>
    </w:p>
    <w:p>
      <w:pPr>
        <w:ind w:firstLine="420"/>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40" w:lineRule="exact"/>
        <w:rPr>
          <w:rFonts w:ascii="宋体" w:hAnsi="宋体" w:cs="宋体"/>
          <w:szCs w:val="21"/>
        </w:rPr>
      </w:pPr>
      <w:r>
        <w:rPr>
          <w:rFonts w:hint="eastAsia" w:ascii="宋体" w:hAnsi="宋体" w:cs="宋体"/>
          <w:szCs w:val="21"/>
        </w:rPr>
        <w:t xml:space="preserve">8、我方正式开户银行和账号为：</w:t>
      </w:r>
      <w:r/>
    </w:p>
    <w:p>
      <w:pPr>
        <w:ind w:firstLine="420"/>
        <w:spacing w:line="440" w:lineRule="exact"/>
        <w:rPr>
          <w:rFonts w:ascii="Arial" w:hAnsi="Arial" w:cs="Arial"/>
          <w:szCs w:val="21"/>
          <w:u w:val="single"/>
        </w:rPr>
      </w:pPr>
      <w:r>
        <w:rPr>
          <w:rFonts w:ascii="Arial" w:hAnsi="Arial" w:cs="Arial"/>
          <w:szCs w:val="21"/>
        </w:rPr>
        <w:t xml:space="preserve">开户银行：</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账    号：</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供应商名称（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before="312" w:after="312"/>
        <w:rPr>
          <w:rFonts w:ascii="宋体" w:hAnsi="宋体" w:cs="宋体"/>
          <w:b/>
        </w:rPr>
      </w:pPr>
      <w:r>
        <w:rPr>
          <w:rFonts w:hint="eastAsia" w:ascii="宋体" w:hAnsi="宋体" w:cs="宋体"/>
          <w:szCs w:val="21"/>
          <w:lang w:val="zh-CN"/>
        </w:rPr>
        <w:br w:type="page" w:clear="all"/>
      </w:r>
      <w:bookmarkStart w:id="65" w:name="_Toc534273801"/>
      <w:r/>
      <w:bookmarkStart w:id="66" w:name="_Toc504044381"/>
      <w:r/>
      <w:bookmarkStart w:id="67" w:name="_Toc534273678"/>
      <w:r/>
      <w:bookmarkStart w:id="68" w:name="_Toc504056869"/>
      <w:r/>
      <w:bookmarkStart w:id="69" w:name="_Toc490133029"/>
      <w:r/>
      <w:bookmarkStart w:id="70" w:name="_Toc504573084"/>
      <w:r>
        <w:rPr>
          <w:rFonts w:hint="eastAsia" w:ascii="宋体" w:hAnsi="宋体" w:cs="宋体"/>
          <w:b/>
        </w:rPr>
        <w:t xml:space="preserve">附件二、法定代表人授权书格式</w:t>
      </w:r>
      <w:bookmarkEnd w:id="65"/>
      <w:r/>
      <w:bookmarkEnd w:id="66"/>
      <w:r/>
      <w:bookmarkEnd w:id="67"/>
      <w:r/>
      <w:bookmarkEnd w:id="68"/>
      <w:r/>
      <w:bookmarkEnd w:id="69"/>
      <w:r/>
      <w:bookmarkEnd w:id="70"/>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法定代表人授权书</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江苏省设备成套股份有限公司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（供应商住址）的</w:t>
      </w:r>
      <w:r>
        <w:rPr>
          <w:rFonts w:hint="eastAsia" w:ascii="宋体" w:hAnsi="宋体" w:cs="宋体"/>
          <w:szCs w:val="21"/>
          <w:u w:val="single"/>
          <w:lang w:val="zh-CN"/>
        </w:rPr>
        <w:t xml:space="preserve">             </w:t>
      </w:r>
      <w:r>
        <w:rPr>
          <w:rFonts w:hint="eastAsia" w:ascii="宋体" w:hAnsi="宋体" w:cs="宋体"/>
          <w:szCs w:val="21"/>
          <w:lang w:val="zh-CN"/>
        </w:rPr>
        <w:t xml:space="preserve">（供应商名称）法定代表人</w:t>
      </w:r>
      <w:r>
        <w:rPr>
          <w:rFonts w:hint="eastAsia" w:ascii="宋体" w:hAnsi="宋体" w:cs="宋体"/>
          <w:szCs w:val="21"/>
          <w:u w:val="single"/>
          <w:lang w:val="zh-CN"/>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 xml:space="preserve">（供应商代表姓名、职务）为本公司的合法代理人，就贵方组织的项目名称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 xml:space="preserve">，项目编号：</w:t>
      </w:r>
      <w:r>
        <w:rPr>
          <w:rFonts w:hint="eastAsia" w:ascii="宋体" w:hAnsi="宋体" w:cs="宋体"/>
          <w:szCs w:val="21"/>
          <w:u w:val="single"/>
          <w:lang w:val="zh-CN"/>
        </w:rPr>
        <w:t xml:space="preserve">        </w:t>
      </w:r>
      <w:r>
        <w:rPr>
          <w:rFonts w:hint="eastAsia" w:ascii="宋体" w:hAnsi="宋体" w:cs="宋体"/>
          <w:szCs w:val="21"/>
          <w:lang w:val="zh-CN"/>
        </w:rPr>
        <w:t xml:space="preserve">竞争性磋商，以本公司名义处理一切与之有关的事务。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本授权书于        年   月   日签字生效，特此声明。</w:t>
      </w:r>
      <w:r/>
    </w:p>
    <w:p>
      <w:pPr>
        <w:pStyle w:val="1045"/>
        <w:ind w:firstLine="480"/>
        <w:spacing w:line="480" w:lineRule="exact"/>
        <w:tabs>
          <w:tab w:val="left" w:pos="360" w:leader="none"/>
        </w:tabs>
        <w:rPr>
          <w:szCs w:val="24"/>
        </w:rPr>
      </w:pPr>
      <w:r>
        <w:rPr>
          <w:rFonts w:hint="eastAsia"/>
          <w:szCs w:val="24"/>
        </w:rPr>
        <w:t xml:space="preserve">被授权人身份证号码：</w:t>
      </w:r>
      <w:r/>
    </w:p>
    <w:p>
      <w:pPr>
        <w:pStyle w:val="1045"/>
        <w:ind w:firstLine="480"/>
        <w:spacing w:line="480" w:lineRule="exact"/>
        <w:tabs>
          <w:tab w:val="left" w:pos="360" w:leader="none"/>
        </w:tabs>
        <w:rPr>
          <w:szCs w:val="24"/>
          <w:u w:val="single"/>
        </w:rPr>
      </w:pPr>
      <w:r>
        <w:rPr>
          <w:rFonts w:hint="eastAsia"/>
          <w:szCs w:val="24"/>
        </w:rPr>
        <w:t xml:space="preserve">被授权人联系电话：（手机）</w:t>
      </w:r>
      <w:r/>
    </w:p>
    <w:p>
      <w:pPr>
        <w:pStyle w:val="1045"/>
        <w:ind w:firstLine="468"/>
        <w:spacing w:line="480" w:lineRule="exact"/>
        <w:tabs>
          <w:tab w:val="left" w:pos="360" w:leader="none"/>
        </w:tabs>
        <w:rPr>
          <w:szCs w:val="24"/>
        </w:rPr>
      </w:pPr>
      <w:r>
        <w:rPr>
          <w:rFonts w:hint="eastAsia"/>
          <w:szCs w:val="24"/>
        </w:rPr>
        <w:t xml:space="preserve">单位名称：</w:t>
      </w:r>
      <w:r>
        <w:rPr>
          <w:rFonts w:hint="eastAsia" w:ascii="宋体" w:hAnsi="宋体" w:cs="宋体"/>
          <w:szCs w:val="24"/>
        </w:rPr>
        <w:t xml:space="preserve">（加盖电子公章）</w:t>
      </w:r>
      <w:r/>
    </w:p>
    <w:p>
      <w:pPr>
        <w:pStyle w:val="1045"/>
        <w:ind w:firstLine="480"/>
        <w:spacing w:line="480" w:lineRule="exact"/>
        <w:tabs>
          <w:tab w:val="left" w:pos="360" w:leader="none"/>
        </w:tabs>
        <w:rPr>
          <w:szCs w:val="24"/>
          <w:u w:val="single"/>
        </w:rPr>
      </w:pPr>
      <w:r>
        <w:rPr>
          <w:rFonts w:hint="eastAsia"/>
          <w:szCs w:val="24"/>
        </w:rPr>
        <w:t xml:space="preserve">单位地址：</w:t>
      </w:r>
      <w:r/>
    </w:p>
    <w:p>
      <w:pPr>
        <w:pStyle w:val="1045"/>
        <w:ind w:firstLine="480"/>
        <w:spacing w:line="480" w:lineRule="exact"/>
        <w:tabs>
          <w:tab w:val="left" w:pos="360" w:leader="none"/>
        </w:tabs>
        <w:rPr>
          <w:szCs w:val="24"/>
        </w:rPr>
      </w:pPr>
      <w:r>
        <w:rPr>
          <w:rFonts w:hint="eastAsia"/>
          <w:szCs w:val="24"/>
        </w:rPr>
        <w:t xml:space="preserve">日    期：</w:t>
      </w:r>
      <w:bookmarkStart w:id="71" w:name="_Hlt26955070"/>
      <w:r/>
      <w:bookmarkEnd w:id="71"/>
      <w:r/>
      <w:bookmarkStart w:id="72" w:name="_格式3__银行出具的资信证明"/>
      <w:r/>
      <w:bookmarkEnd w:id="72"/>
      <w:r/>
      <w:bookmarkStart w:id="73" w:name="_Hlt26671380"/>
      <w:r/>
      <w:bookmarkEnd w:id="73"/>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szCs w:val="21"/>
          <w:lang w:val="zh-CN"/>
        </w:rPr>
      </w:pPr>
      <w:r>
        <w:rPr>
          <w:rFonts w:hint="eastAsia" w:ascii="宋体" w:hAnsi="宋体" w:cs="宋体"/>
          <w:b/>
          <w:szCs w:val="21"/>
        </w:rPr>
        <w:t xml:space="preserve">被授权人</w:t>
      </w:r>
      <w:r>
        <w:rPr>
          <w:rFonts w:hint="eastAsia" w:ascii="宋体" w:hAnsi="宋体" w:cs="宋体"/>
          <w:b/>
          <w:szCs w:val="21"/>
          <w:lang w:val="zh-CN"/>
        </w:rPr>
        <w:t xml:space="preserve">的身份证明文件的复印件：</w:t>
      </w:r>
      <w:r/>
    </w:p>
    <w:p>
      <w:pPr>
        <w:spacing w:before="312" w:after="312"/>
        <w:rPr>
          <w:rFonts w:ascii="宋体" w:hAnsi="宋体" w:cs="宋体"/>
          <w:b/>
        </w:rPr>
      </w:pPr>
      <w:r>
        <w:rPr>
          <w:rFonts w:hint="eastAsia" w:ascii="宋体" w:hAnsi="宋体" w:cs="宋体"/>
          <w:lang w:val="zh-CN"/>
        </w:rPr>
        <w:br w:type="page" w:clear="all"/>
      </w:r>
      <w:bookmarkStart w:id="74" w:name="_Toc534273802"/>
      <w:r/>
      <w:bookmarkStart w:id="75" w:name="_Toc504044382"/>
      <w:r/>
      <w:bookmarkStart w:id="76" w:name="_Toc504056870"/>
      <w:r/>
      <w:bookmarkStart w:id="77" w:name="_Toc490133030"/>
      <w:r/>
      <w:bookmarkStart w:id="78" w:name="_Toc504573085"/>
      <w:r/>
      <w:bookmarkStart w:id="79" w:name="_Toc534273679"/>
      <w:r>
        <w:rPr>
          <w:rFonts w:hint="eastAsia" w:ascii="宋体" w:hAnsi="宋体" w:cs="宋体"/>
          <w:b/>
        </w:rPr>
        <w:t xml:space="preserve">附件三、报价表</w:t>
      </w:r>
      <w:bookmarkEnd w:id="74"/>
      <w:r/>
      <w:bookmarkEnd w:id="75"/>
      <w:r/>
      <w:bookmarkEnd w:id="76"/>
      <w:r/>
      <w:bookmarkEnd w:id="77"/>
      <w:r/>
      <w:bookmarkEnd w:id="78"/>
      <w:r/>
      <w:bookmarkEnd w:id="79"/>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ascii="宋体" w:hAnsi="宋体" w:cs="宋体"/>
          <w:sz w:val="24"/>
        </w:rPr>
      </w:pPr>
      <w:r>
        <w:rPr>
          <w:rFonts w:ascii="宋体" w:hAnsi="宋体" w:cs="宋体"/>
          <w:sz w:val="24"/>
        </w:rPr>
      </w:r>
      <w:r/>
    </w:p>
    <w:p>
      <w:pPr>
        <w:pStyle w:val="927"/>
        <w:ind w:firstLine="472"/>
        <w:spacing w:line="440" w:lineRule="exact"/>
        <w:rPr>
          <w:rFonts w:ascii="宋体" w:hAnsi="宋体" w:cs="宋体"/>
          <w:szCs w:val="21"/>
        </w:rPr>
      </w:pPr>
      <w:r>
        <w:rPr>
          <w:rFonts w:hint="eastAsia" w:ascii="宋体" w:hAnsi="宋体" w:cs="宋体"/>
          <w:szCs w:val="21"/>
        </w:rPr>
        <w:t xml:space="preserve">项目名称：                                         项目编号：</w:t>
      </w:r>
      <w:r/>
    </w:p>
    <w:tbl>
      <w:tblPr>
        <w:tblStyle w:val="92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927"/>
              <w:ind w:firstLine="0"/>
              <w:spacing w:line="440" w:lineRule="exact"/>
              <w:rPr>
                <w:szCs w:val="21"/>
              </w:rPr>
            </w:pPr>
            <w:r>
              <w:rPr>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927"/>
              <w:ind w:firstLine="0"/>
              <w:spacing w:line="440" w:lineRule="exact"/>
              <w:rPr>
                <w:szCs w:val="21"/>
              </w:rPr>
            </w:pPr>
            <w:r>
              <w:rPr>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927"/>
              <w:ind w:firstLine="472"/>
              <w:spacing w:line="440" w:lineRule="exact"/>
              <w:rPr>
                <w:szCs w:val="21"/>
              </w:rPr>
            </w:pPr>
            <w:r>
              <w:rPr>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927"/>
              <w:ind w:firstLine="0"/>
              <w:spacing w:line="440" w:lineRule="exact"/>
              <w:rPr>
                <w:szCs w:val="21"/>
              </w:rPr>
            </w:pPr>
            <w:r>
              <w:rPr>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927"/>
              <w:ind w:firstLine="0"/>
              <w:spacing w:line="440" w:lineRule="exact"/>
              <w:rPr>
                <w:szCs w:val="21"/>
              </w:rPr>
            </w:pPr>
            <w:r>
              <w:rPr>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927"/>
              <w:ind w:firstLine="0"/>
              <w:spacing w:line="440" w:lineRule="exact"/>
              <w:rPr>
                <w:szCs w:val="21"/>
              </w:rPr>
            </w:pPr>
            <w:r>
              <w:rPr>
                <w:szCs w:val="21"/>
              </w:rPr>
              <w:t xml:space="preserve">小写：人民币              </w:t>
            </w:r>
            <w:r/>
          </w:p>
          <w:p>
            <w:pPr>
              <w:pStyle w:val="927"/>
              <w:ind w:firstLine="472"/>
              <w:spacing w:line="440" w:lineRule="exact"/>
              <w:rPr>
                <w:szCs w:val="21"/>
              </w:rPr>
            </w:pPr>
            <w:r>
              <w:rPr>
                <w:szCs w:val="21"/>
              </w:rPr>
            </w:r>
            <w:r/>
          </w:p>
          <w:p>
            <w:pPr>
              <w:pStyle w:val="927"/>
              <w:ind w:firstLine="0"/>
              <w:spacing w:line="440" w:lineRule="exact"/>
              <w:rPr>
                <w:szCs w:val="21"/>
              </w:rPr>
            </w:pPr>
            <w:r>
              <w:rPr>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927"/>
              <w:ind w:firstLine="0"/>
              <w:spacing w:line="440" w:lineRule="exact"/>
              <w:rPr>
                <w:szCs w:val="21"/>
              </w:rPr>
            </w:pPr>
            <w:r>
              <w:rPr>
                <w:szCs w:val="21"/>
              </w:rPr>
            </w:r>
            <w:r/>
          </w:p>
          <w:p>
            <w:pPr>
              <w:pStyle w:val="927"/>
              <w:ind w:firstLine="0"/>
              <w:spacing w:line="440" w:lineRule="exact"/>
              <w:rPr>
                <w:szCs w:val="21"/>
              </w:rPr>
            </w:pPr>
            <w:r>
              <w:rPr>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927"/>
              <w:ind w:firstLine="0"/>
              <w:spacing w:line="440" w:lineRule="exact"/>
              <w:rPr>
                <w:szCs w:val="21"/>
              </w:rPr>
            </w:pPr>
            <w:r>
              <w:rPr>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927"/>
              <w:ind w:firstLine="472"/>
              <w:spacing w:line="440" w:lineRule="exact"/>
              <w:rPr>
                <w:szCs w:val="21"/>
                <w:u w:val="single"/>
              </w:rPr>
            </w:pPr>
            <w:r>
              <w:rPr>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927"/>
              <w:ind w:firstLine="472"/>
              <w:spacing w:line="440" w:lineRule="exact"/>
              <w:rPr>
                <w:szCs w:val="21"/>
              </w:rPr>
            </w:pPr>
            <w:r>
              <w:rPr>
                <w:szCs w:val="21"/>
              </w:rPr>
            </w:r>
            <w:r/>
          </w:p>
          <w:p>
            <w:pPr>
              <w:pStyle w:val="927"/>
              <w:ind w:firstLine="472"/>
              <w:spacing w:line="440" w:lineRule="exact"/>
              <w:rPr>
                <w:szCs w:val="21"/>
              </w:rPr>
            </w:pPr>
            <w:r>
              <w:rPr>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w:t>
      </w:r>
      <w:r>
        <w:rPr>
          <w:rFonts w:ascii="宋体" w:hAnsi="宋体" w:cs="宋体"/>
          <w:color w:val="000000"/>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b/>
          <w:bCs/>
        </w:rPr>
      </w:pPr>
      <w:r>
        <w:rPr>
          <w:rFonts w:hint="eastAsia" w:ascii="宋体" w:hAnsi="宋体" w:cs="宋体"/>
          <w:b/>
          <w:bCs/>
        </w:rPr>
        <w:t xml:space="preserve">说明：</w:t>
      </w:r>
      <w:r/>
    </w:p>
    <w:p>
      <w:pPr>
        <w:numPr>
          <w:ilvl w:val="0"/>
          <w:numId w:val="8"/>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rPr>
          <w:rFonts w:ascii="宋体" w:hAnsi="宋体" w:cs="宋体"/>
          <w:b/>
          <w:szCs w:val="21"/>
          <w:lang w:val="zh-CN"/>
        </w:rPr>
      </w:pPr>
      <w:r>
        <w:rPr>
          <w:rFonts w:hint="eastAsia" w:ascii="宋体" w:hAnsi="宋体" w:cs="宋体"/>
          <w:b/>
          <w:bCs/>
          <w:szCs w:val="21"/>
        </w:rPr>
        <w:br w:type="page" w:clear="all"/>
      </w:r>
      <w:r/>
    </w:p>
    <w:p>
      <w:pPr>
        <w:pStyle w:val="1092"/>
        <w:ind w:firstLine="241"/>
        <w:rPr>
          <w:rFonts w:ascii="宋体" w:hAnsi="宋体" w:cs="宋体"/>
          <w:b/>
          <w:bCs/>
          <w:lang w:val="zh-CN"/>
        </w:rPr>
      </w:pPr>
      <w:r/>
      <w:bookmarkStart w:id="80" w:name="_Toc534273804"/>
      <w:r/>
      <w:bookmarkStart w:id="81" w:name="_Toc504044384"/>
      <w:r/>
      <w:bookmarkStart w:id="82" w:name="_Toc534273681"/>
      <w:r/>
      <w:bookmarkStart w:id="83" w:name="_Toc504056872"/>
      <w:r/>
      <w:bookmarkStart w:id="84" w:name="_Toc534273805"/>
      <w:r/>
      <w:bookmarkStart w:id="85" w:name="_Toc490133032"/>
      <w:r/>
      <w:bookmarkStart w:id="86" w:name="_Toc504573087"/>
      <w:r/>
      <w:bookmarkStart w:id="87" w:name="_Toc534273682"/>
      <w:r>
        <w:rPr>
          <w:rFonts w:hint="eastAsia" w:ascii="宋体" w:hAnsi="宋体" w:cs="宋体"/>
          <w:b/>
          <w:bCs/>
          <w:lang w:val="zh-CN"/>
        </w:rPr>
        <w:t xml:space="preserve">附表——分项报价表格式（如果有，格式自拟）</w:t>
      </w:r>
      <w:r/>
    </w:p>
    <w:p>
      <w:pPr>
        <w:jc w:val="left"/>
        <w:spacing w:line="240" w:lineRule="atLeast"/>
        <w:widowControl/>
        <w:rPr>
          <w:rFonts w:ascii="宋体" w:hAnsi="宋体" w:cs="宋体"/>
          <w:b/>
          <w:bCs/>
          <w:lang w:val="zh-CN"/>
        </w:rPr>
      </w:pPr>
      <w:r>
        <w:rPr>
          <w:rFonts w:ascii="宋体" w:hAnsi="宋体" w:cs="宋体"/>
          <w:b/>
          <w:bCs/>
          <w:lang w:val="zh-CN"/>
        </w:rPr>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分项报价表</w:t>
      </w:r>
      <w:r/>
    </w:p>
    <w:p>
      <w:pPr>
        <w:jc w:val="left"/>
        <w:spacing w:line="360" w:lineRule="auto"/>
        <w:widowControl/>
        <w:rPr>
          <w:rFonts w:ascii="宋体" w:hAnsi="宋体" w:cs="宋体"/>
        </w:rPr>
      </w:pPr>
      <w:r>
        <w:rPr>
          <w:rFonts w:hint="eastAsia" w:ascii="宋体" w:hAnsi="宋体" w:cs="宋体"/>
          <w:b/>
          <w:bCs/>
        </w:rPr>
        <w:t xml:space="preserve">注：各单项价格不允超过需求中明确的单价限价，否则做无效投标处理。</w:t>
      </w:r>
      <w:r/>
    </w:p>
    <w:p>
      <w:pPr>
        <w:jc w:val="left"/>
        <w:spacing w:line="360" w:lineRule="auto"/>
        <w:widowControl/>
        <w:rPr>
          <w:rFonts w:ascii="宋体" w:hAnsi="宋体" w:cs="宋体"/>
        </w:rPr>
      </w:pPr>
      <w:r>
        <w:rPr>
          <w:rFonts w:ascii="宋体" w:hAnsi="宋体" w:cs="宋体"/>
        </w:rPr>
      </w:r>
      <w:r/>
    </w:p>
    <w:p>
      <w:pPr>
        <w:pStyle w:val="989"/>
        <w:rPr>
          <w:rFonts w:ascii="宋体" w:hAnsi="宋体" w:cs="宋体"/>
        </w:rPr>
      </w:pPr>
      <w:r>
        <w:rPr>
          <w:rFonts w:ascii="宋体" w:hAnsi="宋体" w:cs="宋体"/>
        </w:rPr>
      </w:r>
      <w:r/>
    </w:p>
    <w:p>
      <w:pPr>
        <w:pStyle w:val="989"/>
        <w:rPr>
          <w:rFonts w:ascii="宋体" w:hAnsi="宋体" w:cs="宋体"/>
        </w:rPr>
      </w:pPr>
      <w:r>
        <w:rPr>
          <w:rFonts w:ascii="宋体" w:hAnsi="宋体" w:cs="宋体"/>
        </w:rPr>
      </w:r>
      <w:r/>
    </w:p>
    <w:p>
      <w:pPr>
        <w:pStyle w:val="989"/>
        <w:rPr>
          <w:rFonts w:ascii="宋体" w:hAnsi="宋体" w:cs="宋体"/>
        </w:rPr>
      </w:pPr>
      <w:r>
        <w:rPr>
          <w:rFonts w:ascii="宋体" w:hAnsi="宋体" w:cs="宋体"/>
        </w:rPr>
      </w:r>
      <w:r/>
    </w:p>
    <w:p>
      <w:pPr>
        <w:pStyle w:val="989"/>
        <w:rPr>
          <w:rFonts w:ascii="宋体" w:hAnsi="宋体" w:cs="宋体"/>
        </w:rPr>
      </w:pPr>
      <w:r>
        <w:rPr>
          <w:rFonts w:ascii="宋体" w:hAnsi="宋体" w:cs="宋体"/>
        </w:rPr>
      </w:r>
      <w:r/>
    </w:p>
    <w:p>
      <w:pPr>
        <w:pStyle w:val="989"/>
        <w:rPr>
          <w:rFonts w:ascii="宋体" w:hAnsi="宋体" w:cs="宋体"/>
        </w:rPr>
      </w:pPr>
      <w:r>
        <w:rPr>
          <w:rFonts w:ascii="宋体" w:hAnsi="宋体" w:cs="宋体"/>
        </w:rPr>
      </w:r>
      <w:r/>
    </w:p>
    <w:p>
      <w:pPr>
        <w:pStyle w:val="989"/>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w:t>
      </w:r>
      <w:r>
        <w:rPr>
          <w:rFonts w:ascii="宋体" w:hAnsi="宋体" w:cs="宋体"/>
          <w:color w:val="000000"/>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shd w:val="clear" w:color="auto" w:fill="ffffff"/>
        <w:widowControl/>
        <w:rPr>
          <w:rFonts w:ascii="宋体" w:hAnsi="宋体" w:cs="宋体"/>
          <w:b/>
          <w:sz w:val="36"/>
          <w:szCs w:val="36"/>
        </w:rPr>
      </w:pPr>
      <w:r>
        <w:rPr>
          <w:rFonts w:hint="eastAsia" w:ascii="宋体" w:hAnsi="宋体" w:cs="宋体"/>
        </w:rPr>
        <w:t xml:space="preserve">日期：  年  月  日</w:t>
      </w:r>
      <w:r/>
    </w:p>
    <w:p>
      <w:pPr>
        <w:jc w:val="left"/>
        <w:spacing w:line="360" w:lineRule="auto"/>
        <w:shd w:val="clear" w:color="auto" w:fill="ffffff"/>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spacing w:before="312" w:after="312"/>
        <w:rPr>
          <w:rFonts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p>
    <w:p>
      <w:pPr>
        <w:ind w:firstLine="420"/>
        <w:rPr>
          <w:rFonts w:ascii="宋体" w:hAnsi="宋体" w:cs="宋体"/>
          <w:szCs w:val="21"/>
          <w:lang w:val="zh-CN"/>
        </w:rPr>
      </w:pPr>
      <w:r>
        <w:rPr>
          <w:rFonts w:ascii="宋体" w:hAnsi="宋体" w:cs="宋体"/>
          <w:szCs w:val="21"/>
          <w:lang w:val="zh-CN"/>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商务条款偏离表</w:t>
      </w:r>
      <w:r/>
    </w:p>
    <w:p>
      <w:pPr>
        <w:rPr>
          <w:rFonts w:ascii="宋体" w:hAnsi="宋体" w:cs="宋体"/>
          <w:szCs w:val="21"/>
          <w:lang w:val="zh-CN"/>
        </w:rPr>
      </w:pPr>
      <w:r>
        <w:rPr>
          <w:rFonts w:ascii="宋体" w:hAnsi="宋体" w:cs="宋体"/>
          <w:szCs w:val="21"/>
          <w:lang w:val="zh-CN"/>
        </w:rPr>
      </w:r>
      <w:r/>
    </w:p>
    <w:tbl>
      <w:tblPr>
        <w:tblStyle w:val="92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spacing w:before="312" w:after="312"/>
        <w:rPr>
          <w:rFonts w:ascii="宋体" w:hAnsi="宋体" w:cs="宋体"/>
          <w:b/>
        </w:rPr>
      </w:pPr>
      <w:r>
        <w:rPr>
          <w:rFonts w:hint="eastAsia" w:ascii="宋体" w:hAnsi="宋体" w:cs="宋体"/>
          <w:b/>
          <w:bCs/>
          <w:szCs w:val="21"/>
        </w:rPr>
        <w:br w:type="page" w:clear="all"/>
      </w:r>
      <w:r>
        <w:rPr>
          <w:rFonts w:hint="eastAsia" w:ascii="宋体" w:hAnsi="宋体" w:cs="宋体"/>
          <w:b/>
        </w:rPr>
        <w:t xml:space="preserve">附件五、采购需求条款偏离表格式</w:t>
      </w:r>
      <w:bookmarkEnd w:id="80"/>
      <w:r/>
      <w:bookmarkEnd w:id="81"/>
      <w:r/>
      <w:bookmarkEnd w:id="82"/>
      <w:r/>
      <w:bookmarkEnd w:id="83"/>
      <w:r/>
      <w:bookmarkEnd w:id="84"/>
      <w:r/>
      <w:bookmarkEnd w:id="85"/>
      <w:r/>
      <w:bookmarkEnd w:id="86"/>
      <w:r/>
      <w:bookmarkEnd w:id="87"/>
      <w:r/>
      <w:r/>
    </w:p>
    <w:p>
      <w:pPr>
        <w:rPr>
          <w:rFonts w:ascii="宋体" w:hAnsi="宋体" w:cs="宋体"/>
          <w:b/>
          <w:szCs w:val="21"/>
        </w:rPr>
      </w:pPr>
      <w:r>
        <w:rPr>
          <w:rFonts w:ascii="宋体" w:hAnsi="宋体" w:cs="宋体"/>
          <w:b/>
          <w:szCs w:val="21"/>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采购需求条款偏离表</w:t>
      </w:r>
      <w:r/>
    </w:p>
    <w:p>
      <w:pPr>
        <w:rPr>
          <w:rFonts w:ascii="宋体" w:hAnsi="宋体" w:cs="宋体"/>
          <w:szCs w:val="21"/>
          <w:lang w:val="zh-CN"/>
        </w:rPr>
      </w:pPr>
      <w:r>
        <w:rPr>
          <w:rFonts w:hint="eastAsia" w:ascii="宋体" w:hAnsi="宋体" w:cs="宋体"/>
          <w:szCs w:val="21"/>
          <w:lang w:val="zh-CN"/>
        </w:rPr>
        <w:t xml:space="preserve">                        </w:t>
      </w:r>
      <w:r/>
    </w:p>
    <w:p>
      <w:pPr>
        <w:rPr>
          <w:rFonts w:ascii="宋体" w:hAnsi="宋体" w:cs="宋体"/>
          <w:szCs w:val="21"/>
        </w:rPr>
      </w:pPr>
      <w:r>
        <w:rPr>
          <w:rFonts w:hint="eastAsia" w:ascii="宋体" w:hAnsi="宋体" w:cs="宋体"/>
          <w:szCs w:val="21"/>
        </w:rPr>
        <w:t xml:space="preserve">                                         </w:t>
      </w:r>
      <w:r/>
    </w:p>
    <w:tbl>
      <w:tblPr>
        <w:tblStyle w:val="92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hint="eastAsia" w:ascii="宋体" w:hAnsi="宋体" w:cs="宋体"/>
                <w:b/>
                <w:szCs w:val="21"/>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说明：磋商响应文件技术要求部分内容响应存在正偏离或负偏离的，请在本表中逐条列出。未列出的，视为响应磋商文件要求。如果行数不够，请自行增加。</w:t>
      </w:r>
      <w:r/>
    </w:p>
    <w:p>
      <w:pPr>
        <w:pStyle w:val="989"/>
        <w:rPr>
          <w:rFonts w:ascii="宋体" w:hAnsi="宋体" w:cs="宋体"/>
          <w:lang w:val="zh-CN"/>
        </w:rPr>
      </w:pPr>
      <w:r>
        <w:rPr>
          <w:rFonts w:ascii="宋体" w:hAnsi="宋体" w:cs="宋体"/>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spacing w:before="312" w:after="312"/>
        <w:rPr>
          <w:rFonts w:ascii="宋体" w:hAnsi="宋体" w:cs="宋体"/>
          <w:b/>
        </w:rPr>
      </w:pPr>
      <w:r/>
      <w:bookmarkStart w:id="88" w:name="_Toc504056873"/>
      <w:r/>
      <w:bookmarkStart w:id="89" w:name="_Toc504044385"/>
      <w:r/>
      <w:bookmarkStart w:id="90" w:name="_Toc504573088"/>
      <w:r/>
      <w:bookmarkStart w:id="91" w:name="_Toc490133033"/>
      <w:r>
        <w:rPr>
          <w:rFonts w:hint="eastAsia" w:ascii="宋体" w:hAnsi="宋体" w:cs="宋体"/>
          <w:szCs w:val="21"/>
        </w:rPr>
        <w:br w:type="page" w:clear="all"/>
      </w:r>
      <w:bookmarkEnd w:id="88"/>
      <w:r/>
      <w:bookmarkEnd w:id="89"/>
      <w:r/>
      <w:bookmarkEnd w:id="90"/>
      <w:r/>
      <w:bookmarkEnd w:id="91"/>
      <w:r/>
      <w:bookmarkStart w:id="92" w:name="_Toc534273683"/>
      <w:r/>
      <w:bookmarkStart w:id="93" w:name="_Toc534273806"/>
      <w:r/>
      <w:bookmarkStart w:id="94" w:name="_Toc490133034"/>
      <w:r/>
      <w:bookmarkStart w:id="95" w:name="_Toc504056874"/>
      <w:r/>
      <w:bookmarkStart w:id="96" w:name="_Toc504044386"/>
      <w:r/>
      <w:bookmarkStart w:id="97" w:name="_Toc504573089"/>
      <w:r>
        <w:rPr>
          <w:rFonts w:hint="eastAsia" w:ascii="宋体" w:hAnsi="宋体" w:cs="宋体"/>
          <w:b/>
        </w:rPr>
        <w:t xml:space="preserve">附件六、拟参与本项目人员一览表</w:t>
      </w:r>
      <w:bookmarkEnd w:id="92"/>
      <w:r/>
      <w:bookmarkEnd w:id="93"/>
      <w:r/>
      <w:bookmarkEnd w:id="94"/>
      <w:r/>
      <w:bookmarkEnd w:id="95"/>
      <w:r/>
      <w:bookmarkEnd w:id="96"/>
      <w:r/>
      <w:bookmarkEnd w:id="97"/>
      <w:r/>
      <w:r/>
    </w:p>
    <w:p>
      <w:pPr>
        <w:rPr>
          <w:rFonts w:ascii="宋体" w:hAnsi="宋体" w:cs="宋体"/>
          <w:lang w:val="zh-CN"/>
        </w:rPr>
      </w:pPr>
      <w:r>
        <w:rPr>
          <w:rFonts w:ascii="宋体" w:hAnsi="宋体" w:cs="宋体"/>
          <w:lang w:val="zh-CN"/>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9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spacing w:before="312" w:after="312"/>
        <w:rPr>
          <w:rFonts w:ascii="宋体" w:hAnsi="宋体" w:cs="宋体"/>
          <w:b/>
        </w:rPr>
      </w:pPr>
      <w:r>
        <w:rPr>
          <w:rFonts w:hint="eastAsia" w:ascii="宋体" w:hAnsi="宋体" w:cs="宋体"/>
          <w:szCs w:val="21"/>
          <w:lang w:val="zh-CN"/>
        </w:rPr>
        <w:br w:type="page" w:clear="all"/>
      </w:r>
      <w:bookmarkStart w:id="98" w:name="_Toc490133035"/>
      <w:r/>
      <w:bookmarkStart w:id="99" w:name="_Toc504056875"/>
      <w:r/>
      <w:bookmarkStart w:id="100" w:name="_Toc534273684"/>
      <w:r/>
      <w:bookmarkStart w:id="101" w:name="_Toc504044387"/>
      <w:r/>
      <w:bookmarkStart w:id="102" w:name="_Toc504573090"/>
      <w:r/>
      <w:bookmarkStart w:id="103" w:name="_Toc534273807"/>
      <w:r>
        <w:rPr>
          <w:rFonts w:hint="eastAsia" w:ascii="宋体" w:hAnsi="宋体" w:cs="宋体"/>
          <w:b/>
        </w:rPr>
        <w:t xml:space="preserve">附件七、供应商类似业绩情况表</w:t>
      </w:r>
      <w:bookmarkEnd w:id="98"/>
      <w:r/>
      <w:bookmarkEnd w:id="99"/>
      <w:r/>
      <w:bookmarkEnd w:id="100"/>
      <w:r/>
      <w:bookmarkEnd w:id="101"/>
      <w:r/>
      <w:bookmarkEnd w:id="102"/>
      <w:r/>
      <w:bookmarkEnd w:id="103"/>
      <w:r/>
      <w:r/>
    </w:p>
    <w:p>
      <w:pPr>
        <w:rPr>
          <w:rFonts w:ascii="宋体" w:hAnsi="宋体" w:cs="宋体"/>
        </w:rPr>
      </w:pPr>
      <w:r>
        <w:rPr>
          <w:rFonts w:ascii="宋体" w:hAnsi="宋体" w:cs="宋体"/>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9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spacing w:before="312" w:after="312"/>
        <w:rPr>
          <w:rFonts w:ascii="宋体" w:hAnsi="宋体" w:cs="宋体"/>
          <w:b/>
        </w:rPr>
      </w:pPr>
      <w:r>
        <w:rPr>
          <w:rStyle w:val="992"/>
          <w:rFonts w:hint="eastAsia" w:ascii="宋体" w:hAnsi="宋体" w:cs="宋体"/>
          <w:sz w:val="21"/>
          <w:szCs w:val="21"/>
        </w:rPr>
        <w:br w:type="page" w:clear="all"/>
      </w:r>
      <w:bookmarkStart w:id="104" w:name="_Toc490133036"/>
      <w:r/>
      <w:bookmarkStart w:id="105" w:name="_Toc504044388"/>
      <w:r/>
      <w:bookmarkStart w:id="106" w:name="_Toc504573091"/>
      <w:r/>
      <w:bookmarkStart w:id="107" w:name="_Toc534273685"/>
      <w:r/>
      <w:bookmarkStart w:id="108" w:name="_Toc534273808"/>
      <w:r/>
      <w:bookmarkStart w:id="109" w:name="_Toc504056876"/>
      <w:r>
        <w:rPr>
          <w:rFonts w:hint="eastAsia" w:ascii="宋体" w:hAnsi="宋体" w:cs="宋体"/>
          <w:b/>
        </w:rPr>
        <w:t xml:space="preserve">附件八、企业声明函格式</w:t>
      </w:r>
      <w:bookmarkEnd w:id="104"/>
      <w:r/>
      <w:bookmarkEnd w:id="105"/>
      <w:r/>
      <w:bookmarkEnd w:id="106"/>
      <w:r/>
      <w:bookmarkEnd w:id="107"/>
      <w:r/>
      <w:bookmarkEnd w:id="108"/>
      <w:r/>
      <w:bookmarkEnd w:id="109"/>
      <w:r/>
      <w:r/>
    </w:p>
    <w:p>
      <w:pPr>
        <w:rPr>
          <w:rFonts w:ascii="宋体" w:hAnsi="宋体" w:cs="宋体"/>
        </w:rPr>
      </w:pPr>
      <w:r>
        <w:rPr>
          <w:rFonts w:ascii="宋体" w:hAnsi="宋体" w:cs="宋体"/>
        </w:rPr>
      </w:r>
      <w:r/>
    </w:p>
    <w:p>
      <w:pPr>
        <w:jc w:val="center"/>
        <w:spacing w:before="312" w:after="312" w:line="480" w:lineRule="auto"/>
        <w:rPr>
          <w:rFonts w:ascii="宋体" w:hAnsi="宋体" w:cs="宋体"/>
          <w:b/>
          <w:bCs/>
          <w:sz w:val="28"/>
          <w:szCs w:val="28"/>
        </w:rPr>
      </w:pPr>
      <w:r/>
      <w:bookmarkStart w:id="110" w:name="OLE_LINK13"/>
      <w:r/>
      <w:bookmarkStart w:id="111"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工程的施工单位全部为符合政策要求的中小企业（或者：服务全部由符合政策要求的中小企业承接）。</w:t>
      </w:r>
      <w:r>
        <w:rPr>
          <w:rFonts w:hint="eastAsia" w:ascii="宋体" w:hAnsi="宋体" w:cs="宋体"/>
        </w:rPr>
        <w:t xml:space="preserve">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Arial" w:hAnsi="Arial" w:cs="Arial"/>
          <w:szCs w:val="21"/>
        </w:rPr>
        <w:t xml:space="preserve">加盖电子公章</w:t>
      </w:r>
      <w:r>
        <w:rPr>
          <w:rFonts w:hint="eastAsia" w:ascii="宋体" w:hAnsi="宋体" w:cs="宋体"/>
        </w:rPr>
        <w:t xml:space="preserve">）：</w:t>
      </w:r>
      <w:r/>
    </w:p>
    <w:p>
      <w:pPr>
        <w:jc w:val="center"/>
        <w:spacing w:line="360" w:lineRule="auto"/>
        <w:rPr>
          <w:rFonts w:ascii="宋体" w:hAnsi="宋体" w:cs="宋体"/>
          <w:b/>
          <w:bCs/>
          <w:sz w:val="28"/>
        </w:rPr>
        <w:sectPr>
          <w:headerReference w:type="default" r:id="rId11"/>
          <w:headerReference w:type="first" r:id="rId12"/>
          <w:footerReference w:type="default" r:id="rId18"/>
          <w:footerReference w:type="first" r:id="rId19"/>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rPr>
        <w:t xml:space="preserve">                                                   日期：</w:t>
      </w:r>
      <w:r/>
    </w:p>
    <w:p>
      <w:pPr>
        <w:jc w:val="center"/>
        <w:spacing w:line="360" w:lineRule="auto"/>
        <w:rPr>
          <w:rFonts w:ascii="宋体" w:hAnsi="宋体" w:cs="宋体"/>
          <w:b/>
          <w:sz w:val="36"/>
          <w:szCs w:val="36"/>
        </w:rPr>
      </w:pPr>
      <w:r>
        <w:rPr>
          <w:rFonts w:hint="eastAsia" w:ascii="宋体" w:hAnsi="宋体" w:cs="宋体"/>
          <w:b/>
          <w:sz w:val="36"/>
          <w:szCs w:val="36"/>
        </w:rPr>
        <w:t xml:space="preserve">残疾人福利性单位声明函</w:t>
      </w:r>
      <w:bookmarkEnd w:id="110"/>
      <w:bookmarkEnd w:id="111"/>
      <w:r/>
    </w:p>
    <w:p>
      <w:pPr>
        <w:ind w:firstLine="420"/>
        <w:jc w:val="left"/>
        <w:spacing w:line="40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399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ind w:firstLine="3990"/>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日    期：   年    月    日</w:t>
      </w:r>
      <w:r/>
    </w:p>
    <w:p>
      <w:pPr>
        <w:jc w:val="center"/>
        <w:spacing w:before="240"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属于监狱企业的证明文件</w:t>
      </w:r>
      <w:r/>
    </w:p>
    <w:p>
      <w:pPr>
        <w:spacing w:line="360" w:lineRule="auto"/>
        <w:rPr>
          <w:rFonts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节能产品认证证书</w:t>
      </w:r>
      <w:r/>
    </w:p>
    <w:p>
      <w:pPr>
        <w:spacing w:before="240" w:line="360" w:lineRule="auto"/>
        <w:shd w:val="clear" w:color="auto" w:fill="ffffff"/>
        <w:widowControl/>
        <w:rPr>
          <w:rFonts w:ascii="宋体" w:hAnsi="宋体" w:cs="宋体"/>
          <w:bCs/>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bCs/>
        </w:rPr>
      </w:pPr>
      <w:r>
        <w:rPr>
          <w:rFonts w:hint="eastAsia" w:ascii="宋体" w:hAnsi="宋体" w:cs="宋体"/>
          <w:b/>
          <w:sz w:val="36"/>
          <w:szCs w:val="36"/>
        </w:rPr>
        <w:t xml:space="preserve">环境标志产品认证证书</w:t>
      </w:r>
      <w:r/>
    </w:p>
    <w:p>
      <w:pPr>
        <w:spacing w:before="240" w:line="360" w:lineRule="auto"/>
        <w:shd w:val="clear" w:color="auto" w:fill="ffffff"/>
        <w:widowControl/>
        <w:rPr>
          <w:rFonts w:ascii="宋体" w:hAnsi="宋体" w:cs="宋体"/>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before="240"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进口产品转让技术、消化吸收再创新方案</w:t>
      </w:r>
      <w:r/>
    </w:p>
    <w:p>
      <w:pPr>
        <w:spacing w:line="360" w:lineRule="auto"/>
        <w:rPr>
          <w:rFonts w:ascii="宋体" w:hAnsi="宋体" w:cs="宋体"/>
          <w:bCs/>
          <w:szCs w:val="21"/>
        </w:rPr>
      </w:pPr>
      <w:r>
        <w:rPr>
          <w:rFonts w:hint="eastAsia" w:ascii="宋体" w:hAnsi="宋体" w:cs="宋体"/>
          <w:bCs/>
          <w:szCs w:val="21"/>
        </w:rPr>
        <w:t xml:space="preserve">（对于允许进口产品参加的项目）</w:t>
      </w:r>
      <w:r/>
    </w:p>
    <w:p>
      <w:pPr>
        <w:spacing w:before="240" w:after="240"/>
        <w:rPr>
          <w:rFonts w:ascii="宋体" w:hAnsi="宋体" w:cs="宋体"/>
          <w:b/>
        </w:rPr>
      </w:pPr>
      <w:r>
        <w:rPr>
          <w:rFonts w:hint="eastAsia" w:ascii="宋体" w:hAnsi="宋体" w:cs="宋体"/>
          <w:szCs w:val="21"/>
          <w:lang w:val="zh-CN"/>
        </w:rPr>
        <w:br w:type="page" w:clear="all"/>
      </w:r>
      <w:bookmarkStart w:id="112" w:name="_Toc534273686"/>
      <w:r/>
      <w:bookmarkStart w:id="113" w:name="_Toc504573092"/>
      <w:r/>
      <w:bookmarkStart w:id="114" w:name="_Toc504056877"/>
      <w:r/>
      <w:bookmarkStart w:id="115" w:name="_Toc534273809"/>
      <w:r/>
      <w:bookmarkStart w:id="116" w:name="_Toc8704"/>
      <w:r/>
      <w:bookmarkStart w:id="117" w:name="_Toc504044389"/>
      <w:r/>
      <w:bookmarkStart w:id="118" w:name="_Toc490133037"/>
      <w:r>
        <w:rPr>
          <w:rFonts w:hint="eastAsia" w:ascii="宋体" w:hAnsi="宋体" w:cs="宋体"/>
          <w:b/>
        </w:rPr>
        <w:t xml:space="preserve">附件九、无重大违法记录声明格式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我单位（供应商名称）宣布声明和承诺如下：</w:t>
      </w:r>
      <w:r/>
    </w:p>
    <w:p>
      <w:pPr>
        <w:ind w:firstLine="310"/>
        <w:spacing w:line="360" w:lineRule="auto"/>
        <w:shd w:val="clear" w:color="auto" w:fill="ffffff"/>
        <w:widowControl/>
        <w:rPr>
          <w:rFonts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w:t>
      </w:r>
      <w:r>
        <w:rPr>
          <w:rFonts w:hint="eastAsia" w:ascii="Arial" w:hAnsi="Arial" w:cs="Arial"/>
          <w:szCs w:val="21"/>
        </w:rPr>
        <w:t xml:space="preserve">加盖电子公章</w:t>
      </w:r>
      <w:r>
        <w:rPr>
          <w:rFonts w:hint="eastAsia" w:ascii="宋体" w:hAnsi="宋体" w:cs="宋体"/>
        </w:rPr>
        <w:t xml:space="preserve">）</w:t>
      </w:r>
      <w:r/>
    </w:p>
    <w:p>
      <w:pPr>
        <w:ind w:firstLine="5040"/>
        <w:spacing w:line="360" w:lineRule="auto"/>
        <w:rPr>
          <w:rFonts w:ascii="宋体" w:hAnsi="宋体" w:cs="宋体"/>
          <w:b/>
        </w:rPr>
      </w:pPr>
      <w:r>
        <w:rPr>
          <w:rFonts w:hint="eastAsia" w:ascii="宋体" w:hAnsi="宋体" w:cs="宋体"/>
        </w:rPr>
        <w:t xml:space="preserve">日期：    年   月</w:t>
      </w:r>
      <w:r>
        <w:rPr>
          <w:rFonts w:hint="eastAsia" w:ascii="宋体" w:hAnsi="宋体" w:cs="宋体"/>
        </w:rPr>
        <w:br w:type="page" w:clear="all"/>
      </w:r>
      <w:bookmarkEnd w:id="112"/>
      <w:r/>
      <w:bookmarkEnd w:id="113"/>
      <w:r/>
      <w:bookmarkEnd w:id="114"/>
      <w:r/>
      <w:bookmarkEnd w:id="115"/>
      <w:r/>
      <w:bookmarkEnd w:id="116"/>
      <w:r/>
      <w:bookmarkEnd w:id="117"/>
      <w:r/>
      <w:bookmarkEnd w:id="118"/>
      <w:r>
        <w:rPr>
          <w:rFonts w:hint="eastAsia" w:ascii="宋体" w:hAnsi="宋体" w:cs="宋体"/>
          <w:b/>
        </w:rPr>
        <w:t xml:space="preserve">附件十、具备履行合同所必需的设备和专业技术能力的声明</w:t>
      </w:r>
      <w:r/>
    </w:p>
    <w:p>
      <w:pPr>
        <w:ind w:firstLine="352"/>
        <w:jc w:val="center"/>
        <w:spacing w:before="50" w:after="50" w:line="360" w:lineRule="auto"/>
        <w:rPr>
          <w:rFonts w:ascii="方正小标宋_GBK" w:hAnsi="方正小标宋_GBK" w:eastAsia="方正小标宋_GBK" w:cs="方正小标宋_GBK"/>
          <w:sz w:val="36"/>
          <w:szCs w:val="36"/>
          <w:lang w:val="zh-CN"/>
        </w:rPr>
      </w:pPr>
      <w:r>
        <w:rPr>
          <w:rFonts w:ascii="方正小标宋_GBK" w:hAnsi="方正小标宋_GBK" w:eastAsia="方正小标宋_GBK" w:cs="方正小标宋_GBK"/>
          <w:sz w:val="36"/>
          <w:szCs w:val="36"/>
          <w:lang w:val="zh-CN"/>
        </w:rPr>
      </w:r>
      <w:r/>
    </w:p>
    <w:p>
      <w:pPr>
        <w:ind w:firstLine="313"/>
        <w:jc w:val="center"/>
        <w:spacing w:before="50" w:after="50" w:line="360" w:lineRule="auto"/>
        <w:rPr>
          <w:rFonts w:ascii="黑体" w:hAnsi="黑体" w:eastAsia="黑体" w:cs="黑体"/>
          <w:sz w:val="32"/>
          <w:szCs w:val="32"/>
          <w:lang w:val="zh-CN"/>
        </w:rPr>
      </w:pPr>
      <w:r>
        <w:rPr>
          <w:rFonts w:hint="eastAsia" w:ascii="黑体" w:hAnsi="黑体" w:eastAsia="黑体" w:cs="黑体"/>
          <w:sz w:val="32"/>
          <w:szCs w:val="32"/>
          <w:lang w:val="zh-CN"/>
        </w:rPr>
        <w:t xml:space="preserve">具备履行合同所必需的设备和专业技术能力的声明</w:t>
      </w:r>
      <w:r/>
    </w:p>
    <w:p>
      <w:pPr>
        <w:spacing w:line="360" w:lineRule="auto"/>
        <w:widowControl/>
        <w:rPr>
          <w:rFonts w:ascii="宋体" w:hAnsi="宋体" w:cs="宋体"/>
          <w:sz w:val="24"/>
          <w:szCs w:val="24"/>
          <w:u w:val="single"/>
        </w:rPr>
      </w:pPr>
      <w:r>
        <w:rPr>
          <w:rFonts w:ascii="宋体" w:hAnsi="宋体" w:cs="宋体"/>
          <w:sz w:val="24"/>
          <w:szCs w:val="24"/>
          <w:u w:val="single"/>
        </w:rPr>
      </w:r>
      <w:r/>
    </w:p>
    <w:p>
      <w:pPr>
        <w:spacing w:line="360" w:lineRule="auto"/>
        <w:widowControl/>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widowControl/>
        <w:rPr>
          <w:rFonts w:ascii="宋体" w:hAnsi="宋体" w:cs="宋体"/>
          <w:position w:val="18"/>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ascii="宋体" w:hAnsi="宋体" w:cs="宋体"/>
          <w:szCs w:val="21"/>
        </w:rPr>
      </w:pPr>
      <w:r>
        <w:rPr>
          <w:rFonts w:hint="eastAsia" w:ascii="宋体" w:hAnsi="宋体" w:cs="宋体"/>
          <w:szCs w:val="21"/>
        </w:rPr>
        <w:t xml:space="preserve">主要设备有：</w:t>
      </w:r>
      <w:r/>
    </w:p>
    <w:p>
      <w:pPr>
        <w:jc w:val="left"/>
        <w:spacing w:line="360" w:lineRule="auto"/>
        <w:widowControl/>
        <w:rPr>
          <w:rFonts w:ascii="宋体" w:hAnsi="宋体" w:cs="宋体"/>
          <w:szCs w:val="21"/>
        </w:rPr>
      </w:pPr>
      <w:r>
        <w:rPr>
          <w:rFonts w:hint="eastAsia" w:ascii="宋体" w:hAnsi="宋体" w:cs="宋体"/>
          <w:szCs w:val="21"/>
        </w:rPr>
        <w:t xml:space="preserve">主要专业技术能力有：</w:t>
      </w:r>
      <w:r/>
    </w:p>
    <w:p>
      <w:pPr>
        <w:ind w:firstLine="4200"/>
        <w:spacing w:line="360" w:lineRule="auto"/>
        <w:widowControl/>
        <w:rPr>
          <w:rFonts w:ascii="宋体" w:hAnsi="宋体" w:cs="宋体"/>
          <w:szCs w:val="21"/>
        </w:rPr>
      </w:pPr>
      <w:r>
        <w:rPr>
          <w:rFonts w:ascii="宋体" w:hAnsi="宋体" w:cs="宋体"/>
          <w:szCs w:val="21"/>
        </w:rPr>
      </w:r>
      <w:r/>
    </w:p>
    <w:p>
      <w:pPr>
        <w:ind w:firstLine="4200"/>
        <w:jc w:val="right"/>
        <w:spacing w:line="360" w:lineRule="auto"/>
        <w:widowControl/>
        <w:rPr>
          <w:rFonts w:ascii="宋体" w:hAnsi="宋体" w:cs="宋体"/>
          <w:szCs w:val="21"/>
        </w:rPr>
      </w:pPr>
      <w:r>
        <w:rPr>
          <w:rFonts w:hint="eastAsia" w:ascii="宋体" w:hAnsi="宋体" w:cs="宋体"/>
          <w:szCs w:val="21"/>
        </w:rPr>
        <w:t xml:space="preserve">声明人：（</w:t>
      </w:r>
      <w:r>
        <w:rPr>
          <w:rFonts w:hint="eastAsia" w:ascii="Arial" w:hAnsi="Arial" w:cs="Arial"/>
          <w:szCs w:val="21"/>
        </w:rPr>
        <w:t xml:space="preserve">加盖电子公章</w:t>
      </w:r>
      <w:r>
        <w:rPr>
          <w:rFonts w:hint="eastAsia" w:ascii="宋体" w:hAnsi="宋体" w:cs="宋体"/>
          <w:szCs w:val="21"/>
        </w:rPr>
        <w:t xml:space="preserve">） </w:t>
      </w:r>
      <w:r/>
    </w:p>
    <w:p>
      <w:pPr>
        <w:jc w:val="right"/>
        <w:spacing w:line="360" w:lineRule="auto"/>
        <w:rPr>
          <w:rFonts w:ascii="宋体" w:hAnsi="宋体" w:cs="宋体"/>
          <w:b/>
          <w:sz w:val="24"/>
          <w:szCs w:val="24"/>
        </w:rPr>
      </w:pPr>
      <w:r>
        <w:rPr>
          <w:rFonts w:hint="eastAsia" w:ascii="宋体" w:hAnsi="宋体" w:cs="宋体"/>
          <w:position w:val="18"/>
          <w:szCs w:val="21"/>
        </w:rPr>
        <w:t xml:space="preserve">日期：年 月 日</w:t>
      </w:r>
      <w:r>
        <w:rPr>
          <w:rFonts w:hint="eastAsia" w:ascii="宋体" w:hAnsi="宋体" w:cs="宋体"/>
          <w:position w:val="18"/>
          <w:sz w:val="24"/>
          <w:szCs w:val="24"/>
        </w:rPr>
        <w:t xml:space="preserve">  </w:t>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附件十一、 资格资信证明文件</w:t>
      </w:r>
      <w:r/>
    </w:p>
    <w:p>
      <w:pPr>
        <w:spacing w:line="360" w:lineRule="auto"/>
        <w:rPr>
          <w:rFonts w:ascii="宋体" w:hAnsi="宋体" w:cs="宋体"/>
          <w:b/>
        </w:rPr>
      </w:pPr>
      <w:r>
        <w:rPr>
          <w:rFonts w:ascii="宋体" w:hAnsi="宋体" w:cs="宋体"/>
          <w:b/>
        </w:rPr>
      </w:r>
      <w:r/>
    </w:p>
    <w:p>
      <w:pPr>
        <w:ind w:firstLine="422"/>
        <w:spacing w:line="360" w:lineRule="auto"/>
        <w:rPr>
          <w:rFonts w:ascii="宋体" w:hAnsi="宋体"/>
          <w:b/>
        </w:rPr>
      </w:pPr>
      <w:r>
        <w:rPr>
          <w:rFonts w:ascii="宋体" w:hAnsi="宋体"/>
          <w:b/>
        </w:rPr>
      </w:r>
      <w:r/>
    </w:p>
    <w:p>
      <w:pPr>
        <w:spacing w:line="360" w:lineRule="auto"/>
        <w:rPr>
          <w:rFonts w:ascii="宋体" w:hAnsi="宋体" w:cs="宋体"/>
          <w:b/>
        </w:rPr>
      </w:pPr>
      <w:r>
        <w:rPr>
          <w:rFonts w:ascii="宋体" w:hAnsi="宋体" w:cs="宋体"/>
          <w:b/>
        </w:rPr>
      </w:r>
      <w:r/>
    </w:p>
    <w:p>
      <w:pPr>
        <w:pStyle w:val="990"/>
        <w:ind w:firstLine="482"/>
        <w:rPr>
          <w:rFonts w:hAnsi="宋体" w:cs="宋体"/>
          <w:b/>
        </w:rPr>
      </w:pPr>
      <w:r>
        <w:rPr>
          <w:rFonts w:hAnsi="宋体" w:cs="宋体"/>
          <w:b/>
        </w:rPr>
      </w:r>
      <w:r/>
    </w:p>
    <w:p>
      <w:pPr>
        <w:rPr>
          <w:rFonts w:ascii="宋体" w:hAnsi="宋体" w:cs="宋体"/>
          <w:b/>
        </w:rPr>
      </w:pPr>
      <w:r>
        <w:rPr>
          <w:rFonts w:ascii="宋体" w:hAnsi="宋体" w:cs="宋体"/>
          <w:b/>
        </w:rPr>
      </w:r>
      <w:r/>
    </w:p>
    <w:p>
      <w:pPr>
        <w:pStyle w:val="990"/>
        <w:ind w:firstLine="480"/>
      </w:p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附件十二、项目技术说明或实施方案</w:t>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jc w:val="left"/>
        <w:spacing w:line="360" w:lineRule="auto"/>
        <w:shd w:val="clear" w:color="auto" w:fill="ffffff"/>
        <w:widowControl/>
        <w:rPr>
          <w:rFonts w:ascii="宋体" w:hAnsi="宋体" w:cs="宋体"/>
          <w:b/>
          <w:bCs/>
          <w:color w:val="0000ff"/>
          <w:szCs w:val="21"/>
        </w:rPr>
      </w:pPr>
      <w:r>
        <w:rPr>
          <w:rFonts w:ascii="宋体" w:hAnsi="宋体" w:cs="宋体"/>
          <w:b/>
          <w:bCs/>
          <w:color w:val="0000ff"/>
          <w:szCs w:val="21"/>
        </w:rPr>
      </w:r>
      <w:r/>
    </w:p>
    <w:p>
      <w:pPr>
        <w:jc w:val="left"/>
        <w:spacing w:line="360" w:lineRule="auto"/>
        <w:shd w:val="clear" w:color="auto" w:fill="ffffff"/>
        <w:widowControl/>
        <w:rPr>
          <w:rFonts w:ascii="宋体" w:hAnsi="宋体" w:cs="宋体"/>
          <w:b/>
          <w:bCs/>
          <w:color w:val="0000ff"/>
          <w:szCs w:val="21"/>
        </w:rPr>
      </w:pPr>
      <w:r>
        <w:rPr>
          <w:rFonts w:ascii="宋体" w:hAnsi="宋体" w:cs="宋体"/>
          <w:b/>
          <w:bCs/>
          <w:color w:val="0000ff"/>
          <w:szCs w:val="21"/>
        </w:rPr>
      </w:r>
      <w:r/>
    </w:p>
    <w:p>
      <w:pPr>
        <w:jc w:val="left"/>
        <w:spacing w:line="360" w:lineRule="auto"/>
        <w:shd w:val="clear" w:color="auto" w:fill="ffffff"/>
        <w:widowControl/>
        <w:rPr>
          <w:rFonts w:ascii="宋体" w:hAnsi="宋体" w:cs="宋体"/>
          <w:b/>
          <w:bCs/>
          <w:color w:val="0000ff"/>
          <w:szCs w:val="21"/>
        </w:rPr>
      </w:pPr>
      <w:r>
        <w:rPr>
          <w:rFonts w:ascii="宋体" w:hAnsi="宋体" w:cs="宋体"/>
          <w:b/>
          <w:bCs/>
          <w:color w:val="0000ff"/>
          <w:szCs w:val="21"/>
        </w:rPr>
      </w:r>
      <w:r/>
    </w:p>
    <w:p>
      <w:pPr>
        <w:spacing w:line="360" w:lineRule="auto"/>
        <w:rPr>
          <w:rFonts w:ascii="宋体" w:hAnsi="宋体" w:cs="宋体"/>
          <w:b/>
        </w:rPr>
      </w:pPr>
      <w:r>
        <w:rPr>
          <w:rFonts w:ascii="宋体" w:hAnsi="宋体" w:cs="宋体"/>
          <w:b/>
        </w:rPr>
      </w:r>
      <w:r/>
    </w:p>
    <w:p>
      <w:pPr>
        <w:spacing w:line="360" w:lineRule="auto"/>
        <w:rPr>
          <w:rFonts w:ascii="宋体" w:hAnsi="宋体"/>
          <w:b/>
          <w:sz w:val="24"/>
          <w:szCs w:val="24"/>
        </w:rPr>
      </w:pPr>
      <w:r>
        <w:rPr>
          <w:rFonts w:hint="eastAsia" w:ascii="宋体" w:hAnsi="宋体" w:cs="宋体"/>
          <w:b/>
        </w:rPr>
        <w:t xml:space="preserve">附件十三、</w:t>
      </w:r>
      <w:r>
        <w:rPr>
          <w:rFonts w:hint="eastAsia" w:ascii="宋体" w:hAnsi="宋体"/>
          <w:b/>
          <w:sz w:val="24"/>
          <w:szCs w:val="24"/>
        </w:rPr>
        <w:t xml:space="preserve">服务保障和自罚承诺</w:t>
      </w:r>
      <w:r/>
    </w:p>
    <w:p>
      <w:pPr>
        <w:ind w:firstLine="480"/>
        <w:jc w:val="left"/>
        <w:spacing w:line="360" w:lineRule="auto"/>
        <w:rPr>
          <w:rFonts w:ascii="宋体" w:hAnsi="宋体"/>
          <w:bCs/>
          <w:sz w:val="24"/>
          <w:szCs w:val="24"/>
        </w:rPr>
      </w:pPr>
      <w:r>
        <w:rPr>
          <w:rFonts w:hint="eastAsia" w:ascii="宋体" w:hAnsi="宋体"/>
          <w:bCs/>
          <w:sz w:val="24"/>
          <w:szCs w:val="24"/>
        </w:rPr>
        <w:t xml:space="preserve">供应商应对照采购文件要求（具体见采购文件第四章），说明所提供已对采购人的需求做出了实质性的响应，或申明与需求的偏差和例外。</w:t>
      </w:r>
      <w:r/>
    </w:p>
    <w:p>
      <w:pPr>
        <w:ind w:firstLine="480"/>
        <w:jc w:val="left"/>
        <w:spacing w:line="360" w:lineRule="auto"/>
        <w:rPr>
          <w:rFonts w:ascii="宋体" w:hAnsi="宋体"/>
          <w:bCs/>
          <w:sz w:val="24"/>
          <w:szCs w:val="24"/>
        </w:rPr>
      </w:pPr>
      <w:r>
        <w:rPr>
          <w:rFonts w:hint="eastAsia" w:ascii="宋体" w:hAnsi="宋体"/>
          <w:bCs/>
          <w:sz w:val="24"/>
          <w:szCs w:val="24"/>
        </w:rPr>
        <w:t xml:space="preserve">供应商可以在投标文件中提出不同的服务标准和保障承诺，使磋商小组会相信替代服务相同于或优于原需求。</w:t>
      </w:r>
      <w:r/>
    </w:p>
    <w:p>
      <w:pPr>
        <w:spacing w:line="360" w:lineRule="auto"/>
        <w:shd w:val="clear" w:color="auto" w:fill="ffffff"/>
        <w:widowControl/>
      </w:pPr>
      <w:r>
        <w:rPr>
          <w:rFonts w:hint="eastAsia" w:ascii="宋体" w:hAnsi="宋体"/>
          <w:bCs/>
          <w:sz w:val="24"/>
          <w:szCs w:val="24"/>
        </w:rPr>
        <w:t xml:space="preserve">    供应商能承诺安全责任，包括人身伤害、火灾、物品失窃等，违约承担相应责任。</w:t>
      </w:r>
      <w:r/>
    </w:p>
    <w:p>
      <w:pPr>
        <w:ind w:firstLine="480"/>
        <w:spacing w:line="360" w:lineRule="auto"/>
        <w:rPr>
          <w:rFonts w:hint="default" w:ascii="宋体" w:hAnsi="宋体" w:eastAsia="宋体" w:cs="宋体"/>
          <w:b/>
          <w:lang w:val="en-US" w:eastAsia="zh-CN"/>
        </w:rPr>
      </w:pPr>
      <w:r>
        <w:rPr>
          <w:rFonts w:hint="eastAsia" w:ascii="宋体" w:hAnsi="宋体"/>
          <w:sz w:val="24"/>
          <w:szCs w:val="24"/>
        </w:rPr>
        <w:t xml:space="preserve">如果发生因供应商工作失职造成的安全事故或其他财产损失和人身伤害，均由供应商承担相关经济和法律责任。</w:t>
      </w:r>
      <w:r/>
    </w:p>
    <w:p>
      <w:pPr>
        <w:spacing w:line="360" w:lineRule="auto"/>
        <w:rPr>
          <w:rFonts w:ascii="宋体" w:hAnsi="宋体" w:cs="宋体"/>
          <w:b/>
        </w:rPr>
      </w:pPr>
      <w:r>
        <w:rPr>
          <w:rFonts w:ascii="宋体" w:hAnsi="宋体" w:cs="宋体"/>
          <w:b/>
        </w:rPr>
      </w:r>
      <w:r/>
    </w:p>
    <w:p>
      <w:pPr>
        <w:pStyle w:val="989"/>
        <w:ind w:firstLine="422"/>
        <w:rPr>
          <w:rFonts w:ascii="宋体" w:hAnsi="宋体" w:cs="宋体"/>
          <w:b/>
          <w:color w:val="ff0000"/>
        </w:rPr>
      </w:pPr>
      <w:r>
        <w:rPr>
          <w:rFonts w:ascii="宋体" w:hAnsi="宋体" w:cs="宋体"/>
          <w:b/>
          <w:color w:val="ff0000"/>
        </w:rPr>
      </w:r>
      <w:r/>
    </w:p>
    <w:p>
      <w:pPr>
        <w:spacing w:line="360" w:lineRule="auto"/>
        <w:rPr>
          <w:rFonts w:ascii="宋体" w:hAnsi="宋体" w:cs="宋体"/>
          <w:b/>
          <w:szCs w:val="21"/>
        </w:rPr>
      </w:pPr>
      <w:r>
        <w:rPr>
          <w:rFonts w:ascii="宋体" w:hAnsi="宋体" w:cs="宋体"/>
          <w:b/>
          <w:szCs w:val="21"/>
        </w:rPr>
      </w:r>
      <w:r/>
    </w:p>
    <w:p>
      <w:pPr>
        <w:rPr>
          <w:rFonts w:ascii="宋体" w:hAnsi="宋体" w:cs="宋体"/>
          <w:szCs w:val="21"/>
        </w:rPr>
      </w:pPr>
      <w:r>
        <w:rPr>
          <w:rFonts w:ascii="宋体" w:hAnsi="宋体" w:cs="宋体"/>
          <w:szCs w:val="21"/>
        </w:rPr>
      </w:r>
      <w:r/>
    </w:p>
    <w:p>
      <w:pPr>
        <w:spacing w:before="19" w:line="360" w:lineRule="auto"/>
        <w:widowControl/>
        <w:rPr>
          <w:rFonts w:ascii="宋体" w:hAnsi="宋体" w:cs="宋体"/>
          <w:szCs w:val="21"/>
        </w:rPr>
      </w:pPr>
      <w:r>
        <w:rPr>
          <w:rFonts w:ascii="宋体" w:hAnsi="宋体" w:cs="宋体"/>
          <w:szCs w:val="21"/>
        </w:rPr>
      </w:r>
      <w:r/>
    </w:p>
    <w:p>
      <w:pPr>
        <w:ind w:firstLine="4200"/>
        <w:jc w:val="right"/>
        <w:spacing w:line="360" w:lineRule="auto"/>
        <w:widowControl/>
        <w:rPr>
          <w:rFonts w:ascii="宋体" w:hAnsi="宋体" w:cs="宋体"/>
          <w:szCs w:val="21"/>
        </w:rPr>
      </w:pPr>
      <w:r>
        <w:rPr>
          <w:rFonts w:hint="eastAsia" w:ascii="宋体" w:hAnsi="宋体" w:cs="宋体"/>
          <w:szCs w:val="21"/>
        </w:rPr>
        <w:t xml:space="preserve">声明人：（</w:t>
      </w:r>
      <w:r>
        <w:rPr>
          <w:rFonts w:hint="eastAsia" w:ascii="Arial" w:hAnsi="Arial" w:cs="Arial"/>
          <w:szCs w:val="21"/>
        </w:rPr>
        <w:t xml:space="preserve">加盖电子公章</w:t>
      </w:r>
      <w:r>
        <w:rPr>
          <w:rFonts w:hint="eastAsia" w:ascii="宋体" w:hAnsi="宋体" w:cs="宋体"/>
          <w:szCs w:val="21"/>
        </w:rPr>
        <w:t xml:space="preserve">） </w:t>
      </w:r>
      <w:r/>
    </w:p>
    <w:p>
      <w:pPr>
        <w:jc w:val="right"/>
        <w:spacing w:before="19" w:line="360" w:lineRule="auto"/>
        <w:widowControl/>
        <w:rPr>
          <w:rFonts w:ascii="宋体" w:hAnsi="宋体" w:cs="宋体"/>
          <w:sz w:val="28"/>
        </w:rPr>
      </w:pPr>
      <w:r>
        <w:rPr>
          <w:rFonts w:hint="eastAsia" w:ascii="宋体" w:hAnsi="宋体" w:cs="宋体"/>
          <w:position w:val="18"/>
          <w:szCs w:val="21"/>
        </w:rPr>
        <w:t xml:space="preserve">日期：年 月 日</w:t>
      </w:r>
      <w:r/>
    </w:p>
    <w:p>
      <w:pPr>
        <w:spacing w:before="19" w:line="360" w:lineRule="auto"/>
        <w:widowControl/>
        <w:rPr>
          <w:rFonts w:hint="eastAsia" w:ascii="宋体" w:hAnsi="宋体" w:eastAsia="宋体" w:cs="宋体"/>
          <w:sz w:val="28"/>
          <w:lang w:val="en-US" w:eastAsia="zh-CN"/>
        </w:rPr>
      </w:pPr>
      <w:r>
        <w:rPr>
          <w:rFonts w:hint="eastAsia" w:ascii="宋体" w:hAnsi="宋体" w:cs="宋体"/>
          <w:b/>
        </w:rPr>
        <w:t xml:space="preserve">附件十</w:t>
      </w:r>
      <w:r>
        <w:rPr>
          <w:rFonts w:hint="eastAsia" w:ascii="宋体" w:hAnsi="宋体" w:cs="宋体"/>
          <w:b/>
          <w:lang w:val="en-US" w:eastAsia="zh-CN"/>
        </w:rPr>
        <w:t xml:space="preserve">四</w:t>
      </w:r>
      <w:r>
        <w:rPr>
          <w:rFonts w:hint="eastAsia" w:ascii="宋体" w:hAnsi="宋体" w:cs="宋体"/>
          <w:b/>
        </w:rPr>
        <w:t xml:space="preserve">、</w:t>
      </w:r>
      <w:r>
        <w:rPr>
          <w:rFonts w:hint="eastAsia" w:ascii="宋体" w:hAnsi="宋体" w:cs="宋体"/>
          <w:b/>
          <w:lang w:val="en-US" w:eastAsia="zh-CN"/>
        </w:rPr>
        <w:t xml:space="preserve">其他</w:t>
      </w:r>
      <w:r/>
    </w:p>
    <w:p>
      <w:pPr>
        <w:spacing w:before="19" w:line="360" w:lineRule="auto"/>
        <w:widowControl/>
        <w:rPr>
          <w:rFonts w:ascii="宋体" w:hAnsi="宋体" w:cs="宋体"/>
          <w:color w:val="000000"/>
          <w:szCs w:val="21"/>
        </w:rPr>
      </w:pPr>
      <w:r>
        <w:rPr>
          <w:rFonts w:ascii="宋体" w:hAnsi="宋体" w:cs="宋体"/>
          <w:color w:val="000000"/>
          <w:szCs w:val="21"/>
        </w:rPr>
      </w:r>
      <w:r/>
    </w:p>
    <w:sectPr>
      <w:footerReference w:type="default" r:id="rId20"/>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angSong">
    <w:panose1 w:val="02010609060101010101"/>
  </w:font>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微软雅黑">
    <w:panose1 w:val="020B0503020204020204"/>
  </w:font>
  <w:font w:name="Tahoma">
    <w:panose1 w:val="020B0604030504040204"/>
  </w:font>
  <w:font w:name="楷体_GB2312">
    <w:panose1 w:val="02010609060101010101"/>
  </w:font>
  <w:font w:name="Calibri Light">
    <w:panose1 w:val="020F0302020204030204"/>
  </w:font>
  <w:font w:name="Courier New">
    <w:panose1 w:val="02070309020205020404"/>
  </w:font>
  <w:font w:name="Cambria">
    <w:panose1 w:val="02040503050406030204"/>
  </w:font>
  <w:font w:name="Sim Sun">
    <w:panose1 w:val="02010600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square" lIns="0" tIns="0" rIns="0" bIns="0"/>
                  </wps:wsp>
                </a:graphicData>
              </a:graphic>
            </wp:anchor>
          </w:drawing>
        </mc:Choice>
        <mc:Fallback>
          <w:pict>
            <v:shape id="shape 2" o:spid="_x0000_s2" o:spt="202" type="#_x0000_t202" style="position:absolute;z-index:251660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323043"/>
      <w:rPr/>
    </w:sdtPr>
    <w:sdtContent>
      <w:p>
        <w:pPr>
          <w:pStyle w:val="956"/>
          <w:jc w:val="center"/>
        </w:pPr>
        <w:r>
          <w:fldChar w:fldCharType="begin"/>
        </w:r>
        <w:r>
          <w:instrText xml:space="preserve">PAGE   \* MERGEFORMAT</w:instrText>
        </w:r>
        <w:r>
          <w:fldChar w:fldCharType="separate"/>
        </w:r>
        <w:r>
          <w:t xml:space="preserve">18</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pBdr>
        <w:bottom w:val="none" w:color="auto" w:sz="0" w:space="1"/>
      </w:pBdr>
    </w:pP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15"/>
      <w:isLgl w:val="false"/>
      <w:suff w:val="nothing"/>
      <w:lvlText w:val="第%1章"/>
      <w:lvlJc w:val="left"/>
      <w:pPr>
        <w:ind w:left="0" w:firstLine="0"/>
      </w:pPr>
    </w:lvl>
    <w:lvl w:ilvl="1">
      <w:start w:val="1"/>
      <w:numFmt w:val="none"/>
      <w:pStyle w:val="916"/>
      <w:isLgl w:val="false"/>
      <w:suff w:val="nothing"/>
      <w:lvlText w:val=""/>
      <w:lvlJc w:val="left"/>
      <w:pPr>
        <w:ind w:left="0" w:firstLine="0"/>
      </w:pPr>
    </w:lvl>
    <w:lvl w:ilvl="2">
      <w:start w:val="1"/>
      <w:numFmt w:val="none"/>
      <w:pStyle w:val="917"/>
      <w:isLgl w:val="false"/>
      <w:suff w:val="nothing"/>
      <w:lvlText w:val=""/>
      <w:lvlJc w:val="left"/>
      <w:pPr>
        <w:ind w:left="0" w:firstLine="0"/>
      </w:pPr>
    </w:lvl>
    <w:lvl w:ilvl="3">
      <w:start w:val="1"/>
      <w:numFmt w:val="none"/>
      <w:pStyle w:val="918"/>
      <w:isLgl w:val="false"/>
      <w:suff w:val="nothing"/>
      <w:lvlText w:val=""/>
      <w:lvlJc w:val="left"/>
      <w:pPr>
        <w:ind w:left="0" w:firstLine="0"/>
      </w:pPr>
    </w:lvl>
    <w:lvl w:ilvl="4">
      <w:start w:val="1"/>
      <w:numFmt w:val="none"/>
      <w:pStyle w:val="919"/>
      <w:isLgl w:val="false"/>
      <w:suff w:val="nothing"/>
      <w:lvlText w:val=""/>
      <w:lvlJc w:val="left"/>
      <w:pPr>
        <w:ind w:left="0" w:firstLine="0"/>
      </w:pPr>
    </w:lvl>
    <w:lvl w:ilvl="5">
      <w:start w:val="1"/>
      <w:numFmt w:val="none"/>
      <w:pStyle w:val="920"/>
      <w:isLgl w:val="false"/>
      <w:suff w:val="nothing"/>
      <w:lvlText w:val=""/>
      <w:lvlJc w:val="left"/>
      <w:pPr>
        <w:ind w:left="0" w:firstLine="0"/>
      </w:pPr>
    </w:lvl>
    <w:lvl w:ilvl="6">
      <w:start w:val="1"/>
      <w:numFmt w:val="none"/>
      <w:pStyle w:val="921"/>
      <w:isLgl w:val="false"/>
      <w:suff w:val="nothing"/>
      <w:lvlText w:val=""/>
      <w:lvlJc w:val="left"/>
      <w:pPr>
        <w:ind w:left="0" w:firstLine="0"/>
      </w:pPr>
    </w:lvl>
    <w:lvl w:ilvl="7">
      <w:start w:val="1"/>
      <w:numFmt w:val="none"/>
      <w:pStyle w:val="922"/>
      <w:isLgl w:val="false"/>
      <w:suff w:val="nothing"/>
      <w:lvlText w:val=""/>
      <w:lvlJc w:val="left"/>
      <w:pPr>
        <w:ind w:left="0" w:firstLine="0"/>
      </w:pPr>
    </w:lvl>
    <w:lvl w:ilvl="8">
      <w:start w:val="1"/>
      <w:numFmt w:val="none"/>
      <w:pStyle w:val="923"/>
      <w:isLgl w:val="false"/>
      <w:suff w:val="nothing"/>
      <w:lvlText w:val=""/>
      <w:lvlJc w:val="left"/>
      <w:pPr>
        <w:ind w:left="0" w:firstLine="0"/>
      </w:pPr>
    </w:lvl>
  </w:abstractNum>
  <w:abstractNum w:abstractNumId="2">
    <w:multiLevelType w:val="hybridMultilevel"/>
    <w:lvl w:ilvl="0">
      <w:start w:val="1"/>
      <w:numFmt w:val="bullet"/>
      <w:pStyle w:val="108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pStyle w:val="1064"/>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bullet"/>
      <w:pStyle w:val="103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4"/>
      <w:isLgl w:val="false"/>
      <w:suff w:val="tab"/>
      <w:lvlText w:val="%1"/>
      <w:lvlJc w:val="left"/>
      <w:pPr>
        <w:ind w:left="567" w:hanging="567"/>
        <w:tabs>
          <w:tab w:val="left" w:pos="567" w:leader="none"/>
        </w:tabs>
      </w:pPr>
      <w:rPr>
        <w:rFonts w:hint="eastAsia" w:cs="Times New Roman"/>
      </w:rPr>
    </w:lvl>
    <w:lvl w:ilvl="1">
      <w:start w:val="1"/>
      <w:numFmt w:val="decimal"/>
      <w:pStyle w:val="104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3"/>
  </w:num>
  <w:num w:numId="5">
    <w:abstractNumId w:val="2"/>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4"/>
    <w:link w:val="915"/>
    <w:uiPriority w:val="9"/>
    <w:rPr>
      <w:rFonts w:ascii="Arial" w:hAnsi="Arial" w:eastAsia="Arial" w:cs="Arial"/>
      <w:sz w:val="40"/>
      <w:szCs w:val="40"/>
    </w:rPr>
  </w:style>
  <w:style w:type="character" w:styleId="15">
    <w:name w:val="Heading 2 Char"/>
    <w:basedOn w:val="924"/>
    <w:link w:val="916"/>
    <w:uiPriority w:val="9"/>
    <w:rPr>
      <w:rFonts w:ascii="Arial" w:hAnsi="Arial" w:eastAsia="Arial" w:cs="Arial"/>
      <w:sz w:val="34"/>
    </w:rPr>
  </w:style>
  <w:style w:type="character" w:styleId="17">
    <w:name w:val="Heading 3 Char"/>
    <w:basedOn w:val="924"/>
    <w:link w:val="917"/>
    <w:uiPriority w:val="9"/>
    <w:rPr>
      <w:rFonts w:ascii="Arial" w:hAnsi="Arial" w:eastAsia="Arial" w:cs="Arial"/>
      <w:sz w:val="30"/>
      <w:szCs w:val="30"/>
    </w:rPr>
  </w:style>
  <w:style w:type="character" w:styleId="19">
    <w:name w:val="Heading 4 Char"/>
    <w:basedOn w:val="924"/>
    <w:link w:val="918"/>
    <w:uiPriority w:val="9"/>
    <w:rPr>
      <w:rFonts w:ascii="Arial" w:hAnsi="Arial" w:eastAsia="Arial" w:cs="Arial"/>
      <w:b/>
      <w:bCs/>
      <w:sz w:val="26"/>
      <w:szCs w:val="26"/>
    </w:rPr>
  </w:style>
  <w:style w:type="character" w:styleId="21">
    <w:name w:val="Heading 5 Char"/>
    <w:basedOn w:val="924"/>
    <w:link w:val="919"/>
    <w:uiPriority w:val="9"/>
    <w:rPr>
      <w:rFonts w:ascii="Arial" w:hAnsi="Arial" w:eastAsia="Arial" w:cs="Arial"/>
      <w:b/>
      <w:bCs/>
      <w:sz w:val="24"/>
      <w:szCs w:val="24"/>
    </w:rPr>
  </w:style>
  <w:style w:type="character" w:styleId="23">
    <w:name w:val="Heading 6 Char"/>
    <w:basedOn w:val="924"/>
    <w:link w:val="920"/>
    <w:uiPriority w:val="9"/>
    <w:rPr>
      <w:rFonts w:ascii="Arial" w:hAnsi="Arial" w:eastAsia="Arial" w:cs="Arial"/>
      <w:b/>
      <w:bCs/>
      <w:sz w:val="22"/>
      <w:szCs w:val="22"/>
    </w:rPr>
  </w:style>
  <w:style w:type="character" w:styleId="25">
    <w:name w:val="Heading 7 Char"/>
    <w:basedOn w:val="924"/>
    <w:link w:val="921"/>
    <w:uiPriority w:val="9"/>
    <w:rPr>
      <w:rFonts w:ascii="Arial" w:hAnsi="Arial" w:eastAsia="Arial" w:cs="Arial"/>
      <w:b/>
      <w:bCs/>
      <w:i/>
      <w:iCs/>
      <w:sz w:val="22"/>
      <w:szCs w:val="22"/>
    </w:rPr>
  </w:style>
  <w:style w:type="character" w:styleId="27">
    <w:name w:val="Heading 8 Char"/>
    <w:basedOn w:val="924"/>
    <w:link w:val="922"/>
    <w:uiPriority w:val="9"/>
    <w:rPr>
      <w:rFonts w:ascii="Arial" w:hAnsi="Arial" w:eastAsia="Arial" w:cs="Arial"/>
      <w:i/>
      <w:iCs/>
      <w:sz w:val="22"/>
      <w:szCs w:val="22"/>
    </w:rPr>
  </w:style>
  <w:style w:type="character" w:styleId="29">
    <w:name w:val="Heading 9 Char"/>
    <w:basedOn w:val="924"/>
    <w:link w:val="923"/>
    <w:uiPriority w:val="9"/>
    <w:rPr>
      <w:rFonts w:ascii="Arial" w:hAnsi="Arial" w:eastAsia="Arial" w:cs="Arial"/>
      <w:i/>
      <w:iCs/>
      <w:sz w:val="21"/>
      <w:szCs w:val="21"/>
    </w:rPr>
  </w:style>
  <w:style w:type="character" w:styleId="34">
    <w:name w:val="Title Char"/>
    <w:basedOn w:val="924"/>
    <w:link w:val="926"/>
    <w:uiPriority w:val="10"/>
    <w:rPr>
      <w:sz w:val="48"/>
      <w:szCs w:val="48"/>
    </w:rPr>
  </w:style>
  <w:style w:type="character" w:styleId="36">
    <w:name w:val="Subtitle Char"/>
    <w:basedOn w:val="924"/>
    <w:link w:val="962"/>
    <w:uiPriority w:val="11"/>
    <w:rPr>
      <w:sz w:val="24"/>
      <w:szCs w:val="24"/>
    </w:rPr>
  </w:style>
  <w:style w:type="paragraph" w:styleId="37">
    <w:name w:val="Quote"/>
    <w:basedOn w:val="914"/>
    <w:next w:val="914"/>
    <w:link w:val="38"/>
    <w:uiPriority w:val="29"/>
    <w:qFormat/>
    <w:pPr>
      <w:ind w:left="720" w:right="720"/>
    </w:pPr>
    <w:rPr>
      <w:i/>
    </w:rPr>
  </w:style>
  <w:style w:type="character" w:styleId="38">
    <w:name w:val="Quote Char"/>
    <w:link w:val="37"/>
    <w:uiPriority w:val="29"/>
    <w:rPr>
      <w:i/>
    </w:rPr>
  </w:style>
  <w:style w:type="paragraph" w:styleId="39">
    <w:name w:val="Intense Quote"/>
    <w:basedOn w:val="914"/>
    <w:next w:val="9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24"/>
    <w:link w:val="957"/>
    <w:uiPriority w:val="99"/>
  </w:style>
  <w:style w:type="character" w:styleId="44">
    <w:name w:val="Footer Char"/>
    <w:basedOn w:val="924"/>
    <w:link w:val="956"/>
    <w:uiPriority w:val="99"/>
  </w:style>
  <w:style w:type="paragraph" w:styleId="45">
    <w:name w:val="Caption"/>
    <w:basedOn w:val="914"/>
    <w:next w:val="914"/>
    <w:uiPriority w:val="35"/>
    <w:semiHidden/>
    <w:unhideWhenUsed/>
    <w:qFormat/>
    <w:pPr>
      <w:spacing w:line="276" w:lineRule="auto"/>
    </w:pPr>
    <w:rPr>
      <w:b/>
      <w:bCs/>
      <w:color w:val="4f81bd" w:themeColor="accent1"/>
      <w:sz w:val="18"/>
      <w:szCs w:val="18"/>
    </w:rPr>
  </w:style>
  <w:style w:type="character" w:styleId="46">
    <w:name w:val="Caption Char"/>
    <w:basedOn w:val="45"/>
    <w:link w:val="956"/>
    <w:uiPriority w:val="99"/>
  </w:style>
  <w:style w:type="table" w:styleId="48">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24"/>
    <w:uiPriority w:val="99"/>
    <w:unhideWhenUsed/>
    <w:rPr>
      <w:vertAlign w:val="superscript"/>
    </w:rPr>
  </w:style>
  <w:style w:type="paragraph" w:styleId="177">
    <w:name w:val="endnote text"/>
    <w:basedOn w:val="9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24"/>
    <w:uiPriority w:val="99"/>
    <w:semiHidden/>
    <w:unhideWhenUsed/>
    <w:rPr>
      <w:vertAlign w:val="superscript"/>
    </w:rPr>
  </w:style>
  <w:style w:type="paragraph" w:styleId="189">
    <w:name w:val="TOC Heading"/>
    <w:uiPriority w:val="39"/>
    <w:unhideWhenUsed/>
  </w:style>
  <w:style w:type="paragraph" w:styleId="91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15">
    <w:name w:val="Heading 1"/>
    <w:basedOn w:val="914"/>
    <w:next w:val="914"/>
    <w:link w:val="991"/>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916">
    <w:name w:val="Heading 2"/>
    <w:basedOn w:val="914"/>
    <w:next w:val="914"/>
    <w:link w:val="992"/>
    <w:uiPriority w:val="99"/>
    <w:qFormat/>
    <w:pPr>
      <w:numPr>
        <w:ilvl w:val="1"/>
        <w:numId w:val="1"/>
      </w:numPr>
      <w:jc w:val="left"/>
      <w:keepLines/>
      <w:keepNext/>
      <w:spacing w:before="120" w:after="120"/>
      <w:outlineLvl w:val="1"/>
    </w:pPr>
    <w:rPr>
      <w:rFonts w:ascii="Cambria" w:hAnsi="Cambria"/>
      <w:b/>
      <w:bCs/>
      <w:sz w:val="32"/>
      <w:szCs w:val="32"/>
    </w:rPr>
  </w:style>
  <w:style w:type="paragraph" w:styleId="917">
    <w:name w:val="Heading 3"/>
    <w:basedOn w:val="914"/>
    <w:next w:val="914"/>
    <w:link w:val="993"/>
    <w:uiPriority w:val="99"/>
    <w:qFormat/>
    <w:pPr>
      <w:numPr>
        <w:ilvl w:val="2"/>
        <w:numId w:val="1"/>
      </w:numPr>
      <w:keepLines/>
      <w:keepNext/>
      <w:spacing w:before="120" w:after="120"/>
      <w:outlineLvl w:val="2"/>
    </w:pPr>
    <w:rPr>
      <w:b/>
      <w:bCs/>
      <w:sz w:val="32"/>
      <w:szCs w:val="32"/>
    </w:rPr>
  </w:style>
  <w:style w:type="paragraph" w:styleId="918">
    <w:name w:val="Heading 4"/>
    <w:basedOn w:val="926"/>
    <w:next w:val="914"/>
    <w:link w:val="994"/>
    <w:uiPriority w:val="99"/>
    <w:qFormat/>
    <w:pPr>
      <w:numPr>
        <w:ilvl w:val="3"/>
        <w:numId w:val="1"/>
      </w:numPr>
      <w:keepLines/>
      <w:keepNext/>
      <w:spacing w:before="120" w:after="120"/>
      <w:outlineLvl w:val="3"/>
    </w:pPr>
    <w:rPr>
      <w:sz w:val="28"/>
      <w:szCs w:val="28"/>
    </w:rPr>
  </w:style>
  <w:style w:type="paragraph" w:styleId="919">
    <w:name w:val="Heading 5"/>
    <w:basedOn w:val="914"/>
    <w:next w:val="927"/>
    <w:link w:val="996"/>
    <w:uiPriority w:val="99"/>
    <w:qFormat/>
    <w:pPr>
      <w:numPr>
        <w:ilvl w:val="4"/>
        <w:numId w:val="1"/>
      </w:numPr>
      <w:keepNext/>
      <w:spacing w:before="156" w:after="156"/>
      <w:outlineLvl w:val="4"/>
    </w:pPr>
    <w:rPr>
      <w:b/>
      <w:bCs/>
      <w:sz w:val="28"/>
      <w:szCs w:val="28"/>
    </w:rPr>
  </w:style>
  <w:style w:type="paragraph" w:styleId="920">
    <w:name w:val="Heading 6"/>
    <w:basedOn w:val="914"/>
    <w:next w:val="914"/>
    <w:link w:val="99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21">
    <w:name w:val="Heading 7"/>
    <w:basedOn w:val="914"/>
    <w:next w:val="914"/>
    <w:link w:val="998"/>
    <w:uiPriority w:val="99"/>
    <w:qFormat/>
    <w:pPr>
      <w:numPr>
        <w:ilvl w:val="6"/>
        <w:numId w:val="1"/>
      </w:numPr>
      <w:keepLines/>
      <w:keepNext/>
      <w:spacing w:before="240" w:after="64" w:line="320" w:lineRule="auto"/>
      <w:outlineLvl w:val="6"/>
    </w:pPr>
    <w:rPr>
      <w:b/>
      <w:bCs/>
      <w:sz w:val="24"/>
      <w:szCs w:val="24"/>
    </w:rPr>
  </w:style>
  <w:style w:type="paragraph" w:styleId="922">
    <w:name w:val="Heading 8"/>
    <w:basedOn w:val="914"/>
    <w:next w:val="914"/>
    <w:link w:val="999"/>
    <w:uiPriority w:val="99"/>
    <w:qFormat/>
    <w:pPr>
      <w:numPr>
        <w:ilvl w:val="7"/>
        <w:numId w:val="1"/>
      </w:numPr>
      <w:keepLines/>
      <w:keepNext/>
      <w:spacing w:before="240" w:after="64" w:line="320" w:lineRule="auto"/>
      <w:outlineLvl w:val="7"/>
    </w:pPr>
    <w:rPr>
      <w:rFonts w:ascii="Cambria" w:hAnsi="Cambria"/>
      <w:sz w:val="24"/>
      <w:szCs w:val="24"/>
    </w:rPr>
  </w:style>
  <w:style w:type="paragraph" w:styleId="923">
    <w:name w:val="Heading 9"/>
    <w:basedOn w:val="914"/>
    <w:next w:val="914"/>
    <w:link w:val="1000"/>
    <w:uiPriority w:val="99"/>
    <w:qFormat/>
    <w:pPr>
      <w:numPr>
        <w:ilvl w:val="8"/>
        <w:numId w:val="1"/>
      </w:numPr>
      <w:keepLines/>
      <w:keepNext/>
      <w:spacing w:before="240" w:after="64" w:line="320" w:lineRule="auto"/>
      <w:outlineLvl w:val="8"/>
    </w:pPr>
    <w:rPr>
      <w:rFonts w:ascii="Cambria" w:hAnsi="Cambria"/>
      <w:szCs w:val="21"/>
    </w:rPr>
  </w:style>
  <w:style w:type="character" w:styleId="924" w:default="1">
    <w:name w:val="Default Paragraph Font"/>
    <w:uiPriority w:val="1"/>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Title"/>
    <w:basedOn w:val="914"/>
    <w:link w:val="1015"/>
    <w:uiPriority w:val="10"/>
    <w:qFormat/>
    <w:pPr>
      <w:jc w:val="center"/>
      <w:spacing w:before="240" w:after="60"/>
      <w:outlineLvl w:val="0"/>
    </w:pPr>
    <w:rPr>
      <w:rFonts w:ascii="Cambria" w:hAnsi="Cambria"/>
      <w:b/>
      <w:bCs/>
      <w:sz w:val="32"/>
      <w:szCs w:val="32"/>
    </w:rPr>
  </w:style>
  <w:style w:type="paragraph" w:styleId="927">
    <w:name w:val="Normal Indent"/>
    <w:basedOn w:val="914"/>
    <w:link w:val="995"/>
    <w:uiPriority w:val="0"/>
    <w:qFormat/>
    <w:pPr>
      <w:ind w:firstLine="420"/>
    </w:pPr>
  </w:style>
  <w:style w:type="paragraph" w:styleId="928">
    <w:name w:val="List 3"/>
    <w:basedOn w:val="914"/>
    <w:uiPriority w:val="99"/>
    <w:qFormat/>
    <w:pPr>
      <w:ind w:left="1260" w:hanging="420"/>
    </w:pPr>
  </w:style>
  <w:style w:type="paragraph" w:styleId="929">
    <w:name w:val="toc 7"/>
    <w:basedOn w:val="914"/>
    <w:next w:val="914"/>
    <w:uiPriority w:val="99"/>
    <w:semiHidden/>
    <w:qFormat/>
    <w:pPr>
      <w:ind w:left="1260"/>
      <w:jc w:val="left"/>
    </w:pPr>
    <w:rPr>
      <w:sz w:val="18"/>
    </w:rPr>
  </w:style>
  <w:style w:type="paragraph" w:styleId="930">
    <w:name w:val="index 8"/>
    <w:basedOn w:val="914"/>
    <w:next w:val="914"/>
    <w:uiPriority w:val="99"/>
    <w:semiHidden/>
    <w:qFormat/>
    <w:pPr>
      <w:ind w:left="2940"/>
    </w:pPr>
  </w:style>
  <w:style w:type="paragraph" w:styleId="931">
    <w:name w:val="index 5"/>
    <w:basedOn w:val="914"/>
    <w:next w:val="914"/>
    <w:uiPriority w:val="99"/>
    <w:semiHidden/>
    <w:qFormat/>
    <w:pPr>
      <w:ind w:left="1680"/>
    </w:pPr>
  </w:style>
  <w:style w:type="paragraph" w:styleId="932">
    <w:name w:val="Document Map"/>
    <w:basedOn w:val="914"/>
    <w:link w:val="1001"/>
    <w:uiPriority w:val="99"/>
    <w:semiHidden/>
    <w:qFormat/>
    <w:pPr>
      <w:shd w:val="clear" w:color="auto" w:fill="000080"/>
    </w:pPr>
    <w:rPr>
      <w:sz w:val="2"/>
    </w:rPr>
  </w:style>
  <w:style w:type="paragraph" w:styleId="933">
    <w:name w:val="annotation text"/>
    <w:basedOn w:val="914"/>
    <w:link w:val="1002"/>
    <w:uiPriority w:val="0"/>
    <w:qFormat/>
    <w:pPr>
      <w:jc w:val="left"/>
    </w:pPr>
    <w:rPr>
      <w:sz w:val="20"/>
    </w:rPr>
  </w:style>
  <w:style w:type="paragraph" w:styleId="934">
    <w:name w:val="index 6"/>
    <w:basedOn w:val="914"/>
    <w:next w:val="914"/>
    <w:uiPriority w:val="99"/>
    <w:semiHidden/>
    <w:qFormat/>
    <w:pPr>
      <w:ind w:left="2100"/>
    </w:pPr>
  </w:style>
  <w:style w:type="paragraph" w:styleId="935">
    <w:name w:val="Body Text 3"/>
    <w:basedOn w:val="914"/>
    <w:link w:val="1003"/>
    <w:uiPriority w:val="99"/>
    <w:qFormat/>
    <w:rPr>
      <w:sz w:val="16"/>
      <w:szCs w:val="16"/>
    </w:rPr>
  </w:style>
  <w:style w:type="paragraph" w:styleId="936">
    <w:name w:val="Body Text"/>
    <w:basedOn w:val="914"/>
    <w:link w:val="1004"/>
    <w:uiPriority w:val="99"/>
    <w:qFormat/>
    <w:rPr>
      <w:sz w:val="20"/>
    </w:rPr>
  </w:style>
  <w:style w:type="paragraph" w:styleId="937">
    <w:name w:val="Body Text Indent"/>
    <w:basedOn w:val="914"/>
    <w:next w:val="938"/>
    <w:link w:val="1005"/>
    <w:uiPriority w:val="99"/>
    <w:qFormat/>
    <w:pPr>
      <w:ind w:firstLine="645"/>
    </w:pPr>
    <w:rPr>
      <w:sz w:val="20"/>
    </w:rPr>
  </w:style>
  <w:style w:type="paragraph" w:styleId="938">
    <w:name w:val="envelope return"/>
    <w:basedOn w:val="914"/>
    <w:uiPriority w:val="99"/>
    <w:qFormat/>
    <w:rPr>
      <w:rFonts w:ascii="Arial" w:hAnsi="Arial"/>
    </w:rPr>
  </w:style>
  <w:style w:type="paragraph" w:styleId="939">
    <w:name w:val="index 4"/>
    <w:basedOn w:val="914"/>
    <w:next w:val="914"/>
    <w:uiPriority w:val="99"/>
    <w:semiHidden/>
    <w:qFormat/>
    <w:pPr>
      <w:ind w:left="1260"/>
    </w:pPr>
  </w:style>
  <w:style w:type="paragraph" w:styleId="940">
    <w:name w:val="toc 5"/>
    <w:basedOn w:val="914"/>
    <w:next w:val="914"/>
    <w:uiPriority w:val="99"/>
    <w:semiHidden/>
    <w:qFormat/>
    <w:pPr>
      <w:ind w:left="840"/>
      <w:jc w:val="left"/>
    </w:pPr>
    <w:rPr>
      <w:sz w:val="18"/>
    </w:rPr>
  </w:style>
  <w:style w:type="paragraph" w:styleId="941">
    <w:name w:val="toc 3"/>
    <w:basedOn w:val="914"/>
    <w:next w:val="914"/>
    <w:uiPriority w:val="99"/>
    <w:semiHidden/>
    <w:qFormat/>
    <w:pPr>
      <w:ind w:left="420"/>
      <w:jc w:val="left"/>
    </w:pPr>
    <w:rPr>
      <w:i/>
      <w:sz w:val="20"/>
    </w:rPr>
  </w:style>
  <w:style w:type="paragraph" w:styleId="942">
    <w:name w:val="Plain Text"/>
    <w:basedOn w:val="914"/>
    <w:link w:val="1006"/>
    <w:uiPriority w:val="0"/>
    <w:qFormat/>
    <w:rPr>
      <w:rFonts w:ascii="宋体" w:hAnsi="Courier New"/>
      <w:szCs w:val="21"/>
    </w:rPr>
  </w:style>
  <w:style w:type="paragraph" w:styleId="943">
    <w:name w:val="toc 8"/>
    <w:basedOn w:val="914"/>
    <w:next w:val="914"/>
    <w:uiPriority w:val="99"/>
    <w:semiHidden/>
    <w:qFormat/>
    <w:pPr>
      <w:ind w:left="1470"/>
      <w:jc w:val="left"/>
    </w:pPr>
    <w:rPr>
      <w:sz w:val="18"/>
    </w:rPr>
  </w:style>
  <w:style w:type="paragraph" w:styleId="944">
    <w:name w:val="index 3"/>
    <w:basedOn w:val="914"/>
    <w:next w:val="914"/>
    <w:uiPriority w:val="99"/>
    <w:semiHidden/>
    <w:qFormat/>
    <w:pPr>
      <w:ind w:left="840"/>
    </w:pPr>
  </w:style>
  <w:style w:type="paragraph" w:styleId="945">
    <w:name w:val="Date"/>
    <w:basedOn w:val="914"/>
    <w:next w:val="914"/>
    <w:link w:val="1007"/>
    <w:uiPriority w:val="99"/>
    <w:qFormat/>
    <w:pPr>
      <w:ind w:left="100"/>
    </w:pPr>
    <w:rPr>
      <w:sz w:val="20"/>
    </w:rPr>
  </w:style>
  <w:style w:type="paragraph" w:styleId="946">
    <w:name w:val="Body Text Indent 2"/>
    <w:basedOn w:val="914"/>
    <w:next w:val="947"/>
    <w:link w:val="1008"/>
    <w:uiPriority w:val="99"/>
    <w:qFormat/>
    <w:pPr>
      <w:ind w:left="630" w:firstLine="645"/>
    </w:pPr>
    <w:rPr>
      <w:sz w:val="20"/>
    </w:rPr>
  </w:style>
  <w:style w:type="paragraph" w:styleId="947" w:customStyle="1">
    <w:name w:val="xl75"/>
    <w:basedOn w:val="914"/>
    <w:next w:val="948"/>
    <w:uiPriority w:val="0"/>
    <w:qFormat/>
    <w:pPr>
      <w:ind w:left="200" w:firstLine="5320"/>
      <w:jc w:val="center"/>
      <w:spacing w:before="280" w:after="280"/>
      <w:widowControl/>
    </w:pPr>
    <w:rPr>
      <w:rFonts w:ascii="宋体"/>
    </w:rPr>
  </w:style>
  <w:style w:type="paragraph" w:styleId="948" w:customStyle="1">
    <w:name w:val="Test2"/>
    <w:basedOn w:val="916"/>
    <w:next w:val="949"/>
    <w:uiPriority w:val="0"/>
    <w:qFormat/>
    <w:pPr>
      <w:jc w:val="center"/>
      <w:spacing w:line="480" w:lineRule="exact"/>
      <w:widowControl/>
    </w:pPr>
    <w:rPr>
      <w:rFonts w:ascii="黑体" w:hAnsi="Arial" w:eastAsia="黑体"/>
      <w:sz w:val="24"/>
    </w:rPr>
  </w:style>
  <w:style w:type="paragraph" w:styleId="949" w:customStyle="1">
    <w:name w:val="xl59"/>
    <w:basedOn w:val="914"/>
    <w:next w:val="9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950" w:customStyle="1">
    <w:name w:val="方案正文"/>
    <w:basedOn w:val="914"/>
    <w:next w:val="951"/>
    <w:uiPriority w:val="0"/>
    <w:qFormat/>
    <w:pPr>
      <w:ind w:firstLine="359"/>
      <w:jc w:val="left"/>
      <w:spacing w:before="156" w:line="360" w:lineRule="auto"/>
    </w:pPr>
    <w:rPr>
      <w:rFonts w:ascii="Arial" w:hAnsi="Arial" w:cs="宋体"/>
      <w:sz w:val="24"/>
      <w:szCs w:val="21"/>
    </w:rPr>
  </w:style>
  <w:style w:type="paragraph" w:styleId="951" w:customStyle="1">
    <w:name w:val="小四 段落 宋体 Char Char Char Char"/>
    <w:basedOn w:val="914"/>
    <w:next w:val="952"/>
    <w:uiPriority w:val="0"/>
    <w:qFormat/>
    <w:pPr>
      <w:ind w:right="-33" w:firstLine="480"/>
      <w:jc w:val="left"/>
      <w:spacing w:line="360" w:lineRule="auto"/>
    </w:pPr>
    <w:rPr>
      <w:sz w:val="24"/>
      <w:szCs w:val="24"/>
    </w:rPr>
  </w:style>
  <w:style w:type="paragraph" w:styleId="952" w:customStyle="1">
    <w:name w:val="flType"/>
    <w:basedOn w:val="953"/>
    <w:next w:val="914"/>
    <w:uiPriority w:val="0"/>
    <w:qFormat/>
    <w:pPr>
      <w:spacing w:after="284"/>
    </w:pPr>
    <w:rPr>
      <w:rFonts w:eastAsia="宋体"/>
      <w:b w:val="0"/>
    </w:rPr>
  </w:style>
  <w:style w:type="paragraph" w:styleId="953" w:customStyle="1">
    <w:name w:val="flName"/>
    <w:basedOn w:val="954"/>
    <w:uiPriority w:val="0"/>
    <w:qFormat/>
    <w:pPr>
      <w:spacing w:before="0" w:line="113" w:lineRule="atLeast"/>
    </w:pPr>
  </w:style>
  <w:style w:type="paragraph" w:styleId="954" w:customStyle="1">
    <w:name w:val="flNote"/>
    <w:basedOn w:val="914"/>
    <w:uiPriority w:val="0"/>
    <w:qFormat/>
    <w:pPr>
      <w:jc w:val="center"/>
      <w:spacing w:before="567" w:line="360" w:lineRule="atLeast"/>
    </w:pPr>
    <w:rPr>
      <w:rFonts w:eastAsia="黑体"/>
      <w:b/>
      <w:sz w:val="24"/>
    </w:rPr>
  </w:style>
  <w:style w:type="paragraph" w:styleId="955">
    <w:name w:val="Balloon Text"/>
    <w:basedOn w:val="914"/>
    <w:link w:val="1009"/>
    <w:uiPriority w:val="99"/>
    <w:semiHidden/>
    <w:qFormat/>
    <w:rPr>
      <w:sz w:val="18"/>
      <w:szCs w:val="18"/>
    </w:rPr>
  </w:style>
  <w:style w:type="paragraph" w:styleId="956">
    <w:name w:val="Footer"/>
    <w:basedOn w:val="914"/>
    <w:link w:val="1010"/>
    <w:uiPriority w:val="99"/>
    <w:qFormat/>
    <w:pPr>
      <w:jc w:val="left"/>
      <w:tabs>
        <w:tab w:val="center" w:pos="4153" w:leader="none"/>
        <w:tab w:val="right" w:pos="8306" w:leader="none"/>
      </w:tabs>
    </w:pPr>
    <w:rPr>
      <w:sz w:val="18"/>
    </w:rPr>
  </w:style>
  <w:style w:type="paragraph" w:styleId="957">
    <w:name w:val="Header"/>
    <w:basedOn w:val="914"/>
    <w:link w:val="1011"/>
    <w:uiPriority w:val="99"/>
    <w:qFormat/>
    <w:pPr>
      <w:jc w:val="center"/>
      <w:tabs>
        <w:tab w:val="center" w:pos="4153" w:leader="none"/>
        <w:tab w:val="right" w:pos="8306" w:leader="none"/>
      </w:tabs>
      <w:pBdr>
        <w:bottom w:val="single" w:color="auto" w:sz="6" w:space="1"/>
      </w:pBdr>
    </w:pPr>
    <w:rPr>
      <w:sz w:val="18"/>
    </w:rPr>
  </w:style>
  <w:style w:type="paragraph" w:styleId="958">
    <w:name w:val="toc 1"/>
    <w:basedOn w:val="914"/>
    <w:next w:val="914"/>
    <w:uiPriority w:val="39"/>
    <w:qFormat/>
    <w:pPr>
      <w:jc w:val="left"/>
      <w:spacing w:before="120" w:after="120"/>
    </w:pPr>
    <w:rPr>
      <w:b/>
      <w:caps/>
      <w:sz w:val="20"/>
    </w:rPr>
  </w:style>
  <w:style w:type="paragraph" w:styleId="959">
    <w:name w:val="toc 4"/>
    <w:basedOn w:val="914"/>
    <w:next w:val="914"/>
    <w:uiPriority w:val="99"/>
    <w:semiHidden/>
    <w:qFormat/>
    <w:pPr>
      <w:ind w:left="630"/>
      <w:jc w:val="left"/>
    </w:pPr>
    <w:rPr>
      <w:sz w:val="18"/>
    </w:rPr>
  </w:style>
  <w:style w:type="paragraph" w:styleId="960">
    <w:name w:val="index heading"/>
    <w:basedOn w:val="914"/>
    <w:next w:val="961"/>
    <w:uiPriority w:val="99"/>
    <w:semiHidden/>
    <w:qFormat/>
  </w:style>
  <w:style w:type="paragraph" w:styleId="961">
    <w:name w:val="index 1"/>
    <w:basedOn w:val="914"/>
    <w:next w:val="914"/>
    <w:uiPriority w:val="99"/>
    <w:semiHidden/>
    <w:qFormat/>
    <w:pPr>
      <w:jc w:val="center"/>
    </w:pPr>
    <w:rPr>
      <w:rFonts w:ascii="仿宋_GB2312" w:hAnsi="宋体" w:eastAsia="仿宋_GB2312"/>
      <w:sz w:val="30"/>
      <w:szCs w:val="24"/>
    </w:rPr>
  </w:style>
  <w:style w:type="paragraph" w:styleId="962">
    <w:name w:val="Subtitle"/>
    <w:basedOn w:val="914"/>
    <w:next w:val="914"/>
    <w:uiPriority w:val="0"/>
    <w:qFormat/>
    <w:pPr>
      <w:spacing w:before="240" w:after="60" w:line="312" w:lineRule="auto"/>
      <w:outlineLvl w:val="3"/>
    </w:pPr>
    <w:rPr>
      <w:rFonts w:ascii="Cambria" w:hAnsi="Cambria"/>
      <w:b/>
      <w:bCs/>
      <w:sz w:val="28"/>
      <w:szCs w:val="32"/>
    </w:rPr>
  </w:style>
  <w:style w:type="paragraph" w:styleId="963">
    <w:name w:val="toc 6"/>
    <w:basedOn w:val="914"/>
    <w:next w:val="914"/>
    <w:uiPriority w:val="99"/>
    <w:semiHidden/>
    <w:qFormat/>
    <w:pPr>
      <w:ind w:left="1050"/>
      <w:jc w:val="left"/>
    </w:pPr>
    <w:rPr>
      <w:sz w:val="18"/>
    </w:rPr>
  </w:style>
  <w:style w:type="paragraph" w:styleId="964">
    <w:name w:val="Body Text Indent 3"/>
    <w:basedOn w:val="914"/>
    <w:link w:val="1012"/>
    <w:uiPriority w:val="99"/>
    <w:qFormat/>
    <w:pPr>
      <w:ind w:left="645" w:firstLine="645"/>
    </w:pPr>
    <w:rPr>
      <w:sz w:val="16"/>
      <w:szCs w:val="16"/>
    </w:rPr>
  </w:style>
  <w:style w:type="paragraph" w:styleId="965">
    <w:name w:val="index 7"/>
    <w:basedOn w:val="914"/>
    <w:next w:val="914"/>
    <w:uiPriority w:val="99"/>
    <w:semiHidden/>
    <w:qFormat/>
    <w:pPr>
      <w:ind w:left="2520"/>
    </w:pPr>
  </w:style>
  <w:style w:type="paragraph" w:styleId="966">
    <w:name w:val="index 9"/>
    <w:basedOn w:val="914"/>
    <w:next w:val="914"/>
    <w:uiPriority w:val="99"/>
    <w:semiHidden/>
    <w:qFormat/>
    <w:pPr>
      <w:ind w:left="3360"/>
    </w:pPr>
  </w:style>
  <w:style w:type="paragraph" w:styleId="967">
    <w:name w:val="table of figures"/>
    <w:basedOn w:val="914"/>
    <w:next w:val="914"/>
    <w:uiPriority w:val="99"/>
    <w:semiHidden/>
    <w:qFormat/>
    <w:pPr>
      <w:ind w:left="840" w:hanging="420"/>
    </w:pPr>
  </w:style>
  <w:style w:type="paragraph" w:styleId="968">
    <w:name w:val="toc 2"/>
    <w:basedOn w:val="914"/>
    <w:next w:val="914"/>
    <w:uiPriority w:val="39"/>
    <w:qFormat/>
    <w:pPr>
      <w:ind w:left="210"/>
      <w:jc w:val="left"/>
    </w:pPr>
    <w:rPr>
      <w:smallCaps/>
      <w:sz w:val="20"/>
    </w:rPr>
  </w:style>
  <w:style w:type="paragraph" w:styleId="969">
    <w:name w:val="toc 9"/>
    <w:basedOn w:val="914"/>
    <w:next w:val="914"/>
    <w:uiPriority w:val="99"/>
    <w:semiHidden/>
    <w:qFormat/>
    <w:pPr>
      <w:ind w:left="1680"/>
      <w:jc w:val="left"/>
    </w:pPr>
    <w:rPr>
      <w:sz w:val="18"/>
    </w:rPr>
  </w:style>
  <w:style w:type="paragraph" w:styleId="970">
    <w:name w:val="Body Text 2"/>
    <w:basedOn w:val="914"/>
    <w:link w:val="1013"/>
    <w:uiPriority w:val="99"/>
    <w:qFormat/>
    <w:pPr>
      <w:jc w:val="center"/>
      <w:widowControl/>
    </w:pPr>
    <w:rPr>
      <w:sz w:val="20"/>
    </w:rPr>
  </w:style>
  <w:style w:type="paragraph" w:styleId="971">
    <w:name w:val="HTML Preformatted"/>
    <w:basedOn w:val="914"/>
    <w:link w:val="10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72">
    <w:name w:val="Normal (Web)"/>
    <w:basedOn w:val="914"/>
    <w:uiPriority w:val="99"/>
    <w:qFormat/>
    <w:pPr>
      <w:jc w:val="left"/>
      <w:spacing w:before="100" w:beforeAutospacing="1" w:after="100" w:afterAutospacing="1"/>
      <w:widowControl/>
    </w:pPr>
    <w:rPr>
      <w:rFonts w:ascii="Arial" w:hAnsi="Arial" w:cs="Arial"/>
      <w:sz w:val="24"/>
      <w:szCs w:val="24"/>
    </w:rPr>
  </w:style>
  <w:style w:type="paragraph" w:styleId="973">
    <w:name w:val="index 2"/>
    <w:basedOn w:val="914"/>
    <w:next w:val="914"/>
    <w:uiPriority w:val="99"/>
    <w:semiHidden/>
    <w:qFormat/>
    <w:pPr>
      <w:ind w:left="420"/>
    </w:pPr>
  </w:style>
  <w:style w:type="paragraph" w:styleId="974">
    <w:name w:val="annotation subject"/>
    <w:basedOn w:val="933"/>
    <w:next w:val="933"/>
    <w:link w:val="1016"/>
    <w:uiPriority w:val="99"/>
    <w:semiHidden/>
    <w:qFormat/>
    <w:rPr>
      <w:b/>
      <w:bCs/>
    </w:rPr>
  </w:style>
  <w:style w:type="paragraph" w:styleId="975">
    <w:name w:val="Body Text First Indent"/>
    <w:basedOn w:val="936"/>
    <w:link w:val="1017"/>
    <w:uiPriority w:val="99"/>
    <w:qFormat/>
    <w:pPr>
      <w:ind w:firstLine="420"/>
      <w:spacing w:after="120"/>
    </w:pPr>
    <w:rPr>
      <w:sz w:val="21"/>
      <w:szCs w:val="24"/>
    </w:rPr>
  </w:style>
  <w:style w:type="paragraph" w:styleId="976">
    <w:name w:val="Body Text First Indent 2"/>
    <w:basedOn w:val="937"/>
    <w:uiPriority w:val="0"/>
    <w:qFormat/>
    <w:pPr>
      <w:ind w:left="420"/>
      <w:spacing w:after="120"/>
    </w:pPr>
    <w:rPr>
      <w:sz w:val="21"/>
    </w:rPr>
  </w:style>
  <w:style w:type="table" w:styleId="977">
    <w:name w:val="Table Grid"/>
    <w:basedOn w:val="9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8">
    <w:name w:val="Strong"/>
    <w:basedOn w:val="924"/>
    <w:uiPriority w:val="22"/>
    <w:qFormat/>
    <w:rPr>
      <w:b/>
    </w:rPr>
  </w:style>
  <w:style w:type="character" w:styleId="979">
    <w:name w:val="page number"/>
    <w:uiPriority w:val="0"/>
    <w:qFormat/>
    <w:rPr>
      <w:rFonts w:cs="Times New Roman"/>
    </w:rPr>
  </w:style>
  <w:style w:type="character" w:styleId="980">
    <w:name w:val="FollowedHyperlink"/>
    <w:uiPriority w:val="99"/>
    <w:qFormat/>
    <w:rPr>
      <w:rFonts w:cs="Times New Roman"/>
      <w:color w:val="800080"/>
      <w:u w:val="single"/>
    </w:rPr>
  </w:style>
  <w:style w:type="character" w:styleId="981">
    <w:name w:val="Emphasis"/>
    <w:uiPriority w:val="20"/>
    <w:qFormat/>
    <w:rPr>
      <w:i/>
      <w:iCs/>
    </w:rPr>
  </w:style>
  <w:style w:type="character" w:styleId="982">
    <w:name w:val="HTML Typewriter"/>
    <w:uiPriority w:val="0"/>
    <w:unhideWhenUsed/>
    <w:qFormat/>
    <w:rPr>
      <w:rFonts w:ascii="monospace" w:hAnsi="monospace" w:eastAsia="monospace" w:cs="monospace"/>
      <w:sz w:val="20"/>
    </w:rPr>
  </w:style>
  <w:style w:type="character" w:styleId="983">
    <w:name w:val="HTML Acronym"/>
    <w:uiPriority w:val="0"/>
    <w:unhideWhenUsed/>
    <w:qFormat/>
  </w:style>
  <w:style w:type="character" w:styleId="984">
    <w:name w:val="Hyperlink"/>
    <w:uiPriority w:val="99"/>
    <w:qFormat/>
    <w:rPr>
      <w:rFonts w:cs="Times New Roman"/>
      <w:color w:val="0000ff"/>
      <w:u w:val="single"/>
    </w:rPr>
  </w:style>
  <w:style w:type="character" w:styleId="985">
    <w:name w:val="HTML Code"/>
    <w:uiPriority w:val="0"/>
    <w:unhideWhenUsed/>
    <w:qFormat/>
    <w:rPr>
      <w:rFonts w:hint="default" w:ascii="monospace" w:hAnsi="monospace" w:eastAsia="monospace" w:cs="monospace"/>
      <w:sz w:val="20"/>
      <w:shd w:val="clear" w:color="auto" w:fill="fcf8f5"/>
    </w:rPr>
  </w:style>
  <w:style w:type="character" w:styleId="986">
    <w:name w:val="annotation reference"/>
    <w:uiPriority w:val="0"/>
    <w:qFormat/>
    <w:rPr>
      <w:rFonts w:cs="Times New Roman"/>
      <w:sz w:val="21"/>
    </w:rPr>
  </w:style>
  <w:style w:type="character" w:styleId="987">
    <w:name w:val="HTML Keyboard"/>
    <w:uiPriority w:val="0"/>
    <w:unhideWhenUsed/>
    <w:qFormat/>
    <w:rPr>
      <w:rFonts w:hint="default" w:ascii="monospace" w:hAnsi="monospace" w:eastAsia="monospace" w:cs="monospace"/>
      <w:sz w:val="20"/>
    </w:rPr>
  </w:style>
  <w:style w:type="character" w:styleId="988">
    <w:name w:val="HTML Sample"/>
    <w:uiPriority w:val="0"/>
    <w:unhideWhenUsed/>
    <w:qFormat/>
    <w:rPr>
      <w:rFonts w:hint="default" w:ascii="monospace" w:hAnsi="monospace" w:eastAsia="monospace" w:cs="monospace"/>
    </w:rPr>
  </w:style>
  <w:style w:type="paragraph" w:styleId="989" w:customStyle="1">
    <w:name w:val="列表段落1"/>
    <w:basedOn w:val="914"/>
    <w:uiPriority w:val="99"/>
    <w:qFormat/>
    <w:pPr>
      <w:ind w:firstLine="420"/>
    </w:pPr>
  </w:style>
  <w:style w:type="paragraph" w:styleId="990" w:customStyle="1">
    <w:name w:val="段"/>
    <w:next w:val="91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91" w:customStyle="1">
    <w:name w:val="标题 1 字符"/>
    <w:link w:val="915"/>
    <w:uiPriority w:val="0"/>
    <w:qFormat/>
    <w:rPr>
      <w:rFonts w:ascii="黑体" w:eastAsia="黑体"/>
      <w:b/>
      <w:sz w:val="28"/>
    </w:rPr>
  </w:style>
  <w:style w:type="character" w:styleId="992" w:customStyle="1">
    <w:name w:val="标题 2 字符"/>
    <w:link w:val="916"/>
    <w:uiPriority w:val="99"/>
    <w:qFormat/>
    <w:rPr>
      <w:rFonts w:ascii="Cambria" w:hAnsi="Cambria"/>
      <w:b/>
      <w:bCs/>
      <w:sz w:val="32"/>
      <w:szCs w:val="32"/>
    </w:rPr>
  </w:style>
  <w:style w:type="character" w:styleId="993" w:customStyle="1">
    <w:name w:val="标题 3 字符"/>
    <w:link w:val="917"/>
    <w:uiPriority w:val="99"/>
    <w:qFormat/>
    <w:rPr>
      <w:b/>
      <w:bCs/>
      <w:sz w:val="32"/>
      <w:szCs w:val="32"/>
    </w:rPr>
  </w:style>
  <w:style w:type="character" w:styleId="994" w:customStyle="1">
    <w:name w:val="标题 4 字符"/>
    <w:link w:val="918"/>
    <w:uiPriority w:val="99"/>
    <w:qFormat/>
    <w:rPr>
      <w:rFonts w:ascii="Cambria" w:hAnsi="Cambria"/>
      <w:b/>
      <w:bCs/>
      <w:sz w:val="28"/>
      <w:szCs w:val="28"/>
    </w:rPr>
  </w:style>
  <w:style w:type="character" w:styleId="995" w:customStyle="1">
    <w:name w:val="正文缩进 字符"/>
    <w:link w:val="927"/>
    <w:uiPriority w:val="0"/>
    <w:qFormat/>
    <w:rPr>
      <w:rFonts w:eastAsia="宋体" w:cs="Times New Roman"/>
      <w:sz w:val="21"/>
      <w:lang w:val="en-US" w:eastAsia="zh-CN" w:bidi="ar-SA"/>
    </w:rPr>
  </w:style>
  <w:style w:type="character" w:styleId="996" w:customStyle="1">
    <w:name w:val="标题 5 字符"/>
    <w:link w:val="919"/>
    <w:uiPriority w:val="99"/>
    <w:qFormat/>
    <w:rPr>
      <w:b/>
      <w:bCs/>
      <w:sz w:val="28"/>
      <w:szCs w:val="28"/>
    </w:rPr>
  </w:style>
  <w:style w:type="character" w:styleId="997" w:customStyle="1">
    <w:name w:val="标题 6 字符"/>
    <w:link w:val="920"/>
    <w:uiPriority w:val="99"/>
    <w:qFormat/>
    <w:rPr>
      <w:rFonts w:ascii="Cambria" w:hAnsi="Cambria"/>
      <w:b/>
      <w:bCs/>
      <w:sz w:val="24"/>
      <w:szCs w:val="24"/>
    </w:rPr>
  </w:style>
  <w:style w:type="character" w:styleId="998" w:customStyle="1">
    <w:name w:val="标题 7 字符"/>
    <w:link w:val="921"/>
    <w:uiPriority w:val="99"/>
    <w:qFormat/>
    <w:rPr>
      <w:b/>
      <w:bCs/>
      <w:sz w:val="24"/>
      <w:szCs w:val="24"/>
    </w:rPr>
  </w:style>
  <w:style w:type="character" w:styleId="999" w:customStyle="1">
    <w:name w:val="标题 8 字符"/>
    <w:link w:val="922"/>
    <w:uiPriority w:val="99"/>
    <w:qFormat/>
    <w:rPr>
      <w:rFonts w:ascii="Cambria" w:hAnsi="Cambria"/>
      <w:sz w:val="24"/>
      <w:szCs w:val="24"/>
    </w:rPr>
  </w:style>
  <w:style w:type="character" w:styleId="1000" w:customStyle="1">
    <w:name w:val="标题 9 字符"/>
    <w:link w:val="923"/>
    <w:uiPriority w:val="99"/>
    <w:qFormat/>
    <w:rPr>
      <w:rFonts w:ascii="Cambria" w:hAnsi="Cambria"/>
      <w:sz w:val="21"/>
      <w:szCs w:val="21"/>
    </w:rPr>
  </w:style>
  <w:style w:type="character" w:styleId="1001" w:customStyle="1">
    <w:name w:val="文档结构图 字符"/>
    <w:link w:val="932"/>
    <w:uiPriority w:val="99"/>
    <w:semiHidden/>
    <w:qFormat/>
    <w:rPr>
      <w:rFonts w:cs="Times New Roman"/>
      <w:sz w:val="2"/>
    </w:rPr>
  </w:style>
  <w:style w:type="character" w:styleId="1002" w:customStyle="1">
    <w:name w:val="批注文字 字符"/>
    <w:link w:val="933"/>
    <w:uiPriority w:val="0"/>
    <w:qFormat/>
    <w:rPr>
      <w:rFonts w:cs="Times New Roman"/>
      <w:sz w:val="20"/>
      <w:szCs w:val="20"/>
    </w:rPr>
  </w:style>
  <w:style w:type="character" w:styleId="1003" w:customStyle="1">
    <w:name w:val="正文文本 3 字符"/>
    <w:link w:val="935"/>
    <w:uiPriority w:val="99"/>
    <w:semiHidden/>
    <w:qFormat/>
    <w:rPr>
      <w:rFonts w:cs="Times New Roman"/>
      <w:sz w:val="16"/>
      <w:szCs w:val="16"/>
    </w:rPr>
  </w:style>
  <w:style w:type="character" w:styleId="1004" w:customStyle="1">
    <w:name w:val="正文文本 字符"/>
    <w:link w:val="936"/>
    <w:uiPriority w:val="99"/>
    <w:semiHidden/>
    <w:qFormat/>
    <w:rPr>
      <w:rFonts w:cs="Times New Roman"/>
      <w:sz w:val="20"/>
      <w:szCs w:val="20"/>
    </w:rPr>
  </w:style>
  <w:style w:type="character" w:styleId="1005" w:customStyle="1">
    <w:name w:val="正文文本缩进 字符"/>
    <w:link w:val="937"/>
    <w:uiPriority w:val="99"/>
    <w:semiHidden/>
    <w:qFormat/>
    <w:rPr>
      <w:rFonts w:cs="Times New Roman"/>
      <w:sz w:val="20"/>
      <w:szCs w:val="20"/>
    </w:rPr>
  </w:style>
  <w:style w:type="character" w:styleId="1006" w:customStyle="1">
    <w:name w:val="纯文本 字符"/>
    <w:link w:val="942"/>
    <w:uiPriority w:val="0"/>
    <w:qFormat/>
    <w:rPr>
      <w:rFonts w:ascii="宋体" w:hAnsi="Courier New" w:cs="Courier New"/>
      <w:sz w:val="21"/>
      <w:szCs w:val="21"/>
    </w:rPr>
  </w:style>
  <w:style w:type="character" w:styleId="1007" w:customStyle="1">
    <w:name w:val="日期 字符"/>
    <w:link w:val="945"/>
    <w:uiPriority w:val="99"/>
    <w:semiHidden/>
    <w:qFormat/>
    <w:rPr>
      <w:rFonts w:cs="Times New Roman"/>
      <w:sz w:val="20"/>
      <w:szCs w:val="20"/>
    </w:rPr>
  </w:style>
  <w:style w:type="character" w:styleId="1008" w:customStyle="1">
    <w:name w:val="正文文本缩进 2 字符"/>
    <w:link w:val="946"/>
    <w:uiPriority w:val="99"/>
    <w:semiHidden/>
    <w:qFormat/>
    <w:rPr>
      <w:rFonts w:cs="Times New Roman"/>
      <w:sz w:val="20"/>
      <w:szCs w:val="20"/>
    </w:rPr>
  </w:style>
  <w:style w:type="character" w:styleId="1009" w:customStyle="1">
    <w:name w:val="批注框文本 字符"/>
    <w:link w:val="955"/>
    <w:uiPriority w:val="99"/>
    <w:semiHidden/>
    <w:qFormat/>
    <w:rPr>
      <w:sz w:val="18"/>
      <w:szCs w:val="18"/>
    </w:rPr>
  </w:style>
  <w:style w:type="character" w:styleId="1010" w:customStyle="1">
    <w:name w:val="页脚 字符"/>
    <w:link w:val="956"/>
    <w:uiPriority w:val="99"/>
    <w:qFormat/>
    <w:rPr>
      <w:rFonts w:eastAsia="宋体" w:cs="Times New Roman"/>
      <w:sz w:val="18"/>
      <w:lang w:val="en-US" w:eastAsia="zh-CN" w:bidi="ar-SA"/>
    </w:rPr>
  </w:style>
  <w:style w:type="character" w:styleId="1011" w:customStyle="1">
    <w:name w:val="页眉 字符"/>
    <w:link w:val="957"/>
    <w:uiPriority w:val="99"/>
    <w:semiHidden/>
    <w:qFormat/>
    <w:rPr>
      <w:rFonts w:eastAsia="宋体" w:cs="Times New Roman"/>
      <w:sz w:val="18"/>
      <w:lang w:val="en-US" w:eastAsia="zh-CN" w:bidi="ar-SA"/>
    </w:rPr>
  </w:style>
  <w:style w:type="character" w:styleId="1012" w:customStyle="1">
    <w:name w:val="正文文本缩进 3 字符"/>
    <w:link w:val="964"/>
    <w:uiPriority w:val="99"/>
    <w:semiHidden/>
    <w:qFormat/>
    <w:rPr>
      <w:rFonts w:cs="Times New Roman"/>
      <w:sz w:val="16"/>
      <w:szCs w:val="16"/>
    </w:rPr>
  </w:style>
  <w:style w:type="character" w:styleId="1013" w:customStyle="1">
    <w:name w:val="正文文本 2 字符"/>
    <w:link w:val="970"/>
    <w:uiPriority w:val="99"/>
    <w:semiHidden/>
    <w:qFormat/>
    <w:rPr>
      <w:rFonts w:cs="Times New Roman"/>
      <w:sz w:val="20"/>
      <w:szCs w:val="20"/>
    </w:rPr>
  </w:style>
  <w:style w:type="character" w:styleId="1014" w:customStyle="1">
    <w:name w:val="HTML 预设格式 字符"/>
    <w:link w:val="971"/>
    <w:uiPriority w:val="99"/>
    <w:semiHidden/>
    <w:qFormat/>
    <w:rPr>
      <w:rFonts w:ascii="Courier New" w:hAnsi="Courier New" w:cs="Courier New"/>
      <w:sz w:val="20"/>
      <w:szCs w:val="20"/>
    </w:rPr>
  </w:style>
  <w:style w:type="character" w:styleId="1015" w:customStyle="1">
    <w:name w:val="标题 字符"/>
    <w:link w:val="926"/>
    <w:uiPriority w:val="10"/>
    <w:qFormat/>
    <w:rPr>
      <w:rFonts w:ascii="Cambria" w:hAnsi="Cambria" w:cs="Times New Roman"/>
      <w:b/>
      <w:bCs/>
      <w:sz w:val="32"/>
      <w:szCs w:val="32"/>
    </w:rPr>
  </w:style>
  <w:style w:type="character" w:styleId="1016" w:customStyle="1">
    <w:name w:val="批注主题 字符"/>
    <w:link w:val="974"/>
    <w:uiPriority w:val="99"/>
    <w:semiHidden/>
    <w:qFormat/>
    <w:rPr>
      <w:rFonts w:cs="Times New Roman"/>
      <w:b/>
      <w:bCs/>
      <w:sz w:val="20"/>
      <w:szCs w:val="20"/>
    </w:rPr>
  </w:style>
  <w:style w:type="character" w:styleId="1017" w:customStyle="1">
    <w:name w:val="正文首行缩进 字符"/>
    <w:link w:val="975"/>
    <w:uiPriority w:val="99"/>
    <w:semiHidden/>
    <w:qFormat/>
  </w:style>
  <w:style w:type="character" w:styleId="1018" w:customStyle="1">
    <w:name w:val="point_normal1"/>
    <w:uiPriority w:val="99"/>
    <w:qFormat/>
    <w:rPr>
      <w:rFonts w:ascii="Arial" w:hAnsi="Arial" w:cs="Arial"/>
      <w:sz w:val="18"/>
      <w:szCs w:val="18"/>
    </w:rPr>
  </w:style>
  <w:style w:type="character" w:styleId="1019" w:customStyle="1">
    <w:name w:val="15"/>
    <w:uiPriority w:val="0"/>
    <w:qFormat/>
    <w:rPr>
      <w:rFonts w:hint="default" w:ascii="Times New Roman" w:hAnsi="Times New Roman" w:eastAsia="宋体" w:cs="Times New Roman"/>
    </w:rPr>
  </w:style>
  <w:style w:type="character" w:styleId="1020" w:customStyle="1">
    <w:name w:val="二级目录 Char"/>
    <w:link w:val="1021"/>
    <w:uiPriority w:val="99"/>
    <w:qFormat/>
    <w:rPr>
      <w:b/>
      <w:sz w:val="30"/>
      <w:szCs w:val="28"/>
    </w:rPr>
  </w:style>
  <w:style w:type="paragraph" w:styleId="1021" w:customStyle="1">
    <w:name w:val="二级目录"/>
    <w:next w:val="914"/>
    <w:link w:val="1020"/>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022" w:customStyle="1">
    <w:name w:val="副标题 Char2"/>
    <w:uiPriority w:val="11"/>
    <w:qFormat/>
    <w:rPr>
      <w:rFonts w:ascii="Calibri Light" w:hAnsi="Calibri Light" w:cs="Times New Roman"/>
      <w:b/>
      <w:bCs/>
      <w:sz w:val="32"/>
      <w:szCs w:val="32"/>
    </w:rPr>
  </w:style>
  <w:style w:type="character" w:styleId="1023" w:customStyle="1">
    <w:name w:val="正文2 Char"/>
    <w:link w:val="1024"/>
    <w:uiPriority w:val="0"/>
    <w:qFormat/>
    <w:rPr>
      <w:sz w:val="24"/>
    </w:rPr>
  </w:style>
  <w:style w:type="paragraph" w:styleId="1024" w:customStyle="1">
    <w:name w:val="正文2"/>
    <w:basedOn w:val="914"/>
    <w:link w:val="1023"/>
    <w:uiPriority w:val="0"/>
    <w:qFormat/>
    <w:pPr>
      <w:ind w:firstLine="510"/>
      <w:spacing w:before="156" w:line="360" w:lineRule="auto"/>
    </w:pPr>
    <w:rPr>
      <w:sz w:val="24"/>
    </w:rPr>
  </w:style>
  <w:style w:type="character" w:styleId="1025" w:customStyle="1">
    <w:name w:val="标题 3 Char"/>
    <w:uiPriority w:val="99"/>
    <w:qFormat/>
    <w:rPr>
      <w:rFonts w:ascii="宋体" w:hAnsi="宋体" w:eastAsia="宋体" w:cs="Times New Roman"/>
      <w:b/>
      <w:bCs/>
      <w:sz w:val="32"/>
      <w:szCs w:val="32"/>
      <w:lang w:val="en-US" w:eastAsia="zh-CN" w:bidi="ar-SA"/>
    </w:rPr>
  </w:style>
  <w:style w:type="character" w:styleId="1026" w:customStyle="1">
    <w:name w:val="纯文本 Char1"/>
    <w:uiPriority w:val="0"/>
    <w:qFormat/>
    <w:rPr>
      <w:rFonts w:ascii="宋体" w:hAnsi="Courier New" w:eastAsia="宋体"/>
      <w:sz w:val="21"/>
      <w:lang w:val="en-US" w:eastAsia="zh-CN" w:bidi="ar-SA"/>
    </w:rPr>
  </w:style>
  <w:style w:type="character" w:styleId="1027" w:customStyle="1">
    <w:name w:val="para_small"/>
    <w:uiPriority w:val="99"/>
    <w:qFormat/>
    <w:rPr>
      <w:rFonts w:cs="Times New Roman"/>
    </w:rPr>
  </w:style>
  <w:style w:type="character" w:styleId="1028" w:customStyle="1">
    <w:name w:val="标题 Char3"/>
    <w:uiPriority w:val="10"/>
    <w:qFormat/>
    <w:rPr>
      <w:rFonts w:ascii="黑体" w:hAnsi="黑体" w:eastAsia="黑体"/>
      <w:b/>
      <w:bCs/>
      <w:sz w:val="24"/>
      <w:szCs w:val="32"/>
    </w:rPr>
  </w:style>
  <w:style w:type="paragraph" w:styleId="1029" w:customStyle="1">
    <w:name w:val="样式"/>
    <w:basedOn w:val="914"/>
    <w:next w:val="936"/>
    <w:uiPriority w:val="99"/>
    <w:qFormat/>
    <w:rPr>
      <w:rFonts w:ascii="楷体_GB2312" w:hAnsi="Arial" w:eastAsia="楷体_GB2312"/>
      <w:sz w:val="28"/>
    </w:rPr>
  </w:style>
  <w:style w:type="paragraph" w:styleId="1030" w:customStyle="1">
    <w:name w:val="xl113"/>
    <w:basedOn w:val="9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31" w:customStyle="1">
    <w:name w:val="xl112"/>
    <w:basedOn w:val="9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32" w:customStyle="1">
    <w:name w:val="普通正文"/>
    <w:basedOn w:val="914"/>
    <w:uiPriority w:val="0"/>
    <w:qFormat/>
    <w:pPr>
      <w:ind w:firstLine="480"/>
      <w:jc w:val="left"/>
      <w:spacing w:before="120" w:after="120" w:line="360" w:lineRule="auto"/>
    </w:pPr>
    <w:rPr>
      <w:rFonts w:ascii="Arial" w:hAnsi="Arial" w:cs="Arial"/>
      <w:sz w:val="24"/>
      <w:szCs w:val="24"/>
    </w:rPr>
  </w:style>
  <w:style w:type="paragraph" w:styleId="1033" w:customStyle="1">
    <w:name w:val="Char Char Char Char Char Char Char Char Char Char Char Char Char"/>
    <w:basedOn w:val="932"/>
    <w:uiPriority w:val="99"/>
    <w:qFormat/>
    <w:rPr>
      <w:rFonts w:ascii="Tahoma" w:hAnsi="Tahoma"/>
      <w:sz w:val="24"/>
      <w:szCs w:val="24"/>
    </w:rPr>
  </w:style>
  <w:style w:type="paragraph" w:styleId="1034" w:customStyle="1">
    <w:name w:val="丁华标题1"/>
    <w:basedOn w:val="915"/>
    <w:next w:val="1035"/>
    <w:uiPriority w:val="99"/>
    <w:qFormat/>
    <w:pPr>
      <w:numPr>
        <w:numId w:val="2"/>
      </w:numPr>
      <w:ind w:firstLine="0"/>
      <w:jc w:val="left"/>
      <w:keepLines/>
      <w:spacing w:before="0" w:line="578" w:lineRule="auto"/>
      <w:tabs>
        <w:tab w:val="left" w:pos="567" w:leader="none"/>
        <w:tab w:val="clear" w:pos="1440" w:leader="none"/>
        <w:tab w:val="clear" w:pos="5670" w:leader="none"/>
      </w:tabs>
    </w:pPr>
    <w:rPr>
      <w:rFonts w:ascii="Times New Roman"/>
      <w:b w:val="0"/>
      <w:sz w:val="32"/>
    </w:rPr>
  </w:style>
  <w:style w:type="paragraph" w:styleId="1035" w:customStyle="1">
    <w:name w:val="丁华正文"/>
    <w:basedOn w:val="964"/>
    <w:uiPriority w:val="99"/>
    <w:qFormat/>
    <w:pPr>
      <w:ind w:left="0" w:firstLine="510"/>
      <w:spacing w:line="360" w:lineRule="auto"/>
    </w:pPr>
    <w:rPr>
      <w:sz w:val="24"/>
    </w:rPr>
  </w:style>
  <w:style w:type="paragraph" w:styleId="1036" w:customStyle="1">
    <w:name w:val="Bullets L1"/>
    <w:basedOn w:val="914"/>
    <w:uiPriority w:val="99"/>
    <w:qFormat/>
    <w:pPr>
      <w:numPr>
        <w:ilvl w:val="0"/>
        <w:numId w:val="3"/>
      </w:numPr>
      <w:jc w:val="left"/>
      <w:spacing w:before="60" w:after="60"/>
      <w:widowControl/>
    </w:pPr>
    <w:rPr>
      <w:rFonts w:ascii="Arial" w:hAnsi="Arial"/>
      <w:sz w:val="20"/>
    </w:rPr>
  </w:style>
  <w:style w:type="paragraph" w:styleId="1037" w:customStyle="1">
    <w:name w:val="+正文"/>
    <w:basedOn w:val="914"/>
    <w:uiPriority w:val="0"/>
    <w:qFormat/>
    <w:pPr>
      <w:ind w:firstLine="200"/>
      <w:spacing w:line="360" w:lineRule="auto"/>
    </w:pPr>
    <w:rPr>
      <w:sz w:val="24"/>
      <w:szCs w:val="28"/>
    </w:rPr>
  </w:style>
  <w:style w:type="paragraph" w:styleId="1038" w:customStyle="1">
    <w:name w:val="xl107"/>
    <w:basedOn w:val="914"/>
    <w:next w:val="929"/>
    <w:uiPriority w:val="0"/>
    <w:qFormat/>
    <w:pPr>
      <w:jc w:val="left"/>
      <w:spacing w:before="100" w:beforeAutospacing="1" w:after="100" w:afterAutospacing="1"/>
      <w:widowControl/>
    </w:pPr>
    <w:rPr>
      <w:rFonts w:ascii="Arial" w:hAnsi="Arial" w:cs="Arial"/>
      <w:sz w:val="20"/>
    </w:rPr>
  </w:style>
  <w:style w:type="paragraph" w:styleId="1039" w:customStyle="1">
    <w:name w:val="xl116"/>
    <w:basedOn w:val="91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40" w:customStyle="1">
    <w:name w:val="默认段落字体 Para Char Char Char Char Char Char Char"/>
    <w:basedOn w:val="914"/>
    <w:uiPriority w:val="99"/>
    <w:qFormat/>
  </w:style>
  <w:style w:type="paragraph" w:styleId="1041" w:customStyle="1">
    <w:name w:val="xl108"/>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42" w:customStyle="1">
    <w:name w:val="Table Paragraph"/>
    <w:basedOn w:val="914"/>
    <w:uiPriority w:val="1"/>
    <w:qFormat/>
    <w:rPr>
      <w:rFonts w:ascii="宋体" w:hAnsi="宋体" w:cs="宋体"/>
      <w:lang w:val="zh-CN" w:bidi="zh-CN"/>
    </w:rPr>
  </w:style>
  <w:style w:type="paragraph" w:styleId="1043" w:customStyle="1">
    <w:name w:val="丁华标题2"/>
    <w:basedOn w:val="916"/>
    <w:next w:val="1035"/>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044" w:customStyle="1">
    <w:name w:val="font5"/>
    <w:basedOn w:val="914"/>
    <w:uiPriority w:val="0"/>
    <w:qFormat/>
    <w:pPr>
      <w:jc w:val="left"/>
      <w:spacing w:before="100" w:beforeAutospacing="1" w:after="100" w:afterAutospacing="1"/>
      <w:widowControl/>
    </w:pPr>
    <w:rPr>
      <w:rFonts w:ascii="宋体" w:hAnsi="宋体" w:cs="宋体"/>
      <w:sz w:val="18"/>
      <w:szCs w:val="18"/>
    </w:rPr>
  </w:style>
  <w:style w:type="paragraph" w:styleId="1045" w:customStyle="1">
    <w:name w:val="Char"/>
    <w:basedOn w:val="914"/>
    <w:uiPriority w:val="0"/>
    <w:qFormat/>
    <w:rPr>
      <w:rFonts w:ascii="Tahoma" w:hAnsi="Tahoma" w:cs="仿宋_GB2312"/>
      <w:sz w:val="24"/>
      <w:szCs w:val="28"/>
    </w:rPr>
  </w:style>
  <w:style w:type="paragraph" w:styleId="1046" w:customStyle="1">
    <w:name w:val="列出段落1"/>
    <w:basedOn w:val="914"/>
    <w:uiPriority w:val="99"/>
    <w:qFormat/>
    <w:pPr>
      <w:contextualSpacing/>
      <w:ind w:left="720"/>
      <w:jc w:val="left"/>
      <w:widowControl/>
    </w:pPr>
    <w:rPr>
      <w:rFonts w:ascii="Arial" w:hAnsi="Arial" w:eastAsia="黑体"/>
      <w:sz w:val="24"/>
      <w:szCs w:val="24"/>
      <w:lang w:eastAsia="en-US"/>
    </w:rPr>
  </w:style>
  <w:style w:type="paragraph" w:styleId="1047" w:customStyle="1">
    <w:name w:val="font7"/>
    <w:basedOn w:val="914"/>
    <w:uiPriority w:val="0"/>
    <w:qFormat/>
    <w:pPr>
      <w:jc w:val="left"/>
      <w:spacing w:before="100" w:beforeAutospacing="1" w:after="100" w:afterAutospacing="1"/>
      <w:widowControl/>
    </w:pPr>
    <w:rPr>
      <w:rFonts w:ascii="Arial" w:hAnsi="Arial" w:cs="Arial"/>
      <w:color w:val="000000"/>
      <w:sz w:val="20"/>
    </w:rPr>
  </w:style>
  <w:style w:type="paragraph" w:styleId="1048" w:customStyle="1">
    <w:name w:val="xl111"/>
    <w:basedOn w:val="914"/>
    <w:next w:val="9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49" w:customStyle="1">
    <w:name w:val="tableau"/>
    <w:basedOn w:val="914"/>
    <w:uiPriority w:val="99"/>
    <w:qFormat/>
    <w:pPr>
      <w:jc w:val="center"/>
      <w:spacing w:before="20" w:after="20"/>
      <w:widowControl/>
    </w:pPr>
    <w:rPr>
      <w:rFonts w:ascii="Arial" w:hAnsi="Arial"/>
      <w:sz w:val="16"/>
      <w:lang w:eastAsia="en-US"/>
    </w:rPr>
  </w:style>
  <w:style w:type="paragraph" w:styleId="1050" w:customStyle="1">
    <w:name w:val="列出段落3"/>
    <w:basedOn w:val="914"/>
    <w:uiPriority w:val="34"/>
    <w:qFormat/>
    <w:pPr>
      <w:ind w:firstLine="420"/>
    </w:pPr>
  </w:style>
  <w:style w:type="paragraph" w:styleId="1051" w:customStyle="1">
    <w:name w:val="Char1"/>
    <w:basedOn w:val="914"/>
    <w:uiPriority w:val="99"/>
    <w:qFormat/>
    <w:pPr>
      <w:jc w:val="left"/>
      <w:spacing w:after="160" w:line="240" w:lineRule="exact"/>
      <w:widowControl/>
    </w:pPr>
    <w:rPr>
      <w:rFonts w:ascii="Verdana" w:hAnsi="Verdana" w:eastAsia="仿宋_GB2312"/>
      <w:sz w:val="24"/>
      <w:lang w:eastAsia="en-US"/>
    </w:rPr>
  </w:style>
  <w:style w:type="paragraph" w:styleId="1052" w:customStyle="1">
    <w:name w:val="Char Char Char"/>
    <w:basedOn w:val="932"/>
    <w:uiPriority w:val="99"/>
    <w:qFormat/>
    <w:pPr>
      <w:spacing w:line="436" w:lineRule="exact"/>
    </w:pPr>
    <w:rPr>
      <w:szCs w:val="24"/>
    </w:rPr>
  </w:style>
  <w:style w:type="paragraph" w:styleId="1053" w:customStyle="1">
    <w:name w:val="xl109"/>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54" w:customStyle="1">
    <w:name w:val="Char Char Char Char"/>
    <w:basedOn w:val="932"/>
    <w:uiPriority w:val="99"/>
    <w:qFormat/>
    <w:pPr>
      <w:spacing w:line="360" w:lineRule="auto"/>
    </w:pPr>
    <w:rPr>
      <w:rFonts w:ascii="Tahoma" w:hAnsi="Tahoma"/>
      <w:sz w:val="24"/>
      <w:szCs w:val="24"/>
    </w:rPr>
  </w:style>
  <w:style w:type="paragraph" w:styleId="1055" w:customStyle="1">
    <w:name w:val="List Paragraph1"/>
    <w:basedOn w:val="914"/>
    <w:uiPriority w:val="99"/>
    <w:qFormat/>
    <w:pPr>
      <w:ind w:firstLine="420"/>
    </w:pPr>
    <w:rPr>
      <w:szCs w:val="24"/>
    </w:rPr>
  </w:style>
  <w:style w:type="paragraph" w:styleId="1056" w:customStyle="1">
    <w:name w:val="font6"/>
    <w:basedOn w:val="914"/>
    <w:uiPriority w:val="0"/>
    <w:qFormat/>
    <w:pPr>
      <w:jc w:val="left"/>
      <w:spacing w:before="100" w:beforeAutospacing="1" w:after="100" w:afterAutospacing="1"/>
      <w:widowControl/>
    </w:pPr>
    <w:rPr>
      <w:rFonts w:ascii="宋体" w:hAnsi="宋体" w:cs="宋体"/>
      <w:color w:val="000000"/>
      <w:sz w:val="20"/>
    </w:rPr>
  </w:style>
  <w:style w:type="paragraph" w:styleId="1057" w:customStyle="1">
    <w:name w:val="xl25"/>
    <w:basedOn w:val="914"/>
    <w:uiPriority w:val="99"/>
    <w:qFormat/>
    <w:pPr>
      <w:jc w:val="center"/>
      <w:spacing w:before="100" w:beforeAutospacing="1" w:after="100" w:afterAutospacing="1"/>
      <w:widowControl/>
      <w:pBdr>
        <w:right w:val="single" w:color="auto" w:sz="4" w:space="0"/>
      </w:pBdr>
    </w:pPr>
    <w:rPr>
      <w:szCs w:val="21"/>
    </w:rPr>
  </w:style>
  <w:style w:type="paragraph" w:styleId="1058" w:customStyle="1">
    <w:name w:val="丁华标题3"/>
    <w:basedOn w:val="1043"/>
    <w:next w:val="1035"/>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059" w:customStyle="1">
    <w:name w:val="模板正文"/>
    <w:basedOn w:val="914"/>
    <w:uiPriority w:val="0"/>
    <w:qFormat/>
    <w:pPr>
      <w:ind w:firstLine="200"/>
      <w:spacing w:before="120" w:line="360" w:lineRule="auto"/>
    </w:pPr>
    <w:rPr>
      <w:rFonts w:eastAsia="仿宋_GB2312"/>
      <w:sz w:val="24"/>
      <w:szCs w:val="21"/>
    </w:rPr>
  </w:style>
  <w:style w:type="paragraph" w:styleId="1060" w:customStyle="1">
    <w:name w:val="msolistparagraph"/>
    <w:basedOn w:val="914"/>
    <w:uiPriority w:val="99"/>
    <w:qFormat/>
    <w:pPr>
      <w:ind w:firstLine="420"/>
    </w:pPr>
    <w:rPr>
      <w:rFonts w:ascii="Calibri" w:hAnsi="Calibri"/>
      <w:szCs w:val="22"/>
    </w:rPr>
  </w:style>
  <w:style w:type="paragraph" w:styleId="1061" w:customStyle="1">
    <w:name w:val="首行缩进"/>
    <w:basedOn w:val="914"/>
    <w:uiPriority w:val="0"/>
    <w:qFormat/>
    <w:pPr>
      <w:ind w:firstLine="480"/>
    </w:pPr>
    <w:rPr>
      <w:rFonts w:ascii="Calibri" w:hAnsi="Calibri"/>
      <w:szCs w:val="21"/>
    </w:rPr>
  </w:style>
  <w:style w:type="paragraph" w:styleId="1062" w:customStyle="1">
    <w:name w:val="retrait3"/>
    <w:basedOn w:val="914"/>
    <w:uiPriority w:val="99"/>
    <w:qFormat/>
    <w:pPr>
      <w:ind w:left="851"/>
      <w:jc w:val="left"/>
      <w:spacing w:before="20" w:after="20"/>
      <w:widowControl/>
    </w:pPr>
    <w:rPr>
      <w:rFonts w:ascii="Arial" w:hAnsi="Arial"/>
      <w:sz w:val="24"/>
    </w:rPr>
  </w:style>
  <w:style w:type="paragraph" w:styleId="1063" w:customStyle="1">
    <w:name w:val="论文正文"/>
    <w:basedOn w:val="946"/>
    <w:uiPriority w:val="99"/>
    <w:qFormat/>
    <w:pPr>
      <w:ind w:left="0" w:firstLine="200"/>
      <w:jc w:val="left"/>
      <w:spacing w:line="360" w:lineRule="auto"/>
    </w:pPr>
    <w:rPr>
      <w:sz w:val="28"/>
      <w:szCs w:val="24"/>
    </w:rPr>
  </w:style>
  <w:style w:type="paragraph" w:styleId="1064"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065" w:customStyle="1">
    <w:name w:val="正文_0"/>
    <w:uiPriority w:val="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066" w:customStyle="1">
    <w:name w:val="列出段落2"/>
    <w:basedOn w:val="914"/>
    <w:uiPriority w:val="34"/>
    <w:qFormat/>
    <w:pPr>
      <w:ind w:firstLine="420"/>
    </w:pPr>
  </w:style>
  <w:style w:type="paragraph" w:styleId="1067" w:customStyle="1">
    <w:name w:val="zhang"/>
    <w:basedOn w:val="914"/>
    <w:uiPriority w:val="0"/>
    <w:qFormat/>
    <w:pPr>
      <w:spacing w:before="100" w:beforeAutospacing="1" w:after="100" w:afterAutospacing="1"/>
    </w:pPr>
    <w:rPr>
      <w:b/>
      <w:bCs/>
      <w:smallCaps/>
      <w:color w:val="000000"/>
      <w:sz w:val="20"/>
    </w:rPr>
  </w:style>
  <w:style w:type="paragraph" w:styleId="1068" w:customStyle="1">
    <w:name w:val="_Style 145"/>
    <w:basedOn w:val="915"/>
    <w:next w:val="914"/>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69" w:customStyle="1">
    <w:name w:val="列出段落4"/>
    <w:basedOn w:val="914"/>
    <w:uiPriority w:val="34"/>
    <w:qFormat/>
    <w:pPr>
      <w:ind w:firstLine="420"/>
    </w:pPr>
  </w:style>
  <w:style w:type="paragraph" w:styleId="1070" w:customStyle="1">
    <w:name w:val="段落"/>
    <w:basedOn w:val="914"/>
    <w:uiPriority w:val="99"/>
    <w:qFormat/>
    <w:pPr>
      <w:ind w:firstLine="480"/>
      <w:spacing w:line="460" w:lineRule="exact"/>
    </w:pPr>
    <w:rPr>
      <w:sz w:val="24"/>
    </w:rPr>
  </w:style>
  <w:style w:type="paragraph" w:styleId="1071" w:customStyle="1">
    <w:name w:val="默认段落字体 Para Char"/>
    <w:basedOn w:val="914"/>
    <w:uiPriority w:val="99"/>
    <w:qFormat/>
    <w:rPr>
      <w:sz w:val="24"/>
      <w:szCs w:val="24"/>
    </w:rPr>
  </w:style>
  <w:style w:type="paragraph" w:styleId="1072" w:customStyle="1">
    <w:name w:val="表格1"/>
    <w:basedOn w:val="914"/>
    <w:uiPriority w:val="99"/>
    <w:qFormat/>
    <w:rPr>
      <w:rFonts w:ascii="宋体"/>
      <w:szCs w:val="21"/>
    </w:rPr>
  </w:style>
  <w:style w:type="paragraph" w:styleId="1073" w:customStyle="1">
    <w:name w:val="Char Char Char Char Char Char Char Char Char Char Char1 Char Char Char1"/>
    <w:basedOn w:val="914"/>
    <w:uiPriority w:val="99"/>
    <w:semiHidden/>
    <w:qFormat/>
    <w:pPr>
      <w:ind w:firstLine="200"/>
      <w:jc w:val="left"/>
    </w:pPr>
    <w:rPr>
      <w:rFonts w:ascii="Tahoma" w:hAnsi="Tahoma"/>
      <w:sz w:val="24"/>
      <w:szCs w:val="24"/>
    </w:rPr>
  </w:style>
  <w:style w:type="paragraph" w:styleId="1074" w:customStyle="1">
    <w:name w:val="Char Char2 Char Char"/>
    <w:basedOn w:val="932"/>
    <w:uiPriority w:val="99"/>
    <w:qFormat/>
    <w:pPr>
      <w:spacing w:line="436" w:lineRule="exact"/>
    </w:pPr>
    <w:rPr>
      <w:rFonts w:ascii="Tahoma" w:hAnsi="Tahoma"/>
      <w:sz w:val="24"/>
    </w:rPr>
  </w:style>
  <w:style w:type="paragraph" w:styleId="1075" w:customStyle="1">
    <w:name w:val="p0"/>
    <w:basedOn w:val="914"/>
    <w:uiPriority w:val="99"/>
    <w:qFormat/>
    <w:pPr>
      <w:widowControl/>
    </w:pPr>
    <w:rPr>
      <w:szCs w:val="21"/>
    </w:rPr>
  </w:style>
  <w:style w:type="paragraph" w:styleId="1076" w:customStyle="1">
    <w:name w:val="xl114"/>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77" w:customStyle="1">
    <w:name w:val="_Style 154"/>
    <w:uiPriority w:val="99"/>
    <w:unhideWhenUsed/>
    <w:qFormat/>
    <w:rPr>
      <w:rFonts w:ascii="Times New Roman" w:hAnsi="Times New Roman" w:eastAsia="宋体" w:cs="Times New Roman"/>
      <w:sz w:val="21"/>
      <w:lang w:val="en-US" w:eastAsia="zh-CN" w:bidi="ar-SA"/>
    </w:rPr>
  </w:style>
  <w:style w:type="paragraph" w:styleId="1078" w:customStyle="1">
    <w:name w:val="xl115"/>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79">
    <w:name w:val="List Paragraph"/>
    <w:basedOn w:val="914"/>
    <w:uiPriority w:val="99"/>
    <w:qFormat/>
    <w:pPr>
      <w:ind w:firstLine="420"/>
    </w:pPr>
    <w:rPr>
      <w:rFonts w:ascii="Calibri" w:hAnsi="Calibri"/>
      <w:szCs w:val="22"/>
    </w:rPr>
  </w:style>
  <w:style w:type="paragraph" w:styleId="1080" w:customStyle="1">
    <w:name w:val="正文1"/>
    <w:uiPriority w:val="0"/>
    <w:qFormat/>
    <w:pPr>
      <w:jc w:val="both"/>
      <w:widowControl w:val="off"/>
    </w:pPr>
    <w:rPr>
      <w:rFonts w:ascii="Times New Roman" w:hAnsi="Times New Roman" w:eastAsia="Times New Roman" w:cs="Times New Roman"/>
      <w:sz w:val="21"/>
      <w:szCs w:val="22"/>
      <w:lang w:val="en-US" w:eastAsia="zh-CN" w:bidi="ar-SA"/>
    </w:rPr>
  </w:style>
  <w:style w:type="paragraph" w:styleId="1081" w:customStyle="1">
    <w:name w:val="标题6"/>
    <w:basedOn w:val="919"/>
    <w:uiPriority w:val="99"/>
    <w:qFormat/>
    <w:pPr>
      <w:numPr>
        <w:ilvl w:val="0"/>
        <w:numId w:val="5"/>
      </w:numPr>
      <w:keepLines/>
    </w:pPr>
    <w:rPr>
      <w:b w:val="0"/>
      <w:sz w:val="24"/>
    </w:rPr>
  </w:style>
  <w:style w:type="paragraph" w:styleId="1082" w:customStyle="1">
    <w:name w:val="Normal_0"/>
    <w:basedOn w:val="914"/>
    <w:uiPriority w:val="0"/>
    <w:qFormat/>
    <w:rPr>
      <w:rFonts w:eastAsia="Times New Roman"/>
      <w:sz w:val="24"/>
      <w:szCs w:val="24"/>
    </w:rPr>
  </w:style>
  <w:style w:type="paragraph" w:styleId="1083" w:customStyle="1">
    <w:name w:val="xl110"/>
    <w:basedOn w:val="9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84" w:customStyle="1">
    <w:name w:val="Heading 3_0"/>
    <w:basedOn w:val="1082"/>
    <w:next w:val="1082"/>
    <w:uiPriority w:val="0"/>
    <w:qFormat/>
    <w:pPr>
      <w:keepLines/>
      <w:keepNext/>
      <w:spacing w:after="100" w:afterAutospacing="1"/>
      <w:outlineLvl w:val="2"/>
    </w:pPr>
    <w:rPr>
      <w:rFonts w:ascii="宋体" w:hAnsi="宋体" w:cs="宋体"/>
    </w:rPr>
  </w:style>
  <w:style w:type="paragraph" w:styleId="1085" w:customStyle="1">
    <w:name w:val="xl117"/>
    <w:basedOn w:val="91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86" w:customStyle="1">
    <w:name w:val="样式2"/>
    <w:basedOn w:val="916"/>
    <w:next w:val="916"/>
    <w:uiPriority w:val="0"/>
    <w:qFormat/>
    <w:pPr>
      <w:spacing w:line="400" w:lineRule="exact"/>
      <w:tabs>
        <w:tab w:val="left" w:pos="5250" w:leader="none"/>
      </w:tabs>
      <w:outlineLvl w:val="0"/>
    </w:pPr>
    <w:rPr>
      <w:rFonts w:hint="eastAsia" w:eastAsia="仿宋"/>
    </w:rPr>
  </w:style>
  <w:style w:type="paragraph" w:styleId="1087">
    <w:name w:val="No Spacing"/>
    <w:uiPriority w:val="1"/>
    <w:qFormat/>
    <w:pPr>
      <w:jc w:val="both"/>
      <w:widowControl w:val="off"/>
    </w:pPr>
    <w:rPr>
      <w:rFonts w:ascii="Times New Roman" w:hAnsi="Times New Roman" w:eastAsia="宋体" w:cs="Times New Roman"/>
      <w:sz w:val="21"/>
      <w:lang w:val="en-US" w:eastAsia="zh-CN" w:bidi="ar-SA"/>
    </w:rPr>
  </w:style>
  <w:style w:type="table" w:styleId="1088" w:customStyle="1">
    <w:name w:val="Table Normal"/>
    <w:basedOn w:val="925"/>
    <w:uiPriority w:val="2"/>
    <w:qFormat/>
    <w:rPr>
      <w:rFonts w:eastAsia="Times New Roman"/>
    </w:rPr>
    <w:tblPr>
      <w:tblCellMar>
        <w:left w:w="0" w:type="dxa"/>
        <w:right w:w="0" w:type="dxa"/>
      </w:tblCellMar>
    </w:tblPr>
  </w:style>
  <w:style w:type="paragraph" w:styleId="1089" w:customStyle="1">
    <w:name w:val="修订1"/>
    <w:hidden/>
    <w:uiPriority w:val="99"/>
    <w:semiHidden/>
    <w:qFormat/>
    <w:rPr>
      <w:rFonts w:ascii="Times New Roman" w:hAnsi="Times New Roman" w:eastAsia="宋体" w:cs="Times New Roman"/>
      <w:sz w:val="21"/>
      <w:lang w:val="en-US" w:eastAsia="zh-CN" w:bidi="ar-SA"/>
    </w:rPr>
  </w:style>
  <w:style w:type="paragraph" w:styleId="1090" w:customStyle="1">
    <w:name w:val="Default"/>
    <w:basedOn w:val="914"/>
    <w:uiPriority w:val="0"/>
    <w:qFormat/>
    <w:pPr>
      <w:jc w:val="left"/>
    </w:pPr>
    <w:rPr>
      <w:rFonts w:ascii="Sim Sun" w:hAnsi="Calibri" w:cs="宋体"/>
      <w:color w:val="000000"/>
      <w:sz w:val="24"/>
      <w:szCs w:val="24"/>
    </w:rPr>
  </w:style>
  <w:style w:type="paragraph" w:styleId="1091"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092" w:customStyle="1">
    <w:name w:val="BodyText1I"/>
    <w:basedOn w:val="1093"/>
    <w:next w:val="914"/>
    <w:uiPriority w:val="0"/>
    <w:qFormat/>
    <w:pPr>
      <w:ind w:firstLine="420"/>
      <w:spacing w:after="120"/>
    </w:pPr>
    <w:rPr>
      <w:sz w:val="24"/>
    </w:rPr>
  </w:style>
  <w:style w:type="paragraph" w:styleId="1093" w:customStyle="1">
    <w:name w:val="BodyText"/>
    <w:basedOn w:val="914"/>
    <w:uiPriority w:val="0"/>
    <w:qFormat/>
    <w:rPr>
      <w:sz w:val="32"/>
    </w:rPr>
  </w:style>
  <w:style w:type="paragraph" w:styleId="1094" w:customStyle="1">
    <w:name w:val="HPC正文"/>
    <w:basedOn w:val="914"/>
    <w:uiPriority w:val="0"/>
    <w:qFormat/>
    <w:pPr>
      <w:ind w:firstLine="424"/>
      <w:spacing w:line="360" w:lineRule="auto"/>
    </w:pPr>
    <w:rPr>
      <w:sz w:val="24"/>
      <w:szCs w:val="24"/>
    </w:rPr>
  </w:style>
  <w:style w:type="numbering" w:styleId="106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5DF6469-A900-4B83-942D-EA3F0B63129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李婷婷</cp:lastModifiedBy>
  <cp:revision>34</cp:revision>
  <dcterms:created xsi:type="dcterms:W3CDTF">2025-07-25T11:41:00Z</dcterms:created>
  <dcterms:modified xsi:type="dcterms:W3CDTF">2026-07-24T06:55:58Z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CF22CF3F949D44F4A49C6EBB0DC6AB37_13</vt:lpwstr>
  </property>
  <property fmtid="{D5CDD505-2E9C-101B-9397-08002B2CF9AE}" pid="4" name="KSOTemplateDocerSaveRecord">
    <vt:lpwstr>eyJoZGlkIjoiYjcxNjEzOTE2MWI4ZjRmNTQ0N2I1ZWY3MmFmN2FjODYiLCJ1c2VySWQiOiIxNzQ5OTc0NzYyIn0=</vt:lpwstr>
  </property>
</Properties>
</file>