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88354">
      <w:pPr>
        <w:rPr>
          <w:rFonts w:ascii="宋体" w:hAnsi="宋体" w:cs="宋体"/>
          <w:color w:val="auto"/>
          <w:sz w:val="44"/>
          <w:szCs w:val="44"/>
          <w:highlight w:val="none"/>
        </w:rPr>
      </w:pPr>
      <w:bookmarkStart w:id="167" w:name="_GoBack"/>
    </w:p>
    <w:p w14:paraId="2BCF44DF">
      <w:pPr>
        <w:jc w:val="center"/>
        <w:rPr>
          <w:rFonts w:ascii="宋体" w:hAnsi="宋体" w:cs="宋体"/>
          <w:color w:val="auto"/>
          <w:sz w:val="76"/>
          <w:szCs w:val="76"/>
          <w:highlight w:val="none"/>
        </w:rPr>
      </w:pPr>
      <w:r>
        <w:rPr>
          <w:rFonts w:hint="eastAsia" w:ascii="宋体" w:hAnsi="宋体" w:cs="宋体"/>
          <w:color w:val="auto"/>
          <w:sz w:val="76"/>
          <w:szCs w:val="76"/>
          <w:highlight w:val="none"/>
        </w:rPr>
        <w:t>竞争性磋商文件</w:t>
      </w:r>
    </w:p>
    <w:p w14:paraId="1E046838">
      <w:pPr>
        <w:rPr>
          <w:rFonts w:ascii="宋体" w:hAnsi="宋体" w:cs="宋体"/>
          <w:color w:val="auto"/>
          <w:sz w:val="32"/>
          <w:szCs w:val="32"/>
          <w:highlight w:val="none"/>
        </w:rPr>
      </w:pPr>
    </w:p>
    <w:p w14:paraId="2CC3CAE3">
      <w:pPr>
        <w:rPr>
          <w:rFonts w:ascii="宋体" w:hAnsi="宋体" w:cs="宋体"/>
          <w:color w:val="auto"/>
          <w:sz w:val="32"/>
          <w:szCs w:val="32"/>
          <w:highlight w:val="none"/>
        </w:rPr>
      </w:pPr>
    </w:p>
    <w:p w14:paraId="56BE41C8">
      <w:pPr>
        <w:rPr>
          <w:rFonts w:ascii="宋体" w:hAnsi="宋体" w:cs="宋体"/>
          <w:color w:val="auto"/>
          <w:sz w:val="44"/>
          <w:szCs w:val="44"/>
          <w:highlight w:val="none"/>
        </w:rPr>
      </w:pPr>
    </w:p>
    <w:p w14:paraId="3EC15D1B">
      <w:pPr>
        <w:rPr>
          <w:color w:val="auto"/>
          <w:highlight w:val="none"/>
        </w:rPr>
      </w:pPr>
    </w:p>
    <w:p w14:paraId="09AC2AAB">
      <w:pPr>
        <w:autoSpaceDE w:val="0"/>
        <w:adjustRightInd w:val="0"/>
        <w:snapToGrid w:val="0"/>
        <w:spacing w:line="360" w:lineRule="auto"/>
        <w:ind w:left="2200" w:hanging="2200" w:hangingChars="500"/>
        <w:jc w:val="center"/>
        <w:rPr>
          <w:rFonts w:hint="eastAsia" w:ascii="宋体" w:hAnsi="宋体" w:eastAsia="宋体" w:cs="宋体"/>
          <w:color w:val="auto"/>
          <w:sz w:val="44"/>
          <w:szCs w:val="20"/>
          <w:highlight w:val="none"/>
          <w:lang w:eastAsia="zh-CN"/>
        </w:rPr>
      </w:pPr>
      <w:r>
        <w:rPr>
          <w:rFonts w:hint="eastAsia" w:ascii="宋体" w:hAnsi="宋体" w:cs="宋体"/>
          <w:color w:val="auto"/>
          <w:sz w:val="44"/>
          <w:szCs w:val="44"/>
          <w:highlight w:val="none"/>
        </w:rPr>
        <w:t>项目名称：</w:t>
      </w:r>
      <w:r>
        <w:rPr>
          <w:rFonts w:hint="eastAsia" w:ascii="宋体" w:hAnsi="宋体" w:cs="宋体"/>
          <w:color w:val="auto"/>
          <w:sz w:val="44"/>
          <w:szCs w:val="20"/>
          <w:highlight w:val="none"/>
          <w:lang w:eastAsia="zh-CN"/>
        </w:rPr>
        <w:t>南京市第二医院2026年布草洗涤服务项目</w:t>
      </w:r>
    </w:p>
    <w:p w14:paraId="3CFE0863">
      <w:pPr>
        <w:ind w:firstLine="440" w:firstLineChars="100"/>
        <w:jc w:val="left"/>
        <w:rPr>
          <w:rFonts w:hint="eastAsia" w:ascii="宋体" w:hAnsi="宋体" w:eastAsia="宋体" w:cs="宋体"/>
          <w:color w:val="auto"/>
          <w:sz w:val="44"/>
          <w:szCs w:val="44"/>
          <w:highlight w:val="none"/>
          <w:lang w:eastAsia="zh-CN"/>
        </w:rPr>
      </w:pPr>
      <w:r>
        <w:rPr>
          <w:rFonts w:hint="eastAsia" w:ascii="宋体" w:hAnsi="宋体" w:cs="宋体"/>
          <w:color w:val="auto"/>
          <w:sz w:val="44"/>
          <w:highlight w:val="none"/>
        </w:rPr>
        <w:t>项目编号：</w:t>
      </w:r>
      <w:r>
        <w:rPr>
          <w:rFonts w:hint="eastAsia" w:ascii="宋体" w:hAnsi="宋体" w:cs="宋体"/>
          <w:color w:val="auto"/>
          <w:sz w:val="44"/>
          <w:highlight w:val="none"/>
          <w:lang w:eastAsia="zh-CN"/>
        </w:rPr>
        <w:t>JSZC-320100-JTGS-C2026-0030</w:t>
      </w:r>
    </w:p>
    <w:p w14:paraId="0E9ED49E">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0"/>
          <w:highlight w:val="none"/>
        </w:rPr>
        <w:t>（非专门面向中小企业）</w:t>
      </w:r>
    </w:p>
    <w:p w14:paraId="043253E8">
      <w:pPr>
        <w:pStyle w:val="17"/>
        <w:rPr>
          <w:rFonts w:ascii="宋体" w:hAnsi="宋体" w:cs="宋体"/>
          <w:color w:val="auto"/>
          <w:highlight w:val="none"/>
        </w:rPr>
      </w:pPr>
    </w:p>
    <w:p w14:paraId="04160784">
      <w:pPr>
        <w:pStyle w:val="17"/>
        <w:rPr>
          <w:rFonts w:ascii="宋体" w:hAnsi="宋体" w:cs="宋体"/>
          <w:color w:val="auto"/>
          <w:highlight w:val="none"/>
        </w:rPr>
      </w:pPr>
    </w:p>
    <w:p w14:paraId="322D5D6B">
      <w:pPr>
        <w:pStyle w:val="17"/>
        <w:rPr>
          <w:rFonts w:ascii="宋体" w:hAnsi="宋体" w:cs="宋体"/>
          <w:color w:val="auto"/>
          <w:highlight w:val="none"/>
        </w:rPr>
      </w:pPr>
    </w:p>
    <w:p w14:paraId="39727428">
      <w:pPr>
        <w:pStyle w:val="17"/>
        <w:rPr>
          <w:rFonts w:ascii="宋体" w:hAnsi="宋体" w:cs="宋体"/>
          <w:color w:val="auto"/>
          <w:highlight w:val="none"/>
        </w:rPr>
      </w:pPr>
    </w:p>
    <w:p w14:paraId="05D68E2F">
      <w:pPr>
        <w:pStyle w:val="17"/>
        <w:rPr>
          <w:rFonts w:ascii="宋体" w:hAnsi="宋体" w:cs="宋体"/>
          <w:color w:val="auto"/>
          <w:highlight w:val="none"/>
        </w:rPr>
      </w:pPr>
    </w:p>
    <w:p w14:paraId="04836677">
      <w:pPr>
        <w:rPr>
          <w:rFonts w:ascii="宋体" w:hAnsi="宋体" w:cs="宋体"/>
          <w:color w:val="auto"/>
          <w:sz w:val="44"/>
          <w:szCs w:val="44"/>
          <w:highlight w:val="none"/>
        </w:rPr>
      </w:pPr>
    </w:p>
    <w:p w14:paraId="69CB230B">
      <w:pPr>
        <w:pStyle w:val="17"/>
        <w:jc w:val="center"/>
        <w:rPr>
          <w:rFonts w:hint="eastAsia" w:ascii="宋体" w:hAnsi="宋体" w:eastAsia="宋体" w:cs="宋体"/>
          <w:color w:val="auto"/>
          <w:sz w:val="44"/>
          <w:szCs w:val="44"/>
          <w:highlight w:val="none"/>
          <w:lang w:eastAsia="zh-CN"/>
        </w:rPr>
      </w:pPr>
      <w:r>
        <w:rPr>
          <w:rFonts w:hint="eastAsia" w:ascii="宋体" w:hAnsi="宋体" w:cs="宋体"/>
          <w:color w:val="auto"/>
          <w:sz w:val="44"/>
          <w:szCs w:val="44"/>
          <w:highlight w:val="none"/>
        </w:rPr>
        <w:t>采购人：</w:t>
      </w:r>
      <w:r>
        <w:rPr>
          <w:rFonts w:hint="eastAsia" w:ascii="宋体" w:hAnsi="宋体" w:cs="宋体"/>
          <w:color w:val="auto"/>
          <w:sz w:val="44"/>
          <w:szCs w:val="44"/>
          <w:highlight w:val="none"/>
          <w:lang w:eastAsia="zh-CN"/>
        </w:rPr>
        <w:t>南京市第二医院</w:t>
      </w:r>
    </w:p>
    <w:p w14:paraId="0BE3D8AE">
      <w:pPr>
        <w:jc w:val="center"/>
        <w:rPr>
          <w:rFonts w:hint="eastAsia" w:ascii="宋体" w:hAnsi="宋体" w:eastAsia="宋体" w:cs="宋体"/>
          <w:color w:val="auto"/>
          <w:sz w:val="44"/>
          <w:szCs w:val="44"/>
          <w:highlight w:val="none"/>
          <w:lang w:eastAsia="zh-CN"/>
        </w:rPr>
      </w:pPr>
      <w:r>
        <w:rPr>
          <w:rFonts w:hint="eastAsia" w:ascii="宋体" w:hAnsi="宋体" w:cs="宋体"/>
          <w:color w:val="auto"/>
          <w:sz w:val="44"/>
          <w:szCs w:val="44"/>
          <w:highlight w:val="none"/>
        </w:rPr>
        <w:t>代理机构：</w:t>
      </w:r>
      <w:r>
        <w:rPr>
          <w:rFonts w:hint="eastAsia" w:ascii="宋体" w:hAnsi="宋体" w:cs="宋体"/>
          <w:color w:val="auto"/>
          <w:sz w:val="44"/>
          <w:szCs w:val="44"/>
          <w:highlight w:val="none"/>
          <w:lang w:eastAsia="zh-CN"/>
        </w:rPr>
        <w:t>江苏骏通建设项目管理咨询有限公司</w:t>
      </w:r>
    </w:p>
    <w:p w14:paraId="4182AFAC">
      <w:pPr>
        <w:jc w:val="center"/>
        <w:rPr>
          <w:rFonts w:ascii="宋体" w:hAnsi="宋体" w:cs="宋体"/>
          <w:color w:val="auto"/>
          <w:sz w:val="44"/>
          <w:szCs w:val="44"/>
          <w:highlight w:val="none"/>
        </w:rPr>
      </w:pPr>
      <w:r>
        <w:rPr>
          <w:rFonts w:hint="eastAsia" w:ascii="宋体" w:hAnsi="宋体" w:cs="宋体"/>
          <w:color w:val="auto"/>
          <w:sz w:val="44"/>
          <w:szCs w:val="44"/>
          <w:highlight w:val="none"/>
          <w:lang w:eastAsia="zh-CN"/>
        </w:rPr>
        <w:t>2026年</w:t>
      </w:r>
      <w:r>
        <w:rPr>
          <w:rFonts w:hint="eastAsia" w:ascii="宋体" w:hAnsi="宋体" w:cs="宋体"/>
          <w:color w:val="auto"/>
          <w:sz w:val="44"/>
          <w:szCs w:val="44"/>
          <w:highlight w:val="none"/>
          <w:lang w:val="en-US" w:eastAsia="zh-CN"/>
        </w:rPr>
        <w:t>7</w:t>
      </w:r>
      <w:r>
        <w:rPr>
          <w:rFonts w:hint="eastAsia" w:ascii="宋体" w:hAnsi="宋体" w:cs="宋体"/>
          <w:color w:val="auto"/>
          <w:sz w:val="44"/>
          <w:szCs w:val="44"/>
          <w:highlight w:val="none"/>
        </w:rPr>
        <w:t>月</w:t>
      </w:r>
    </w:p>
    <w:p w14:paraId="144C0A3A">
      <w:pPr>
        <w:spacing w:line="460" w:lineRule="exact"/>
        <w:jc w:val="center"/>
        <w:rPr>
          <w:rFonts w:ascii="宋体" w:hAnsi="宋体" w:cs="宋体"/>
          <w:color w:val="auto"/>
          <w:spacing w:val="-10"/>
          <w:sz w:val="36"/>
          <w:szCs w:val="36"/>
          <w:highlight w:val="none"/>
        </w:rPr>
        <w:sectPr>
          <w:pgSz w:w="11906" w:h="16838"/>
          <w:pgMar w:top="1276" w:right="1080" w:bottom="1276" w:left="1080" w:header="851" w:footer="992" w:gutter="0"/>
          <w:cols w:space="720" w:num="1"/>
          <w:docGrid w:type="lines" w:linePitch="312" w:charSpace="0"/>
        </w:sectPr>
      </w:pPr>
    </w:p>
    <w:p w14:paraId="3395DFDE">
      <w:pPr>
        <w:spacing w:line="460" w:lineRule="exact"/>
        <w:jc w:val="center"/>
        <w:rPr>
          <w:rFonts w:ascii="宋体" w:hAnsi="宋体" w:cs="宋体"/>
          <w:color w:val="auto"/>
          <w:highlight w:val="none"/>
        </w:rPr>
      </w:pPr>
      <w:r>
        <w:rPr>
          <w:rFonts w:hint="eastAsia" w:ascii="宋体" w:hAnsi="宋体" w:cs="宋体"/>
          <w:color w:val="auto"/>
          <w:spacing w:val="-10"/>
          <w:sz w:val="36"/>
          <w:szCs w:val="36"/>
          <w:highlight w:val="none"/>
        </w:rPr>
        <w:t>第一章 竞争性磋商邀请</w:t>
      </w:r>
    </w:p>
    <w:p w14:paraId="10AE2435">
      <w:pPr>
        <w:spacing w:line="400" w:lineRule="exact"/>
        <w:rPr>
          <w:rFonts w:ascii="宋体" w:hAnsi="宋体" w:cs="宋体"/>
          <w:color w:val="auto"/>
          <w:highlight w:val="none"/>
        </w:rPr>
      </w:pPr>
      <w:r>
        <w:rPr>
          <w:rFonts w:hint="eastAsia" w:ascii="宋体" w:hAnsi="宋体" w:cs="宋体"/>
          <w:color w:val="auto"/>
          <w:highlight w:val="none"/>
        </w:rPr>
        <w:t>项目概况</w:t>
      </w:r>
    </w:p>
    <w:p w14:paraId="4504D3C5">
      <w:pPr>
        <w:spacing w:line="400" w:lineRule="exact"/>
        <w:ind w:firstLine="420" w:firstLineChars="200"/>
        <w:rPr>
          <w:rFonts w:hint="eastAsia" w:ascii="宋体" w:hAnsi="宋体" w:eastAsia="宋体" w:cs="宋体"/>
          <w:color w:val="auto"/>
          <w:highlight w:val="none"/>
        </w:rPr>
      </w:pPr>
      <w:bookmarkStart w:id="0" w:name="_Toc28359089"/>
      <w:bookmarkStart w:id="1" w:name="_Toc35393629"/>
      <w:bookmarkStart w:id="2" w:name="_Toc35393798"/>
      <w:bookmarkStart w:id="3" w:name="_Toc28359012"/>
      <w:r>
        <w:rPr>
          <w:rFonts w:hint="eastAsia" w:ascii="宋体" w:hAnsi="宋体" w:cs="宋体"/>
          <w:color w:val="auto"/>
          <w:highlight w:val="none"/>
          <w:lang w:eastAsia="zh-CN"/>
        </w:rPr>
        <w:t>南京市第二医院2026年布草洗涤服务项目</w:t>
      </w:r>
      <w:r>
        <w:rPr>
          <w:rFonts w:hint="eastAsia" w:ascii="宋体" w:hAnsi="宋体" w:eastAsia="宋体" w:cs="宋体"/>
          <w:color w:val="auto"/>
          <w:highlight w:val="none"/>
          <w:lang w:eastAsia="zh-CN"/>
        </w:rPr>
        <w:t>的潜在供应商应在</w:t>
      </w:r>
      <w:r>
        <w:rPr>
          <w:rFonts w:hint="eastAsia" w:ascii="宋体" w:hAnsi="宋体" w:eastAsia="宋体" w:cs="宋体"/>
          <w:color w:val="auto"/>
          <w:highlight w:val="none"/>
          <w:lang w:val="en-US" w:eastAsia="zh-CN"/>
        </w:rPr>
        <w:t>江苏政府采购网 (ccgp-jiangsu.gov.cn)获取采购文件</w:t>
      </w:r>
      <w:r>
        <w:rPr>
          <w:rFonts w:hint="eastAsia" w:ascii="宋体" w:hAnsi="宋体" w:eastAsia="宋体" w:cs="宋体"/>
          <w:color w:val="auto"/>
          <w:highlight w:val="none"/>
          <w:lang w:eastAsia="zh-CN"/>
        </w:rPr>
        <w:t>获取采购文件，并于</w:t>
      </w:r>
      <w:r>
        <w:rPr>
          <w:rFonts w:hint="eastAsia" w:ascii="宋体" w:hAnsi="宋体" w:cs="宋体"/>
          <w:color w:val="auto"/>
          <w:highlight w:val="none"/>
          <w:lang w:eastAsia="zh-CN"/>
        </w:rPr>
        <w:t>2026年</w:t>
      </w:r>
      <w:r>
        <w:rPr>
          <w:rFonts w:hint="eastAsia" w:ascii="宋体" w:hAnsi="宋体" w:cs="宋体"/>
          <w:color w:val="auto"/>
          <w:highlight w:val="none"/>
          <w:lang w:val="en-US" w:eastAsia="zh-CN"/>
        </w:rPr>
        <w:t>8</w:t>
      </w:r>
      <w:r>
        <w:rPr>
          <w:rFonts w:hint="eastAsia" w:ascii="宋体" w:hAnsi="宋体" w:cs="宋体"/>
          <w:color w:val="auto"/>
          <w:highlight w:val="none"/>
          <w:lang w:eastAsia="zh-CN"/>
        </w:rPr>
        <w:t>月</w:t>
      </w:r>
      <w:r>
        <w:rPr>
          <w:rFonts w:hint="eastAsia" w:ascii="宋体" w:hAnsi="宋体" w:cs="宋体"/>
          <w:color w:val="auto"/>
          <w:highlight w:val="none"/>
          <w:lang w:val="en-US" w:eastAsia="zh-CN"/>
        </w:rPr>
        <w:t>21</w:t>
      </w:r>
      <w:r>
        <w:rPr>
          <w:rFonts w:hint="eastAsia" w:ascii="宋体" w:hAnsi="宋体" w:cs="宋体"/>
          <w:color w:val="auto"/>
          <w:highlight w:val="none"/>
          <w:lang w:eastAsia="zh-CN"/>
        </w:rPr>
        <w:t>日</w:t>
      </w:r>
      <w:r>
        <w:rPr>
          <w:rFonts w:hint="eastAsia" w:ascii="宋体" w:hAnsi="宋体" w:eastAsia="宋体" w:cs="宋体"/>
          <w:color w:val="auto"/>
          <w:highlight w:val="none"/>
        </w:rPr>
        <w:t>14点30分</w:t>
      </w:r>
      <w:r>
        <w:rPr>
          <w:rFonts w:hint="eastAsia" w:ascii="宋体" w:hAnsi="宋体" w:eastAsia="宋体" w:cs="宋体"/>
          <w:color w:val="auto"/>
          <w:highlight w:val="none"/>
        </w:rPr>
        <w:t>（北京时间）前</w:t>
      </w:r>
      <w:r>
        <w:rPr>
          <w:rFonts w:hint="eastAsia" w:ascii="宋体" w:hAnsi="宋体" w:eastAsia="宋体" w:cs="宋体"/>
          <w:color w:val="auto"/>
          <w:highlight w:val="none"/>
          <w:lang w:val="en-US" w:eastAsia="zh-CN"/>
        </w:rPr>
        <w:t>提交响应</w:t>
      </w:r>
      <w:r>
        <w:rPr>
          <w:rFonts w:hint="eastAsia" w:ascii="宋体" w:hAnsi="宋体" w:eastAsia="宋体" w:cs="宋体"/>
          <w:color w:val="auto"/>
          <w:highlight w:val="none"/>
        </w:rPr>
        <w:t>文件。</w:t>
      </w:r>
    </w:p>
    <w:p w14:paraId="05E0E368">
      <w:pPr>
        <w:spacing w:line="400" w:lineRule="exact"/>
        <w:rPr>
          <w:rFonts w:ascii="宋体" w:hAnsi="宋体" w:cs="宋体"/>
          <w:color w:val="auto"/>
          <w:highlight w:val="none"/>
        </w:rPr>
      </w:pPr>
      <w:r>
        <w:rPr>
          <w:rFonts w:hint="eastAsia" w:ascii="宋体" w:hAnsi="宋体" w:cs="宋体"/>
          <w:color w:val="auto"/>
          <w:highlight w:val="none"/>
        </w:rPr>
        <w:t>一、项目基本情况</w:t>
      </w:r>
      <w:bookmarkEnd w:id="0"/>
      <w:bookmarkEnd w:id="1"/>
      <w:bookmarkEnd w:id="2"/>
      <w:bookmarkEnd w:id="3"/>
    </w:p>
    <w:p w14:paraId="7C9C21A0">
      <w:pPr>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JSZC-320100-JTGS-C2026-0030</w:t>
      </w:r>
    </w:p>
    <w:p w14:paraId="02739C34">
      <w:pPr>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南京市第二医院2026年布草洗涤服务项目</w:t>
      </w:r>
    </w:p>
    <w:p w14:paraId="45F2D2F3">
      <w:pPr>
        <w:spacing w:line="400" w:lineRule="exact"/>
        <w:rPr>
          <w:rFonts w:hint="eastAsia" w:ascii="宋体" w:hAnsi="宋体" w:cs="宋体"/>
          <w:color w:val="auto"/>
          <w:highlight w:val="none"/>
          <w:lang w:eastAsia="zh-CN"/>
        </w:rPr>
      </w:pPr>
      <w:r>
        <w:rPr>
          <w:rFonts w:hint="eastAsia" w:ascii="宋体" w:hAnsi="宋体" w:cs="宋体"/>
          <w:color w:val="auto"/>
          <w:highlight w:val="none"/>
        </w:rPr>
        <w:t>3、项目规模：</w:t>
      </w:r>
      <w:r>
        <w:rPr>
          <w:rFonts w:hint="eastAsia" w:ascii="宋体" w:hAnsi="宋体" w:cs="宋体"/>
          <w:color w:val="auto"/>
          <w:highlight w:val="none"/>
          <w:lang w:eastAsia="zh-CN"/>
        </w:rPr>
        <w:t>南京市第二医院2026年布草洗涤服务项目内容包括：</w:t>
      </w:r>
    </w:p>
    <w:p w14:paraId="6BC1E772">
      <w:pPr>
        <w:spacing w:line="40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val="en-US" w:eastAsia="zh-CN"/>
        </w:rPr>
        <w:t>一标段：（采购包1）</w:t>
      </w:r>
      <w:r>
        <w:rPr>
          <w:rFonts w:hint="eastAsia" w:ascii="宋体" w:hAnsi="宋体" w:eastAsia="宋体" w:cs="宋体"/>
          <w:color w:val="auto"/>
          <w:highlight w:val="none"/>
          <w:lang w:eastAsia="zh-CN"/>
        </w:rPr>
        <w:t>南京市第二医院钟阜院区（钟阜路1-1号）</w:t>
      </w:r>
      <w:r>
        <w:rPr>
          <w:rFonts w:hint="eastAsia" w:ascii="宋体" w:hAnsi="宋体" w:cs="宋体"/>
          <w:color w:val="auto"/>
          <w:highlight w:val="none"/>
          <w:lang w:eastAsia="zh-CN"/>
        </w:rPr>
        <w:t>；</w:t>
      </w:r>
    </w:p>
    <w:p w14:paraId="3FA10C45">
      <w:pPr>
        <w:spacing w:line="400" w:lineRule="exact"/>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二标段：（采购包2）</w:t>
      </w:r>
      <w:r>
        <w:rPr>
          <w:rFonts w:hint="eastAsia" w:ascii="宋体" w:hAnsi="宋体" w:eastAsia="宋体" w:cs="宋体"/>
          <w:color w:val="auto"/>
          <w:highlight w:val="none"/>
          <w:lang w:eastAsia="zh-CN"/>
        </w:rPr>
        <w:t>汤山院区（康复路1号）布草洗涤服务。</w:t>
      </w:r>
    </w:p>
    <w:p w14:paraId="749B0660">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eastAsia" w:ascii="宋体" w:hAnsi="宋体" w:eastAsia="宋体" w:cs="宋体"/>
          <w:b/>
          <w:bCs/>
          <w:color w:val="auto"/>
          <w:highlight w:val="none"/>
          <w:lang w:eastAsia="zh-CN"/>
        </w:rPr>
      </w:pPr>
      <w:r>
        <w:rPr>
          <w:rFonts w:hint="eastAsia" w:ascii="Segoe UI" w:hAnsi="Segoe UI" w:eastAsia="宋体" w:cs="Segoe UI"/>
          <w:b/>
          <w:bCs/>
          <w:i w:val="0"/>
          <w:iCs w:val="0"/>
          <w:caps w:val="0"/>
          <w:color w:val="auto"/>
          <w:spacing w:val="0"/>
          <w:sz w:val="21"/>
          <w:szCs w:val="21"/>
          <w:highlight w:val="none"/>
          <w:shd w:val="clear" w:fill="FFFFFF"/>
          <w:lang w:val="en-US" w:eastAsia="zh-CN"/>
        </w:rPr>
        <w:t>注：本项目一标段、二标段同时开标，允许兼投兼中。</w:t>
      </w:r>
    </w:p>
    <w:p w14:paraId="5A2E0FF4">
      <w:pPr>
        <w:spacing w:line="400" w:lineRule="exact"/>
        <w:rPr>
          <w:color w:val="auto"/>
          <w:highlight w:val="none"/>
        </w:rPr>
      </w:pPr>
      <w:r>
        <w:rPr>
          <w:rFonts w:hint="eastAsia" w:ascii="宋体" w:hAnsi="宋体" w:cs="宋体"/>
          <w:color w:val="auto"/>
          <w:highlight w:val="none"/>
        </w:rPr>
        <w:t>4、采购方式：竞争性磋商</w:t>
      </w:r>
    </w:p>
    <w:p w14:paraId="42A54A51">
      <w:pPr>
        <w:spacing w:line="400" w:lineRule="exact"/>
        <w:rPr>
          <w:rFonts w:ascii="宋体" w:hAnsi="宋体" w:cs="宋体"/>
          <w:color w:val="auto"/>
          <w:highlight w:val="none"/>
        </w:rPr>
      </w:pPr>
      <w:r>
        <w:rPr>
          <w:rFonts w:hint="eastAsia" w:ascii="宋体" w:hAnsi="宋体" w:cs="宋体"/>
          <w:color w:val="auto"/>
          <w:highlight w:val="none"/>
        </w:rPr>
        <w:t>5、预算</w:t>
      </w:r>
      <w:r>
        <w:rPr>
          <w:rFonts w:hint="eastAsia" w:ascii="宋体" w:hAnsi="宋体" w:cs="宋体"/>
          <w:color w:val="auto"/>
          <w:highlight w:val="none"/>
          <w:lang w:val="zh-CN"/>
        </w:rPr>
        <w:t>金额：</w:t>
      </w:r>
      <w:r>
        <w:rPr>
          <w:rFonts w:hint="eastAsia" w:ascii="宋体" w:hAnsi="宋体" w:cs="宋体"/>
          <w:color w:val="auto"/>
          <w:highlight w:val="none"/>
          <w:lang w:val="en-US" w:eastAsia="zh-CN"/>
        </w:rPr>
        <w:t>150</w:t>
      </w:r>
      <w:r>
        <w:rPr>
          <w:rFonts w:hint="eastAsia" w:ascii="宋体" w:hAnsi="宋体" w:cs="宋体"/>
          <w:color w:val="auto"/>
          <w:highlight w:val="none"/>
        </w:rPr>
        <w:t>万元</w:t>
      </w:r>
      <w:r>
        <w:rPr>
          <w:rFonts w:hint="eastAsia" w:ascii="宋体" w:hAnsi="宋体" w:cs="宋体"/>
          <w:color w:val="auto"/>
          <w:highlight w:val="none"/>
          <w:lang w:val="en-US" w:eastAsia="zh-CN"/>
        </w:rPr>
        <w:t>/年</w:t>
      </w:r>
      <w:r>
        <w:rPr>
          <w:rFonts w:hint="eastAsia" w:ascii="宋体" w:hAnsi="宋体" w:cs="宋体"/>
          <w:color w:val="auto"/>
          <w:highlight w:val="none"/>
          <w:lang w:val="en-US" w:eastAsia="zh-CN"/>
        </w:rPr>
        <w:t>（采购包1预算110万元；采购包2预算：40万元）</w:t>
      </w:r>
    </w:p>
    <w:p w14:paraId="09BD36EC">
      <w:pPr>
        <w:spacing w:line="400" w:lineRule="exact"/>
        <w:rPr>
          <w:rFonts w:hint="eastAsia" w:ascii="宋体" w:hAnsi="宋体" w:cs="宋体"/>
          <w:color w:val="auto"/>
          <w:highlight w:val="none"/>
          <w:lang w:val="en-US" w:eastAsia="zh-CN"/>
        </w:rPr>
      </w:pPr>
      <w:r>
        <w:rPr>
          <w:rFonts w:hint="eastAsia" w:ascii="宋体" w:hAnsi="宋体" w:cs="宋体"/>
          <w:color w:val="auto"/>
          <w:highlight w:val="none"/>
        </w:rPr>
        <w:t>6、控制</w:t>
      </w:r>
      <w:r>
        <w:rPr>
          <w:rFonts w:hint="eastAsia" w:ascii="宋体" w:hAnsi="宋体" w:cs="宋体"/>
          <w:color w:val="auto"/>
          <w:highlight w:val="none"/>
          <w:lang w:val="zh-CN"/>
        </w:rPr>
        <w:t>价：</w:t>
      </w:r>
      <w:r>
        <w:rPr>
          <w:rFonts w:hint="eastAsia" w:ascii="宋体" w:hAnsi="宋体" w:cs="宋体"/>
          <w:color w:val="auto"/>
          <w:highlight w:val="none"/>
          <w:lang w:val="en-US" w:eastAsia="zh-CN"/>
        </w:rPr>
        <w:t>本项目报价按照单价上限报优惠率（单价上限详见采购文件）。优惠率不得高于100%。</w:t>
      </w:r>
    </w:p>
    <w:p w14:paraId="329CA4A4">
      <w:pPr>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注：最终中标单价=单价上限*（1-中标优惠率）（如投标人报价优惠率为10%，采购包1中序号1枕套 中标单价为:0.89元*（1-10%），以此类推。最终结算单价精确到分，四舍五入。）</w:t>
      </w:r>
      <w:r>
        <w:rPr>
          <w:rFonts w:hint="eastAsia" w:ascii="宋体" w:hAnsi="宋体" w:eastAsia="宋体" w:cs="宋体"/>
          <w:b/>
          <w:bCs/>
          <w:color w:val="auto"/>
          <w:highlight w:val="none"/>
        </w:rPr>
        <w:t>详见</w:t>
      </w:r>
      <w:r>
        <w:rPr>
          <w:rFonts w:hint="eastAsia" w:ascii="宋体" w:hAnsi="宋体" w:cs="宋体"/>
          <w:b/>
          <w:bCs/>
          <w:color w:val="auto"/>
          <w:highlight w:val="none"/>
          <w:lang w:val="en-US" w:eastAsia="zh-CN"/>
        </w:rPr>
        <w:t>单价上限表（最高限单价表）</w:t>
      </w:r>
      <w:r>
        <w:rPr>
          <w:rFonts w:hint="eastAsia" w:ascii="宋体" w:hAnsi="宋体" w:eastAsia="宋体" w:cs="宋体"/>
          <w:b/>
          <w:bCs/>
          <w:color w:val="auto"/>
          <w:highlight w:val="none"/>
        </w:rPr>
        <w:t>。</w:t>
      </w:r>
    </w:p>
    <w:p w14:paraId="2FB1FEE8">
      <w:pPr>
        <w:spacing w:line="400" w:lineRule="exact"/>
        <w:rPr>
          <w:rFonts w:ascii="宋体" w:hAnsi="宋体" w:cs="宋体"/>
          <w:color w:val="auto"/>
          <w:highlight w:val="none"/>
        </w:rPr>
      </w:pPr>
      <w:r>
        <w:rPr>
          <w:rFonts w:hint="eastAsia" w:ascii="宋体" w:hAnsi="宋体" w:cs="宋体"/>
          <w:color w:val="auto"/>
          <w:highlight w:val="none"/>
        </w:rPr>
        <w:t>7、采购需求：</w:t>
      </w:r>
      <w:r>
        <w:rPr>
          <w:rFonts w:hint="eastAsia" w:ascii="宋体" w:hAnsi="宋体" w:cs="宋体"/>
          <w:color w:val="auto"/>
          <w:highlight w:val="none"/>
          <w:lang w:eastAsia="zh-CN"/>
        </w:rPr>
        <w:t>南京市第二医院2026年布草洗涤服务项目</w:t>
      </w:r>
      <w:r>
        <w:rPr>
          <w:rFonts w:hint="eastAsia" w:ascii="宋体" w:hAnsi="宋体" w:cs="宋体"/>
          <w:color w:val="auto"/>
          <w:highlight w:val="none"/>
        </w:rPr>
        <w:t>，详见磋商文件第四章。</w:t>
      </w:r>
    </w:p>
    <w:p w14:paraId="454E7B9E">
      <w:pPr>
        <w:spacing w:line="400" w:lineRule="exact"/>
        <w:rPr>
          <w:rFonts w:ascii="宋体" w:hAnsi="宋体" w:cs="宋体"/>
          <w:color w:val="auto"/>
          <w:highlight w:val="none"/>
        </w:rPr>
      </w:pPr>
      <w:r>
        <w:rPr>
          <w:rFonts w:hint="eastAsia" w:ascii="宋体" w:hAnsi="宋体" w:cs="宋体"/>
          <w:color w:val="auto"/>
          <w:highlight w:val="none"/>
        </w:rPr>
        <w:t>8、服务期：1年。（时间以实际为准）</w:t>
      </w:r>
    </w:p>
    <w:p w14:paraId="4A1C6343">
      <w:pPr>
        <w:spacing w:line="400" w:lineRule="exact"/>
        <w:rPr>
          <w:rFonts w:hint="eastAsia" w:ascii="宋体" w:hAnsi="宋体" w:cs="宋体"/>
          <w:color w:val="auto"/>
          <w:highlight w:val="none"/>
        </w:rPr>
      </w:pPr>
      <w:r>
        <w:rPr>
          <w:rFonts w:hint="eastAsia" w:ascii="宋体" w:hAnsi="宋体" w:cs="宋体"/>
          <w:color w:val="auto"/>
          <w:highlight w:val="none"/>
        </w:rPr>
        <w:t>本项目</w:t>
      </w:r>
      <w:r>
        <w:rPr>
          <w:rFonts w:hint="eastAsia" w:ascii="宋体" w:hAnsi="宋体" w:cs="宋体"/>
          <w:color w:val="auto"/>
          <w:highlight w:val="none"/>
          <w:u w:val="single"/>
        </w:rPr>
        <w:t xml:space="preserve">  否  </w:t>
      </w:r>
      <w:r>
        <w:rPr>
          <w:rFonts w:hint="eastAsia" w:ascii="宋体" w:hAnsi="宋体" w:cs="宋体"/>
          <w:color w:val="auto"/>
          <w:highlight w:val="none"/>
        </w:rPr>
        <w:t>（是/否）接受联合体。</w:t>
      </w:r>
    </w:p>
    <w:p w14:paraId="46489231">
      <w:pPr>
        <w:spacing w:line="400" w:lineRule="exact"/>
        <w:rPr>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集中现场考察或答疑：采购人不组织。</w:t>
      </w:r>
    </w:p>
    <w:p w14:paraId="1A3712C6">
      <w:pPr>
        <w:numPr>
          <w:ilvl w:val="0"/>
          <w:numId w:val="3"/>
        </w:numPr>
        <w:spacing w:line="400" w:lineRule="exact"/>
        <w:rPr>
          <w:color w:val="auto"/>
          <w:highlight w:val="none"/>
        </w:rPr>
      </w:pPr>
      <w:bookmarkStart w:id="4" w:name="_Toc28359013"/>
      <w:bookmarkStart w:id="5" w:name="_Toc28359090"/>
      <w:bookmarkStart w:id="6" w:name="_Toc35393799"/>
      <w:bookmarkStart w:id="7" w:name="_Toc35393630"/>
      <w:r>
        <w:rPr>
          <w:rFonts w:hint="eastAsia" w:ascii="宋体" w:hAnsi="宋体" w:cs="宋体"/>
          <w:color w:val="auto"/>
          <w:highlight w:val="none"/>
        </w:rPr>
        <w:t>申请人的资格要求：</w:t>
      </w:r>
      <w:bookmarkEnd w:id="4"/>
      <w:bookmarkEnd w:id="5"/>
      <w:bookmarkEnd w:id="6"/>
      <w:bookmarkEnd w:id="7"/>
    </w:p>
    <w:p w14:paraId="61943717">
      <w:pPr>
        <w:spacing w:line="400" w:lineRule="exact"/>
        <w:rPr>
          <w:rFonts w:ascii="宋体" w:hAnsi="宋体" w:cs="宋体"/>
          <w:color w:val="auto"/>
          <w:highlight w:val="none"/>
        </w:rPr>
      </w:pPr>
      <w:bookmarkStart w:id="8" w:name="_Toc28359091"/>
      <w:bookmarkStart w:id="9" w:name="_Toc28359014"/>
      <w:r>
        <w:rPr>
          <w:rFonts w:hint="eastAsia" w:ascii="宋体" w:hAnsi="宋体" w:cs="宋体"/>
          <w:color w:val="auto"/>
          <w:highlight w:val="none"/>
        </w:rPr>
        <w:t>1、满足《中华人民共和国政府采购法》第二十二条的相关规定，供应商提供《南京市政府采购供应商信用记录表暨信用承诺书》：</w:t>
      </w:r>
    </w:p>
    <w:p w14:paraId="6B13ED1F">
      <w:pPr>
        <w:spacing w:line="400" w:lineRule="exact"/>
        <w:rPr>
          <w:rFonts w:ascii="宋体" w:hAnsi="宋体" w:cs="宋体"/>
          <w:color w:val="auto"/>
          <w:highlight w:val="none"/>
        </w:rPr>
      </w:pPr>
      <w:r>
        <w:rPr>
          <w:rFonts w:hint="eastAsia" w:ascii="宋体" w:hAnsi="宋体" w:cs="宋体"/>
          <w:color w:val="auto"/>
          <w:highlight w:val="none"/>
        </w:rPr>
        <w:t>1.1具有独立承担民事责任的能力（提供法人或者其他组织的营业执照，自然人的身份证明复印件）；</w:t>
      </w:r>
    </w:p>
    <w:p w14:paraId="0D30F009">
      <w:pPr>
        <w:spacing w:line="400" w:lineRule="exact"/>
        <w:rPr>
          <w:rFonts w:ascii="宋体" w:hAnsi="宋体" w:cs="宋体"/>
          <w:color w:val="auto"/>
          <w:highlight w:val="none"/>
        </w:rPr>
      </w:pPr>
      <w:r>
        <w:rPr>
          <w:rFonts w:hint="eastAsia" w:ascii="宋体" w:hAnsi="宋体" w:cs="宋体"/>
          <w:color w:val="auto"/>
          <w:highlight w:val="none"/>
        </w:rPr>
        <w:t>1.2具有良好的商业信誉和健全的财务会计制度（提供承诺书，格式见招标文件附件）；</w:t>
      </w:r>
    </w:p>
    <w:p w14:paraId="36C4EFCD">
      <w:pPr>
        <w:spacing w:line="400" w:lineRule="exact"/>
        <w:rPr>
          <w:rFonts w:ascii="宋体" w:hAnsi="宋体" w:cs="宋体"/>
          <w:color w:val="auto"/>
          <w:highlight w:val="none"/>
        </w:rPr>
      </w:pPr>
      <w:r>
        <w:rPr>
          <w:rFonts w:hint="eastAsia" w:ascii="宋体" w:hAnsi="宋体" w:cs="宋体"/>
          <w:color w:val="auto"/>
          <w:highlight w:val="none"/>
        </w:rPr>
        <w:t xml:space="preserve">1.3具有履行合同所必需的设备和专业技术能力（提供承诺书，格式见招标文件附件）； </w:t>
      </w:r>
    </w:p>
    <w:p w14:paraId="427E2DC7">
      <w:pPr>
        <w:spacing w:line="400" w:lineRule="exact"/>
        <w:rPr>
          <w:rFonts w:ascii="宋体" w:hAnsi="宋体" w:cs="宋体"/>
          <w:color w:val="auto"/>
          <w:highlight w:val="none"/>
        </w:rPr>
      </w:pPr>
      <w:r>
        <w:rPr>
          <w:rFonts w:hint="eastAsia" w:ascii="宋体" w:hAnsi="宋体" w:cs="宋体"/>
          <w:color w:val="auto"/>
          <w:highlight w:val="none"/>
        </w:rPr>
        <w:t>1.4有依法缴纳税收和社会保障资金的良好记录（提供承诺书，格式见招标文件附件）；</w:t>
      </w:r>
    </w:p>
    <w:p w14:paraId="6BA8A1FA">
      <w:pPr>
        <w:spacing w:line="400" w:lineRule="exact"/>
        <w:rPr>
          <w:rFonts w:ascii="宋体" w:hAnsi="宋体" w:cs="宋体"/>
          <w:color w:val="auto"/>
          <w:highlight w:val="none"/>
        </w:rPr>
      </w:pPr>
      <w:r>
        <w:rPr>
          <w:rFonts w:hint="eastAsia" w:ascii="宋体" w:hAnsi="宋体" w:cs="宋体"/>
          <w:color w:val="auto"/>
          <w:highlight w:val="none"/>
        </w:rPr>
        <w:t>1.5参加政府采购活动前三年内，在经营活动中没有重大违法记录（提供承诺书，格式见招标文件附件）；</w:t>
      </w:r>
    </w:p>
    <w:p w14:paraId="331FDBDE">
      <w:pPr>
        <w:spacing w:line="400" w:lineRule="exact"/>
        <w:rPr>
          <w:rFonts w:ascii="宋体" w:hAnsi="宋体" w:cs="宋体"/>
          <w:color w:val="auto"/>
          <w:highlight w:val="none"/>
        </w:rPr>
      </w:pPr>
      <w:r>
        <w:rPr>
          <w:rFonts w:hint="eastAsia" w:ascii="宋体" w:hAnsi="宋体" w:cs="宋体"/>
          <w:color w:val="auto"/>
          <w:highlight w:val="none"/>
        </w:rPr>
        <w:t>1.6法律、行政法规规定的其他条件：无。</w:t>
      </w:r>
    </w:p>
    <w:p w14:paraId="108AA40D">
      <w:pPr>
        <w:spacing w:line="400" w:lineRule="exact"/>
        <w:rPr>
          <w:rFonts w:ascii="宋体" w:hAnsi="宋体" w:cs="宋体"/>
          <w:color w:val="auto"/>
          <w:highlight w:val="none"/>
        </w:rPr>
      </w:pPr>
      <w:r>
        <w:rPr>
          <w:rFonts w:hint="eastAsia" w:ascii="宋体" w:hAnsi="宋体" w:cs="宋体"/>
          <w:color w:val="auto"/>
          <w:highlight w:val="none"/>
        </w:rPr>
        <w:t>备注：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p>
    <w:p w14:paraId="2E672550">
      <w:pPr>
        <w:spacing w:line="400" w:lineRule="exact"/>
        <w:rPr>
          <w:rFonts w:ascii="宋体" w:hAnsi="宋体" w:cs="宋体"/>
          <w:color w:val="auto"/>
          <w:highlight w:val="none"/>
        </w:rPr>
      </w:pPr>
      <w:r>
        <w:rPr>
          <w:rFonts w:hint="eastAsia" w:ascii="宋体" w:hAnsi="宋体" w:cs="宋体"/>
          <w:color w:val="auto"/>
          <w:highlight w:val="none"/>
        </w:rPr>
        <w:t>其中不适用信用承诺的情形：</w:t>
      </w:r>
    </w:p>
    <w:p w14:paraId="18BA1CF4">
      <w:pPr>
        <w:spacing w:line="400" w:lineRule="exact"/>
        <w:rPr>
          <w:rFonts w:ascii="宋体" w:hAnsi="宋体" w:cs="宋体"/>
          <w:color w:val="auto"/>
          <w:highlight w:val="none"/>
        </w:rPr>
      </w:pPr>
      <w:r>
        <w:rPr>
          <w:rFonts w:hint="eastAsia" w:ascii="宋体" w:hAnsi="宋体" w:cs="宋体"/>
          <w:color w:val="auto"/>
          <w:highlight w:val="none"/>
        </w:rPr>
        <w:t>（一）供应商被列入严重失信主体名单；</w:t>
      </w:r>
    </w:p>
    <w:p w14:paraId="5F127EE4">
      <w:pPr>
        <w:spacing w:line="400" w:lineRule="exact"/>
        <w:rPr>
          <w:rFonts w:ascii="宋体" w:hAnsi="宋体" w:cs="宋体"/>
          <w:color w:val="auto"/>
          <w:highlight w:val="none"/>
        </w:rPr>
      </w:pPr>
      <w:r>
        <w:rPr>
          <w:rFonts w:hint="eastAsia" w:ascii="宋体" w:hAnsi="宋体" w:cs="宋体"/>
          <w:color w:val="auto"/>
          <w:highlight w:val="none"/>
        </w:rPr>
        <w:t>（二）南京市政府采购供应商诚信档案管理系统中诚信档案分在40分以下；</w:t>
      </w:r>
    </w:p>
    <w:p w14:paraId="6D65D200">
      <w:pPr>
        <w:spacing w:line="400" w:lineRule="exact"/>
        <w:rPr>
          <w:rFonts w:ascii="宋体" w:hAnsi="宋体" w:cs="宋体"/>
          <w:color w:val="auto"/>
          <w:highlight w:val="none"/>
        </w:rPr>
      </w:pPr>
      <w:r>
        <w:rPr>
          <w:rFonts w:hint="eastAsia" w:ascii="宋体" w:hAnsi="宋体" w:cs="宋体"/>
          <w:color w:val="auto"/>
          <w:highlight w:val="none"/>
        </w:rPr>
        <w:t>（三）被相关监督部门作出行政处罚且尚处在处罚有效期内；</w:t>
      </w:r>
    </w:p>
    <w:p w14:paraId="7EDA405A">
      <w:pPr>
        <w:spacing w:line="400" w:lineRule="exact"/>
        <w:rPr>
          <w:rFonts w:ascii="宋体" w:hAnsi="宋体" w:cs="宋体"/>
          <w:color w:val="auto"/>
          <w:highlight w:val="none"/>
        </w:rPr>
      </w:pPr>
      <w:r>
        <w:rPr>
          <w:rFonts w:hint="eastAsia" w:ascii="宋体" w:hAnsi="宋体" w:cs="宋体"/>
          <w:color w:val="auto"/>
          <w:highlight w:val="none"/>
        </w:rPr>
        <w:t>（四）其他法律、行政法规规定的不适用信用承诺的情形。</w:t>
      </w:r>
    </w:p>
    <w:p w14:paraId="3E073B80">
      <w:pPr>
        <w:spacing w:line="400" w:lineRule="exact"/>
        <w:rPr>
          <w:rFonts w:hint="eastAsia" w:ascii="宋体" w:hAnsi="宋体" w:cs="宋体"/>
          <w:color w:val="auto"/>
          <w:highlight w:val="none"/>
        </w:rPr>
      </w:pPr>
      <w:r>
        <w:rPr>
          <w:rFonts w:hint="eastAsia" w:ascii="宋体" w:hAnsi="宋体" w:cs="宋体"/>
          <w:color w:val="auto"/>
          <w:highlight w:val="none"/>
        </w:rPr>
        <w:t>2.落实政府采购政策需满足的资格要求：</w:t>
      </w:r>
      <w:r>
        <w:rPr>
          <w:rFonts w:hint="eastAsia" w:ascii="宋体" w:hAnsi="宋体" w:cs="宋体"/>
          <w:color w:val="auto"/>
          <w:highlight w:val="none"/>
          <w:lang w:val="zh-CN"/>
        </w:rPr>
        <w:t>本项</w:t>
      </w:r>
      <w:r>
        <w:rPr>
          <w:rFonts w:hint="eastAsia" w:ascii="宋体" w:hAnsi="宋体" w:cs="宋体"/>
          <w:color w:val="auto"/>
          <w:highlight w:val="none"/>
          <w:lang w:val="en-US" w:eastAsia="zh-CN"/>
        </w:rPr>
        <w:t>非</w:t>
      </w:r>
      <w:r>
        <w:rPr>
          <w:rFonts w:hint="eastAsia" w:ascii="宋体" w:hAnsi="宋体" w:cs="宋体"/>
          <w:color w:val="auto"/>
          <w:highlight w:val="none"/>
          <w:lang w:val="zh-CN"/>
        </w:rPr>
        <w:t>目专门面向中小微企业采购，供应商如为中小微企业、监狱企业、残疾人福利性单位、节能环保产品须提供相关证明材料。（声明函格式见第六章）。</w:t>
      </w:r>
    </w:p>
    <w:p w14:paraId="65266B45">
      <w:pPr>
        <w:spacing w:line="400" w:lineRule="exact"/>
        <w:rPr>
          <w:rFonts w:ascii="宋体" w:hAnsi="宋体" w:cs="宋体"/>
          <w:color w:val="auto"/>
          <w:highlight w:val="none"/>
        </w:rPr>
      </w:pPr>
      <w:r>
        <w:rPr>
          <w:rFonts w:hint="eastAsia" w:ascii="宋体" w:hAnsi="宋体" w:cs="宋体"/>
          <w:color w:val="auto"/>
          <w:highlight w:val="none"/>
          <w:lang w:val="zh-CN"/>
        </w:rPr>
        <w:t>本项目采购标的对应的中小企业划分标准所属行业为：</w:t>
      </w:r>
      <w:r>
        <w:rPr>
          <w:rFonts w:hint="eastAsia" w:ascii="宋体" w:hAnsi="宋体" w:cs="宋体"/>
          <w:b/>
          <w:bCs/>
          <w:color w:val="auto"/>
          <w:highlight w:val="none"/>
          <w:lang w:val="en-US" w:eastAsia="zh-CN"/>
        </w:rPr>
        <w:t>其他未列明行业</w:t>
      </w:r>
      <w:r>
        <w:rPr>
          <w:rFonts w:hint="eastAsia" w:ascii="宋体" w:hAnsi="宋体" w:cs="宋体"/>
          <w:color w:val="auto"/>
          <w:highlight w:val="none"/>
        </w:rPr>
        <w:t>。根据《中小企业划型标准规定》（工信部联企业〔2011〕300号），</w:t>
      </w:r>
      <w:r>
        <w:rPr>
          <w:rFonts w:hint="eastAsia" w:ascii="宋体" w:hAnsi="宋体" w:cs="宋体"/>
          <w:color w:val="auto"/>
          <w:highlight w:val="none"/>
          <w:lang w:val="en-US" w:eastAsia="zh-CN"/>
        </w:rPr>
        <w:t>从业人员300人以下的为中小微型企业。其中，从业 人员100人及以上的为中型企业；从业人员10人及以上的为小型企业；从业人员10人以下的为微型企业。</w:t>
      </w:r>
    </w:p>
    <w:p w14:paraId="51AFE6AA">
      <w:pPr>
        <w:numPr>
          <w:ilvl w:val="0"/>
          <w:numId w:val="4"/>
        </w:numPr>
        <w:autoSpaceDE w:val="0"/>
        <w:autoSpaceDN w:val="0"/>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本项目的特定资格要求：</w:t>
      </w:r>
    </w:p>
    <w:p w14:paraId="3F5929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rPr>
        <w:t>3.1</w:t>
      </w:r>
      <w:r>
        <w:rPr>
          <w:rFonts w:hint="eastAsia" w:ascii="宋体" w:hAnsi="宋体" w:cs="宋体"/>
          <w:color w:val="auto"/>
          <w:highlight w:val="none"/>
          <w:lang w:val="en-US" w:eastAsia="zh-CN"/>
        </w:rPr>
        <w:t>供应商</w:t>
      </w:r>
      <w:r>
        <w:rPr>
          <w:rFonts w:hint="eastAsia" w:ascii="宋体" w:hAnsi="宋体" w:eastAsia="宋体" w:cs="宋体"/>
          <w:color w:val="auto"/>
          <w:highlight w:val="none"/>
          <w:lang w:val="en-US" w:eastAsia="zh-CN"/>
        </w:rPr>
        <w:t>具备排污许可证或排污登记回执。（提供</w:t>
      </w:r>
      <w:r>
        <w:rPr>
          <w:rFonts w:hint="eastAsia" w:ascii="宋体" w:hAnsi="宋体" w:cs="宋体"/>
          <w:color w:val="auto"/>
          <w:highlight w:val="none"/>
          <w:lang w:val="en-US" w:eastAsia="zh-CN"/>
        </w:rPr>
        <w:t>有效的</w:t>
      </w:r>
      <w:r>
        <w:rPr>
          <w:rFonts w:hint="eastAsia" w:ascii="宋体" w:hAnsi="宋体" w:eastAsia="宋体" w:cs="宋体"/>
          <w:color w:val="auto"/>
          <w:highlight w:val="none"/>
          <w:lang w:val="en-US" w:eastAsia="zh-CN"/>
        </w:rPr>
        <w:t>证明材料并加盖</w:t>
      </w:r>
      <w:r>
        <w:rPr>
          <w:rFonts w:hint="eastAsia" w:ascii="宋体" w:hAnsi="宋体" w:cs="宋体"/>
          <w:color w:val="auto"/>
          <w:highlight w:val="none"/>
          <w:lang w:val="en-US" w:eastAsia="zh-CN"/>
        </w:rPr>
        <w:t>供应商电子</w:t>
      </w:r>
      <w:r>
        <w:rPr>
          <w:rFonts w:hint="eastAsia" w:ascii="宋体" w:hAnsi="宋体" w:eastAsia="宋体" w:cs="宋体"/>
          <w:color w:val="auto"/>
          <w:highlight w:val="none"/>
          <w:lang w:val="en-US" w:eastAsia="zh-CN"/>
        </w:rPr>
        <w:t>公章）。</w:t>
      </w:r>
    </w:p>
    <w:p w14:paraId="14CAE59B">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3.2 </w:t>
      </w:r>
      <w:r>
        <w:rPr>
          <w:rFonts w:ascii="Segoe UI" w:hAnsi="Segoe UI" w:eastAsia="Segoe UI" w:cs="Segoe UI"/>
          <w:i w:val="0"/>
          <w:iCs w:val="0"/>
          <w:caps w:val="0"/>
          <w:color w:val="auto"/>
          <w:spacing w:val="0"/>
          <w:sz w:val="21"/>
          <w:szCs w:val="21"/>
          <w:highlight w:val="none"/>
          <w:shd w:val="clear" w:fill="FFFFFF"/>
        </w:rPr>
        <w:t>未被“信用中国”网站（www.creditchina.gov.cn）列入失信被执行人、重大税收违法案件当事人名单、政府采购严重失信行为记录名单。</w:t>
      </w:r>
    </w:p>
    <w:p w14:paraId="2757ABD9">
      <w:pPr>
        <w:spacing w:line="400" w:lineRule="exact"/>
        <w:rPr>
          <w:rFonts w:ascii="宋体" w:hAnsi="宋体" w:cs="宋体"/>
          <w:color w:val="auto"/>
          <w:highlight w:val="none"/>
        </w:rPr>
      </w:pPr>
      <w:bookmarkStart w:id="10" w:name="_Toc35393800"/>
      <w:bookmarkStart w:id="11" w:name="_Toc35393631"/>
      <w:r>
        <w:rPr>
          <w:rFonts w:hint="eastAsia" w:ascii="宋体" w:hAnsi="宋体" w:cs="宋体"/>
          <w:color w:val="auto"/>
          <w:highlight w:val="none"/>
        </w:rPr>
        <w:t>三、获取采购文件</w:t>
      </w:r>
      <w:bookmarkEnd w:id="8"/>
      <w:bookmarkEnd w:id="9"/>
      <w:bookmarkEnd w:id="10"/>
      <w:bookmarkEnd w:id="11"/>
    </w:p>
    <w:p w14:paraId="656B1B46">
      <w:pPr>
        <w:spacing w:line="400" w:lineRule="exact"/>
        <w:rPr>
          <w:rFonts w:hint="eastAsia" w:ascii="仿宋" w:hAnsi="仿宋" w:eastAsia="仿宋" w:cs="仿宋"/>
          <w:i w:val="0"/>
          <w:iCs w:val="0"/>
          <w:caps w:val="0"/>
          <w:color w:val="auto"/>
          <w:spacing w:val="0"/>
          <w:sz w:val="28"/>
          <w:szCs w:val="28"/>
          <w:highlight w:val="none"/>
          <w:shd w:val="clear" w:fill="FFFFFF"/>
        </w:rPr>
      </w:pPr>
      <w:r>
        <w:rPr>
          <w:rFonts w:hint="eastAsia" w:ascii="宋体" w:hAnsi="宋体" w:cs="宋体"/>
          <w:color w:val="auto"/>
          <w:highlight w:val="none"/>
        </w:rPr>
        <w:t>时间：</w:t>
      </w:r>
      <w:r>
        <w:rPr>
          <w:rFonts w:hint="eastAsia" w:ascii="宋体" w:hAnsi="宋体" w:eastAsia="宋体" w:cs="宋体"/>
          <w:color w:val="auto"/>
          <w:highlight w:val="none"/>
        </w:rPr>
        <w:t>自磋商文件公告发布之日起5个工作日 </w:t>
      </w:r>
    </w:p>
    <w:p w14:paraId="76EB0ED8">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地点：</w:t>
      </w:r>
      <w:bookmarkStart w:id="12" w:name="_Toc35393632"/>
      <w:bookmarkStart w:id="13" w:name="_Toc28359092"/>
      <w:bookmarkStart w:id="14" w:name="_Toc35393801"/>
      <w:bookmarkStart w:id="15" w:name="_Toc28359015"/>
      <w:r>
        <w:rPr>
          <w:rFonts w:hint="eastAsia" w:ascii="宋体" w:hAnsi="宋体" w:eastAsia="宋体" w:cs="宋体"/>
          <w:color w:val="auto"/>
          <w:highlight w:val="none"/>
          <w:lang w:val="en-US" w:eastAsia="zh-CN"/>
        </w:rPr>
        <w:t>江苏政府采购网 (ccgp-jiangsu.gov.cn) </w:t>
      </w:r>
    </w:p>
    <w:p w14:paraId="6E0AC4F3">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方式：</w:t>
      </w:r>
      <w:r>
        <w:rPr>
          <w:rFonts w:hint="eastAsia" w:ascii="宋体" w:hAnsi="宋体" w:eastAsia="宋体" w:cs="宋体"/>
          <w:color w:val="auto"/>
          <w:highlight w:val="none"/>
          <w:lang w:val="en-US" w:eastAsia="zh-CN"/>
        </w:rPr>
        <w:t>潜在供应商登录江苏省政府采购管理交易系统（苏采云）（以下简称“苏采云”）下载。首次登录“苏采云”系统的新用户，登录网址后，点击“用户注册”--“新CA办理指南”--获取CA后绑定、登录系统--采购项目参与--下载采购文件</w:t>
      </w:r>
    </w:p>
    <w:p w14:paraId="6EE0B58A">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招标文件售价：0元。</w:t>
      </w:r>
    </w:p>
    <w:p w14:paraId="1D45269A">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四、响应文件提交</w:t>
      </w:r>
      <w:bookmarkEnd w:id="12"/>
      <w:bookmarkEnd w:id="13"/>
      <w:bookmarkEnd w:id="14"/>
      <w:bookmarkEnd w:id="15"/>
    </w:p>
    <w:p w14:paraId="7489FFAE">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截止时间：</w:t>
      </w:r>
      <w:r>
        <w:rPr>
          <w:rFonts w:hint="eastAsia" w:ascii="宋体" w:hAnsi="宋体" w:cs="宋体"/>
          <w:color w:val="auto"/>
          <w:highlight w:val="none"/>
          <w:lang w:val="en-US" w:eastAsia="zh-CN"/>
        </w:rPr>
        <w:t>2026年8月21日</w:t>
      </w:r>
      <w:r>
        <w:rPr>
          <w:rFonts w:hint="eastAsia" w:ascii="宋体" w:hAnsi="宋体" w:eastAsia="宋体" w:cs="宋体"/>
          <w:color w:val="auto"/>
          <w:highlight w:val="none"/>
          <w:lang w:val="en-US" w:eastAsia="zh-CN"/>
        </w:rPr>
        <w:t>14点30分</w:t>
      </w:r>
      <w:r>
        <w:rPr>
          <w:rFonts w:hint="eastAsia" w:ascii="宋体" w:hAnsi="宋体" w:eastAsia="宋体" w:cs="宋体"/>
          <w:color w:val="auto"/>
          <w:highlight w:val="none"/>
          <w:lang w:val="en-US" w:eastAsia="zh-CN"/>
        </w:rPr>
        <w:t>（北京时间）</w:t>
      </w:r>
    </w:p>
    <w:p w14:paraId="3BAE2146">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地点：</w:t>
      </w:r>
      <w:bookmarkStart w:id="16" w:name="_Toc35393633"/>
      <w:bookmarkStart w:id="17" w:name="_Toc28359093"/>
      <w:bookmarkStart w:id="18" w:name="_Toc28359016"/>
      <w:bookmarkStart w:id="19" w:name="_Toc35393802"/>
      <w:r>
        <w:rPr>
          <w:rFonts w:hint="eastAsia" w:ascii="宋体" w:hAnsi="宋体" w:eastAsia="宋体" w:cs="宋体"/>
          <w:color w:val="auto"/>
          <w:highlight w:val="none"/>
          <w:lang w:val="en-US" w:eastAsia="zh-CN"/>
        </w:rPr>
        <w:t xml:space="preserve">江苏省政府采购管理交易系统（苏采云）（以下简称“苏采云”）（网址： </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"http://jszfcg.jsczt.cn/）"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http://jszfcg.jsczt.cn/）</w:t>
      </w:r>
      <w:r>
        <w:rPr>
          <w:rFonts w:hint="eastAsia" w:ascii="宋体" w:hAnsi="宋体" w:eastAsia="宋体" w:cs="宋体"/>
          <w:color w:val="auto"/>
          <w:highlight w:val="none"/>
          <w:lang w:val="en-US" w:eastAsia="zh-CN"/>
        </w:rPr>
        <w:fldChar w:fldCharType="end"/>
      </w:r>
    </w:p>
    <w:p w14:paraId="71B2196F">
      <w:pPr>
        <w:spacing w:line="400" w:lineRule="exact"/>
        <w:rPr>
          <w:rFonts w:ascii="宋体" w:hAnsi="宋体" w:cs="宋体"/>
          <w:color w:val="auto"/>
          <w:highlight w:val="none"/>
        </w:rPr>
      </w:pPr>
      <w:r>
        <w:rPr>
          <w:rFonts w:hint="eastAsia" w:ascii="宋体" w:hAnsi="宋体" w:cs="宋体"/>
          <w:color w:val="auto"/>
          <w:highlight w:val="none"/>
        </w:rPr>
        <w:t>五、开启</w:t>
      </w:r>
      <w:bookmarkEnd w:id="16"/>
      <w:bookmarkEnd w:id="17"/>
      <w:bookmarkEnd w:id="18"/>
      <w:bookmarkEnd w:id="19"/>
    </w:p>
    <w:p w14:paraId="1ACCEE47">
      <w:pPr>
        <w:spacing w:line="400" w:lineRule="exact"/>
        <w:rPr>
          <w:rFonts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lang w:eastAsia="zh-CN"/>
        </w:rPr>
        <w:t>2026年</w:t>
      </w:r>
      <w:r>
        <w:rPr>
          <w:rFonts w:hint="eastAsia" w:ascii="宋体" w:hAnsi="宋体" w:cs="宋体"/>
          <w:color w:val="auto"/>
          <w:highlight w:val="none"/>
          <w:lang w:val="en-US" w:eastAsia="zh-CN"/>
        </w:rPr>
        <w:t>8</w:t>
      </w:r>
      <w:r>
        <w:rPr>
          <w:rFonts w:hint="eastAsia" w:ascii="宋体" w:hAnsi="宋体" w:cs="宋体"/>
          <w:color w:val="auto"/>
          <w:highlight w:val="none"/>
          <w:lang w:eastAsia="zh-CN"/>
        </w:rPr>
        <w:t>月</w:t>
      </w:r>
      <w:r>
        <w:rPr>
          <w:rFonts w:hint="eastAsia" w:ascii="宋体" w:hAnsi="宋体" w:cs="宋体"/>
          <w:color w:val="auto"/>
          <w:highlight w:val="none"/>
          <w:lang w:val="en-US" w:eastAsia="zh-CN"/>
        </w:rPr>
        <w:t>21</w:t>
      </w:r>
      <w:r>
        <w:rPr>
          <w:rFonts w:hint="eastAsia" w:ascii="宋体" w:hAnsi="宋体" w:cs="宋体"/>
          <w:color w:val="auto"/>
          <w:highlight w:val="none"/>
          <w:lang w:eastAsia="zh-CN"/>
        </w:rPr>
        <w:t>日</w:t>
      </w:r>
      <w:r>
        <w:rPr>
          <w:rFonts w:hint="eastAsia" w:ascii="宋体" w:hAnsi="宋体" w:cs="宋体"/>
          <w:color w:val="auto"/>
          <w:highlight w:val="none"/>
        </w:rPr>
        <w:t>14点30分</w:t>
      </w:r>
      <w:r>
        <w:rPr>
          <w:rFonts w:hint="eastAsia" w:ascii="宋体" w:hAnsi="宋体" w:cs="宋体"/>
          <w:color w:val="auto"/>
          <w:highlight w:val="none"/>
        </w:rPr>
        <w:t>（北京时间）</w:t>
      </w:r>
    </w:p>
    <w:p w14:paraId="3554C59B">
      <w:pPr>
        <w:spacing w:line="400" w:lineRule="exact"/>
        <w:rPr>
          <w:rFonts w:hint="eastAsia" w:ascii="宋体" w:hAnsi="宋体" w:eastAsia="宋体" w:cs="宋体"/>
          <w:color w:val="auto"/>
          <w:highlight w:val="none"/>
          <w:lang w:val="en-US" w:eastAsia="zh-CN"/>
        </w:rPr>
      </w:pPr>
      <w:bookmarkStart w:id="20" w:name="_Toc28359017"/>
      <w:bookmarkStart w:id="21" w:name="_Toc35393803"/>
      <w:bookmarkStart w:id="22" w:name="_Toc35393634"/>
      <w:bookmarkStart w:id="23" w:name="_Toc28359094"/>
      <w:r>
        <w:rPr>
          <w:rFonts w:hint="eastAsia" w:ascii="宋体" w:hAnsi="宋体" w:eastAsia="宋体" w:cs="宋体"/>
          <w:color w:val="auto"/>
          <w:highlight w:val="none"/>
          <w:lang w:val="en-US" w:eastAsia="zh-CN"/>
        </w:rPr>
        <w:t>地点：“苏采云”政府采购交易系统网上开标大厅</w:t>
      </w:r>
    </w:p>
    <w:p w14:paraId="66B765DE">
      <w:pPr>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六、公告期限</w:t>
      </w:r>
      <w:bookmarkEnd w:id="20"/>
      <w:bookmarkEnd w:id="21"/>
      <w:bookmarkEnd w:id="22"/>
      <w:bookmarkEnd w:id="23"/>
    </w:p>
    <w:p w14:paraId="02229FE2">
      <w:pPr>
        <w:spacing w:line="400" w:lineRule="exact"/>
        <w:rPr>
          <w:rFonts w:hint="eastAsia" w:ascii="宋体" w:hAnsi="宋体" w:eastAsia="宋体" w:cs="宋体"/>
          <w:color w:val="auto"/>
          <w:highlight w:val="none"/>
          <w:lang w:val="en-US" w:eastAsia="zh-CN"/>
        </w:rPr>
      </w:pPr>
      <w:bookmarkStart w:id="24" w:name="_Toc35393804"/>
      <w:bookmarkStart w:id="25" w:name="_Toc35393635"/>
      <w:r>
        <w:rPr>
          <w:rFonts w:hint="eastAsia" w:ascii="宋体" w:hAnsi="宋体" w:eastAsia="宋体" w:cs="宋体"/>
          <w:color w:val="auto"/>
          <w:highlight w:val="none"/>
          <w:lang w:val="en-US" w:eastAsia="zh-CN"/>
        </w:rPr>
        <w:t>自本公告发布之日起3个工作日。</w:t>
      </w:r>
    </w:p>
    <w:p w14:paraId="244BD068">
      <w:pPr>
        <w:spacing w:line="400" w:lineRule="exact"/>
        <w:rPr>
          <w:rFonts w:ascii="宋体" w:hAnsi="宋体" w:cs="宋体"/>
          <w:color w:val="auto"/>
          <w:highlight w:val="none"/>
        </w:rPr>
      </w:pPr>
      <w:r>
        <w:rPr>
          <w:rFonts w:hint="eastAsia" w:ascii="宋体" w:hAnsi="宋体" w:cs="宋体"/>
          <w:color w:val="auto"/>
          <w:highlight w:val="none"/>
        </w:rPr>
        <w:t>七、其他补充事宜</w:t>
      </w:r>
      <w:bookmarkEnd w:id="24"/>
      <w:bookmarkEnd w:id="25"/>
    </w:p>
    <w:p w14:paraId="3B309D70">
      <w:pPr>
        <w:spacing w:line="400" w:lineRule="exact"/>
        <w:rPr>
          <w:rFonts w:ascii="宋体" w:hAnsi="宋体" w:cs="宋体"/>
          <w:color w:val="auto"/>
          <w:highlight w:val="none"/>
        </w:rPr>
      </w:pPr>
      <w:r>
        <w:rPr>
          <w:rFonts w:hint="eastAsia" w:ascii="宋体" w:hAnsi="宋体" w:cs="宋体"/>
          <w:color w:val="auto"/>
          <w:highlight w:val="none"/>
        </w:rPr>
        <w:t>1.拒绝下述供应商参加本次采购活动：</w:t>
      </w:r>
    </w:p>
    <w:p w14:paraId="6FC3C5D1">
      <w:pPr>
        <w:spacing w:line="400" w:lineRule="exact"/>
        <w:rPr>
          <w:rFonts w:ascii="宋体" w:hAnsi="宋体" w:cs="宋体"/>
          <w:color w:val="auto"/>
          <w:highlight w:val="none"/>
        </w:rPr>
      </w:pPr>
      <w:r>
        <w:rPr>
          <w:rFonts w:hint="eastAsia" w:ascii="宋体" w:hAnsi="宋体" w:cs="宋体"/>
          <w:color w:val="auto"/>
          <w:highlight w:val="none"/>
        </w:rPr>
        <w:t>（1）供应商单位负责人为同一人或者存在直接控股、管理关系的不同供应商，不得参加同一合同项下的政府采购活动。</w:t>
      </w:r>
    </w:p>
    <w:p w14:paraId="1DED1854">
      <w:pPr>
        <w:spacing w:line="400" w:lineRule="exact"/>
        <w:rPr>
          <w:rFonts w:ascii="宋体" w:hAnsi="宋体" w:cs="宋体"/>
          <w:color w:val="auto"/>
          <w:highlight w:val="none"/>
        </w:rPr>
      </w:pPr>
      <w:r>
        <w:rPr>
          <w:rFonts w:hint="eastAsia" w:ascii="宋体" w:hAnsi="宋体" w:cs="宋体"/>
          <w:color w:val="auto"/>
          <w:highlight w:val="none"/>
        </w:rPr>
        <w:t>（2）凡为采购项目提供整体设计、规范编制或者项目管理、检测等服务的供应商，不得再参加本项目的采购活动。</w:t>
      </w:r>
    </w:p>
    <w:p w14:paraId="4939634E">
      <w:pPr>
        <w:spacing w:line="400" w:lineRule="exact"/>
        <w:rPr>
          <w:rFonts w:ascii="宋体" w:hAnsi="宋体" w:cs="宋体"/>
          <w:color w:val="auto"/>
          <w:highlight w:val="none"/>
        </w:rPr>
      </w:pPr>
      <w:r>
        <w:rPr>
          <w:rFonts w:hint="eastAsia" w:ascii="宋体" w:hAnsi="宋体" w:cs="宋体"/>
          <w:color w:val="auto"/>
          <w:highlight w:val="none"/>
        </w:rPr>
        <w:t>（3）供应商被“信用中国”网站（www.creditchina.gov.cn）、“中国政府采购网"(www.ccgp.gov.cn）列入失信被执行人、重大税收违法案件当事人名单、政府采购严重违</w:t>
      </w:r>
      <w:r>
        <w:rPr>
          <w:rFonts w:hint="eastAsia" w:ascii="宋体" w:hAnsi="宋体" w:cs="宋体"/>
          <w:color w:val="auto"/>
          <w:highlight w:val="none"/>
          <w:lang w:val="zh-CN"/>
        </w:rPr>
        <w:t>法失信行为记录名单。</w:t>
      </w:r>
    </w:p>
    <w:p w14:paraId="7E268047">
      <w:pPr>
        <w:spacing w:line="400" w:lineRule="exact"/>
        <w:rPr>
          <w:rFonts w:ascii="宋体" w:hAnsi="宋体" w:cs="宋体"/>
          <w:color w:val="auto"/>
          <w:highlight w:val="none"/>
          <w:lang w:val="zh-CN"/>
        </w:rPr>
      </w:pPr>
      <w:r>
        <w:rPr>
          <w:rFonts w:hint="eastAsia" w:ascii="宋体" w:hAnsi="宋体" w:cs="宋体"/>
          <w:color w:val="auto"/>
          <w:highlight w:val="none"/>
        </w:rPr>
        <w:t>2.</w:t>
      </w:r>
      <w:r>
        <w:rPr>
          <w:rFonts w:hint="eastAsia" w:ascii="宋体" w:hAnsi="宋体" w:cs="宋体"/>
          <w:color w:val="auto"/>
          <w:highlight w:val="none"/>
          <w:lang w:val="zh-CN"/>
        </w:rPr>
        <w:t>集中勘察现场和答疑：本次采购不组织集中勘察现场。供应商如对采购需求有疑问请与采购联系人沟通。在递交响应文件截止时间</w:t>
      </w:r>
      <w:r>
        <w:rPr>
          <w:rFonts w:hint="eastAsia" w:ascii="宋体" w:hAnsi="宋体" w:cs="宋体"/>
          <w:color w:val="auto"/>
          <w:highlight w:val="none"/>
        </w:rPr>
        <w:t>3</w:t>
      </w:r>
      <w:r>
        <w:rPr>
          <w:rFonts w:hint="eastAsia" w:ascii="宋体" w:hAnsi="宋体" w:cs="宋体"/>
          <w:color w:val="auto"/>
          <w:highlight w:val="none"/>
          <w:lang w:val="zh-CN"/>
        </w:rPr>
        <w:t>日前，代理机构将磋商文件澄清或者修改的内容（如有）发放供应商，供应商如对本项目有疑问也应在此时间内向代理机构递交提疑文件。</w:t>
      </w:r>
    </w:p>
    <w:p w14:paraId="764E8644">
      <w:pPr>
        <w:spacing w:line="400" w:lineRule="exact"/>
        <w:rPr>
          <w:rFonts w:hint="eastAsia" w:ascii="宋体" w:hAnsi="宋体" w:cs="宋体"/>
          <w:color w:val="auto"/>
          <w:highlight w:val="none"/>
          <w:lang w:val="en-US" w:eastAsia="zh-CN"/>
        </w:rPr>
      </w:pPr>
      <w:r>
        <w:rPr>
          <w:rFonts w:hint="eastAsia" w:ascii="宋体" w:hAnsi="宋体" w:cs="宋体"/>
          <w:color w:val="auto"/>
          <w:highlight w:val="none"/>
        </w:rPr>
        <w:t>3.</w:t>
      </w:r>
      <w:r>
        <w:rPr>
          <w:rFonts w:hint="eastAsia" w:ascii="宋体" w:hAnsi="宋体" w:cs="宋体"/>
          <w:color w:val="auto"/>
          <w:highlight w:val="none"/>
          <w:lang w:val="zh-CN"/>
        </w:rPr>
        <w:t>响应文件份数：</w:t>
      </w:r>
      <w:bookmarkStart w:id="26" w:name="_Toc35393805"/>
      <w:bookmarkStart w:id="27" w:name="_Toc28359018"/>
      <w:bookmarkStart w:id="28" w:name="_Toc35393636"/>
      <w:bookmarkStart w:id="29" w:name="_Toc28359095"/>
      <w:r>
        <w:rPr>
          <w:rFonts w:hint="eastAsia" w:ascii="宋体" w:hAnsi="宋体" w:cs="宋体"/>
          <w:color w:val="auto"/>
          <w:highlight w:val="none"/>
          <w:lang w:val="en-US" w:eastAsia="zh-CN"/>
        </w:rPr>
        <w:t>本项目采用苏采云系统电子投标。</w:t>
      </w:r>
    </w:p>
    <w:p w14:paraId="25452BD2">
      <w:pPr>
        <w:spacing w:line="400" w:lineRule="exact"/>
        <w:rPr>
          <w:rFonts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highlight w:val="none"/>
          <w:lang w:val="zh-CN"/>
        </w:rPr>
        <w:t>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w:t>
      </w:r>
      <w:r>
        <w:rPr>
          <w:rFonts w:hint="eastAsia" w:ascii="宋体" w:hAnsi="宋体" w:cs="宋体"/>
          <w:color w:val="auto"/>
          <w:highlight w:val="none"/>
        </w:rPr>
        <w:t>响应</w:t>
      </w:r>
      <w:r>
        <w:rPr>
          <w:rFonts w:hint="eastAsia" w:ascii="宋体" w:hAnsi="宋体" w:cs="宋体"/>
          <w:color w:val="auto"/>
          <w:highlight w:val="none"/>
          <w:lang w:val="zh-CN"/>
        </w:rPr>
        <w:t>文件截止日前，应先登录“信用南京”在线打印其“南京市政府采购供应商信用记录表</w:t>
      </w:r>
      <w:r>
        <w:rPr>
          <w:rFonts w:hint="eastAsia" w:ascii="宋体" w:hAnsi="宋体" w:cs="宋体"/>
          <w:color w:val="auto"/>
          <w:highlight w:val="none"/>
        </w:rPr>
        <w:t>暨信用承诺书</w:t>
      </w:r>
      <w:r>
        <w:rPr>
          <w:rFonts w:hint="eastAsia" w:ascii="宋体" w:hAnsi="宋体" w:cs="宋体"/>
          <w:color w:val="auto"/>
          <w:highlight w:val="none"/>
          <w:lang w:val="zh-CN"/>
        </w:rPr>
        <w:t>”，经法定代表人签名盖章后作为</w:t>
      </w:r>
      <w:r>
        <w:rPr>
          <w:rFonts w:hint="eastAsia" w:ascii="宋体" w:hAnsi="宋体" w:cs="宋体"/>
          <w:color w:val="auto"/>
          <w:highlight w:val="none"/>
        </w:rPr>
        <w:t>响应</w:t>
      </w:r>
      <w:r>
        <w:rPr>
          <w:rFonts w:hint="eastAsia" w:ascii="宋体" w:hAnsi="宋体" w:cs="宋体"/>
          <w:color w:val="auto"/>
          <w:highlight w:val="none"/>
          <w:lang w:val="zh-CN"/>
        </w:rPr>
        <w:t>文件的组成部分，“南京市政府采购供应商信用记录表</w:t>
      </w:r>
      <w:r>
        <w:rPr>
          <w:rFonts w:hint="eastAsia" w:ascii="宋体" w:hAnsi="宋体" w:cs="宋体"/>
          <w:color w:val="auto"/>
          <w:highlight w:val="none"/>
        </w:rPr>
        <w:t>暨信用承诺书</w:t>
      </w:r>
      <w:r>
        <w:rPr>
          <w:rFonts w:hint="eastAsia" w:ascii="宋体" w:hAnsi="宋体" w:cs="宋体"/>
          <w:color w:val="auto"/>
          <w:highlight w:val="none"/>
          <w:lang w:val="zh-CN"/>
        </w:rPr>
        <w:t>”是参加本次政府采购活动的必备材料。</w:t>
      </w:r>
    </w:p>
    <w:p w14:paraId="5CCE2C88">
      <w:pPr>
        <w:spacing w:line="400" w:lineRule="exact"/>
        <w:rPr>
          <w:rFonts w:ascii="宋体" w:hAnsi="宋体" w:cs="宋体"/>
          <w:color w:val="auto"/>
          <w:highlight w:val="none"/>
          <w:lang w:val="zh-CN"/>
        </w:rPr>
      </w:pPr>
      <w:r>
        <w:rPr>
          <w:rFonts w:hint="eastAsia" w:ascii="宋体" w:hAnsi="宋体" w:cs="宋体"/>
          <w:color w:val="auto"/>
          <w:highlight w:val="none"/>
        </w:rPr>
        <w:t>5</w:t>
      </w:r>
      <w:r>
        <w:rPr>
          <w:rFonts w:hint="eastAsia" w:ascii="宋体" w:hAnsi="宋体" w:cs="宋体"/>
          <w:color w:val="auto"/>
          <w:highlight w:val="none"/>
          <w:lang w:val="zh-CN"/>
        </w:rPr>
        <w:t>.是否接受进口产品：否。</w:t>
      </w:r>
    </w:p>
    <w:p w14:paraId="22C58BB5">
      <w:pPr>
        <w:spacing w:line="400" w:lineRule="exact"/>
        <w:rPr>
          <w:rFonts w:hint="eastAsia" w:ascii="宋体" w:hAnsi="宋体" w:cs="宋体"/>
          <w:color w:val="auto"/>
          <w:highlight w:val="none"/>
          <w:lang w:val="zh-CN"/>
        </w:rPr>
      </w:pPr>
      <w:r>
        <w:rPr>
          <w:rFonts w:hint="eastAsia" w:ascii="宋体" w:hAnsi="宋体" w:cs="宋体"/>
          <w:color w:val="auto"/>
          <w:highlight w:val="none"/>
        </w:rPr>
        <w:t>6</w:t>
      </w:r>
      <w:r>
        <w:rPr>
          <w:rFonts w:hint="eastAsia" w:ascii="宋体" w:hAnsi="宋体" w:cs="宋体"/>
          <w:color w:val="auto"/>
          <w:highlight w:val="none"/>
          <w:lang w:val="zh-CN"/>
        </w:rPr>
        <w:t>.本项目不收取投标保证金。</w:t>
      </w:r>
    </w:p>
    <w:p w14:paraId="2262731D">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潜在供应商访问政府采购管理交易系统（苏采云）的网络地址和方法：</w:t>
      </w:r>
    </w:p>
    <w:p w14:paraId="50008AA9">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3A619FD">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（2）“CA数字证书”的获取：供应商需办理CA锁，“苏采云”系统目前仅支持“苏采云”系统下的政务CA，省内各地区办理的“苏采云”系统下的政务CA全省通用。</w:t>
      </w:r>
    </w:p>
    <w:p w14:paraId="0DD979E4">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（3）“CA数字证书”的办理材料以及供应商操作手册详见：http://jsxcmm.com/help/gys.html。</w:t>
      </w:r>
    </w:p>
    <w:p w14:paraId="0008415A">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（4）潜在供应商访问“苏采云”系统的网络地址和方法：“苏采云”系统的网址：http://jszfcg.jsczt.cn/jszc/login。</w:t>
      </w:r>
    </w:p>
    <w:p w14:paraId="186051CE">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（5）采购文件（后缀名为“.kedt”）、供应商操作手册及政府采购客户端工具也可通过“苏采云”系统--已报名项目--报名详情页面内相应链接进行下载。</w:t>
      </w:r>
    </w:p>
    <w:p w14:paraId="55542980">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（6）招标代理机构（采购代理机构）将数据电文形式的采购文件加载至“苏采云”系统，供潜在供应商下载或者查阅。</w:t>
      </w:r>
    </w:p>
    <w:p w14:paraId="5DD9412A">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（7）苏采云系统使用谷歌浏览器参与不见面开标。</w:t>
      </w:r>
    </w:p>
    <w:p w14:paraId="70F8B90F">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（8）“苏采云”南京地区客服热线025-83633744、025-83633743。</w:t>
      </w:r>
    </w:p>
    <w:p w14:paraId="2B197417">
      <w:pPr>
        <w:spacing w:line="400" w:lineRule="exact"/>
        <w:rPr>
          <w:color w:val="auto"/>
          <w:highlight w:val="none"/>
          <w:lang w:val="zh-CN"/>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007210A7">
      <w:pPr>
        <w:spacing w:line="400" w:lineRule="exact"/>
        <w:rPr>
          <w:rFonts w:ascii="宋体" w:hAnsi="宋体" w:cs="宋体"/>
          <w:color w:val="auto"/>
          <w:highlight w:val="none"/>
        </w:rPr>
      </w:pPr>
      <w:r>
        <w:rPr>
          <w:rFonts w:hint="eastAsia" w:ascii="宋体" w:hAnsi="宋体" w:cs="宋体"/>
          <w:color w:val="auto"/>
          <w:highlight w:val="none"/>
        </w:rPr>
        <w:t>八、凡对本次采购提出询问，请按以下方式联系</w:t>
      </w:r>
      <w:bookmarkEnd w:id="26"/>
      <w:bookmarkEnd w:id="27"/>
      <w:bookmarkEnd w:id="28"/>
      <w:bookmarkEnd w:id="29"/>
    </w:p>
    <w:p w14:paraId="6FB6CFD0">
      <w:pPr>
        <w:spacing w:line="400" w:lineRule="exact"/>
        <w:rPr>
          <w:rFonts w:ascii="宋体" w:hAnsi="宋体" w:cs="宋体"/>
          <w:color w:val="auto"/>
          <w:highlight w:val="none"/>
        </w:rPr>
      </w:pPr>
      <w:bookmarkStart w:id="30" w:name="_Toc35393806"/>
      <w:bookmarkStart w:id="31" w:name="_Toc28359019"/>
      <w:bookmarkStart w:id="32" w:name="_Toc35393637"/>
      <w:bookmarkStart w:id="33" w:name="_Toc28359096"/>
      <w:r>
        <w:rPr>
          <w:rFonts w:hint="eastAsia" w:ascii="宋体" w:hAnsi="宋体" w:cs="宋体"/>
          <w:color w:val="auto"/>
          <w:highlight w:val="none"/>
        </w:rPr>
        <w:t>1.采购人信息</w:t>
      </w:r>
      <w:bookmarkEnd w:id="30"/>
      <w:bookmarkEnd w:id="31"/>
      <w:bookmarkEnd w:id="32"/>
      <w:bookmarkEnd w:id="33"/>
    </w:p>
    <w:p w14:paraId="1CE18D35">
      <w:pPr>
        <w:spacing w:line="400" w:lineRule="exact"/>
        <w:rPr>
          <w:rFonts w:hint="eastAsia" w:ascii="宋体" w:hAnsi="宋体" w:eastAsia="宋体" w:cs="宋体"/>
          <w:color w:val="auto"/>
          <w:highlight w:val="none"/>
        </w:rPr>
      </w:pPr>
      <w:bookmarkStart w:id="34" w:name="_Toc35393807"/>
      <w:bookmarkStart w:id="35" w:name="_Toc28359097"/>
      <w:bookmarkStart w:id="36" w:name="_Toc28359020"/>
      <w:bookmarkStart w:id="37" w:name="_Toc35393638"/>
      <w:r>
        <w:rPr>
          <w:rFonts w:hint="eastAsia" w:ascii="宋体" w:hAnsi="宋体" w:eastAsia="宋体" w:cs="宋体"/>
          <w:color w:val="auto"/>
          <w:highlight w:val="none"/>
        </w:rPr>
        <w:t>名称：南京市第二医院          </w:t>
      </w:r>
    </w:p>
    <w:p w14:paraId="70BD31E5">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地址：南京市鼓楼区钟阜路1号    </w:t>
      </w:r>
    </w:p>
    <w:p w14:paraId="243D4326">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联系人：秦老师</w:t>
      </w:r>
    </w:p>
    <w:p w14:paraId="453885BF">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联系电话：025-85091725  </w:t>
      </w:r>
    </w:p>
    <w:p w14:paraId="1448051F">
      <w:pPr>
        <w:spacing w:line="400" w:lineRule="exact"/>
        <w:rPr>
          <w:rFonts w:ascii="宋体" w:hAnsi="宋体" w:cs="宋体"/>
          <w:color w:val="auto"/>
          <w:highlight w:val="none"/>
        </w:rPr>
      </w:pPr>
      <w:r>
        <w:rPr>
          <w:rFonts w:hint="eastAsia" w:ascii="宋体" w:hAnsi="宋体" w:cs="宋体"/>
          <w:color w:val="auto"/>
          <w:highlight w:val="none"/>
        </w:rPr>
        <w:t>2.采购代理机构信息</w:t>
      </w:r>
      <w:bookmarkEnd w:id="34"/>
      <w:bookmarkEnd w:id="35"/>
      <w:bookmarkEnd w:id="36"/>
      <w:bookmarkEnd w:id="37"/>
    </w:p>
    <w:p w14:paraId="545F2E47">
      <w:pPr>
        <w:spacing w:line="400" w:lineRule="exact"/>
        <w:rPr>
          <w:rFonts w:ascii="宋体" w:hAnsi="宋体" w:cs="宋体"/>
          <w:color w:val="auto"/>
          <w:highlight w:val="none"/>
        </w:rPr>
      </w:pPr>
      <w:r>
        <w:rPr>
          <w:rFonts w:hint="eastAsia" w:ascii="宋体" w:hAnsi="宋体" w:cs="宋体"/>
          <w:color w:val="auto"/>
          <w:highlight w:val="none"/>
        </w:rPr>
        <w:t>名称：</w:t>
      </w:r>
      <w:r>
        <w:rPr>
          <w:rFonts w:hint="eastAsia" w:ascii="宋体" w:hAnsi="宋体" w:cs="宋体"/>
          <w:color w:val="auto"/>
          <w:highlight w:val="none"/>
          <w:lang w:eastAsia="zh-CN"/>
        </w:rPr>
        <w:t>江苏骏通建设项目管理咨询有限公司</w:t>
      </w:r>
      <w:r>
        <w:rPr>
          <w:rFonts w:hint="eastAsia" w:ascii="宋体" w:hAnsi="宋体" w:cs="宋体"/>
          <w:color w:val="auto"/>
          <w:highlight w:val="none"/>
        </w:rPr>
        <w:t xml:space="preserve">  </w:t>
      </w:r>
    </w:p>
    <w:p w14:paraId="333757A2">
      <w:pPr>
        <w:spacing w:line="400" w:lineRule="exact"/>
        <w:rPr>
          <w:rFonts w:ascii="宋体" w:hAnsi="宋体" w:cs="宋体"/>
          <w:color w:val="auto"/>
          <w:highlight w:val="none"/>
        </w:rPr>
      </w:pPr>
      <w:r>
        <w:rPr>
          <w:rFonts w:hint="eastAsia" w:ascii="宋体" w:hAnsi="宋体" w:cs="宋体"/>
          <w:color w:val="auto"/>
          <w:highlight w:val="none"/>
        </w:rPr>
        <w:t>地址：</w:t>
      </w:r>
      <w:r>
        <w:rPr>
          <w:rFonts w:hint="eastAsia"/>
          <w:color w:val="auto"/>
          <w:highlight w:val="none"/>
          <w:lang w:eastAsia="zh-CN"/>
        </w:rPr>
        <w:t>南京市鼓楼区中山北路346号老学堂创意园58号楼9楼</w:t>
      </w:r>
      <w:r>
        <w:rPr>
          <w:rFonts w:hint="eastAsia" w:ascii="宋体" w:hAnsi="宋体" w:cs="宋体"/>
          <w:color w:val="auto"/>
          <w:highlight w:val="none"/>
        </w:rPr>
        <w:t xml:space="preserve"> </w:t>
      </w:r>
    </w:p>
    <w:p w14:paraId="678E8FED">
      <w:pPr>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联系方式：</w:t>
      </w:r>
      <w:r>
        <w:rPr>
          <w:rFonts w:hint="eastAsia" w:ascii="宋体" w:hAnsi="宋体" w:cs="宋体"/>
          <w:color w:val="auto"/>
          <w:highlight w:val="none"/>
          <w:lang w:eastAsia="zh-CN"/>
        </w:rPr>
        <w:t>025-83605026</w:t>
      </w:r>
    </w:p>
    <w:p w14:paraId="1CEE2668">
      <w:pPr>
        <w:spacing w:line="400" w:lineRule="exact"/>
        <w:rPr>
          <w:rFonts w:ascii="宋体" w:hAnsi="宋体" w:cs="宋体"/>
          <w:color w:val="auto"/>
          <w:highlight w:val="none"/>
        </w:rPr>
      </w:pPr>
      <w:bookmarkStart w:id="38" w:name="_Toc28359021"/>
      <w:bookmarkStart w:id="39" w:name="_Toc28359098"/>
      <w:bookmarkStart w:id="40" w:name="_Toc35393639"/>
      <w:bookmarkStart w:id="41" w:name="_Toc35393808"/>
      <w:r>
        <w:rPr>
          <w:rFonts w:hint="eastAsia" w:ascii="宋体" w:hAnsi="宋体" w:cs="宋体"/>
          <w:color w:val="auto"/>
          <w:highlight w:val="none"/>
        </w:rPr>
        <w:t>3.项目联系方式</w:t>
      </w:r>
      <w:bookmarkEnd w:id="38"/>
      <w:bookmarkEnd w:id="39"/>
      <w:bookmarkEnd w:id="40"/>
      <w:bookmarkEnd w:id="41"/>
    </w:p>
    <w:p w14:paraId="23469F87">
      <w:pPr>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项目联系人：</w:t>
      </w:r>
      <w:r>
        <w:rPr>
          <w:rFonts w:hint="eastAsia" w:ascii="宋体" w:hAnsi="宋体" w:cs="宋体"/>
          <w:color w:val="auto"/>
          <w:highlight w:val="none"/>
          <w:lang w:eastAsia="zh-CN"/>
        </w:rPr>
        <w:t>陈工</w:t>
      </w:r>
    </w:p>
    <w:p w14:paraId="5F8727F0">
      <w:pPr>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电话：</w:t>
      </w:r>
      <w:r>
        <w:rPr>
          <w:rFonts w:hint="eastAsia" w:ascii="宋体" w:hAnsi="宋体" w:cs="宋体"/>
          <w:color w:val="auto"/>
          <w:highlight w:val="none"/>
          <w:lang w:eastAsia="zh-CN"/>
        </w:rPr>
        <w:t>025-83605026</w:t>
      </w:r>
    </w:p>
    <w:p w14:paraId="182BC6D7">
      <w:pPr>
        <w:spacing w:line="400" w:lineRule="exact"/>
        <w:jc w:val="center"/>
        <w:rPr>
          <w:rFonts w:ascii="宋体" w:hAnsi="宋体" w:cs="宋体"/>
          <w:color w:val="auto"/>
          <w:spacing w:val="-10"/>
          <w:szCs w:val="36"/>
          <w:highlight w:val="none"/>
        </w:rPr>
      </w:pPr>
      <w:r>
        <w:rPr>
          <w:rFonts w:hint="eastAsia" w:ascii="宋体" w:hAnsi="宋体" w:cs="宋体"/>
          <w:color w:val="auto"/>
          <w:highlight w:val="none"/>
        </w:rPr>
        <w:br w:type="page"/>
      </w:r>
      <w:r>
        <w:rPr>
          <w:rFonts w:hint="eastAsia" w:ascii="宋体" w:hAnsi="宋体" w:cs="宋体"/>
          <w:color w:val="auto"/>
          <w:spacing w:val="-10"/>
          <w:sz w:val="36"/>
          <w:szCs w:val="36"/>
          <w:highlight w:val="none"/>
        </w:rPr>
        <w:t>第二章 竞争性磋商须知</w:t>
      </w:r>
    </w:p>
    <w:p w14:paraId="2A75E4B5">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bookmarkStart w:id="42" w:name="_Toc513029203"/>
      <w:bookmarkStart w:id="43" w:name="_Toc16938519"/>
      <w:bookmarkStart w:id="44" w:name="_Toc20823275"/>
      <w:bookmarkStart w:id="45" w:name="_Toc120614214"/>
      <w:r>
        <w:rPr>
          <w:rFonts w:hint="eastAsia" w:asciiTheme="minorEastAsia" w:hAnsiTheme="minorEastAsia" w:eastAsiaTheme="minorEastAsia" w:cstheme="minorEastAsia"/>
          <w:b w:val="0"/>
          <w:bCs w:val="0"/>
          <w:color w:val="auto"/>
          <w:kern w:val="2"/>
          <w:sz w:val="21"/>
          <w:szCs w:val="21"/>
          <w:highlight w:val="none"/>
        </w:rPr>
        <w:t>一、总则</w:t>
      </w:r>
      <w:bookmarkEnd w:id="42"/>
      <w:bookmarkEnd w:id="43"/>
      <w:bookmarkEnd w:id="44"/>
      <w:bookmarkEnd w:id="45"/>
    </w:p>
    <w:p w14:paraId="660A8A8F">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46" w:name="_Hlt16619475"/>
      <w:bookmarkEnd w:id="46"/>
      <w:bookmarkStart w:id="47" w:name="_Toc458694821"/>
      <w:bookmarkStart w:id="48" w:name="_Toc20823276"/>
      <w:bookmarkStart w:id="49" w:name="_Toc16938520"/>
      <w:bookmarkStart w:id="50" w:name="_Toc513029204"/>
      <w:r>
        <w:rPr>
          <w:rFonts w:hint="eastAsia" w:asciiTheme="minorEastAsia" w:hAnsiTheme="minorEastAsia" w:eastAsiaTheme="minorEastAsia" w:cstheme="minorEastAsia"/>
          <w:b/>
          <w:bCs/>
          <w:color w:val="auto"/>
          <w:kern w:val="2"/>
          <w:sz w:val="21"/>
          <w:szCs w:val="21"/>
          <w:highlight w:val="none"/>
          <w:lang w:val="en-US" w:eastAsia="zh-CN"/>
        </w:rPr>
        <w:t>1</w:t>
      </w:r>
      <w:bookmarkEnd w:id="47"/>
      <w:r>
        <w:rPr>
          <w:rFonts w:hint="eastAsia" w:asciiTheme="minorEastAsia" w:hAnsiTheme="minorEastAsia" w:eastAsiaTheme="minorEastAsia" w:cstheme="minorEastAsia"/>
          <w:b/>
          <w:bCs/>
          <w:color w:val="auto"/>
          <w:kern w:val="2"/>
          <w:sz w:val="21"/>
          <w:szCs w:val="21"/>
          <w:highlight w:val="none"/>
          <w:lang w:val="en-US" w:eastAsia="zh-CN"/>
        </w:rPr>
        <w:t>.采购方式</w:t>
      </w:r>
      <w:bookmarkEnd w:id="48"/>
      <w:bookmarkEnd w:id="49"/>
      <w:bookmarkEnd w:id="50"/>
    </w:p>
    <w:p w14:paraId="37AC8CB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本次政府采购活动采取竞争性磋商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以下简称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磋商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方式</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本文件仅适用于</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公告中所述项目。</w:t>
      </w:r>
    </w:p>
    <w:p w14:paraId="371FDF67">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51" w:name="_Toc513029205"/>
      <w:bookmarkStart w:id="52" w:name="_Toc16938521"/>
      <w:bookmarkStart w:id="53" w:name="_Toc20823277"/>
      <w:r>
        <w:rPr>
          <w:rFonts w:hint="eastAsia" w:asciiTheme="minorEastAsia" w:hAnsiTheme="minorEastAsia" w:eastAsiaTheme="minorEastAsia" w:cstheme="minorEastAsia"/>
          <w:b/>
          <w:bCs/>
          <w:color w:val="auto"/>
          <w:kern w:val="2"/>
          <w:sz w:val="21"/>
          <w:szCs w:val="21"/>
          <w:highlight w:val="none"/>
          <w:lang w:val="en-US" w:eastAsia="zh-CN"/>
        </w:rPr>
        <w:t>2.合格的</w:t>
      </w:r>
      <w:bookmarkEnd w:id="51"/>
      <w:bookmarkEnd w:id="52"/>
      <w:bookmarkEnd w:id="53"/>
      <w:r>
        <w:rPr>
          <w:rFonts w:hint="eastAsia" w:asciiTheme="minorEastAsia" w:hAnsiTheme="minorEastAsia" w:eastAsiaTheme="minorEastAsia" w:cstheme="minorEastAsia"/>
          <w:b/>
          <w:bCs/>
          <w:color w:val="auto"/>
          <w:kern w:val="2"/>
          <w:sz w:val="21"/>
          <w:szCs w:val="21"/>
          <w:highlight w:val="none"/>
          <w:lang w:val="en-US" w:eastAsia="zh-CN"/>
        </w:rPr>
        <w:t>供应商</w:t>
      </w:r>
    </w:p>
    <w:p w14:paraId="0F6CDF9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满足</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公告</w:t>
      </w:r>
      <w:r>
        <w:rPr>
          <w:rFonts w:hint="eastAsia" w:asciiTheme="minorEastAsia" w:hAnsiTheme="minorEastAsia" w:eastAsiaTheme="minorEastAsia" w:cstheme="minorEastAsia"/>
          <w:color w:val="auto"/>
          <w:sz w:val="21"/>
          <w:szCs w:val="21"/>
          <w:highlight w:val="none"/>
          <w:lang w:eastAsia="zh-CN"/>
        </w:rPr>
        <w:t>对</w:t>
      </w:r>
      <w:r>
        <w:rPr>
          <w:rFonts w:hint="eastAsia" w:asciiTheme="minorEastAsia" w:hAnsiTheme="minorEastAsia" w:eastAsiaTheme="minorEastAsia" w:cstheme="minorEastAsia"/>
          <w:color w:val="auto"/>
          <w:sz w:val="21"/>
          <w:szCs w:val="21"/>
          <w:highlight w:val="none"/>
        </w:rPr>
        <w:t>供应商资格要求的规定。</w:t>
      </w:r>
    </w:p>
    <w:p w14:paraId="180013B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 满足</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eastAsia="zh-CN"/>
        </w:rPr>
        <w:t>规定的</w:t>
      </w:r>
      <w:r>
        <w:rPr>
          <w:rFonts w:hint="eastAsia" w:asciiTheme="minorEastAsia" w:hAnsiTheme="minorEastAsia" w:eastAsiaTheme="minorEastAsia" w:cstheme="minorEastAsia"/>
          <w:color w:val="auto"/>
          <w:sz w:val="21"/>
          <w:szCs w:val="21"/>
          <w:highlight w:val="none"/>
        </w:rPr>
        <w:t>实质性要求和条件。</w:t>
      </w:r>
    </w:p>
    <w:p w14:paraId="16A1D4E9">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54" w:name="_Toc513029206"/>
      <w:bookmarkStart w:id="55" w:name="_Toc16938522"/>
      <w:bookmarkStart w:id="56" w:name="_Toc20823278"/>
      <w:r>
        <w:rPr>
          <w:rFonts w:hint="eastAsia" w:asciiTheme="minorEastAsia" w:hAnsiTheme="minorEastAsia" w:eastAsiaTheme="minorEastAsia" w:cstheme="minorEastAsia"/>
          <w:b/>
          <w:bCs/>
          <w:color w:val="auto"/>
          <w:kern w:val="2"/>
          <w:sz w:val="21"/>
          <w:szCs w:val="21"/>
          <w:highlight w:val="none"/>
          <w:lang w:val="en-US" w:eastAsia="zh-CN"/>
        </w:rPr>
        <w:t>3.适用法律</w:t>
      </w:r>
      <w:bookmarkEnd w:id="54"/>
      <w:bookmarkEnd w:id="55"/>
      <w:bookmarkEnd w:id="56"/>
    </w:p>
    <w:p w14:paraId="572A8E39">
      <w:pPr>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 本次</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及由此产生的合同受中华人民共和国有关的法律法规制约和保护。</w:t>
      </w:r>
    </w:p>
    <w:p w14:paraId="3B409F85">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57" w:name="_Toc513029207"/>
      <w:bookmarkStart w:id="58" w:name="_Toc462564067"/>
      <w:bookmarkStart w:id="59" w:name="_Toc20823279"/>
      <w:bookmarkStart w:id="60" w:name="_Toc16938523"/>
      <w:r>
        <w:rPr>
          <w:rFonts w:hint="eastAsia" w:asciiTheme="minorEastAsia" w:hAnsiTheme="minorEastAsia" w:eastAsiaTheme="minorEastAsia" w:cstheme="minorEastAsia"/>
          <w:b/>
          <w:bCs/>
          <w:color w:val="auto"/>
          <w:kern w:val="2"/>
          <w:sz w:val="21"/>
          <w:szCs w:val="21"/>
          <w:highlight w:val="none"/>
          <w:lang w:val="en-US" w:eastAsia="zh-CN"/>
        </w:rPr>
        <w:t>4.磋商费用</w:t>
      </w:r>
      <w:bookmarkEnd w:id="57"/>
      <w:bookmarkEnd w:id="58"/>
      <w:bookmarkEnd w:id="59"/>
      <w:bookmarkEnd w:id="60"/>
    </w:p>
    <w:p w14:paraId="2483DA2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供应商应自行承担所有与参加</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有关的费用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无论</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过程中的做法和结果如何</w:t>
      </w:r>
      <w:r>
        <w:rPr>
          <w:rFonts w:hint="eastAsia" w:asciiTheme="minorEastAsia" w:hAnsiTheme="minorEastAsia" w:eastAsiaTheme="minorEastAsia" w:cstheme="minorEastAsia"/>
          <w:color w:val="auto"/>
          <w:sz w:val="21"/>
          <w:szCs w:val="21"/>
          <w:highlight w:val="none"/>
          <w:lang w:eastAsia="zh-CN"/>
        </w:rPr>
        <w:t>，招标人及招标代理机构</w:t>
      </w:r>
      <w:r>
        <w:rPr>
          <w:rFonts w:hint="eastAsia" w:asciiTheme="minorEastAsia" w:hAnsiTheme="minorEastAsia" w:eastAsiaTheme="minorEastAsia" w:cstheme="minorEastAsia"/>
          <w:color w:val="auto"/>
          <w:sz w:val="21"/>
          <w:szCs w:val="21"/>
          <w:highlight w:val="none"/>
        </w:rPr>
        <w:t>在任何情况下均无义务和责任承担这些费用。</w:t>
      </w:r>
    </w:p>
    <w:p w14:paraId="5C976E3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本次招标，招标代理服务费按《招标代理服务收费管理暂行办法》(计价格[2002]1980号)”收费标准计取。相应费用包含在投标报价中，供应商自行考虑，无需单列。</w:t>
      </w:r>
      <w:r>
        <w:rPr>
          <w:rFonts w:hint="eastAsia" w:asciiTheme="minorEastAsia" w:hAnsiTheme="minorEastAsia" w:eastAsiaTheme="minorEastAsia" w:cstheme="minorEastAsia"/>
          <w:color w:val="auto"/>
          <w:sz w:val="21"/>
          <w:szCs w:val="21"/>
          <w:highlight w:val="none"/>
        </w:rPr>
        <w:t>评标专家的劳务费按实由采购人支付。</w:t>
      </w:r>
    </w:p>
    <w:p w14:paraId="52CD7BA4">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5.磋商文件的约束力</w:t>
      </w:r>
    </w:p>
    <w:p w14:paraId="2E85606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供应商一旦参加本项目采购活动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即被认为接受了本文件的规定和约束。</w:t>
      </w:r>
    </w:p>
    <w:p w14:paraId="2D57A35F">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bookmarkStart w:id="61" w:name="_Toc20823281"/>
      <w:bookmarkStart w:id="62" w:name="_Toc513029209"/>
      <w:bookmarkStart w:id="63" w:name="_Toc120614215"/>
      <w:bookmarkStart w:id="64" w:name="_Toc16938525"/>
      <w:r>
        <w:rPr>
          <w:rFonts w:hint="eastAsia" w:asciiTheme="minorEastAsia" w:hAnsiTheme="minorEastAsia" w:eastAsiaTheme="minorEastAsia" w:cstheme="minorEastAsia"/>
          <w:b w:val="0"/>
          <w:bCs w:val="0"/>
          <w:color w:val="auto"/>
          <w:kern w:val="2"/>
          <w:sz w:val="21"/>
          <w:szCs w:val="21"/>
          <w:highlight w:val="none"/>
        </w:rPr>
        <w:t>二、</w:t>
      </w:r>
      <w:bookmarkEnd w:id="61"/>
      <w:bookmarkEnd w:id="62"/>
      <w:bookmarkEnd w:id="63"/>
      <w:bookmarkEnd w:id="64"/>
      <w:r>
        <w:rPr>
          <w:rFonts w:hint="eastAsia" w:asciiTheme="minorEastAsia" w:hAnsiTheme="minorEastAsia" w:eastAsiaTheme="minorEastAsia" w:cstheme="minorEastAsia"/>
          <w:b w:val="0"/>
          <w:bCs w:val="0"/>
          <w:color w:val="auto"/>
          <w:kern w:val="2"/>
          <w:sz w:val="21"/>
          <w:szCs w:val="21"/>
          <w:highlight w:val="none"/>
        </w:rPr>
        <w:t>磋商文件</w:t>
      </w:r>
    </w:p>
    <w:p w14:paraId="4518CEA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65" w:name="_Toc20823282"/>
      <w:bookmarkStart w:id="66" w:name="_Toc16938526"/>
      <w:bookmarkStart w:id="67" w:name="_Toc513029210"/>
      <w:r>
        <w:rPr>
          <w:rFonts w:hint="eastAsia" w:asciiTheme="minorEastAsia" w:hAnsiTheme="minorEastAsia" w:eastAsiaTheme="minorEastAsia" w:cstheme="minorEastAsia"/>
          <w:b/>
          <w:bCs/>
          <w:color w:val="auto"/>
          <w:kern w:val="2"/>
          <w:sz w:val="21"/>
          <w:szCs w:val="21"/>
          <w:highlight w:val="none"/>
          <w:lang w:val="en-US" w:eastAsia="zh-CN"/>
        </w:rPr>
        <w:t>6.磋商文件构成</w:t>
      </w:r>
      <w:bookmarkEnd w:id="65"/>
      <w:bookmarkEnd w:id="66"/>
      <w:bookmarkEnd w:id="67"/>
    </w:p>
    <w:p w14:paraId="6F59F03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磋商文件由以下部分组成：</w:t>
      </w:r>
    </w:p>
    <w:p w14:paraId="07DF769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（1）磋商邀请</w:t>
      </w:r>
    </w:p>
    <w:p w14:paraId="46B0200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（2）供应商须知</w:t>
      </w:r>
    </w:p>
    <w:p w14:paraId="6D81D578">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（3）评审方法与评审标准</w:t>
      </w:r>
    </w:p>
    <w:p w14:paraId="217A41C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（4）采购需求</w:t>
      </w:r>
    </w:p>
    <w:p w14:paraId="6FCAE51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（5）合同文本</w:t>
      </w:r>
    </w:p>
    <w:p w14:paraId="11421A7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（6）响应文件格式</w:t>
      </w:r>
    </w:p>
    <w:p w14:paraId="3B39254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供应商应</w:t>
      </w:r>
      <w:r>
        <w:rPr>
          <w:rFonts w:hint="eastAsia" w:asciiTheme="minorEastAsia" w:hAnsiTheme="minorEastAsia" w:eastAsiaTheme="minorEastAsia" w:cstheme="minorEastAsia"/>
          <w:color w:val="auto"/>
          <w:sz w:val="21"/>
          <w:szCs w:val="21"/>
          <w:highlight w:val="none"/>
        </w:rPr>
        <w:t>仔细检查磋商文件是否齐全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如有缺漏请立即与</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联系。</w:t>
      </w:r>
    </w:p>
    <w:p w14:paraId="4C39840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供应商应认真阅读磋商文件中所有的事项、格式、条款和规范等要求。按磋商文件要求和规定编制响应文件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并保证所提供的全部资料的真实性</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以使其响应文件对磋商文件作出实质性响应</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否则其风险由供应商自行承担。</w:t>
      </w:r>
    </w:p>
    <w:p w14:paraId="386135ED">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68" w:name="_Toc462564070"/>
      <w:bookmarkStart w:id="69" w:name="_Toc16938527"/>
      <w:bookmarkStart w:id="70" w:name="_Toc513029211"/>
      <w:bookmarkStart w:id="71" w:name="_Toc20823283"/>
      <w:r>
        <w:rPr>
          <w:rFonts w:hint="eastAsia" w:asciiTheme="minorEastAsia" w:hAnsiTheme="minorEastAsia" w:eastAsiaTheme="minorEastAsia" w:cstheme="minorEastAsia"/>
          <w:b/>
          <w:bCs/>
          <w:color w:val="auto"/>
          <w:kern w:val="2"/>
          <w:sz w:val="21"/>
          <w:szCs w:val="21"/>
          <w:highlight w:val="none"/>
          <w:lang w:val="en-US" w:eastAsia="zh-CN"/>
        </w:rPr>
        <w:t>7.磋商文件的澄清</w:t>
      </w:r>
      <w:bookmarkEnd w:id="68"/>
      <w:bookmarkEnd w:id="69"/>
      <w:bookmarkEnd w:id="70"/>
      <w:bookmarkEnd w:id="71"/>
    </w:p>
    <w:p w14:paraId="6DF5890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 任何要求对磋商文件进行澄清的供应商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应在磋商截止期</w:t>
      </w:r>
      <w:r>
        <w:rPr>
          <w:rFonts w:hint="eastAsia" w:asciiTheme="minorEastAsia" w:hAnsiTheme="minorEastAsia" w:eastAsiaTheme="minorEastAsia" w:cstheme="minorEastAsia"/>
          <w:color w:val="auto"/>
          <w:sz w:val="21"/>
          <w:szCs w:val="21"/>
          <w:highlight w:val="none"/>
          <w:lang w:eastAsia="zh-CN"/>
        </w:rPr>
        <w:t>五</w:t>
      </w:r>
      <w:r>
        <w:rPr>
          <w:rFonts w:hint="eastAsia" w:asciiTheme="minorEastAsia" w:hAnsiTheme="minorEastAsia" w:eastAsiaTheme="minorEastAsia" w:cstheme="minorEastAsia"/>
          <w:color w:val="auto"/>
          <w:sz w:val="21"/>
          <w:szCs w:val="21"/>
          <w:highlight w:val="none"/>
        </w:rPr>
        <w:t>日前按</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公告中的通讯地址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以书面形式通知</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w:t>
      </w:r>
    </w:p>
    <w:p w14:paraId="49EB7F17">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72" w:name="_Toc16938528"/>
      <w:bookmarkStart w:id="73" w:name="_Toc462564071"/>
      <w:bookmarkStart w:id="74" w:name="_Toc20823284"/>
      <w:bookmarkStart w:id="75" w:name="_Toc513029212"/>
      <w:r>
        <w:rPr>
          <w:rFonts w:hint="eastAsia" w:asciiTheme="minorEastAsia" w:hAnsiTheme="minorEastAsia" w:eastAsiaTheme="minorEastAsia" w:cstheme="minorEastAsia"/>
          <w:b/>
          <w:bCs/>
          <w:color w:val="auto"/>
          <w:kern w:val="2"/>
          <w:sz w:val="21"/>
          <w:szCs w:val="21"/>
          <w:highlight w:val="none"/>
          <w:lang w:val="en-US" w:eastAsia="zh-CN"/>
        </w:rPr>
        <w:t>8.磋商文件的修改</w:t>
      </w:r>
      <w:bookmarkEnd w:id="72"/>
      <w:bookmarkEnd w:id="73"/>
      <w:bookmarkEnd w:id="74"/>
      <w:bookmarkEnd w:id="75"/>
    </w:p>
    <w:p w14:paraId="6DAC8C5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bookmarkStart w:id="76" w:name="_Toc513029213"/>
      <w:bookmarkStart w:id="77" w:name="_Toc120614216"/>
      <w:bookmarkStart w:id="78" w:name="_Toc16938529"/>
      <w:bookmarkStart w:id="79" w:name="_Toc462564072"/>
      <w:bookmarkStart w:id="80" w:name="_Toc20823285"/>
      <w:r>
        <w:rPr>
          <w:rFonts w:hint="eastAsia" w:asciiTheme="minorEastAsia" w:hAnsiTheme="minorEastAsia" w:eastAsiaTheme="minorEastAsia" w:cstheme="minorEastAsia"/>
          <w:color w:val="auto"/>
          <w:sz w:val="21"/>
          <w:szCs w:val="21"/>
          <w:highlight w:val="none"/>
        </w:rPr>
        <w:t>8.1 在响应文件提交截止时间前</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可以对磋商文件进行修改。磋商文件的修改将在原公告媒体发布更正公告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更正内容将作为磋商文件的组成部分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并对供应商具有约束力。</w:t>
      </w:r>
    </w:p>
    <w:p w14:paraId="41796BF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供应商应在提交响应文件截止时间前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关注原公告媒体有关本项目的更正公告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根据更正公告内容自行决定是否需要重新制作和提交响应文件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并承担由此产生的相应责任。</w:t>
      </w:r>
    </w:p>
    <w:p w14:paraId="38F8DA8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有权按照法定的要求推迟提交响应文件截止时间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并在原公告媒体发布更正公告。</w:t>
      </w:r>
    </w:p>
    <w:p w14:paraId="40FDD328">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r>
        <w:rPr>
          <w:rFonts w:hint="eastAsia" w:asciiTheme="minorEastAsia" w:hAnsiTheme="minorEastAsia" w:eastAsiaTheme="minorEastAsia" w:cstheme="minorEastAsia"/>
          <w:b w:val="0"/>
          <w:bCs w:val="0"/>
          <w:color w:val="auto"/>
          <w:kern w:val="2"/>
          <w:sz w:val="21"/>
          <w:szCs w:val="21"/>
          <w:highlight w:val="none"/>
        </w:rPr>
        <w:t>三、响应文件的编制</w:t>
      </w:r>
      <w:bookmarkEnd w:id="76"/>
      <w:bookmarkEnd w:id="77"/>
      <w:bookmarkEnd w:id="78"/>
      <w:bookmarkEnd w:id="79"/>
      <w:bookmarkEnd w:id="80"/>
    </w:p>
    <w:p w14:paraId="15500402">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81" w:name="_Toc16938530"/>
      <w:bookmarkStart w:id="82" w:name="_Toc20823286"/>
      <w:bookmarkStart w:id="83" w:name="_Toc513029214"/>
      <w:bookmarkStart w:id="84" w:name="_Toc462564073"/>
      <w:r>
        <w:rPr>
          <w:rFonts w:hint="eastAsia" w:asciiTheme="minorEastAsia" w:hAnsiTheme="minorEastAsia" w:eastAsiaTheme="minorEastAsia" w:cstheme="minorEastAsia"/>
          <w:b/>
          <w:bCs/>
          <w:color w:val="auto"/>
          <w:kern w:val="2"/>
          <w:sz w:val="21"/>
          <w:szCs w:val="21"/>
          <w:highlight w:val="none"/>
          <w:lang w:val="en-US" w:eastAsia="zh-CN"/>
        </w:rPr>
        <w:t>9.响应文件的语言及度量衡单位</w:t>
      </w:r>
      <w:bookmarkEnd w:id="81"/>
      <w:bookmarkEnd w:id="82"/>
      <w:bookmarkEnd w:id="83"/>
      <w:bookmarkEnd w:id="84"/>
    </w:p>
    <w:p w14:paraId="70973C1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供应商提交的响应文件以及供应商与</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就有关磋商的所有来往通知、函件和文件均应使用简体中文。</w:t>
      </w:r>
    </w:p>
    <w:p w14:paraId="5EF0CEF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 除技术性能另有规定外</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响应文件所使用的度量衡单位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均须采用国家法定计量单位。</w:t>
      </w:r>
    </w:p>
    <w:p w14:paraId="5915F8BC">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85" w:name="_Toc16938531"/>
      <w:bookmarkStart w:id="86" w:name="_Toc462564074"/>
      <w:bookmarkStart w:id="87" w:name="_Toc20823287"/>
      <w:bookmarkStart w:id="88" w:name="_Toc513029215"/>
      <w:r>
        <w:rPr>
          <w:rFonts w:hint="eastAsia" w:asciiTheme="minorEastAsia" w:hAnsiTheme="minorEastAsia" w:eastAsiaTheme="minorEastAsia" w:cstheme="minorEastAsia"/>
          <w:b/>
          <w:bCs/>
          <w:color w:val="auto"/>
          <w:kern w:val="2"/>
          <w:sz w:val="21"/>
          <w:szCs w:val="21"/>
          <w:highlight w:val="none"/>
          <w:lang w:val="en-US" w:eastAsia="zh-CN"/>
        </w:rPr>
        <w:t>10.响应文件构成</w:t>
      </w:r>
      <w:bookmarkEnd w:id="85"/>
      <w:bookmarkEnd w:id="86"/>
      <w:bookmarkEnd w:id="87"/>
      <w:bookmarkEnd w:id="88"/>
    </w:p>
    <w:p w14:paraId="5F6CEC6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供应商编写的响应文件应包括资格证明文件、符合性证明文件、</w:t>
      </w:r>
      <w:r>
        <w:rPr>
          <w:rFonts w:hint="eastAsia" w:asciiTheme="minorEastAsia" w:hAnsiTheme="minorEastAsia" w:eastAsiaTheme="minorEastAsia" w:cstheme="minorEastAsia"/>
          <w:color w:val="auto"/>
          <w:sz w:val="21"/>
          <w:szCs w:val="21"/>
          <w:highlight w:val="none"/>
          <w:lang w:eastAsia="zh-CN"/>
        </w:rPr>
        <w:t>分项报价表</w:t>
      </w:r>
      <w:r>
        <w:rPr>
          <w:rFonts w:hint="eastAsia" w:asciiTheme="minorEastAsia" w:hAnsiTheme="minorEastAsia" w:eastAsiaTheme="minorEastAsia" w:cstheme="minorEastAsia"/>
          <w:color w:val="auto"/>
          <w:sz w:val="21"/>
          <w:szCs w:val="21"/>
          <w:highlight w:val="none"/>
        </w:rPr>
        <w:t>、响应及偏离表、其他证明文件、磋商响应函等部分。</w:t>
      </w:r>
    </w:p>
    <w:p w14:paraId="291F0E2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 如标书制作工具中格式和内容与“</w:t>
      </w:r>
      <w:r>
        <w:rPr>
          <w:rFonts w:hint="eastAsia" w:asciiTheme="minorEastAsia" w:hAnsiTheme="minorEastAsia" w:eastAsiaTheme="minorEastAsia" w:cstheme="minorEastAsia"/>
          <w:color w:val="auto"/>
          <w:sz w:val="21"/>
          <w:szCs w:val="21"/>
          <w:highlight w:val="none"/>
          <w:lang w:eastAsia="zh-CN"/>
        </w:rPr>
        <w:t>江苏政府采购网、南京公共采购信息网</w:t>
      </w:r>
      <w:r>
        <w:rPr>
          <w:rFonts w:hint="eastAsia" w:asciiTheme="minorEastAsia" w:hAnsiTheme="minorEastAsia" w:eastAsiaTheme="minorEastAsia" w:cstheme="minorEastAsia"/>
          <w:color w:val="auto"/>
          <w:sz w:val="21"/>
          <w:szCs w:val="21"/>
          <w:highlight w:val="none"/>
        </w:rPr>
        <w:t>”发布的磋商文件不一致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以“</w:t>
      </w:r>
      <w:r>
        <w:rPr>
          <w:rFonts w:hint="eastAsia" w:asciiTheme="minorEastAsia" w:hAnsiTheme="minorEastAsia" w:eastAsiaTheme="minorEastAsia" w:cstheme="minorEastAsia"/>
          <w:color w:val="auto"/>
          <w:sz w:val="21"/>
          <w:szCs w:val="21"/>
          <w:highlight w:val="none"/>
          <w:lang w:eastAsia="zh-CN"/>
        </w:rPr>
        <w:t>江苏政府采购网、南京公共采购信息网</w:t>
      </w:r>
      <w:r>
        <w:rPr>
          <w:rFonts w:hint="eastAsia" w:asciiTheme="minorEastAsia" w:hAnsiTheme="minorEastAsia" w:eastAsiaTheme="minorEastAsia" w:cstheme="minorEastAsia"/>
          <w:color w:val="auto"/>
          <w:sz w:val="21"/>
          <w:szCs w:val="21"/>
          <w:highlight w:val="none"/>
        </w:rPr>
        <w:t>”发布的磋商文件为准。</w:t>
      </w:r>
    </w:p>
    <w:p w14:paraId="0587C454">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89" w:name="_Hlt26954838"/>
      <w:bookmarkEnd w:id="89"/>
      <w:bookmarkStart w:id="90" w:name="_Hlt26668975"/>
      <w:bookmarkEnd w:id="90"/>
      <w:bookmarkStart w:id="91" w:name="_Hlt26670360"/>
      <w:bookmarkEnd w:id="91"/>
      <w:bookmarkStart w:id="92" w:name="_Toc513029219"/>
      <w:bookmarkStart w:id="93" w:name="_Toc49090509"/>
      <w:bookmarkStart w:id="94" w:name="_Toc14577357"/>
      <w:bookmarkStart w:id="95" w:name="_Toc513029216"/>
      <w:bookmarkStart w:id="96" w:name="_Toc14577354"/>
      <w:bookmarkStart w:id="97" w:name="_Toc49090507"/>
      <w:bookmarkStart w:id="98" w:name="_Toc49090508"/>
      <w:bookmarkStart w:id="99" w:name="_Toc14577355"/>
      <w:r>
        <w:rPr>
          <w:rFonts w:hint="eastAsia" w:asciiTheme="minorEastAsia" w:hAnsiTheme="minorEastAsia" w:eastAsiaTheme="minorEastAsia" w:cstheme="minorEastAsia"/>
          <w:b/>
          <w:bCs/>
          <w:color w:val="auto"/>
          <w:kern w:val="2"/>
          <w:sz w:val="21"/>
          <w:szCs w:val="21"/>
          <w:highlight w:val="none"/>
          <w:lang w:val="en-US" w:eastAsia="zh-CN"/>
        </w:rPr>
        <w:t>11.证明磋商响应标的符合磋商文件规定的文件</w:t>
      </w:r>
      <w:bookmarkEnd w:id="92"/>
      <w:bookmarkEnd w:id="93"/>
      <w:bookmarkEnd w:id="94"/>
    </w:p>
    <w:bookmarkEnd w:id="95"/>
    <w:bookmarkEnd w:id="96"/>
    <w:bookmarkEnd w:id="97"/>
    <w:p w14:paraId="303B3C8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供应商应按照法律、法规、规章和规范性文件以及磋商文件要求提交证明文件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证明其响应标的符合磋商文件规定。</w:t>
      </w:r>
    </w:p>
    <w:p w14:paraId="3E0A09A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磋商文件对证明文件无明确形式要求的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证明文件可以以文字资料、图纸和数据等形式提交。</w:t>
      </w:r>
    </w:p>
    <w:bookmarkEnd w:id="98"/>
    <w:bookmarkEnd w:id="99"/>
    <w:p w14:paraId="55C67821">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12.分项报价表</w:t>
      </w:r>
      <w:r>
        <w:rPr>
          <w:rFonts w:hint="eastAsia" w:asciiTheme="minorEastAsia" w:hAnsiTheme="minorEastAsia" w:eastAsiaTheme="minorEastAsia" w:cstheme="minorEastAsia"/>
          <w:b/>
          <w:bCs/>
          <w:color w:val="auto"/>
          <w:kern w:val="2"/>
          <w:sz w:val="21"/>
          <w:szCs w:val="21"/>
          <w:highlight w:val="none"/>
          <w:lang w:val="zh-CN" w:eastAsia="zh-CN"/>
        </w:rPr>
        <w:t>（如有）</w:t>
      </w:r>
    </w:p>
    <w:p w14:paraId="58C387D2">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供应商应按照磋商文件规定格式填报</w:t>
      </w:r>
      <w:r>
        <w:rPr>
          <w:rFonts w:hint="eastAsia" w:asciiTheme="minorEastAsia" w:hAnsiTheme="minorEastAsia" w:eastAsiaTheme="minorEastAsia" w:cstheme="minorEastAsia"/>
          <w:color w:val="auto"/>
          <w:sz w:val="21"/>
          <w:szCs w:val="21"/>
          <w:highlight w:val="none"/>
          <w:lang w:eastAsia="zh-CN"/>
        </w:rPr>
        <w:t>分项报价表</w:t>
      </w:r>
      <w:r>
        <w:rPr>
          <w:rFonts w:hint="eastAsia" w:asciiTheme="minorEastAsia" w:hAnsiTheme="minorEastAsia" w:eastAsiaTheme="minorEastAsia" w:cstheme="minorEastAsia"/>
          <w:color w:val="auto"/>
          <w:sz w:val="21"/>
          <w:szCs w:val="21"/>
          <w:highlight w:val="none"/>
        </w:rPr>
        <w:t>。</w:t>
      </w:r>
    </w:p>
    <w:p w14:paraId="7AB5789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响应文件中的单价和总价无特殊规定的采用人民币报价</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以元为单位标注。磋商文件另有规定的按规定执行。</w:t>
      </w:r>
    </w:p>
    <w:p w14:paraId="687A758B">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00" w:name="_Hlt26670486"/>
      <w:bookmarkEnd w:id="100"/>
      <w:bookmarkStart w:id="101" w:name="_Hlt26954848"/>
      <w:bookmarkEnd w:id="101"/>
      <w:bookmarkStart w:id="102" w:name="_Hlt26954846"/>
      <w:bookmarkEnd w:id="102"/>
      <w:bookmarkStart w:id="103" w:name="_Hlt26954731"/>
      <w:bookmarkEnd w:id="103"/>
      <w:bookmarkStart w:id="104" w:name="_Hlt26670482"/>
      <w:bookmarkEnd w:id="104"/>
      <w:r>
        <w:rPr>
          <w:rFonts w:hint="eastAsia" w:asciiTheme="minorEastAsia" w:hAnsiTheme="minorEastAsia" w:eastAsiaTheme="minorEastAsia" w:cstheme="minorEastAsia"/>
          <w:b/>
          <w:bCs/>
          <w:color w:val="auto"/>
          <w:kern w:val="2"/>
          <w:sz w:val="21"/>
          <w:szCs w:val="21"/>
          <w:highlight w:val="none"/>
          <w:lang w:val="en-US" w:eastAsia="zh-CN"/>
        </w:rPr>
        <w:t>13.响应及偏离表</w:t>
      </w:r>
    </w:p>
    <w:p w14:paraId="3E73A8F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13.1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供应商需对磋商文件中的技术要求与商务要求逐项作出响应或偏离说明。</w:t>
      </w:r>
    </w:p>
    <w:p w14:paraId="7ADD7C0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13.2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供应商可在响应文件中提供认为需要的其他技术文件或说明。</w:t>
      </w:r>
    </w:p>
    <w:p w14:paraId="7EC5BE5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05" w:name="_Toc14577359"/>
      <w:bookmarkStart w:id="106" w:name="_Toc49090510"/>
      <w:r>
        <w:rPr>
          <w:rFonts w:hint="eastAsia" w:asciiTheme="minorEastAsia" w:hAnsiTheme="minorEastAsia" w:eastAsiaTheme="minorEastAsia" w:cstheme="minorEastAsia"/>
          <w:b/>
          <w:bCs/>
          <w:color w:val="auto"/>
          <w:kern w:val="2"/>
          <w:sz w:val="21"/>
          <w:szCs w:val="21"/>
          <w:highlight w:val="none"/>
          <w:lang w:val="en-US" w:eastAsia="zh-CN"/>
        </w:rPr>
        <w:t>14.磋商响应函</w:t>
      </w:r>
    </w:p>
    <w:p w14:paraId="1762C12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供应商应按照磋商文件规定格式完整、正确填报磋商响应函。</w:t>
      </w:r>
    </w:p>
    <w:bookmarkEnd w:id="105"/>
    <w:bookmarkEnd w:id="106"/>
    <w:p w14:paraId="31FF5D28">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07" w:name="_Toc49090511"/>
      <w:bookmarkStart w:id="108" w:name="_Toc14577360"/>
      <w:r>
        <w:rPr>
          <w:rFonts w:hint="eastAsia" w:asciiTheme="minorEastAsia" w:hAnsiTheme="minorEastAsia" w:eastAsiaTheme="minorEastAsia" w:cstheme="minorEastAsia"/>
          <w:b/>
          <w:bCs/>
          <w:color w:val="auto"/>
          <w:kern w:val="2"/>
          <w:sz w:val="21"/>
          <w:szCs w:val="21"/>
          <w:highlight w:val="none"/>
          <w:lang w:val="en-US" w:eastAsia="zh-CN"/>
        </w:rPr>
        <w:t>15.磋商有效期</w:t>
      </w:r>
      <w:bookmarkEnd w:id="107"/>
      <w:bookmarkEnd w:id="108"/>
    </w:p>
    <w:p w14:paraId="6CB933A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磋商有效期为</w:t>
      </w:r>
      <w:r>
        <w:rPr>
          <w:rFonts w:hint="eastAsia" w:asciiTheme="minorEastAsia" w:hAnsiTheme="minorEastAsia" w:eastAsiaTheme="minorEastAsia" w:cstheme="minorEastAsia"/>
          <w:color w:val="auto"/>
          <w:sz w:val="21"/>
          <w:szCs w:val="21"/>
          <w:highlight w:val="none"/>
          <w:lang w:eastAsia="zh-CN"/>
        </w:rPr>
        <w:t>采购公告</w:t>
      </w:r>
      <w:r>
        <w:rPr>
          <w:rFonts w:hint="eastAsia" w:asciiTheme="minorEastAsia" w:hAnsiTheme="minorEastAsia" w:eastAsiaTheme="minorEastAsia" w:cstheme="minorEastAsia"/>
          <w:color w:val="auto"/>
          <w:sz w:val="21"/>
          <w:szCs w:val="21"/>
          <w:highlight w:val="none"/>
        </w:rPr>
        <w:t>规定的提交响应文件截止之日</w:t>
      </w:r>
      <w:r>
        <w:rPr>
          <w:rFonts w:hint="eastAsia" w:asciiTheme="minorEastAsia" w:hAnsiTheme="minorEastAsia" w:eastAsiaTheme="minorEastAsia" w:cstheme="minorEastAsia"/>
          <w:color w:val="auto"/>
          <w:sz w:val="21"/>
          <w:szCs w:val="21"/>
          <w:highlight w:val="none"/>
          <w:lang w:eastAsia="zh-CN"/>
        </w:rPr>
        <w:t>起</w:t>
      </w:r>
      <w:r>
        <w:rPr>
          <w:rFonts w:hint="eastAsia" w:asciiTheme="minorEastAsia" w:hAnsiTheme="minorEastAsia" w:eastAsiaTheme="minorEastAsia" w:cstheme="minorEastAsia"/>
          <w:color w:val="auto"/>
          <w:sz w:val="21"/>
          <w:szCs w:val="21"/>
          <w:highlight w:val="none"/>
          <w:lang w:val="zh-CN"/>
        </w:rPr>
        <w:t>六十天</w:t>
      </w:r>
      <w:r>
        <w:rPr>
          <w:rFonts w:hint="eastAsia" w:asciiTheme="minorEastAsia" w:hAnsiTheme="minorEastAsia" w:eastAsiaTheme="minorEastAsia" w:cstheme="minorEastAsia"/>
          <w:color w:val="auto"/>
          <w:sz w:val="21"/>
          <w:szCs w:val="21"/>
          <w:highlight w:val="none"/>
        </w:rPr>
        <w:t>。磋商有效期比规定短的将被视为非实质性响应磋商文件而</w:t>
      </w:r>
      <w:r>
        <w:rPr>
          <w:rFonts w:hint="eastAsia" w:asciiTheme="minorEastAsia" w:hAnsiTheme="minorEastAsia" w:eastAsiaTheme="minorEastAsia" w:cstheme="minorEastAsia"/>
          <w:color w:val="auto"/>
          <w:sz w:val="21"/>
          <w:szCs w:val="21"/>
          <w:highlight w:val="none"/>
          <w:lang w:eastAsia="zh-CN"/>
        </w:rPr>
        <w:t>被</w:t>
      </w:r>
      <w:r>
        <w:rPr>
          <w:rFonts w:hint="eastAsia" w:asciiTheme="minorEastAsia" w:hAnsiTheme="minorEastAsia" w:eastAsiaTheme="minorEastAsia" w:cstheme="minorEastAsia"/>
          <w:color w:val="auto"/>
          <w:sz w:val="21"/>
          <w:szCs w:val="21"/>
          <w:highlight w:val="none"/>
        </w:rPr>
        <w:t>拒绝。</w:t>
      </w:r>
    </w:p>
    <w:p w14:paraId="2F044C7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16.磋商有效期的延长</w:t>
      </w:r>
    </w:p>
    <w:p w14:paraId="3648ECC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在特殊情况下</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于原磋商有效期满之前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可向供应商提出延长磋商有效期的要求。这种要求与答复均应采用书面形式。供应商可以拒绝</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的这一要求而放弃磋商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同意延长磋商有效期的供应商既不能要求也不允许修改其响应文件</w:t>
      </w:r>
      <w:r>
        <w:rPr>
          <w:rFonts w:hint="eastAsia" w:asciiTheme="minorEastAsia" w:hAnsiTheme="minorEastAsia" w:eastAsiaTheme="minorEastAsia" w:cstheme="minorEastAsia"/>
          <w:color w:val="auto"/>
          <w:sz w:val="21"/>
          <w:szCs w:val="21"/>
          <w:highlight w:val="none"/>
          <w:lang w:eastAsia="zh-CN"/>
        </w:rPr>
        <w:t>，同时</w:t>
      </w:r>
      <w:r>
        <w:rPr>
          <w:rFonts w:hint="eastAsia" w:asciiTheme="minorEastAsia" w:hAnsiTheme="minorEastAsia" w:eastAsiaTheme="minorEastAsia" w:cstheme="minorEastAsia"/>
          <w:color w:val="auto"/>
          <w:sz w:val="21"/>
          <w:szCs w:val="21"/>
          <w:highlight w:val="none"/>
        </w:rPr>
        <w:t>受磋商有效期约束的所有权利与义务均延长至新的有效期</w:t>
      </w:r>
      <w:r>
        <w:rPr>
          <w:rFonts w:hint="eastAsia" w:asciiTheme="minorEastAsia" w:hAnsiTheme="minorEastAsia" w:eastAsiaTheme="minorEastAsia" w:cstheme="minorEastAsia"/>
          <w:color w:val="auto"/>
          <w:sz w:val="21"/>
          <w:szCs w:val="21"/>
          <w:highlight w:val="none"/>
          <w:lang w:eastAsia="zh-CN"/>
        </w:rPr>
        <w:t>满</w:t>
      </w:r>
      <w:r>
        <w:rPr>
          <w:rFonts w:hint="eastAsia" w:asciiTheme="minorEastAsia" w:hAnsiTheme="minorEastAsia" w:eastAsiaTheme="minorEastAsia" w:cstheme="minorEastAsia"/>
          <w:color w:val="auto"/>
          <w:sz w:val="21"/>
          <w:szCs w:val="21"/>
          <w:highlight w:val="none"/>
        </w:rPr>
        <w:t>。</w:t>
      </w:r>
    </w:p>
    <w:p w14:paraId="2AA042FD">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bookmarkStart w:id="109" w:name="_Hlt26954852"/>
      <w:bookmarkEnd w:id="109"/>
      <w:bookmarkStart w:id="110" w:name="_Hlt26954739"/>
      <w:bookmarkEnd w:id="110"/>
      <w:bookmarkStart w:id="111" w:name="_Toc20823296"/>
      <w:bookmarkStart w:id="112" w:name="_Toc16938540"/>
      <w:bookmarkStart w:id="113" w:name="_Toc120614217"/>
      <w:bookmarkStart w:id="114" w:name="_Toc513029224"/>
      <w:r>
        <w:rPr>
          <w:rFonts w:hint="eastAsia" w:asciiTheme="minorEastAsia" w:hAnsiTheme="minorEastAsia" w:eastAsiaTheme="minorEastAsia" w:cstheme="minorEastAsia"/>
          <w:b w:val="0"/>
          <w:bCs w:val="0"/>
          <w:color w:val="auto"/>
          <w:kern w:val="2"/>
          <w:sz w:val="21"/>
          <w:szCs w:val="21"/>
          <w:highlight w:val="none"/>
        </w:rPr>
        <w:t>四、响应文件的递交</w:t>
      </w:r>
      <w:bookmarkEnd w:id="111"/>
      <w:bookmarkEnd w:id="112"/>
      <w:bookmarkEnd w:id="113"/>
      <w:bookmarkEnd w:id="114"/>
    </w:p>
    <w:p w14:paraId="4657BE2B">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15" w:name="_Toc513029225"/>
      <w:bookmarkStart w:id="116" w:name="_Toc20823297"/>
      <w:bookmarkStart w:id="117" w:name="_Toc16938541"/>
      <w:bookmarkStart w:id="118" w:name="_Toc462564084"/>
      <w:r>
        <w:rPr>
          <w:rFonts w:hint="eastAsia" w:asciiTheme="minorEastAsia" w:hAnsiTheme="minorEastAsia" w:eastAsiaTheme="minorEastAsia" w:cstheme="minorEastAsia"/>
          <w:b/>
          <w:bCs/>
          <w:color w:val="auto"/>
          <w:kern w:val="2"/>
          <w:sz w:val="21"/>
          <w:szCs w:val="21"/>
          <w:highlight w:val="none"/>
          <w:lang w:val="en-US" w:eastAsia="zh-CN"/>
        </w:rPr>
        <w:t>17.</w:t>
      </w:r>
      <w:bookmarkEnd w:id="115"/>
      <w:bookmarkEnd w:id="116"/>
      <w:bookmarkEnd w:id="117"/>
      <w:bookmarkEnd w:id="118"/>
      <w:r>
        <w:rPr>
          <w:rFonts w:hint="eastAsia" w:asciiTheme="minorEastAsia" w:hAnsiTheme="minorEastAsia" w:eastAsiaTheme="minorEastAsia" w:cstheme="minorEastAsia"/>
          <w:b/>
          <w:bCs/>
          <w:color w:val="auto"/>
          <w:kern w:val="2"/>
          <w:sz w:val="21"/>
          <w:szCs w:val="21"/>
          <w:highlight w:val="none"/>
          <w:lang w:val="en-US" w:eastAsia="zh-CN"/>
        </w:rPr>
        <w:t>响应文件的递交</w:t>
      </w:r>
    </w:p>
    <w:p w14:paraId="17E4EAE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供应商应当按照《操作手册》规定</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lang w:eastAsia="zh-CN"/>
        </w:rPr>
        <w:t>公告规定的</w:t>
      </w:r>
      <w:r>
        <w:rPr>
          <w:rFonts w:hint="eastAsia" w:asciiTheme="minorEastAsia" w:hAnsiTheme="minorEastAsia" w:eastAsiaTheme="minorEastAsia" w:cstheme="minorEastAsia"/>
          <w:color w:val="auto"/>
          <w:sz w:val="21"/>
          <w:szCs w:val="21"/>
          <w:highlight w:val="none"/>
        </w:rPr>
        <w:t>提交响应文件截止时间前制作并上传电子响应文件。</w:t>
      </w:r>
      <w:bookmarkStart w:id="119" w:name="_Toc513029226"/>
      <w:bookmarkStart w:id="120" w:name="_Toc20823298"/>
      <w:bookmarkStart w:id="121" w:name="_Toc16938542"/>
    </w:p>
    <w:bookmarkEnd w:id="119"/>
    <w:bookmarkEnd w:id="120"/>
    <w:bookmarkEnd w:id="121"/>
    <w:p w14:paraId="650E5AB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17</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 xml:space="preserve">2 </w:t>
      </w:r>
      <w:r>
        <w:rPr>
          <w:rFonts w:hint="eastAsia" w:asciiTheme="minorEastAsia" w:hAnsiTheme="minorEastAsia" w:eastAsiaTheme="minorEastAsia" w:cstheme="minorEastAsia"/>
          <w:color w:val="auto"/>
          <w:sz w:val="21"/>
          <w:szCs w:val="21"/>
          <w:highlight w:val="none"/>
        </w:rPr>
        <w:t>供应商应充分考虑网络环境、网络带宽等因素</w:t>
      </w:r>
      <w:r>
        <w:rPr>
          <w:rFonts w:hint="eastAsia" w:asciiTheme="minorEastAsia" w:hAnsiTheme="minorEastAsia" w:eastAsiaTheme="minorEastAsia" w:cstheme="minorEastAsia"/>
          <w:color w:val="auto"/>
          <w:sz w:val="21"/>
          <w:szCs w:val="21"/>
          <w:highlight w:val="none"/>
          <w:lang w:val="en-US" w:eastAsia="zh-CN"/>
        </w:rPr>
        <w:t>可能产生的影响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如因供应商自身原因造成的电子响应文件上传不成功的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按照本磋商文件第二章第2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.3条规定做无效响应处理。</w:t>
      </w:r>
    </w:p>
    <w:p w14:paraId="29D787A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招标代理机构</w:t>
      </w:r>
      <w:r>
        <w:rPr>
          <w:rFonts w:hint="eastAsia" w:asciiTheme="minorEastAsia" w:hAnsiTheme="minorEastAsia" w:eastAsiaTheme="minorEastAsia" w:cstheme="minorEastAsia"/>
          <w:color w:val="auto"/>
          <w:sz w:val="21"/>
          <w:szCs w:val="21"/>
          <w:highlight w:val="none"/>
        </w:rPr>
        <w:t>可以按照规定</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通过修改磋商文件酌情延长提交响应文件截止日期</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在此情况下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供应商的所有权利和义务均以延长后新的截止日期为准。</w:t>
      </w:r>
    </w:p>
    <w:p w14:paraId="04FD50F4">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22" w:name="_Toc20823299"/>
      <w:bookmarkStart w:id="123" w:name="_Toc513029227"/>
      <w:bookmarkStart w:id="124" w:name="_Toc16938543"/>
      <w:r>
        <w:rPr>
          <w:rFonts w:hint="eastAsia" w:asciiTheme="minorEastAsia" w:hAnsiTheme="minorEastAsia" w:eastAsiaTheme="minorEastAsia" w:cstheme="minorEastAsia"/>
          <w:b/>
          <w:bCs/>
          <w:color w:val="auto"/>
          <w:kern w:val="2"/>
          <w:sz w:val="21"/>
          <w:szCs w:val="21"/>
          <w:highlight w:val="none"/>
          <w:lang w:val="en-US" w:eastAsia="zh-CN"/>
        </w:rPr>
        <w:t>18.响应文件</w:t>
      </w:r>
      <w:bookmarkEnd w:id="122"/>
      <w:bookmarkEnd w:id="123"/>
      <w:bookmarkEnd w:id="124"/>
      <w:r>
        <w:rPr>
          <w:rFonts w:hint="eastAsia" w:asciiTheme="minorEastAsia" w:hAnsiTheme="minorEastAsia" w:eastAsiaTheme="minorEastAsia" w:cstheme="minorEastAsia"/>
          <w:b/>
          <w:bCs/>
          <w:color w:val="auto"/>
          <w:kern w:val="2"/>
          <w:sz w:val="21"/>
          <w:szCs w:val="21"/>
          <w:highlight w:val="none"/>
          <w:lang w:val="en-US" w:eastAsia="zh-CN"/>
        </w:rPr>
        <w:t>的拒收</w:t>
      </w:r>
    </w:p>
    <w:p w14:paraId="45E1E462">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18</w:t>
      </w:r>
      <w:r>
        <w:rPr>
          <w:rFonts w:hint="eastAsia" w:asciiTheme="minorEastAsia" w:hAnsiTheme="minorEastAsia" w:eastAsiaTheme="minorEastAsia" w:cstheme="minorEastAsia"/>
          <w:color w:val="auto"/>
          <w:sz w:val="21"/>
          <w:szCs w:val="21"/>
          <w:highlight w:val="none"/>
        </w:rPr>
        <w:t>.1 提交响应文件截止时间后上传的任何响应文件</w:t>
      </w:r>
      <w:r>
        <w:rPr>
          <w:rFonts w:hint="eastAsia" w:asciiTheme="minorEastAsia" w:hAnsiTheme="minorEastAsia" w:eastAsiaTheme="minorEastAsia" w:cstheme="minorEastAsia"/>
          <w:color w:val="auto"/>
          <w:sz w:val="21"/>
          <w:szCs w:val="21"/>
          <w:highlight w:val="none"/>
          <w:lang w:eastAsia="zh-CN"/>
        </w:rPr>
        <w:t>将被拒绝</w:t>
      </w:r>
      <w:r>
        <w:rPr>
          <w:rFonts w:hint="eastAsia" w:asciiTheme="minorEastAsia" w:hAnsiTheme="minorEastAsia" w:eastAsiaTheme="minorEastAsia" w:cstheme="minorEastAsia"/>
          <w:color w:val="auto"/>
          <w:sz w:val="21"/>
          <w:szCs w:val="21"/>
          <w:highlight w:val="none"/>
        </w:rPr>
        <w:t>。</w:t>
      </w:r>
    </w:p>
    <w:p w14:paraId="6FD03FAD">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25" w:name="_Toc16938544"/>
      <w:bookmarkStart w:id="126" w:name="_Toc20823300"/>
      <w:bookmarkStart w:id="127" w:name="_Toc513029228"/>
      <w:r>
        <w:rPr>
          <w:rFonts w:hint="eastAsia" w:asciiTheme="minorEastAsia" w:hAnsiTheme="minorEastAsia" w:eastAsiaTheme="minorEastAsia" w:cstheme="minorEastAsia"/>
          <w:b/>
          <w:bCs/>
          <w:color w:val="auto"/>
          <w:kern w:val="2"/>
          <w:sz w:val="21"/>
          <w:szCs w:val="21"/>
          <w:highlight w:val="none"/>
          <w:lang w:val="en-US" w:eastAsia="zh-CN"/>
        </w:rPr>
        <w:t>19.响应文件的撤回和修改</w:t>
      </w:r>
      <w:bookmarkEnd w:id="125"/>
      <w:bookmarkEnd w:id="126"/>
      <w:bookmarkEnd w:id="127"/>
    </w:p>
    <w:p w14:paraId="28E9466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响应文件的撤回</w:t>
      </w:r>
    </w:p>
    <w:p w14:paraId="77C2801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rPr>
        <w:t>.1.1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供应商可在提交响应文件截止时间前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撤回其电子响应文件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具体操作方法见《操作手册》。</w:t>
      </w:r>
    </w:p>
    <w:p w14:paraId="3D5FA18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rPr>
        <w:t>.1.2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供应商撤回电子响应文件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则认为其不再参与本项目磋商活动。</w:t>
      </w:r>
    </w:p>
    <w:p w14:paraId="1E4E33A2">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响应文件的修改</w:t>
      </w:r>
    </w:p>
    <w:p w14:paraId="77B8E97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19.2.1 </w:t>
      </w:r>
      <w:r>
        <w:rPr>
          <w:rFonts w:hint="eastAsia" w:asciiTheme="minorEastAsia" w:hAnsiTheme="minorEastAsia" w:eastAsiaTheme="minorEastAsia" w:cstheme="minorEastAsia"/>
          <w:color w:val="auto"/>
          <w:sz w:val="21"/>
          <w:szCs w:val="21"/>
          <w:highlight w:val="none"/>
        </w:rPr>
        <w:t>供应商可在提交响应文件截止时间前</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对其电子响应文件进行修改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具体操作方法见《操作手册》。</w:t>
      </w:r>
    </w:p>
    <w:p w14:paraId="118BD47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19.2.2 </w:t>
      </w:r>
      <w:r>
        <w:rPr>
          <w:rFonts w:hint="eastAsia" w:asciiTheme="minorEastAsia" w:hAnsiTheme="minorEastAsia" w:eastAsiaTheme="minorEastAsia" w:cstheme="minorEastAsia"/>
          <w:color w:val="auto"/>
          <w:sz w:val="21"/>
          <w:szCs w:val="21"/>
          <w:highlight w:val="none"/>
        </w:rPr>
        <w:t>提交响应文件截止时间之后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供应商不得对其电子响应文件</w:t>
      </w:r>
      <w:r>
        <w:rPr>
          <w:rFonts w:hint="eastAsia" w:asciiTheme="minorEastAsia" w:hAnsiTheme="minorEastAsia" w:eastAsiaTheme="minorEastAsia" w:cstheme="minorEastAsia"/>
          <w:color w:val="auto"/>
          <w:sz w:val="21"/>
          <w:szCs w:val="21"/>
          <w:highlight w:val="none"/>
          <w:lang w:eastAsia="zh-CN"/>
        </w:rPr>
        <w:t>做</w:t>
      </w:r>
      <w:r>
        <w:rPr>
          <w:rFonts w:hint="eastAsia" w:asciiTheme="minorEastAsia" w:hAnsiTheme="minorEastAsia" w:eastAsiaTheme="minorEastAsia" w:cstheme="minorEastAsia"/>
          <w:color w:val="auto"/>
          <w:sz w:val="21"/>
          <w:szCs w:val="21"/>
          <w:highlight w:val="none"/>
        </w:rPr>
        <w:t>任何修改。</w:t>
      </w:r>
    </w:p>
    <w:p w14:paraId="2BDEDA3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 xml:space="preserve"> 在提交响应文件截止时间至磋商文件中规定的磋商有效期满之间的这段时间内</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供应商不得撤回其响应文件。</w:t>
      </w:r>
    </w:p>
    <w:p w14:paraId="45F552FC">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bookmarkStart w:id="128" w:name="_Toc120614218"/>
      <w:bookmarkStart w:id="129" w:name="_Toc513029229"/>
      <w:bookmarkStart w:id="130" w:name="_Toc20823301"/>
      <w:bookmarkStart w:id="131" w:name="_Toc16938545"/>
      <w:r>
        <w:rPr>
          <w:rFonts w:hint="eastAsia" w:asciiTheme="minorEastAsia" w:hAnsiTheme="minorEastAsia" w:eastAsiaTheme="minorEastAsia" w:cstheme="minorEastAsia"/>
          <w:b w:val="0"/>
          <w:bCs w:val="0"/>
          <w:color w:val="auto"/>
          <w:kern w:val="2"/>
          <w:sz w:val="21"/>
          <w:szCs w:val="21"/>
          <w:highlight w:val="none"/>
        </w:rPr>
        <w:t>五、响应文件的解密与评审</w:t>
      </w:r>
      <w:bookmarkEnd w:id="128"/>
      <w:bookmarkEnd w:id="129"/>
      <w:bookmarkEnd w:id="130"/>
      <w:bookmarkEnd w:id="131"/>
    </w:p>
    <w:p w14:paraId="5DA1B885">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32" w:name="_Toc16938546"/>
      <w:bookmarkStart w:id="133" w:name="_Toc20823302"/>
      <w:bookmarkStart w:id="134" w:name="_Toc513029230"/>
      <w:r>
        <w:rPr>
          <w:rFonts w:hint="eastAsia" w:asciiTheme="minorEastAsia" w:hAnsiTheme="minorEastAsia" w:eastAsiaTheme="minorEastAsia" w:cstheme="minorEastAsia"/>
          <w:b/>
          <w:bCs/>
          <w:color w:val="auto"/>
          <w:kern w:val="2"/>
          <w:sz w:val="21"/>
          <w:szCs w:val="21"/>
          <w:highlight w:val="none"/>
          <w:lang w:val="en-US" w:eastAsia="zh-CN"/>
        </w:rPr>
        <w:t>2</w:t>
      </w:r>
      <w:bookmarkEnd w:id="132"/>
      <w:bookmarkEnd w:id="133"/>
      <w:bookmarkEnd w:id="134"/>
      <w:r>
        <w:rPr>
          <w:rFonts w:hint="eastAsia" w:asciiTheme="minorEastAsia" w:hAnsiTheme="minorEastAsia" w:eastAsiaTheme="minorEastAsia" w:cstheme="minorEastAsia"/>
          <w:b/>
          <w:bCs/>
          <w:color w:val="auto"/>
          <w:kern w:val="2"/>
          <w:sz w:val="21"/>
          <w:szCs w:val="21"/>
          <w:highlight w:val="none"/>
          <w:lang w:val="en-US" w:eastAsia="zh-CN"/>
        </w:rPr>
        <w:t>0.响应文件解密</w:t>
      </w:r>
    </w:p>
    <w:p w14:paraId="22A7317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20.1 供应商应当按照《操作手册》规定，在苏采云系统规定的时间内对响应文件进行解密。</w:t>
      </w:r>
    </w:p>
    <w:p w14:paraId="3635BED1">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35" w:name="_Toc513029231"/>
      <w:bookmarkStart w:id="136" w:name="_Toc16938547"/>
      <w:bookmarkStart w:id="137" w:name="_Toc20823303"/>
      <w:r>
        <w:rPr>
          <w:rFonts w:hint="eastAsia" w:asciiTheme="minorEastAsia" w:hAnsiTheme="minorEastAsia" w:eastAsiaTheme="minorEastAsia" w:cstheme="minorEastAsia"/>
          <w:b/>
          <w:bCs/>
          <w:color w:val="auto"/>
          <w:kern w:val="2"/>
          <w:sz w:val="21"/>
          <w:szCs w:val="21"/>
          <w:highlight w:val="none"/>
          <w:lang w:val="en-US" w:eastAsia="zh-CN"/>
        </w:rPr>
        <w:t>21.磋商</w:t>
      </w:r>
    </w:p>
    <w:p w14:paraId="47EEAC3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21.1 依法组建的磋商小组对响应文件进行评审。</w:t>
      </w:r>
    </w:p>
    <w:p w14:paraId="300E88E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21.2 磋商小组由采购人代表和有关技术、经济或法律等方面的专家组成，且人员构成符合政府采购有关规定。</w:t>
      </w:r>
    </w:p>
    <w:p w14:paraId="1AEF9BB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21.3 磋商小组独立工作，负责评审所有响应文件并推荐成交候选人，或根据采购人授权直接确定成交供应商。</w:t>
      </w:r>
    </w:p>
    <w:p w14:paraId="70EA0C0B">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22.评审过程的保密与公正</w:t>
      </w:r>
    </w:p>
    <w:bookmarkEnd w:id="135"/>
    <w:bookmarkEnd w:id="136"/>
    <w:bookmarkEnd w:id="137"/>
    <w:p w14:paraId="4A49CED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22.1 磋商小组、采购人和招标代理机构工作人员、相关监督人员等与评审工作有关的人员，对评审情况以及在评审过程中获悉的国家秘密、商业秘密负有保密责任。</w:t>
      </w:r>
    </w:p>
    <w:p w14:paraId="549BF9A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22.2 供应商不得以任何方式影响评审过程，否则其响应文件将被作为无效响应文件。</w:t>
      </w:r>
    </w:p>
    <w:p w14:paraId="7905E78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 招标代理机构和磋商小组不向未成交的供应商解释未成交原因，也不公布评审过程中的相关细节。</w:t>
      </w:r>
    </w:p>
    <w:p w14:paraId="16CEDE0A">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38" w:name="_Toc20823304"/>
      <w:bookmarkStart w:id="139" w:name="_Toc513029232"/>
      <w:bookmarkStart w:id="140" w:name="_Toc16938548"/>
      <w:r>
        <w:rPr>
          <w:rFonts w:hint="eastAsia" w:asciiTheme="minorEastAsia" w:hAnsiTheme="minorEastAsia" w:eastAsiaTheme="minorEastAsia" w:cstheme="minorEastAsia"/>
          <w:b/>
          <w:bCs/>
          <w:color w:val="auto"/>
          <w:kern w:val="2"/>
          <w:sz w:val="21"/>
          <w:szCs w:val="21"/>
          <w:highlight w:val="none"/>
          <w:lang w:val="en-US" w:eastAsia="zh-CN"/>
        </w:rPr>
        <w:t>23.评审过程中的澄清</w:t>
      </w:r>
      <w:bookmarkEnd w:id="138"/>
      <w:bookmarkEnd w:id="139"/>
      <w:bookmarkEnd w:id="140"/>
    </w:p>
    <w:p w14:paraId="6347449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23.1 项目评审期间，磋商小组有权要求供应商对响应文件中含义不明确、同类问题表述不一致或者有明显文字和计算错误的内容等作出必要的澄清、说明或者补正。</w:t>
      </w:r>
    </w:p>
    <w:p w14:paraId="6E0C86C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供应商的澄清、说明或者补正不得超出响应文件的范围或者改变响应文件的实质性内容。</w:t>
      </w:r>
    </w:p>
    <w:p w14:paraId="4C6FEB5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磋商小组并非对每个供应商都做澄清要求。</w:t>
      </w:r>
    </w:p>
    <w:p w14:paraId="06D4AEA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23.2 需要供应商进行澄清、说明和补正的，磋商小组将通过苏采云系统向供应商发出</w:t>
      </w:r>
      <w:r>
        <w:rPr>
          <w:rFonts w:hint="eastAsia" w:asciiTheme="minorEastAsia" w:hAnsiTheme="minorEastAsia" w:eastAsiaTheme="minorEastAsia" w:cstheme="minorEastAsia"/>
          <w:color w:val="auto"/>
          <w:sz w:val="21"/>
          <w:szCs w:val="21"/>
          <w:highlight w:val="none"/>
          <w:lang w:val="zh-CN"/>
        </w:rPr>
        <w:t>《澄清要求函》</w:t>
      </w:r>
      <w:r>
        <w:rPr>
          <w:rFonts w:hint="eastAsia" w:asciiTheme="minorEastAsia" w:hAnsiTheme="minorEastAsia" w:eastAsiaTheme="minorEastAsia" w:cstheme="minorEastAsia"/>
          <w:color w:val="auto"/>
          <w:sz w:val="21"/>
          <w:szCs w:val="21"/>
          <w:highlight w:val="none"/>
          <w:lang w:val="en-US" w:eastAsia="zh-CN"/>
        </w:rPr>
        <w:t>，接到</w:t>
      </w:r>
      <w:r>
        <w:rPr>
          <w:rFonts w:hint="eastAsia" w:asciiTheme="minorEastAsia" w:hAnsiTheme="minorEastAsia" w:eastAsiaTheme="minorEastAsia" w:cstheme="minorEastAsia"/>
          <w:color w:val="auto"/>
          <w:sz w:val="21"/>
          <w:szCs w:val="21"/>
          <w:highlight w:val="none"/>
          <w:lang w:val="zh-CN"/>
        </w:rPr>
        <w:t>《澄清要求函》</w:t>
      </w:r>
      <w:r>
        <w:rPr>
          <w:rFonts w:hint="eastAsia" w:asciiTheme="minorEastAsia" w:hAnsiTheme="minorEastAsia" w:eastAsiaTheme="minorEastAsia" w:cstheme="minorEastAsia"/>
          <w:color w:val="auto"/>
          <w:sz w:val="21"/>
          <w:szCs w:val="21"/>
          <w:highlight w:val="none"/>
          <w:lang w:val="en-US" w:eastAsia="zh-CN"/>
        </w:rPr>
        <w:t>的供应商应当按照要求在苏采云系统中提交</w:t>
      </w:r>
      <w:r>
        <w:rPr>
          <w:rFonts w:hint="eastAsia" w:asciiTheme="minorEastAsia" w:hAnsiTheme="minorEastAsia" w:eastAsiaTheme="minorEastAsia" w:cstheme="minorEastAsia"/>
          <w:color w:val="auto"/>
          <w:sz w:val="21"/>
          <w:szCs w:val="21"/>
          <w:highlight w:val="none"/>
          <w:lang w:val="zh-CN"/>
        </w:rPr>
        <w:t>《澄清响应函》</w:t>
      </w:r>
      <w:r>
        <w:rPr>
          <w:rFonts w:hint="eastAsia" w:asciiTheme="minorEastAsia" w:hAnsiTheme="minorEastAsia" w:eastAsiaTheme="minorEastAsia" w:cstheme="minorEastAsia"/>
          <w:color w:val="auto"/>
          <w:sz w:val="21"/>
          <w:szCs w:val="21"/>
          <w:highlight w:val="none"/>
          <w:lang w:val="en-US" w:eastAsia="zh-CN"/>
        </w:rPr>
        <w:t>并加盖电子公章。澄清、说明和补正的内容作为响应文件的补充部分，具体操作方式见《操作手册》。</w:t>
      </w:r>
    </w:p>
    <w:p w14:paraId="7F5B204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23.3 接到磋商小组澄清、说明和补正要求的供应商如未按规定作出澄清、说明和补正，其风险由供应商自行承担。</w:t>
      </w:r>
    </w:p>
    <w:p w14:paraId="1CC84C0A">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41" w:name="_Toc16938549"/>
      <w:bookmarkStart w:id="142" w:name="_Toc513029233"/>
      <w:bookmarkStart w:id="143" w:name="_Toc20823305"/>
      <w:r>
        <w:rPr>
          <w:rFonts w:hint="eastAsia" w:asciiTheme="minorEastAsia" w:hAnsiTheme="minorEastAsia" w:eastAsiaTheme="minorEastAsia" w:cstheme="minorEastAsia"/>
          <w:b/>
          <w:bCs/>
          <w:color w:val="auto"/>
          <w:kern w:val="2"/>
          <w:sz w:val="21"/>
          <w:szCs w:val="21"/>
          <w:highlight w:val="none"/>
          <w:lang w:val="en-US" w:eastAsia="zh-CN"/>
        </w:rPr>
        <w:t>24.响应文件的审</w:t>
      </w:r>
      <w:bookmarkEnd w:id="141"/>
      <w:bookmarkEnd w:id="142"/>
      <w:bookmarkEnd w:id="143"/>
      <w:r>
        <w:rPr>
          <w:rFonts w:hint="eastAsia" w:asciiTheme="minorEastAsia" w:hAnsiTheme="minorEastAsia" w:eastAsiaTheme="minorEastAsia" w:cstheme="minorEastAsia"/>
          <w:b/>
          <w:bCs/>
          <w:color w:val="auto"/>
          <w:kern w:val="2"/>
          <w:sz w:val="21"/>
          <w:szCs w:val="21"/>
          <w:highlight w:val="none"/>
          <w:lang w:val="en-US" w:eastAsia="zh-CN"/>
        </w:rPr>
        <w:t>查</w:t>
      </w:r>
    </w:p>
    <w:p w14:paraId="510774C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24.1 响应文件审查分为资格审查和符合性审查。</w:t>
      </w:r>
    </w:p>
    <w:p w14:paraId="21CDD542">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24.1.1 资格审查。依据法律法规和磋商文件的规定，磋商小组对响应文件中的资格证明文件进行审查，以确定供应商是否具备参加磋商的资格。</w:t>
      </w:r>
    </w:p>
    <w:p w14:paraId="40CEF1A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磋商小组进行资格审查时，将在“信用中国”网站（www.creditchina.gov.cn）查询供应商的信用记录，以确定供应商是否具备磋商资格，查询结果留存并归档。</w:t>
      </w:r>
    </w:p>
    <w:p w14:paraId="70B401A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接受联合体的项目，联合体成员存在不良信用记录的，视同联合体存在不良</w:t>
      </w:r>
      <w:r>
        <w:rPr>
          <w:rFonts w:hint="eastAsia" w:asciiTheme="minorEastAsia" w:hAnsiTheme="minorEastAsia" w:eastAsiaTheme="minorEastAsia" w:cstheme="minorEastAsia"/>
          <w:color w:val="auto"/>
          <w:sz w:val="21"/>
          <w:szCs w:val="21"/>
          <w:highlight w:val="none"/>
          <w:lang w:val="en-US" w:eastAsia="zh-CN"/>
        </w:rPr>
        <w:t>信</w:t>
      </w:r>
      <w:r>
        <w:rPr>
          <w:rFonts w:hint="eastAsia" w:asciiTheme="minorEastAsia" w:hAnsiTheme="minorEastAsia" w:eastAsiaTheme="minorEastAsia" w:cstheme="minorEastAsia"/>
          <w:color w:val="auto"/>
          <w:sz w:val="21"/>
          <w:szCs w:val="21"/>
          <w:highlight w:val="none"/>
          <w:lang w:val="zh-CN"/>
        </w:rPr>
        <w:t>用记录。</w:t>
      </w:r>
    </w:p>
    <w:p w14:paraId="6DE4E5B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24.1.2 符合性审查。依据磋商文件的规定，由磋商小组从有效性、完整性和对磋商文件的响应程度等方面对响应文件进行审查，以确定是否对磋商文件的实质性要求作出响应。</w:t>
      </w:r>
    </w:p>
    <w:p w14:paraId="6935D95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24.1.3 未通过资格审查或符合性审查的供应商，磋商小组将通过苏采云系统或电话告知具体原因，评审结束后将不再接受有关询问。</w:t>
      </w:r>
    </w:p>
    <w:p w14:paraId="4D0EF83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24.2 在详细评审之前，磋商小组将首先审查每份响应文件是否实质性响应了磋商文件的要求。实质性响应的响应文件应该是与磋商文件要求的条款、条件和规格相符，没有重大偏离或保留的文件。</w:t>
      </w:r>
    </w:p>
    <w:p w14:paraId="2791C18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所谓重大偏离或保留是指与磋商文件规定的实质性要求存在负偏离，或者在实质上与磋商文件不一致，而且限制了合同中</w:t>
      </w:r>
      <w:r>
        <w:rPr>
          <w:rFonts w:hint="eastAsia" w:asciiTheme="minorEastAsia" w:hAnsiTheme="minorEastAsia" w:eastAsiaTheme="minorEastAsia" w:cstheme="minorEastAsia"/>
          <w:color w:val="auto"/>
          <w:sz w:val="21"/>
          <w:szCs w:val="21"/>
          <w:highlight w:val="none"/>
          <w:lang w:val="en-US" w:eastAsia="zh-CN"/>
        </w:rPr>
        <w:t>采购人</w:t>
      </w:r>
      <w:r>
        <w:rPr>
          <w:rFonts w:hint="eastAsia" w:asciiTheme="minorEastAsia" w:hAnsiTheme="minorEastAsia" w:eastAsiaTheme="minorEastAsia" w:cstheme="minorEastAsia"/>
          <w:color w:val="auto"/>
          <w:sz w:val="21"/>
          <w:szCs w:val="21"/>
          <w:highlight w:val="none"/>
          <w:lang w:val="zh-CN"/>
        </w:rPr>
        <w:t>的权利或供应商的义务，纠正这些偏离或保留将会对其他实质性响应的供应商产生不公正的影响。重大偏离的认定</w:t>
      </w:r>
      <w:r>
        <w:rPr>
          <w:rFonts w:hint="eastAsia" w:asciiTheme="minorEastAsia" w:hAnsiTheme="minorEastAsia" w:eastAsiaTheme="minorEastAsia" w:cstheme="minorEastAsia"/>
          <w:color w:val="auto"/>
          <w:sz w:val="21"/>
          <w:szCs w:val="21"/>
          <w:highlight w:val="none"/>
          <w:lang w:val="en-US" w:eastAsia="zh-CN"/>
        </w:rPr>
        <w:t>由</w:t>
      </w:r>
      <w:r>
        <w:rPr>
          <w:rFonts w:hint="eastAsia" w:asciiTheme="minorEastAsia" w:hAnsiTheme="minorEastAsia" w:eastAsiaTheme="minorEastAsia" w:cstheme="minorEastAsia"/>
          <w:color w:val="auto"/>
          <w:sz w:val="21"/>
          <w:szCs w:val="21"/>
          <w:highlight w:val="none"/>
          <w:lang w:val="zh-CN"/>
        </w:rPr>
        <w:t>磋商小组</w:t>
      </w:r>
      <w:r>
        <w:rPr>
          <w:rFonts w:hint="eastAsia" w:asciiTheme="minorEastAsia" w:hAnsiTheme="minorEastAsia" w:eastAsiaTheme="minorEastAsia" w:cstheme="minorEastAsia"/>
          <w:color w:val="auto"/>
          <w:sz w:val="21"/>
          <w:szCs w:val="21"/>
          <w:highlight w:val="none"/>
          <w:lang w:val="en-US" w:eastAsia="zh-CN"/>
        </w:rPr>
        <w:t>按照</w:t>
      </w:r>
      <w:r>
        <w:rPr>
          <w:rFonts w:hint="eastAsia" w:asciiTheme="minorEastAsia" w:hAnsiTheme="minorEastAsia" w:eastAsiaTheme="minorEastAsia" w:cstheme="minorEastAsia"/>
          <w:color w:val="auto"/>
          <w:sz w:val="21"/>
          <w:szCs w:val="21"/>
          <w:highlight w:val="none"/>
          <w:lang w:val="zh-CN"/>
        </w:rPr>
        <w:t>少数服从多数的原则作出结论。</w:t>
      </w:r>
      <w:r>
        <w:rPr>
          <w:rFonts w:hint="eastAsia" w:asciiTheme="minorEastAsia" w:hAnsiTheme="minorEastAsia" w:eastAsiaTheme="minorEastAsia" w:cstheme="minorEastAsia"/>
          <w:color w:val="auto"/>
          <w:sz w:val="21"/>
          <w:szCs w:val="21"/>
          <w:highlight w:val="none"/>
          <w:lang w:val="en-US" w:eastAsia="zh-CN"/>
        </w:rPr>
        <w:t>磋商小组认</w:t>
      </w:r>
      <w:r>
        <w:rPr>
          <w:rFonts w:hint="eastAsia" w:asciiTheme="minorEastAsia" w:hAnsiTheme="minorEastAsia" w:eastAsiaTheme="minorEastAsia" w:cstheme="minorEastAsia"/>
          <w:color w:val="auto"/>
          <w:sz w:val="21"/>
          <w:szCs w:val="21"/>
          <w:highlight w:val="none"/>
          <w:lang w:val="zh-CN"/>
        </w:rPr>
        <w:t>定响应文件的响应性只根据响应文件本身的内容，而不寻求外部的证据。</w:t>
      </w:r>
    </w:p>
    <w:p w14:paraId="48740A9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 未实质性响应磋商文件的情形</w:t>
      </w:r>
    </w:p>
    <w:p w14:paraId="2EC9AE48">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24.3.1 供应商在苏采云系统规定的时间内未成功解密电子响应文件。</w:t>
      </w:r>
    </w:p>
    <w:p w14:paraId="5EE719A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24.3.2 供应商未按照磋商文件要求上传电子响应文件。</w:t>
      </w:r>
    </w:p>
    <w:p w14:paraId="490AD9F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24.3.3 同一供应商提交两个（含两个）以上不同的响应文件或者最后报价。</w:t>
      </w:r>
    </w:p>
    <w:p w14:paraId="3A2C2D08">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24.3.4 供应商不具备磋商文件中规定的资格要求。</w:t>
      </w:r>
    </w:p>
    <w:p w14:paraId="22F0CBC8">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24.3.5 供应商的最后报价超过了采购预算或最高限价。</w:t>
      </w:r>
    </w:p>
    <w:p w14:paraId="670082C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24.3.6 不符合磋商文件中规定的实质性要求和条件（</w:t>
      </w:r>
      <w:r>
        <w:rPr>
          <w:rFonts w:hint="eastAsia" w:asciiTheme="minorEastAsia" w:hAnsiTheme="minorEastAsia" w:eastAsiaTheme="minorEastAsia" w:cstheme="minorEastAsia"/>
          <w:b/>
          <w:bCs/>
          <w:i w:val="0"/>
          <w:iCs w:val="0"/>
          <w:color w:val="auto"/>
          <w:sz w:val="21"/>
          <w:szCs w:val="21"/>
          <w:highlight w:val="none"/>
          <w:u w:val="none"/>
          <w:lang w:val="en-US" w:eastAsia="zh-CN"/>
        </w:rPr>
        <w:t>本文件中斜体且有下划线部分</w:t>
      </w:r>
      <w:r>
        <w:rPr>
          <w:rFonts w:hint="eastAsia" w:asciiTheme="minorEastAsia" w:hAnsiTheme="minorEastAsia" w:eastAsiaTheme="minorEastAsia" w:cstheme="minorEastAsia"/>
          <w:b/>
          <w:bCs/>
          <w:i w:val="0"/>
          <w:iCs w:val="0"/>
          <w:color w:val="auto"/>
          <w:sz w:val="21"/>
          <w:szCs w:val="21"/>
          <w:highlight w:val="none"/>
          <w:u w:val="none"/>
          <w:lang w:val="zh-CN" w:eastAsia="zh-CN"/>
        </w:rPr>
        <w:t>或者打“</w:t>
      </w:r>
      <w:r>
        <w:rPr>
          <w:rFonts w:hint="eastAsia" w:asciiTheme="minorEastAsia" w:hAnsiTheme="minorEastAsia" w:eastAsiaTheme="minorEastAsia" w:cstheme="minorEastAsia"/>
          <w:b/>
          <w:bCs/>
          <w:i w:val="0"/>
          <w:iCs w:val="0"/>
          <w:color w:val="auto"/>
          <w:sz w:val="21"/>
          <w:szCs w:val="21"/>
          <w:highlight w:val="none"/>
          <w:u w:val="none"/>
          <w:lang w:val="en-US" w:eastAsia="zh-CN"/>
        </w:rPr>
        <w:t>★</w:t>
      </w:r>
      <w:r>
        <w:rPr>
          <w:rFonts w:hint="eastAsia" w:asciiTheme="minorEastAsia" w:hAnsiTheme="minorEastAsia" w:eastAsiaTheme="minorEastAsia" w:cstheme="minorEastAsia"/>
          <w:b/>
          <w:bCs/>
          <w:i w:val="0"/>
          <w:iCs w:val="0"/>
          <w:color w:val="auto"/>
          <w:sz w:val="21"/>
          <w:szCs w:val="21"/>
          <w:highlight w:val="none"/>
          <w:u w:val="none"/>
          <w:lang w:val="zh-CN" w:eastAsia="zh-CN"/>
        </w:rPr>
        <w:t>”内容，</w:t>
      </w:r>
      <w:r>
        <w:rPr>
          <w:rFonts w:hint="eastAsia" w:asciiTheme="minorEastAsia" w:hAnsiTheme="minorEastAsia" w:eastAsiaTheme="minorEastAsia" w:cstheme="minorEastAsia"/>
          <w:b/>
          <w:bCs/>
          <w:i w:val="0"/>
          <w:iCs w:val="0"/>
          <w:color w:val="auto"/>
          <w:sz w:val="21"/>
          <w:szCs w:val="21"/>
          <w:highlight w:val="none"/>
          <w:u w:val="none"/>
          <w:lang w:val="en-US" w:eastAsia="zh-CN"/>
        </w:rPr>
        <w:t>为实质性要求和条件</w:t>
      </w:r>
      <w:r>
        <w:rPr>
          <w:rFonts w:hint="eastAsia" w:asciiTheme="minorEastAsia" w:hAnsiTheme="minorEastAsia" w:eastAsiaTheme="minorEastAsia" w:cstheme="minorEastAsia"/>
          <w:color w:val="auto"/>
          <w:sz w:val="21"/>
          <w:szCs w:val="21"/>
          <w:highlight w:val="none"/>
          <w:lang w:val="en-US" w:eastAsia="zh-CN"/>
        </w:rPr>
        <w:t>）。</w:t>
      </w:r>
    </w:p>
    <w:p w14:paraId="413D8AF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466EB60">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24.3.8 响应文件含有采购人不能接受的附加条件。</w:t>
      </w:r>
    </w:p>
    <w:p w14:paraId="49EB2C6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515897B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24.3.10 </w:t>
      </w:r>
      <w:r>
        <w:rPr>
          <w:rFonts w:hint="eastAsia" w:asciiTheme="minorEastAsia" w:hAnsiTheme="minorEastAsia" w:eastAsiaTheme="minorEastAsia" w:cstheme="minorEastAsia"/>
          <w:color w:val="auto"/>
          <w:sz w:val="21"/>
          <w:szCs w:val="21"/>
          <w:highlight w:val="none"/>
          <w:lang w:val="zh-CN" w:eastAsia="zh-CN"/>
        </w:rPr>
        <w:t>采购产品被财政部、国家发改委、生态环境部等列入“节能产品品目清单”强制采购范围，而供应商提供的产品不在强制采购范围内。</w:t>
      </w:r>
    </w:p>
    <w:p w14:paraId="1022AC6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24.3.11 响应文件未按照磋商文件要求加盖电子公章。</w:t>
      </w:r>
    </w:p>
    <w:p w14:paraId="569819C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24.3.12 法律法规及本磋商文件规定的其他无效响应的情形。</w:t>
      </w:r>
    </w:p>
    <w:p w14:paraId="4BDCFC3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24.4 未实质性响应磋商文件的响应文件按无效响应处理。</w:t>
      </w:r>
    </w:p>
    <w:p w14:paraId="191B116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24.5 如果响应文件实质上没有响应磋商文件的要求，磋商小组将予以拒绝，供应商不得通过修改或撤销不合要求的偏离或保留而使其成为实质性响应的文件。</w:t>
      </w:r>
    </w:p>
    <w:p w14:paraId="122F642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bookmarkStart w:id="144" w:name="_Toc16938550"/>
      <w:bookmarkStart w:id="145" w:name="_Toc513029234"/>
      <w:bookmarkStart w:id="146" w:name="_Toc20823306"/>
      <w:r>
        <w:rPr>
          <w:rFonts w:hint="eastAsia" w:asciiTheme="minorEastAsia" w:hAnsiTheme="minorEastAsia" w:eastAsiaTheme="minorEastAsia" w:cstheme="minorEastAsia"/>
          <w:color w:val="auto"/>
          <w:sz w:val="21"/>
          <w:szCs w:val="21"/>
          <w:highlight w:val="none"/>
          <w:lang w:val="en-US" w:eastAsia="zh-CN"/>
        </w:rPr>
        <w:t>24.6 供应商在项目评审全过程中应保持通讯畅通，</w:t>
      </w:r>
      <w:r>
        <w:rPr>
          <w:rFonts w:hint="eastAsia" w:asciiTheme="minorEastAsia" w:hAnsiTheme="minorEastAsia" w:eastAsiaTheme="minorEastAsia" w:cstheme="minorEastAsia"/>
          <w:color w:val="auto"/>
          <w:sz w:val="21"/>
          <w:szCs w:val="21"/>
          <w:highlight w:val="none"/>
          <w:lang w:val="zh-CN"/>
        </w:rPr>
        <w:t>及时登录苏采云系统查阅、答复相关信息，并安排专人与</w:t>
      </w:r>
      <w:r>
        <w:rPr>
          <w:rFonts w:hint="eastAsia" w:asciiTheme="minorEastAsia" w:hAnsiTheme="minorEastAsia" w:eastAsiaTheme="minorEastAsia" w:cstheme="minorEastAsia"/>
          <w:color w:val="auto"/>
          <w:sz w:val="21"/>
          <w:szCs w:val="21"/>
          <w:highlight w:val="none"/>
          <w:lang w:val="zh-CN" w:eastAsia="zh-CN"/>
        </w:rPr>
        <w:t>招标代理机构</w:t>
      </w:r>
      <w:r>
        <w:rPr>
          <w:rFonts w:hint="eastAsia" w:asciiTheme="minorEastAsia" w:hAnsiTheme="minorEastAsia" w:eastAsiaTheme="minorEastAsia" w:cstheme="minorEastAsia"/>
          <w:color w:val="auto"/>
          <w:sz w:val="21"/>
          <w:szCs w:val="21"/>
          <w:highlight w:val="none"/>
          <w:lang w:val="zh-CN"/>
        </w:rPr>
        <w:t>及磋商小组联系。</w:t>
      </w:r>
    </w:p>
    <w:p w14:paraId="143624C1">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2</w:t>
      </w:r>
      <w:bookmarkEnd w:id="144"/>
      <w:bookmarkEnd w:id="145"/>
      <w:bookmarkEnd w:id="146"/>
      <w:r>
        <w:rPr>
          <w:rFonts w:hint="eastAsia" w:asciiTheme="minorEastAsia" w:hAnsiTheme="minorEastAsia" w:eastAsiaTheme="minorEastAsia" w:cstheme="minorEastAsia"/>
          <w:b/>
          <w:bCs/>
          <w:color w:val="auto"/>
          <w:kern w:val="2"/>
          <w:sz w:val="21"/>
          <w:szCs w:val="21"/>
          <w:highlight w:val="none"/>
          <w:lang w:val="en-US" w:eastAsia="zh-CN"/>
        </w:rPr>
        <w:t>5.磋商程序及评审方法与评审标准</w:t>
      </w:r>
    </w:p>
    <w:p w14:paraId="5C36566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bookmarkStart w:id="147" w:name="_Toc16938551"/>
      <w:bookmarkStart w:id="148" w:name="_Toc20823307"/>
      <w:bookmarkStart w:id="149" w:name="_Toc513029235"/>
      <w:bookmarkStart w:id="150" w:name="_Toc120614219"/>
      <w:r>
        <w:rPr>
          <w:rFonts w:hint="eastAsia" w:asciiTheme="minorEastAsia" w:hAnsiTheme="minorEastAsia" w:eastAsiaTheme="minorEastAsia" w:cstheme="minorEastAsia"/>
          <w:color w:val="auto"/>
          <w:sz w:val="21"/>
          <w:szCs w:val="21"/>
          <w:highlight w:val="none"/>
          <w:lang w:val="en-US" w:eastAsia="zh-CN"/>
        </w:rPr>
        <w:t>25.1 磋商程序</w:t>
      </w:r>
    </w:p>
    <w:p w14:paraId="2555972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25.1.1 磋商小组将与通过资格审查和符合性审查的供应商分别进行磋商。磋商小组通过苏采云系统向供应商发出《磋商函》，供应商应当按照要求在苏采云系统提交《磋商响应函》并加盖电子公章。</w:t>
      </w:r>
    </w:p>
    <w:p w14:paraId="4A28C14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579AF9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1287963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447F4D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448F8CF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17A306">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Theme="minorEastAsia" w:hAnsiTheme="minorEastAsia" w:eastAsiaTheme="minorEastAsia" w:cstheme="minorEastAsia"/>
          <w:color w:val="auto"/>
          <w:sz w:val="21"/>
          <w:szCs w:val="21"/>
          <w:highlight w:val="none"/>
          <w:lang w:val="en-US" w:eastAsia="zh-CN"/>
        </w:rPr>
        <w:t>25.1.4</w:t>
      </w:r>
      <w:r>
        <w:rPr>
          <w:rFonts w:hint="eastAsia" w:ascii="宋体" w:hAnsi="宋体" w:cs="宋体"/>
          <w:color w:val="auto"/>
          <w:szCs w:val="21"/>
          <w:highlight w:val="none"/>
        </w:rPr>
        <w:t>评标过程中出现下列情形之一的，评委会应当启动异常低价投标审查程序：</w:t>
      </w:r>
    </w:p>
    <w:p w14:paraId="7D4649E1">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（1）投标报价低于全部通过符合性审查供应商投标报价平均值</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%的，即投标报价&lt;全部通过符合性审查供应商投标报价平均值×</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w:t>
      </w:r>
    </w:p>
    <w:p w14:paraId="3D22E966">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（2）投标报价低于通过符合性审查的次低报价供应商投标报价</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%的，即投标报价&lt;通过符合性审查的次低报价供应商投标报价×</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w:t>
      </w:r>
    </w:p>
    <w:p w14:paraId="656140EC">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（3）投标报价低于采购项目最高限价</w:t>
      </w: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%的，即投标报价&lt;采购项目最高限价×</w:t>
      </w: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w:t>
      </w:r>
    </w:p>
    <w:p w14:paraId="2AC6249A">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（4）评委会基于专业判断，认为供应商报价过低，有可能影响产品质量或者不能诚信履约的其他情形。</w:t>
      </w:r>
    </w:p>
    <w:p w14:paraId="7B335938">
      <w:pPr>
        <w:widowControl/>
        <w:shd w:val="clear" w:color="auto" w:fill="FFFFFF"/>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ED525FE">
      <w:pPr>
        <w:widowControl/>
        <w:shd w:val="clear" w:color="auto" w:fill="FFFFFF"/>
        <w:spacing w:line="360" w:lineRule="auto"/>
        <w:ind w:firstLine="420"/>
        <w:jc w:val="left"/>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cs="宋体"/>
          <w:color w:val="auto"/>
          <w:szCs w:val="21"/>
          <w:highlight w:val="none"/>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7A9242F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25.2 评审方法与评审标准</w:t>
      </w:r>
    </w:p>
    <w:p w14:paraId="6932A12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25.2.1 评审方法。见磋商文件第三章。</w:t>
      </w:r>
    </w:p>
    <w:p w14:paraId="35A5401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25.2.2 评审标准。见磋商文件第三章。</w:t>
      </w:r>
    </w:p>
    <w:p w14:paraId="5BBFAEF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 采购活动终止</w:t>
      </w:r>
    </w:p>
    <w:p w14:paraId="3D0413DE">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出现下列情形之一的，本次采购活动终止：</w:t>
      </w:r>
    </w:p>
    <w:p w14:paraId="70664C4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25.3.1 因情况变化，不再符合竞争性磋商采购方式适用情形。</w:t>
      </w:r>
    </w:p>
    <w:p w14:paraId="36DC3DB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25.3.2 出现影响采购公正的违法、违规行为。</w:t>
      </w:r>
    </w:p>
    <w:p w14:paraId="1A00A03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25.3.3 在苏采云系统规定时间内成功解密电子响应文件的供应商不足三家。</w:t>
      </w:r>
    </w:p>
    <w:p w14:paraId="6479C4D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25.3.4 除本磋商文件第二章第25.1.2条第三款规定的情形外，磋商过程中符合要求的供应商或者提交最后报价且未超过采购预算或最高限价的供应商不足三家。</w:t>
      </w:r>
    </w:p>
    <w:p w14:paraId="1731823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eastAsia="zh-CN"/>
        </w:rPr>
        <w:t>.3.5</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eastAsia="zh-CN"/>
        </w:rPr>
        <w:t>法律法规规定的其他应当终止情形。</w:t>
      </w:r>
    </w:p>
    <w:p w14:paraId="7B0D87A5">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r>
        <w:rPr>
          <w:rFonts w:hint="eastAsia" w:asciiTheme="minorEastAsia" w:hAnsiTheme="minorEastAsia" w:eastAsiaTheme="minorEastAsia" w:cstheme="minorEastAsia"/>
          <w:b w:val="0"/>
          <w:bCs w:val="0"/>
          <w:color w:val="auto"/>
          <w:kern w:val="2"/>
          <w:sz w:val="21"/>
          <w:szCs w:val="21"/>
          <w:highlight w:val="none"/>
        </w:rPr>
        <w:t>六、</w:t>
      </w:r>
      <w:bookmarkEnd w:id="147"/>
      <w:bookmarkEnd w:id="148"/>
      <w:bookmarkEnd w:id="149"/>
      <w:bookmarkEnd w:id="150"/>
      <w:r>
        <w:rPr>
          <w:rFonts w:hint="eastAsia" w:asciiTheme="minorEastAsia" w:hAnsiTheme="minorEastAsia" w:eastAsiaTheme="minorEastAsia" w:cstheme="minorEastAsia"/>
          <w:b w:val="0"/>
          <w:bCs w:val="0"/>
          <w:color w:val="auto"/>
          <w:kern w:val="2"/>
          <w:sz w:val="21"/>
          <w:szCs w:val="21"/>
          <w:highlight w:val="none"/>
        </w:rPr>
        <w:t>成交</w:t>
      </w:r>
    </w:p>
    <w:p w14:paraId="765444B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51" w:name="_Toc513029238"/>
      <w:bookmarkStart w:id="152" w:name="_Toc16938554"/>
      <w:bookmarkStart w:id="153" w:name="_Toc20823310"/>
      <w:r>
        <w:rPr>
          <w:rFonts w:hint="eastAsia" w:asciiTheme="minorEastAsia" w:hAnsiTheme="minorEastAsia" w:eastAsiaTheme="minorEastAsia" w:cstheme="minorEastAsia"/>
          <w:b/>
          <w:bCs/>
          <w:color w:val="auto"/>
          <w:kern w:val="2"/>
          <w:sz w:val="21"/>
          <w:szCs w:val="21"/>
          <w:highlight w:val="none"/>
          <w:lang w:val="en-US" w:eastAsia="zh-CN"/>
        </w:rPr>
        <w:t>2</w:t>
      </w:r>
      <w:bookmarkEnd w:id="151"/>
      <w:r>
        <w:rPr>
          <w:rFonts w:hint="eastAsia" w:asciiTheme="minorEastAsia" w:hAnsiTheme="minorEastAsia" w:eastAsiaTheme="minorEastAsia" w:cstheme="minorEastAsia"/>
          <w:b/>
          <w:bCs/>
          <w:color w:val="auto"/>
          <w:kern w:val="2"/>
          <w:sz w:val="21"/>
          <w:szCs w:val="21"/>
          <w:highlight w:val="none"/>
          <w:lang w:val="en-US" w:eastAsia="zh-CN"/>
        </w:rPr>
        <w:t>6.确定</w:t>
      </w:r>
      <w:bookmarkEnd w:id="152"/>
      <w:bookmarkEnd w:id="153"/>
      <w:r>
        <w:rPr>
          <w:rFonts w:hint="eastAsia" w:asciiTheme="minorEastAsia" w:hAnsiTheme="minorEastAsia" w:eastAsiaTheme="minorEastAsia" w:cstheme="minorEastAsia"/>
          <w:b/>
          <w:bCs/>
          <w:color w:val="auto"/>
          <w:kern w:val="2"/>
          <w:sz w:val="21"/>
          <w:szCs w:val="21"/>
          <w:highlight w:val="none"/>
          <w:lang w:val="en-US" w:eastAsia="zh-CN"/>
        </w:rPr>
        <w:t>成交单位</w:t>
      </w:r>
    </w:p>
    <w:p w14:paraId="01BA2E7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default" w:ascii="Segoe UI" w:hAnsi="Segoe UI" w:eastAsia="宋体" w:cs="Segoe UI"/>
          <w:i w:val="0"/>
          <w:iCs w:val="0"/>
          <w:caps w:val="0"/>
          <w:color w:val="auto"/>
          <w:spacing w:val="0"/>
          <w:sz w:val="21"/>
          <w:szCs w:val="21"/>
          <w:highlight w:val="none"/>
          <w:shd w:val="clear" w:fill="FFFFFF"/>
          <w:lang w:val="en-US" w:eastAsia="zh-CN"/>
        </w:rPr>
      </w:pPr>
      <w:r>
        <w:rPr>
          <w:rFonts w:hint="eastAsia" w:asciiTheme="minorEastAsia" w:hAnsiTheme="minorEastAsia" w:eastAsiaTheme="minorEastAsia" w:cstheme="minorEastAsia"/>
          <w:color w:val="auto"/>
          <w:sz w:val="21"/>
          <w:szCs w:val="21"/>
          <w:highlight w:val="none"/>
          <w:lang w:val="en-US" w:eastAsia="zh-CN"/>
        </w:rPr>
        <w:t>26.1 成交候选供应商的确定原则和数量：本项目</w:t>
      </w:r>
      <w:r>
        <w:rPr>
          <w:rFonts w:ascii="Segoe UI" w:hAnsi="Segoe UI" w:eastAsia="Segoe UI" w:cs="Segoe UI"/>
          <w:i w:val="0"/>
          <w:iCs w:val="0"/>
          <w:caps w:val="0"/>
          <w:color w:val="auto"/>
          <w:spacing w:val="0"/>
          <w:sz w:val="21"/>
          <w:szCs w:val="21"/>
          <w:highlight w:val="none"/>
          <w:shd w:val="clear" w:fill="FFFFFF"/>
        </w:rPr>
        <w:t>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Segoe UI" w:hAnsi="Segoe UI" w:eastAsia="Segoe UI" w:cs="Segoe UI"/>
          <w:i w:val="0"/>
          <w:iCs w:val="0"/>
          <w:caps w:val="0"/>
          <w:color w:val="auto"/>
          <w:spacing w:val="0"/>
          <w:sz w:val="21"/>
          <w:szCs w:val="21"/>
          <w:highlight w:val="none"/>
          <w:shd w:val="clear" w:fill="FFFFFF"/>
        </w:rPr>
        <w:t>本项目选取 </w:t>
      </w:r>
      <w:r>
        <w:rPr>
          <w:rFonts w:hint="eastAsia" w:ascii="Segoe UI" w:hAnsi="Segoe UI" w:eastAsia="宋体" w:cs="Segoe UI"/>
          <w:i w:val="0"/>
          <w:iCs w:val="0"/>
          <w:caps w:val="0"/>
          <w:color w:val="auto"/>
          <w:spacing w:val="0"/>
          <w:sz w:val="21"/>
          <w:szCs w:val="21"/>
          <w:highlight w:val="none"/>
          <w:shd w:val="clear" w:fill="FFFFFF"/>
          <w:lang w:val="en-US" w:eastAsia="zh-CN"/>
        </w:rPr>
        <w:t>3</w:t>
      </w:r>
      <w:r>
        <w:rPr>
          <w:rFonts w:hint="default" w:ascii="Segoe UI" w:hAnsi="Segoe UI" w:eastAsia="Segoe UI" w:cs="Segoe UI"/>
          <w:i w:val="0"/>
          <w:iCs w:val="0"/>
          <w:caps w:val="0"/>
          <w:color w:val="auto"/>
          <w:spacing w:val="0"/>
          <w:sz w:val="21"/>
          <w:szCs w:val="21"/>
          <w:highlight w:val="none"/>
          <w:shd w:val="clear" w:fill="FFFFFF"/>
        </w:rPr>
        <w:t>家中标候选人。</w:t>
      </w:r>
      <w:r>
        <w:rPr>
          <w:rFonts w:hint="eastAsia" w:ascii="Segoe UI" w:hAnsi="Segoe UI" w:eastAsia="宋体" w:cs="Segoe UI"/>
          <w:i w:val="0"/>
          <w:iCs w:val="0"/>
          <w:caps w:val="0"/>
          <w:color w:val="auto"/>
          <w:spacing w:val="0"/>
          <w:sz w:val="21"/>
          <w:szCs w:val="21"/>
          <w:highlight w:val="none"/>
          <w:shd w:val="clear" w:fill="FFFFFF"/>
          <w:lang w:val="en-US" w:eastAsia="zh-CN"/>
        </w:rPr>
        <w:t>(上述办法针对于一二标段，独立执行)</w:t>
      </w:r>
    </w:p>
    <w:p w14:paraId="1550B67F">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default" w:ascii="Segoe UI" w:hAnsi="Segoe UI" w:eastAsia="宋体" w:cs="Segoe UI"/>
          <w:b/>
          <w:bCs/>
          <w:i w:val="0"/>
          <w:iCs w:val="0"/>
          <w:caps w:val="0"/>
          <w:color w:val="auto"/>
          <w:spacing w:val="0"/>
          <w:sz w:val="21"/>
          <w:szCs w:val="21"/>
          <w:highlight w:val="none"/>
          <w:shd w:val="clear" w:fill="FFFFFF"/>
          <w:lang w:val="en-US" w:eastAsia="zh-CN"/>
        </w:rPr>
      </w:pPr>
      <w:r>
        <w:rPr>
          <w:rFonts w:hint="eastAsia" w:ascii="Segoe UI" w:hAnsi="Segoe UI" w:eastAsia="宋体" w:cs="Segoe UI"/>
          <w:b/>
          <w:bCs/>
          <w:i w:val="0"/>
          <w:iCs w:val="0"/>
          <w:caps w:val="0"/>
          <w:color w:val="auto"/>
          <w:spacing w:val="0"/>
          <w:sz w:val="21"/>
          <w:szCs w:val="21"/>
          <w:highlight w:val="none"/>
          <w:shd w:val="clear" w:fill="FFFFFF"/>
          <w:lang w:val="en-US" w:eastAsia="zh-CN"/>
        </w:rPr>
        <w:t>注：本项目一标段、二标段同时开标，允许兼投兼中。</w:t>
      </w:r>
    </w:p>
    <w:p w14:paraId="13226B0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26.2 </w:t>
      </w:r>
      <w:r>
        <w:rPr>
          <w:rFonts w:hint="eastAsia" w:asciiTheme="minorEastAsia" w:hAnsiTheme="minorEastAsia" w:eastAsiaTheme="minorEastAsia" w:cstheme="minorEastAsia"/>
          <w:color w:val="auto"/>
          <w:kern w:val="0"/>
          <w:sz w:val="21"/>
          <w:szCs w:val="21"/>
          <w:highlight w:val="none"/>
          <w:lang w:val="zh-CN" w:eastAsia="zh-CN"/>
        </w:rPr>
        <w:t>按以下第（</w:t>
      </w:r>
      <w:r>
        <w:rPr>
          <w:rFonts w:hint="eastAsia" w:asciiTheme="minorEastAsia" w:hAnsiTheme="minorEastAsia" w:eastAsiaTheme="minorEastAsia" w:cstheme="minorEastAsia"/>
          <w:color w:val="auto"/>
          <w:kern w:val="0"/>
          <w:sz w:val="21"/>
          <w:szCs w:val="21"/>
          <w:highlight w:val="none"/>
          <w:lang w:val="en-US" w:eastAsia="zh-CN"/>
        </w:rPr>
        <w:t>1</w:t>
      </w:r>
      <w:r>
        <w:rPr>
          <w:rFonts w:hint="eastAsia" w:asciiTheme="minorEastAsia" w:hAnsiTheme="minorEastAsia" w:eastAsiaTheme="minorEastAsia" w:cstheme="minorEastAsia"/>
          <w:color w:val="auto"/>
          <w:kern w:val="0"/>
          <w:sz w:val="21"/>
          <w:szCs w:val="21"/>
          <w:highlight w:val="none"/>
          <w:lang w:val="zh-CN" w:eastAsia="zh-CN"/>
        </w:rPr>
        <w:t>）种方式确定</w:t>
      </w:r>
      <w:r>
        <w:rPr>
          <w:rFonts w:hint="eastAsia" w:asciiTheme="minorEastAsia" w:hAnsiTheme="minorEastAsia" w:eastAsiaTheme="minorEastAsia" w:cstheme="minorEastAsia"/>
          <w:color w:val="auto"/>
          <w:kern w:val="0"/>
          <w:sz w:val="21"/>
          <w:szCs w:val="21"/>
          <w:highlight w:val="none"/>
          <w:lang w:val="en-US" w:eastAsia="zh-CN"/>
        </w:rPr>
        <w:t>成交供应商</w:t>
      </w:r>
    </w:p>
    <w:p w14:paraId="38BCF8F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val="zh-CN" w:eastAsia="zh-CN"/>
        </w:rPr>
        <w:t>直接确定排名第一的</w:t>
      </w:r>
      <w:r>
        <w:rPr>
          <w:rFonts w:hint="eastAsia" w:asciiTheme="minorEastAsia" w:hAnsiTheme="minorEastAsia" w:eastAsiaTheme="minorEastAsia" w:cstheme="minorEastAsia"/>
          <w:color w:val="auto"/>
          <w:sz w:val="21"/>
          <w:szCs w:val="21"/>
          <w:highlight w:val="none"/>
          <w:lang w:val="en-US" w:eastAsia="zh-CN"/>
        </w:rPr>
        <w:t>成交候选供应商</w:t>
      </w:r>
      <w:r>
        <w:rPr>
          <w:rFonts w:hint="eastAsia" w:asciiTheme="minorEastAsia" w:hAnsiTheme="minorEastAsia" w:eastAsiaTheme="minorEastAsia" w:cstheme="minorEastAsia"/>
          <w:color w:val="auto"/>
          <w:sz w:val="21"/>
          <w:szCs w:val="21"/>
          <w:highlight w:val="none"/>
          <w:lang w:val="zh-CN" w:eastAsia="zh-CN"/>
        </w:rPr>
        <w:t>为</w:t>
      </w: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lang w:val="zh-CN" w:eastAsia="zh-CN"/>
        </w:rPr>
        <w:t>；</w:t>
      </w:r>
    </w:p>
    <w:p w14:paraId="295C002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（2）采购人在</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val="zh-CN" w:eastAsia="zh-CN"/>
        </w:rPr>
        <w:t>推荐的</w:t>
      </w:r>
      <w:r>
        <w:rPr>
          <w:rFonts w:hint="eastAsia" w:asciiTheme="minorEastAsia" w:hAnsiTheme="minorEastAsia" w:eastAsiaTheme="minorEastAsia" w:cstheme="minorEastAsia"/>
          <w:color w:val="auto"/>
          <w:sz w:val="21"/>
          <w:szCs w:val="21"/>
          <w:highlight w:val="none"/>
          <w:lang w:val="en-US" w:eastAsia="zh-CN"/>
        </w:rPr>
        <w:t>成交候选供应商</w:t>
      </w:r>
      <w:r>
        <w:rPr>
          <w:rFonts w:hint="eastAsia" w:asciiTheme="minorEastAsia" w:hAnsiTheme="minorEastAsia" w:eastAsiaTheme="minorEastAsia" w:cstheme="minorEastAsia"/>
          <w:color w:val="auto"/>
          <w:sz w:val="21"/>
          <w:szCs w:val="21"/>
          <w:highlight w:val="none"/>
          <w:lang w:val="zh-CN" w:eastAsia="zh-CN"/>
        </w:rPr>
        <w:t>中按顺序确定</w:t>
      </w: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lang w:val="zh-CN" w:eastAsia="zh-CN"/>
        </w:rPr>
        <w:t>。</w:t>
      </w:r>
    </w:p>
    <w:p w14:paraId="273FAAD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按第二种方式确定</w:t>
      </w: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lang w:val="zh-CN" w:eastAsia="zh-CN"/>
        </w:rPr>
        <w:t>的，招标代理机构自评审结束之日起两个工作日内将评审报告送交采购人，采购人自收到评审报告之日起五个工作日内，在评审报告推荐的</w:t>
      </w:r>
      <w:r>
        <w:rPr>
          <w:rFonts w:hint="eastAsia" w:asciiTheme="minorEastAsia" w:hAnsiTheme="minorEastAsia" w:eastAsiaTheme="minorEastAsia" w:cstheme="minorEastAsia"/>
          <w:color w:val="auto"/>
          <w:sz w:val="21"/>
          <w:szCs w:val="21"/>
          <w:highlight w:val="none"/>
          <w:lang w:val="en-US" w:eastAsia="zh-CN"/>
        </w:rPr>
        <w:t>成交候选供应商</w:t>
      </w:r>
      <w:r>
        <w:rPr>
          <w:rFonts w:hint="eastAsia" w:asciiTheme="minorEastAsia" w:hAnsiTheme="minorEastAsia" w:eastAsiaTheme="minorEastAsia" w:cstheme="minorEastAsia"/>
          <w:color w:val="auto"/>
          <w:sz w:val="21"/>
          <w:szCs w:val="21"/>
          <w:highlight w:val="none"/>
          <w:lang w:val="zh-CN" w:eastAsia="zh-CN"/>
        </w:rPr>
        <w:t>中按顺序确定</w:t>
      </w: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lang w:val="zh-CN" w:eastAsia="zh-CN"/>
        </w:rPr>
        <w:t>。</w:t>
      </w:r>
    </w:p>
    <w:p w14:paraId="5F22E53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26.3 招标代理机构将在“江苏政府采购网、南京公共采购信息网”发布成交结果公告，公告期限为1个工作日。</w:t>
      </w:r>
    </w:p>
    <w:p w14:paraId="1AA15FB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26.4 </w:t>
      </w:r>
      <w:r>
        <w:rPr>
          <w:rFonts w:hint="eastAsia" w:asciiTheme="minorEastAsia" w:hAnsiTheme="minorEastAsia" w:eastAsiaTheme="minorEastAsia" w:cstheme="minorEastAsia"/>
          <w:b/>
          <w:bCs/>
          <w:color w:val="auto"/>
          <w:sz w:val="21"/>
          <w:szCs w:val="21"/>
          <w:highlight w:val="none"/>
          <w:lang w:val="en-US" w:eastAsia="zh-CN"/>
        </w:rPr>
        <w:t>若有充分证据证明成交供应商有下列情况之一的，一经查实将被取消成交资格：</w:t>
      </w:r>
    </w:p>
    <w:p w14:paraId="3C60FAB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26.4.1 提供虚假材料谋取成交。</w:t>
      </w:r>
    </w:p>
    <w:p w14:paraId="08A09EC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26.4.2 向评审专家、采购人或招标代理机构工作人员行贿或者提供其他不正当利益。</w:t>
      </w:r>
    </w:p>
    <w:p w14:paraId="0B73731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26.4.3 与其他供应商、评审专家、采购人或招标代理机构工作人员恶意串通。</w:t>
      </w:r>
    </w:p>
    <w:p w14:paraId="2C5A702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26.4.4 不满足本磋商文件规定的实质性要求，但在评审过程中未被磋商小组发现。</w:t>
      </w:r>
    </w:p>
    <w:p w14:paraId="312E9E5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26.4.5 </w:t>
      </w:r>
      <w:r>
        <w:rPr>
          <w:rFonts w:hint="eastAsia" w:asciiTheme="minorEastAsia" w:hAnsiTheme="minorEastAsia" w:eastAsiaTheme="minorEastAsia" w:cstheme="minorEastAsia"/>
          <w:color w:val="auto"/>
          <w:sz w:val="21"/>
          <w:szCs w:val="21"/>
          <w:highlight w:val="none"/>
          <w:lang w:val="en-US"/>
        </w:rPr>
        <w:t>采取不正当手段诋毁、排挤其他供应商。</w:t>
      </w:r>
    </w:p>
    <w:p w14:paraId="093CE78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bookmarkStart w:id="154" w:name="_Toc200451960"/>
      <w:r>
        <w:rPr>
          <w:rFonts w:hint="eastAsia" w:asciiTheme="minorEastAsia" w:hAnsiTheme="minorEastAsia" w:eastAsiaTheme="minorEastAsia" w:cstheme="minorEastAsia"/>
          <w:b/>
          <w:bCs/>
          <w:color w:val="auto"/>
          <w:kern w:val="2"/>
          <w:sz w:val="21"/>
          <w:szCs w:val="21"/>
          <w:highlight w:val="none"/>
          <w:lang w:val="en-US" w:eastAsia="zh-CN"/>
        </w:rPr>
        <w:t>27.成交通知书</w:t>
      </w:r>
    </w:p>
    <w:p w14:paraId="420149D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27.1 成交结果确定后，招标代理机构将向成交供应商发出《成交通知书》。成交供应商可在成交结果公告届满之日起三十日内，登录苏采云系统下载。    </w:t>
      </w:r>
    </w:p>
    <w:p w14:paraId="4A69A54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因系统存储空间有限，成交结果公告届满之日起三十日后，苏采云系统不再保证提供下载《成交通知书》服务，因未及时下载而造成的不利后果由成交供应商自行承担。</w:t>
      </w:r>
    </w:p>
    <w:p w14:paraId="347088F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27.2 《成交通知书》是合同的一个组成部分，对采购人和成交供应商均具有法律效力。《成交通知书》发出后，采购人改变成交结果的，或者成交供应商放弃成交项目的，应当依法承担法律责任。</w:t>
      </w:r>
    </w:p>
    <w:p w14:paraId="4088EDBA">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kern w:val="2"/>
          <w:sz w:val="21"/>
          <w:szCs w:val="21"/>
          <w:highlight w:val="none"/>
        </w:rPr>
      </w:pPr>
      <w:r>
        <w:rPr>
          <w:rFonts w:hint="eastAsia" w:asciiTheme="minorEastAsia" w:hAnsiTheme="minorEastAsia" w:eastAsiaTheme="minorEastAsia" w:cstheme="minorEastAsia"/>
          <w:b w:val="0"/>
          <w:bCs w:val="0"/>
          <w:color w:val="auto"/>
          <w:kern w:val="2"/>
          <w:sz w:val="21"/>
          <w:szCs w:val="21"/>
          <w:highlight w:val="none"/>
        </w:rPr>
        <w:t>七、授予合同</w:t>
      </w:r>
    </w:p>
    <w:p w14:paraId="5459F2A1">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28.签订合同</w:t>
      </w:r>
    </w:p>
    <w:p w14:paraId="4717469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28.l 成交供应商应当在《成交通知书》发出之日起三十日内，按照磋商文件确定的事项与采购人签订政府采购合同。采购人于合同签订后2个工作日内通过苏采云系统进行公示。</w:t>
      </w:r>
    </w:p>
    <w:p w14:paraId="40C8ADD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28.2 磋商文件、成交供应商的响应文件及磋商过程中有关澄清、承诺文件均作为合同附件。</w:t>
      </w:r>
    </w:p>
    <w:p w14:paraId="44D14B3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5B3680D4">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28.4 成交供应商因自身原因拒绝与采购人签订合同的，</w:t>
      </w:r>
      <w:r>
        <w:rPr>
          <w:rFonts w:hint="eastAsia" w:asciiTheme="minorEastAsia" w:hAnsiTheme="minorEastAsia" w:eastAsiaTheme="minorEastAsia" w:cstheme="minorEastAsia"/>
          <w:color w:val="auto"/>
          <w:sz w:val="21"/>
          <w:szCs w:val="21"/>
          <w:highlight w:val="none"/>
          <w:lang w:val="zh-CN" w:eastAsia="zh-CN"/>
        </w:rPr>
        <w:t>不得参加采购人</w:t>
      </w:r>
      <w:r>
        <w:rPr>
          <w:rFonts w:hint="eastAsia" w:asciiTheme="minorEastAsia" w:hAnsiTheme="minorEastAsia" w:eastAsiaTheme="minorEastAsia" w:cstheme="minorEastAsia"/>
          <w:color w:val="auto"/>
          <w:sz w:val="21"/>
          <w:szCs w:val="21"/>
          <w:highlight w:val="none"/>
          <w:lang w:val="en-US" w:eastAsia="zh-CN"/>
        </w:rPr>
        <w:t>重新组织的</w:t>
      </w:r>
      <w:r>
        <w:rPr>
          <w:rFonts w:hint="eastAsia" w:asciiTheme="minorEastAsia" w:hAnsiTheme="minorEastAsia" w:eastAsiaTheme="minorEastAsia" w:cstheme="minorEastAsia"/>
          <w:color w:val="auto"/>
          <w:sz w:val="21"/>
          <w:szCs w:val="21"/>
          <w:highlight w:val="none"/>
          <w:lang w:val="zh-CN" w:eastAsia="zh-CN"/>
        </w:rPr>
        <w:t>采购活动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且将可能被拒绝参加该采购人</w:t>
      </w:r>
      <w:r>
        <w:rPr>
          <w:rFonts w:hint="eastAsia" w:asciiTheme="minorEastAsia" w:hAnsiTheme="minorEastAsia" w:eastAsiaTheme="minorEastAsia" w:cstheme="minorEastAsia"/>
          <w:color w:val="auto"/>
          <w:sz w:val="21"/>
          <w:szCs w:val="21"/>
          <w:highlight w:val="none"/>
          <w:lang w:val="zh-CN" w:eastAsia="zh-CN"/>
        </w:rPr>
        <w:t>一年内</w:t>
      </w:r>
      <w:r>
        <w:rPr>
          <w:rFonts w:hint="eastAsia" w:asciiTheme="minorEastAsia" w:hAnsiTheme="minorEastAsia" w:eastAsiaTheme="minorEastAsia" w:cstheme="minorEastAsia"/>
          <w:color w:val="auto"/>
          <w:sz w:val="21"/>
          <w:szCs w:val="21"/>
          <w:highlight w:val="none"/>
          <w:lang w:val="en-US" w:eastAsia="zh-CN"/>
        </w:rPr>
        <w:t>的其他</w:t>
      </w:r>
      <w:r>
        <w:rPr>
          <w:rFonts w:hint="eastAsia" w:asciiTheme="minorEastAsia" w:hAnsiTheme="minorEastAsia" w:eastAsiaTheme="minorEastAsia" w:cstheme="minorEastAsia"/>
          <w:color w:val="auto"/>
          <w:sz w:val="21"/>
          <w:szCs w:val="21"/>
          <w:highlight w:val="none"/>
          <w:lang w:val="zh-CN" w:eastAsia="zh-CN"/>
        </w:rPr>
        <w:t>政府采购活动。</w:t>
      </w:r>
    </w:p>
    <w:p w14:paraId="5F17EBD0">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29.标的物的追加</w:t>
      </w:r>
    </w:p>
    <w:p w14:paraId="4B654B5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47CAE878">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lang w:val="en-US" w:eastAsia="zh-CN"/>
        </w:rPr>
        <w:t>30.政府采购履约资金扶持政策</w:t>
      </w:r>
    </w:p>
    <w:p w14:paraId="0E361B9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30.1 成交供应商通过</w:t>
      </w:r>
      <w:r>
        <w:rPr>
          <w:rFonts w:hint="eastAsia" w:asciiTheme="minorEastAsia" w:hAnsiTheme="minorEastAsia" w:eastAsiaTheme="minorEastAsia" w:cstheme="minorEastAsia"/>
          <w:color w:val="auto"/>
          <w:sz w:val="21"/>
          <w:szCs w:val="21"/>
          <w:highlight w:val="none"/>
          <w:lang w:val="zh-CN"/>
        </w:rPr>
        <w:t>南京市公共资源交易</w:t>
      </w:r>
      <w:r>
        <w:rPr>
          <w:rFonts w:hint="eastAsia" w:asciiTheme="minorEastAsia" w:hAnsiTheme="minorEastAsia" w:eastAsiaTheme="minorEastAsia" w:cstheme="minorEastAsia"/>
          <w:color w:val="auto"/>
          <w:sz w:val="21"/>
          <w:szCs w:val="21"/>
          <w:highlight w:val="none"/>
          <w:lang w:val="en-US" w:eastAsia="zh-CN"/>
        </w:rPr>
        <w:t>平台</w:t>
      </w:r>
      <w:r>
        <w:rPr>
          <w:rFonts w:hint="eastAsia" w:asciiTheme="minorEastAsia" w:hAnsiTheme="minorEastAsia" w:eastAsiaTheme="minorEastAsia" w:cstheme="minorEastAsia"/>
          <w:color w:val="auto"/>
          <w:sz w:val="21"/>
          <w:szCs w:val="21"/>
          <w:highlight w:val="none"/>
          <w:lang w:val="zh-CN"/>
        </w:rPr>
        <w:t>网站“小企业融资平台”，</w:t>
      </w:r>
      <w:r>
        <w:rPr>
          <w:rFonts w:hint="eastAsia" w:asciiTheme="minorEastAsia" w:hAnsiTheme="minorEastAsia" w:eastAsiaTheme="minorEastAsia" w:cstheme="minorEastAsia"/>
          <w:color w:val="auto"/>
          <w:sz w:val="21"/>
          <w:szCs w:val="21"/>
          <w:highlight w:val="none"/>
          <w:lang w:val="en-US" w:eastAsia="zh-CN"/>
        </w:rPr>
        <w:t>选择相应的金融机构</w:t>
      </w:r>
      <w:r>
        <w:rPr>
          <w:rFonts w:hint="eastAsia" w:asciiTheme="minorEastAsia" w:hAnsiTheme="minorEastAsia" w:eastAsiaTheme="minorEastAsia" w:cstheme="minorEastAsia"/>
          <w:color w:val="auto"/>
          <w:sz w:val="21"/>
          <w:szCs w:val="21"/>
          <w:highlight w:val="none"/>
          <w:lang w:val="zh-CN"/>
        </w:rPr>
        <w:t>办理融资贷款。</w:t>
      </w:r>
    </w:p>
    <w:p w14:paraId="1CB2D637">
      <w:pPr>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30.2 依据《关于在全省政府采购领域推行电子履约保函（保险）的通知》（苏财购〔2023〕150号），需要缴纳履约保证金的，成交供应商</w:t>
      </w:r>
      <w:r>
        <w:rPr>
          <w:rFonts w:hint="eastAsia" w:asciiTheme="minorEastAsia" w:hAnsiTheme="minorEastAsia" w:eastAsiaTheme="minorEastAsia" w:cstheme="minorEastAsia"/>
          <w:color w:val="auto"/>
          <w:sz w:val="21"/>
          <w:szCs w:val="21"/>
          <w:highlight w:val="none"/>
          <w:lang w:val="zh-CN" w:eastAsia="zh-CN"/>
        </w:rPr>
        <w:t>可</w:t>
      </w:r>
      <w:r>
        <w:rPr>
          <w:rFonts w:hint="eastAsia" w:asciiTheme="minorEastAsia" w:hAnsiTheme="minorEastAsia" w:eastAsiaTheme="minorEastAsia" w:cstheme="minorEastAsia"/>
          <w:color w:val="auto"/>
          <w:sz w:val="21"/>
          <w:szCs w:val="21"/>
          <w:highlight w:val="none"/>
          <w:lang w:val="en-US" w:eastAsia="zh-CN"/>
        </w:rPr>
        <w:t>通过江苏政府采购网“政府采购电子履约保函（保险）综合服务平台”线上办理履约保函（保险）</w:t>
      </w:r>
      <w:r>
        <w:rPr>
          <w:rFonts w:hint="eastAsia" w:asciiTheme="minorEastAsia" w:hAnsiTheme="minorEastAsia" w:eastAsiaTheme="minorEastAsia" w:cstheme="minorEastAsia"/>
          <w:color w:val="auto"/>
          <w:sz w:val="21"/>
          <w:szCs w:val="21"/>
          <w:highlight w:val="none"/>
          <w:lang w:val="zh-CN" w:eastAsia="zh-CN"/>
        </w:rPr>
        <w:t>。</w:t>
      </w:r>
    </w:p>
    <w:p w14:paraId="3C7BB75E">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sz w:val="21"/>
          <w:szCs w:val="21"/>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八、质疑</w:t>
      </w:r>
    </w:p>
    <w:bookmarkEnd w:id="154"/>
    <w:p w14:paraId="35BC3CAA">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31</w:t>
      </w:r>
      <w:r>
        <w:rPr>
          <w:rFonts w:hint="eastAsia" w:asciiTheme="minorEastAsia" w:hAnsiTheme="minorEastAsia" w:eastAsiaTheme="minorEastAsia" w:cstheme="minorEastAsia"/>
          <w:color w:val="auto"/>
          <w:sz w:val="21"/>
          <w:szCs w:val="21"/>
          <w:highlight w:val="none"/>
          <w:lang w:val="zh-CN"/>
        </w:rPr>
        <w:t>.提出质疑的供应商应当是参与所质疑项目采购活动的供应商，潜在供应商依法获取其可质疑的采购文件的，可以对采购文件提出质疑。</w:t>
      </w:r>
    </w:p>
    <w:p w14:paraId="4FCFE01D">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32</w:t>
      </w:r>
      <w:r>
        <w:rPr>
          <w:rFonts w:hint="eastAsia" w:asciiTheme="minorEastAsia" w:hAnsiTheme="minorEastAsia" w:eastAsiaTheme="minorEastAsia" w:cstheme="minorEastAsia"/>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Theme="minorEastAsia" w:hAnsiTheme="minorEastAsia" w:eastAsiaTheme="minorEastAsia" w:cstheme="minorEastAsia"/>
          <w:color w:val="auto"/>
          <w:sz w:val="21"/>
          <w:szCs w:val="21"/>
          <w:highlight w:val="none"/>
          <w:lang w:val="en-US" w:eastAsia="zh-CN"/>
        </w:rPr>
        <w:t>按照第3</w:t>
      </w:r>
      <w:r>
        <w:rPr>
          <w:rFonts w:hint="eastAsia" w:asciiTheme="minorEastAsia" w:hAnsiTheme="minorEastAsia" w:eastAsiaTheme="minorEastAsia" w:cstheme="minorEastAsia"/>
          <w:color w:val="auto"/>
          <w:sz w:val="21"/>
          <w:szCs w:val="21"/>
          <w:highlight w:val="none"/>
          <w:lang w:val="zh-CN"/>
        </w:rPr>
        <w:t>4</w:t>
      </w:r>
      <w:r>
        <w:rPr>
          <w:rFonts w:hint="eastAsia" w:asciiTheme="minorEastAsia" w:hAnsiTheme="minorEastAsia" w:eastAsiaTheme="minorEastAsia" w:cstheme="minorEastAsia"/>
          <w:color w:val="auto"/>
          <w:sz w:val="21"/>
          <w:szCs w:val="21"/>
          <w:highlight w:val="none"/>
          <w:lang w:val="en-US" w:eastAsia="zh-CN"/>
        </w:rPr>
        <w:t>条</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第35</w:t>
      </w:r>
      <w:r>
        <w:rPr>
          <w:rFonts w:hint="eastAsia" w:asciiTheme="minorEastAsia" w:hAnsiTheme="minorEastAsia" w:eastAsiaTheme="minorEastAsia" w:cstheme="minorEastAsia"/>
          <w:color w:val="auto"/>
          <w:sz w:val="21"/>
          <w:szCs w:val="21"/>
          <w:highlight w:val="none"/>
          <w:lang w:val="zh-CN"/>
        </w:rPr>
        <w:t>条</w:t>
      </w:r>
      <w:r>
        <w:rPr>
          <w:rFonts w:hint="eastAsia" w:asciiTheme="minorEastAsia" w:hAnsiTheme="minorEastAsia" w:eastAsiaTheme="minorEastAsia" w:cstheme="minorEastAsia"/>
          <w:color w:val="auto"/>
          <w:sz w:val="21"/>
          <w:szCs w:val="21"/>
          <w:highlight w:val="none"/>
          <w:lang w:val="en-US" w:eastAsia="zh-CN"/>
        </w:rPr>
        <w:t>之</w:t>
      </w:r>
      <w:r>
        <w:rPr>
          <w:rFonts w:hint="eastAsia" w:asciiTheme="minorEastAsia" w:hAnsiTheme="minorEastAsia" w:eastAsiaTheme="minorEastAsia" w:cstheme="minorEastAsia"/>
          <w:color w:val="auto"/>
          <w:sz w:val="21"/>
          <w:szCs w:val="21"/>
          <w:highlight w:val="none"/>
          <w:lang w:val="zh-CN"/>
        </w:rPr>
        <w:t>规定以书面形式向采购人或招标代理机构提出质疑。</w:t>
      </w:r>
      <w:r>
        <w:rPr>
          <w:rFonts w:hint="eastAsia" w:asciiTheme="minorEastAsia" w:hAnsiTheme="minorEastAsia" w:eastAsiaTheme="minorEastAsia" w:cstheme="minorEastAsia"/>
          <w:b/>
          <w:bCs/>
          <w:color w:val="auto"/>
          <w:sz w:val="21"/>
          <w:szCs w:val="21"/>
          <w:highlight w:val="none"/>
          <w:lang w:val="zh-CN"/>
        </w:rPr>
        <w:t>上述应知其权益受到损害之日是指：</w:t>
      </w:r>
    </w:p>
    <w:p w14:paraId="0756CFB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对采购文件提出质疑的，为收到采购文件之日或者采购文件公告期限届满之日。</w:t>
      </w:r>
    </w:p>
    <w:p w14:paraId="56F7C7E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对采购过程提出质疑的，为各采购程序环节结束之日。</w:t>
      </w:r>
    </w:p>
    <w:p w14:paraId="3B737CA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2.3</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对成交结果提出质疑的，为成交结果公告期限届满之日。</w:t>
      </w:r>
    </w:p>
    <w:p w14:paraId="2A89FD2B">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33.</w:t>
      </w:r>
      <w:r>
        <w:rPr>
          <w:rFonts w:hint="eastAsia" w:asciiTheme="minorEastAsia" w:hAnsiTheme="minorEastAsia" w:eastAsiaTheme="minorEastAsia" w:cstheme="minorEastAsia"/>
          <w:color w:val="auto"/>
          <w:sz w:val="21"/>
          <w:szCs w:val="21"/>
          <w:highlight w:val="none"/>
          <w:lang w:val="zh-CN"/>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1"/>
          <w:szCs w:val="21"/>
          <w:highlight w:val="none"/>
          <w:lang w:val="zh-CN" w:eastAsia="zh-CN"/>
        </w:rPr>
        <w:t>招标代理机构</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sz w:val="21"/>
          <w:szCs w:val="21"/>
          <w:highlight w:val="none"/>
          <w:lang w:val="zh-CN"/>
        </w:rPr>
        <w:t>采购人将只对供应商第一次质疑作出答复。</w:t>
      </w:r>
    </w:p>
    <w:p w14:paraId="46E70B6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34.</w:t>
      </w:r>
      <w:r>
        <w:rPr>
          <w:rFonts w:hint="eastAsia" w:asciiTheme="minorEastAsia" w:hAnsiTheme="minorEastAsia" w:eastAsiaTheme="minorEastAsia" w:cstheme="minorEastAsia"/>
          <w:color w:val="auto"/>
          <w:sz w:val="21"/>
          <w:szCs w:val="21"/>
          <w:highlight w:val="none"/>
          <w:lang w:val="zh-CN"/>
        </w:rPr>
        <w:t>供应商提出质疑应提交《质疑函》原件，且尽可能通过邮寄方式送达，招标代理机构和采购人不接受无运单的快件。《质疑函》应按照本磋商文件中《质疑函范本》</w:t>
      </w:r>
      <w:r>
        <w:rPr>
          <w:rFonts w:hint="eastAsia" w:asciiTheme="minorEastAsia" w:hAnsiTheme="minorEastAsia" w:eastAsiaTheme="minorEastAsia" w:cstheme="minorEastAsia"/>
          <w:color w:val="auto"/>
          <w:sz w:val="21"/>
          <w:szCs w:val="21"/>
          <w:highlight w:val="none"/>
          <w:lang w:val="en-US" w:eastAsia="zh-CN"/>
        </w:rPr>
        <w:t>的</w:t>
      </w:r>
      <w:r>
        <w:rPr>
          <w:rFonts w:hint="eastAsia" w:asciiTheme="minorEastAsia" w:hAnsiTheme="minorEastAsia" w:eastAsiaTheme="minorEastAsia" w:cstheme="minorEastAsia"/>
          <w:color w:val="auto"/>
          <w:sz w:val="21"/>
          <w:szCs w:val="21"/>
          <w:highlight w:val="none"/>
          <w:lang w:val="zh-CN"/>
        </w:rPr>
        <w:t>格式和内容填写。</w:t>
      </w:r>
    </w:p>
    <w:p w14:paraId="698194A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供应商如组成联合体参加采购活动，《质疑函范本》中要求加盖公章之处，联合体各方均须按要求加盖公章。</w:t>
      </w:r>
    </w:p>
    <w:p w14:paraId="0A6B9E4C">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以下情形的质疑不予受理：</w:t>
      </w:r>
    </w:p>
    <w:p w14:paraId="32911419">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内容不符合《政府采购质疑和投诉办法》第十二条规定的质疑。</w:t>
      </w:r>
    </w:p>
    <w:p w14:paraId="2E99647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超出政府采购法定期限的质疑。</w:t>
      </w:r>
    </w:p>
    <w:p w14:paraId="5392CA3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.3</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以传真、电子邮件等方式递交的非原件形式的质疑。</w:t>
      </w:r>
    </w:p>
    <w:p w14:paraId="4687967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.4</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未参加采购活动或在采购活动中自身权益未受到损害的供应商所提出的质疑。</w:t>
      </w:r>
    </w:p>
    <w:p w14:paraId="00371BA1">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36</w:t>
      </w:r>
      <w:r>
        <w:rPr>
          <w:rFonts w:hint="eastAsia" w:asciiTheme="minorEastAsia" w:hAnsiTheme="minorEastAsia" w:eastAsiaTheme="minorEastAsia" w:cstheme="minorEastAsia"/>
          <w:color w:val="auto"/>
          <w:sz w:val="21"/>
          <w:szCs w:val="21"/>
          <w:highlight w:val="none"/>
          <w:lang w:val="zh-CN"/>
        </w:rPr>
        <w:t>.5</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供应商组成联合体参加采购活动，联合体中任何一方或多方未按要求签字或盖章、加盖公章的质疑。</w:t>
      </w:r>
    </w:p>
    <w:p w14:paraId="7ED73FA5">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6.</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 xml:space="preserve"> 法律法规规定的</w:t>
      </w:r>
      <w:r>
        <w:rPr>
          <w:rFonts w:hint="eastAsia" w:asciiTheme="minorEastAsia" w:hAnsiTheme="minorEastAsia" w:eastAsiaTheme="minorEastAsia" w:cstheme="minorEastAsia"/>
          <w:color w:val="auto"/>
          <w:sz w:val="21"/>
          <w:szCs w:val="21"/>
          <w:highlight w:val="none"/>
          <w:lang w:val="en-US" w:eastAsia="zh-CN"/>
        </w:rPr>
        <w:t>其他</w:t>
      </w:r>
      <w:r>
        <w:rPr>
          <w:rFonts w:hint="eastAsia" w:asciiTheme="minorEastAsia" w:hAnsiTheme="minorEastAsia" w:eastAsiaTheme="minorEastAsia" w:cstheme="minorEastAsia"/>
          <w:color w:val="auto"/>
          <w:sz w:val="21"/>
          <w:szCs w:val="21"/>
          <w:highlight w:val="none"/>
          <w:lang w:val="zh-CN"/>
        </w:rPr>
        <w:t>不予受理情形。</w:t>
      </w:r>
    </w:p>
    <w:p w14:paraId="369CD62F">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37</w:t>
      </w:r>
      <w:r>
        <w:rPr>
          <w:rFonts w:hint="eastAsia" w:asciiTheme="minorEastAsia" w:hAnsiTheme="minorEastAsia" w:eastAsiaTheme="minorEastAsia" w:cstheme="minorEastAsia"/>
          <w:color w:val="auto"/>
          <w:sz w:val="21"/>
          <w:szCs w:val="21"/>
          <w:highlight w:val="none"/>
          <w:lang w:val="zh-CN"/>
        </w:rPr>
        <w:t>.供应商提出书面质疑必须有理、有据，不得捏造事实、提供虚假材料进行恶意质疑。否则，一经查实，</w:t>
      </w:r>
      <w:r>
        <w:rPr>
          <w:rFonts w:hint="eastAsia" w:asciiTheme="minorEastAsia" w:hAnsiTheme="minorEastAsia" w:eastAsiaTheme="minorEastAsia" w:cstheme="minorEastAsia"/>
          <w:color w:val="auto"/>
          <w:sz w:val="21"/>
          <w:szCs w:val="21"/>
          <w:highlight w:val="none"/>
          <w:lang w:val="zh-CN" w:eastAsia="zh-CN"/>
        </w:rPr>
        <w:t>招标代理机构或采购人</w:t>
      </w:r>
      <w:r>
        <w:rPr>
          <w:rFonts w:hint="eastAsia" w:asciiTheme="minorEastAsia" w:hAnsiTheme="minorEastAsia" w:eastAsiaTheme="minorEastAsia" w:cstheme="minorEastAsia"/>
          <w:color w:val="auto"/>
          <w:sz w:val="21"/>
          <w:szCs w:val="21"/>
          <w:highlight w:val="none"/>
          <w:lang w:val="zh-CN"/>
        </w:rPr>
        <w:t>有权依据政府采购的有关规定，报请政府采购监管部门对该供应商进行相应的行政处罚和记录该供应商的失信信息。</w:t>
      </w:r>
    </w:p>
    <w:p w14:paraId="3F2505EC">
      <w:pPr>
        <w:pStyle w:val="4"/>
        <w:pageBreakBefore w:val="0"/>
        <w:widowControl w:val="0"/>
        <w:kinsoku/>
        <w:wordWrap/>
        <w:overflowPunct/>
        <w:topLinePunct w:val="0"/>
        <w:autoSpaceDE/>
        <w:autoSpaceDN/>
        <w:bidi w:val="0"/>
        <w:adjustRightInd w:val="0"/>
        <w:snapToGrid w:val="0"/>
        <w:spacing w:before="145" w:beforeLines="50" w:after="145" w:afterLines="50" w:line="460" w:lineRule="exact"/>
        <w:ind w:firstLine="325" w:firstLineChars="155"/>
        <w:textAlignment w:val="auto"/>
        <w:rPr>
          <w:rFonts w:hint="eastAsia" w:asciiTheme="minorEastAsia" w:hAnsiTheme="minorEastAsia" w:eastAsiaTheme="minorEastAsia" w:cstheme="minorEastAsia"/>
          <w:b w:val="0"/>
          <w:bCs w:val="0"/>
          <w:color w:val="auto"/>
          <w:sz w:val="21"/>
          <w:szCs w:val="21"/>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九、政策功能落实</w:t>
      </w:r>
    </w:p>
    <w:p w14:paraId="694755F6">
      <w:pPr>
        <w:pStyle w:val="5"/>
        <w:pageBreakBefore w:val="0"/>
        <w:widowControl w:val="0"/>
        <w:kinsoku/>
        <w:wordWrap/>
        <w:overflowPunct/>
        <w:topLinePunct w:val="0"/>
        <w:autoSpaceDE/>
        <w:autoSpaceDN/>
        <w:bidi w:val="0"/>
        <w:adjustRightInd w:val="0"/>
        <w:snapToGrid w:val="0"/>
        <w:spacing w:before="0" w:after="0" w:line="460" w:lineRule="exact"/>
        <w:ind w:firstLine="316" w:firstLineChars="15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38.</w:t>
      </w:r>
      <w:r>
        <w:rPr>
          <w:rFonts w:hint="eastAsia" w:asciiTheme="minorEastAsia" w:hAnsiTheme="minorEastAsia" w:eastAsiaTheme="minorEastAsia" w:cstheme="minorEastAsia"/>
          <w:color w:val="auto"/>
          <w:sz w:val="21"/>
          <w:szCs w:val="21"/>
          <w:highlight w:val="none"/>
          <w:lang w:val="zh-CN"/>
        </w:rPr>
        <w:t>促进中小企业发展</w:t>
      </w:r>
    </w:p>
    <w:p w14:paraId="50757593">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38.1 本项目</w:t>
      </w:r>
      <w:r>
        <w:rPr>
          <w:rFonts w:hint="eastAsia" w:asciiTheme="minorEastAsia" w:hAnsiTheme="minorEastAsia" w:eastAsiaTheme="minorEastAsia" w:cstheme="minorEastAsia"/>
          <w:color w:val="auto"/>
          <w:sz w:val="21"/>
          <w:szCs w:val="21"/>
          <w:highlight w:val="none"/>
          <w:lang w:val="zh-CN"/>
        </w:rPr>
        <w:t>服务由中小企业承接的，</w:t>
      </w:r>
      <w:r>
        <w:rPr>
          <w:rFonts w:hint="eastAsia" w:asciiTheme="minorEastAsia" w:hAnsiTheme="minorEastAsia" w:eastAsiaTheme="minorEastAsia" w:cstheme="minorEastAsia"/>
          <w:color w:val="auto"/>
          <w:sz w:val="21"/>
          <w:szCs w:val="21"/>
          <w:highlight w:val="none"/>
          <w:lang w:val="en-US" w:eastAsia="zh-CN"/>
        </w:rPr>
        <w:t>参与磋商的供应商</w:t>
      </w:r>
      <w:r>
        <w:rPr>
          <w:rFonts w:hint="eastAsia" w:asciiTheme="minorEastAsia" w:hAnsiTheme="minorEastAsia" w:eastAsiaTheme="minorEastAsia" w:cstheme="minorEastAsia"/>
          <w:color w:val="auto"/>
          <w:sz w:val="21"/>
          <w:szCs w:val="21"/>
          <w:highlight w:val="none"/>
          <w:lang w:val="zh-CN"/>
        </w:rPr>
        <w:t>享受中小企业扶持政策：</w:t>
      </w:r>
    </w:p>
    <w:p w14:paraId="25E1F458">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38.2 </w:t>
      </w:r>
      <w:r>
        <w:rPr>
          <w:rFonts w:hint="eastAsia" w:asciiTheme="minorEastAsia" w:hAnsiTheme="minorEastAsia" w:eastAsiaTheme="minorEastAsia" w:cstheme="minorEastAsia"/>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39A6041">
      <w:pPr>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38.3 </w:t>
      </w:r>
      <w:r>
        <w:rPr>
          <w:rFonts w:hint="eastAsia" w:asciiTheme="minorEastAsia" w:hAnsiTheme="minorEastAsia" w:eastAsiaTheme="minorEastAsia" w:cstheme="minorEastAsia"/>
          <w:color w:val="auto"/>
          <w:sz w:val="21"/>
          <w:szCs w:val="21"/>
          <w:highlight w:val="none"/>
          <w:lang w:val="zh-CN"/>
        </w:rPr>
        <w:t>中小企业参加政府采购活动，应当出具《中小企业声明函》，否则不享受相关中小企业</w:t>
      </w:r>
      <w:r>
        <w:rPr>
          <w:rFonts w:hint="eastAsia" w:asciiTheme="minorEastAsia" w:hAnsiTheme="minorEastAsia" w:eastAsiaTheme="minorEastAsia" w:cstheme="minorEastAsia"/>
          <w:color w:val="auto"/>
          <w:sz w:val="21"/>
          <w:szCs w:val="21"/>
          <w:highlight w:val="none"/>
          <w:lang w:val="en-US" w:eastAsia="zh-CN"/>
        </w:rPr>
        <w:t>支持</w:t>
      </w:r>
      <w:r>
        <w:rPr>
          <w:rFonts w:hint="eastAsia" w:asciiTheme="minorEastAsia" w:hAnsiTheme="minorEastAsia" w:eastAsiaTheme="minorEastAsia" w:cstheme="minorEastAsia"/>
          <w:color w:val="auto"/>
          <w:sz w:val="21"/>
          <w:szCs w:val="21"/>
          <w:highlight w:val="none"/>
          <w:lang w:val="zh-CN"/>
        </w:rPr>
        <w:t>政策。</w:t>
      </w:r>
    </w:p>
    <w:p w14:paraId="5345CA46">
      <w:pPr>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38.4 </w:t>
      </w:r>
      <w:r>
        <w:rPr>
          <w:rFonts w:hint="eastAsia" w:asciiTheme="minorEastAsia" w:hAnsiTheme="minorEastAsia" w:eastAsiaTheme="minorEastAsia" w:cstheme="minorEastAsia"/>
          <w:color w:val="auto"/>
          <w:sz w:val="21"/>
          <w:szCs w:val="21"/>
          <w:highlight w:val="none"/>
          <w:lang w:val="zh-CN"/>
        </w:rPr>
        <w:t>以联合体形式参加政府采购活动，联合体各方均为中小企业的，联合体视同中小企业。其中，联合体各方均为小微企业的，联合体视同小微企业。</w:t>
      </w:r>
    </w:p>
    <w:p w14:paraId="41F4A482">
      <w:pPr>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eastAsia="zh-CN"/>
        </w:rPr>
        <w:t xml:space="preserve"> </w:t>
      </w:r>
      <w:r>
        <w:rPr>
          <w:rFonts w:hint="eastAsia" w:asciiTheme="minorEastAsia" w:hAnsiTheme="minorEastAsia" w:eastAsiaTheme="minorEastAsia" w:cstheme="minorEastAsia"/>
          <w:color w:val="auto"/>
          <w:sz w:val="21"/>
          <w:szCs w:val="21"/>
          <w:highlight w:val="none"/>
        </w:rPr>
        <w:t>监狱和戒毒企业（简称监狱企业）视同小型、微型企业</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按照</w:t>
      </w:r>
      <w:r>
        <w:rPr>
          <w:rFonts w:hint="eastAsia" w:asciiTheme="minorEastAsia" w:hAnsiTheme="minorEastAsia" w:eastAsiaTheme="minorEastAsia" w:cstheme="minorEastAsia"/>
          <w:color w:val="auto"/>
          <w:sz w:val="21"/>
          <w:szCs w:val="21"/>
          <w:highlight w:val="none"/>
          <w:lang w:val="zh-CN" w:eastAsia="zh-CN"/>
        </w:rPr>
        <w:t>《关于政府采购支持监狱企业发展有关问题的通知》（财库〔2014〕68号）</w:t>
      </w:r>
      <w:r>
        <w:rPr>
          <w:rFonts w:hint="eastAsia" w:asciiTheme="minorEastAsia" w:hAnsiTheme="minorEastAsia" w:eastAsiaTheme="minorEastAsia" w:cstheme="minorEastAsia"/>
          <w:color w:val="auto"/>
          <w:sz w:val="21"/>
          <w:szCs w:val="21"/>
          <w:highlight w:val="none"/>
          <w:lang w:val="en-US" w:eastAsia="zh-CN"/>
        </w:rPr>
        <w:t>规定，</w:t>
      </w:r>
      <w:r>
        <w:rPr>
          <w:rFonts w:hint="eastAsia" w:asciiTheme="minorEastAsia" w:hAnsiTheme="minorEastAsia" w:eastAsiaTheme="minorEastAsia" w:cstheme="minorEastAsia"/>
          <w:color w:val="auto"/>
          <w:sz w:val="21"/>
          <w:szCs w:val="21"/>
          <w:highlight w:val="none"/>
          <w:lang w:val="zh-CN" w:eastAsia="zh-CN"/>
        </w:rPr>
        <w:t>监狱企业需提供由省级以上监狱管理局、戒毒管理局（含新疆生产建设兵团）出具的属于监狱企业的证明文件。</w:t>
      </w:r>
    </w:p>
    <w:p w14:paraId="51CE277F">
      <w:pPr>
        <w:pageBreakBefore w:val="0"/>
        <w:widowControl w:val="0"/>
        <w:kinsoku/>
        <w:wordWrap/>
        <w:overflowPunct/>
        <w:topLinePunct w:val="0"/>
        <w:autoSpaceDE w:val="0"/>
        <w:autoSpaceDN w:val="0"/>
        <w:bidi w:val="0"/>
        <w:adjustRightInd w:val="0"/>
        <w:snapToGrid w:val="0"/>
        <w:spacing w:line="460" w:lineRule="exact"/>
        <w:ind w:firstLine="420"/>
        <w:textAlignment w:val="auto"/>
        <w:rPr>
          <w:rFonts w:ascii="宋体" w:hAnsi="宋体" w:cs="宋体"/>
          <w:color w:val="auto"/>
          <w:highlight w:val="none"/>
          <w:lang w:val="zh-CN"/>
        </w:rPr>
      </w:pP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eastAsia="zh-CN"/>
        </w:rPr>
        <w:t xml:space="preserve"> 残疾人福利性单位</w:t>
      </w:r>
      <w:r>
        <w:rPr>
          <w:rFonts w:hint="eastAsia" w:asciiTheme="minorEastAsia" w:hAnsiTheme="minorEastAsia" w:eastAsiaTheme="minorEastAsia" w:cstheme="minorEastAsia"/>
          <w:color w:val="auto"/>
          <w:sz w:val="21"/>
          <w:szCs w:val="21"/>
          <w:highlight w:val="none"/>
        </w:rPr>
        <w:t>视同小型、微型企业</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按照《关于促进残疾人就业政府采购政策的通知》（财库〔2017〕141号）规定，</w:t>
      </w:r>
      <w:r>
        <w:rPr>
          <w:rFonts w:hint="eastAsia" w:asciiTheme="minorEastAsia" w:hAnsiTheme="minorEastAsia" w:eastAsiaTheme="minorEastAsia" w:cstheme="minorEastAsia"/>
          <w:color w:val="auto"/>
          <w:sz w:val="21"/>
          <w:szCs w:val="21"/>
          <w:highlight w:val="none"/>
        </w:rPr>
        <w:t>残疾人福利单位</w:t>
      </w:r>
      <w:r>
        <w:rPr>
          <w:rFonts w:hint="eastAsia" w:asciiTheme="minorEastAsia" w:hAnsiTheme="minorEastAsia" w:eastAsiaTheme="minorEastAsia" w:cstheme="minorEastAsia"/>
          <w:color w:val="auto"/>
          <w:sz w:val="21"/>
          <w:szCs w:val="21"/>
          <w:highlight w:val="none"/>
          <w:lang w:val="en-US" w:eastAsia="zh-CN"/>
        </w:rPr>
        <w:t>需</w:t>
      </w:r>
      <w:r>
        <w:rPr>
          <w:rFonts w:hint="eastAsia" w:asciiTheme="minorEastAsia" w:hAnsiTheme="minorEastAsia" w:eastAsiaTheme="minorEastAsia" w:cstheme="minorEastAsia"/>
          <w:color w:val="auto"/>
          <w:sz w:val="21"/>
          <w:szCs w:val="21"/>
          <w:highlight w:val="none"/>
          <w:lang w:val="zh-CN" w:eastAsia="zh-CN"/>
        </w:rPr>
        <w:t>提供《残疾人福利性单位声明函》。</w:t>
      </w:r>
      <w:r>
        <w:rPr>
          <w:rFonts w:hint="eastAsia" w:ascii="宋体" w:hAnsi="宋体" w:cs="宋体"/>
          <w:color w:val="auto"/>
          <w:highlight w:val="none"/>
        </w:rPr>
        <w:br w:type="page"/>
      </w:r>
    </w:p>
    <w:p w14:paraId="4EF4A43C">
      <w:pPr>
        <w:autoSpaceDE w:val="0"/>
        <w:autoSpaceDN w:val="0"/>
        <w:adjustRightInd w:val="0"/>
        <w:spacing w:line="460" w:lineRule="exact"/>
        <w:jc w:val="center"/>
        <w:rPr>
          <w:rFonts w:hint="eastAsia" w:ascii="方正小标宋简体" w:hAnsi="方正小标宋简体" w:eastAsia="方正小标宋简体" w:cs="方正小标宋简体"/>
          <w:color w:val="auto"/>
          <w:sz w:val="36"/>
          <w:szCs w:val="36"/>
          <w:highlight w:val="none"/>
          <w:lang w:val="en-US" w:eastAsia="zh-CN"/>
        </w:rPr>
      </w:pPr>
      <w:r>
        <w:rPr>
          <w:rFonts w:hint="eastAsia" w:ascii="宋体" w:hAnsi="宋体" w:cs="宋体"/>
          <w:b/>
          <w:bCs/>
          <w:color w:val="auto"/>
          <w:sz w:val="28"/>
          <w:szCs w:val="28"/>
          <w:highlight w:val="none"/>
        </w:rPr>
        <w:t xml:space="preserve">第三章  </w:t>
      </w:r>
      <w:r>
        <w:rPr>
          <w:rFonts w:hint="eastAsia" w:ascii="方正小标宋简体" w:hAnsi="方正小标宋简体" w:eastAsia="方正小标宋简体" w:cs="方正小标宋简体"/>
          <w:color w:val="auto"/>
          <w:sz w:val="36"/>
          <w:szCs w:val="36"/>
          <w:highlight w:val="none"/>
          <w:lang w:val="en-US" w:eastAsia="zh-CN"/>
        </w:rPr>
        <w:t>评标方法与评标标准</w:t>
      </w:r>
    </w:p>
    <w:p w14:paraId="7FB8353A">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一、评标方法</w:t>
      </w:r>
    </w:p>
    <w:p w14:paraId="32DE9E26">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用综合评分法，评标结果按评审后得分由高到低顺序排列。得分相同的，按投标报价由低到高顺序排列。得分且投标报价相同的，按“三、评标标准中第3项”总得分由高到低顺序排列。在投标文件满足招标文件全部实质性要求的供应商中，按照评审得分由高到低选取3名中标候选人。</w:t>
      </w:r>
      <w:r>
        <w:rPr>
          <w:rFonts w:hint="eastAsia" w:ascii="Segoe UI" w:hAnsi="Segoe UI" w:eastAsia="宋体" w:cs="Segoe UI"/>
          <w:i w:val="0"/>
          <w:iCs w:val="0"/>
          <w:caps w:val="0"/>
          <w:color w:val="auto"/>
          <w:spacing w:val="0"/>
          <w:sz w:val="21"/>
          <w:szCs w:val="21"/>
          <w:highlight w:val="none"/>
          <w:shd w:val="clear" w:fill="FFFFFF"/>
          <w:lang w:val="en-US" w:eastAsia="zh-CN"/>
        </w:rPr>
        <w:t>(上述办法针对于一二标段，独立执行)</w:t>
      </w:r>
    </w:p>
    <w:p w14:paraId="295F55AD">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二、小微企业价格扣除</w:t>
      </w:r>
    </w:p>
    <w:p w14:paraId="0A743507">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本项目服务全部由小微企业承接的，</w:t>
      </w:r>
      <w:r>
        <w:rPr>
          <w:rFonts w:hint="eastAsia" w:asciiTheme="minorEastAsia" w:hAnsiTheme="minorEastAsia" w:eastAsiaTheme="minorEastAsia" w:cstheme="minorEastAsia"/>
          <w:color w:val="auto"/>
          <w:sz w:val="21"/>
          <w:szCs w:val="21"/>
          <w:highlight w:val="none"/>
          <w:lang w:val="en-US" w:eastAsia="zh-CN"/>
        </w:rPr>
        <w:t>对报价给予10%的扣除</w:t>
      </w:r>
      <w:r>
        <w:rPr>
          <w:rFonts w:hint="eastAsia" w:asciiTheme="minorEastAsia" w:hAnsiTheme="minorEastAsia" w:eastAsiaTheme="minorEastAsia" w:cstheme="minorEastAsia"/>
          <w:color w:val="auto"/>
          <w:sz w:val="21"/>
          <w:szCs w:val="21"/>
          <w:highlight w:val="none"/>
          <w:lang w:val="en-US" w:eastAsia="zh-CN"/>
        </w:rPr>
        <w:t>，用扣除后的价格参与评审。</w:t>
      </w:r>
    </w:p>
    <w:p w14:paraId="1589B3CE">
      <w:pPr>
        <w:keepNext w:val="0"/>
        <w:keepLines w:val="0"/>
        <w:pageBreakBefore w:val="0"/>
        <w:widowControl w:val="0"/>
        <w:kinsoku/>
        <w:wordWrap/>
        <w:overflowPunct/>
        <w:topLinePunct w:val="0"/>
        <w:autoSpaceDE/>
        <w:autoSpaceDN/>
        <w:bidi w:val="0"/>
        <w:adjustRightInd w:val="0"/>
        <w:snapToGrid w:val="0"/>
        <w:spacing w:line="460" w:lineRule="exact"/>
        <w:ind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63096C98">
      <w:pPr>
        <w:autoSpaceDE w:val="0"/>
        <w:autoSpaceDN w:val="0"/>
        <w:adjustRightInd w:val="0"/>
        <w:spacing w:line="460" w:lineRule="exact"/>
        <w:jc w:val="center"/>
        <w:rPr>
          <w:rFonts w:hint="eastAsia" w:ascii="方正小标宋简体" w:hAnsi="方正小标宋简体" w:eastAsia="方正小标宋简体" w:cs="方正小标宋简体"/>
          <w:color w:val="auto"/>
          <w:sz w:val="36"/>
          <w:szCs w:val="36"/>
          <w:highlight w:val="none"/>
          <w:lang w:val="en-US" w:eastAsia="zh-CN"/>
        </w:rPr>
      </w:pPr>
    </w:p>
    <w:p w14:paraId="1C32C58A">
      <w:pPr>
        <w:keepNext w:val="0"/>
        <w:keepLines w:val="0"/>
        <w:pageBreakBefore w:val="0"/>
        <w:widowControl w:val="0"/>
        <w:kinsoku/>
        <w:wordWrap/>
        <w:overflowPunct/>
        <w:topLinePunct w:val="0"/>
        <w:autoSpaceDE/>
        <w:autoSpaceDN/>
        <w:bidi w:val="0"/>
        <w:adjustRightInd w:val="0"/>
        <w:snapToGrid w:val="0"/>
        <w:spacing w:line="460" w:lineRule="exact"/>
        <w:ind w:firstLine="369" w:firstLineChars="175"/>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三、评标标准</w:t>
      </w:r>
    </w:p>
    <w:tbl>
      <w:tblPr>
        <w:tblStyle w:val="43"/>
        <w:tblW w:w="9336" w:type="dxa"/>
        <w:jc w:val="center"/>
        <w:tblLayout w:type="fixed"/>
        <w:tblCellMar>
          <w:top w:w="0" w:type="dxa"/>
          <w:left w:w="108" w:type="dxa"/>
          <w:bottom w:w="0" w:type="dxa"/>
          <w:right w:w="108" w:type="dxa"/>
        </w:tblCellMar>
      </w:tblPr>
      <w:tblGrid>
        <w:gridCol w:w="763"/>
        <w:gridCol w:w="1247"/>
        <w:gridCol w:w="6496"/>
        <w:gridCol w:w="830"/>
      </w:tblGrid>
      <w:tr w14:paraId="56CA1EA9">
        <w:tblPrEx>
          <w:tblCellMar>
            <w:top w:w="0" w:type="dxa"/>
            <w:left w:w="108" w:type="dxa"/>
            <w:bottom w:w="0" w:type="dxa"/>
            <w:right w:w="108" w:type="dxa"/>
          </w:tblCellMar>
        </w:tblPrEx>
        <w:trPr>
          <w:trHeight w:val="667" w:hRule="atLeast"/>
          <w:jc w:val="center"/>
        </w:trPr>
        <w:tc>
          <w:tcPr>
            <w:tcW w:w="763"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7BA5B557">
            <w:pPr>
              <w:widowControl/>
              <w:jc w:val="center"/>
              <w:rPr>
                <w:rFonts w:ascii="宋体" w:hAnsi="宋体" w:cs="宋体"/>
                <w:b/>
                <w:bCs/>
                <w:color w:val="auto"/>
                <w:kern w:val="0"/>
                <w:highlight w:val="none"/>
              </w:rPr>
            </w:pPr>
            <w:r>
              <w:rPr>
                <w:rFonts w:hint="eastAsia" w:ascii="宋体" w:hAnsi="宋体" w:cs="宋体"/>
                <w:b/>
                <w:bCs/>
                <w:color w:val="auto"/>
                <w:highlight w:val="none"/>
              </w:rPr>
              <w:t>序号</w:t>
            </w:r>
          </w:p>
        </w:tc>
        <w:tc>
          <w:tcPr>
            <w:tcW w:w="1247"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1C199AB8">
            <w:pPr>
              <w:widowControl/>
              <w:jc w:val="center"/>
              <w:rPr>
                <w:rFonts w:ascii="宋体" w:hAnsi="宋体" w:cs="宋体"/>
                <w:b/>
                <w:bCs/>
                <w:color w:val="auto"/>
                <w:kern w:val="0"/>
                <w:highlight w:val="none"/>
              </w:rPr>
            </w:pPr>
            <w:r>
              <w:rPr>
                <w:rFonts w:hint="eastAsia" w:ascii="宋体" w:hAnsi="宋体" w:cs="宋体"/>
                <w:b/>
                <w:bCs/>
                <w:color w:val="auto"/>
                <w:highlight w:val="none"/>
              </w:rPr>
              <w:t>评审因素</w:t>
            </w:r>
          </w:p>
        </w:tc>
        <w:tc>
          <w:tcPr>
            <w:tcW w:w="6496"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35687707">
            <w:pPr>
              <w:widowControl/>
              <w:jc w:val="center"/>
              <w:rPr>
                <w:rFonts w:ascii="宋体" w:hAnsi="宋体" w:cs="宋体"/>
                <w:b/>
                <w:bCs/>
                <w:color w:val="auto"/>
                <w:kern w:val="0"/>
                <w:highlight w:val="none"/>
              </w:rPr>
            </w:pPr>
            <w:r>
              <w:rPr>
                <w:rFonts w:hint="eastAsia" w:ascii="宋体" w:hAnsi="宋体" w:cs="宋体"/>
                <w:b/>
                <w:bCs/>
                <w:color w:val="auto"/>
                <w:highlight w:val="none"/>
              </w:rPr>
              <w:t>评审细则</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449C2CBC">
            <w:pPr>
              <w:widowControl/>
              <w:jc w:val="center"/>
              <w:rPr>
                <w:rFonts w:ascii="宋体" w:hAnsi="宋体" w:cs="宋体"/>
                <w:b/>
                <w:bCs/>
                <w:color w:val="auto"/>
                <w:kern w:val="0"/>
                <w:highlight w:val="none"/>
              </w:rPr>
            </w:pPr>
            <w:r>
              <w:rPr>
                <w:rFonts w:hint="eastAsia" w:ascii="宋体" w:hAnsi="宋体" w:cs="宋体"/>
                <w:b/>
                <w:bCs/>
                <w:color w:val="auto"/>
                <w:highlight w:val="none"/>
              </w:rPr>
              <w:t>分值</w:t>
            </w:r>
          </w:p>
        </w:tc>
      </w:tr>
      <w:tr w14:paraId="6C5EDCD9">
        <w:tblPrEx>
          <w:tblCellMar>
            <w:top w:w="0" w:type="dxa"/>
            <w:left w:w="108" w:type="dxa"/>
            <w:bottom w:w="0" w:type="dxa"/>
            <w:right w:w="108" w:type="dxa"/>
          </w:tblCellMar>
        </w:tblPrEx>
        <w:trPr>
          <w:trHeight w:val="454" w:hRule="atLeast"/>
          <w:jc w:val="center"/>
        </w:trPr>
        <w:tc>
          <w:tcPr>
            <w:tcW w:w="763"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4E2082F6">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247"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7DCDA067">
            <w:pPr>
              <w:widowControl/>
              <w:jc w:val="center"/>
              <w:rPr>
                <w:rFonts w:ascii="宋体" w:hAnsi="宋体" w:cs="宋体"/>
                <w:color w:val="auto"/>
                <w:kern w:val="0"/>
                <w:highlight w:val="none"/>
              </w:rPr>
            </w:pPr>
            <w:r>
              <w:rPr>
                <w:rFonts w:hint="eastAsia" w:ascii="宋体" w:hAnsi="宋体" w:cs="宋体"/>
                <w:color w:val="auto"/>
                <w:kern w:val="0"/>
                <w:highlight w:val="none"/>
              </w:rPr>
              <w:t>价格</w:t>
            </w:r>
          </w:p>
          <w:p w14:paraId="5B07723D">
            <w:pPr>
              <w:widowControl/>
              <w:jc w:val="center"/>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10</w:t>
            </w:r>
            <w:r>
              <w:rPr>
                <w:rFonts w:hint="eastAsia" w:ascii="宋体" w:hAnsi="宋体" w:cs="宋体"/>
                <w:color w:val="auto"/>
                <w:kern w:val="0"/>
                <w:highlight w:val="none"/>
              </w:rPr>
              <w:t>分）</w:t>
            </w:r>
          </w:p>
        </w:tc>
        <w:tc>
          <w:tcPr>
            <w:tcW w:w="6496"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1783FDA5">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采用低价优先法计算，即满足磋商文件要求且（1-报价优惠率）最低的投标报价为评标基准价，其价格分为满分。其他供应商的价格分按照下列公式计算（小数点保留两位）：投标报价得分=(评标基准价／（1-报价优惠率）)×</w:t>
            </w:r>
            <w:r>
              <w:rPr>
                <w:rFonts w:hint="eastAsia" w:ascii="宋体" w:hAnsi="宋体" w:cs="宋体"/>
                <w:color w:val="auto"/>
                <w:highlight w:val="none"/>
                <w:lang w:val="en-US" w:eastAsia="zh-CN"/>
              </w:rPr>
              <w:t>1</w:t>
            </w:r>
            <w:r>
              <w:rPr>
                <w:rFonts w:hint="eastAsia" w:ascii="宋体" w:hAnsi="宋体" w:eastAsia="宋体" w:cs="宋体"/>
                <w:color w:val="auto"/>
                <w:highlight w:val="none"/>
                <w:lang w:val="zh-CN" w:eastAsia="zh-CN"/>
              </w:rPr>
              <w:t>0</w:t>
            </w:r>
          </w:p>
          <w:p w14:paraId="59431007">
            <w:pPr>
              <w:spacing w:line="400" w:lineRule="exact"/>
              <w:rPr>
                <w:rFonts w:ascii="宋体" w:hAnsi="宋体" w:cs="宋体"/>
                <w:color w:val="auto"/>
                <w:kern w:val="0"/>
                <w:highlight w:val="none"/>
              </w:rPr>
            </w:pPr>
            <w:r>
              <w:rPr>
                <w:rFonts w:hint="eastAsia" w:ascii="宋体" w:hAnsi="宋体" w:cs="宋体"/>
                <w:color w:val="auto"/>
                <w:highlight w:val="none"/>
                <w:lang w:val="en-US" w:eastAsia="zh-CN"/>
              </w:rPr>
              <w:t>（如投标人报价优惠率为10%，采购包1中序号1枕套 中标单价为:0.89元*（1-10%）</w:t>
            </w:r>
            <w:r>
              <w:rPr>
                <w:rFonts w:hint="eastAsia" w:ascii="宋体" w:hAnsi="宋体" w:cs="宋体"/>
                <w:color w:val="auto"/>
                <w:highlight w:val="none"/>
                <w:lang w:val="en-US" w:eastAsia="zh-CN"/>
              </w:rPr>
              <w:t>，以此类推。最终结算单价精确到分，四舍五入。）</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462B358A">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10</w:t>
            </w:r>
          </w:p>
        </w:tc>
      </w:tr>
      <w:tr w14:paraId="322704F5">
        <w:tblPrEx>
          <w:tblCellMar>
            <w:top w:w="0" w:type="dxa"/>
            <w:left w:w="108" w:type="dxa"/>
            <w:bottom w:w="0" w:type="dxa"/>
            <w:right w:w="108" w:type="dxa"/>
          </w:tblCellMar>
        </w:tblPrEx>
        <w:trPr>
          <w:trHeight w:val="1636" w:hRule="atLeast"/>
          <w:jc w:val="center"/>
        </w:trPr>
        <w:tc>
          <w:tcPr>
            <w:tcW w:w="763"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5DC9B282">
            <w:pPr>
              <w:widowControl/>
              <w:jc w:val="center"/>
              <w:rPr>
                <w:rFonts w:ascii="宋体" w:hAnsi="宋体" w:cs="宋体"/>
                <w:color w:val="auto"/>
                <w:kern w:val="0"/>
                <w:highlight w:val="none"/>
              </w:rPr>
            </w:pPr>
            <w:r>
              <w:rPr>
                <w:rFonts w:hint="eastAsia" w:ascii="宋体" w:hAnsi="宋体" w:cs="宋体"/>
                <w:color w:val="auto"/>
                <w:kern w:val="0"/>
                <w:highlight w:val="none"/>
              </w:rPr>
              <w:t>2.1</w:t>
            </w:r>
          </w:p>
        </w:tc>
        <w:tc>
          <w:tcPr>
            <w:tcW w:w="1247" w:type="dxa"/>
            <w:vMerge w:val="restart"/>
            <w:tcBorders>
              <w:top w:val="single" w:color="000000" w:sz="4" w:space="0"/>
              <w:left w:val="single" w:color="000000" w:sz="4" w:space="0"/>
              <w:right w:val="single" w:color="000000" w:sz="4" w:space="0"/>
            </w:tcBorders>
            <w:noWrap/>
            <w:tcMar>
              <w:top w:w="15" w:type="dxa"/>
              <w:left w:w="108" w:type="dxa"/>
              <w:bottom w:w="15" w:type="dxa"/>
              <w:right w:w="108" w:type="dxa"/>
            </w:tcMar>
            <w:vAlign w:val="center"/>
          </w:tcPr>
          <w:p w14:paraId="34AEFBDF">
            <w:pPr>
              <w:jc w:val="center"/>
              <w:rPr>
                <w:rFonts w:ascii="宋体" w:hAnsi="宋体" w:cs="宋体"/>
                <w:color w:val="auto"/>
                <w:kern w:val="0"/>
                <w:highlight w:val="none"/>
              </w:rPr>
            </w:pPr>
            <w:r>
              <w:rPr>
                <w:rFonts w:hint="eastAsia" w:ascii="宋体" w:hAnsi="宋体" w:cs="宋体"/>
                <w:color w:val="auto"/>
                <w:kern w:val="0"/>
                <w:highlight w:val="none"/>
              </w:rPr>
              <w:t>技术部分</w:t>
            </w:r>
          </w:p>
          <w:p w14:paraId="006A75B9">
            <w:pPr>
              <w:jc w:val="center"/>
              <w:rPr>
                <w:rFonts w:ascii="宋体" w:hAnsi="宋体" w:cs="宋体"/>
                <w:b/>
                <w:bCs/>
                <w:color w:val="auto"/>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60</w:t>
            </w:r>
            <w:r>
              <w:rPr>
                <w:rFonts w:hint="eastAsia" w:ascii="宋体" w:hAnsi="宋体" w:cs="宋体"/>
                <w:color w:val="auto"/>
                <w:kern w:val="0"/>
                <w:highlight w:val="none"/>
              </w:rPr>
              <w:t>分）</w:t>
            </w:r>
          </w:p>
        </w:tc>
        <w:tc>
          <w:tcPr>
            <w:tcW w:w="6496"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36F12843">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zh-CN" w:eastAsia="zh-CN"/>
              </w:rPr>
              <w:t>服务总体方案：</w:t>
            </w:r>
            <w:r>
              <w:rPr>
                <w:rFonts w:hint="eastAsia" w:ascii="宋体" w:hAnsi="宋体" w:eastAsia="宋体" w:cs="宋体"/>
                <w:color w:val="auto"/>
                <w:highlight w:val="none"/>
                <w:lang w:val="zh-CN" w:eastAsia="zh-CN"/>
              </w:rPr>
              <w:t>评委根据供应商提供的服务方案（包括服务管理工作目标定位、实施方案、工作流程等）进行评分。</w:t>
            </w:r>
          </w:p>
          <w:p w14:paraId="370C473D">
            <w:pPr>
              <w:rPr>
                <w:rFonts w:ascii="宋体" w:hAnsi="宋体" w:cs="宋体"/>
                <w:color w:val="auto"/>
                <w:szCs w:val="21"/>
                <w:highlight w:val="none"/>
              </w:rPr>
            </w:pPr>
            <w:r>
              <w:rPr>
                <w:rFonts w:hint="eastAsia" w:ascii="宋体" w:hAnsi="宋体" w:eastAsia="宋体" w:cs="宋体"/>
                <w:color w:val="auto"/>
                <w:highlight w:val="none"/>
                <w:lang w:val="zh-CN" w:eastAsia="zh-CN"/>
              </w:rPr>
              <w:t>方案完善、科学可行、针对性强，重点、难点分析准确，应对措施有力得</w:t>
            </w:r>
            <w:r>
              <w:rPr>
                <w:rFonts w:hint="eastAsia" w:ascii="宋体" w:hAnsi="宋体" w:cs="宋体"/>
                <w:color w:val="auto"/>
                <w:highlight w:val="none"/>
                <w:lang w:val="en-US" w:eastAsia="zh-CN"/>
              </w:rPr>
              <w:t>10</w:t>
            </w:r>
            <w:r>
              <w:rPr>
                <w:rFonts w:hint="eastAsia" w:ascii="宋体" w:hAnsi="宋体" w:eastAsia="宋体" w:cs="宋体"/>
                <w:color w:val="auto"/>
                <w:highlight w:val="none"/>
                <w:lang w:val="zh-CN" w:eastAsia="zh-CN"/>
              </w:rPr>
              <w:t>分；方案具有一定的可行性，但相对完善性较差、针对性较弱的得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zh-CN" w:eastAsia="zh-CN"/>
              </w:rPr>
              <w:t>分；方案欠缺、重点、难点把控不准的得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0DC00B0D">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10</w:t>
            </w:r>
          </w:p>
        </w:tc>
      </w:tr>
      <w:tr w14:paraId="234CBE8A">
        <w:tblPrEx>
          <w:tblCellMar>
            <w:top w:w="0" w:type="dxa"/>
            <w:left w:w="108" w:type="dxa"/>
            <w:bottom w:w="0" w:type="dxa"/>
            <w:right w:w="108" w:type="dxa"/>
          </w:tblCellMar>
        </w:tblPrEx>
        <w:trPr>
          <w:trHeight w:val="454" w:hRule="atLeast"/>
          <w:jc w:val="center"/>
        </w:trPr>
        <w:tc>
          <w:tcPr>
            <w:tcW w:w="763"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018ABD3A">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247" w:type="dxa"/>
            <w:vMerge w:val="continue"/>
            <w:tcBorders>
              <w:left w:val="single" w:color="000000" w:sz="4" w:space="0"/>
              <w:right w:val="single" w:color="000000" w:sz="4" w:space="0"/>
            </w:tcBorders>
            <w:noWrap/>
            <w:tcMar>
              <w:top w:w="15" w:type="dxa"/>
              <w:left w:w="108" w:type="dxa"/>
              <w:bottom w:w="15" w:type="dxa"/>
              <w:right w:w="108" w:type="dxa"/>
            </w:tcMar>
            <w:vAlign w:val="center"/>
          </w:tcPr>
          <w:p w14:paraId="436671B4">
            <w:pPr>
              <w:widowControl/>
              <w:jc w:val="center"/>
              <w:rPr>
                <w:rFonts w:ascii="宋体" w:hAnsi="宋体" w:cs="宋体"/>
                <w:color w:val="auto"/>
                <w:kern w:val="0"/>
                <w:highlight w:val="none"/>
              </w:rPr>
            </w:pPr>
          </w:p>
        </w:tc>
        <w:tc>
          <w:tcPr>
            <w:tcW w:w="6496"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top"/>
          </w:tcPr>
          <w:p w14:paraId="1C4B5CE3">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zh-CN" w:eastAsia="zh-CN"/>
              </w:rPr>
              <w:t>企业内部管理规章制度：</w:t>
            </w:r>
            <w:r>
              <w:rPr>
                <w:rFonts w:hint="eastAsia" w:ascii="宋体" w:hAnsi="宋体" w:eastAsia="宋体" w:cs="宋体"/>
                <w:color w:val="auto"/>
                <w:highlight w:val="none"/>
                <w:lang w:val="zh-CN" w:eastAsia="zh-CN"/>
              </w:rPr>
              <w:t>根据所投项目的组织架构、企业规章制度的计划性、合理性、及时性、适宜性情况评分。</w:t>
            </w:r>
          </w:p>
          <w:p w14:paraId="0C7ABFA3">
            <w:pPr>
              <w:rPr>
                <w:rFonts w:ascii="宋体" w:hAnsi="宋体" w:cs="宋体"/>
                <w:color w:val="auto"/>
                <w:szCs w:val="21"/>
                <w:highlight w:val="none"/>
              </w:rPr>
            </w:pPr>
            <w:r>
              <w:rPr>
                <w:rFonts w:hint="eastAsia" w:ascii="宋体" w:hAnsi="宋体" w:eastAsia="宋体" w:cs="宋体"/>
                <w:color w:val="auto"/>
                <w:highlight w:val="none"/>
                <w:lang w:val="zh-CN" w:eastAsia="zh-CN"/>
              </w:rPr>
              <w:t>组织架构合理、规章制度合理科学，有利于本项目的执行的得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分；组织架构合理性较弱，规章制度相对不全面的得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eastAsia="zh-CN"/>
              </w:rPr>
              <w:t>分；组织架构合理性差，不具有执行有效性、规章制度不完整的得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578D5800">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10</w:t>
            </w:r>
          </w:p>
        </w:tc>
      </w:tr>
      <w:tr w14:paraId="1BF1F420">
        <w:tblPrEx>
          <w:tblCellMar>
            <w:top w:w="0" w:type="dxa"/>
            <w:left w:w="108" w:type="dxa"/>
            <w:bottom w:w="0" w:type="dxa"/>
            <w:right w:w="108" w:type="dxa"/>
          </w:tblCellMar>
        </w:tblPrEx>
        <w:trPr>
          <w:trHeight w:val="90" w:hRule="atLeast"/>
          <w:jc w:val="center"/>
        </w:trPr>
        <w:tc>
          <w:tcPr>
            <w:tcW w:w="763"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1B649908">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3</w:t>
            </w:r>
          </w:p>
        </w:tc>
        <w:tc>
          <w:tcPr>
            <w:tcW w:w="1247" w:type="dxa"/>
            <w:vMerge w:val="continue"/>
            <w:tcBorders>
              <w:left w:val="single" w:color="000000" w:sz="4" w:space="0"/>
              <w:right w:val="single" w:color="000000" w:sz="4" w:space="0"/>
            </w:tcBorders>
            <w:noWrap/>
            <w:tcMar>
              <w:top w:w="15" w:type="dxa"/>
              <w:left w:w="108" w:type="dxa"/>
              <w:bottom w:w="15" w:type="dxa"/>
              <w:right w:w="108" w:type="dxa"/>
            </w:tcMar>
            <w:vAlign w:val="center"/>
          </w:tcPr>
          <w:p w14:paraId="0BD6724C">
            <w:pPr>
              <w:jc w:val="center"/>
              <w:rPr>
                <w:rFonts w:ascii="宋体" w:hAnsi="宋体" w:cs="宋体"/>
                <w:b/>
                <w:bCs/>
                <w:color w:val="auto"/>
                <w:highlight w:val="none"/>
              </w:rPr>
            </w:pPr>
          </w:p>
        </w:tc>
        <w:tc>
          <w:tcPr>
            <w:tcW w:w="6496"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top"/>
          </w:tcPr>
          <w:p w14:paraId="1FCFC4A3">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zh-CN" w:eastAsia="zh-CN"/>
              </w:rPr>
              <w:t>洗涤设施情况：</w:t>
            </w:r>
            <w:r>
              <w:rPr>
                <w:rFonts w:hint="eastAsia" w:ascii="宋体" w:hAnsi="宋体" w:eastAsia="宋体" w:cs="宋体"/>
                <w:color w:val="auto"/>
                <w:highlight w:val="none"/>
                <w:lang w:val="zh-CN" w:eastAsia="zh-CN"/>
              </w:rPr>
              <w:t>根据招标文件要求，提供投入本项目详细的工具、物资耗材、设备配置情况</w:t>
            </w:r>
            <w:r>
              <w:rPr>
                <w:rFonts w:hint="eastAsia" w:ascii="宋体" w:hAnsi="宋体" w:cs="宋体"/>
                <w:color w:val="auto"/>
                <w:highlight w:val="none"/>
                <w:lang w:val="en-US" w:eastAsia="zh-CN"/>
              </w:rPr>
              <w:t>表格清单，</w:t>
            </w:r>
            <w:r>
              <w:rPr>
                <w:rFonts w:hint="eastAsia" w:ascii="宋体" w:hAnsi="宋体" w:eastAsia="宋体" w:cs="宋体"/>
                <w:color w:val="auto"/>
                <w:highlight w:val="none"/>
                <w:lang w:val="zh-CN" w:eastAsia="zh-CN"/>
              </w:rPr>
              <w:t>（包括但不仅限于洗涤、烘干、熨烫、折叠等设备，提供详细设备数量，型号）等进行打分。评审专家根据供应商</w:t>
            </w:r>
            <w:r>
              <w:rPr>
                <w:rFonts w:hint="eastAsia" w:ascii="宋体" w:hAnsi="宋体" w:cs="宋体"/>
                <w:color w:val="auto"/>
                <w:highlight w:val="none"/>
                <w:lang w:val="en-US" w:eastAsia="zh-CN"/>
              </w:rPr>
              <w:t>提供的配置清单，对</w:t>
            </w:r>
            <w:r>
              <w:rPr>
                <w:rFonts w:hint="eastAsia" w:ascii="宋体" w:hAnsi="宋体" w:eastAsia="宋体" w:cs="宋体"/>
                <w:color w:val="auto"/>
                <w:highlight w:val="none"/>
                <w:lang w:val="zh-CN" w:eastAsia="zh-CN"/>
              </w:rPr>
              <w:t>设备质量、硬件服务能力的了解，对供应商投入设备情况进行综合评价并评分。</w:t>
            </w:r>
          </w:p>
          <w:p w14:paraId="7B9CCE43">
            <w:pPr>
              <w:rPr>
                <w:rFonts w:ascii="宋体" w:hAnsi="宋体" w:cs="宋体"/>
                <w:color w:val="auto"/>
                <w:highlight w:val="none"/>
              </w:rPr>
            </w:pPr>
            <w:r>
              <w:rPr>
                <w:rFonts w:hint="eastAsia" w:ascii="宋体" w:hAnsi="宋体" w:eastAsia="宋体" w:cs="宋体"/>
                <w:color w:val="auto"/>
                <w:highlight w:val="none"/>
                <w:lang w:val="zh-CN" w:eastAsia="zh-CN"/>
              </w:rPr>
              <w:t>供应商所投设备配置科学、种类齐全，具备良好的硬件服务能力得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分；供应商所投设备配置合理性较差、硬件服务能力较一般得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eastAsia="zh-CN"/>
              </w:rPr>
              <w:t>分；供应商所投设备配置不科学、种类不齐全，硬件服务能力差得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2EC5AA99">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10</w:t>
            </w:r>
          </w:p>
        </w:tc>
      </w:tr>
      <w:tr w14:paraId="1887018E">
        <w:tblPrEx>
          <w:tblCellMar>
            <w:top w:w="0" w:type="dxa"/>
            <w:left w:w="108" w:type="dxa"/>
            <w:bottom w:w="0" w:type="dxa"/>
            <w:right w:w="108" w:type="dxa"/>
          </w:tblCellMar>
        </w:tblPrEx>
        <w:trPr>
          <w:trHeight w:val="1000" w:hRule="atLeast"/>
          <w:jc w:val="center"/>
        </w:trPr>
        <w:tc>
          <w:tcPr>
            <w:tcW w:w="763" w:type="dxa"/>
            <w:vMerge w:val="restart"/>
            <w:tcBorders>
              <w:top w:val="single" w:color="000000" w:sz="4" w:space="0"/>
              <w:left w:val="single" w:color="000000" w:sz="4" w:space="0"/>
              <w:right w:val="single" w:color="000000" w:sz="4" w:space="0"/>
            </w:tcBorders>
            <w:noWrap/>
            <w:tcMar>
              <w:top w:w="15" w:type="dxa"/>
              <w:left w:w="108" w:type="dxa"/>
              <w:bottom w:w="15" w:type="dxa"/>
              <w:right w:w="108" w:type="dxa"/>
            </w:tcMar>
            <w:vAlign w:val="center"/>
          </w:tcPr>
          <w:p w14:paraId="530C8EFD">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4</w:t>
            </w:r>
          </w:p>
        </w:tc>
        <w:tc>
          <w:tcPr>
            <w:tcW w:w="1247" w:type="dxa"/>
            <w:vMerge w:val="continue"/>
            <w:tcBorders>
              <w:left w:val="single" w:color="000000" w:sz="4" w:space="0"/>
              <w:right w:val="single" w:color="000000" w:sz="4" w:space="0"/>
            </w:tcBorders>
            <w:noWrap/>
            <w:tcMar>
              <w:top w:w="15" w:type="dxa"/>
              <w:left w:w="108" w:type="dxa"/>
              <w:bottom w:w="15" w:type="dxa"/>
              <w:right w:w="108" w:type="dxa"/>
            </w:tcMar>
            <w:vAlign w:val="center"/>
          </w:tcPr>
          <w:p w14:paraId="3E364681">
            <w:pPr>
              <w:jc w:val="center"/>
              <w:rPr>
                <w:rFonts w:ascii="宋体" w:hAnsi="宋体" w:cs="宋体"/>
                <w:b/>
                <w:bCs/>
                <w:color w:val="auto"/>
                <w:highlight w:val="none"/>
              </w:rPr>
            </w:pPr>
          </w:p>
        </w:tc>
        <w:tc>
          <w:tcPr>
            <w:tcW w:w="6496"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066749F6">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zh-CN" w:eastAsia="zh-CN"/>
              </w:rPr>
              <w:t>感控管理：</w:t>
            </w:r>
            <w:r>
              <w:rPr>
                <w:rFonts w:hint="eastAsia" w:ascii="宋体" w:hAnsi="宋体" w:eastAsia="宋体" w:cs="宋体"/>
                <w:color w:val="auto"/>
                <w:highlight w:val="none"/>
                <w:lang w:val="zh-CN" w:eastAsia="zh-CN"/>
              </w:rPr>
              <w:t>因医院洗涤服务存在行业特殊性，评委根据供应商提供洗涤过程中感控（防止交叉感染）的相关措施及方案进行打分。</w:t>
            </w:r>
          </w:p>
          <w:p w14:paraId="0B6FD990">
            <w:pPr>
              <w:rPr>
                <w:rFonts w:ascii="宋体" w:hAnsi="宋体" w:cs="宋体"/>
                <w:color w:val="auto"/>
                <w:kern w:val="0"/>
                <w:szCs w:val="21"/>
                <w:highlight w:val="none"/>
              </w:rPr>
            </w:pPr>
            <w:r>
              <w:rPr>
                <w:rFonts w:hint="eastAsia" w:ascii="宋体" w:hAnsi="宋体" w:eastAsia="宋体" w:cs="宋体"/>
                <w:color w:val="auto"/>
                <w:highlight w:val="none"/>
                <w:lang w:val="zh-CN" w:eastAsia="zh-CN"/>
              </w:rPr>
              <w:t>感控措施及方案完善、科学可行、针对性强，重点难点分析准确，应对措施有力得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分；措施及方案具有一定的可行性，但相对合理性较差，措施应对方案相对较差的得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eastAsia="zh-CN"/>
              </w:rPr>
              <w:t>分；措施及方案欠缺、重点、难点把控不准的得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39BEF8A2">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10</w:t>
            </w:r>
          </w:p>
        </w:tc>
      </w:tr>
      <w:tr w14:paraId="78351B52">
        <w:tblPrEx>
          <w:tblCellMar>
            <w:top w:w="0" w:type="dxa"/>
            <w:left w:w="108" w:type="dxa"/>
            <w:bottom w:w="0" w:type="dxa"/>
            <w:right w:w="108" w:type="dxa"/>
          </w:tblCellMar>
        </w:tblPrEx>
        <w:trPr>
          <w:trHeight w:val="912" w:hRule="atLeast"/>
          <w:jc w:val="center"/>
        </w:trPr>
        <w:tc>
          <w:tcPr>
            <w:tcW w:w="763" w:type="dxa"/>
            <w:vMerge w:val="continue"/>
            <w:tcBorders>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234A5D9E">
            <w:pPr>
              <w:widowControl/>
              <w:jc w:val="center"/>
              <w:rPr>
                <w:rFonts w:hint="eastAsia" w:ascii="宋体" w:hAnsi="宋体" w:cs="宋体"/>
                <w:color w:val="auto"/>
                <w:kern w:val="0"/>
                <w:highlight w:val="none"/>
              </w:rPr>
            </w:pPr>
          </w:p>
        </w:tc>
        <w:tc>
          <w:tcPr>
            <w:tcW w:w="1247" w:type="dxa"/>
            <w:vMerge w:val="continue"/>
            <w:tcBorders>
              <w:left w:val="single" w:color="000000" w:sz="4" w:space="0"/>
              <w:right w:val="single" w:color="000000" w:sz="4" w:space="0"/>
            </w:tcBorders>
            <w:noWrap/>
            <w:tcMar>
              <w:top w:w="15" w:type="dxa"/>
              <w:left w:w="108" w:type="dxa"/>
              <w:bottom w:w="15" w:type="dxa"/>
              <w:right w:w="108" w:type="dxa"/>
            </w:tcMar>
            <w:vAlign w:val="center"/>
          </w:tcPr>
          <w:p w14:paraId="40058718">
            <w:pPr>
              <w:jc w:val="center"/>
              <w:rPr>
                <w:rFonts w:ascii="宋体" w:hAnsi="宋体" w:cs="宋体"/>
                <w:b/>
                <w:bCs/>
                <w:color w:val="auto"/>
                <w:highlight w:val="none"/>
              </w:rPr>
            </w:pPr>
          </w:p>
        </w:tc>
        <w:tc>
          <w:tcPr>
            <w:tcW w:w="6496" w:type="dxa"/>
            <w:tcBorders>
              <w:top w:val="single" w:color="auto"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7CBEA5CE">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en-US" w:eastAsia="zh-CN"/>
              </w:rPr>
              <w:t>质量管控方案</w:t>
            </w:r>
            <w:r>
              <w:rPr>
                <w:rFonts w:hint="eastAsia" w:ascii="宋体" w:hAnsi="宋体" w:eastAsia="宋体" w:cs="宋体"/>
                <w:b/>
                <w:bCs/>
                <w:color w:val="auto"/>
                <w:highlight w:val="none"/>
                <w:lang w:val="zh-CN" w:eastAsia="zh-CN"/>
              </w:rPr>
              <w:t>：</w:t>
            </w:r>
            <w:r>
              <w:rPr>
                <w:rFonts w:hint="eastAsia" w:ascii="宋体" w:hAnsi="宋体" w:eastAsia="宋体" w:cs="宋体"/>
                <w:color w:val="auto"/>
                <w:highlight w:val="none"/>
                <w:lang w:val="zh-CN" w:eastAsia="zh-CN"/>
              </w:rPr>
              <w:t>评委根据</w:t>
            </w:r>
            <w:r>
              <w:rPr>
                <w:rFonts w:hint="eastAsia" w:ascii="宋体" w:hAnsi="宋体" w:eastAsia="宋体" w:cs="宋体"/>
                <w:color w:val="auto"/>
                <w:highlight w:val="none"/>
                <w:lang w:val="en-US" w:eastAsia="zh-CN"/>
              </w:rPr>
              <w:t>供应商提供</w:t>
            </w:r>
            <w:r>
              <w:rPr>
                <w:rFonts w:hint="eastAsia" w:ascii="宋体" w:hAnsi="宋体" w:eastAsia="宋体" w:cs="宋体"/>
                <w:color w:val="auto"/>
                <w:highlight w:val="none"/>
                <w:lang w:val="zh-CN" w:eastAsia="zh-CN"/>
              </w:rPr>
              <w:t>的</w:t>
            </w:r>
            <w:r>
              <w:rPr>
                <w:rFonts w:hint="eastAsia" w:ascii="宋体" w:hAnsi="宋体" w:eastAsia="宋体" w:cs="宋体"/>
                <w:b/>
                <w:bCs/>
                <w:color w:val="auto"/>
                <w:highlight w:val="none"/>
                <w:lang w:val="en-US" w:eastAsia="zh-CN"/>
              </w:rPr>
              <w:t>质量管控方案</w:t>
            </w:r>
            <w:r>
              <w:rPr>
                <w:rFonts w:hint="eastAsia" w:ascii="宋体" w:hAnsi="宋体" w:eastAsia="宋体" w:cs="宋体"/>
                <w:color w:val="auto"/>
                <w:highlight w:val="none"/>
                <w:lang w:val="zh-CN" w:eastAsia="zh-CN"/>
              </w:rPr>
              <w:t>的科学合理性等打分。</w:t>
            </w:r>
            <w:r>
              <w:rPr>
                <w:rFonts w:hint="eastAsia" w:ascii="宋体" w:hAnsi="宋体" w:eastAsia="宋体" w:cs="宋体"/>
                <w:color w:val="auto"/>
                <w:highlight w:val="none"/>
                <w:lang w:val="en-US" w:eastAsia="zh-CN"/>
              </w:rPr>
              <w:t>方案</w:t>
            </w:r>
            <w:r>
              <w:rPr>
                <w:rFonts w:hint="eastAsia" w:ascii="宋体" w:hAnsi="宋体" w:eastAsia="宋体" w:cs="宋体"/>
                <w:color w:val="auto"/>
                <w:highlight w:val="none"/>
                <w:lang w:val="zh-CN" w:eastAsia="zh-CN"/>
              </w:rPr>
              <w:t>科学合理可行，措施有力的得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分；方案具备一定的可行性的得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eastAsia="zh-CN"/>
              </w:rPr>
              <w:t>分；合理性较差，措施应对方案相对较差的得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auto" w:sz="4" w:space="0"/>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59DA0756">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10</w:t>
            </w:r>
          </w:p>
        </w:tc>
      </w:tr>
      <w:tr w14:paraId="78B04523">
        <w:tblPrEx>
          <w:tblCellMar>
            <w:top w:w="0" w:type="dxa"/>
            <w:left w:w="108" w:type="dxa"/>
            <w:bottom w:w="0" w:type="dxa"/>
            <w:right w:w="108" w:type="dxa"/>
          </w:tblCellMar>
        </w:tblPrEx>
        <w:trPr>
          <w:trHeight w:val="931" w:hRule="atLeast"/>
          <w:jc w:val="center"/>
        </w:trPr>
        <w:tc>
          <w:tcPr>
            <w:tcW w:w="763" w:type="dxa"/>
            <w:tcBorders>
              <w:top w:val="single" w:color="000000" w:sz="4" w:space="0"/>
              <w:left w:val="single" w:color="000000" w:sz="4" w:space="0"/>
              <w:right w:val="single" w:color="000000" w:sz="4" w:space="0"/>
            </w:tcBorders>
            <w:noWrap/>
            <w:tcMar>
              <w:top w:w="15" w:type="dxa"/>
              <w:left w:w="108" w:type="dxa"/>
              <w:bottom w:w="15" w:type="dxa"/>
              <w:right w:w="108" w:type="dxa"/>
            </w:tcMar>
            <w:vAlign w:val="center"/>
          </w:tcPr>
          <w:p w14:paraId="71C8D7AA">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5</w:t>
            </w:r>
          </w:p>
        </w:tc>
        <w:tc>
          <w:tcPr>
            <w:tcW w:w="1247" w:type="dxa"/>
            <w:vMerge w:val="continue"/>
            <w:tcBorders>
              <w:left w:val="single" w:color="000000" w:sz="4" w:space="0"/>
              <w:bottom w:val="single" w:color="000000" w:sz="4" w:space="0"/>
              <w:right w:val="single" w:color="000000" w:sz="4" w:space="0"/>
            </w:tcBorders>
            <w:noWrap/>
            <w:tcMar>
              <w:top w:w="15" w:type="dxa"/>
              <w:left w:w="108" w:type="dxa"/>
              <w:bottom w:w="15" w:type="dxa"/>
              <w:right w:w="108" w:type="dxa"/>
            </w:tcMar>
            <w:vAlign w:val="center"/>
          </w:tcPr>
          <w:p w14:paraId="74EAF7A0">
            <w:pPr>
              <w:jc w:val="center"/>
              <w:rPr>
                <w:rFonts w:ascii="宋体" w:hAnsi="宋体" w:cs="宋体"/>
                <w:b/>
                <w:bCs/>
                <w:color w:val="auto"/>
                <w:highlight w:val="none"/>
              </w:rPr>
            </w:pPr>
          </w:p>
        </w:tc>
        <w:tc>
          <w:tcPr>
            <w:tcW w:w="6496"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top"/>
          </w:tcPr>
          <w:p w14:paraId="5839337C">
            <w:pPr>
              <w:rPr>
                <w:rFonts w:hint="eastAsia" w:ascii="宋体" w:hAnsi="宋体" w:eastAsia="宋体" w:cs="宋体"/>
                <w:color w:val="auto"/>
                <w:highlight w:val="none"/>
                <w:lang w:val="zh-CN" w:eastAsia="zh-CN"/>
              </w:rPr>
            </w:pPr>
            <w:r>
              <w:rPr>
                <w:rFonts w:hint="eastAsia" w:ascii="宋体" w:hAnsi="宋体" w:eastAsia="宋体" w:cs="宋体"/>
                <w:b/>
                <w:bCs/>
                <w:color w:val="auto"/>
                <w:highlight w:val="none"/>
                <w:lang w:val="zh-CN" w:eastAsia="zh-CN"/>
              </w:rPr>
              <w:t>突发事件应急预案：</w:t>
            </w:r>
            <w:r>
              <w:rPr>
                <w:rFonts w:hint="eastAsia" w:ascii="宋体" w:hAnsi="宋体" w:eastAsia="宋体" w:cs="宋体"/>
                <w:color w:val="auto"/>
                <w:highlight w:val="none"/>
                <w:lang w:val="zh-CN" w:eastAsia="zh-CN"/>
              </w:rPr>
              <w:t>供应商自行列举本项目可能各类突发事件的应急预案（如公共安全事件等突发事件），提供3小时内收送服务。评委根据投标文件的应急预案的科学合理性等打分。</w:t>
            </w:r>
          </w:p>
          <w:p w14:paraId="2F00ECF6">
            <w:pPr>
              <w:rPr>
                <w:rFonts w:ascii="宋体" w:hAnsi="宋体" w:cs="宋体"/>
                <w:color w:val="auto"/>
                <w:highlight w:val="none"/>
              </w:rPr>
            </w:pPr>
            <w:r>
              <w:rPr>
                <w:rFonts w:hint="eastAsia" w:ascii="宋体" w:hAnsi="宋体" w:eastAsia="宋体" w:cs="宋体"/>
                <w:color w:val="auto"/>
                <w:highlight w:val="none"/>
                <w:lang w:val="zh-CN" w:eastAsia="zh-CN"/>
              </w:rPr>
              <w:t>应急预案科学合理可行，措施有力的得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lang w:val="zh-CN" w:eastAsia="zh-CN"/>
              </w:rPr>
              <w:t>分；应急预案具备一定的可行性的得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eastAsia="zh-CN"/>
              </w:rPr>
              <w:t>分；合理性较差，措施应对方案相对较差的得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分；未提供不得分。</w:t>
            </w:r>
          </w:p>
        </w:tc>
        <w:tc>
          <w:tcPr>
            <w:tcW w:w="830"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34D245BE">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10</w:t>
            </w:r>
          </w:p>
        </w:tc>
      </w:tr>
      <w:tr w14:paraId="0D6DDD98">
        <w:tblPrEx>
          <w:tblCellMar>
            <w:top w:w="0" w:type="dxa"/>
            <w:left w:w="108" w:type="dxa"/>
            <w:bottom w:w="0" w:type="dxa"/>
            <w:right w:w="108" w:type="dxa"/>
          </w:tblCellMar>
        </w:tblPrEx>
        <w:trPr>
          <w:trHeight w:val="747" w:hRule="atLeast"/>
          <w:jc w:val="center"/>
        </w:trPr>
        <w:tc>
          <w:tcPr>
            <w:tcW w:w="763"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23AEAB10">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p>
        </w:tc>
        <w:tc>
          <w:tcPr>
            <w:tcW w:w="1247"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1FD43CA4">
            <w:pPr>
              <w:jc w:val="center"/>
              <w:rPr>
                <w:rFonts w:ascii="宋体" w:hAnsi="宋体" w:cs="宋体"/>
                <w:color w:val="auto"/>
                <w:kern w:val="0"/>
                <w:highlight w:val="none"/>
              </w:rPr>
            </w:pPr>
            <w:r>
              <w:rPr>
                <w:rFonts w:hint="eastAsia" w:ascii="宋体" w:hAnsi="宋体" w:cs="宋体"/>
                <w:color w:val="auto"/>
                <w:kern w:val="0"/>
                <w:highlight w:val="none"/>
              </w:rPr>
              <w:t>企业业绩</w:t>
            </w:r>
          </w:p>
          <w:p w14:paraId="2697C2B2">
            <w:pPr>
              <w:jc w:val="center"/>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分）</w:t>
            </w:r>
          </w:p>
        </w:tc>
        <w:tc>
          <w:tcPr>
            <w:tcW w:w="6496"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5B45D9CB">
            <w:pPr>
              <w:widowControl/>
              <w:jc w:val="left"/>
              <w:rPr>
                <w:rFonts w:ascii="宋体" w:hAnsi="宋体" w:cs="宋体"/>
                <w:color w:val="auto"/>
                <w:highlight w:val="none"/>
              </w:rPr>
            </w:pP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自</w:t>
            </w:r>
            <w:r>
              <w:rPr>
                <w:rFonts w:hint="eastAsia" w:ascii="宋体" w:hAnsi="宋体" w:eastAsia="宋体" w:cs="宋体"/>
                <w:color w:val="auto"/>
                <w:kern w:val="2"/>
                <w:sz w:val="21"/>
                <w:szCs w:val="21"/>
                <w:highlight w:val="none"/>
                <w:lang w:val="zh-CN" w:eastAsia="zh-CN" w:bidi="ar-SA"/>
              </w:rPr>
              <w:t>20</w:t>
            </w:r>
            <w:r>
              <w:rPr>
                <w:rFonts w:hint="eastAsia" w:ascii="宋体" w:hAnsi="宋体" w:eastAsia="宋体" w:cs="宋体"/>
                <w:color w:val="auto"/>
                <w:kern w:val="2"/>
                <w:sz w:val="21"/>
                <w:szCs w:val="21"/>
                <w:highlight w:val="none"/>
                <w:lang w:val="en-US" w:eastAsia="zh-CN" w:bidi="ar-SA"/>
              </w:rPr>
              <w:t>23</w:t>
            </w:r>
            <w:r>
              <w:rPr>
                <w:rFonts w:hint="eastAsia" w:ascii="宋体" w:hAnsi="宋体" w:eastAsia="宋体" w:cs="宋体"/>
                <w:color w:val="auto"/>
                <w:kern w:val="2"/>
                <w:sz w:val="21"/>
                <w:szCs w:val="21"/>
                <w:highlight w:val="none"/>
                <w:lang w:val="zh-CN" w:eastAsia="zh-CN" w:bidi="ar-SA"/>
              </w:rPr>
              <w:t>年</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zh-CN" w:eastAsia="zh-CN" w:bidi="ar-SA"/>
              </w:rPr>
              <w:t>月1日以来</w:t>
            </w:r>
            <w:r>
              <w:rPr>
                <w:rFonts w:hint="eastAsia" w:ascii="宋体" w:hAnsi="宋体" w:eastAsia="宋体" w:cs="宋体"/>
                <w:color w:val="auto"/>
                <w:kern w:val="2"/>
                <w:sz w:val="21"/>
                <w:szCs w:val="21"/>
                <w:highlight w:val="none"/>
                <w:lang w:val="en-US" w:eastAsia="zh-CN" w:bidi="ar-SA"/>
              </w:rPr>
              <w:t>承担过</w:t>
            </w:r>
            <w:r>
              <w:rPr>
                <w:rFonts w:hint="eastAsia" w:ascii="宋体" w:hAnsi="宋体" w:eastAsia="宋体" w:cs="宋体"/>
                <w:color w:val="auto"/>
                <w:kern w:val="2"/>
                <w:sz w:val="21"/>
                <w:szCs w:val="21"/>
                <w:highlight w:val="none"/>
                <w:lang w:val="en-US" w:eastAsia="zh-CN" w:bidi="ar-SA"/>
              </w:rPr>
              <w:t>类似服务业绩</w:t>
            </w:r>
            <w:r>
              <w:rPr>
                <w:rFonts w:hint="eastAsia" w:ascii="宋体" w:hAnsi="宋体" w:eastAsia="宋体" w:cs="宋体"/>
                <w:color w:val="auto"/>
                <w:kern w:val="2"/>
                <w:sz w:val="21"/>
                <w:szCs w:val="21"/>
                <w:highlight w:val="none"/>
                <w:lang w:val="en-US" w:eastAsia="zh-CN" w:bidi="ar-SA"/>
              </w:rPr>
              <w:t>的，每提供一个得</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zh-CN" w:eastAsia="zh-CN" w:bidi="ar-SA"/>
              </w:rPr>
              <w:t>分，</w:t>
            </w:r>
            <w:r>
              <w:rPr>
                <w:rFonts w:hint="eastAsia" w:ascii="宋体" w:hAnsi="宋体" w:eastAsia="宋体" w:cs="宋体"/>
                <w:color w:val="auto"/>
                <w:kern w:val="2"/>
                <w:sz w:val="21"/>
                <w:szCs w:val="21"/>
                <w:highlight w:val="none"/>
                <w:lang w:val="en-US" w:eastAsia="zh-CN" w:bidi="ar-SA"/>
              </w:rPr>
              <w:t>满分9分</w:t>
            </w:r>
            <w:r>
              <w:rPr>
                <w:rFonts w:hint="eastAsia" w:ascii="宋体" w:hAnsi="宋体" w:eastAsia="宋体" w:cs="宋体"/>
                <w:color w:val="auto"/>
                <w:kern w:val="2"/>
                <w:sz w:val="21"/>
                <w:szCs w:val="21"/>
                <w:highlight w:val="none"/>
                <w:lang w:val="zh-CN" w:eastAsia="zh-CN" w:bidi="ar-SA"/>
              </w:rPr>
              <w:t>（提供合同复印件加盖公章，</w:t>
            </w:r>
            <w:r>
              <w:rPr>
                <w:rFonts w:hint="eastAsia" w:ascii="宋体" w:hAnsi="宋体" w:eastAsia="宋体" w:cs="宋体"/>
                <w:color w:val="auto"/>
                <w:kern w:val="2"/>
                <w:sz w:val="21"/>
                <w:szCs w:val="21"/>
                <w:highlight w:val="none"/>
                <w:lang w:val="en-US" w:eastAsia="zh-CN" w:bidi="ar-SA"/>
              </w:rPr>
              <w:t>时间</w:t>
            </w:r>
            <w:r>
              <w:rPr>
                <w:rFonts w:hint="eastAsia" w:ascii="宋体" w:hAnsi="宋体" w:eastAsia="宋体" w:cs="宋体"/>
                <w:color w:val="auto"/>
                <w:kern w:val="2"/>
                <w:sz w:val="21"/>
                <w:szCs w:val="21"/>
                <w:highlight w:val="none"/>
                <w:lang w:val="zh-CN" w:eastAsia="zh-CN" w:bidi="ar-SA"/>
              </w:rPr>
              <w:t>以合同签订时间为准，提供的证明材料必须能反映出相关内容，否则视为未提供）。</w:t>
            </w:r>
          </w:p>
        </w:tc>
        <w:tc>
          <w:tcPr>
            <w:tcW w:w="830" w:type="dxa"/>
            <w:tcBorders>
              <w:top w:val="single" w:color="000000"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1309C702">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9</w:t>
            </w:r>
          </w:p>
        </w:tc>
      </w:tr>
      <w:tr w14:paraId="49FC9FA8">
        <w:tblPrEx>
          <w:tblCellMar>
            <w:top w:w="0" w:type="dxa"/>
            <w:left w:w="108" w:type="dxa"/>
            <w:bottom w:w="0" w:type="dxa"/>
            <w:right w:w="108" w:type="dxa"/>
          </w:tblCellMar>
        </w:tblPrEx>
        <w:trPr>
          <w:trHeight w:val="546" w:hRule="atLeast"/>
          <w:jc w:val="center"/>
        </w:trPr>
        <w:tc>
          <w:tcPr>
            <w:tcW w:w="763"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776FCD0F">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4</w:t>
            </w:r>
          </w:p>
        </w:tc>
        <w:tc>
          <w:tcPr>
            <w:tcW w:w="1247"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6206AE95">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en-US"/>
              </w:rPr>
            </w:pPr>
            <w:r>
              <w:rPr>
                <w:rFonts w:hint="eastAsia" w:ascii="宋体" w:hAnsi="宋体" w:eastAsia="宋体" w:cs="宋体"/>
                <w:color w:val="auto"/>
                <w:kern w:val="0"/>
                <w:sz w:val="21"/>
                <w:szCs w:val="21"/>
                <w:highlight w:val="none"/>
                <w:lang w:val="en-US" w:eastAsia="en-US"/>
              </w:rPr>
              <w:t>检测报告</w:t>
            </w:r>
          </w:p>
          <w:p w14:paraId="40B067E8">
            <w:pPr>
              <w:keepNext w:val="0"/>
              <w:keepLines w:val="0"/>
              <w:pageBreakBefore w:val="0"/>
              <w:kinsoku/>
              <w:wordWrap/>
              <w:overflowPunct/>
              <w:topLinePunct w:val="0"/>
              <w:autoSpaceDE/>
              <w:autoSpaceDN/>
              <w:bidi w:val="0"/>
              <w:adjustRightInd/>
              <w:snapToGrid/>
              <w:jc w:val="center"/>
              <w:textAlignment w:val="auto"/>
              <w:rPr>
                <w:rFonts w:hint="eastAsia" w:ascii="宋体" w:hAnsi="宋体" w:cs="宋体"/>
                <w:color w:val="auto"/>
                <w:kern w:val="0"/>
                <w:highlight w:val="none"/>
              </w:rPr>
            </w:pPr>
            <w:r>
              <w:rPr>
                <w:rFonts w:hint="eastAsia" w:ascii="宋体" w:hAnsi="宋体" w:eastAsia="宋体" w:cs="宋体"/>
                <w:color w:val="auto"/>
                <w:kern w:val="0"/>
                <w:sz w:val="21"/>
                <w:szCs w:val="21"/>
                <w:highlight w:val="none"/>
                <w:lang w:val="en-US" w:eastAsia="en-US"/>
              </w:rPr>
              <w:t>（</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val="en-US" w:eastAsia="en-US"/>
              </w:rPr>
              <w:t>分）</w:t>
            </w:r>
          </w:p>
        </w:tc>
        <w:tc>
          <w:tcPr>
            <w:tcW w:w="6496"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43CF8E5A">
            <w:pPr>
              <w:rPr>
                <w:rFonts w:hint="eastAsia" w:ascii="宋体" w:hAnsi="宋体" w:eastAsia="宋体" w:cs="宋体"/>
                <w:color w:val="auto"/>
                <w:kern w:val="2"/>
                <w:sz w:val="21"/>
                <w:szCs w:val="21"/>
                <w:highlight w:val="none"/>
                <w:lang w:val="en-US" w:eastAsia="zh-CN" w:bidi="ar-SA"/>
              </w:rPr>
            </w:pPr>
            <w:r>
              <w:rPr>
                <w:rFonts w:hint="eastAsia" w:cs="宋体" w:asciiTheme="minorEastAsia" w:hAnsiTheme="minorEastAsia" w:eastAsiaTheme="minorEastAsia"/>
                <w:color w:val="auto"/>
                <w:highlight w:val="none"/>
                <w:lang w:eastAsia="zh-CN"/>
              </w:rPr>
              <w:t>供应商</w:t>
            </w:r>
            <w:r>
              <w:rPr>
                <w:rFonts w:hint="eastAsia" w:ascii="宋体" w:hAnsi="宋体" w:eastAsia="宋体" w:cs="宋体"/>
                <w:color w:val="auto"/>
                <w:highlight w:val="none"/>
                <w:lang w:eastAsia="zh-CN"/>
              </w:rPr>
              <w:t>提供</w:t>
            </w:r>
            <w:r>
              <w:rPr>
                <w:rFonts w:hint="eastAsia" w:ascii="宋体" w:hAnsi="宋体" w:eastAsia="宋体" w:cs="宋体"/>
                <w:color w:val="auto"/>
                <w:kern w:val="2"/>
                <w:sz w:val="21"/>
                <w:szCs w:val="21"/>
                <w:highlight w:val="none"/>
                <w:lang w:val="zh-CN" w:eastAsia="zh-CN" w:bidi="ar-SA"/>
              </w:rPr>
              <w:t>20</w:t>
            </w:r>
            <w:r>
              <w:rPr>
                <w:rFonts w:hint="eastAsia" w:ascii="宋体" w:hAnsi="宋体" w:cs="宋体"/>
                <w:color w:val="auto"/>
                <w:kern w:val="2"/>
                <w:sz w:val="21"/>
                <w:szCs w:val="21"/>
                <w:highlight w:val="none"/>
                <w:lang w:val="en-US" w:eastAsia="zh-CN" w:bidi="ar-SA"/>
              </w:rPr>
              <w:t>23</w:t>
            </w:r>
            <w:r>
              <w:rPr>
                <w:rFonts w:hint="eastAsia" w:ascii="宋体" w:hAnsi="宋体" w:eastAsia="宋体" w:cs="宋体"/>
                <w:color w:val="auto"/>
                <w:kern w:val="2"/>
                <w:sz w:val="21"/>
                <w:szCs w:val="21"/>
                <w:highlight w:val="none"/>
                <w:lang w:val="zh-CN" w:eastAsia="zh-CN" w:bidi="ar-SA"/>
              </w:rPr>
              <w:t>年</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zh-CN" w:eastAsia="zh-CN" w:bidi="ar-SA"/>
              </w:rPr>
              <w:t>月1日</w:t>
            </w:r>
            <w:r>
              <w:rPr>
                <w:rFonts w:hint="eastAsia" w:ascii="宋体" w:hAnsi="宋体" w:cs="宋体"/>
                <w:color w:val="auto"/>
                <w:kern w:val="2"/>
                <w:sz w:val="21"/>
                <w:szCs w:val="21"/>
                <w:highlight w:val="none"/>
                <w:lang w:val="en-US" w:eastAsia="zh-CN" w:bidi="ar-SA"/>
              </w:rPr>
              <w:t>以来</w:t>
            </w:r>
            <w:r>
              <w:rPr>
                <w:rFonts w:hint="eastAsia" w:ascii="宋体" w:hAnsi="宋体" w:eastAsia="宋体" w:cs="宋体"/>
                <w:color w:val="auto"/>
                <w:highlight w:val="none"/>
                <w:lang w:eastAsia="zh-CN"/>
              </w:rPr>
              <w:t>第三方检测机构出具的</w:t>
            </w:r>
            <w:r>
              <w:rPr>
                <w:rFonts w:hint="eastAsia" w:ascii="宋体" w:hAnsi="宋体" w:cs="宋体"/>
                <w:color w:val="auto"/>
                <w:highlight w:val="none"/>
                <w:lang w:val="en-US" w:eastAsia="zh-CN"/>
              </w:rPr>
              <w:t>合格</w:t>
            </w:r>
            <w:r>
              <w:rPr>
                <w:rFonts w:hint="eastAsia" w:ascii="宋体" w:hAnsi="宋体" w:eastAsia="宋体" w:cs="宋体"/>
                <w:color w:val="auto"/>
                <w:highlight w:val="none"/>
                <w:lang w:eastAsia="zh-CN"/>
              </w:rPr>
              <w:t>检测报告，</w:t>
            </w:r>
            <w:r>
              <w:rPr>
                <w:rFonts w:hint="eastAsia" w:ascii="宋体" w:hAnsi="宋体" w:cs="宋体"/>
                <w:color w:val="auto"/>
                <w:highlight w:val="none"/>
                <w:lang w:val="en-US" w:eastAsia="zh-CN"/>
              </w:rPr>
              <w:t>检测内容应包括：PH值；空气、桌面、手表面；细菌总数、大肠杆菌等三方面，具备其中一项内容报告的得3分，本项共9分。</w:t>
            </w:r>
            <w:r>
              <w:rPr>
                <w:rFonts w:hint="eastAsia" w:ascii="宋体" w:hAnsi="宋体" w:eastAsia="宋体" w:cs="宋体"/>
                <w:color w:val="auto"/>
                <w:highlight w:val="none"/>
                <w:lang w:eastAsia="zh-CN"/>
              </w:rPr>
              <w:t>检测标准符合</w:t>
            </w:r>
            <w:r>
              <w:rPr>
                <w:rFonts w:hint="eastAsia" w:hAnsi="宋体" w:cs="宋体"/>
                <w:b w:val="0"/>
                <w:bCs/>
                <w:color w:val="auto"/>
                <w:szCs w:val="24"/>
                <w:highlight w:val="none"/>
              </w:rPr>
              <w:t>中华人民共和国</w:t>
            </w:r>
            <w:r>
              <w:rPr>
                <w:rFonts w:hint="eastAsia" w:hAnsi="宋体" w:cs="宋体"/>
                <w:b w:val="0"/>
                <w:bCs/>
                <w:color w:val="auto"/>
                <w:szCs w:val="24"/>
                <w:highlight w:val="none"/>
                <w:lang w:val="en-US" w:eastAsia="zh-CN"/>
              </w:rPr>
              <w:t>最新</w:t>
            </w:r>
            <w:r>
              <w:rPr>
                <w:rFonts w:hint="eastAsia" w:hAnsi="宋体" w:cs="宋体"/>
                <w:b w:val="0"/>
                <w:bCs/>
                <w:color w:val="auto"/>
                <w:szCs w:val="24"/>
                <w:highlight w:val="none"/>
              </w:rPr>
              <w:t>卫生行业标准</w:t>
            </w:r>
            <w:r>
              <w:rPr>
                <w:rFonts w:hint="eastAsia" w:ascii="宋体" w:hAnsi="宋体" w:eastAsia="宋体" w:cs="宋体"/>
                <w:color w:val="auto"/>
                <w:highlight w:val="none"/>
                <w:lang w:eastAsia="zh-CN"/>
              </w:rPr>
              <w:t>。委托送检单位必须是供应商单位，否则不得分。</w:t>
            </w:r>
          </w:p>
        </w:tc>
        <w:tc>
          <w:tcPr>
            <w:tcW w:w="830"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7A69176F">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9</w:t>
            </w:r>
          </w:p>
        </w:tc>
      </w:tr>
      <w:tr w14:paraId="03B8AD60">
        <w:tblPrEx>
          <w:tblCellMar>
            <w:top w:w="0" w:type="dxa"/>
            <w:left w:w="108" w:type="dxa"/>
            <w:bottom w:w="0" w:type="dxa"/>
            <w:right w:w="108" w:type="dxa"/>
          </w:tblCellMar>
        </w:tblPrEx>
        <w:trPr>
          <w:trHeight w:val="497" w:hRule="atLeast"/>
          <w:jc w:val="center"/>
        </w:trPr>
        <w:tc>
          <w:tcPr>
            <w:tcW w:w="763"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31AE181A">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5</w:t>
            </w:r>
          </w:p>
        </w:tc>
        <w:tc>
          <w:tcPr>
            <w:tcW w:w="1247"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64B6ACF3">
            <w:pPr>
              <w:keepNext w:val="0"/>
              <w:keepLines w:val="0"/>
              <w:pageBreakBefore w:val="0"/>
              <w:kinsoku/>
              <w:wordWrap/>
              <w:overflowPunct/>
              <w:topLinePunct w:val="0"/>
              <w:autoSpaceDE/>
              <w:autoSpaceDN/>
              <w:bidi w:val="0"/>
              <w:adjustRightInd/>
              <w:snapToGrid/>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运输能力（6分）</w:t>
            </w:r>
          </w:p>
        </w:tc>
        <w:tc>
          <w:tcPr>
            <w:tcW w:w="6496"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57681059">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供应商具备自有或租赁可用于本项目的封闭运输车辆</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每有1辆得3分，最多得6分；</w:t>
            </w:r>
          </w:p>
          <w:p w14:paraId="554488AC">
            <w:pPr>
              <w:rPr>
                <w:rFonts w:hint="eastAsia" w:cs="宋体" w:asciiTheme="minorEastAsia" w:hAnsiTheme="minorEastAsia" w:eastAsiaTheme="minorEastAsia"/>
                <w:color w:val="auto"/>
                <w:highlight w:val="none"/>
                <w:lang w:eastAsia="zh-CN"/>
              </w:rPr>
            </w:pPr>
            <w:r>
              <w:rPr>
                <w:rFonts w:hint="eastAsia" w:ascii="宋体" w:hAnsi="宋体" w:eastAsia="宋体" w:cs="宋体"/>
                <w:color w:val="auto"/>
                <w:highlight w:val="none"/>
                <w:lang w:val="en-US" w:eastAsia="zh-CN"/>
              </w:rPr>
              <w:t>（车辆为供应商自有的提供车辆照片、机动车行驶证；车辆为租赁的提供车辆照片、租赁合同及出租方持有的机动车行驶证</w:t>
            </w:r>
            <w:r>
              <w:rPr>
                <w:rFonts w:hint="eastAsia" w:ascii="宋体" w:hAnsi="宋体" w:cs="宋体"/>
                <w:color w:val="auto"/>
                <w:highlight w:val="none"/>
                <w:lang w:val="en-US" w:eastAsia="zh-CN"/>
              </w:rPr>
              <w:t>，所有提供资料应能证明满足本项要求，</w:t>
            </w:r>
            <w:r>
              <w:rPr>
                <w:rFonts w:hint="eastAsia" w:ascii="宋体" w:hAnsi="宋体" w:eastAsia="宋体" w:cs="宋体"/>
                <w:color w:val="auto"/>
                <w:highlight w:val="none"/>
                <w:lang w:val="en-US" w:eastAsia="zh-CN"/>
              </w:rPr>
              <w:t>否则不得分）</w:t>
            </w:r>
          </w:p>
        </w:tc>
        <w:tc>
          <w:tcPr>
            <w:tcW w:w="830"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2F074CBB">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6</w:t>
            </w:r>
          </w:p>
        </w:tc>
      </w:tr>
      <w:tr w14:paraId="07131988">
        <w:tblPrEx>
          <w:tblCellMar>
            <w:top w:w="0" w:type="dxa"/>
            <w:left w:w="108" w:type="dxa"/>
            <w:bottom w:w="0" w:type="dxa"/>
            <w:right w:w="108" w:type="dxa"/>
          </w:tblCellMar>
        </w:tblPrEx>
        <w:trPr>
          <w:trHeight w:val="791" w:hRule="atLeast"/>
          <w:jc w:val="center"/>
        </w:trPr>
        <w:tc>
          <w:tcPr>
            <w:tcW w:w="763"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5F0C81A3">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6</w:t>
            </w:r>
          </w:p>
        </w:tc>
        <w:tc>
          <w:tcPr>
            <w:tcW w:w="1247"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08" w:type="dxa"/>
              <w:bottom w:w="15" w:type="dxa"/>
              <w:right w:w="108" w:type="dxa"/>
            </w:tcMar>
            <w:vAlign w:val="center"/>
          </w:tcPr>
          <w:p w14:paraId="66C03031">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en-US"/>
              </w:rPr>
            </w:pPr>
            <w:r>
              <w:rPr>
                <w:rFonts w:hint="eastAsia" w:ascii="宋体" w:hAnsi="宋体" w:eastAsia="宋体" w:cs="宋体"/>
                <w:color w:val="auto"/>
                <w:kern w:val="0"/>
                <w:sz w:val="21"/>
                <w:szCs w:val="21"/>
                <w:highlight w:val="none"/>
                <w:lang w:val="en-US" w:eastAsia="en-US"/>
              </w:rPr>
              <w:t>服务承诺</w:t>
            </w:r>
          </w:p>
          <w:p w14:paraId="7333621A">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rPr>
              <w:t>（</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en-US"/>
              </w:rPr>
              <w:t>分）</w:t>
            </w:r>
          </w:p>
        </w:tc>
        <w:tc>
          <w:tcPr>
            <w:tcW w:w="649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08" w:type="dxa"/>
              <w:bottom w:w="15" w:type="dxa"/>
              <w:right w:w="108" w:type="dxa"/>
            </w:tcMar>
            <w:vAlign w:val="center"/>
          </w:tcPr>
          <w:p w14:paraId="3E38BFC8">
            <w:pPr>
              <w:rPr>
                <w:rFonts w:hint="eastAsia" w:cs="宋体" w:asciiTheme="minorEastAsia" w:hAnsiTheme="minorEastAsia" w:eastAsiaTheme="minorEastAsia"/>
                <w:color w:val="auto"/>
                <w:kern w:val="2"/>
                <w:sz w:val="21"/>
                <w:szCs w:val="21"/>
                <w:highlight w:val="none"/>
                <w:lang w:val="en-US" w:eastAsia="zh-CN" w:bidi="ar-SA"/>
              </w:rPr>
            </w:pPr>
            <w:r>
              <w:rPr>
                <w:rFonts w:hint="eastAsia" w:cs="宋体" w:asciiTheme="minorEastAsia" w:hAnsiTheme="minorEastAsia" w:eastAsiaTheme="minorEastAsia"/>
                <w:color w:val="auto"/>
                <w:highlight w:val="none"/>
                <w:lang w:val="en-US" w:eastAsia="zh-CN"/>
              </w:rPr>
              <w:t>供应商</w:t>
            </w:r>
            <w:r>
              <w:rPr>
                <w:rFonts w:hint="eastAsia" w:cs="宋体" w:asciiTheme="minorEastAsia" w:hAnsiTheme="minorEastAsia" w:eastAsiaTheme="minorEastAsia"/>
                <w:color w:val="auto"/>
                <w:highlight w:val="none"/>
                <w:lang w:eastAsia="zh-CN"/>
              </w:rPr>
              <w:t>提供相关服务承诺，内容必须包括24小时现场专人电话保持畅通。项目出现紧急情况后</w:t>
            </w:r>
            <w:r>
              <w:rPr>
                <w:rFonts w:hint="eastAsia" w:cs="宋体" w:asciiTheme="minorEastAsia" w:hAnsiTheme="minorEastAsia" w:eastAsiaTheme="minorEastAsia"/>
                <w:color w:val="auto"/>
                <w:highlight w:val="none"/>
                <w:lang w:val="en-US" w:eastAsia="zh-CN"/>
              </w:rPr>
              <w:t>60</w:t>
            </w:r>
            <w:r>
              <w:rPr>
                <w:rFonts w:hint="eastAsia" w:cs="宋体" w:asciiTheme="minorEastAsia" w:hAnsiTheme="minorEastAsia" w:eastAsiaTheme="minorEastAsia"/>
                <w:color w:val="auto"/>
                <w:highlight w:val="none"/>
                <w:lang w:eastAsia="zh-CN"/>
              </w:rPr>
              <w:t>分钟</w:t>
            </w:r>
            <w:r>
              <w:rPr>
                <w:rFonts w:hint="eastAsia" w:cs="宋体" w:asciiTheme="minorEastAsia" w:hAnsiTheme="minorEastAsia" w:eastAsiaTheme="minorEastAsia"/>
                <w:color w:val="auto"/>
                <w:highlight w:val="none"/>
                <w:lang w:eastAsia="zh-CN"/>
              </w:rPr>
              <w:t>内人员到场处理，并及时与招标人汇报。（投标人提供相关服务承诺原件并加盖公章，内容完整的得</w:t>
            </w:r>
            <w:r>
              <w:rPr>
                <w:rFonts w:hint="eastAsia" w:cs="宋体" w:asciiTheme="minorEastAsia" w:hAnsiTheme="minorEastAsia" w:eastAsiaTheme="minorEastAsia"/>
                <w:color w:val="auto"/>
                <w:highlight w:val="none"/>
                <w:lang w:val="en-US" w:eastAsia="zh-CN"/>
              </w:rPr>
              <w:t>6</w:t>
            </w:r>
            <w:r>
              <w:rPr>
                <w:rFonts w:hint="eastAsia" w:cs="宋体" w:asciiTheme="minorEastAsia" w:hAnsiTheme="minorEastAsia" w:eastAsiaTheme="minorEastAsia"/>
                <w:color w:val="auto"/>
                <w:highlight w:val="none"/>
                <w:lang w:eastAsia="zh-CN"/>
              </w:rPr>
              <w:t>分，否则不得分）</w:t>
            </w:r>
          </w:p>
        </w:tc>
        <w:tc>
          <w:tcPr>
            <w:tcW w:w="830" w:type="dxa"/>
            <w:tcBorders>
              <w:top w:val="single" w:color="auto" w:sz="4" w:space="0"/>
              <w:left w:val="single" w:color="000000" w:sz="4" w:space="0"/>
              <w:bottom w:val="single" w:color="auto" w:sz="4" w:space="0"/>
              <w:right w:val="single" w:color="000000" w:sz="4" w:space="0"/>
            </w:tcBorders>
            <w:noWrap/>
            <w:tcMar>
              <w:top w:w="15" w:type="dxa"/>
              <w:left w:w="108" w:type="dxa"/>
              <w:bottom w:w="15" w:type="dxa"/>
              <w:right w:w="108" w:type="dxa"/>
            </w:tcMar>
            <w:vAlign w:val="center"/>
          </w:tcPr>
          <w:p w14:paraId="2026E9FD">
            <w:pPr>
              <w:widowControl/>
              <w:jc w:val="center"/>
              <w:rPr>
                <w:rFonts w:hint="default" w:ascii="宋体" w:hAnsi="宋体" w:cs="宋体"/>
                <w:color w:val="auto"/>
                <w:kern w:val="0"/>
                <w:highlight w:val="none"/>
                <w:lang w:val="en-US" w:eastAsia="zh-CN"/>
              </w:rPr>
            </w:pPr>
            <w:r>
              <w:rPr>
                <w:rFonts w:hint="eastAsia" w:ascii="宋体" w:hAnsi="宋体" w:cs="宋体"/>
                <w:color w:val="auto"/>
                <w:kern w:val="0"/>
                <w:highlight w:val="none"/>
                <w:lang w:val="en-US" w:eastAsia="zh-CN"/>
              </w:rPr>
              <w:t>6</w:t>
            </w:r>
          </w:p>
        </w:tc>
      </w:tr>
      <w:tr w14:paraId="5BE3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6" w:type="dxa"/>
            <w:gridSpan w:val="3"/>
            <w:tcBorders>
              <w:tl2br w:val="nil"/>
              <w:tr2bl w:val="nil"/>
            </w:tcBorders>
            <w:noWrap/>
            <w:vAlign w:val="center"/>
          </w:tcPr>
          <w:p w14:paraId="1CC5A0BE">
            <w:pPr>
              <w:widowControl/>
              <w:jc w:val="center"/>
              <w:rPr>
                <w:rFonts w:ascii="宋体" w:hAnsi="宋体" w:cs="宋体"/>
                <w:color w:val="auto"/>
                <w:highlight w:val="none"/>
              </w:rPr>
            </w:pPr>
            <w:r>
              <w:rPr>
                <w:rFonts w:hint="eastAsia" w:ascii="宋体" w:hAnsi="宋体" w:cs="宋体"/>
                <w:color w:val="auto"/>
                <w:highlight w:val="none"/>
              </w:rPr>
              <w:t>合计</w:t>
            </w:r>
          </w:p>
        </w:tc>
        <w:tc>
          <w:tcPr>
            <w:tcW w:w="830" w:type="dxa"/>
            <w:tcBorders>
              <w:tl2br w:val="nil"/>
              <w:tr2bl w:val="nil"/>
            </w:tcBorders>
            <w:noWrap/>
            <w:vAlign w:val="center"/>
          </w:tcPr>
          <w:p w14:paraId="29E44C99">
            <w:pPr>
              <w:widowControl/>
              <w:jc w:val="center"/>
              <w:rPr>
                <w:rFonts w:ascii="宋体" w:hAnsi="宋体" w:cs="宋体"/>
                <w:color w:val="auto"/>
                <w:highlight w:val="none"/>
              </w:rPr>
            </w:pPr>
            <w:r>
              <w:rPr>
                <w:rFonts w:hint="eastAsia" w:ascii="宋体" w:hAnsi="宋体" w:cs="宋体"/>
                <w:color w:val="auto"/>
                <w:highlight w:val="none"/>
              </w:rPr>
              <w:t>100</w:t>
            </w:r>
          </w:p>
        </w:tc>
      </w:tr>
    </w:tbl>
    <w:p w14:paraId="12605C37">
      <w:pPr>
        <w:autoSpaceDE w:val="0"/>
        <w:autoSpaceDN w:val="0"/>
        <w:adjustRightInd w:val="0"/>
        <w:snapToGrid w:val="0"/>
        <w:spacing w:line="460" w:lineRule="exact"/>
        <w:ind w:firstLine="420"/>
        <w:rPr>
          <w:rFonts w:ascii="宋体" w:hAnsi="宋体" w:cs="宋体"/>
          <w:color w:val="auto"/>
          <w:highlight w:val="none"/>
        </w:rPr>
      </w:pPr>
      <w:r>
        <w:rPr>
          <w:rFonts w:hint="eastAsia" w:ascii="宋体" w:hAnsi="宋体" w:cs="宋体"/>
          <w:color w:val="auto"/>
          <w:highlight w:val="none"/>
        </w:rPr>
        <w:br w:type="page"/>
      </w:r>
    </w:p>
    <w:p w14:paraId="6208B486">
      <w:pPr>
        <w:jc w:val="center"/>
        <w:rPr>
          <w:rFonts w:ascii="宋体" w:hAnsi="宋体" w:cs="宋体"/>
          <w:color w:val="auto"/>
          <w:spacing w:val="-10"/>
          <w:sz w:val="36"/>
          <w:szCs w:val="36"/>
          <w:highlight w:val="none"/>
        </w:rPr>
      </w:pPr>
      <w:bookmarkStart w:id="155" w:name="_Toc479586161"/>
      <w:bookmarkEnd w:id="155"/>
      <w:bookmarkStart w:id="156" w:name="_Toc150538845"/>
      <w:bookmarkEnd w:id="156"/>
      <w:bookmarkStart w:id="157" w:name="_Toc19019"/>
      <w:bookmarkEnd w:id="157"/>
      <w:r>
        <w:rPr>
          <w:rFonts w:hint="eastAsia" w:ascii="宋体" w:hAnsi="宋体" w:cs="宋体"/>
          <w:color w:val="auto"/>
          <w:sz w:val="36"/>
          <w:szCs w:val="36"/>
          <w:highlight w:val="none"/>
        </w:rPr>
        <w:t>第四章</w:t>
      </w:r>
      <w:r>
        <w:rPr>
          <w:rFonts w:hint="eastAsia" w:ascii="宋体" w:hAnsi="宋体" w:cs="宋体"/>
          <w:b/>
          <w:bCs/>
          <w:color w:val="auto"/>
          <w:sz w:val="36"/>
          <w:szCs w:val="36"/>
          <w:highlight w:val="none"/>
        </w:rPr>
        <w:t xml:space="preserve"> </w:t>
      </w:r>
      <w:bookmarkStart w:id="158" w:name="_Toc479586164"/>
      <w:bookmarkStart w:id="159" w:name="_Toc29064"/>
      <w:r>
        <w:rPr>
          <w:rFonts w:hint="eastAsia" w:ascii="宋体" w:hAnsi="宋体" w:cs="宋体"/>
          <w:color w:val="auto"/>
          <w:spacing w:val="-10"/>
          <w:sz w:val="36"/>
          <w:szCs w:val="36"/>
          <w:highlight w:val="none"/>
        </w:rPr>
        <w:t>采购需求</w:t>
      </w:r>
    </w:p>
    <w:p w14:paraId="69F61D6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Arial" w:hAnsi="Arial" w:eastAsia="宋体"/>
          <w:b/>
          <w:bCs/>
          <w:color w:val="auto"/>
          <w:highlight w:val="none"/>
          <w:lang w:val="en-US" w:eastAsia="zh-CN"/>
        </w:rPr>
      </w:pPr>
      <w:r>
        <w:rPr>
          <w:rFonts w:hint="eastAsia" w:ascii="Arial" w:hAnsi="Arial"/>
          <w:b/>
          <w:bCs/>
          <w:color w:val="auto"/>
          <w:highlight w:val="none"/>
          <w:lang w:val="zh-CN"/>
        </w:rPr>
        <w:t>一、项目</w:t>
      </w:r>
      <w:r>
        <w:rPr>
          <w:rFonts w:hint="eastAsia" w:ascii="Arial" w:hAnsi="Arial"/>
          <w:b/>
          <w:bCs/>
          <w:color w:val="auto"/>
          <w:highlight w:val="none"/>
          <w:lang w:val="en-US" w:eastAsia="zh-CN"/>
        </w:rPr>
        <w:t>基本情况</w:t>
      </w:r>
    </w:p>
    <w:p w14:paraId="1685F597">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JSZC-320100-JTGS-C2026-0030</w:t>
      </w:r>
    </w:p>
    <w:p w14:paraId="62C8D034">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2、项目名称：南京市第二医院2026年布草洗涤服务项目</w:t>
      </w:r>
    </w:p>
    <w:p w14:paraId="11CD52D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3、项目规模：南京市第二医院2026年布草洗涤服务项目内容包括：</w:t>
      </w:r>
    </w:p>
    <w:p w14:paraId="6474ED7A">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一标段：（采购包1）南京市第二医院钟阜院区（钟阜路1-1号）；</w:t>
      </w:r>
    </w:p>
    <w:p w14:paraId="1D57F77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二标段：（采购包2）汤山院区（康复路1号）布草洗涤服务。</w:t>
      </w:r>
    </w:p>
    <w:p w14:paraId="43318E9A">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cs="宋体"/>
          <w:b/>
          <w:bCs/>
          <w:color w:val="auto"/>
          <w:highlight w:val="none"/>
        </w:rPr>
      </w:pPr>
      <w:r>
        <w:rPr>
          <w:rFonts w:hint="eastAsia" w:ascii="宋体" w:hAnsi="宋体" w:cs="宋体"/>
          <w:b/>
          <w:bCs/>
          <w:color w:val="auto"/>
          <w:highlight w:val="none"/>
        </w:rPr>
        <w:t>注：本项目一标段、二标段同时开标，允许兼投兼中。</w:t>
      </w:r>
    </w:p>
    <w:p w14:paraId="068D66E8">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4、采购方式：竞争性磋商</w:t>
      </w:r>
    </w:p>
    <w:p w14:paraId="7549FB2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5、预算金额：150万元/年（采购包1预算110万元；采购包2预算：40万元）</w:t>
      </w:r>
    </w:p>
    <w:p w14:paraId="4E39ABAC">
      <w:pPr>
        <w:spacing w:line="400" w:lineRule="exact"/>
        <w:ind w:firstLine="420" w:firstLineChars="200"/>
        <w:rPr>
          <w:rFonts w:hint="eastAsia" w:ascii="宋体" w:hAnsi="宋体" w:cs="宋体"/>
          <w:color w:val="auto"/>
          <w:highlight w:val="none"/>
          <w:lang w:val="en-US" w:eastAsia="zh-CN"/>
        </w:rPr>
      </w:pPr>
      <w:r>
        <w:rPr>
          <w:rFonts w:hint="eastAsia" w:ascii="宋体" w:hAnsi="宋体" w:cs="宋体"/>
          <w:color w:val="auto"/>
          <w:highlight w:val="none"/>
        </w:rPr>
        <w:t>6、控制</w:t>
      </w:r>
      <w:r>
        <w:rPr>
          <w:rFonts w:hint="eastAsia" w:ascii="宋体" w:hAnsi="宋体" w:cs="宋体"/>
          <w:color w:val="auto"/>
          <w:highlight w:val="none"/>
          <w:lang w:val="zh-CN"/>
        </w:rPr>
        <w:t>价：</w:t>
      </w:r>
      <w:r>
        <w:rPr>
          <w:rFonts w:hint="eastAsia" w:ascii="宋体" w:hAnsi="宋体" w:cs="宋体"/>
          <w:color w:val="auto"/>
          <w:highlight w:val="none"/>
          <w:lang w:val="en-US" w:eastAsia="zh-CN"/>
        </w:rPr>
        <w:t>本项目报价按照单价上限报优惠率（单价上限详见采购文件）。优惠率不得高于100%。</w:t>
      </w:r>
    </w:p>
    <w:p w14:paraId="09543DC9">
      <w:pPr>
        <w:spacing w:line="400" w:lineRule="exact"/>
        <w:ind w:firstLine="422" w:firstLineChars="200"/>
        <w:rPr>
          <w:rFonts w:hint="eastAsia" w:ascii="宋体" w:hAnsi="宋体" w:cs="宋体"/>
          <w:color w:val="auto"/>
          <w:highlight w:val="none"/>
        </w:rPr>
      </w:pPr>
      <w:r>
        <w:rPr>
          <w:rFonts w:hint="eastAsia" w:ascii="宋体" w:hAnsi="宋体" w:cs="宋体"/>
          <w:b/>
          <w:bCs/>
          <w:color w:val="auto"/>
          <w:highlight w:val="none"/>
          <w:lang w:val="en-US" w:eastAsia="zh-CN"/>
        </w:rPr>
        <w:t>注：最终中标单价=单价上限*（1-中标优惠率）（如投标人报价优惠率为10%，采购包1中序号1枕套 中标单价为:0.89元*（1-10%），以此类推。最终结算单价精确到分，四舍五入。）</w:t>
      </w:r>
      <w:r>
        <w:rPr>
          <w:rFonts w:hint="eastAsia" w:ascii="宋体" w:hAnsi="宋体" w:eastAsia="宋体" w:cs="宋体"/>
          <w:b/>
          <w:bCs/>
          <w:color w:val="auto"/>
          <w:highlight w:val="none"/>
        </w:rPr>
        <w:t>详见</w:t>
      </w:r>
      <w:r>
        <w:rPr>
          <w:rFonts w:hint="eastAsia" w:ascii="宋体" w:hAnsi="宋体" w:cs="宋体"/>
          <w:b/>
          <w:bCs/>
          <w:color w:val="auto"/>
          <w:highlight w:val="none"/>
          <w:lang w:val="en-US" w:eastAsia="zh-CN"/>
        </w:rPr>
        <w:t>单价上限表（最高限单价表）</w:t>
      </w:r>
      <w:r>
        <w:rPr>
          <w:rFonts w:hint="eastAsia" w:ascii="宋体" w:hAnsi="宋体" w:eastAsia="宋体" w:cs="宋体"/>
          <w:b/>
          <w:bCs/>
          <w:color w:val="auto"/>
          <w:highlight w:val="none"/>
        </w:rPr>
        <w:t>。</w:t>
      </w:r>
    </w:p>
    <w:p w14:paraId="7AA1DE68">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highlight w:val="none"/>
        </w:rPr>
      </w:pPr>
      <w:r>
        <w:rPr>
          <w:rFonts w:hint="eastAsia" w:ascii="宋体" w:hAnsi="宋体" w:cs="宋体"/>
          <w:color w:val="auto"/>
          <w:highlight w:val="none"/>
        </w:rPr>
        <w:t>7、服务期：1年。（时间以实际为准）</w:t>
      </w:r>
    </w:p>
    <w:p w14:paraId="5A402EA9">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二、</w:t>
      </w:r>
      <w:r>
        <w:rPr>
          <w:rFonts w:hint="eastAsia" w:ascii="宋体" w:hAnsi="宋体" w:eastAsia="宋体" w:cs="宋体"/>
          <w:b/>
          <w:bCs/>
          <w:color w:val="auto"/>
          <w:highlight w:val="none"/>
        </w:rPr>
        <w:t>服务内容</w:t>
      </w:r>
      <w:r>
        <w:rPr>
          <w:rFonts w:hint="eastAsia" w:ascii="宋体" w:hAnsi="宋体" w:eastAsia="宋体" w:cs="宋体"/>
          <w:b/>
          <w:bCs/>
          <w:color w:val="auto"/>
          <w:highlight w:val="none"/>
          <w:lang w:val="en-US" w:eastAsia="zh-CN"/>
        </w:rPr>
        <w:t>要求及考核</w:t>
      </w:r>
    </w:p>
    <w:p w14:paraId="3A10A9E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1.洗涤服务要求</w:t>
      </w:r>
    </w:p>
    <w:p w14:paraId="1035053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1.1甲方同意将本部被服布草交于乙方洗涤，并确保被服布草的洗涤质量(详见</w:t>
      </w:r>
      <w:r>
        <w:rPr>
          <w:rFonts w:hint="eastAsia" w:ascii="宋体" w:hAnsi="宋体" w:eastAsia="宋体" w:cs="宋体"/>
          <w:color w:val="auto"/>
          <w:highlight w:val="none"/>
          <w:lang w:val="en-US" w:eastAsia="zh-CN"/>
        </w:rPr>
        <w:t>服务要求</w:t>
      </w:r>
      <w:r>
        <w:rPr>
          <w:rFonts w:hint="eastAsia" w:ascii="宋体" w:hAnsi="宋体" w:eastAsia="宋体" w:cs="宋体"/>
          <w:color w:val="auto"/>
          <w:highlight w:val="none"/>
        </w:rPr>
        <w:t>)。</w:t>
      </w:r>
    </w:p>
    <w:p w14:paraId="79C712A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auto"/>
          <w:highlight w:val="none"/>
        </w:rPr>
      </w:pPr>
      <w:r>
        <w:rPr>
          <w:rFonts w:hint="eastAsia" w:ascii="宋体" w:hAnsi="宋体" w:eastAsia="宋体" w:cs="宋体"/>
          <w:color w:val="auto"/>
          <w:highlight w:val="none"/>
        </w:rPr>
        <w:t>1.2乙方须按甲方规定时间内收送被服布草，上午07：00前将洁净布草运送到医院指定部门，与指定人员进行清点签收，下送于上午 08：00前由乙方完成。脏布草由甲方清点过数交给乙方，开具《货物洗涤交接单》一式肆份，</w:t>
      </w:r>
      <w:r>
        <w:rPr>
          <w:rFonts w:hint="eastAsia" w:ascii="宋体" w:hAnsi="宋体" w:eastAsia="宋体"/>
          <w:color w:val="auto"/>
          <w:highlight w:val="none"/>
        </w:rPr>
        <w:t>甲乙</w:t>
      </w:r>
      <w:r>
        <w:rPr>
          <w:rFonts w:ascii="宋体" w:hAnsi="宋体" w:eastAsia="宋体"/>
          <w:color w:val="auto"/>
          <w:highlight w:val="none"/>
        </w:rPr>
        <w:t>双方各两份。洁净布草由乙方按《货物洗涤交接单》数量清点过数交给甲方。</w:t>
      </w:r>
    </w:p>
    <w:p w14:paraId="3EDC02AA">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auto"/>
          <w:highlight w:val="none"/>
        </w:rPr>
      </w:pPr>
      <w:r>
        <w:rPr>
          <w:rFonts w:ascii="宋体" w:hAnsi="宋体" w:eastAsia="宋体"/>
          <w:color w:val="auto"/>
          <w:highlight w:val="none"/>
        </w:rPr>
        <w:t>1.3乙方</w:t>
      </w:r>
      <w:r>
        <w:rPr>
          <w:rFonts w:hint="eastAsia" w:ascii="宋体" w:hAnsi="宋体" w:eastAsia="宋体"/>
          <w:color w:val="auto"/>
          <w:highlight w:val="none"/>
        </w:rPr>
        <w:t>免费</w:t>
      </w:r>
      <w:r>
        <w:rPr>
          <w:rFonts w:ascii="宋体" w:hAnsi="宋体" w:eastAsia="宋体"/>
          <w:color w:val="auto"/>
          <w:highlight w:val="none"/>
        </w:rPr>
        <w:t>为甲方提供工作服的熨烫、被服物品的缝补、工作服纽扣脱落后的缝钉</w:t>
      </w:r>
      <w:r>
        <w:rPr>
          <w:rFonts w:hint="eastAsia" w:ascii="宋体" w:hAnsi="宋体" w:eastAsia="宋体"/>
          <w:color w:val="auto"/>
          <w:highlight w:val="none"/>
        </w:rPr>
        <w:t>、护士服换子母扣</w:t>
      </w:r>
      <w:r>
        <w:rPr>
          <w:rFonts w:ascii="宋体" w:hAnsi="宋体" w:eastAsia="宋体"/>
          <w:color w:val="auto"/>
          <w:highlight w:val="none"/>
        </w:rPr>
        <w:t>等工作,加工所需的纽扣、松紧材料</w:t>
      </w:r>
      <w:r>
        <w:rPr>
          <w:rFonts w:hint="eastAsia" w:ascii="宋体" w:hAnsi="宋体" w:eastAsia="宋体"/>
          <w:color w:val="auto"/>
          <w:highlight w:val="none"/>
        </w:rPr>
        <w:t>、子母扣材料均</w:t>
      </w:r>
      <w:r>
        <w:rPr>
          <w:rFonts w:ascii="宋体" w:hAnsi="宋体" w:eastAsia="宋体"/>
          <w:color w:val="auto"/>
          <w:highlight w:val="none"/>
        </w:rPr>
        <w:t>由</w:t>
      </w:r>
      <w:r>
        <w:rPr>
          <w:rFonts w:hint="eastAsia" w:ascii="宋体" w:hAnsi="宋体" w:eastAsia="宋体"/>
          <w:color w:val="auto"/>
          <w:highlight w:val="none"/>
        </w:rPr>
        <w:t>乙</w:t>
      </w:r>
      <w:r>
        <w:rPr>
          <w:rFonts w:ascii="宋体" w:hAnsi="宋体" w:eastAsia="宋体"/>
          <w:color w:val="auto"/>
          <w:highlight w:val="none"/>
        </w:rPr>
        <w:t>方提供。</w:t>
      </w:r>
    </w:p>
    <w:p w14:paraId="1D7096EA">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auto"/>
          <w:highlight w:val="none"/>
        </w:rPr>
      </w:pPr>
      <w:r>
        <w:rPr>
          <w:rFonts w:ascii="宋体" w:hAnsi="宋体" w:eastAsia="宋体"/>
          <w:color w:val="auto"/>
          <w:highlight w:val="none"/>
        </w:rPr>
        <w:t>1.4因乙方洗涤未达标，乙方须免费重新清洗，对于因乙方原因导致的洗涤布件的遗失</w:t>
      </w:r>
      <w:r>
        <w:rPr>
          <w:rFonts w:hint="eastAsia" w:ascii="宋体" w:hAnsi="宋体" w:eastAsia="宋体"/>
          <w:color w:val="auto"/>
          <w:highlight w:val="none"/>
        </w:rPr>
        <w:t>、</w:t>
      </w:r>
      <w:r>
        <w:rPr>
          <w:rFonts w:ascii="宋体" w:hAnsi="宋体" w:eastAsia="宋体"/>
          <w:color w:val="auto"/>
          <w:highlight w:val="none"/>
        </w:rPr>
        <w:t>损坏等，应按布件的实际价值进行赔偿。</w:t>
      </w:r>
    </w:p>
    <w:p w14:paraId="39191E1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auto"/>
          <w:highlight w:val="none"/>
        </w:rPr>
      </w:pPr>
      <w:r>
        <w:rPr>
          <w:rFonts w:ascii="宋体" w:hAnsi="宋体" w:eastAsia="宋体"/>
          <w:color w:val="auto"/>
          <w:highlight w:val="none"/>
        </w:rPr>
        <w:t>1.5乙方必须遵循分类洗涤原则。根据医用织物使用对象和污渍性质，程度不同，分机或分批洗涤、消毒</w:t>
      </w:r>
      <w:r>
        <w:rPr>
          <w:rFonts w:hint="eastAsia" w:ascii="宋体" w:hAnsi="宋体" w:eastAsia="宋体"/>
          <w:color w:val="auto"/>
          <w:highlight w:val="none"/>
        </w:rPr>
        <w:t>；</w:t>
      </w:r>
      <w:r>
        <w:rPr>
          <w:rFonts w:ascii="宋体" w:hAnsi="宋体" w:eastAsia="宋体"/>
          <w:color w:val="auto"/>
          <w:highlight w:val="none"/>
        </w:rPr>
        <w:t>新生儿、婴儿的医用织物专机洗涤、消毒</w:t>
      </w:r>
      <w:r>
        <w:rPr>
          <w:rFonts w:hint="eastAsia" w:ascii="宋体" w:hAnsi="宋体" w:eastAsia="宋体"/>
          <w:color w:val="auto"/>
          <w:highlight w:val="none"/>
        </w:rPr>
        <w:t>，</w:t>
      </w:r>
      <w:r>
        <w:rPr>
          <w:rFonts w:ascii="宋体" w:hAnsi="宋体" w:eastAsia="宋体"/>
          <w:color w:val="auto"/>
          <w:highlight w:val="none"/>
        </w:rPr>
        <w:t>不与其他医用织物混洗</w:t>
      </w:r>
      <w:r>
        <w:rPr>
          <w:rFonts w:hint="eastAsia" w:ascii="宋体" w:hAnsi="宋体" w:eastAsia="宋体"/>
          <w:color w:val="auto"/>
          <w:highlight w:val="none"/>
        </w:rPr>
        <w:t>；</w:t>
      </w:r>
      <w:r>
        <w:rPr>
          <w:rFonts w:ascii="宋体" w:hAnsi="宋体" w:eastAsia="宋体"/>
          <w:color w:val="auto"/>
          <w:highlight w:val="none"/>
        </w:rPr>
        <w:t>手术室的医用织物(如手术衣、手术铺单等)单独洗涤。</w:t>
      </w:r>
    </w:p>
    <w:p w14:paraId="306D99C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b/>
          <w:bCs/>
          <w:color w:val="auto"/>
          <w:highlight w:val="none"/>
        </w:rPr>
      </w:pPr>
      <w:r>
        <w:rPr>
          <w:rFonts w:ascii="宋体" w:hAnsi="宋体" w:eastAsia="宋体"/>
          <w:color w:val="auto"/>
          <w:highlight w:val="none"/>
        </w:rPr>
        <w:t>1.6对疑似感染性布草必须按《医院医用织物洗涤消毒技术规范》的原则与方法洗涤、消毒。</w:t>
      </w:r>
    </w:p>
    <w:p w14:paraId="1DE4FA3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2.洗涤</w:t>
      </w:r>
      <w:r>
        <w:rPr>
          <w:rFonts w:ascii="宋体" w:hAnsi="宋体" w:eastAsia="宋体"/>
          <w:color w:val="auto"/>
          <w:highlight w:val="none"/>
        </w:rPr>
        <w:t>工作要求</w:t>
      </w:r>
    </w:p>
    <w:p w14:paraId="3DC70D0F">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b/>
          <w:bCs/>
          <w:color w:val="auto"/>
          <w:highlight w:val="none"/>
        </w:rPr>
      </w:pPr>
      <w:r>
        <w:rPr>
          <w:rFonts w:ascii="宋体" w:hAnsi="宋体" w:eastAsia="宋体"/>
          <w:b/>
          <w:bCs/>
          <w:color w:val="auto"/>
          <w:highlight w:val="none"/>
        </w:rPr>
        <w:t>下收：</w:t>
      </w:r>
    </w:p>
    <w:p w14:paraId="35352FB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2.1</w:t>
      </w:r>
      <w:r>
        <w:rPr>
          <w:rFonts w:hint="eastAsia" w:ascii="宋体" w:hAnsi="宋体" w:eastAsia="宋体"/>
          <w:color w:val="auto"/>
          <w:highlight w:val="none"/>
        </w:rPr>
        <w:t>配备专人收本部工作衣</w:t>
      </w:r>
      <w:r>
        <w:rPr>
          <w:rFonts w:ascii="宋体" w:hAnsi="宋体" w:eastAsia="宋体"/>
          <w:color w:val="auto"/>
          <w:highlight w:val="none"/>
        </w:rPr>
        <w:t>（</w:t>
      </w:r>
      <w:r>
        <w:rPr>
          <w:rFonts w:hint="eastAsia" w:ascii="宋体" w:hAnsi="宋体" w:eastAsia="宋体"/>
          <w:color w:val="auto"/>
          <w:highlight w:val="none"/>
        </w:rPr>
        <w:t>裤</w:t>
      </w:r>
      <w:r>
        <w:rPr>
          <w:rFonts w:ascii="宋体" w:hAnsi="宋体" w:eastAsia="宋体"/>
          <w:color w:val="auto"/>
          <w:highlight w:val="none"/>
        </w:rPr>
        <w:t>），</w:t>
      </w:r>
      <w:r>
        <w:rPr>
          <w:rFonts w:hint="eastAsia" w:ascii="宋体" w:hAnsi="宋体" w:eastAsia="宋体"/>
          <w:color w:val="auto"/>
          <w:highlight w:val="none"/>
        </w:rPr>
        <w:t>被服等布草类物品</w:t>
      </w:r>
      <w:r>
        <w:rPr>
          <w:rFonts w:ascii="宋体" w:hAnsi="宋体" w:eastAsia="宋体"/>
          <w:color w:val="auto"/>
          <w:highlight w:val="none"/>
        </w:rPr>
        <w:t>，</w:t>
      </w:r>
      <w:r>
        <w:rPr>
          <w:rFonts w:hint="eastAsia" w:ascii="宋体" w:hAnsi="宋体" w:eastAsia="宋体"/>
          <w:color w:val="auto"/>
          <w:highlight w:val="none"/>
        </w:rPr>
        <w:t>收取人员必须着装挂牌上岗</w:t>
      </w:r>
      <w:r>
        <w:rPr>
          <w:rFonts w:ascii="宋体" w:hAnsi="宋体" w:eastAsia="宋体"/>
          <w:color w:val="auto"/>
          <w:highlight w:val="none"/>
        </w:rPr>
        <w:t>。</w:t>
      </w:r>
      <w:r>
        <w:rPr>
          <w:rFonts w:hint="eastAsia" w:ascii="宋体" w:hAnsi="宋体" w:eastAsia="宋体"/>
          <w:color w:val="auto"/>
          <w:highlight w:val="none"/>
        </w:rPr>
        <w:t>与各部门商定收取时间</w:t>
      </w:r>
      <w:r>
        <w:rPr>
          <w:rFonts w:ascii="宋体" w:hAnsi="宋体" w:eastAsia="宋体"/>
          <w:color w:val="auto"/>
          <w:highlight w:val="none"/>
        </w:rPr>
        <w:t>、</w:t>
      </w:r>
      <w:r>
        <w:rPr>
          <w:rFonts w:hint="eastAsia" w:ascii="宋体" w:hAnsi="宋体" w:eastAsia="宋体"/>
          <w:color w:val="auto"/>
          <w:highlight w:val="none"/>
        </w:rPr>
        <w:t>地点</w:t>
      </w:r>
      <w:r>
        <w:rPr>
          <w:rFonts w:ascii="宋体" w:hAnsi="宋体" w:eastAsia="宋体"/>
          <w:color w:val="auto"/>
          <w:highlight w:val="none"/>
        </w:rPr>
        <w:t>、</w:t>
      </w:r>
      <w:r>
        <w:rPr>
          <w:rFonts w:hint="eastAsia" w:ascii="宋体" w:hAnsi="宋体" w:eastAsia="宋体"/>
          <w:color w:val="auto"/>
          <w:highlight w:val="none"/>
        </w:rPr>
        <w:t>交接方式</w:t>
      </w:r>
      <w:r>
        <w:rPr>
          <w:rFonts w:ascii="宋体" w:hAnsi="宋体" w:eastAsia="宋体"/>
          <w:color w:val="auto"/>
          <w:highlight w:val="none"/>
        </w:rPr>
        <w:t>，</w:t>
      </w:r>
      <w:r>
        <w:rPr>
          <w:rFonts w:hint="eastAsia" w:ascii="宋体" w:hAnsi="宋体" w:eastAsia="宋体"/>
          <w:color w:val="auto"/>
          <w:highlight w:val="none"/>
        </w:rPr>
        <w:t>特殊情况按客户需求收取</w:t>
      </w:r>
      <w:r>
        <w:rPr>
          <w:rFonts w:ascii="宋体" w:hAnsi="宋体" w:eastAsia="宋体"/>
          <w:color w:val="auto"/>
          <w:highlight w:val="none"/>
        </w:rPr>
        <w:t>。</w:t>
      </w:r>
      <w:r>
        <w:rPr>
          <w:rFonts w:hint="eastAsia" w:ascii="宋体" w:hAnsi="宋体" w:eastAsia="宋体"/>
          <w:color w:val="auto"/>
          <w:highlight w:val="none"/>
        </w:rPr>
        <w:t>病区的各单元确保在每天</w:t>
      </w:r>
      <w:r>
        <w:rPr>
          <w:rFonts w:ascii="宋体" w:hAnsi="宋体" w:eastAsia="宋体"/>
          <w:color w:val="auto"/>
          <w:highlight w:val="none"/>
        </w:rPr>
        <w:t>10</w:t>
      </w:r>
      <w:r>
        <w:rPr>
          <w:rFonts w:hint="eastAsia" w:ascii="宋体" w:hAnsi="宋体" w:eastAsia="宋体"/>
          <w:color w:val="auto"/>
          <w:highlight w:val="none"/>
        </w:rPr>
        <w:t>:</w:t>
      </w:r>
      <w:r>
        <w:rPr>
          <w:rFonts w:ascii="宋体" w:hAnsi="宋体" w:eastAsia="宋体"/>
          <w:color w:val="auto"/>
          <w:highlight w:val="none"/>
        </w:rPr>
        <w:t>00</w:t>
      </w:r>
      <w:r>
        <w:rPr>
          <w:rFonts w:hint="eastAsia" w:ascii="宋体" w:hAnsi="宋体" w:eastAsia="宋体"/>
          <w:color w:val="auto"/>
          <w:highlight w:val="none"/>
        </w:rPr>
        <w:t>前清空污物袋</w:t>
      </w:r>
      <w:r>
        <w:rPr>
          <w:rFonts w:ascii="宋体" w:hAnsi="宋体" w:eastAsia="宋体"/>
          <w:color w:val="auto"/>
          <w:highlight w:val="none"/>
        </w:rPr>
        <w:t>。</w:t>
      </w:r>
    </w:p>
    <w:p w14:paraId="59A0E0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2.2</w:t>
      </w:r>
      <w:r>
        <w:rPr>
          <w:rFonts w:hint="eastAsia" w:ascii="宋体" w:hAnsi="宋体" w:eastAsia="宋体"/>
          <w:color w:val="auto"/>
          <w:highlight w:val="none"/>
        </w:rPr>
        <w:t>配备专业运输袋</w:t>
      </w:r>
      <w:r>
        <w:rPr>
          <w:rFonts w:ascii="宋体" w:hAnsi="宋体" w:eastAsia="宋体"/>
          <w:color w:val="auto"/>
          <w:highlight w:val="none"/>
        </w:rPr>
        <w:t>，</w:t>
      </w:r>
      <w:r>
        <w:rPr>
          <w:rFonts w:hint="eastAsia" w:ascii="宋体" w:hAnsi="宋体" w:eastAsia="宋体"/>
          <w:color w:val="auto"/>
          <w:highlight w:val="none"/>
        </w:rPr>
        <w:t>干净与脏污袋必须两种颜色区分并告知甲方</w:t>
      </w:r>
      <w:r>
        <w:rPr>
          <w:rFonts w:ascii="宋体" w:hAnsi="宋体" w:eastAsia="宋体"/>
          <w:color w:val="auto"/>
          <w:highlight w:val="none"/>
        </w:rPr>
        <w:t>，</w:t>
      </w:r>
      <w:r>
        <w:rPr>
          <w:rFonts w:hint="eastAsia" w:ascii="宋体" w:hAnsi="宋体" w:eastAsia="宋体"/>
          <w:color w:val="auto"/>
          <w:highlight w:val="none"/>
        </w:rPr>
        <w:t>包装密封</w:t>
      </w:r>
      <w:r>
        <w:rPr>
          <w:rFonts w:ascii="宋体" w:hAnsi="宋体" w:eastAsia="宋体"/>
          <w:color w:val="auto"/>
          <w:highlight w:val="none"/>
        </w:rPr>
        <w:t>。</w:t>
      </w:r>
      <w:r>
        <w:rPr>
          <w:rFonts w:hint="eastAsia" w:ascii="宋体" w:hAnsi="宋体" w:eastAsia="宋体"/>
          <w:color w:val="auto"/>
          <w:highlight w:val="none"/>
        </w:rPr>
        <w:t>手术室</w:t>
      </w:r>
      <w:r>
        <w:rPr>
          <w:rFonts w:ascii="宋体" w:hAnsi="宋体" w:eastAsia="宋体"/>
          <w:color w:val="auto"/>
          <w:highlight w:val="none"/>
        </w:rPr>
        <w:t>、</w:t>
      </w:r>
      <w:r>
        <w:rPr>
          <w:rFonts w:hint="eastAsia" w:ascii="宋体" w:hAnsi="宋体" w:eastAsia="宋体"/>
          <w:color w:val="auto"/>
          <w:highlight w:val="none"/>
        </w:rPr>
        <w:t>妇产科等</w:t>
      </w:r>
      <w:r>
        <w:rPr>
          <w:rFonts w:ascii="宋体" w:hAnsi="宋体" w:eastAsia="宋体"/>
          <w:color w:val="auto"/>
          <w:highlight w:val="none"/>
        </w:rPr>
        <w:t>污物较重的部门安排专人专收，专门打包，不得与其它布件混装，污物收取直接清点入包，严禁二次污染。运输袋确保每天清洗消毒一次。</w:t>
      </w:r>
    </w:p>
    <w:p w14:paraId="4CB3AB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2.3</w:t>
      </w:r>
      <w:r>
        <w:rPr>
          <w:rFonts w:ascii="宋体" w:hAnsi="宋体" w:eastAsia="宋体"/>
          <w:color w:val="auto"/>
          <w:highlight w:val="none"/>
        </w:rPr>
        <w:t>每天</w:t>
      </w:r>
      <w:r>
        <w:rPr>
          <w:rFonts w:hint="eastAsia" w:ascii="宋体" w:hAnsi="宋体" w:eastAsia="宋体"/>
          <w:color w:val="auto"/>
          <w:highlight w:val="none"/>
        </w:rPr>
        <w:t>准</w:t>
      </w:r>
      <w:r>
        <w:rPr>
          <w:rFonts w:ascii="宋体" w:hAnsi="宋体" w:eastAsia="宋体"/>
          <w:color w:val="auto"/>
          <w:highlight w:val="none"/>
        </w:rPr>
        <w:t>确填写</w:t>
      </w:r>
      <w:r>
        <w:rPr>
          <w:rFonts w:hint="eastAsia" w:ascii="宋体" w:hAnsi="宋体" w:eastAsia="宋体"/>
          <w:color w:val="auto"/>
          <w:highlight w:val="none"/>
        </w:rPr>
        <w:t>洗</w:t>
      </w:r>
      <w:r>
        <w:rPr>
          <w:rFonts w:ascii="宋体" w:hAnsi="宋体" w:eastAsia="宋体"/>
          <w:color w:val="auto"/>
          <w:highlight w:val="none"/>
        </w:rPr>
        <w:t>涤</w:t>
      </w:r>
      <w:r>
        <w:rPr>
          <w:rFonts w:hint="eastAsia" w:ascii="宋体" w:hAnsi="宋体" w:eastAsia="宋体"/>
          <w:color w:val="auto"/>
          <w:highlight w:val="none"/>
        </w:rPr>
        <w:t>四</w:t>
      </w:r>
      <w:r>
        <w:rPr>
          <w:rFonts w:ascii="宋体" w:hAnsi="宋体" w:eastAsia="宋体"/>
          <w:color w:val="auto"/>
          <w:highlight w:val="none"/>
        </w:rPr>
        <w:t>联单，如实记录收情况(部门、号码、件数)，</w:t>
      </w:r>
      <w:r>
        <w:rPr>
          <w:rFonts w:hint="eastAsia" w:ascii="宋体" w:hAnsi="宋体" w:eastAsia="宋体"/>
          <w:color w:val="auto"/>
          <w:highlight w:val="none"/>
        </w:rPr>
        <w:t>白联洗涤</w:t>
      </w:r>
      <w:r>
        <w:rPr>
          <w:rFonts w:ascii="宋体" w:hAnsi="宋体" w:eastAsia="宋体"/>
          <w:color w:val="auto"/>
          <w:highlight w:val="none"/>
        </w:rPr>
        <w:t>公司自留，</w:t>
      </w:r>
      <w:r>
        <w:rPr>
          <w:rFonts w:hint="eastAsia" w:ascii="宋体" w:hAnsi="宋体" w:eastAsia="宋体"/>
          <w:color w:val="auto"/>
          <w:highlight w:val="none"/>
        </w:rPr>
        <w:t>蓝联</w:t>
      </w:r>
      <w:r>
        <w:rPr>
          <w:rFonts w:ascii="宋体" w:hAnsi="宋体" w:eastAsia="宋体"/>
          <w:color w:val="auto"/>
          <w:highlight w:val="none"/>
        </w:rPr>
        <w:t>分拣查漏用。</w:t>
      </w:r>
      <w:r>
        <w:rPr>
          <w:rFonts w:hint="eastAsia" w:ascii="宋体" w:hAnsi="宋体" w:eastAsia="宋体"/>
          <w:color w:val="auto"/>
          <w:highlight w:val="none"/>
        </w:rPr>
        <w:t>红</w:t>
      </w:r>
      <w:r>
        <w:rPr>
          <w:rFonts w:ascii="宋体" w:hAnsi="宋体" w:eastAsia="宋体"/>
          <w:color w:val="auto"/>
          <w:highlight w:val="none"/>
        </w:rPr>
        <w:t>联交医院</w:t>
      </w:r>
      <w:r>
        <w:rPr>
          <w:rFonts w:hint="eastAsia" w:ascii="宋体" w:hAnsi="宋体" w:eastAsia="宋体"/>
          <w:color w:val="auto"/>
          <w:highlight w:val="none"/>
        </w:rPr>
        <w:t>各科室</w:t>
      </w:r>
      <w:r>
        <w:rPr>
          <w:rFonts w:ascii="宋体" w:hAnsi="宋体" w:eastAsia="宋体"/>
          <w:color w:val="auto"/>
          <w:highlight w:val="none"/>
        </w:rPr>
        <w:t>，以备核实，</w:t>
      </w:r>
      <w:r>
        <w:rPr>
          <w:rFonts w:hint="eastAsia" w:ascii="宋体" w:hAnsi="宋体" w:eastAsia="宋体"/>
          <w:color w:val="auto"/>
          <w:highlight w:val="none"/>
        </w:rPr>
        <w:t>黄</w:t>
      </w:r>
      <w:r>
        <w:rPr>
          <w:rFonts w:ascii="宋体" w:hAnsi="宋体" w:eastAsia="宋体"/>
          <w:color w:val="auto"/>
          <w:highlight w:val="none"/>
        </w:rPr>
        <w:t>联交洗衣房</w:t>
      </w:r>
      <w:r>
        <w:rPr>
          <w:rFonts w:hint="eastAsia" w:ascii="宋体" w:hAnsi="宋体" w:eastAsia="宋体"/>
          <w:color w:val="auto"/>
          <w:highlight w:val="none"/>
        </w:rPr>
        <w:t>核算</w:t>
      </w:r>
      <w:r>
        <w:rPr>
          <w:rFonts w:ascii="宋体" w:hAnsi="宋体" w:eastAsia="宋体"/>
          <w:color w:val="auto"/>
          <w:highlight w:val="none"/>
        </w:rPr>
        <w:t>数据。</w:t>
      </w:r>
    </w:p>
    <w:p w14:paraId="1F696BA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2.4</w:t>
      </w:r>
      <w:r>
        <w:rPr>
          <w:rFonts w:ascii="宋体" w:hAnsi="宋体" w:eastAsia="宋体"/>
          <w:color w:val="auto"/>
          <w:highlight w:val="none"/>
        </w:rPr>
        <w:t>详细记录</w:t>
      </w:r>
      <w:r>
        <w:rPr>
          <w:rFonts w:hint="eastAsia" w:ascii="宋体" w:hAnsi="宋体" w:eastAsia="宋体"/>
          <w:color w:val="auto"/>
          <w:highlight w:val="none"/>
        </w:rPr>
        <w:t>各科室</w:t>
      </w:r>
      <w:r>
        <w:rPr>
          <w:rFonts w:ascii="宋体" w:hAnsi="宋体" w:eastAsia="宋体"/>
          <w:color w:val="auto"/>
          <w:highlight w:val="none"/>
        </w:rPr>
        <w:t>对衣裤的缝补要求。</w:t>
      </w:r>
    </w:p>
    <w:p w14:paraId="456E5EC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2.5</w:t>
      </w:r>
      <w:r>
        <w:rPr>
          <w:rFonts w:ascii="宋体" w:hAnsi="宋体" w:eastAsia="宋体"/>
          <w:color w:val="auto"/>
          <w:highlight w:val="none"/>
        </w:rPr>
        <w:t>发现袋中有遗留物品，及时交与</w:t>
      </w:r>
      <w:r>
        <w:rPr>
          <w:rFonts w:hint="eastAsia" w:ascii="宋体" w:hAnsi="宋体" w:eastAsia="宋体"/>
          <w:color w:val="auto"/>
          <w:highlight w:val="none"/>
        </w:rPr>
        <w:t>洗衣房</w:t>
      </w:r>
      <w:r>
        <w:rPr>
          <w:rFonts w:ascii="宋体" w:hAnsi="宋体" w:eastAsia="宋体"/>
          <w:color w:val="auto"/>
          <w:highlight w:val="none"/>
        </w:rPr>
        <w:t>或归还失主。</w:t>
      </w:r>
    </w:p>
    <w:p w14:paraId="5FFAF2A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2.6</w:t>
      </w:r>
      <w:r>
        <w:rPr>
          <w:rFonts w:ascii="宋体" w:hAnsi="宋体" w:eastAsia="宋体"/>
          <w:color w:val="auto"/>
          <w:highlight w:val="none"/>
        </w:rPr>
        <w:t>服务规范、态度和蔼、不得无理由的漏收、不收。</w:t>
      </w:r>
    </w:p>
    <w:p w14:paraId="749756BE">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b/>
          <w:bCs/>
          <w:color w:val="auto"/>
          <w:highlight w:val="none"/>
        </w:rPr>
      </w:pPr>
      <w:r>
        <w:rPr>
          <w:rFonts w:ascii="宋体" w:hAnsi="宋体" w:eastAsia="宋体"/>
          <w:b/>
          <w:bCs/>
          <w:color w:val="auto"/>
          <w:highlight w:val="none"/>
        </w:rPr>
        <w:t>洗涤：</w:t>
      </w:r>
    </w:p>
    <w:p w14:paraId="735EA3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3.1</w:t>
      </w:r>
      <w:r>
        <w:rPr>
          <w:rFonts w:ascii="宋体" w:hAnsi="宋体" w:eastAsia="宋体"/>
          <w:color w:val="auto"/>
          <w:highlight w:val="none"/>
        </w:rPr>
        <w:t>配备专用洗涤设备、床单元不得与其它布件混洗，工作衣裤、值班床单元使用专机专洗，每天对洗涤设备消毒一次。</w:t>
      </w:r>
    </w:p>
    <w:p w14:paraId="40EADAF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3.2</w:t>
      </w:r>
      <w:r>
        <w:rPr>
          <w:rFonts w:ascii="宋体" w:hAnsi="宋体" w:eastAsia="宋体"/>
          <w:color w:val="auto"/>
          <w:highlight w:val="none"/>
        </w:rPr>
        <w:t>操作环境整洁、宽敞；洁、污分开，分工明确。</w:t>
      </w:r>
    </w:p>
    <w:p w14:paraId="1810C84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3.3</w:t>
      </w:r>
      <w:r>
        <w:rPr>
          <w:rFonts w:ascii="宋体" w:hAnsi="宋体" w:eastAsia="宋体"/>
          <w:color w:val="auto"/>
          <w:highlight w:val="none"/>
        </w:rPr>
        <w:t>使用符合标准的洗涤助剂，不得用损伤衣物品质的洗涤助剂，助剂残留符合标准。</w:t>
      </w:r>
    </w:p>
    <w:p w14:paraId="770DE08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3.4</w:t>
      </w:r>
      <w:r>
        <w:rPr>
          <w:rFonts w:ascii="宋体" w:hAnsi="宋体" w:eastAsia="宋体"/>
          <w:color w:val="auto"/>
          <w:highlight w:val="none"/>
        </w:rPr>
        <w:t>严格按浸泡、主洗、漂洗两次流程洗涤。</w:t>
      </w:r>
    </w:p>
    <w:p w14:paraId="0D55B17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3.5</w:t>
      </w:r>
      <w:r>
        <w:rPr>
          <w:rFonts w:ascii="宋体" w:hAnsi="宋体" w:eastAsia="宋体"/>
          <w:color w:val="auto"/>
          <w:highlight w:val="none"/>
        </w:rPr>
        <w:t>洗涤出的布件确保洁白、无污渍、无侵蚀、无破损。</w:t>
      </w:r>
    </w:p>
    <w:p w14:paraId="77C2C41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3.6</w:t>
      </w:r>
      <w:r>
        <w:rPr>
          <w:rFonts w:ascii="宋体" w:hAnsi="宋体" w:eastAsia="宋体"/>
          <w:color w:val="auto"/>
          <w:highlight w:val="none"/>
        </w:rPr>
        <w:t>布件做到整烫整齐，无皱褶。</w:t>
      </w:r>
    </w:p>
    <w:p w14:paraId="7BBA0522">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b/>
          <w:bCs/>
          <w:color w:val="auto"/>
          <w:highlight w:val="none"/>
        </w:rPr>
      </w:pPr>
      <w:r>
        <w:rPr>
          <w:rFonts w:ascii="宋体" w:hAnsi="宋体" w:eastAsia="宋体"/>
          <w:b/>
          <w:bCs/>
          <w:color w:val="auto"/>
          <w:highlight w:val="none"/>
        </w:rPr>
        <w:t>分拣：</w:t>
      </w:r>
    </w:p>
    <w:p w14:paraId="065146D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4.1</w:t>
      </w:r>
      <w:r>
        <w:rPr>
          <w:rFonts w:ascii="宋体" w:hAnsi="宋体" w:eastAsia="宋体"/>
          <w:color w:val="auto"/>
          <w:highlight w:val="none"/>
        </w:rPr>
        <w:t>区域划分规范，分拣室环境整洁，通风良好，无污物。分拣与洗涤分开。</w:t>
      </w:r>
    </w:p>
    <w:p w14:paraId="3561940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4.2</w:t>
      </w:r>
      <w:r>
        <w:rPr>
          <w:rFonts w:ascii="宋体" w:hAnsi="宋体" w:eastAsia="宋体"/>
          <w:color w:val="auto"/>
          <w:highlight w:val="none"/>
        </w:rPr>
        <w:t>配备专门人员进行分栋，工作细致，责任心强，身体健廉，无传</w:t>
      </w:r>
      <w:r>
        <w:rPr>
          <w:rFonts w:hint="eastAsia" w:ascii="宋体" w:hAnsi="宋体" w:eastAsia="宋体"/>
          <w:color w:val="auto"/>
          <w:highlight w:val="none"/>
        </w:rPr>
        <w:t>染病</w:t>
      </w:r>
      <w:r>
        <w:rPr>
          <w:rFonts w:ascii="宋体" w:hAnsi="宋体" w:eastAsia="宋体"/>
          <w:color w:val="auto"/>
          <w:highlight w:val="none"/>
        </w:rPr>
        <w:t>。</w:t>
      </w:r>
    </w:p>
    <w:p w14:paraId="239AF6B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4.3</w:t>
      </w:r>
      <w:r>
        <w:rPr>
          <w:rFonts w:ascii="宋体" w:hAnsi="宋体" w:eastAsia="宋体"/>
          <w:color w:val="auto"/>
          <w:highlight w:val="none"/>
        </w:rPr>
        <w:t>按</w:t>
      </w:r>
      <w:r>
        <w:rPr>
          <w:rFonts w:hint="eastAsia" w:ascii="宋体" w:hAnsi="宋体" w:eastAsia="宋体"/>
          <w:color w:val="auto"/>
          <w:highlight w:val="none"/>
        </w:rPr>
        <w:t>蓝</w:t>
      </w:r>
      <w:r>
        <w:rPr>
          <w:rFonts w:ascii="宋体" w:hAnsi="宋体" w:eastAsia="宋体"/>
          <w:color w:val="auto"/>
          <w:highlight w:val="none"/>
        </w:rPr>
        <w:t>联记录进行分拣，避免漏检、错拣、</w:t>
      </w:r>
      <w:r>
        <w:rPr>
          <w:rFonts w:hint="eastAsia" w:ascii="宋体" w:hAnsi="宋体" w:eastAsia="宋体"/>
          <w:color w:val="auto"/>
          <w:highlight w:val="none"/>
        </w:rPr>
        <w:t>错</w:t>
      </w:r>
      <w:r>
        <w:rPr>
          <w:rFonts w:ascii="宋体" w:hAnsi="宋体" w:eastAsia="宋体"/>
          <w:color w:val="auto"/>
          <w:highlight w:val="none"/>
        </w:rPr>
        <w:t>误率控制在 1%以下。</w:t>
      </w:r>
    </w:p>
    <w:p w14:paraId="37E478E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4.4</w:t>
      </w:r>
      <w:r>
        <w:rPr>
          <w:rFonts w:ascii="宋体" w:hAnsi="宋体" w:eastAsia="宋体"/>
          <w:color w:val="auto"/>
          <w:highlight w:val="none"/>
        </w:rPr>
        <w:t>需要缝补的衣物及时按要求缝补。</w:t>
      </w:r>
    </w:p>
    <w:p w14:paraId="0C67D398">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b/>
          <w:bCs/>
          <w:color w:val="auto"/>
          <w:highlight w:val="none"/>
        </w:rPr>
      </w:pPr>
      <w:r>
        <w:rPr>
          <w:rFonts w:ascii="宋体" w:hAnsi="宋体" w:eastAsia="宋体"/>
          <w:b/>
          <w:bCs/>
          <w:color w:val="auto"/>
          <w:highlight w:val="none"/>
        </w:rPr>
        <w:t>下送：</w:t>
      </w:r>
    </w:p>
    <w:p w14:paraId="0D7F114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5.1</w:t>
      </w:r>
      <w:r>
        <w:rPr>
          <w:rFonts w:ascii="宋体" w:hAnsi="宋体" w:eastAsia="宋体"/>
          <w:color w:val="auto"/>
          <w:highlight w:val="none"/>
        </w:rPr>
        <w:t>与各</w:t>
      </w:r>
      <w:r>
        <w:rPr>
          <w:rFonts w:hint="eastAsia" w:ascii="宋体" w:hAnsi="宋体" w:eastAsia="宋体"/>
          <w:color w:val="auto"/>
          <w:highlight w:val="none"/>
        </w:rPr>
        <w:t>科室</w:t>
      </w:r>
      <w:r>
        <w:rPr>
          <w:rFonts w:ascii="宋体" w:hAnsi="宋体" w:eastAsia="宋体"/>
          <w:color w:val="auto"/>
          <w:highlight w:val="none"/>
        </w:rPr>
        <w:t>商定下送时间、地点、及时下送，对错、窜、少现象及时纠正，发现遗失、破损明确责任人，按价赔偿。</w:t>
      </w:r>
    </w:p>
    <w:p w14:paraId="1926DAF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5.2</w:t>
      </w:r>
      <w:r>
        <w:rPr>
          <w:rFonts w:hint="eastAsia" w:ascii="宋体" w:hAnsi="宋体" w:eastAsia="宋体"/>
          <w:color w:val="auto"/>
          <w:highlight w:val="none"/>
        </w:rPr>
        <w:t>收</w:t>
      </w:r>
      <w:r>
        <w:rPr>
          <w:rFonts w:ascii="宋体" w:hAnsi="宋体" w:eastAsia="宋体"/>
          <w:color w:val="auto"/>
          <w:highlight w:val="none"/>
        </w:rPr>
        <w:t>、</w:t>
      </w:r>
      <w:r>
        <w:rPr>
          <w:rFonts w:hint="eastAsia" w:ascii="宋体" w:hAnsi="宋体" w:eastAsia="宋体"/>
          <w:color w:val="auto"/>
          <w:highlight w:val="none"/>
        </w:rPr>
        <w:t>送人员一致</w:t>
      </w:r>
      <w:r>
        <w:rPr>
          <w:rFonts w:ascii="宋体" w:hAnsi="宋体" w:eastAsia="宋体"/>
          <w:color w:val="auto"/>
          <w:highlight w:val="none"/>
        </w:rPr>
        <w:t>，</w:t>
      </w:r>
      <w:r>
        <w:rPr>
          <w:rFonts w:hint="eastAsia" w:ascii="宋体" w:hAnsi="宋体" w:eastAsia="宋体"/>
          <w:color w:val="auto"/>
          <w:highlight w:val="none"/>
        </w:rPr>
        <w:t>清点清楚</w:t>
      </w:r>
      <w:r>
        <w:rPr>
          <w:rFonts w:ascii="宋体" w:hAnsi="宋体" w:eastAsia="宋体"/>
          <w:color w:val="auto"/>
          <w:highlight w:val="none"/>
        </w:rPr>
        <w:t>，</w:t>
      </w:r>
      <w:r>
        <w:rPr>
          <w:rFonts w:hint="eastAsia" w:ascii="宋体" w:hAnsi="宋体" w:eastAsia="宋体"/>
          <w:color w:val="auto"/>
          <w:highlight w:val="none"/>
        </w:rPr>
        <w:t>当面交接</w:t>
      </w:r>
      <w:r>
        <w:rPr>
          <w:rFonts w:ascii="宋体" w:hAnsi="宋体" w:eastAsia="宋体"/>
          <w:color w:val="auto"/>
          <w:highlight w:val="none"/>
        </w:rPr>
        <w:t>。</w:t>
      </w:r>
    </w:p>
    <w:p w14:paraId="0A62C83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5.3</w:t>
      </w:r>
      <w:r>
        <w:rPr>
          <w:rFonts w:hint="eastAsia" w:ascii="宋体" w:hAnsi="宋体" w:eastAsia="宋体"/>
          <w:color w:val="auto"/>
          <w:highlight w:val="none"/>
        </w:rPr>
        <w:t>尽量满足科室要求</w:t>
      </w:r>
      <w:r>
        <w:rPr>
          <w:rFonts w:ascii="宋体" w:hAnsi="宋体" w:eastAsia="宋体"/>
          <w:color w:val="auto"/>
          <w:highlight w:val="none"/>
        </w:rPr>
        <w:t>，</w:t>
      </w:r>
      <w:r>
        <w:rPr>
          <w:rFonts w:hint="eastAsia" w:ascii="宋体" w:hAnsi="宋体" w:eastAsia="宋体"/>
          <w:color w:val="auto"/>
          <w:highlight w:val="none"/>
        </w:rPr>
        <w:t>做好解释协调工作</w:t>
      </w:r>
      <w:r>
        <w:rPr>
          <w:rFonts w:ascii="宋体" w:hAnsi="宋体" w:eastAsia="宋体"/>
          <w:color w:val="auto"/>
          <w:highlight w:val="none"/>
        </w:rPr>
        <w:t>，</w:t>
      </w:r>
      <w:r>
        <w:rPr>
          <w:rFonts w:hint="eastAsia" w:ascii="宋体" w:hAnsi="宋体" w:eastAsia="宋体"/>
          <w:color w:val="auto"/>
          <w:highlight w:val="none"/>
        </w:rPr>
        <w:t>与各科室护士长或交接员沟通良好</w:t>
      </w:r>
      <w:r>
        <w:rPr>
          <w:rFonts w:ascii="宋体" w:hAnsi="宋体" w:eastAsia="宋体"/>
          <w:color w:val="auto"/>
          <w:highlight w:val="none"/>
        </w:rPr>
        <w:t>，</w:t>
      </w:r>
      <w:r>
        <w:rPr>
          <w:rFonts w:hint="eastAsia" w:ascii="宋体" w:hAnsi="宋体" w:eastAsia="宋体"/>
          <w:color w:val="auto"/>
          <w:highlight w:val="none"/>
        </w:rPr>
        <w:t>方便工作</w:t>
      </w:r>
      <w:r>
        <w:rPr>
          <w:rFonts w:ascii="宋体" w:hAnsi="宋体" w:eastAsia="宋体"/>
          <w:color w:val="auto"/>
          <w:highlight w:val="none"/>
        </w:rPr>
        <w:t>。</w:t>
      </w:r>
    </w:p>
    <w:p w14:paraId="03FDA7B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2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5.4</w:t>
      </w:r>
      <w:r>
        <w:rPr>
          <w:rFonts w:hint="eastAsia" w:ascii="宋体" w:hAnsi="宋体" w:eastAsia="宋体"/>
          <w:color w:val="auto"/>
          <w:highlight w:val="none"/>
        </w:rPr>
        <w:t>熟悉各部门员工工作衣号码</w:t>
      </w:r>
      <w:r>
        <w:rPr>
          <w:rFonts w:ascii="宋体" w:hAnsi="宋体" w:eastAsia="宋体"/>
          <w:color w:val="auto"/>
          <w:highlight w:val="none"/>
        </w:rPr>
        <w:t>，</w:t>
      </w:r>
      <w:r>
        <w:rPr>
          <w:rFonts w:hint="eastAsia" w:ascii="宋体" w:hAnsi="宋体" w:eastAsia="宋体"/>
          <w:color w:val="auto"/>
          <w:highlight w:val="none"/>
        </w:rPr>
        <w:t>了解工作衣编码规律</w:t>
      </w:r>
      <w:r>
        <w:rPr>
          <w:rFonts w:ascii="宋体" w:hAnsi="宋体" w:eastAsia="宋体"/>
          <w:color w:val="auto"/>
          <w:highlight w:val="none"/>
        </w:rPr>
        <w:t>，</w:t>
      </w:r>
      <w:r>
        <w:rPr>
          <w:rFonts w:hint="eastAsia" w:ascii="宋体" w:hAnsi="宋体" w:eastAsia="宋体"/>
          <w:color w:val="auto"/>
          <w:highlight w:val="none"/>
        </w:rPr>
        <w:t>了解各部门布件使用规律</w:t>
      </w:r>
      <w:r>
        <w:rPr>
          <w:rFonts w:ascii="宋体" w:hAnsi="宋体" w:eastAsia="宋体"/>
          <w:color w:val="auto"/>
          <w:highlight w:val="none"/>
        </w:rPr>
        <w:t>。</w:t>
      </w:r>
    </w:p>
    <w:p w14:paraId="5282ACA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olor w:val="auto"/>
          <w:highlight w:val="none"/>
        </w:rPr>
        <w:t>如遇临床投诉</w:t>
      </w:r>
      <w:r>
        <w:rPr>
          <w:rFonts w:ascii="宋体" w:hAnsi="宋体" w:eastAsia="宋体"/>
          <w:color w:val="auto"/>
          <w:highlight w:val="none"/>
        </w:rPr>
        <w:t>，</w:t>
      </w:r>
      <w:r>
        <w:rPr>
          <w:rFonts w:hint="eastAsia" w:ascii="宋体" w:hAnsi="宋体" w:eastAsia="宋体"/>
          <w:color w:val="auto"/>
          <w:highlight w:val="none"/>
        </w:rPr>
        <w:t>乙方管理人员必须尽快到达现场进行处理和沟通</w:t>
      </w:r>
      <w:r>
        <w:rPr>
          <w:rFonts w:ascii="宋体" w:hAnsi="宋体" w:eastAsia="宋体"/>
          <w:color w:val="auto"/>
          <w:highlight w:val="none"/>
        </w:rPr>
        <w:t>，</w:t>
      </w:r>
      <w:r>
        <w:rPr>
          <w:rFonts w:hint="eastAsia" w:ascii="宋体" w:hAnsi="宋体" w:eastAsia="宋体"/>
          <w:color w:val="auto"/>
          <w:highlight w:val="none"/>
        </w:rPr>
        <w:t>情节严重的事件将给予适当处罚</w:t>
      </w:r>
      <w:r>
        <w:rPr>
          <w:rFonts w:ascii="宋体" w:hAnsi="宋体" w:eastAsia="宋体"/>
          <w:color w:val="auto"/>
          <w:highlight w:val="none"/>
        </w:rPr>
        <w:t>。</w:t>
      </w:r>
    </w:p>
    <w:p w14:paraId="78BC5E12">
      <w:pPr>
        <w:pStyle w:val="17"/>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p>
    <w:p w14:paraId="05F6994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4A06E09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被服洗涤服务质量考核标准</w:t>
      </w:r>
    </w:p>
    <w:tbl>
      <w:tblPr>
        <w:tblStyle w:val="44"/>
        <w:tblpPr w:leftFromText="180" w:rightFromText="180" w:vertAnchor="page" w:horzAnchor="page" w:tblpXSpec="center" w:tblpY="2117"/>
        <w:tblW w:w="10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4198"/>
        <w:gridCol w:w="1288"/>
        <w:gridCol w:w="1359"/>
        <w:gridCol w:w="2041"/>
      </w:tblGrid>
      <w:tr w14:paraId="5534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8" w:hRule="atLeast"/>
          <w:jc w:val="center"/>
        </w:trPr>
        <w:tc>
          <w:tcPr>
            <w:tcW w:w="1128" w:type="dxa"/>
            <w:vAlign w:val="center"/>
          </w:tcPr>
          <w:p w14:paraId="0351328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Cs w:val="22"/>
                <w:highlight w:val="none"/>
              </w:rPr>
            </w:pPr>
            <w:r>
              <w:rPr>
                <w:rFonts w:hint="eastAsia" w:ascii="宋体" w:hAnsi="宋体" w:eastAsia="宋体"/>
                <w:b/>
                <w:bCs/>
                <w:color w:val="auto"/>
                <w:szCs w:val="22"/>
                <w:highlight w:val="none"/>
              </w:rPr>
              <w:t>序号</w:t>
            </w:r>
          </w:p>
        </w:tc>
        <w:tc>
          <w:tcPr>
            <w:tcW w:w="4198" w:type="dxa"/>
            <w:vAlign w:val="center"/>
          </w:tcPr>
          <w:p w14:paraId="36174B6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Cs w:val="22"/>
                <w:highlight w:val="none"/>
              </w:rPr>
            </w:pPr>
            <w:r>
              <w:rPr>
                <w:rFonts w:hint="eastAsia" w:ascii="宋体" w:hAnsi="宋体" w:eastAsia="宋体"/>
                <w:b/>
                <w:bCs/>
                <w:color w:val="auto"/>
                <w:szCs w:val="22"/>
                <w:highlight w:val="none"/>
              </w:rPr>
              <w:t>考核内容</w:t>
            </w:r>
          </w:p>
        </w:tc>
        <w:tc>
          <w:tcPr>
            <w:tcW w:w="1288" w:type="dxa"/>
            <w:vAlign w:val="center"/>
          </w:tcPr>
          <w:p w14:paraId="7A2BFE6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Cs w:val="22"/>
                <w:highlight w:val="none"/>
              </w:rPr>
            </w:pPr>
            <w:r>
              <w:rPr>
                <w:rFonts w:hint="eastAsia" w:ascii="宋体" w:hAnsi="宋体" w:eastAsia="宋体"/>
                <w:b/>
                <w:bCs/>
                <w:color w:val="auto"/>
                <w:szCs w:val="22"/>
                <w:highlight w:val="none"/>
              </w:rPr>
              <w:t>分值</w:t>
            </w:r>
          </w:p>
        </w:tc>
        <w:tc>
          <w:tcPr>
            <w:tcW w:w="1359" w:type="dxa"/>
            <w:vAlign w:val="center"/>
          </w:tcPr>
          <w:p w14:paraId="3609931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Cs w:val="22"/>
                <w:highlight w:val="none"/>
              </w:rPr>
            </w:pPr>
            <w:r>
              <w:rPr>
                <w:rFonts w:hint="eastAsia" w:ascii="宋体" w:hAnsi="宋体" w:eastAsia="宋体"/>
                <w:b/>
                <w:bCs/>
                <w:color w:val="auto"/>
                <w:szCs w:val="22"/>
                <w:highlight w:val="none"/>
              </w:rPr>
              <w:t>评分</w:t>
            </w:r>
          </w:p>
        </w:tc>
        <w:tc>
          <w:tcPr>
            <w:tcW w:w="2041" w:type="dxa"/>
            <w:vAlign w:val="center"/>
          </w:tcPr>
          <w:p w14:paraId="35AAEF7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b/>
                <w:bCs/>
                <w:color w:val="auto"/>
                <w:szCs w:val="22"/>
                <w:highlight w:val="none"/>
              </w:rPr>
            </w:pPr>
            <w:r>
              <w:rPr>
                <w:rFonts w:hint="eastAsia" w:ascii="宋体" w:hAnsi="宋体" w:eastAsia="宋体"/>
                <w:b/>
                <w:bCs/>
                <w:color w:val="auto"/>
                <w:szCs w:val="22"/>
                <w:highlight w:val="none"/>
              </w:rPr>
              <w:t>反馈意见</w:t>
            </w:r>
          </w:p>
        </w:tc>
      </w:tr>
      <w:tr w14:paraId="483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1128" w:type="dxa"/>
            <w:vAlign w:val="center"/>
          </w:tcPr>
          <w:p w14:paraId="14A1157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w:t>
            </w:r>
          </w:p>
        </w:tc>
        <w:tc>
          <w:tcPr>
            <w:tcW w:w="4198" w:type="dxa"/>
          </w:tcPr>
          <w:p w14:paraId="2FD42B06">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货品是否缺少，考核标准：每出现一次不合格扣1分</w:t>
            </w:r>
          </w:p>
        </w:tc>
        <w:tc>
          <w:tcPr>
            <w:tcW w:w="1288" w:type="dxa"/>
            <w:vAlign w:val="center"/>
          </w:tcPr>
          <w:p w14:paraId="612E27A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4DDD087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64381934">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27F59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1128" w:type="dxa"/>
            <w:vAlign w:val="center"/>
          </w:tcPr>
          <w:p w14:paraId="01F6672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2</w:t>
            </w:r>
          </w:p>
        </w:tc>
        <w:tc>
          <w:tcPr>
            <w:tcW w:w="4198" w:type="dxa"/>
          </w:tcPr>
          <w:p w14:paraId="5E15A113">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货品洗涤质量，考核标准：每出现一次不合格扣1分</w:t>
            </w:r>
          </w:p>
        </w:tc>
        <w:tc>
          <w:tcPr>
            <w:tcW w:w="1288" w:type="dxa"/>
            <w:vAlign w:val="center"/>
          </w:tcPr>
          <w:p w14:paraId="73D09DC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6C83F73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p w14:paraId="3D6980F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603EB6C9">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4733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28" w:type="dxa"/>
            <w:vAlign w:val="center"/>
          </w:tcPr>
          <w:p w14:paraId="20A0564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3</w:t>
            </w:r>
          </w:p>
          <w:p w14:paraId="6D069F4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tcPr>
          <w:p w14:paraId="11530239">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货品叠放是否整齐，考核标准：每出现一次不合格扣1分</w:t>
            </w:r>
          </w:p>
        </w:tc>
        <w:tc>
          <w:tcPr>
            <w:tcW w:w="1288" w:type="dxa"/>
            <w:vAlign w:val="center"/>
          </w:tcPr>
          <w:p w14:paraId="187F618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7AAD2FD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5A458712">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391E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128" w:type="dxa"/>
            <w:vAlign w:val="center"/>
          </w:tcPr>
          <w:p w14:paraId="4C2CFE3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4</w:t>
            </w:r>
          </w:p>
          <w:p w14:paraId="599ECFC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tcPr>
          <w:p w14:paraId="422369BD">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工作服洗涤是否洁净，考核标准：每出现一次不合格扣1分</w:t>
            </w:r>
          </w:p>
        </w:tc>
        <w:tc>
          <w:tcPr>
            <w:tcW w:w="1288" w:type="dxa"/>
            <w:vAlign w:val="center"/>
          </w:tcPr>
          <w:p w14:paraId="3127312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3099704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1B2DB608">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0207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128" w:type="dxa"/>
            <w:vAlign w:val="center"/>
          </w:tcPr>
          <w:p w14:paraId="36B5838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5</w:t>
            </w:r>
          </w:p>
          <w:p w14:paraId="2078360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tcPr>
          <w:p w14:paraId="05CFFEE0">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缝补是否及时，考核标准：每出现一次不合格扣1分</w:t>
            </w:r>
          </w:p>
        </w:tc>
        <w:tc>
          <w:tcPr>
            <w:tcW w:w="1288" w:type="dxa"/>
            <w:vAlign w:val="center"/>
          </w:tcPr>
          <w:p w14:paraId="0FD1F2B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717E48FD">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c>
          <w:tcPr>
            <w:tcW w:w="2041" w:type="dxa"/>
          </w:tcPr>
          <w:p w14:paraId="5A4280D4">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459D8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128" w:type="dxa"/>
            <w:vAlign w:val="center"/>
          </w:tcPr>
          <w:p w14:paraId="4C73100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6</w:t>
            </w:r>
          </w:p>
          <w:p w14:paraId="08EFD2E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tcPr>
          <w:p w14:paraId="1533902C">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送达是否按时，考核标准：每出现一次不合格扣1分</w:t>
            </w:r>
          </w:p>
        </w:tc>
        <w:tc>
          <w:tcPr>
            <w:tcW w:w="1288" w:type="dxa"/>
            <w:vAlign w:val="center"/>
          </w:tcPr>
          <w:p w14:paraId="6B33A64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10分</w:t>
            </w:r>
          </w:p>
        </w:tc>
        <w:tc>
          <w:tcPr>
            <w:tcW w:w="1359" w:type="dxa"/>
            <w:vAlign w:val="center"/>
          </w:tcPr>
          <w:p w14:paraId="42B7029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695EE20C">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1449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1128" w:type="dxa"/>
            <w:vAlign w:val="center"/>
          </w:tcPr>
          <w:p w14:paraId="0697757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7</w:t>
            </w:r>
          </w:p>
          <w:p w14:paraId="374853A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tcPr>
          <w:p w14:paraId="504846ED">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r>
              <w:rPr>
                <w:rFonts w:hint="eastAsia" w:ascii="宋体" w:hAnsi="宋体" w:eastAsia="宋体"/>
                <w:color w:val="auto"/>
                <w:szCs w:val="22"/>
                <w:highlight w:val="none"/>
              </w:rPr>
              <w:t>收发人员服务态度，考核标准：每出现一次不合格扣1分</w:t>
            </w:r>
          </w:p>
        </w:tc>
        <w:tc>
          <w:tcPr>
            <w:tcW w:w="1288" w:type="dxa"/>
            <w:vAlign w:val="center"/>
          </w:tcPr>
          <w:p w14:paraId="0AF8118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15分</w:t>
            </w:r>
          </w:p>
        </w:tc>
        <w:tc>
          <w:tcPr>
            <w:tcW w:w="1359" w:type="dxa"/>
            <w:vAlign w:val="center"/>
          </w:tcPr>
          <w:p w14:paraId="37D5177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tcPr>
          <w:p w14:paraId="35B6EB24">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olor w:val="auto"/>
                <w:szCs w:val="22"/>
                <w:highlight w:val="none"/>
              </w:rPr>
            </w:pPr>
          </w:p>
        </w:tc>
      </w:tr>
      <w:tr w14:paraId="036F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128" w:type="dxa"/>
            <w:vAlign w:val="center"/>
          </w:tcPr>
          <w:p w14:paraId="3B46601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4198" w:type="dxa"/>
            <w:vAlign w:val="center"/>
          </w:tcPr>
          <w:p w14:paraId="5BB97A6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合计</w:t>
            </w:r>
          </w:p>
        </w:tc>
        <w:tc>
          <w:tcPr>
            <w:tcW w:w="1288" w:type="dxa"/>
            <w:vAlign w:val="center"/>
          </w:tcPr>
          <w:p w14:paraId="25975E7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100分</w:t>
            </w:r>
          </w:p>
        </w:tc>
        <w:tc>
          <w:tcPr>
            <w:tcW w:w="1359" w:type="dxa"/>
            <w:vAlign w:val="center"/>
          </w:tcPr>
          <w:p w14:paraId="7808FC4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vAlign w:val="center"/>
          </w:tcPr>
          <w:p w14:paraId="1684627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r>
      <w:tr w14:paraId="50ED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28" w:type="dxa"/>
            <w:vAlign w:val="center"/>
          </w:tcPr>
          <w:p w14:paraId="2402764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r>
              <w:rPr>
                <w:rFonts w:hint="eastAsia" w:ascii="宋体" w:hAnsi="宋体" w:eastAsia="宋体"/>
                <w:color w:val="auto"/>
                <w:szCs w:val="22"/>
                <w:highlight w:val="none"/>
              </w:rPr>
              <w:t>总得分</w:t>
            </w:r>
          </w:p>
        </w:tc>
        <w:tc>
          <w:tcPr>
            <w:tcW w:w="4198" w:type="dxa"/>
            <w:vAlign w:val="center"/>
          </w:tcPr>
          <w:p w14:paraId="2EBDEF0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1288" w:type="dxa"/>
            <w:vAlign w:val="center"/>
          </w:tcPr>
          <w:p w14:paraId="6911567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1359" w:type="dxa"/>
            <w:vAlign w:val="center"/>
          </w:tcPr>
          <w:p w14:paraId="0450170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c>
          <w:tcPr>
            <w:tcW w:w="2041" w:type="dxa"/>
            <w:vAlign w:val="center"/>
          </w:tcPr>
          <w:p w14:paraId="4411DC3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eastAsia="宋体"/>
                <w:color w:val="auto"/>
                <w:szCs w:val="22"/>
                <w:highlight w:val="none"/>
              </w:rPr>
            </w:pPr>
          </w:p>
        </w:tc>
      </w:tr>
    </w:tbl>
    <w:p w14:paraId="7EE9AB0E">
      <w:pPr>
        <w:pStyle w:val="17"/>
        <w:rPr>
          <w:rFonts w:hint="eastAsia" w:ascii="宋体" w:hAnsi="宋体" w:eastAsia="宋体" w:cs="宋体"/>
          <w:b/>
          <w:bCs/>
          <w:color w:val="auto"/>
          <w:sz w:val="21"/>
          <w:szCs w:val="21"/>
          <w:highlight w:val="none"/>
        </w:rPr>
      </w:pPr>
    </w:p>
    <w:p w14:paraId="521B2AF5">
      <w:pPr>
        <w:pStyle w:val="17"/>
        <w:rPr>
          <w:rFonts w:hint="eastAsia" w:ascii="宋体" w:hAnsi="宋体" w:eastAsia="宋体" w:cs="宋体"/>
          <w:b/>
          <w:bCs/>
          <w:color w:val="auto"/>
          <w:sz w:val="21"/>
          <w:szCs w:val="21"/>
          <w:highlight w:val="none"/>
        </w:rPr>
      </w:pPr>
    </w:p>
    <w:p w14:paraId="5591751B">
      <w:pPr>
        <w:pStyle w:val="17"/>
        <w:rPr>
          <w:rFonts w:hint="eastAsia" w:ascii="宋体" w:hAnsi="宋体" w:eastAsia="宋体" w:cs="宋体"/>
          <w:b/>
          <w:bCs/>
          <w:color w:val="auto"/>
          <w:sz w:val="21"/>
          <w:szCs w:val="21"/>
          <w:highlight w:val="none"/>
        </w:rPr>
      </w:pPr>
    </w:p>
    <w:p w14:paraId="6E388C1E">
      <w:pPr>
        <w:pStyle w:val="17"/>
        <w:rPr>
          <w:rFonts w:hint="eastAsia" w:ascii="宋体" w:hAnsi="宋体" w:eastAsia="宋体" w:cs="宋体"/>
          <w:b/>
          <w:bCs/>
          <w:color w:val="auto"/>
          <w:sz w:val="21"/>
          <w:szCs w:val="21"/>
          <w:highlight w:val="none"/>
        </w:rPr>
      </w:pPr>
    </w:p>
    <w:p w14:paraId="65799455">
      <w:pPr>
        <w:pStyle w:val="17"/>
        <w:rPr>
          <w:rFonts w:hint="eastAsia" w:ascii="宋体" w:hAnsi="宋体" w:eastAsia="宋体" w:cs="宋体"/>
          <w:b/>
          <w:bCs/>
          <w:color w:val="auto"/>
          <w:sz w:val="21"/>
          <w:szCs w:val="21"/>
          <w:highlight w:val="none"/>
        </w:rPr>
      </w:pPr>
    </w:p>
    <w:p w14:paraId="6D516CB6">
      <w:pPr>
        <w:pStyle w:val="17"/>
        <w:rPr>
          <w:rFonts w:hint="eastAsia" w:ascii="宋体" w:hAnsi="宋体" w:eastAsia="宋体" w:cs="宋体"/>
          <w:b/>
          <w:bCs/>
          <w:color w:val="auto"/>
          <w:sz w:val="21"/>
          <w:szCs w:val="21"/>
          <w:highlight w:val="none"/>
        </w:rPr>
      </w:pPr>
    </w:p>
    <w:p w14:paraId="2B72159C">
      <w:pPr>
        <w:pStyle w:val="17"/>
        <w:rPr>
          <w:rFonts w:hint="eastAsia" w:ascii="宋体" w:hAnsi="宋体" w:eastAsia="宋体" w:cs="宋体"/>
          <w:b/>
          <w:bCs/>
          <w:color w:val="auto"/>
          <w:sz w:val="21"/>
          <w:szCs w:val="21"/>
          <w:highlight w:val="none"/>
        </w:rPr>
      </w:pPr>
    </w:p>
    <w:p w14:paraId="19654F37">
      <w:pPr>
        <w:pStyle w:val="17"/>
        <w:rPr>
          <w:rFonts w:hint="eastAsia" w:ascii="宋体" w:hAnsi="宋体" w:eastAsia="宋体" w:cs="宋体"/>
          <w:b/>
          <w:bCs/>
          <w:color w:val="auto"/>
          <w:sz w:val="21"/>
          <w:szCs w:val="21"/>
          <w:highlight w:val="none"/>
        </w:rPr>
      </w:pPr>
    </w:p>
    <w:p w14:paraId="295EAD7F">
      <w:pPr>
        <w:pStyle w:val="17"/>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单价上限（最高限单价）</w:t>
      </w:r>
      <w:r>
        <w:rPr>
          <w:rFonts w:hint="eastAsia" w:ascii="宋体" w:hAnsi="宋体" w:eastAsia="宋体" w:cs="宋体"/>
          <w:color w:val="auto"/>
          <w:highlight w:val="none"/>
          <w:lang w:val="en-US" w:eastAsia="zh-CN"/>
        </w:rPr>
        <w:t>：</w:t>
      </w:r>
    </w:p>
    <w:p w14:paraId="123092E8">
      <w:pPr>
        <w:pStyle w:val="17"/>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采购包1：</w:t>
      </w:r>
      <w:r>
        <w:rPr>
          <w:rFonts w:hint="eastAsia" w:ascii="宋体" w:hAnsi="宋体" w:eastAsia="宋体" w:cs="宋体"/>
          <w:color w:val="auto"/>
          <w:highlight w:val="none"/>
          <w:lang w:eastAsia="zh-CN"/>
        </w:rPr>
        <w:t>南京市第二医院钟阜院区（钟阜路1-1号）</w:t>
      </w:r>
    </w:p>
    <w:tbl>
      <w:tblPr>
        <w:tblStyle w:val="43"/>
        <w:tblW w:w="8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71"/>
        <w:gridCol w:w="1671"/>
        <w:gridCol w:w="1671"/>
        <w:gridCol w:w="1671"/>
        <w:gridCol w:w="1675"/>
      </w:tblGrid>
      <w:tr w14:paraId="7E397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D98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6A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D2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5BE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单价上限</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 xml:space="preserve">  （元/件）</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49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33E44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C6A3E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613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枕套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175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24C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4C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9869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701C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A90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床单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768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54BE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1.38</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DB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2097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EC14E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2A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被套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812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65E8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A43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B5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08E9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BD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病员衣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8AB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ABA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1.52</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E40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96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85F7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04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病员裤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0B6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668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1.52</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7D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131F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FCA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AD6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工作服</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3A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056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21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5331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10BA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94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1D8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D902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1.52</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884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B29D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0FB9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62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棉盖</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78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899E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2.53</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01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A3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F668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BB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棉垫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AD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AFD0E0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2.53</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C0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ECD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A0CF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BF09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枕芯</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F86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82F6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D6D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D8D3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D0F8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753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窗帘</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5B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1C5E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04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2ABD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85FD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39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污物袋</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592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4A75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5F6D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25D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CA30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6F4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室内工作服</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1C7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0FFC8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2.90 </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092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639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E5A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11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手术衣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6E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5F92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8E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989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2457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35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洗手衣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AC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2669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75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F1B7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1335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B51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洗手裤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547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6D96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E3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F71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7AAD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62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5E4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57D3B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322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0E5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A425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8CE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DF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B33F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1B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3980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B43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358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A477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AF8A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123B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9E54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F0B21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EDF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单层中单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D01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0797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DA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918B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EDCF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371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双层中单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DF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6CE0D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8FA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F8B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813F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3C6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手术中单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68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70B1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432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4EE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D4E7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88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甲状腺单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69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CDE49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08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6CC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BAE6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4CC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双层大夹被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49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54C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957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B383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7A30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568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大开刀巾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F4D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F9F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AB7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86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792C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3F1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小开刀巾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FB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9D41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1.52</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FE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0985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E9E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77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甲状腺剖腹被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40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722D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CE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53EC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374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26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隔离衣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F3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7DB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D76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E1A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101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DB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大浴巾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AF7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D768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B2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B90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35D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4F0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沙发套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44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0854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C1D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36B3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C3B2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18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三层大包布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27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BA2C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E17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2F7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4FF0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8B5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三层中包布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88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231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0.76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72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F86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66EAD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78D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三层小包布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CE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C71E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0.51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A4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E2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0E05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C0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单层大包布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0F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7743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79A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E5D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3652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6A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单层中包布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F8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63A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0.76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457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B099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3DFDD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88C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单层小包布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D0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6F73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0.51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B71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099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B6909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9D5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小包被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2D9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445C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E87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0252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FE93E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67D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婴儿小床单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62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E4DAD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0.25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BCA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574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B56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6A5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婴儿衣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84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EEF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0.25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56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AE2D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3B48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E3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腹带</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A0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7979F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D6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55B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F46F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54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浴帘</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AF6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DFB6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AB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1F2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6A84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09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剖腹单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A7C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53E3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88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57B9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1A9EB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FC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手术被套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E4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F406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A0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C8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1EBF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17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治疗巾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9F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9B315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0.76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77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1B4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3A46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A8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护袖</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99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A5D96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0.25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7A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A60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AA1D0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C86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单腿裤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93F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CA10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0.64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51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02F3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16E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5A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大毛毯</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C1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5321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07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BC1E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41ED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6C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棉衣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31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CEE2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EF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55F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EDE4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5A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毛衣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E1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D45B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2.90 </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60D1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D1BF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0BED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C6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背心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F4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E9E8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0.76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B64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3272CC9A">
      <w:pPr>
        <w:pStyle w:val="17"/>
        <w:rPr>
          <w:rFonts w:hint="eastAsia" w:ascii="宋体" w:hAnsi="宋体" w:eastAsia="宋体" w:cs="宋体"/>
          <w:b/>
          <w:bCs/>
          <w:color w:val="auto"/>
          <w:sz w:val="21"/>
          <w:szCs w:val="21"/>
          <w:highlight w:val="none"/>
        </w:rPr>
      </w:pPr>
    </w:p>
    <w:p w14:paraId="72DACD6F">
      <w:pPr>
        <w:widowControl/>
        <w:adjustRightInd w:val="0"/>
        <w:snapToGrid w:val="0"/>
        <w:spacing w:line="460" w:lineRule="atLeast"/>
        <w:ind w:firstLine="420" w:firstLineChars="200"/>
        <w:rPr>
          <w:rFonts w:ascii="宋体" w:hAnsi="宋体" w:cs="宋体"/>
          <w:bCs/>
          <w:color w:val="auto"/>
          <w:kern w:val="0"/>
          <w:highlight w:val="none"/>
        </w:rPr>
      </w:pPr>
    </w:p>
    <w:p w14:paraId="192FCCC1">
      <w:pPr>
        <w:pStyle w:val="17"/>
        <w:jc w:val="center"/>
        <w:rPr>
          <w:rFonts w:hint="eastAsia" w:ascii="宋体" w:hAnsi="宋体" w:eastAsia="宋体" w:cs="宋体"/>
          <w:color w:val="auto"/>
          <w:highlight w:val="none"/>
        </w:rPr>
      </w:pPr>
    </w:p>
    <w:p w14:paraId="047AF002">
      <w:pPr>
        <w:pStyle w:val="17"/>
        <w:jc w:val="center"/>
        <w:rPr>
          <w:rFonts w:hint="eastAsia" w:ascii="宋体" w:hAnsi="宋体" w:eastAsia="宋体" w:cs="宋体"/>
          <w:color w:val="auto"/>
          <w:highlight w:val="none"/>
        </w:rPr>
      </w:pPr>
    </w:p>
    <w:p w14:paraId="55F94238">
      <w:pPr>
        <w:pStyle w:val="17"/>
        <w:jc w:val="center"/>
        <w:rPr>
          <w:rFonts w:hint="eastAsia" w:ascii="宋体" w:hAnsi="宋体" w:eastAsia="宋体" w:cs="宋体"/>
          <w:color w:val="auto"/>
          <w:highlight w:val="none"/>
        </w:rPr>
      </w:pPr>
    </w:p>
    <w:p w14:paraId="74B66CB8">
      <w:pPr>
        <w:pStyle w:val="17"/>
        <w:jc w:val="center"/>
        <w:rPr>
          <w:rFonts w:hint="eastAsia" w:ascii="宋体" w:hAnsi="宋体" w:eastAsia="宋体" w:cs="宋体"/>
          <w:color w:val="auto"/>
          <w:highlight w:val="none"/>
        </w:rPr>
      </w:pPr>
    </w:p>
    <w:p w14:paraId="437A3A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2"/>
          <w:sz w:val="28"/>
          <w:szCs w:val="28"/>
          <w:highlight w:val="none"/>
          <w:lang w:val="en-US" w:eastAsia="zh-CN" w:bidi="ar-SA"/>
        </w:rPr>
        <w:t>采购包2：汤山院区（康复路1号）</w:t>
      </w:r>
    </w:p>
    <w:tbl>
      <w:tblPr>
        <w:tblStyle w:val="43"/>
        <w:tblW w:w="83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72"/>
        <w:gridCol w:w="1672"/>
        <w:gridCol w:w="1672"/>
        <w:gridCol w:w="1672"/>
        <w:gridCol w:w="1675"/>
      </w:tblGrid>
      <w:tr w14:paraId="4F26E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FD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E2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519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D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单价上限</w:t>
            </w:r>
            <w:r>
              <w:rPr>
                <w:rFonts w:hint="eastAsia" w:ascii="宋体" w:hAnsi="宋体" w:eastAsia="宋体" w:cs="宋体"/>
                <w:i w:val="0"/>
                <w:iCs w:val="0"/>
                <w:color w:val="auto"/>
                <w:kern w:val="0"/>
                <w:sz w:val="24"/>
                <w:szCs w:val="24"/>
                <w:highlight w:val="none"/>
                <w:u w:val="none"/>
                <w:lang w:val="en-US" w:eastAsia="zh-CN" w:bidi="ar"/>
              </w:rPr>
              <w:t xml:space="preserve">   （元/件</w:t>
            </w:r>
            <w:r>
              <w:rPr>
                <w:rFonts w:hint="eastAsia" w:ascii="宋体" w:hAnsi="宋体" w:cs="宋体"/>
                <w:i w:val="0"/>
                <w:iCs w:val="0"/>
                <w:color w:val="auto"/>
                <w:kern w:val="0"/>
                <w:sz w:val="24"/>
                <w:szCs w:val="24"/>
                <w:highlight w:val="none"/>
                <w:u w:val="none"/>
                <w:lang w:val="en-US" w:eastAsia="zh-CN" w:bidi="ar"/>
              </w:rPr>
              <w:t>）</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38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5DDBA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5E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AB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床单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EF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476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1CC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12E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E5D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EA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被套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9AB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869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4E9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B93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6A0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15E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枕套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0E0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C14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F87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8855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CE29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9A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病员衣、裤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9BE2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32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2E2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FF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CD1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59C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洗手衣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D8B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00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B77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DDC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E2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439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长洗手衣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87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C17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26E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A438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1B6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23C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洗手裤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FD3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CFF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50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2DD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8AA7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3D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隔离衣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62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D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3.65</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8A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FC60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F47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D0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工作服</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93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53F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3.65</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81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D629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64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72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9FA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CD9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92D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D1A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BEB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59F8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值班大单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010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3C2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A2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3A28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A3C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4037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值班被套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2E5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D7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08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A92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FCE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E7AF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值班枕套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AE71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07B7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A3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9A7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2D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2F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B7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EE69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3C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B55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944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741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54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6F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0.76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AF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F78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0B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B9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4EA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65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0.51</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4F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3AB7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99C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BE9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59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5DBF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44D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0DC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2F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62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大洞巾</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3F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AC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4.79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AF6F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D450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17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14C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病房隔帘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3AA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24D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C1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CD3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74D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762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棉被</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EC1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19D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5.7</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65F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41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54C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43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窗帘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8A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D7A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4.79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D8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A11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E7E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8D9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床垫</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E0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3C4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163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1CF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79C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8C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床罩</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0B0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D43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2.05</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2C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9BC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917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649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枕芯</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93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D2E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A3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B4F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8CD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AE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浴帘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84E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8F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EE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650CCC01">
      <w:pPr>
        <w:rPr>
          <w:rFonts w:hint="eastAsia" w:ascii="宋体" w:hAnsi="宋体" w:eastAsia="宋体" w:cs="宋体"/>
          <w:b/>
          <w:bCs/>
          <w:color w:val="auto"/>
          <w:sz w:val="21"/>
          <w:szCs w:val="21"/>
          <w:highlight w:val="none"/>
          <w:lang w:val="en-US" w:eastAsia="zh-CN"/>
        </w:rPr>
      </w:pPr>
    </w:p>
    <w:p w14:paraId="5D3AA6ED">
      <w:pPr>
        <w:pStyle w:val="58"/>
        <w:rPr>
          <w:color w:val="auto"/>
          <w:highlight w:val="none"/>
        </w:rPr>
      </w:pPr>
    </w:p>
    <w:p w14:paraId="6D866587">
      <w:pPr>
        <w:rPr>
          <w:rFonts w:ascii="宋体" w:hAnsi="宋体" w:cs="宋体"/>
          <w:color w:val="auto"/>
          <w:sz w:val="36"/>
          <w:szCs w:val="36"/>
          <w:highlight w:val="none"/>
        </w:rPr>
      </w:pPr>
    </w:p>
    <w:p w14:paraId="6E398465">
      <w:pPr>
        <w:widowControl/>
        <w:numPr>
          <w:ilvl w:val="0"/>
          <w:numId w:val="5"/>
        </w:numPr>
        <w:adjustRightInd w:val="0"/>
        <w:snapToGrid w:val="0"/>
        <w:spacing w:line="460" w:lineRule="atLeast"/>
        <w:jc w:val="center"/>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合同主要条款及格式</w:t>
      </w:r>
    </w:p>
    <w:p w14:paraId="15F487AD">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甲方：南京市第二医院</w:t>
      </w:r>
    </w:p>
    <w:p w14:paraId="1F9560B8">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lang w:val="en-US" w:eastAsia="zh-CN"/>
        </w:rPr>
        <w:t xml:space="preserve">           </w:t>
      </w:r>
    </w:p>
    <w:p w14:paraId="0F652C4F">
      <w:pPr>
        <w:keepNext w:val="0"/>
        <w:keepLines w:val="0"/>
        <w:pageBreakBefore w:val="0"/>
        <w:kinsoku/>
        <w:wordWrap/>
        <w:overflowPunct/>
        <w:topLinePunct w:val="0"/>
        <w:autoSpaceDE/>
        <w:autoSpaceDN/>
        <w:bidi w:val="0"/>
        <w:adjustRightInd/>
        <w:snapToGrid/>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根据《中华人民共和国民法典》及相关法律法规，在遵循平等、自愿、公平和诚实信用原则及协商一致的基础上，甲乙双方就被服布草洗涤服务相关事宜签订以下合同：</w:t>
      </w:r>
    </w:p>
    <w:p w14:paraId="366D4C8C">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第一条 合同标的</w:t>
      </w:r>
    </w:p>
    <w:p w14:paraId="6486431B">
      <w:pPr>
        <w:keepNext w:val="0"/>
        <w:keepLines w:val="0"/>
        <w:pageBreakBefore w:val="0"/>
        <w:kinsoku/>
        <w:wordWrap/>
        <w:overflowPunct/>
        <w:topLinePunct w:val="0"/>
        <w:autoSpaceDE/>
        <w:autoSpaceDN/>
        <w:bidi w:val="0"/>
        <w:adjustRightInd/>
        <w:snapToGrid/>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乙方根据甲方需求为南京市第二医院</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提供所有被服布草的洗涤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w:t>
      </w:r>
    </w:p>
    <w:p w14:paraId="16E8F824">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第二条 服务内容</w:t>
      </w:r>
    </w:p>
    <w:p w14:paraId="04B4FCA5">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1.洗涤服务要求</w:t>
      </w:r>
    </w:p>
    <w:p w14:paraId="4E490F0F">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1.1甲方同意将本部被服布草交于乙方洗涤，并确保被服布草的洗涤质量(详见附件一)。</w:t>
      </w:r>
    </w:p>
    <w:p w14:paraId="741FF5C0">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1.2乙方须按甲方规定时间内收送被服布草，上午07：00前将洁净布草运送到医院指定部门，与指定人员进行清点签收，下送于上午 08：00前由乙方完成。脏布草由甲方清点过数交给乙方，开具《货物洗涤交接单》一式肆份，甲乙双方各两份。洁净布草由乙方按《货物洗涤交接单》数量清点过数交给甲方。</w:t>
      </w:r>
    </w:p>
    <w:p w14:paraId="7CFDF81C">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1.3乙方免费为甲方提供工作服的熨烫、被服物品的缝补、工作服纽扣脱落后的缝钉、护士服换子母扣等工作,加工所需的纽扣、松紧材料、子母扣材料均由乙方提供。</w:t>
      </w:r>
    </w:p>
    <w:p w14:paraId="15B5EF9A">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1.4因乙方洗涤未达标，乙方须免费重新清洗，对于因乙方原因导致的洗涤布件的遗失、损坏等，应按布件的实际价值进行赔偿。</w:t>
      </w:r>
    </w:p>
    <w:p w14:paraId="495724A9">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乙方必须遵循分类洗涤原则。根据医用织物使用对象和污渍性质，程度不同，分机或分批洗涤、消毒；新生儿、婴儿的医用织物专机洗涤、消毒，不与其他医用织物混洗；手术室的医用织物(如手术衣、手术铺单等)单独洗涤。</w:t>
      </w:r>
    </w:p>
    <w:p w14:paraId="05FDD16B">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1.6对疑似感染性布草必须按《医院医用织物洗涤消毒技术规范》的原则与方法洗涤、消毒。</w:t>
      </w:r>
    </w:p>
    <w:p w14:paraId="17AF9726">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第三条 考核标准：考核分为月度测评和抽查考核相结合。</w:t>
      </w:r>
    </w:p>
    <w:p w14:paraId="2B644EF0">
      <w:pPr>
        <w:keepNext w:val="0"/>
        <w:keepLines w:val="0"/>
        <w:pageBreakBefore w:val="0"/>
        <w:numPr>
          <w:ilvl w:val="0"/>
          <w:numId w:val="6"/>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月度测评：由甲方的管理人员将月度测评表发到各科室，由各科室对洗涤服务质量打分,平均分低于 85 分,每低一分核减当月服务费 500 元：低于80分，每低一分核减当月服务费1000元；低于 75分，甲方将进行约谈，给予一个月的整改期，连续三个月仍不能达标，甲方将有权终止合同。具体考核表见(附件二)。</w:t>
      </w:r>
    </w:p>
    <w:p w14:paraId="4205B374">
      <w:pPr>
        <w:keepNext w:val="0"/>
        <w:keepLines w:val="0"/>
        <w:pageBreakBefore w:val="0"/>
        <w:numPr>
          <w:ilvl w:val="0"/>
          <w:numId w:val="6"/>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平时抽查：由甲方管理人员定期或不定期对洗涤服务工作进行督查及根据科室所反馈情况进行考核的方式。具体考核标准如下：</w:t>
      </w:r>
    </w:p>
    <w:p w14:paraId="0357EFE1">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2.1乙方应按甲方要求将洗涤布件及时送至甲方指定位置，如不及时送达，对医院工作造成影响，并视影响程度扣除乙方当月服务费总额的1%~2%。</w:t>
      </w:r>
    </w:p>
    <w:p w14:paraId="252F1E76">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2.2乙方应保证洗涤后物品的清洁度，如卫生防疫部门检测不合格的，单批次核减当月服务费1000元，并承担卫生防疫部门对医院的处罚责任和经济损失。</w:t>
      </w:r>
    </w:p>
    <w:p w14:paraId="6EE0F71D">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2.3对于需要缝补而未及时缝补的布草，甲方将返回乙方，由乙方缝补好后送回医院科室。单件核减当月服务费5元/件。</w:t>
      </w:r>
    </w:p>
    <w:p w14:paraId="34B65AAF">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2.4下收下送要严格履行交接程序，不按规定履行交接手续的，一经发现单次核减当月服务费20元/次。</w:t>
      </w:r>
    </w:p>
    <w:p w14:paraId="31C48244">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由于服务态度被病区和科室投诉的，一经查实单次核减当月服务费50元/次。</w:t>
      </w:r>
    </w:p>
    <w:p w14:paraId="33B0F309">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第四条 其他</w:t>
      </w:r>
    </w:p>
    <w:p w14:paraId="337F5BAD">
      <w:pPr>
        <w:keepNext w:val="0"/>
        <w:keepLines w:val="0"/>
        <w:pageBreakBefore w:val="0"/>
        <w:numPr>
          <w:ilvl w:val="0"/>
          <w:numId w:val="7"/>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医院如遇上级检查、紧急救护等突发公共卫生事件及其他应急情况，乙方要无条件配合医院做好特殊情况下的布草供应及下收下送工作。</w:t>
      </w:r>
    </w:p>
    <w:p w14:paraId="2851AFFF">
      <w:pPr>
        <w:keepNext w:val="0"/>
        <w:keepLines w:val="0"/>
        <w:pageBreakBefore w:val="0"/>
        <w:numPr>
          <w:ilvl w:val="0"/>
          <w:numId w:val="7"/>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乙方必须服从甲方的管理，遵守甲方的规章制度。在服务期间内对服务区域的收送工作全部负责，有义务协助甲方相关部门做好各项被服布草收送工作的监督和检查。</w:t>
      </w:r>
    </w:p>
    <w:p w14:paraId="3287A6BD">
      <w:pPr>
        <w:keepNext w:val="0"/>
        <w:keepLines w:val="0"/>
        <w:pageBreakBefore w:val="0"/>
        <w:numPr>
          <w:ilvl w:val="0"/>
          <w:numId w:val="7"/>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乙方应根据甲方的需求安排和调度工作人员，制定合理的服务时间，以保证甲方医疗工作正常运行。</w:t>
      </w:r>
    </w:p>
    <w:p w14:paraId="0BD8A004">
      <w:pPr>
        <w:keepNext w:val="0"/>
        <w:keepLines w:val="0"/>
        <w:pageBreakBefore w:val="0"/>
        <w:numPr>
          <w:ilvl w:val="0"/>
          <w:numId w:val="7"/>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乙方必须制定安全有效的特殊情况应急预案，以保证医院各科室的供应需求。</w:t>
      </w:r>
    </w:p>
    <w:p w14:paraId="6117FD2F">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乙方应根据甲方需求按月向甲方提交各类布草洗涤统计报表。</w:t>
      </w:r>
    </w:p>
    <w:p w14:paraId="6A305801">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第五条 合同价款</w:t>
      </w:r>
    </w:p>
    <w:p w14:paraId="66F4BEF9">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每月以实际洗涤工作量支付服务费用。</w:t>
      </w:r>
    </w:p>
    <w:p w14:paraId="2E2A0A8E">
      <w:pPr>
        <w:keepNext w:val="0"/>
        <w:keepLines w:val="0"/>
        <w:pageBreakBefore w:val="0"/>
        <w:numPr>
          <w:ilvl w:val="0"/>
          <w:numId w:val="8"/>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甲方洗涤的品种，规格实行计件收费，数量以甲、乙双方确认的交接单按实结算，洗涤布草单价见本合同(附件三)。如价目表上未列出之物品参照同类洗涤物品之价，或双方协商定价；合同期内洗涤价目不作调整。</w:t>
      </w:r>
    </w:p>
    <w:p w14:paraId="0782D6D3">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第六条支付方式</w:t>
      </w:r>
    </w:p>
    <w:p w14:paraId="2B7D78B0">
      <w:pPr>
        <w:keepNext w:val="0"/>
        <w:keepLines w:val="0"/>
        <w:pageBreakBefore w:val="0"/>
        <w:kinsoku/>
        <w:wordWrap/>
        <w:overflowPunct/>
        <w:topLinePunct w:val="0"/>
        <w:autoSpaceDE/>
        <w:autoSpaceDN/>
        <w:bidi w:val="0"/>
        <w:adjustRightInd/>
        <w:snapToGrid/>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每月5日前甲、乙双方对上月洗涤布草数量进行核对；审核无误后，10日前乙方开具发票交总务科，甲方领导签字完毕后将款项汇入乙方指定账户内。</w:t>
      </w:r>
    </w:p>
    <w:p w14:paraId="5BD13BE2">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第七条 甲方的权利和义务</w:t>
      </w:r>
    </w:p>
    <w:p w14:paraId="4F47DAB3">
      <w:pPr>
        <w:keepNext w:val="0"/>
        <w:keepLines w:val="0"/>
        <w:pageBreakBefore w:val="0"/>
        <w:numPr>
          <w:ilvl w:val="0"/>
          <w:numId w:val="9"/>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同意将合同范围内的被服布草交由乙方洗涤，并对乙方的洗涤质量进行监督。乙方必须确保被服布草洁白、干净、平整，并保证洗涤后布草无毒，无害，无副作用，对人体无不良影响。甲方有权利对不符质量要求的布草退回。</w:t>
      </w:r>
    </w:p>
    <w:p w14:paraId="475D58F1">
      <w:pPr>
        <w:keepNext w:val="0"/>
        <w:keepLines w:val="0"/>
        <w:pageBreakBefore w:val="0"/>
        <w:numPr>
          <w:ilvl w:val="0"/>
          <w:numId w:val="9"/>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如遇卫生部指定的烈性传染病所用布草，甲方不得交由乙方洗涤。</w:t>
      </w:r>
    </w:p>
    <w:p w14:paraId="7EC021AC">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第八条 乙方的权利和义务</w:t>
      </w:r>
    </w:p>
    <w:p w14:paraId="46CA431A">
      <w:pPr>
        <w:keepNext w:val="0"/>
        <w:keepLines w:val="0"/>
        <w:pageBreakBefore w:val="0"/>
        <w:numPr>
          <w:ilvl w:val="0"/>
          <w:numId w:val="10"/>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乙方须提供从事本合同相关服务所具资质文件。</w:t>
      </w:r>
    </w:p>
    <w:p w14:paraId="6936FEE3">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洗涤后的物品必须符合《医院医用织物洗涤消毒技术规范》 WS/T508-2016，布草送回后即能投入使用。</w:t>
      </w:r>
    </w:p>
    <w:p w14:paraId="4A3BDF12">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2.2乙方保证所使用的洗涤剂等化料必须符合国家有关规定，并提供样品给甲方，甲方根据情况到现场抽查。</w:t>
      </w:r>
    </w:p>
    <w:p w14:paraId="7ABDD453">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2.3乙方严格执行各类被服布料用品的分类洗涤和消毒隔离制度,防止交叉感染。感染性布草按先消毒后清洗的原则进行处理，防止院内感染发生。</w:t>
      </w:r>
    </w:p>
    <w:p w14:paraId="417E83FE">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2.4洗涤后的布草必须符合《清洁织物卫生质量要求》所规定的各项指标并检测合格，每年提供不少于两次的检测合格证或报告。</w:t>
      </w:r>
    </w:p>
    <w:p w14:paraId="418918E9">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2.5乙方应指派专人对甲方各科室洗涤质量进行跟踪,出现问题积极主动沟通、解决，确保服务质量。</w:t>
      </w:r>
    </w:p>
    <w:p w14:paraId="0335B29B">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第九条 其他条款</w:t>
      </w:r>
    </w:p>
    <w:p w14:paraId="00A5B791">
      <w:pPr>
        <w:keepNext w:val="0"/>
        <w:keepLines w:val="0"/>
        <w:pageBreakBefore w:val="0"/>
        <w:kinsoku/>
        <w:wordWrap/>
        <w:overflowPunct/>
        <w:topLinePunct w:val="0"/>
        <w:autoSpaceDE/>
        <w:autoSpaceDN/>
        <w:bidi w:val="0"/>
        <w:adjustRightInd/>
        <w:snapToGrid/>
        <w:spacing w:line="46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双方应全面、切实地履行本合同，如发生争议时，应协商解决，协商不成，可向甲方所在地人民法院诉讼。如发生违约事项，违约方应承担如下违约责任；  </w:t>
      </w:r>
    </w:p>
    <w:p w14:paraId="0A45B6B1">
      <w:pPr>
        <w:keepNext w:val="0"/>
        <w:keepLines w:val="0"/>
        <w:pageBreakBefore w:val="0"/>
        <w:numPr>
          <w:ilvl w:val="0"/>
          <w:numId w:val="11"/>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双方合同到期如需终止合同时，均需提前1个月书面形式通知对方。如任何一方任意终止合同，违约方必须向对方支付赔偿费用（具体费用双方协商，如有异议，可通过法律途径解决），人力不可抗拒因素除外。</w:t>
      </w:r>
    </w:p>
    <w:p w14:paraId="003A1973">
      <w:pPr>
        <w:keepNext w:val="0"/>
        <w:keepLines w:val="0"/>
        <w:pageBreakBefore w:val="0"/>
        <w:numPr>
          <w:ilvl w:val="0"/>
          <w:numId w:val="11"/>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乙方收送、洗涤、运输布草人员应做好个人防护工作，由于防护不当造成的人员伤害及车辆运输途中的意外伤害，甲方不承担任何责任，由乙方自行解决。进入甲方的车辆和人员应遵守甲方有关制度和规定。</w:t>
      </w:r>
    </w:p>
    <w:p w14:paraId="054BF828">
      <w:pPr>
        <w:keepNext w:val="0"/>
        <w:keepLines w:val="0"/>
        <w:pageBreakBefore w:val="0"/>
        <w:numPr>
          <w:ilvl w:val="0"/>
          <w:numId w:val="11"/>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乙方需一次性缴纳履约保证金5万元并按照上述合同要求进行服务工作。</w:t>
      </w:r>
    </w:p>
    <w:p w14:paraId="2018D9F3">
      <w:pPr>
        <w:keepNext w:val="0"/>
        <w:keepLines w:val="0"/>
        <w:pageBreakBefore w:val="0"/>
        <w:numPr>
          <w:ilvl w:val="0"/>
          <w:numId w:val="11"/>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bookmarkStart w:id="160" w:name="OLE_LINK2"/>
      <w:bookmarkStart w:id="161" w:name="OLE_LINK1"/>
      <w:r>
        <w:rPr>
          <w:rFonts w:hint="eastAsia" w:ascii="宋体" w:hAnsi="宋体" w:eastAsia="宋体" w:cs="宋体"/>
          <w:color w:val="auto"/>
          <w:sz w:val="21"/>
          <w:szCs w:val="21"/>
          <w:highlight w:val="none"/>
        </w:rPr>
        <w:t>本合同有效期为</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年，自</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bookmarkEnd w:id="160"/>
      <w:bookmarkEnd w:id="161"/>
      <w:r>
        <w:rPr>
          <w:rFonts w:hint="eastAsia" w:ascii="宋体" w:hAnsi="宋体" w:eastAsia="宋体" w:cs="宋体"/>
          <w:color w:val="auto"/>
          <w:sz w:val="21"/>
          <w:szCs w:val="21"/>
          <w:highlight w:val="none"/>
        </w:rPr>
        <w:t>止：本合同一式肆份，甲乙双方各执贰份，自双方盖章之日起生效。</w:t>
      </w:r>
      <w:r>
        <w:rPr>
          <w:rFonts w:hint="eastAsia" w:ascii="宋体" w:hAnsi="宋体" w:eastAsia="宋体" w:cs="宋体"/>
          <w:color w:val="auto"/>
          <w:sz w:val="21"/>
          <w:szCs w:val="21"/>
          <w:highlight w:val="none"/>
          <w:lang w:val="en-US" w:eastAsia="zh-CN"/>
        </w:rPr>
        <w:t>合约期满后，甲方根据乙方实际服务情况，决定是否续签1年，最多续签2次。</w:t>
      </w:r>
    </w:p>
    <w:p w14:paraId="20F9221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（以下无正文，为双方签署处及附件）</w:t>
      </w:r>
    </w:p>
    <w:p w14:paraId="5741125D">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甲方：南京市第二医院                        乙方：</w:t>
      </w:r>
    </w:p>
    <w:p w14:paraId="14EA1190">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p w14:paraId="385E914B">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bookmarkStart w:id="162" w:name="OLE_LINK3"/>
      <w:bookmarkStart w:id="163" w:name="OLE_LINK4"/>
      <w:r>
        <w:rPr>
          <w:rFonts w:hint="eastAsia" w:ascii="宋体" w:hAnsi="宋体" w:eastAsia="宋体" w:cs="宋体"/>
          <w:color w:val="auto"/>
          <w:sz w:val="21"/>
          <w:szCs w:val="21"/>
          <w:highlight w:val="none"/>
        </w:rPr>
        <w:t>签约日期： 年 月  日</w:t>
      </w:r>
      <w:bookmarkEnd w:id="162"/>
      <w:bookmarkEnd w:id="163"/>
      <w:r>
        <w:rPr>
          <w:rFonts w:hint="eastAsia" w:ascii="宋体" w:hAnsi="宋体" w:eastAsia="宋体" w:cs="宋体"/>
          <w:color w:val="auto"/>
          <w:sz w:val="21"/>
          <w:szCs w:val="21"/>
          <w:highlight w:val="none"/>
        </w:rPr>
        <w:t xml:space="preserve">                        签约日期： 年 月  日</w:t>
      </w:r>
    </w:p>
    <w:p w14:paraId="0211DB72">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57690625">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附件一</w:t>
      </w:r>
    </w:p>
    <w:p w14:paraId="64949C29">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南京市第二医院布草洗涤工作要求</w:t>
      </w:r>
    </w:p>
    <w:p w14:paraId="1D38EBC0">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一、下收：</w:t>
      </w:r>
    </w:p>
    <w:p w14:paraId="24EDDBBF">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配备专人收本部工作衣（裤），被服等布草类物品，收取人员必须着装挂牌上岗。与各部门商定收取时间、地点、交接方式，特殊情况按客户需求收取。病区的各单元确保在每天10:00前清空污物袋。</w:t>
      </w:r>
    </w:p>
    <w:p w14:paraId="6D9B154B">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专业运输袋，干净与脏污袋必须两种颜色区分并告知甲方，包装密封。手术室、妇产科等污物较重的部门安排专人专收，专门打包，不得与其它布件混装，污物收取直接清点入包，严禁二次污染。运输袋确保每天清洗消毒一次。</w:t>
      </w:r>
    </w:p>
    <w:p w14:paraId="34949D70">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每天准确填写洗涤四联单，如实记录收情况(部门、号码、件数)，白联洗涤公司自留，蓝联分拣查漏用。红联交医院各科室，以备核实，黄联交洗衣房核算数据。</w:t>
      </w:r>
    </w:p>
    <w:p w14:paraId="70AB0F86">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详细记录各科室对衣裤的缝补要求。</w:t>
      </w:r>
    </w:p>
    <w:p w14:paraId="002745D1">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发现袋中有遗留物品，及时交与洗衣房或归还失主。</w:t>
      </w:r>
    </w:p>
    <w:p w14:paraId="77F9E6D1">
      <w:pPr>
        <w:keepNext w:val="0"/>
        <w:keepLines w:val="0"/>
        <w:pageBreakBefore w:val="0"/>
        <w:numPr>
          <w:ilvl w:val="0"/>
          <w:numId w:val="12"/>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服务规范、态度和蔼、不得无理由的漏收、不收。</w:t>
      </w:r>
    </w:p>
    <w:p w14:paraId="7E5BAA19">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二、洗涤：</w:t>
      </w:r>
    </w:p>
    <w:p w14:paraId="32883F3F">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配备专用洗涤设备、床单元不得与其它布件混洗，工作衣裤、值班床单元使用专机专洗，每天对洗涤设备消毒一次。</w:t>
      </w:r>
    </w:p>
    <w:p w14:paraId="5C5E044B">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操作环境整洁、宽敞；洁、污分开，分工明确。</w:t>
      </w:r>
    </w:p>
    <w:p w14:paraId="4045A903">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使用符合标准的洗涤助剂，不得用损伤衣物品质的洗涤助剂，助剂残留符合标准。</w:t>
      </w:r>
    </w:p>
    <w:p w14:paraId="58994BBB">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严格按浸泡、主洗、漂洗两次流程洗涤。</w:t>
      </w:r>
    </w:p>
    <w:p w14:paraId="4B804EF5">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洗涤出的布件确保洁白、无污渍、无侵蚀、无破损。</w:t>
      </w:r>
    </w:p>
    <w:p w14:paraId="41EA829B">
      <w:pPr>
        <w:keepNext w:val="0"/>
        <w:keepLines w:val="0"/>
        <w:pageBreakBefore w:val="0"/>
        <w:numPr>
          <w:ilvl w:val="0"/>
          <w:numId w:val="13"/>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布件做到整烫整齐，无皱褶。</w:t>
      </w:r>
    </w:p>
    <w:p w14:paraId="78990084">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三、分拣：</w:t>
      </w:r>
    </w:p>
    <w:p w14:paraId="5D8019A0">
      <w:pPr>
        <w:keepNext w:val="0"/>
        <w:keepLines w:val="0"/>
        <w:pageBreakBefore w:val="0"/>
        <w:numPr>
          <w:ilvl w:val="0"/>
          <w:numId w:val="14"/>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区域划分规范，分拣室环境整洁，通风良好，无污物。分拣与洗涤分开。</w:t>
      </w:r>
    </w:p>
    <w:p w14:paraId="51FAC4DF">
      <w:pPr>
        <w:keepNext w:val="0"/>
        <w:keepLines w:val="0"/>
        <w:pageBreakBefore w:val="0"/>
        <w:numPr>
          <w:ilvl w:val="0"/>
          <w:numId w:val="14"/>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配备专门人员进行分栋，工作细致，责任心强，身体健廉，无传染病。</w:t>
      </w:r>
    </w:p>
    <w:p w14:paraId="27843FE0">
      <w:pPr>
        <w:keepNext w:val="0"/>
        <w:keepLines w:val="0"/>
        <w:pageBreakBefore w:val="0"/>
        <w:numPr>
          <w:ilvl w:val="0"/>
          <w:numId w:val="14"/>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按蓝联记录进行分拣，避免漏检、错拣、错误率控制在 1%以下。</w:t>
      </w:r>
    </w:p>
    <w:p w14:paraId="7F1B3DC4">
      <w:pPr>
        <w:keepNext w:val="0"/>
        <w:keepLines w:val="0"/>
        <w:pageBreakBefore w:val="0"/>
        <w:numPr>
          <w:ilvl w:val="0"/>
          <w:numId w:val="14"/>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需要缝补的衣物及时按要求缝补。</w:t>
      </w:r>
    </w:p>
    <w:p w14:paraId="1C26820A">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四、下送：</w:t>
      </w:r>
    </w:p>
    <w:p w14:paraId="0A6BB005">
      <w:pPr>
        <w:keepNext w:val="0"/>
        <w:keepLines w:val="0"/>
        <w:pageBreakBefore w:val="0"/>
        <w:numPr>
          <w:ilvl w:val="0"/>
          <w:numId w:val="15"/>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与各科室商定下送时间、地点、及时下送，对错、窜、少现象及时纠正，发现遗失、破损明确责任人，按价赔偿。</w:t>
      </w:r>
    </w:p>
    <w:p w14:paraId="5F71273B">
      <w:pPr>
        <w:keepNext w:val="0"/>
        <w:keepLines w:val="0"/>
        <w:pageBreakBefore w:val="0"/>
        <w:numPr>
          <w:ilvl w:val="0"/>
          <w:numId w:val="15"/>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收、送人员一致，清点清楚，当面交接。</w:t>
      </w:r>
    </w:p>
    <w:p w14:paraId="277F1F10">
      <w:pPr>
        <w:keepNext w:val="0"/>
        <w:keepLines w:val="0"/>
        <w:pageBreakBefore w:val="0"/>
        <w:numPr>
          <w:ilvl w:val="0"/>
          <w:numId w:val="15"/>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尽量满足科室要求，做好解释协调工作，与各科室护士长或交接员沟通良好，方便工作。</w:t>
      </w:r>
    </w:p>
    <w:p w14:paraId="23272BDC">
      <w:pPr>
        <w:keepNext w:val="0"/>
        <w:keepLines w:val="0"/>
        <w:pageBreakBefore w:val="0"/>
        <w:numPr>
          <w:ilvl w:val="0"/>
          <w:numId w:val="15"/>
        </w:numPr>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熟悉各部门员工工作衣号码，了解工作衣编码规律，了解各部门布件使用规律。</w:t>
      </w:r>
    </w:p>
    <w:p w14:paraId="604A3DC2">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如遇临床投诉，乙方管理人员必须尽快到达现场进行处理和沟通，情节严重的事件将给予适当处罚。</w:t>
      </w:r>
    </w:p>
    <w:p w14:paraId="37FF04E2">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p>
    <w:p w14:paraId="7921440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270D9E78">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附件二</w:t>
      </w:r>
    </w:p>
    <w:p w14:paraId="263EDC2F">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被服洗涤服务质量考核标准</w:t>
      </w:r>
    </w:p>
    <w:tbl>
      <w:tblPr>
        <w:tblStyle w:val="44"/>
        <w:tblpPr w:leftFromText="180" w:rightFromText="180" w:vertAnchor="page" w:horzAnchor="margin" w:tblpXSpec="center" w:tblpY="3120"/>
        <w:tblW w:w="10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4198"/>
        <w:gridCol w:w="1288"/>
        <w:gridCol w:w="1359"/>
        <w:gridCol w:w="2041"/>
      </w:tblGrid>
      <w:tr w14:paraId="3309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128" w:type="dxa"/>
            <w:vAlign w:val="center"/>
          </w:tcPr>
          <w:p w14:paraId="5EE1C34A">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4198" w:type="dxa"/>
            <w:vAlign w:val="center"/>
          </w:tcPr>
          <w:p w14:paraId="68E8FD59">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考核内容</w:t>
            </w:r>
          </w:p>
        </w:tc>
        <w:tc>
          <w:tcPr>
            <w:tcW w:w="1288" w:type="dxa"/>
            <w:vAlign w:val="center"/>
          </w:tcPr>
          <w:p w14:paraId="58AEEAFE">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1359" w:type="dxa"/>
            <w:vAlign w:val="center"/>
          </w:tcPr>
          <w:p w14:paraId="7CF6FD67">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w:t>
            </w:r>
          </w:p>
        </w:tc>
        <w:tc>
          <w:tcPr>
            <w:tcW w:w="2041" w:type="dxa"/>
            <w:vAlign w:val="center"/>
          </w:tcPr>
          <w:p w14:paraId="48B5C3B4">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反馈意见</w:t>
            </w:r>
          </w:p>
        </w:tc>
      </w:tr>
      <w:tr w14:paraId="734B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1128" w:type="dxa"/>
            <w:vAlign w:val="center"/>
          </w:tcPr>
          <w:p w14:paraId="1989DC2C">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198" w:type="dxa"/>
          </w:tcPr>
          <w:p w14:paraId="792284BE">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货品是否缺少，考核标准：每出现一次不合格扣1分</w:t>
            </w:r>
          </w:p>
        </w:tc>
        <w:tc>
          <w:tcPr>
            <w:tcW w:w="1288" w:type="dxa"/>
            <w:vAlign w:val="center"/>
          </w:tcPr>
          <w:p w14:paraId="105711A3">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280667CD">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3E4CA04D">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0450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1128" w:type="dxa"/>
            <w:vAlign w:val="center"/>
          </w:tcPr>
          <w:p w14:paraId="3C378D9E">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198" w:type="dxa"/>
          </w:tcPr>
          <w:p w14:paraId="16D7F091">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货品洗涤质量，考核标准：每出现一次不合格扣1分</w:t>
            </w:r>
          </w:p>
        </w:tc>
        <w:tc>
          <w:tcPr>
            <w:tcW w:w="1288" w:type="dxa"/>
            <w:vAlign w:val="center"/>
          </w:tcPr>
          <w:p w14:paraId="763319D9">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5DB908F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p w14:paraId="09A349A9">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420EFA63">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563B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28" w:type="dxa"/>
            <w:vAlign w:val="center"/>
          </w:tcPr>
          <w:p w14:paraId="67189B31">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p w14:paraId="5F76E53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tcPr>
          <w:p w14:paraId="7A042708">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货品叠放是否整齐，考核标准：每出现一次不合格扣1分</w:t>
            </w:r>
          </w:p>
        </w:tc>
        <w:tc>
          <w:tcPr>
            <w:tcW w:w="1288" w:type="dxa"/>
            <w:vAlign w:val="center"/>
          </w:tcPr>
          <w:p w14:paraId="7952CB47">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42523E0C">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22833C92">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646A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128" w:type="dxa"/>
            <w:vAlign w:val="center"/>
          </w:tcPr>
          <w:p w14:paraId="3254406D">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p w14:paraId="0C19EE2B">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tcPr>
          <w:p w14:paraId="7CB34EE0">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工作服洗涤是否洁净，考核标准：每出现一次不合格扣1分</w:t>
            </w:r>
          </w:p>
        </w:tc>
        <w:tc>
          <w:tcPr>
            <w:tcW w:w="1288" w:type="dxa"/>
            <w:vAlign w:val="center"/>
          </w:tcPr>
          <w:p w14:paraId="540D1316">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1C7CC310">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6BA56527">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4F71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128" w:type="dxa"/>
            <w:vAlign w:val="center"/>
          </w:tcPr>
          <w:p w14:paraId="26354F67">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p w14:paraId="3866648B">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tcPr>
          <w:p w14:paraId="79BA085A">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缝补是否及时，考核标准：每出现一次不合格扣1分</w:t>
            </w:r>
          </w:p>
        </w:tc>
        <w:tc>
          <w:tcPr>
            <w:tcW w:w="1288" w:type="dxa"/>
            <w:vAlign w:val="center"/>
          </w:tcPr>
          <w:p w14:paraId="4A23402C">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17DF7DC5">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c>
          <w:tcPr>
            <w:tcW w:w="2041" w:type="dxa"/>
          </w:tcPr>
          <w:p w14:paraId="723C14BD">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2140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128" w:type="dxa"/>
            <w:vAlign w:val="center"/>
          </w:tcPr>
          <w:p w14:paraId="579AF92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p w14:paraId="7E07B2E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tcPr>
          <w:p w14:paraId="04A92278">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送达是否按时，考核标准：每出现一次不合格扣1分</w:t>
            </w:r>
          </w:p>
        </w:tc>
        <w:tc>
          <w:tcPr>
            <w:tcW w:w="1288" w:type="dxa"/>
            <w:vAlign w:val="center"/>
          </w:tcPr>
          <w:p w14:paraId="16BACD23">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1359" w:type="dxa"/>
            <w:vAlign w:val="center"/>
          </w:tcPr>
          <w:p w14:paraId="04410FB1">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149F2BA6">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5426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1128" w:type="dxa"/>
            <w:vAlign w:val="center"/>
          </w:tcPr>
          <w:p w14:paraId="6AAA9537">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p w14:paraId="1FB74FCF">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tcPr>
          <w:p w14:paraId="08EDAAC6">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收发人员服务态度，考核标准：每出现一次不合格扣1分</w:t>
            </w:r>
          </w:p>
        </w:tc>
        <w:tc>
          <w:tcPr>
            <w:tcW w:w="1288" w:type="dxa"/>
            <w:vAlign w:val="center"/>
          </w:tcPr>
          <w:p w14:paraId="570A081F">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1359" w:type="dxa"/>
            <w:vAlign w:val="center"/>
          </w:tcPr>
          <w:p w14:paraId="2757B5BE">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tcPr>
          <w:p w14:paraId="2B66EF10">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tc>
      </w:tr>
      <w:tr w14:paraId="594C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128" w:type="dxa"/>
            <w:vAlign w:val="center"/>
          </w:tcPr>
          <w:p w14:paraId="7232F264">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4198" w:type="dxa"/>
            <w:vAlign w:val="center"/>
          </w:tcPr>
          <w:p w14:paraId="0312CDA3">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288" w:type="dxa"/>
            <w:vAlign w:val="center"/>
          </w:tcPr>
          <w:p w14:paraId="1B884D64">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100分</w:t>
            </w:r>
          </w:p>
        </w:tc>
        <w:tc>
          <w:tcPr>
            <w:tcW w:w="1359" w:type="dxa"/>
            <w:vAlign w:val="center"/>
          </w:tcPr>
          <w:p w14:paraId="7A96EC3C">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vAlign w:val="center"/>
          </w:tcPr>
          <w:p w14:paraId="0FBE1351">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r>
      <w:tr w14:paraId="489F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28" w:type="dxa"/>
            <w:vAlign w:val="center"/>
          </w:tcPr>
          <w:p w14:paraId="6AE59A05">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总得分</w:t>
            </w:r>
          </w:p>
        </w:tc>
        <w:tc>
          <w:tcPr>
            <w:tcW w:w="4198" w:type="dxa"/>
            <w:vAlign w:val="center"/>
          </w:tcPr>
          <w:p w14:paraId="2A7391F8">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1288" w:type="dxa"/>
            <w:vAlign w:val="center"/>
          </w:tcPr>
          <w:p w14:paraId="5A66A34C">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1359" w:type="dxa"/>
            <w:vAlign w:val="center"/>
          </w:tcPr>
          <w:p w14:paraId="0A2F6C0A">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c>
          <w:tcPr>
            <w:tcW w:w="2041" w:type="dxa"/>
            <w:vAlign w:val="center"/>
          </w:tcPr>
          <w:p w14:paraId="7BF87B3B">
            <w:pPr>
              <w:keepNext w:val="0"/>
              <w:keepLines w:val="0"/>
              <w:pageBreakBefore w:val="0"/>
              <w:kinsoku/>
              <w:wordWrap/>
              <w:overflowPunct/>
              <w:topLinePunct w:val="0"/>
              <w:autoSpaceDE/>
              <w:autoSpaceDN/>
              <w:bidi w:val="0"/>
              <w:adjustRightInd/>
              <w:snapToGrid/>
              <w:spacing w:line="460" w:lineRule="exact"/>
              <w:jc w:val="center"/>
              <w:rPr>
                <w:rFonts w:hint="eastAsia" w:ascii="宋体" w:hAnsi="宋体" w:eastAsia="宋体" w:cs="宋体"/>
                <w:color w:val="auto"/>
                <w:sz w:val="21"/>
                <w:szCs w:val="21"/>
                <w:highlight w:val="none"/>
              </w:rPr>
            </w:pPr>
          </w:p>
        </w:tc>
      </w:tr>
    </w:tbl>
    <w:p w14:paraId="24CD81BB">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p>
    <w:p w14:paraId="40BEE16B">
      <w:pPr>
        <w:keepNext w:val="0"/>
        <w:keepLines w:val="0"/>
        <w:pageBreakBefore w:val="0"/>
        <w:kinsoku/>
        <w:wordWrap/>
        <w:overflowPunct/>
        <w:topLinePunct w:val="0"/>
        <w:autoSpaceDE/>
        <w:autoSpaceDN/>
        <w:bidi w:val="0"/>
        <w:adjustRightInd/>
        <w:snapToGrid/>
        <w:spacing w:line="460" w:lineRule="exact"/>
        <w:ind w:firstLine="5775" w:firstLineChars="2750"/>
        <w:rPr>
          <w:rFonts w:hint="eastAsia" w:ascii="宋体" w:hAnsi="宋体" w:eastAsia="宋体" w:cs="宋体"/>
          <w:color w:val="auto"/>
          <w:sz w:val="21"/>
          <w:szCs w:val="21"/>
          <w:highlight w:val="none"/>
        </w:rPr>
      </w:pPr>
    </w:p>
    <w:p w14:paraId="6470CBB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1220B4B3">
      <w:pPr>
        <w:keepNext w:val="0"/>
        <w:keepLines w:val="0"/>
        <w:pageBreakBefore w:val="0"/>
        <w:kinsoku/>
        <w:wordWrap/>
        <w:overflowPunct/>
        <w:topLinePunct w:val="0"/>
        <w:autoSpaceDE/>
        <w:autoSpaceDN/>
        <w:bidi w:val="0"/>
        <w:adjustRightInd/>
        <w:snapToGrid/>
        <w:spacing w:line="460" w:lineRule="exact"/>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附件三</w:t>
      </w:r>
      <w:r>
        <w:rPr>
          <w:rFonts w:hint="eastAsia" w:ascii="宋体" w:hAnsi="宋体" w:eastAsia="宋体" w:cs="宋体"/>
          <w:b/>
          <w:bCs/>
          <w:color w:val="auto"/>
          <w:sz w:val="21"/>
          <w:szCs w:val="21"/>
          <w:highlight w:val="none"/>
          <w:lang w:val="en-US" w:eastAsia="zh-CN"/>
        </w:rPr>
        <w:t>(采购包1)</w:t>
      </w:r>
    </w:p>
    <w:p w14:paraId="4BC8F2D9">
      <w:pPr>
        <w:pStyle w:val="17"/>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highlight w:val="none"/>
        </w:rPr>
        <w:t>南京市第二医院钟阜院区（钟阜路1-1号）</w:t>
      </w:r>
      <w:r>
        <w:rPr>
          <w:rFonts w:hint="eastAsia" w:ascii="宋体" w:hAnsi="宋体" w:eastAsia="宋体" w:cs="宋体"/>
          <w:b/>
          <w:bCs/>
          <w:color w:val="auto"/>
          <w:highlight w:val="none"/>
          <w:lang w:val="en-US" w:eastAsia="zh-CN"/>
        </w:rPr>
        <w:t>分项报价表</w:t>
      </w:r>
    </w:p>
    <w:tbl>
      <w:tblPr>
        <w:tblStyle w:val="43"/>
        <w:tblW w:w="8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71"/>
        <w:gridCol w:w="1671"/>
        <w:gridCol w:w="1671"/>
        <w:gridCol w:w="1671"/>
        <w:gridCol w:w="1675"/>
      </w:tblGrid>
      <w:tr w14:paraId="74E68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88D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50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名称</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3B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2F6F">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单价（元）</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8A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7A400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2584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F245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枕套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566C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12E0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857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AF1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B17A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993A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床单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6DB5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106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031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32E0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65F73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1301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被套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508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1B4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0F4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FD6B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036A5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607B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病员衣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774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7B0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A57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6BA1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6A65A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44D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病员裤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0CA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5266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0D6F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829E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E5BE3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50C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工作服</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20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9AFD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735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D0C1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F26D5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8F3B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工作裤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49D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0F50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9BA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9625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6966D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9736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棉盖</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96B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624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91C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F70B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878C1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EF3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棉垫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71B1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559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E87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294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90B7C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953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枕芯</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421A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5717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19C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821C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F012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F6B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窗帘</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AAAE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2A8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FEE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45BF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4DB1D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632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污物袋</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912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8A13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7254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B7AE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CE25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CE0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室内工作服</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F0BE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72A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4DE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E009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F4488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CD3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手术衣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BDD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E62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F573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1F03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ED0AD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BE9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洗手衣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FEC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3F7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725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394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BDDB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8F5E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洗手裤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C1A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4E2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0AA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B634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CA6DF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6E3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B5A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5E0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1E9B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1C62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810FC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716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中洞巾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4827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96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CB94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AC47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EB19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282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大洞巾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963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808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165E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8C2F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D25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7C93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单层中单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CE8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606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76A5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3FC5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DA6C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D80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双层中单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B19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029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CC3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E941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FE4A6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8BB5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手术中单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A7E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E77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8122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97AC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4FFE8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2E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甲状腺单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D74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304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6A8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E7D1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60022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FD2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双层大夹被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6628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F37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D187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4E1B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224E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FB2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大开刀巾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739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CF5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281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0529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1FE1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C49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小开刀巾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A54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DFF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DFB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4B7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8CBA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BCE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甲状腺剖腹被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A93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EBC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979E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209B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F880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AC3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隔离衣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125A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0BFA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66C3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6CC3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5BC2E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63B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大浴巾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CAA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1B2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677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EE0A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D92E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8F8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沙发套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806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B8F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961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73EF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29895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30D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三层大包布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72A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E6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71C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46308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4F344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8468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三层中包布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AA3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BEB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A17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063E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093A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36B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三层小包布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CF6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44E7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9E0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C98B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893D9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530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单层大包布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00C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A12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EF0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FED9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464FA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A07C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单层中包布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5212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2B9E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070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9EC5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EBAE9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88D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单层小包布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7A9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63BD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C277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CAEF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1B70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08E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小包被</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93C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A97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884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A6EA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D6933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158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婴儿小床单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28D4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9BF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B053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83AC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AD52B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69F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婴儿衣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7F8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C67E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0C4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E5FB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D384A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8C66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腹带</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1E4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418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F17C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2C61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699DA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A65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浴帘</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E25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C20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7A8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A88A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B24D6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B5A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剖腹单</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E55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8B5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A4A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8FD9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5D85F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0190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手术被套</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112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9D6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2E7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71AA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59180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FC0B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治疗巾</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6D6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81C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33A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A54C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E3000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6FFD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护袖</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06C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23AA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C6B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5705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182A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4C6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单腿裤</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760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FCF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BA5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F2BF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EA21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710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大毛毯</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864F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A2E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228E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D209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5809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B3C1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棉衣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2236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38F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C1F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1E4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9C5F6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89C3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毛衣</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D9B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661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134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0447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7F597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845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背心</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61FC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248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B8D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bl>
    <w:p w14:paraId="45B4A488">
      <w:pPr>
        <w:pStyle w:val="17"/>
        <w:rPr>
          <w:rFonts w:hint="eastAsia" w:ascii="宋体" w:hAnsi="宋体" w:eastAsia="宋体" w:cs="宋体"/>
          <w:b/>
          <w:bCs/>
          <w:color w:val="auto"/>
          <w:sz w:val="21"/>
          <w:szCs w:val="21"/>
          <w:highlight w:val="none"/>
        </w:rPr>
      </w:pPr>
    </w:p>
    <w:p w14:paraId="3BDA4663">
      <w:pPr>
        <w:pStyle w:val="17"/>
        <w:rPr>
          <w:rFonts w:hint="eastAsia" w:ascii="宋体" w:hAnsi="宋体" w:eastAsia="宋体" w:cs="宋体"/>
          <w:b/>
          <w:bCs/>
          <w:color w:val="auto"/>
          <w:sz w:val="21"/>
          <w:szCs w:val="21"/>
          <w:highlight w:val="none"/>
        </w:rPr>
      </w:pPr>
    </w:p>
    <w:p w14:paraId="7EBC40A5">
      <w:pPr>
        <w:pStyle w:val="17"/>
        <w:rPr>
          <w:rFonts w:hint="eastAsia" w:ascii="宋体" w:hAnsi="宋体" w:eastAsia="宋体" w:cs="宋体"/>
          <w:b/>
          <w:bCs/>
          <w:color w:val="auto"/>
          <w:sz w:val="21"/>
          <w:szCs w:val="21"/>
          <w:highlight w:val="none"/>
        </w:rPr>
      </w:pPr>
    </w:p>
    <w:p w14:paraId="10645355">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报价包含洗涤、运输、修补、人员费用、节假日加班费用、管理费用、装备费用、税费等所有费用，医用布草洗涤清单的数量是采购人在合同期内可能需要洗涤的医用布草。</w:t>
      </w:r>
    </w:p>
    <w:p w14:paraId="1B826729">
      <w:pPr>
        <w:widowControl/>
        <w:adjustRightInd w:val="0"/>
        <w:snapToGrid w:val="0"/>
        <w:spacing w:line="460" w:lineRule="atLeast"/>
        <w:ind w:firstLine="420" w:firstLineChars="200"/>
        <w:rPr>
          <w:rFonts w:ascii="宋体" w:hAnsi="宋体" w:cs="宋体"/>
          <w:bCs/>
          <w:color w:val="auto"/>
          <w:kern w:val="0"/>
          <w:highlight w:val="none"/>
        </w:rPr>
      </w:pPr>
    </w:p>
    <w:p w14:paraId="0AA05BC1">
      <w:pPr>
        <w:pStyle w:val="17"/>
        <w:jc w:val="center"/>
        <w:rPr>
          <w:rFonts w:hint="eastAsia" w:ascii="宋体" w:hAnsi="宋体" w:eastAsia="宋体" w:cs="宋体"/>
          <w:color w:val="auto"/>
          <w:highlight w:val="none"/>
        </w:rPr>
      </w:pPr>
    </w:p>
    <w:p w14:paraId="025F72F7">
      <w:pPr>
        <w:pStyle w:val="17"/>
        <w:jc w:val="center"/>
        <w:rPr>
          <w:rFonts w:hint="eastAsia" w:ascii="宋体" w:hAnsi="宋体" w:eastAsia="宋体" w:cs="宋体"/>
          <w:color w:val="auto"/>
          <w:highlight w:val="none"/>
        </w:rPr>
      </w:pPr>
    </w:p>
    <w:p w14:paraId="34CF5E6F">
      <w:pPr>
        <w:rPr>
          <w:rFonts w:hint="eastAsia" w:ascii="宋体" w:hAnsi="宋体" w:eastAsia="宋体" w:cs="宋体"/>
          <w:b/>
          <w:bCs/>
          <w:color w:val="auto"/>
          <w:highlight w:val="none"/>
          <w:lang w:eastAsia="zh-CN"/>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三（采购包2）</w:t>
      </w:r>
    </w:p>
    <w:p w14:paraId="79F6F2BA">
      <w:pPr>
        <w:pStyle w:val="17"/>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highlight w:val="none"/>
        </w:rPr>
        <w:t>汤山院区（康复路1号）</w:t>
      </w:r>
      <w:r>
        <w:rPr>
          <w:rFonts w:hint="eastAsia" w:ascii="宋体" w:hAnsi="宋体" w:eastAsia="宋体" w:cs="宋体"/>
          <w:b/>
          <w:bCs/>
          <w:color w:val="auto"/>
          <w:highlight w:val="none"/>
          <w:lang w:val="en-US" w:eastAsia="zh-CN"/>
        </w:rPr>
        <w:t>分项报价表</w:t>
      </w:r>
    </w:p>
    <w:tbl>
      <w:tblPr>
        <w:tblStyle w:val="43"/>
        <w:tblW w:w="83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72"/>
        <w:gridCol w:w="1672"/>
        <w:gridCol w:w="1672"/>
        <w:gridCol w:w="1672"/>
        <w:gridCol w:w="1675"/>
      </w:tblGrid>
      <w:tr w14:paraId="2D069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5B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9C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名称</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63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AB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单价（元）</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A9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632DC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95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4A2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床单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C66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38E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C665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9F8C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A41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A04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被套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9E9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E3F8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1F87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0538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341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540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枕套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C41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E90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CC6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E71F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E05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E1A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病员衣、裤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ABE6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8687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A37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0C9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2F22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0049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洗手衣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24B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DFD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E48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49AE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31C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BE8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长洗手衣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A18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9B58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B6CA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2EBD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8F9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672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洗手裤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CF0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8C4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5D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FF5E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BB1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630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隔离衣</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045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095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F8E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805D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DC81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8B2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工作服</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F1D3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16D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17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5BC9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B1F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5EC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工作裤</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5A9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CA3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E16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D2CF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31A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EE89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值班大单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702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C22D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6E3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4D3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725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2BA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值班被套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120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04A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79D4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2EC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5DC6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F7F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值班枕套</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6B4F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FA3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E84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DE15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4CD4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87D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A53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7A0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9299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8D06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B7A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722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中包布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C6D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EDC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31F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B34B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C79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507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小包布</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959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F3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EB33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4E9C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5B7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89D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中单</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A27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B63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23D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B33A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80F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C19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大洞巾</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5BF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A99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B1D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1208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566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60D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病房隔帘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33E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AA1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0C87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0D169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7847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492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棉被</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ADC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15A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738F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8F39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978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B12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窗帘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DBD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6311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00B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85D5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E14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348B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床垫</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3ECE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239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CAE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45FF7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B72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CAEB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床罩</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CF0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D87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0A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50CC9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C9F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4F15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枕芯</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1C3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FAE8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959C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5E9C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C48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BE68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浴帘</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D95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件</w:t>
            </w:r>
          </w:p>
        </w:tc>
        <w:tc>
          <w:tcPr>
            <w:tcW w:w="1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0C96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748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bl>
    <w:p w14:paraId="44652A6A">
      <w:pPr>
        <w:keepNext w:val="0"/>
        <w:keepLines w:val="0"/>
        <w:pageBreakBefore w:val="0"/>
        <w:kinsoku/>
        <w:wordWrap/>
        <w:overflowPunct/>
        <w:topLinePunct w:val="0"/>
        <w:autoSpaceDE/>
        <w:autoSpaceDN/>
        <w:bidi w:val="0"/>
        <w:adjustRightInd/>
        <w:snapToGrid/>
        <w:spacing w:line="4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报价包含洗涤、运输、修补、人员费用、节假日加班费用、管理费用、装备费用、税费等所有费用，医用布草洗涤清单的数量是采购人在合同期内可能需要洗涤的医用布草。</w:t>
      </w:r>
    </w:p>
    <w:p w14:paraId="51BC461C">
      <w:pPr>
        <w:spacing w:line="300" w:lineRule="auto"/>
        <w:rPr>
          <w:rFonts w:ascii="仿宋_GB2312" w:eastAsia="仿宋_GB2312"/>
          <w:color w:val="auto"/>
          <w:sz w:val="24"/>
          <w:highlight w:val="none"/>
        </w:rPr>
      </w:pPr>
    </w:p>
    <w:p w14:paraId="3B991DB2">
      <w:pPr>
        <w:jc w:val="center"/>
        <w:rPr>
          <w:b/>
          <w:color w:val="auto"/>
          <w:sz w:val="44"/>
          <w:highlight w:val="none"/>
        </w:rPr>
      </w:pPr>
    </w:p>
    <w:p w14:paraId="304CD24A">
      <w:pPr>
        <w:jc w:val="center"/>
        <w:rPr>
          <w:rFonts w:ascii="宋体" w:hAnsi="宋体" w:cs="宋体"/>
          <w:color w:val="auto"/>
          <w:sz w:val="28"/>
          <w:szCs w:val="28"/>
          <w:highlight w:val="none"/>
        </w:rPr>
      </w:pPr>
      <w:r>
        <w:rPr>
          <w:rFonts w:hint="eastAsia" w:ascii="宋体" w:hAnsi="宋体" w:cs="宋体"/>
          <w:bCs/>
          <w:color w:val="auto"/>
          <w:sz w:val="36"/>
          <w:szCs w:val="36"/>
          <w:highlight w:val="none"/>
          <w:lang w:val="zh-CN"/>
        </w:rPr>
        <w:t>第六章</w:t>
      </w:r>
      <w:bookmarkEnd w:id="158"/>
      <w:bookmarkEnd w:id="159"/>
      <w:bookmarkStart w:id="164" w:name="_Toc26539"/>
      <w:bookmarkStart w:id="165" w:name="_Toc479586165"/>
      <w:r>
        <w:rPr>
          <w:rFonts w:hint="eastAsia" w:ascii="宋体" w:hAnsi="宋体" w:cs="宋体"/>
          <w:bCs/>
          <w:color w:val="auto"/>
          <w:sz w:val="36"/>
          <w:szCs w:val="36"/>
          <w:highlight w:val="none"/>
          <w:lang w:val="zh-CN"/>
        </w:rPr>
        <w:t>响应性文件格式及附件</w:t>
      </w:r>
    </w:p>
    <w:p w14:paraId="71865CC7">
      <w:pPr>
        <w:jc w:val="center"/>
        <w:rPr>
          <w:rFonts w:ascii="宋体" w:hAnsi="宋体" w:cs="宋体"/>
          <w:color w:val="auto"/>
          <w:sz w:val="28"/>
          <w:szCs w:val="28"/>
          <w:highlight w:val="none"/>
        </w:rPr>
      </w:pPr>
    </w:p>
    <w:p w14:paraId="14513733">
      <w:pPr>
        <w:jc w:val="center"/>
        <w:rPr>
          <w:rFonts w:ascii="宋体" w:hAnsi="宋体" w:cs="宋体"/>
          <w:color w:val="auto"/>
          <w:sz w:val="28"/>
          <w:szCs w:val="28"/>
          <w:highlight w:val="none"/>
        </w:rPr>
      </w:pPr>
    </w:p>
    <w:p w14:paraId="17A640F5">
      <w:pPr>
        <w:jc w:val="center"/>
        <w:rPr>
          <w:rFonts w:ascii="宋体" w:hAnsi="宋体" w:cs="宋体"/>
          <w:color w:val="auto"/>
          <w:sz w:val="20"/>
          <w:szCs w:val="20"/>
          <w:highlight w:val="none"/>
        </w:rPr>
      </w:pPr>
      <w:r>
        <w:rPr>
          <w:rFonts w:hint="eastAsia" w:ascii="宋体" w:hAnsi="宋体" w:cs="宋体"/>
          <w:color w:val="auto"/>
          <w:sz w:val="28"/>
          <w:szCs w:val="28"/>
          <w:highlight w:val="none"/>
        </w:rPr>
        <w:t>（项目名称）</w:t>
      </w:r>
    </w:p>
    <w:p w14:paraId="5FC0E9FC">
      <w:pPr>
        <w:jc w:val="center"/>
        <w:rPr>
          <w:rFonts w:ascii="宋体" w:hAnsi="宋体" w:cs="宋体"/>
          <w:color w:val="auto"/>
          <w:sz w:val="20"/>
          <w:szCs w:val="20"/>
          <w:highlight w:val="none"/>
        </w:rPr>
      </w:pPr>
    </w:p>
    <w:p w14:paraId="3D5B0882">
      <w:pPr>
        <w:jc w:val="center"/>
        <w:rPr>
          <w:rFonts w:ascii="宋体" w:hAnsi="宋体" w:cs="宋体"/>
          <w:color w:val="auto"/>
          <w:sz w:val="20"/>
          <w:szCs w:val="20"/>
          <w:highlight w:val="none"/>
        </w:rPr>
      </w:pPr>
    </w:p>
    <w:p w14:paraId="0445E14F">
      <w:pPr>
        <w:jc w:val="center"/>
        <w:rPr>
          <w:rFonts w:ascii="宋体" w:hAnsi="宋体" w:cs="宋体"/>
          <w:color w:val="auto"/>
          <w:sz w:val="44"/>
          <w:szCs w:val="44"/>
          <w:highlight w:val="none"/>
        </w:rPr>
      </w:pPr>
      <w:r>
        <w:rPr>
          <w:rFonts w:hint="eastAsia" w:ascii="宋体" w:hAnsi="宋体" w:cs="宋体"/>
          <w:color w:val="auto"/>
          <w:sz w:val="44"/>
          <w:szCs w:val="44"/>
          <w:highlight w:val="none"/>
        </w:rPr>
        <w:t>响应文件</w:t>
      </w:r>
    </w:p>
    <w:p w14:paraId="7D1CE4E5">
      <w:pPr>
        <w:rPr>
          <w:rFonts w:ascii="宋体" w:hAnsi="宋体" w:cs="宋体"/>
          <w:color w:val="auto"/>
          <w:sz w:val="28"/>
          <w:szCs w:val="28"/>
          <w:highlight w:val="none"/>
        </w:rPr>
      </w:pPr>
    </w:p>
    <w:p w14:paraId="7E01060C">
      <w:pPr>
        <w:rPr>
          <w:rFonts w:ascii="宋体" w:hAnsi="宋体" w:cs="宋体"/>
          <w:color w:val="auto"/>
          <w:sz w:val="28"/>
          <w:szCs w:val="28"/>
          <w:highlight w:val="none"/>
        </w:rPr>
      </w:pPr>
    </w:p>
    <w:p w14:paraId="65FFF2E3">
      <w:pPr>
        <w:rPr>
          <w:rFonts w:ascii="宋体" w:hAnsi="宋体" w:cs="宋体"/>
          <w:color w:val="auto"/>
          <w:sz w:val="28"/>
          <w:szCs w:val="28"/>
          <w:highlight w:val="none"/>
        </w:rPr>
      </w:pPr>
    </w:p>
    <w:p w14:paraId="3416C8EA">
      <w:pPr>
        <w:rPr>
          <w:rFonts w:ascii="宋体" w:hAnsi="宋体" w:cs="宋体"/>
          <w:color w:val="auto"/>
          <w:sz w:val="28"/>
          <w:szCs w:val="28"/>
          <w:highlight w:val="none"/>
        </w:rPr>
      </w:pPr>
    </w:p>
    <w:p w14:paraId="725AA432">
      <w:pPr>
        <w:rPr>
          <w:rFonts w:ascii="宋体" w:hAnsi="宋体" w:cs="宋体"/>
          <w:color w:val="auto"/>
          <w:sz w:val="28"/>
          <w:szCs w:val="28"/>
          <w:highlight w:val="none"/>
        </w:rPr>
      </w:pPr>
    </w:p>
    <w:p w14:paraId="739C9A63">
      <w:pPr>
        <w:rPr>
          <w:rFonts w:ascii="宋体" w:hAnsi="宋体" w:cs="宋体"/>
          <w:color w:val="auto"/>
          <w:sz w:val="28"/>
          <w:szCs w:val="28"/>
          <w:highlight w:val="none"/>
        </w:rPr>
      </w:pPr>
    </w:p>
    <w:p w14:paraId="47501566">
      <w:pPr>
        <w:rPr>
          <w:color w:val="auto"/>
          <w:highlight w:val="none"/>
        </w:rPr>
      </w:pPr>
    </w:p>
    <w:p w14:paraId="32D62B55">
      <w:pPr>
        <w:jc w:val="center"/>
        <w:rPr>
          <w:rFonts w:ascii="宋体" w:hAnsi="宋体" w:cs="宋体"/>
          <w:color w:val="auto"/>
          <w:sz w:val="28"/>
          <w:szCs w:val="28"/>
          <w:highlight w:val="none"/>
          <w:u w:val="single"/>
        </w:rPr>
      </w:pPr>
      <w:r>
        <w:rPr>
          <w:rFonts w:hint="eastAsia" w:ascii="宋体" w:hAnsi="宋体" w:cs="宋体"/>
          <w:color w:val="auto"/>
          <w:sz w:val="28"/>
          <w:szCs w:val="28"/>
          <w:highlight w:val="none"/>
        </w:rPr>
        <w:t>供应商：（盖单位章）</w:t>
      </w:r>
    </w:p>
    <w:p w14:paraId="030BE16B">
      <w:pPr>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法定代表人或其委托代理人：（签字）</w:t>
      </w:r>
    </w:p>
    <w:p w14:paraId="0168FB5E">
      <w:pPr>
        <w:jc w:val="center"/>
        <w:rPr>
          <w:rFonts w:ascii="宋体" w:hAnsi="宋体" w:cs="宋体"/>
          <w:color w:val="auto"/>
          <w:sz w:val="20"/>
          <w:szCs w:val="20"/>
          <w:highlight w:val="none"/>
        </w:rPr>
      </w:pPr>
      <w:r>
        <w:rPr>
          <w:rFonts w:hint="eastAsia" w:ascii="宋体" w:hAnsi="宋体" w:cs="宋体"/>
          <w:color w:val="auto"/>
          <w:sz w:val="28"/>
          <w:szCs w:val="28"/>
          <w:highlight w:val="none"/>
        </w:rPr>
        <w:t>年月日</w:t>
      </w:r>
    </w:p>
    <w:p w14:paraId="4DCB1D9A">
      <w:pPr>
        <w:rPr>
          <w:color w:val="auto"/>
          <w:highlight w:val="none"/>
        </w:rPr>
      </w:pPr>
    </w:p>
    <w:p w14:paraId="6407766F">
      <w:pPr>
        <w:rPr>
          <w:color w:val="auto"/>
          <w:highlight w:val="none"/>
          <w:lang w:val="zh-CN"/>
        </w:rPr>
      </w:pPr>
    </w:p>
    <w:p w14:paraId="672C7973">
      <w:pPr>
        <w:rPr>
          <w:color w:val="auto"/>
          <w:highlight w:val="none"/>
          <w:lang w:val="zh-CN"/>
        </w:rPr>
      </w:pPr>
    </w:p>
    <w:p w14:paraId="2B2C73B7">
      <w:pPr>
        <w:rPr>
          <w:b/>
          <w:bCs/>
          <w:color w:val="auto"/>
          <w:highlight w:val="none"/>
        </w:rPr>
      </w:pPr>
    </w:p>
    <w:p w14:paraId="6B6B6825">
      <w:pPr>
        <w:rPr>
          <w:b/>
          <w:bCs/>
          <w:color w:val="auto"/>
          <w:highlight w:val="none"/>
        </w:rPr>
      </w:pPr>
    </w:p>
    <w:p w14:paraId="336ADB8A">
      <w:pPr>
        <w:rPr>
          <w:b/>
          <w:bCs/>
          <w:color w:val="auto"/>
          <w:highlight w:val="none"/>
        </w:rPr>
      </w:pPr>
    </w:p>
    <w:p w14:paraId="345AE2CD">
      <w:pPr>
        <w:rPr>
          <w:b/>
          <w:bCs/>
          <w:color w:val="auto"/>
          <w:highlight w:val="none"/>
        </w:rPr>
      </w:pPr>
    </w:p>
    <w:p w14:paraId="28CF54F0">
      <w:pPr>
        <w:rPr>
          <w:b/>
          <w:bCs/>
          <w:color w:val="auto"/>
          <w:highlight w:val="none"/>
        </w:rPr>
      </w:pPr>
    </w:p>
    <w:p w14:paraId="2B82D135">
      <w:pPr>
        <w:rPr>
          <w:b/>
          <w:bCs/>
          <w:color w:val="auto"/>
          <w:highlight w:val="none"/>
        </w:rPr>
      </w:pPr>
    </w:p>
    <w:p w14:paraId="588F7AB1">
      <w:pPr>
        <w:rPr>
          <w:b/>
          <w:bCs/>
          <w:color w:val="auto"/>
          <w:highlight w:val="none"/>
        </w:rPr>
      </w:pPr>
    </w:p>
    <w:p w14:paraId="2FC694B6">
      <w:pPr>
        <w:rPr>
          <w:b/>
          <w:bCs/>
          <w:color w:val="auto"/>
          <w:sz w:val="24"/>
          <w:szCs w:val="24"/>
          <w:highlight w:val="none"/>
        </w:rPr>
      </w:pPr>
    </w:p>
    <w:p w14:paraId="43C98919">
      <w:pPr>
        <w:rPr>
          <w:b/>
          <w:bCs/>
          <w:color w:val="auto"/>
          <w:sz w:val="24"/>
          <w:szCs w:val="24"/>
          <w:highlight w:val="none"/>
        </w:rPr>
      </w:pPr>
      <w:r>
        <w:rPr>
          <w:rFonts w:hint="eastAsia"/>
          <w:b/>
          <w:bCs/>
          <w:color w:val="auto"/>
          <w:sz w:val="24"/>
          <w:szCs w:val="24"/>
          <w:highlight w:val="none"/>
        </w:rPr>
        <w:t>目录一：</w:t>
      </w:r>
      <w:r>
        <w:rPr>
          <w:rFonts w:hint="eastAsia" w:ascii="宋体" w:hAnsi="宋体" w:cs="宋体"/>
          <w:b/>
          <w:bCs/>
          <w:color w:val="auto"/>
          <w:sz w:val="30"/>
          <w:highlight w:val="none"/>
          <w:lang w:val="zh-CN"/>
        </w:rPr>
        <w:t>磋商申请及声明格式</w:t>
      </w:r>
      <w:bookmarkEnd w:id="164"/>
      <w:bookmarkEnd w:id="165"/>
    </w:p>
    <w:p w14:paraId="42B10B77">
      <w:pPr>
        <w:jc w:val="center"/>
        <w:rPr>
          <w:b/>
          <w:bCs/>
          <w:color w:val="auto"/>
          <w:sz w:val="24"/>
          <w:szCs w:val="24"/>
          <w:highlight w:val="none"/>
        </w:rPr>
      </w:pPr>
      <w:r>
        <w:rPr>
          <w:rFonts w:hint="eastAsia"/>
          <w:b/>
          <w:bCs/>
          <w:color w:val="auto"/>
          <w:sz w:val="24"/>
          <w:szCs w:val="24"/>
          <w:highlight w:val="none"/>
        </w:rPr>
        <w:t>磋商申请及声明</w:t>
      </w:r>
    </w:p>
    <w:p w14:paraId="6477D257">
      <w:pPr>
        <w:autoSpaceDE w:val="0"/>
        <w:autoSpaceDN w:val="0"/>
        <w:adjustRightInd w:val="0"/>
        <w:spacing w:line="460" w:lineRule="exact"/>
        <w:rPr>
          <w:rFonts w:hint="eastAsia" w:ascii="宋体" w:hAnsi="宋体" w:eastAsia="宋体" w:cs="宋体"/>
          <w:color w:val="auto"/>
          <w:highlight w:val="none"/>
          <w:lang w:eastAsia="zh-CN"/>
        </w:rPr>
      </w:pPr>
      <w:r>
        <w:rPr>
          <w:rFonts w:hint="eastAsia" w:ascii="宋体" w:hAnsi="宋体" w:cs="宋体"/>
          <w:color w:val="auto"/>
          <w:highlight w:val="none"/>
        </w:rPr>
        <w:t>致：</w:t>
      </w:r>
      <w:r>
        <w:rPr>
          <w:rFonts w:hint="eastAsia" w:ascii="宋体" w:hAnsi="宋体" w:cs="宋体"/>
          <w:color w:val="auto"/>
          <w:highlight w:val="none"/>
          <w:lang w:eastAsia="zh-CN"/>
        </w:rPr>
        <w:t>南京市第二医院</w:t>
      </w:r>
    </w:p>
    <w:p w14:paraId="0E18415F">
      <w:pPr>
        <w:autoSpaceDE w:val="0"/>
        <w:autoSpaceDN w:val="0"/>
        <w:adjustRightInd w:val="0"/>
        <w:spacing w:line="460" w:lineRule="exact"/>
        <w:ind w:firstLine="420"/>
        <w:rPr>
          <w:rFonts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b/>
          <w:color w:val="auto"/>
          <w:highlight w:val="none"/>
          <w:u w:val="single"/>
          <w:lang w:val="zh-CN"/>
        </w:rPr>
        <w:t xml:space="preserve">（项目名称）  </w:t>
      </w:r>
      <w:r>
        <w:rPr>
          <w:rFonts w:hint="eastAsia" w:ascii="宋体" w:hAnsi="宋体" w:cs="宋体"/>
          <w:color w:val="auto"/>
          <w:highlight w:val="none"/>
        </w:rPr>
        <w:t>磋商邀请，正式授权下述签字人</w:t>
      </w:r>
      <w:r>
        <w:rPr>
          <w:rFonts w:hint="eastAsia" w:ascii="宋体" w:hAnsi="宋体" w:cs="宋体"/>
          <w:color w:val="auto"/>
          <w:highlight w:val="none"/>
          <w:u w:val="single"/>
        </w:rPr>
        <w:t xml:space="preserve">      （</w:t>
      </w:r>
      <w:r>
        <w:rPr>
          <w:rFonts w:hint="eastAsia" w:ascii="宋体" w:hAnsi="宋体" w:cs="宋体"/>
          <w:color w:val="auto"/>
          <w:highlight w:val="none"/>
        </w:rPr>
        <w:t>姓名和职务）代表（供应商名称），提交响应文件并参加磋商。</w:t>
      </w:r>
    </w:p>
    <w:p w14:paraId="2A5740D5">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据此函，签字人兹宣布同意如下：</w:t>
      </w:r>
    </w:p>
    <w:p w14:paraId="458A66D0">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b/>
          <w:bCs/>
          <w:color w:val="auto"/>
          <w:highlight w:val="none"/>
        </w:rPr>
        <w:t>我们的资格条件完全符合政府采购法和本次采购要求</w:t>
      </w:r>
      <w:r>
        <w:rPr>
          <w:rFonts w:hint="eastAsia" w:ascii="宋体" w:hAnsi="宋体" w:cs="宋体"/>
          <w:color w:val="auto"/>
          <w:highlight w:val="none"/>
        </w:rPr>
        <w:t>，我们同意并向贵方提供了与本次采购活动有关的所有证据和资料。</w:t>
      </w:r>
    </w:p>
    <w:p w14:paraId="5E2BECD8">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2、项目名称：</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4749BA99">
      <w:pPr>
        <w:spacing w:line="460" w:lineRule="exact"/>
        <w:ind w:firstLine="420" w:firstLineChars="200"/>
        <w:rPr>
          <w:rFonts w:ascii="宋体" w:hAnsi="宋体" w:cs="宋体"/>
          <w:color w:val="auto"/>
          <w:highlight w:val="none"/>
          <w:u w:val="single"/>
        </w:rPr>
      </w:pPr>
      <w:r>
        <w:rPr>
          <w:rFonts w:hint="eastAsia" w:ascii="宋体" w:hAnsi="宋体" w:cs="宋体"/>
          <w:color w:val="auto"/>
          <w:highlight w:val="none"/>
        </w:rPr>
        <w:t>3、</w:t>
      </w:r>
      <w:r>
        <w:rPr>
          <w:rFonts w:hint="eastAsia" w:ascii="宋体" w:hAnsi="宋体" w:cs="宋体"/>
          <w:color w:val="auto"/>
          <w:highlight w:val="none"/>
          <w:lang w:val="zh-CN"/>
        </w:rPr>
        <w:t>按磋商要求，</w:t>
      </w:r>
      <w:r>
        <w:rPr>
          <w:rFonts w:hint="eastAsia" w:ascii="宋体" w:hAnsi="宋体" w:cs="宋体"/>
          <w:color w:val="auto"/>
          <w:highlight w:val="none"/>
        </w:rPr>
        <w:t>我方</w:t>
      </w:r>
      <w:r>
        <w:rPr>
          <w:rFonts w:hint="eastAsia" w:ascii="宋体" w:hAnsi="宋体" w:cs="宋体"/>
          <w:color w:val="auto"/>
          <w:highlight w:val="none"/>
          <w:lang w:val="en-US" w:eastAsia="zh-CN"/>
        </w:rPr>
        <w:t>投标优惠率为：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none"/>
          <w:lang w:val="en-US" w:eastAsia="zh-CN"/>
        </w:rPr>
        <w:t>%（</w:t>
      </w:r>
      <w:r>
        <w:rPr>
          <w:rFonts w:hint="eastAsia" w:ascii="宋体" w:hAnsi="宋体" w:cs="宋体"/>
          <w:color w:val="auto"/>
          <w:highlight w:val="none"/>
          <w:lang w:val="en-US" w:eastAsia="zh-CN"/>
        </w:rPr>
        <w:t>最终中标单价=控制价*（1-中标优惠率）</w:t>
      </w:r>
      <w:r>
        <w:rPr>
          <w:rFonts w:hint="eastAsia" w:ascii="宋体" w:hAnsi="宋体" w:eastAsia="宋体" w:cs="宋体"/>
          <w:color w:val="auto"/>
          <w:highlight w:val="none"/>
          <w:lang w:val="en-US" w:eastAsia="zh-CN"/>
        </w:rPr>
        <w:t>。</w:t>
      </w:r>
      <w:r>
        <w:rPr>
          <w:rFonts w:hint="eastAsia" w:ascii="宋体" w:hAnsi="宋体" w:cs="宋体"/>
          <w:color w:val="auto"/>
          <w:highlight w:val="none"/>
        </w:rPr>
        <w:t>承包上述相关服务</w:t>
      </w:r>
      <w:r>
        <w:rPr>
          <w:rFonts w:hint="eastAsia" w:ascii="宋体" w:hAnsi="宋体" w:cs="宋体"/>
          <w:color w:val="auto"/>
          <w:highlight w:val="none"/>
          <w:lang w:val="en-US" w:eastAsia="zh-CN"/>
        </w:rPr>
        <w:t>,</w:t>
      </w:r>
      <w:r>
        <w:rPr>
          <w:rFonts w:hint="eastAsia" w:ascii="宋体" w:hAnsi="宋体" w:cs="宋体"/>
          <w:color w:val="auto"/>
          <w:highlight w:val="none"/>
        </w:rPr>
        <w:t>服务期：</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E92C4CD">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4、我们已详细审核全部磋商文件及其有效补充文件，我们放弃对磋商文件任何误解的权利，提交响应文件后，</w:t>
      </w:r>
      <w:r>
        <w:rPr>
          <w:rFonts w:hint="eastAsia" w:ascii="宋体" w:hAnsi="宋体" w:cs="宋体"/>
          <w:b/>
          <w:bCs/>
          <w:color w:val="auto"/>
          <w:highlight w:val="none"/>
        </w:rPr>
        <w:t>不对磋商文件本身提出质疑</w:t>
      </w:r>
      <w:r>
        <w:rPr>
          <w:rFonts w:hint="eastAsia" w:ascii="宋体" w:hAnsi="宋体" w:cs="宋体"/>
          <w:color w:val="auto"/>
          <w:highlight w:val="none"/>
        </w:rPr>
        <w:t>。否则，属于不诚信和故意扰乱政府采购活动行为，我们将无条件接受处罚。</w:t>
      </w:r>
    </w:p>
    <w:p w14:paraId="4175EC2C">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5、一旦我方成交，我方将根据磋商文件的规定，严格履行合同，保证按采购人要求完成本项目规定的服务内容。</w:t>
      </w:r>
    </w:p>
    <w:p w14:paraId="7AA763E9">
      <w:pPr>
        <w:spacing w:line="460" w:lineRule="exact"/>
        <w:ind w:firstLine="420" w:firstLineChars="200"/>
        <w:rPr>
          <w:rFonts w:ascii="宋体" w:hAnsi="宋体" w:cs="宋体"/>
          <w:color w:val="auto"/>
          <w:highlight w:val="none"/>
        </w:rPr>
      </w:pPr>
      <w:r>
        <w:rPr>
          <w:rFonts w:hint="eastAsia" w:ascii="宋体" w:hAnsi="宋体" w:cs="宋体"/>
          <w:color w:val="auto"/>
          <w:highlight w:val="none"/>
        </w:rPr>
        <w:t>6、我方决不提供虚假材料谋取成交、决不采取不正当手段诋毁、排挤其他供应商、决不与采购人、其他供应商或者代理机构恶意串通、决不向采购人、代理机构工作人员和磋商小组进行商业贿赂、决不拒绝有关部门监督检查或提供虚假情况，如有违反，无条件接受贵方及相关管理部门的处罚。</w:t>
      </w:r>
    </w:p>
    <w:p w14:paraId="7F5BCBA7">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8、我方正式通讯方式为：</w:t>
      </w:r>
    </w:p>
    <w:p w14:paraId="6421B7F2">
      <w:pPr>
        <w:spacing w:line="400" w:lineRule="exact"/>
        <w:ind w:firstLine="420" w:firstLineChars="200"/>
        <w:rPr>
          <w:rFonts w:ascii="宋体" w:hAnsi="宋体" w:cs="宋体"/>
          <w:color w:val="auto"/>
          <w:highlight w:val="none"/>
          <w:u w:val="single"/>
        </w:rPr>
      </w:pPr>
      <w:r>
        <w:rPr>
          <w:rFonts w:hint="eastAsia" w:ascii="宋体" w:hAnsi="宋体" w:cs="宋体"/>
          <w:color w:val="auto"/>
          <w:highlight w:val="none"/>
        </w:rPr>
        <w:t>地   址：</w:t>
      </w:r>
    </w:p>
    <w:p w14:paraId="17422BCC">
      <w:pPr>
        <w:spacing w:line="400" w:lineRule="exact"/>
        <w:ind w:firstLine="420" w:firstLineChars="200"/>
        <w:rPr>
          <w:rFonts w:ascii="宋体" w:hAnsi="宋体" w:cs="宋体"/>
          <w:color w:val="auto"/>
          <w:highlight w:val="none"/>
          <w:u w:val="single"/>
        </w:rPr>
      </w:pPr>
      <w:r>
        <w:rPr>
          <w:rFonts w:hint="eastAsia" w:ascii="宋体" w:hAnsi="宋体" w:cs="宋体"/>
          <w:color w:val="auto"/>
          <w:highlight w:val="none"/>
        </w:rPr>
        <w:t>电   话：</w:t>
      </w:r>
    </w:p>
    <w:p w14:paraId="3167BCF7">
      <w:pPr>
        <w:spacing w:line="400" w:lineRule="exact"/>
        <w:ind w:firstLine="420" w:firstLineChars="200"/>
        <w:rPr>
          <w:rFonts w:ascii="宋体" w:hAnsi="宋体" w:cs="宋体"/>
          <w:color w:val="auto"/>
          <w:highlight w:val="none"/>
          <w:u w:val="single"/>
        </w:rPr>
      </w:pPr>
      <w:r>
        <w:rPr>
          <w:rFonts w:hint="eastAsia" w:ascii="宋体" w:hAnsi="宋体" w:cs="宋体"/>
          <w:color w:val="auto"/>
          <w:highlight w:val="none"/>
        </w:rPr>
        <w:t>传   真：</w:t>
      </w:r>
    </w:p>
    <w:p w14:paraId="646929C7">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9、我方正式开户银行和账号为：</w:t>
      </w:r>
    </w:p>
    <w:p w14:paraId="52C7E65B">
      <w:pPr>
        <w:spacing w:line="400" w:lineRule="exact"/>
        <w:ind w:firstLine="420" w:firstLineChars="200"/>
        <w:rPr>
          <w:rFonts w:ascii="宋体" w:hAnsi="宋体" w:cs="宋体"/>
          <w:color w:val="auto"/>
          <w:highlight w:val="none"/>
          <w:u w:val="single"/>
        </w:rPr>
      </w:pPr>
      <w:r>
        <w:rPr>
          <w:rFonts w:hint="eastAsia" w:ascii="宋体" w:hAnsi="宋体" w:cs="宋体"/>
          <w:color w:val="auto"/>
          <w:highlight w:val="none"/>
        </w:rPr>
        <w:t>开户银行：</w:t>
      </w:r>
    </w:p>
    <w:p w14:paraId="55F8F61A">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账    号：</w:t>
      </w:r>
    </w:p>
    <w:p w14:paraId="52AF1F3A">
      <w:pPr>
        <w:spacing w:line="400" w:lineRule="exact"/>
        <w:ind w:firstLine="420" w:firstLineChars="200"/>
        <w:rPr>
          <w:rFonts w:ascii="宋体" w:hAnsi="宋体" w:cs="宋体"/>
          <w:color w:val="auto"/>
          <w:highlight w:val="none"/>
          <w:u w:val="single"/>
        </w:rPr>
      </w:pPr>
      <w:r>
        <w:rPr>
          <w:rFonts w:hint="eastAsia" w:ascii="宋体" w:hAnsi="宋体" w:cs="宋体"/>
          <w:color w:val="auto"/>
          <w:highlight w:val="none"/>
        </w:rPr>
        <w:t>供应商授权代表姓名（签字）：</w:t>
      </w:r>
    </w:p>
    <w:p w14:paraId="58D58CFA">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供应商名称（公章）：</w:t>
      </w:r>
    </w:p>
    <w:p w14:paraId="7B4566D3">
      <w:pPr>
        <w:spacing w:line="400" w:lineRule="exact"/>
        <w:ind w:firstLine="420" w:firstLineChars="200"/>
        <w:rPr>
          <w:rFonts w:ascii="宋体" w:hAnsi="宋体" w:cs="宋体"/>
          <w:b/>
          <w:bCs/>
          <w:color w:val="auto"/>
          <w:highlight w:val="none"/>
        </w:rPr>
      </w:pPr>
      <w:r>
        <w:rPr>
          <w:rFonts w:hint="eastAsia" w:ascii="宋体" w:hAnsi="宋体" w:cs="宋体"/>
          <w:color w:val="auto"/>
          <w:highlight w:val="none"/>
        </w:rPr>
        <w:t>日    期：年月日</w:t>
      </w:r>
    </w:p>
    <w:p w14:paraId="33C1C405">
      <w:pPr>
        <w:jc w:val="left"/>
        <w:rPr>
          <w:rFonts w:ascii="宋体" w:hAnsi="宋体" w:cs="宋体"/>
          <w:b/>
          <w:bCs/>
          <w:color w:val="auto"/>
          <w:sz w:val="24"/>
          <w:szCs w:val="24"/>
          <w:highlight w:val="none"/>
        </w:rPr>
      </w:pPr>
    </w:p>
    <w:p w14:paraId="4A7E69F9">
      <w:pPr>
        <w:jc w:val="left"/>
        <w:rPr>
          <w:rFonts w:ascii="宋体" w:hAnsi="宋体" w:cs="宋体"/>
          <w:b/>
          <w:color w:val="auto"/>
          <w:kern w:val="0"/>
          <w:sz w:val="24"/>
          <w:szCs w:val="24"/>
          <w:highlight w:val="none"/>
          <w:lang w:val="zh-CN"/>
        </w:rPr>
      </w:pPr>
      <w:r>
        <w:rPr>
          <w:rFonts w:hint="eastAsia" w:ascii="宋体" w:hAnsi="宋体" w:cs="宋体"/>
          <w:b/>
          <w:bCs/>
          <w:color w:val="auto"/>
          <w:sz w:val="24"/>
          <w:szCs w:val="24"/>
          <w:highlight w:val="none"/>
        </w:rPr>
        <w:t>目录二、</w:t>
      </w:r>
      <w:r>
        <w:rPr>
          <w:rFonts w:hint="eastAsia" w:ascii="宋体" w:hAnsi="宋体" w:cs="宋体"/>
          <w:b/>
          <w:bCs/>
          <w:color w:val="auto"/>
          <w:sz w:val="30"/>
          <w:highlight w:val="none"/>
          <w:lang w:val="zh-CN"/>
        </w:rPr>
        <w:t>法定代表人证明书及法定代表人授权书格式</w:t>
      </w:r>
    </w:p>
    <w:p w14:paraId="4EB677F2">
      <w:pPr>
        <w:pStyle w:val="24"/>
        <w:adjustRightInd w:val="0"/>
        <w:snapToGrid w:val="0"/>
        <w:spacing w:line="300" w:lineRule="auto"/>
        <w:ind w:firstLine="480" w:firstLineChars="200"/>
        <w:jc w:val="center"/>
        <w:rPr>
          <w:rFonts w:hAnsi="宋体" w:cs="宋体"/>
          <w:color w:val="auto"/>
          <w:kern w:val="0"/>
          <w:sz w:val="24"/>
          <w:szCs w:val="24"/>
          <w:highlight w:val="none"/>
        </w:rPr>
      </w:pPr>
    </w:p>
    <w:p w14:paraId="0A6D2A56">
      <w:pPr>
        <w:pStyle w:val="24"/>
        <w:adjustRightInd w:val="0"/>
        <w:snapToGrid w:val="0"/>
        <w:spacing w:line="300" w:lineRule="auto"/>
        <w:ind w:firstLine="482" w:firstLineChars="200"/>
        <w:jc w:val="center"/>
        <w:rPr>
          <w:rFonts w:hAnsi="宋体" w:cs="宋体"/>
          <w:b/>
          <w:bCs/>
          <w:color w:val="auto"/>
          <w:kern w:val="0"/>
          <w:sz w:val="24"/>
          <w:szCs w:val="24"/>
          <w:highlight w:val="none"/>
        </w:rPr>
      </w:pPr>
      <w:r>
        <w:rPr>
          <w:rFonts w:hint="eastAsia" w:hAnsi="宋体" w:cs="宋体"/>
          <w:b/>
          <w:bCs/>
          <w:color w:val="auto"/>
          <w:kern w:val="0"/>
          <w:sz w:val="24"/>
          <w:szCs w:val="24"/>
          <w:highlight w:val="none"/>
        </w:rPr>
        <w:t>法定代表人证明书</w:t>
      </w:r>
    </w:p>
    <w:p w14:paraId="62C0B18E">
      <w:pPr>
        <w:pStyle w:val="24"/>
        <w:adjustRightInd w:val="0"/>
        <w:snapToGrid w:val="0"/>
        <w:spacing w:line="300" w:lineRule="auto"/>
        <w:ind w:firstLine="420" w:firstLineChars="200"/>
        <w:rPr>
          <w:rFonts w:hAnsi="宋体" w:cs="宋体"/>
          <w:color w:val="auto"/>
          <w:highlight w:val="none"/>
        </w:rPr>
      </w:pPr>
      <w:r>
        <w:rPr>
          <w:rFonts w:hint="eastAsia" w:hAnsi="宋体" w:cs="宋体"/>
          <w:color w:val="auto"/>
          <w:highlight w:val="none"/>
        </w:rPr>
        <w:t>单位名称：</w:t>
      </w:r>
    </w:p>
    <w:p w14:paraId="69C034A2">
      <w:pPr>
        <w:pStyle w:val="24"/>
        <w:adjustRightInd w:val="0"/>
        <w:snapToGrid w:val="0"/>
        <w:spacing w:line="300" w:lineRule="auto"/>
        <w:ind w:firstLine="420" w:firstLineChars="200"/>
        <w:rPr>
          <w:rFonts w:hAnsi="宋体" w:cs="宋体"/>
          <w:color w:val="auto"/>
          <w:highlight w:val="none"/>
        </w:rPr>
      </w:pPr>
      <w:r>
        <w:rPr>
          <w:rFonts w:hint="eastAsia" w:hAnsi="宋体" w:cs="宋体"/>
          <w:color w:val="auto"/>
          <w:highlight w:val="none"/>
        </w:rPr>
        <w:t>地址：</w:t>
      </w:r>
    </w:p>
    <w:p w14:paraId="360EB9E2">
      <w:pPr>
        <w:pStyle w:val="24"/>
        <w:adjustRightInd w:val="0"/>
        <w:snapToGrid w:val="0"/>
        <w:spacing w:line="300" w:lineRule="auto"/>
        <w:ind w:firstLine="420" w:firstLineChars="200"/>
        <w:rPr>
          <w:rFonts w:hAnsi="宋体" w:cs="宋体"/>
          <w:color w:val="auto"/>
          <w:highlight w:val="none"/>
        </w:rPr>
      </w:pPr>
      <w:r>
        <w:rPr>
          <w:rFonts w:hint="eastAsia" w:hAnsi="宋体" w:cs="宋体"/>
          <w:color w:val="auto"/>
          <w:highlight w:val="none"/>
        </w:rPr>
        <w:t>姓名：             性别：          年龄：          职务：</w:t>
      </w:r>
    </w:p>
    <w:p w14:paraId="1E740900">
      <w:pPr>
        <w:pStyle w:val="24"/>
        <w:adjustRightInd w:val="0"/>
        <w:snapToGrid w:val="0"/>
        <w:spacing w:line="300" w:lineRule="auto"/>
        <w:ind w:firstLine="420" w:firstLineChars="200"/>
        <w:rPr>
          <w:rFonts w:hAnsi="宋体" w:cs="宋体"/>
          <w:color w:val="auto"/>
          <w:highlight w:val="none"/>
        </w:rPr>
      </w:pP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的法定代表人。为完成</w:t>
      </w:r>
      <w:r>
        <w:rPr>
          <w:rFonts w:hint="eastAsia" w:hAnsi="宋体" w:cs="宋体"/>
          <w:color w:val="auto"/>
          <w:highlight w:val="none"/>
          <w:u w:val="single"/>
        </w:rPr>
        <w:t xml:space="preserve">         </w:t>
      </w:r>
      <w:r>
        <w:rPr>
          <w:rFonts w:hint="eastAsia" w:hAnsi="宋体" w:cs="宋体"/>
          <w:color w:val="auto"/>
          <w:highlight w:val="none"/>
        </w:rPr>
        <w:t>（项目名称），签署上述项目的投标文件、进行签署合同和处理与之有关的一切事务。</w:t>
      </w:r>
    </w:p>
    <w:p w14:paraId="696D0F01">
      <w:pPr>
        <w:pStyle w:val="24"/>
        <w:adjustRightInd w:val="0"/>
        <w:snapToGrid w:val="0"/>
        <w:spacing w:line="300" w:lineRule="auto"/>
        <w:ind w:firstLine="420" w:firstLineChars="200"/>
        <w:rPr>
          <w:rFonts w:hAnsi="宋体" w:cs="宋体"/>
          <w:color w:val="auto"/>
          <w:highlight w:val="none"/>
        </w:rPr>
      </w:pPr>
      <w:r>
        <w:rPr>
          <w:rFonts w:hint="eastAsia" w:hAnsi="宋体" w:cs="宋体"/>
          <w:color w:val="auto"/>
          <w:highlight w:val="none"/>
        </w:rPr>
        <w:t>特此证明。</w:t>
      </w:r>
    </w:p>
    <w:p w14:paraId="5313B8D1">
      <w:pPr>
        <w:pStyle w:val="24"/>
        <w:adjustRightInd w:val="0"/>
        <w:snapToGrid w:val="0"/>
        <w:spacing w:line="300" w:lineRule="auto"/>
        <w:ind w:firstLine="420" w:firstLineChars="200"/>
        <w:rPr>
          <w:rFonts w:hAnsi="宋体" w:cs="宋体"/>
          <w:color w:val="auto"/>
          <w:highlight w:val="none"/>
        </w:rPr>
      </w:pPr>
    </w:p>
    <w:p w14:paraId="6577997D">
      <w:pPr>
        <w:pStyle w:val="24"/>
        <w:adjustRightInd w:val="0"/>
        <w:snapToGrid w:val="0"/>
        <w:spacing w:line="300" w:lineRule="auto"/>
        <w:ind w:firstLine="420" w:firstLineChars="200"/>
        <w:jc w:val="right"/>
        <w:rPr>
          <w:rFonts w:hAnsi="宋体" w:cs="宋体"/>
          <w:color w:val="auto"/>
          <w:highlight w:val="none"/>
        </w:rPr>
      </w:pPr>
      <w:r>
        <w:rPr>
          <w:rFonts w:hint="eastAsia" w:hAnsi="宋体" w:cs="宋体"/>
          <w:color w:val="auto"/>
          <w:highlight w:val="none"/>
        </w:rPr>
        <w:t>供应商：（盖章）</w:t>
      </w:r>
    </w:p>
    <w:p w14:paraId="428FE59C">
      <w:pPr>
        <w:pStyle w:val="24"/>
        <w:adjustRightInd w:val="0"/>
        <w:snapToGrid w:val="0"/>
        <w:spacing w:line="300" w:lineRule="auto"/>
        <w:ind w:firstLine="420" w:firstLineChars="200"/>
        <w:jc w:val="right"/>
        <w:rPr>
          <w:rFonts w:hAnsi="宋体" w:cs="宋体"/>
          <w:color w:val="auto"/>
          <w:highlight w:val="none"/>
        </w:rPr>
      </w:pPr>
    </w:p>
    <w:p w14:paraId="4C3FA9ED">
      <w:pPr>
        <w:pStyle w:val="24"/>
        <w:adjustRightInd w:val="0"/>
        <w:snapToGrid w:val="0"/>
        <w:spacing w:line="300" w:lineRule="auto"/>
        <w:ind w:firstLine="420" w:firstLineChars="200"/>
        <w:jc w:val="right"/>
        <w:rPr>
          <w:rFonts w:hAnsi="宋体" w:cs="宋体"/>
          <w:color w:val="auto"/>
          <w:highlight w:val="none"/>
        </w:rPr>
      </w:pPr>
      <w:r>
        <w:rPr>
          <w:rFonts w:hint="eastAsia" w:hAnsi="宋体" w:cs="宋体"/>
          <w:color w:val="auto"/>
          <w:highlight w:val="none"/>
        </w:rPr>
        <w:t>日期：</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 xml:space="preserve">  日</w:t>
      </w:r>
    </w:p>
    <w:p w14:paraId="2068BF1F">
      <w:pPr>
        <w:autoSpaceDE w:val="0"/>
        <w:autoSpaceDN w:val="0"/>
        <w:adjustRightInd w:val="0"/>
        <w:spacing w:line="460" w:lineRule="exact"/>
        <w:rPr>
          <w:rFonts w:ascii="宋体" w:hAnsi="宋体" w:cs="宋体"/>
          <w:b/>
          <w:bCs/>
          <w:color w:val="auto"/>
          <w:highlight w:val="none"/>
        </w:rPr>
      </w:pPr>
    </w:p>
    <w:p w14:paraId="129CF0AB">
      <w:pPr>
        <w:spacing w:line="4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法定代表人授权书</w:t>
      </w:r>
    </w:p>
    <w:p w14:paraId="16F98048">
      <w:pPr>
        <w:autoSpaceDE w:val="0"/>
        <w:autoSpaceDN w:val="0"/>
        <w:adjustRightInd w:val="0"/>
        <w:spacing w:line="460" w:lineRule="exact"/>
        <w:rPr>
          <w:rFonts w:ascii="宋体" w:hAnsi="宋体" w:cs="宋体"/>
          <w:color w:val="auto"/>
          <w:highlight w:val="none"/>
        </w:rPr>
      </w:pPr>
      <w:r>
        <w:rPr>
          <w:rFonts w:hint="eastAsia" w:ascii="宋体" w:hAnsi="宋体" w:cs="宋体"/>
          <w:color w:val="auto"/>
          <w:highlight w:val="none"/>
          <w:lang w:eastAsia="zh-CN"/>
        </w:rPr>
        <w:t>南京市第二医院</w:t>
      </w:r>
      <w:r>
        <w:rPr>
          <w:rFonts w:hint="eastAsia" w:ascii="宋体" w:hAnsi="宋体" w:cs="宋体"/>
          <w:color w:val="auto"/>
          <w:highlight w:val="none"/>
        </w:rPr>
        <w:t>：</w:t>
      </w:r>
    </w:p>
    <w:p w14:paraId="6AE6015C">
      <w:pPr>
        <w:autoSpaceDE w:val="0"/>
        <w:autoSpaceDN w:val="0"/>
        <w:adjustRightInd w:val="0"/>
        <w:spacing w:line="460" w:lineRule="exact"/>
        <w:ind w:firstLine="420" w:firstLineChars="200"/>
        <w:rPr>
          <w:rFonts w:ascii="宋体" w:hAnsi="宋体" w:cs="宋体"/>
          <w:color w:val="auto"/>
          <w:highlight w:val="none"/>
        </w:rPr>
      </w:pPr>
      <w:r>
        <w:rPr>
          <w:rFonts w:hint="eastAsia" w:ascii="宋体" w:hAnsi="宋体" w:cs="宋体"/>
          <w:color w:val="auto"/>
          <w:highlight w:val="none"/>
        </w:rPr>
        <w:t>本授权书声明：注册于</w:t>
      </w:r>
      <w:r>
        <w:rPr>
          <w:rFonts w:hint="eastAsia" w:ascii="宋体" w:hAnsi="宋体" w:cs="宋体"/>
          <w:color w:val="auto"/>
          <w:highlight w:val="none"/>
          <w:u w:val="single"/>
        </w:rPr>
        <w:t xml:space="preserve">     </w:t>
      </w:r>
      <w:r>
        <w:rPr>
          <w:rFonts w:hint="eastAsia" w:ascii="宋体" w:hAnsi="宋体" w:cs="宋体"/>
          <w:color w:val="auto"/>
          <w:highlight w:val="none"/>
        </w:rPr>
        <w:t>（供应商住址）的</w:t>
      </w:r>
      <w:r>
        <w:rPr>
          <w:rFonts w:hint="eastAsia" w:ascii="宋体" w:hAnsi="宋体" w:cs="宋体"/>
          <w:color w:val="auto"/>
          <w:highlight w:val="none"/>
          <w:u w:val="single"/>
        </w:rPr>
        <w:t xml:space="preserve">     </w:t>
      </w:r>
      <w:r>
        <w:rPr>
          <w:rFonts w:hint="eastAsia" w:ascii="宋体" w:hAnsi="宋体" w:cs="宋体"/>
          <w:color w:val="auto"/>
          <w:highlight w:val="none"/>
        </w:rPr>
        <w:t>（供应商名称）法定代表人</w:t>
      </w:r>
      <w:r>
        <w:rPr>
          <w:rFonts w:hint="eastAsia" w:ascii="宋体" w:hAnsi="宋体" w:cs="宋体"/>
          <w:color w:val="auto"/>
          <w:highlight w:val="none"/>
          <w:u w:val="single"/>
        </w:rPr>
        <w:t xml:space="preserve">     </w:t>
      </w:r>
      <w:r>
        <w:rPr>
          <w:rFonts w:hint="eastAsia" w:ascii="宋体" w:hAnsi="宋体" w:cs="宋体"/>
          <w:color w:val="auto"/>
          <w:highlight w:val="none"/>
        </w:rPr>
        <w:t>（法定代表人姓名、职务）代表本公司授权在下面签字的</w:t>
      </w:r>
      <w:r>
        <w:rPr>
          <w:rFonts w:hint="eastAsia" w:ascii="宋体" w:hAnsi="宋体" w:cs="宋体"/>
          <w:color w:val="auto"/>
          <w:highlight w:val="none"/>
          <w:u w:val="single"/>
        </w:rPr>
        <w:t xml:space="preserve">     </w:t>
      </w:r>
      <w:r>
        <w:rPr>
          <w:rFonts w:hint="eastAsia" w:ascii="宋体" w:hAnsi="宋体" w:cs="宋体"/>
          <w:color w:val="auto"/>
          <w:highlight w:val="none"/>
        </w:rPr>
        <w:t>（供应商代表姓名、职务）为本公司的合法代理人，就贵方组织的</w:t>
      </w:r>
      <w:r>
        <w:rPr>
          <w:rFonts w:hint="eastAsia" w:ascii="宋体" w:hAnsi="宋体" w:cs="宋体"/>
          <w:color w:val="auto"/>
          <w:highlight w:val="none"/>
          <w:u w:val="single"/>
        </w:rPr>
        <w:t xml:space="preserve">     </w:t>
      </w:r>
      <w:r>
        <w:rPr>
          <w:rFonts w:hint="eastAsia" w:ascii="宋体" w:hAnsi="宋体" w:cs="宋体"/>
          <w:b/>
          <w:color w:val="auto"/>
          <w:highlight w:val="none"/>
          <w:u w:val="single"/>
          <w:lang w:val="zh-CN"/>
        </w:rPr>
        <w:t>（项目名称）</w:t>
      </w:r>
      <w:r>
        <w:rPr>
          <w:rFonts w:hint="eastAsia" w:ascii="宋体" w:hAnsi="宋体" w:cs="宋体"/>
          <w:color w:val="auto"/>
          <w:highlight w:val="none"/>
        </w:rPr>
        <w:t>竞争性磋商，以本公司名义处理一切与之有关的事务。</w:t>
      </w:r>
    </w:p>
    <w:p w14:paraId="0F72F526">
      <w:pPr>
        <w:autoSpaceDE w:val="0"/>
        <w:autoSpaceDN w:val="0"/>
        <w:adjustRightInd w:val="0"/>
        <w:spacing w:line="460" w:lineRule="exact"/>
        <w:rPr>
          <w:rFonts w:ascii="宋体" w:hAnsi="宋体" w:cs="宋体"/>
          <w:color w:val="auto"/>
          <w:highlight w:val="none"/>
        </w:rPr>
      </w:pPr>
      <w:r>
        <w:rPr>
          <w:rFonts w:hint="eastAsia" w:ascii="宋体" w:hAnsi="宋体" w:cs="宋体"/>
          <w:color w:val="auto"/>
          <w:highlight w:val="none"/>
        </w:rPr>
        <w:t>本授权书于    年   月  日签字生效，特此声明。</w:t>
      </w:r>
    </w:p>
    <w:p w14:paraId="04A7D210">
      <w:pPr>
        <w:rPr>
          <w:color w:val="auto"/>
          <w:highlight w:val="none"/>
        </w:rPr>
      </w:pPr>
    </w:p>
    <w:p w14:paraId="233F71FC">
      <w:pPr>
        <w:pStyle w:val="5"/>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法定代表人身份证复印件：</w:t>
      </w:r>
    </w:p>
    <w:p w14:paraId="2950D95F">
      <w:pPr>
        <w:rPr>
          <w:rFonts w:ascii="宋体" w:hAnsi="宋体" w:cs="宋体"/>
          <w:color w:val="auto"/>
          <w:highlight w:val="none"/>
        </w:rPr>
      </w:pPr>
      <w:r>
        <w:rPr>
          <w:rFonts w:hint="eastAsia" w:ascii="宋体" w:hAnsi="宋体" w:cs="宋体"/>
          <w:color w:val="auto"/>
          <w:highlight w:val="none"/>
        </w:rPr>
        <w:t>被授权人身份证复印件：</w:t>
      </w:r>
    </w:p>
    <w:p w14:paraId="4290AE7A">
      <w:pPr>
        <w:rPr>
          <w:color w:val="auto"/>
          <w:highlight w:val="none"/>
        </w:rPr>
      </w:pPr>
    </w:p>
    <w:p w14:paraId="6D634CC5">
      <w:pPr>
        <w:autoSpaceDE w:val="0"/>
        <w:autoSpaceDN w:val="0"/>
        <w:adjustRightInd w:val="0"/>
        <w:spacing w:line="460" w:lineRule="exact"/>
        <w:rPr>
          <w:rFonts w:ascii="宋体" w:hAnsi="宋体" w:cs="宋体"/>
          <w:color w:val="auto"/>
          <w:highlight w:val="none"/>
        </w:rPr>
      </w:pPr>
      <w:r>
        <w:rPr>
          <w:rFonts w:hint="eastAsia" w:ascii="宋体" w:hAnsi="宋体" w:cs="宋体"/>
          <w:color w:val="auto"/>
          <w:highlight w:val="none"/>
        </w:rPr>
        <w:t>法定代表人签字：</w:t>
      </w:r>
    </w:p>
    <w:p w14:paraId="1BD0F3F8">
      <w:pPr>
        <w:autoSpaceDE w:val="0"/>
        <w:autoSpaceDN w:val="0"/>
        <w:adjustRightInd w:val="0"/>
        <w:spacing w:line="460" w:lineRule="exact"/>
        <w:rPr>
          <w:rFonts w:ascii="宋体" w:hAnsi="宋体" w:cs="宋体"/>
          <w:color w:val="auto"/>
          <w:highlight w:val="none"/>
        </w:rPr>
      </w:pPr>
      <w:r>
        <w:rPr>
          <w:rFonts w:hint="eastAsia" w:ascii="宋体" w:hAnsi="宋体" w:cs="宋体"/>
          <w:color w:val="auto"/>
          <w:highlight w:val="none"/>
        </w:rPr>
        <w:t>被授权人签字：</w:t>
      </w:r>
    </w:p>
    <w:p w14:paraId="6C465764">
      <w:pPr>
        <w:autoSpaceDE w:val="0"/>
        <w:autoSpaceDN w:val="0"/>
        <w:adjustRightInd w:val="0"/>
        <w:spacing w:line="460" w:lineRule="exact"/>
        <w:rPr>
          <w:rFonts w:ascii="宋体" w:hAnsi="宋体" w:cs="宋体"/>
          <w:color w:val="auto"/>
          <w:highlight w:val="none"/>
        </w:rPr>
      </w:pPr>
      <w:r>
        <w:rPr>
          <w:rFonts w:hint="eastAsia" w:ascii="宋体" w:hAnsi="宋体" w:cs="宋体"/>
          <w:color w:val="auto"/>
          <w:highlight w:val="none"/>
        </w:rPr>
        <w:t>日期： 年 月 日</w:t>
      </w:r>
    </w:p>
    <w:p w14:paraId="440F10AD">
      <w:pPr>
        <w:rPr>
          <w:color w:val="auto"/>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cs="宋体"/>
          <w:color w:val="auto"/>
          <w:highlight w:val="none"/>
        </w:rPr>
        <w:br w:type="page"/>
      </w:r>
    </w:p>
    <w:p w14:paraId="26305657">
      <w:pPr>
        <w:widowControl/>
        <w:adjustRightInd w:val="0"/>
        <w:spacing w:line="400" w:lineRule="exact"/>
        <w:rPr>
          <w:rFonts w:ascii="宋体" w:hAnsi="宋体" w:cs="宋体"/>
          <w:color w:val="auto"/>
          <w:kern w:val="0"/>
          <w:sz w:val="24"/>
          <w:szCs w:val="24"/>
          <w:highlight w:val="none"/>
          <w:lang w:val="zh-CN"/>
        </w:rPr>
      </w:pPr>
      <w:bookmarkStart w:id="166" w:name="_Toc66808654"/>
      <w:r>
        <w:rPr>
          <w:rFonts w:hint="eastAsia" w:ascii="宋体" w:hAnsi="宋体"/>
          <w:b/>
          <w:color w:val="auto"/>
          <w:sz w:val="28"/>
          <w:szCs w:val="28"/>
          <w:highlight w:val="none"/>
        </w:rPr>
        <w:t>目录三、</w:t>
      </w:r>
      <w:bookmarkEnd w:id="166"/>
      <w:r>
        <w:rPr>
          <w:rFonts w:hint="eastAsia" w:ascii="宋体" w:hAnsi="宋体" w:cs="宋体"/>
          <w:b/>
          <w:bCs/>
          <w:color w:val="auto"/>
          <w:sz w:val="30"/>
          <w:highlight w:val="none"/>
          <w:lang w:val="zh-CN"/>
        </w:rPr>
        <w:t>开标一览表格式</w:t>
      </w:r>
    </w:p>
    <w:p w14:paraId="084C6102">
      <w:pPr>
        <w:widowControl/>
        <w:adjustRightInd w:val="0"/>
        <w:spacing w:line="400" w:lineRule="exact"/>
        <w:jc w:val="center"/>
        <w:rPr>
          <w:rFonts w:ascii="宋体" w:hAnsi="宋体" w:cs="宋体"/>
          <w:color w:val="auto"/>
          <w:kern w:val="0"/>
          <w:sz w:val="24"/>
          <w:szCs w:val="24"/>
          <w:highlight w:val="none"/>
          <w:lang w:val="zh-CN"/>
        </w:rPr>
      </w:pPr>
    </w:p>
    <w:p w14:paraId="37AF1EFB">
      <w:pPr>
        <w:widowControl/>
        <w:adjustRightInd w:val="0"/>
        <w:spacing w:line="400" w:lineRule="exact"/>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开标一览表</w:t>
      </w:r>
    </w:p>
    <w:tbl>
      <w:tblPr>
        <w:tblStyle w:val="43"/>
        <w:tblW w:w="563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763"/>
        <w:gridCol w:w="1510"/>
        <w:gridCol w:w="532"/>
        <w:gridCol w:w="1696"/>
        <w:gridCol w:w="1371"/>
        <w:gridCol w:w="1423"/>
        <w:gridCol w:w="1306"/>
      </w:tblGrid>
      <w:tr w14:paraId="560EE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918" w:type="pct"/>
            <w:tcBorders>
              <w:top w:val="nil"/>
              <w:left w:val="nil"/>
              <w:right w:val="nil"/>
            </w:tcBorders>
            <w:vAlign w:val="center"/>
          </w:tcPr>
          <w:p w14:paraId="1C6FCD4B">
            <w:pPr>
              <w:widowControl/>
              <w:snapToGrid w:val="0"/>
              <w:spacing w:line="360" w:lineRule="auto"/>
              <w:rPr>
                <w:rFonts w:ascii="宋体" w:hAnsi="宋体" w:cs="宋体"/>
                <w:color w:val="auto"/>
                <w:kern w:val="0"/>
                <w:highlight w:val="none"/>
                <w:lang w:val="zh-CN"/>
              </w:rPr>
            </w:pPr>
            <w:r>
              <w:rPr>
                <w:rFonts w:hint="eastAsia" w:ascii="宋体" w:hAnsi="宋体" w:cs="宋体"/>
                <w:color w:val="auto"/>
                <w:kern w:val="0"/>
                <w:highlight w:val="none"/>
                <w:lang w:val="zh-CN"/>
              </w:rPr>
              <w:t xml:space="preserve">项目名称： </w:t>
            </w:r>
          </w:p>
        </w:tc>
        <w:tc>
          <w:tcPr>
            <w:tcW w:w="1063" w:type="pct"/>
            <w:gridSpan w:val="2"/>
            <w:tcBorders>
              <w:top w:val="nil"/>
              <w:left w:val="nil"/>
              <w:right w:val="nil"/>
            </w:tcBorders>
            <w:vAlign w:val="center"/>
          </w:tcPr>
          <w:p w14:paraId="16AA26B0">
            <w:pPr>
              <w:widowControl/>
              <w:snapToGrid w:val="0"/>
              <w:spacing w:line="360" w:lineRule="auto"/>
              <w:rPr>
                <w:rFonts w:ascii="宋体" w:hAnsi="宋体" w:cs="宋体"/>
                <w:color w:val="auto"/>
                <w:kern w:val="0"/>
                <w:highlight w:val="none"/>
                <w:lang w:val="zh-CN"/>
              </w:rPr>
            </w:pPr>
          </w:p>
        </w:tc>
        <w:tc>
          <w:tcPr>
            <w:tcW w:w="882" w:type="pct"/>
            <w:tcBorders>
              <w:top w:val="nil"/>
              <w:left w:val="nil"/>
              <w:right w:val="nil"/>
            </w:tcBorders>
            <w:vAlign w:val="center"/>
          </w:tcPr>
          <w:p w14:paraId="5F8A95E6">
            <w:pPr>
              <w:widowControl/>
              <w:snapToGrid w:val="0"/>
              <w:spacing w:line="360" w:lineRule="auto"/>
              <w:rPr>
                <w:rFonts w:ascii="宋体" w:hAnsi="宋体" w:cs="宋体"/>
                <w:color w:val="auto"/>
                <w:kern w:val="0"/>
                <w:highlight w:val="none"/>
                <w:lang w:val="zh-CN"/>
              </w:rPr>
            </w:pPr>
          </w:p>
        </w:tc>
        <w:tc>
          <w:tcPr>
            <w:tcW w:w="2135" w:type="pct"/>
            <w:gridSpan w:val="3"/>
            <w:tcBorders>
              <w:top w:val="nil"/>
              <w:left w:val="nil"/>
              <w:right w:val="nil"/>
            </w:tcBorders>
            <w:vAlign w:val="center"/>
          </w:tcPr>
          <w:p w14:paraId="3860CFE5">
            <w:pPr>
              <w:widowControl/>
              <w:snapToGrid w:val="0"/>
              <w:spacing w:line="360" w:lineRule="auto"/>
              <w:ind w:firstLine="105" w:firstLineChars="50"/>
              <w:jc w:val="left"/>
              <w:rPr>
                <w:rFonts w:ascii="宋体" w:hAnsi="宋体" w:cs="宋体"/>
                <w:color w:val="auto"/>
                <w:kern w:val="0"/>
                <w:highlight w:val="none"/>
                <w:lang w:val="zh-CN"/>
              </w:rPr>
            </w:pPr>
            <w:r>
              <w:rPr>
                <w:rFonts w:hint="eastAsia" w:ascii="宋体" w:hAnsi="宋体" w:cs="宋体"/>
                <w:color w:val="auto"/>
                <w:kern w:val="0"/>
                <w:highlight w:val="none"/>
                <w:lang w:val="zh-CN"/>
              </w:rPr>
              <w:t>项目编号：</w:t>
            </w:r>
          </w:p>
        </w:tc>
      </w:tr>
      <w:tr w14:paraId="11964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918" w:type="pct"/>
            <w:vAlign w:val="center"/>
          </w:tcPr>
          <w:p w14:paraId="2B123081">
            <w:pPr>
              <w:spacing w:line="360" w:lineRule="auto"/>
              <w:jc w:val="center"/>
              <w:rPr>
                <w:rFonts w:ascii="宋体" w:hAnsi="宋体" w:cs="宋体"/>
                <w:color w:val="auto"/>
                <w:highlight w:val="none"/>
                <w:lang w:val="zh-CN"/>
              </w:rPr>
            </w:pPr>
            <w:r>
              <w:rPr>
                <w:rFonts w:hint="eastAsia" w:ascii="宋体" w:hAnsi="宋体" w:cs="宋体"/>
                <w:color w:val="auto"/>
                <w:highlight w:val="none"/>
                <w:lang w:val="zh-CN"/>
              </w:rPr>
              <w:t>序号</w:t>
            </w:r>
          </w:p>
        </w:tc>
        <w:tc>
          <w:tcPr>
            <w:tcW w:w="785" w:type="pct"/>
            <w:vAlign w:val="center"/>
          </w:tcPr>
          <w:p w14:paraId="6E0070D0">
            <w:pPr>
              <w:spacing w:line="360" w:lineRule="auto"/>
              <w:jc w:val="center"/>
              <w:rPr>
                <w:rFonts w:ascii="宋体" w:hAnsi="宋体" w:cs="宋体"/>
                <w:color w:val="auto"/>
                <w:highlight w:val="none"/>
                <w:lang w:val="zh-CN"/>
              </w:rPr>
            </w:pPr>
            <w:r>
              <w:rPr>
                <w:rFonts w:hint="eastAsia" w:ascii="宋体" w:hAnsi="宋体" w:cs="宋体"/>
                <w:color w:val="auto"/>
                <w:highlight w:val="none"/>
                <w:lang w:val="zh-CN"/>
              </w:rPr>
              <w:t>名</w:t>
            </w:r>
            <w:r>
              <w:rPr>
                <w:rFonts w:hint="eastAsia" w:ascii="宋体" w:hAnsi="宋体" w:cs="宋体"/>
                <w:color w:val="auto"/>
                <w:highlight w:val="none"/>
              </w:rPr>
              <w:t xml:space="preserve"> </w:t>
            </w:r>
            <w:r>
              <w:rPr>
                <w:rFonts w:hint="eastAsia" w:ascii="宋体" w:hAnsi="宋体" w:cs="宋体"/>
                <w:color w:val="auto"/>
                <w:highlight w:val="none"/>
                <w:lang w:val="zh-CN"/>
              </w:rPr>
              <w:t>称</w:t>
            </w:r>
          </w:p>
        </w:tc>
        <w:tc>
          <w:tcPr>
            <w:tcW w:w="1160" w:type="pct"/>
            <w:gridSpan w:val="2"/>
            <w:vAlign w:val="center"/>
          </w:tcPr>
          <w:p w14:paraId="6FBF0849">
            <w:pPr>
              <w:spacing w:line="360" w:lineRule="auto"/>
              <w:jc w:val="center"/>
              <w:rPr>
                <w:rFonts w:ascii="宋体" w:hAnsi="宋体" w:cs="宋体"/>
                <w:b/>
                <w:color w:val="auto"/>
                <w:highlight w:val="none"/>
              </w:rPr>
            </w:pPr>
            <w:r>
              <w:rPr>
                <w:rFonts w:hint="eastAsia" w:ascii="宋体" w:hAnsi="宋体" w:cs="宋体"/>
                <w:b/>
                <w:color w:val="auto"/>
                <w:highlight w:val="none"/>
                <w:lang w:val="en-US" w:eastAsia="zh-CN"/>
              </w:rPr>
              <w:t>投标优惠率</w:t>
            </w:r>
            <w:r>
              <w:rPr>
                <w:rFonts w:hint="eastAsia" w:ascii="宋体" w:hAnsi="宋体" w:cs="宋体"/>
                <w:b/>
                <w:color w:val="auto"/>
                <w:highlight w:val="none"/>
                <w:lang w:val="zh-CN"/>
              </w:rPr>
              <w:t>（</w:t>
            </w:r>
            <w:r>
              <w:rPr>
                <w:rFonts w:hint="eastAsia" w:ascii="宋体" w:hAnsi="宋体" w:cs="宋体"/>
                <w:b/>
                <w:color w:val="auto"/>
                <w:highlight w:val="none"/>
                <w:lang w:val="en-US" w:eastAsia="zh-CN"/>
              </w:rPr>
              <w:t>%</w:t>
            </w:r>
            <w:r>
              <w:rPr>
                <w:rFonts w:hint="eastAsia" w:ascii="宋体" w:hAnsi="宋体" w:cs="宋体"/>
                <w:b/>
                <w:color w:val="auto"/>
                <w:highlight w:val="none"/>
                <w:lang w:val="zh-CN"/>
              </w:rPr>
              <w:t>）</w:t>
            </w:r>
          </w:p>
        </w:tc>
        <w:tc>
          <w:tcPr>
            <w:tcW w:w="714" w:type="pct"/>
            <w:vAlign w:val="center"/>
          </w:tcPr>
          <w:p w14:paraId="5BC73A09">
            <w:pPr>
              <w:spacing w:line="360" w:lineRule="auto"/>
              <w:jc w:val="center"/>
              <w:rPr>
                <w:rFonts w:ascii="宋体" w:hAnsi="宋体" w:cs="宋体"/>
                <w:color w:val="auto"/>
                <w:sz w:val="18"/>
                <w:szCs w:val="18"/>
                <w:highlight w:val="none"/>
                <w:lang w:val="zh-CN"/>
              </w:rPr>
            </w:pPr>
            <w:r>
              <w:rPr>
                <w:rFonts w:hint="eastAsia" w:ascii="宋体" w:hAnsi="宋体" w:cs="宋体"/>
                <w:color w:val="auto"/>
                <w:sz w:val="18"/>
                <w:szCs w:val="18"/>
                <w:highlight w:val="none"/>
                <w:lang w:val="zh-CN"/>
              </w:rPr>
              <w:t>其中</w:t>
            </w:r>
            <w:r>
              <w:rPr>
                <w:rFonts w:hint="eastAsia" w:ascii="宋体" w:hAnsi="宋体" w:cs="宋体"/>
                <w:b/>
                <w:color w:val="auto"/>
                <w:kern w:val="0"/>
                <w:sz w:val="18"/>
                <w:szCs w:val="18"/>
                <w:highlight w:val="none"/>
              </w:rPr>
              <w:t>小、微型企业报价（元）</w:t>
            </w:r>
          </w:p>
        </w:tc>
        <w:tc>
          <w:tcPr>
            <w:tcW w:w="741" w:type="pct"/>
          </w:tcPr>
          <w:p w14:paraId="360260C7">
            <w:pPr>
              <w:spacing w:line="360" w:lineRule="auto"/>
              <w:jc w:val="center"/>
              <w:rPr>
                <w:rFonts w:ascii="宋体" w:hAnsi="宋体" w:cs="宋体"/>
                <w:color w:val="auto"/>
                <w:highlight w:val="none"/>
                <w:lang w:val="zh-CN"/>
              </w:rPr>
            </w:pPr>
            <w:r>
              <w:rPr>
                <w:rFonts w:hint="eastAsia" w:ascii="宋体" w:hAnsi="宋体" w:cs="宋体"/>
                <w:color w:val="auto"/>
                <w:sz w:val="18"/>
                <w:szCs w:val="18"/>
                <w:highlight w:val="none"/>
                <w:lang w:val="zh-CN"/>
              </w:rPr>
              <w:t>其中</w:t>
            </w:r>
            <w:r>
              <w:rPr>
                <w:rFonts w:hint="eastAsia" w:ascii="宋体" w:hAnsi="宋体" w:cs="宋体"/>
                <w:b/>
                <w:color w:val="auto"/>
                <w:kern w:val="0"/>
                <w:sz w:val="18"/>
                <w:szCs w:val="18"/>
                <w:highlight w:val="none"/>
              </w:rPr>
              <w:t>残疾人福利单位报价（元）</w:t>
            </w:r>
          </w:p>
        </w:tc>
        <w:tc>
          <w:tcPr>
            <w:tcW w:w="679" w:type="pct"/>
          </w:tcPr>
          <w:p w14:paraId="76B8FB2A">
            <w:pPr>
              <w:spacing w:line="360" w:lineRule="auto"/>
              <w:jc w:val="center"/>
              <w:rPr>
                <w:rFonts w:ascii="宋体" w:hAnsi="宋体" w:cs="宋体"/>
                <w:color w:val="auto"/>
                <w:highlight w:val="none"/>
                <w:lang w:val="zh-CN"/>
              </w:rPr>
            </w:pPr>
            <w:r>
              <w:rPr>
                <w:rFonts w:hint="eastAsia" w:ascii="宋体" w:hAnsi="宋体" w:cs="宋体"/>
                <w:color w:val="auto"/>
                <w:sz w:val="18"/>
                <w:szCs w:val="18"/>
                <w:highlight w:val="none"/>
                <w:lang w:val="zh-CN"/>
              </w:rPr>
              <w:t>其中</w:t>
            </w:r>
            <w:r>
              <w:rPr>
                <w:rFonts w:hint="eastAsia" w:ascii="宋体" w:hAnsi="宋体" w:cs="宋体"/>
                <w:b/>
                <w:color w:val="auto"/>
                <w:kern w:val="0"/>
                <w:sz w:val="18"/>
                <w:szCs w:val="18"/>
                <w:highlight w:val="none"/>
              </w:rPr>
              <w:t>监狱企业报价（元）</w:t>
            </w:r>
          </w:p>
        </w:tc>
      </w:tr>
      <w:tr w14:paraId="0EC78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918" w:type="pct"/>
            <w:vAlign w:val="center"/>
          </w:tcPr>
          <w:p w14:paraId="371871D6">
            <w:pPr>
              <w:spacing w:line="360" w:lineRule="auto"/>
              <w:jc w:val="center"/>
              <w:rPr>
                <w:rFonts w:ascii="宋体" w:hAnsi="宋体" w:cs="宋体"/>
                <w:color w:val="auto"/>
                <w:highlight w:val="none"/>
                <w:lang w:val="zh-CN"/>
              </w:rPr>
            </w:pPr>
          </w:p>
        </w:tc>
        <w:tc>
          <w:tcPr>
            <w:tcW w:w="785" w:type="pct"/>
            <w:vAlign w:val="center"/>
          </w:tcPr>
          <w:p w14:paraId="46B1A6A5">
            <w:pPr>
              <w:spacing w:line="360" w:lineRule="auto"/>
              <w:jc w:val="center"/>
              <w:rPr>
                <w:rFonts w:ascii="宋体" w:hAnsi="宋体" w:cs="宋体"/>
                <w:color w:val="auto"/>
                <w:highlight w:val="none"/>
                <w:lang w:val="zh-CN"/>
              </w:rPr>
            </w:pPr>
          </w:p>
        </w:tc>
        <w:tc>
          <w:tcPr>
            <w:tcW w:w="1160" w:type="pct"/>
            <w:gridSpan w:val="2"/>
            <w:vAlign w:val="center"/>
          </w:tcPr>
          <w:p w14:paraId="7FA7B249">
            <w:pPr>
              <w:spacing w:line="360" w:lineRule="auto"/>
              <w:jc w:val="center"/>
              <w:rPr>
                <w:rFonts w:ascii="宋体" w:hAnsi="宋体" w:cs="宋体"/>
                <w:b/>
                <w:color w:val="auto"/>
                <w:highlight w:val="none"/>
                <w:lang w:val="zh-CN"/>
              </w:rPr>
            </w:pPr>
          </w:p>
        </w:tc>
        <w:tc>
          <w:tcPr>
            <w:tcW w:w="714" w:type="pct"/>
            <w:vAlign w:val="center"/>
          </w:tcPr>
          <w:p w14:paraId="1C1A56DC">
            <w:pPr>
              <w:spacing w:line="360" w:lineRule="auto"/>
              <w:jc w:val="center"/>
              <w:rPr>
                <w:rFonts w:ascii="宋体" w:hAnsi="宋体" w:cs="宋体"/>
                <w:color w:val="auto"/>
                <w:sz w:val="18"/>
                <w:szCs w:val="18"/>
                <w:highlight w:val="none"/>
                <w:lang w:val="zh-CN"/>
              </w:rPr>
            </w:pPr>
          </w:p>
        </w:tc>
        <w:tc>
          <w:tcPr>
            <w:tcW w:w="741" w:type="pct"/>
          </w:tcPr>
          <w:p w14:paraId="3EE1DAC6">
            <w:pPr>
              <w:spacing w:line="360" w:lineRule="auto"/>
              <w:jc w:val="center"/>
              <w:rPr>
                <w:rFonts w:ascii="宋体" w:hAnsi="宋体" w:cs="宋体"/>
                <w:color w:val="auto"/>
                <w:sz w:val="18"/>
                <w:szCs w:val="18"/>
                <w:highlight w:val="none"/>
                <w:lang w:val="zh-CN"/>
              </w:rPr>
            </w:pPr>
          </w:p>
        </w:tc>
        <w:tc>
          <w:tcPr>
            <w:tcW w:w="679" w:type="pct"/>
          </w:tcPr>
          <w:p w14:paraId="47394E7B">
            <w:pPr>
              <w:spacing w:line="360" w:lineRule="auto"/>
              <w:jc w:val="center"/>
              <w:rPr>
                <w:rFonts w:ascii="宋体" w:hAnsi="宋体" w:cs="宋体"/>
                <w:color w:val="auto"/>
                <w:sz w:val="18"/>
                <w:szCs w:val="18"/>
                <w:highlight w:val="none"/>
                <w:lang w:val="zh-CN"/>
              </w:rPr>
            </w:pPr>
          </w:p>
        </w:tc>
      </w:tr>
      <w:tr w14:paraId="6ACC9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918" w:type="pct"/>
            <w:vAlign w:val="center"/>
          </w:tcPr>
          <w:p w14:paraId="6C6D73A7">
            <w:pPr>
              <w:spacing w:line="360" w:lineRule="auto"/>
              <w:jc w:val="center"/>
              <w:rPr>
                <w:rFonts w:ascii="宋体" w:hAnsi="宋体" w:cs="宋体"/>
                <w:color w:val="auto"/>
                <w:highlight w:val="none"/>
                <w:lang w:val="zh-CN"/>
              </w:rPr>
            </w:pPr>
          </w:p>
        </w:tc>
        <w:tc>
          <w:tcPr>
            <w:tcW w:w="785" w:type="pct"/>
            <w:vAlign w:val="center"/>
          </w:tcPr>
          <w:p w14:paraId="3777A793">
            <w:pPr>
              <w:spacing w:line="360" w:lineRule="auto"/>
              <w:jc w:val="center"/>
              <w:rPr>
                <w:rFonts w:ascii="宋体" w:hAnsi="宋体" w:cs="宋体"/>
                <w:color w:val="auto"/>
                <w:highlight w:val="none"/>
                <w:lang w:val="zh-CN"/>
              </w:rPr>
            </w:pPr>
          </w:p>
        </w:tc>
        <w:tc>
          <w:tcPr>
            <w:tcW w:w="1160" w:type="pct"/>
            <w:gridSpan w:val="2"/>
            <w:vAlign w:val="center"/>
          </w:tcPr>
          <w:p w14:paraId="4C823426">
            <w:pPr>
              <w:spacing w:line="360" w:lineRule="auto"/>
              <w:jc w:val="center"/>
              <w:rPr>
                <w:rFonts w:ascii="宋体" w:hAnsi="宋体" w:cs="宋体"/>
                <w:b/>
                <w:color w:val="auto"/>
                <w:highlight w:val="none"/>
                <w:lang w:val="zh-CN"/>
              </w:rPr>
            </w:pPr>
          </w:p>
        </w:tc>
        <w:tc>
          <w:tcPr>
            <w:tcW w:w="714" w:type="pct"/>
            <w:vAlign w:val="center"/>
          </w:tcPr>
          <w:p w14:paraId="5EB7213B">
            <w:pPr>
              <w:spacing w:line="360" w:lineRule="auto"/>
              <w:jc w:val="center"/>
              <w:rPr>
                <w:rFonts w:ascii="宋体" w:hAnsi="宋体" w:cs="宋体"/>
                <w:color w:val="auto"/>
                <w:sz w:val="18"/>
                <w:szCs w:val="18"/>
                <w:highlight w:val="none"/>
                <w:lang w:val="zh-CN"/>
              </w:rPr>
            </w:pPr>
          </w:p>
        </w:tc>
        <w:tc>
          <w:tcPr>
            <w:tcW w:w="741" w:type="pct"/>
          </w:tcPr>
          <w:p w14:paraId="4847943A">
            <w:pPr>
              <w:spacing w:line="360" w:lineRule="auto"/>
              <w:jc w:val="center"/>
              <w:rPr>
                <w:rFonts w:ascii="宋体" w:hAnsi="宋体" w:cs="宋体"/>
                <w:color w:val="auto"/>
                <w:sz w:val="18"/>
                <w:szCs w:val="18"/>
                <w:highlight w:val="none"/>
                <w:lang w:val="zh-CN"/>
              </w:rPr>
            </w:pPr>
          </w:p>
        </w:tc>
        <w:tc>
          <w:tcPr>
            <w:tcW w:w="679" w:type="pct"/>
          </w:tcPr>
          <w:p w14:paraId="615B4003">
            <w:pPr>
              <w:spacing w:line="360" w:lineRule="auto"/>
              <w:jc w:val="center"/>
              <w:rPr>
                <w:rFonts w:ascii="宋体" w:hAnsi="宋体" w:cs="宋体"/>
                <w:color w:val="auto"/>
                <w:sz w:val="18"/>
                <w:szCs w:val="18"/>
                <w:highlight w:val="none"/>
                <w:lang w:val="zh-CN"/>
              </w:rPr>
            </w:pPr>
          </w:p>
        </w:tc>
      </w:tr>
      <w:tr w14:paraId="6E1B3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918" w:type="pct"/>
            <w:vAlign w:val="center"/>
          </w:tcPr>
          <w:p w14:paraId="106C8F67">
            <w:pPr>
              <w:spacing w:line="360" w:lineRule="auto"/>
              <w:jc w:val="center"/>
              <w:rPr>
                <w:rFonts w:ascii="宋体" w:hAnsi="宋体" w:cs="宋体"/>
                <w:color w:val="auto"/>
                <w:highlight w:val="none"/>
                <w:lang w:val="zh-CN"/>
              </w:rPr>
            </w:pPr>
          </w:p>
        </w:tc>
        <w:tc>
          <w:tcPr>
            <w:tcW w:w="785" w:type="pct"/>
            <w:vAlign w:val="center"/>
          </w:tcPr>
          <w:p w14:paraId="410EA0AD">
            <w:pPr>
              <w:spacing w:line="360" w:lineRule="auto"/>
              <w:jc w:val="center"/>
              <w:rPr>
                <w:rFonts w:ascii="宋体" w:hAnsi="宋体" w:cs="宋体"/>
                <w:color w:val="auto"/>
                <w:highlight w:val="none"/>
                <w:lang w:val="zh-CN"/>
              </w:rPr>
            </w:pPr>
          </w:p>
        </w:tc>
        <w:tc>
          <w:tcPr>
            <w:tcW w:w="1160" w:type="pct"/>
            <w:gridSpan w:val="2"/>
            <w:vAlign w:val="center"/>
          </w:tcPr>
          <w:p w14:paraId="2200C26F">
            <w:pPr>
              <w:spacing w:line="360" w:lineRule="auto"/>
              <w:jc w:val="center"/>
              <w:rPr>
                <w:rFonts w:ascii="宋体" w:hAnsi="宋体" w:cs="宋体"/>
                <w:b/>
                <w:color w:val="auto"/>
                <w:highlight w:val="none"/>
                <w:lang w:val="zh-CN"/>
              </w:rPr>
            </w:pPr>
          </w:p>
        </w:tc>
        <w:tc>
          <w:tcPr>
            <w:tcW w:w="714" w:type="pct"/>
            <w:vAlign w:val="center"/>
          </w:tcPr>
          <w:p w14:paraId="624764D4">
            <w:pPr>
              <w:spacing w:line="360" w:lineRule="auto"/>
              <w:jc w:val="center"/>
              <w:rPr>
                <w:rFonts w:ascii="宋体" w:hAnsi="宋体" w:cs="宋体"/>
                <w:color w:val="auto"/>
                <w:sz w:val="18"/>
                <w:szCs w:val="18"/>
                <w:highlight w:val="none"/>
                <w:lang w:val="zh-CN"/>
              </w:rPr>
            </w:pPr>
          </w:p>
        </w:tc>
        <w:tc>
          <w:tcPr>
            <w:tcW w:w="741" w:type="pct"/>
          </w:tcPr>
          <w:p w14:paraId="055D5261">
            <w:pPr>
              <w:spacing w:line="360" w:lineRule="auto"/>
              <w:jc w:val="center"/>
              <w:rPr>
                <w:rFonts w:ascii="宋体" w:hAnsi="宋体" w:cs="宋体"/>
                <w:color w:val="auto"/>
                <w:sz w:val="18"/>
                <w:szCs w:val="18"/>
                <w:highlight w:val="none"/>
                <w:lang w:val="zh-CN"/>
              </w:rPr>
            </w:pPr>
          </w:p>
        </w:tc>
        <w:tc>
          <w:tcPr>
            <w:tcW w:w="679" w:type="pct"/>
          </w:tcPr>
          <w:p w14:paraId="692E3B55">
            <w:pPr>
              <w:spacing w:line="360" w:lineRule="auto"/>
              <w:jc w:val="center"/>
              <w:rPr>
                <w:rFonts w:ascii="宋体" w:hAnsi="宋体" w:cs="宋体"/>
                <w:color w:val="auto"/>
                <w:sz w:val="18"/>
                <w:szCs w:val="18"/>
                <w:highlight w:val="none"/>
                <w:lang w:val="zh-CN"/>
              </w:rPr>
            </w:pPr>
          </w:p>
        </w:tc>
      </w:tr>
      <w:tr w14:paraId="75169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1704" w:type="pct"/>
            <w:gridSpan w:val="2"/>
            <w:vAlign w:val="center"/>
          </w:tcPr>
          <w:p w14:paraId="00007D55">
            <w:pPr>
              <w:widowControl/>
              <w:snapToGrid w:val="0"/>
              <w:spacing w:line="360" w:lineRule="auto"/>
              <w:jc w:val="center"/>
              <w:rPr>
                <w:rFonts w:ascii="宋体" w:hAnsi="宋体" w:cs="宋体"/>
                <w:color w:val="auto"/>
                <w:kern w:val="0"/>
                <w:highlight w:val="none"/>
                <w:lang w:val="zh-CN"/>
              </w:rPr>
            </w:pPr>
            <w:r>
              <w:rPr>
                <w:rFonts w:hint="eastAsia" w:ascii="宋体" w:hAnsi="宋体" w:cs="宋体"/>
                <w:color w:val="auto"/>
                <w:kern w:val="0"/>
                <w:highlight w:val="none"/>
                <w:lang w:val="zh-CN"/>
              </w:rPr>
              <w:t>是否属于小微型企业</w:t>
            </w:r>
          </w:p>
        </w:tc>
        <w:tc>
          <w:tcPr>
            <w:tcW w:w="1160" w:type="pct"/>
            <w:gridSpan w:val="2"/>
            <w:vAlign w:val="center"/>
          </w:tcPr>
          <w:p w14:paraId="7DFEF01E">
            <w:pPr>
              <w:widowControl/>
              <w:snapToGrid w:val="0"/>
              <w:spacing w:line="360" w:lineRule="auto"/>
              <w:jc w:val="left"/>
              <w:rPr>
                <w:rFonts w:ascii="宋体" w:hAnsi="宋体" w:cs="宋体"/>
                <w:color w:val="auto"/>
                <w:kern w:val="0"/>
                <w:highlight w:val="none"/>
                <w:lang w:val="zh-CN"/>
              </w:rPr>
            </w:pPr>
            <w:r>
              <w:rPr>
                <w:rFonts w:hint="eastAsia" w:ascii="宋体" w:hAnsi="宋体" w:cs="宋体"/>
                <w:color w:val="auto"/>
                <w:kern w:val="0"/>
                <w:highlight w:val="none"/>
                <w:lang w:val="zh-CN"/>
              </w:rPr>
              <w:t xml:space="preserve"> 是             否</w:t>
            </w:r>
          </w:p>
        </w:tc>
        <w:tc>
          <w:tcPr>
            <w:tcW w:w="2135" w:type="pct"/>
            <w:gridSpan w:val="3"/>
            <w:vAlign w:val="center"/>
          </w:tcPr>
          <w:p w14:paraId="5178EBBB">
            <w:pPr>
              <w:widowControl/>
              <w:snapToGrid w:val="0"/>
              <w:spacing w:line="360" w:lineRule="auto"/>
              <w:jc w:val="left"/>
              <w:rPr>
                <w:rFonts w:ascii="宋体" w:hAnsi="宋体" w:cs="宋体"/>
                <w:color w:val="auto"/>
                <w:kern w:val="0"/>
                <w:highlight w:val="none"/>
                <w:lang w:val="zh-CN"/>
              </w:rPr>
            </w:pPr>
          </w:p>
        </w:tc>
      </w:tr>
      <w:tr w14:paraId="5682A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1704" w:type="pct"/>
            <w:gridSpan w:val="2"/>
            <w:vAlign w:val="center"/>
          </w:tcPr>
          <w:p w14:paraId="7A73E587">
            <w:pPr>
              <w:widowControl/>
              <w:snapToGrid w:val="0"/>
              <w:spacing w:line="360" w:lineRule="auto"/>
              <w:jc w:val="center"/>
              <w:rPr>
                <w:rFonts w:ascii="宋体" w:hAnsi="宋体" w:cs="宋体"/>
                <w:color w:val="auto"/>
                <w:kern w:val="0"/>
                <w:highlight w:val="none"/>
                <w:lang w:val="zh-CN"/>
              </w:rPr>
            </w:pPr>
            <w:r>
              <w:rPr>
                <w:rFonts w:hint="eastAsia" w:ascii="宋体" w:hAnsi="宋体" w:cs="宋体"/>
                <w:color w:val="auto"/>
                <w:kern w:val="0"/>
                <w:highlight w:val="none"/>
                <w:lang w:val="zh-CN"/>
              </w:rPr>
              <w:t>是否属于残疾人福利性单位</w:t>
            </w:r>
          </w:p>
        </w:tc>
        <w:tc>
          <w:tcPr>
            <w:tcW w:w="1160" w:type="pct"/>
            <w:gridSpan w:val="2"/>
            <w:vAlign w:val="center"/>
          </w:tcPr>
          <w:p w14:paraId="42D41D90">
            <w:pPr>
              <w:widowControl/>
              <w:snapToGrid w:val="0"/>
              <w:spacing w:line="360" w:lineRule="auto"/>
              <w:jc w:val="left"/>
              <w:rPr>
                <w:rFonts w:ascii="宋体" w:hAnsi="宋体" w:cs="宋体"/>
                <w:color w:val="auto"/>
                <w:kern w:val="0"/>
                <w:highlight w:val="none"/>
                <w:lang w:val="zh-CN"/>
              </w:rPr>
            </w:pPr>
            <w:r>
              <w:rPr>
                <w:rFonts w:hint="eastAsia" w:ascii="宋体" w:hAnsi="宋体" w:cs="宋体"/>
                <w:color w:val="auto"/>
                <w:kern w:val="0"/>
                <w:highlight w:val="none"/>
                <w:lang w:val="zh-CN"/>
              </w:rPr>
              <w:t xml:space="preserve"> 是             否</w:t>
            </w:r>
          </w:p>
        </w:tc>
        <w:tc>
          <w:tcPr>
            <w:tcW w:w="2135" w:type="pct"/>
            <w:gridSpan w:val="3"/>
            <w:vAlign w:val="center"/>
          </w:tcPr>
          <w:p w14:paraId="64C2ADFD">
            <w:pPr>
              <w:widowControl/>
              <w:snapToGrid w:val="0"/>
              <w:spacing w:line="360" w:lineRule="auto"/>
              <w:jc w:val="left"/>
              <w:rPr>
                <w:rFonts w:ascii="宋体" w:hAnsi="宋体" w:cs="宋体"/>
                <w:color w:val="auto"/>
                <w:kern w:val="0"/>
                <w:highlight w:val="none"/>
                <w:lang w:val="zh-CN"/>
              </w:rPr>
            </w:pPr>
          </w:p>
        </w:tc>
      </w:tr>
      <w:tr w14:paraId="77498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1704" w:type="pct"/>
            <w:gridSpan w:val="2"/>
            <w:tcBorders>
              <w:bottom w:val="single" w:color="auto" w:sz="6" w:space="0"/>
            </w:tcBorders>
            <w:vAlign w:val="center"/>
          </w:tcPr>
          <w:p w14:paraId="29DB972A">
            <w:pPr>
              <w:widowControl/>
              <w:snapToGrid w:val="0"/>
              <w:spacing w:line="360" w:lineRule="auto"/>
              <w:jc w:val="center"/>
              <w:rPr>
                <w:rFonts w:ascii="宋体" w:hAnsi="宋体" w:cs="宋体"/>
                <w:color w:val="auto"/>
                <w:kern w:val="0"/>
                <w:highlight w:val="none"/>
                <w:lang w:val="zh-CN"/>
              </w:rPr>
            </w:pPr>
            <w:r>
              <w:rPr>
                <w:rFonts w:hint="eastAsia" w:ascii="宋体" w:hAnsi="宋体" w:cs="宋体"/>
                <w:color w:val="auto"/>
                <w:kern w:val="0"/>
                <w:highlight w:val="none"/>
                <w:lang w:val="zh-CN"/>
              </w:rPr>
              <w:t>是否属于监狱企业</w:t>
            </w:r>
          </w:p>
        </w:tc>
        <w:tc>
          <w:tcPr>
            <w:tcW w:w="1160" w:type="pct"/>
            <w:gridSpan w:val="2"/>
            <w:tcBorders>
              <w:bottom w:val="single" w:color="auto" w:sz="6" w:space="0"/>
            </w:tcBorders>
            <w:vAlign w:val="center"/>
          </w:tcPr>
          <w:p w14:paraId="299F3DB0">
            <w:pPr>
              <w:widowControl/>
              <w:snapToGrid w:val="0"/>
              <w:spacing w:line="360" w:lineRule="auto"/>
              <w:jc w:val="left"/>
              <w:rPr>
                <w:rFonts w:ascii="宋体" w:hAnsi="宋体" w:cs="宋体"/>
                <w:color w:val="auto"/>
                <w:kern w:val="0"/>
                <w:highlight w:val="none"/>
                <w:lang w:val="zh-CN"/>
              </w:rPr>
            </w:pPr>
            <w:r>
              <w:rPr>
                <w:rFonts w:hint="eastAsia" w:ascii="宋体" w:hAnsi="宋体" w:cs="宋体"/>
                <w:color w:val="auto"/>
                <w:kern w:val="0"/>
                <w:highlight w:val="none"/>
                <w:lang w:val="zh-CN"/>
              </w:rPr>
              <w:t xml:space="preserve"> 是             否</w:t>
            </w:r>
          </w:p>
        </w:tc>
        <w:tc>
          <w:tcPr>
            <w:tcW w:w="2135" w:type="pct"/>
            <w:gridSpan w:val="3"/>
            <w:tcBorders>
              <w:bottom w:val="single" w:color="auto" w:sz="6" w:space="0"/>
            </w:tcBorders>
            <w:vAlign w:val="center"/>
          </w:tcPr>
          <w:p w14:paraId="128061EA">
            <w:pPr>
              <w:widowControl/>
              <w:snapToGrid w:val="0"/>
              <w:spacing w:line="360" w:lineRule="auto"/>
              <w:jc w:val="left"/>
              <w:rPr>
                <w:rFonts w:ascii="宋体" w:hAnsi="宋体" w:cs="宋体"/>
                <w:color w:val="auto"/>
                <w:kern w:val="0"/>
                <w:highlight w:val="none"/>
                <w:lang w:val="zh-CN"/>
              </w:rPr>
            </w:pPr>
          </w:p>
        </w:tc>
      </w:tr>
    </w:tbl>
    <w:p w14:paraId="045CA6E9">
      <w:pPr>
        <w:widowControl/>
        <w:adjustRightInd w:val="0"/>
        <w:spacing w:line="400" w:lineRule="exact"/>
        <w:jc w:val="left"/>
        <w:rPr>
          <w:rFonts w:ascii="宋体" w:hAnsi="宋体" w:cs="宋体"/>
          <w:color w:val="auto"/>
          <w:kern w:val="0"/>
          <w:highlight w:val="none"/>
          <w:lang w:val="zh-CN"/>
        </w:rPr>
      </w:pPr>
    </w:p>
    <w:p w14:paraId="45C5E6D8">
      <w:pPr>
        <w:widowControl/>
        <w:adjustRightInd w:val="0"/>
        <w:spacing w:line="400" w:lineRule="exact"/>
        <w:jc w:val="left"/>
        <w:rPr>
          <w:rFonts w:ascii="宋体" w:hAnsi="宋体" w:cs="宋体"/>
          <w:color w:val="auto"/>
          <w:kern w:val="0"/>
          <w:highlight w:val="none"/>
          <w:lang w:val="zh-CN"/>
        </w:rPr>
      </w:pPr>
      <w:r>
        <w:rPr>
          <w:rFonts w:hint="eastAsia" w:ascii="宋体" w:hAnsi="宋体" w:cs="宋体"/>
          <w:color w:val="auto"/>
          <w:kern w:val="0"/>
          <w:highlight w:val="none"/>
          <w:lang w:val="zh-CN"/>
        </w:rPr>
        <w:t>供应商名称：</w:t>
      </w:r>
      <w:r>
        <w:rPr>
          <w:rFonts w:hint="eastAsia" w:ascii="宋体" w:hAnsi="宋体" w:cs="宋体"/>
          <w:color w:val="auto"/>
          <w:kern w:val="0"/>
          <w:highlight w:val="none"/>
          <w:u w:val="single"/>
          <w:lang w:val="zh-CN"/>
        </w:rPr>
        <w:t xml:space="preserve">                                                  </w:t>
      </w:r>
      <w:r>
        <w:rPr>
          <w:rFonts w:hint="eastAsia" w:ascii="宋体" w:hAnsi="宋体" w:cs="宋体"/>
          <w:color w:val="auto"/>
          <w:kern w:val="0"/>
          <w:highlight w:val="none"/>
          <w:lang w:val="zh-CN"/>
        </w:rPr>
        <w:t>（盖章）</w:t>
      </w:r>
    </w:p>
    <w:p w14:paraId="2BCFFE29">
      <w:pPr>
        <w:spacing w:line="400" w:lineRule="exact"/>
        <w:rPr>
          <w:rFonts w:ascii="宋体" w:hAnsi="宋体" w:cs="宋体"/>
          <w:color w:val="auto"/>
          <w:highlight w:val="none"/>
          <w:lang w:val="zh-CN"/>
        </w:rPr>
      </w:pPr>
      <w:r>
        <w:rPr>
          <w:rFonts w:hint="eastAsia" w:ascii="宋体" w:hAnsi="宋体" w:cs="宋体"/>
          <w:color w:val="auto"/>
          <w:kern w:val="0"/>
          <w:highlight w:val="none"/>
          <w:lang w:val="zh-CN"/>
        </w:rPr>
        <w:t>说明：</w:t>
      </w:r>
    </w:p>
    <w:p w14:paraId="119EDB6A">
      <w:pPr>
        <w:spacing w:line="400" w:lineRule="exact"/>
        <w:ind w:firstLine="630" w:firstLineChars="300"/>
        <w:rPr>
          <w:rFonts w:ascii="宋体" w:hAnsi="宋体" w:cs="宋体"/>
          <w:color w:val="auto"/>
          <w:highlight w:val="none"/>
          <w:lang w:val="zh-CN"/>
        </w:rPr>
      </w:pPr>
      <w:r>
        <w:rPr>
          <w:rFonts w:hint="eastAsia" w:ascii="宋体" w:hAnsi="宋体" w:cs="宋体"/>
          <w:color w:val="auto"/>
          <w:highlight w:val="none"/>
        </w:rPr>
        <w:t>1</w:t>
      </w:r>
      <w:r>
        <w:rPr>
          <w:rFonts w:hint="eastAsia" w:ascii="宋体" w:hAnsi="宋体" w:cs="宋体"/>
          <w:color w:val="auto"/>
          <w:highlight w:val="none"/>
          <w:lang w:val="zh-CN"/>
        </w:rPr>
        <w:t>.在“供应商是否属于小和微型企业”栏后“是”或“否”上打“√”。</w:t>
      </w:r>
    </w:p>
    <w:p w14:paraId="00A56C06">
      <w:pPr>
        <w:spacing w:line="400" w:lineRule="exact"/>
        <w:ind w:firstLine="630" w:firstLineChars="300"/>
        <w:rPr>
          <w:rFonts w:ascii="宋体" w:hAnsi="宋体" w:cs="宋体"/>
          <w:color w:val="auto"/>
          <w:highlight w:val="none"/>
          <w:lang w:val="zh-CN"/>
        </w:rPr>
      </w:pPr>
      <w:r>
        <w:rPr>
          <w:rFonts w:hint="eastAsia" w:ascii="宋体" w:hAnsi="宋体" w:cs="宋体"/>
          <w:color w:val="auto"/>
          <w:highlight w:val="none"/>
        </w:rPr>
        <w:t>2</w:t>
      </w:r>
      <w:r>
        <w:rPr>
          <w:rFonts w:hint="eastAsia" w:ascii="宋体" w:hAnsi="宋体" w:cs="宋体"/>
          <w:color w:val="auto"/>
          <w:highlight w:val="none"/>
          <w:lang w:val="zh-CN"/>
        </w:rPr>
        <w:t>.在“供应商是否属于残疾人福利性单位”栏后“是”或“否”上打“√”。</w:t>
      </w:r>
    </w:p>
    <w:p w14:paraId="617FF79D">
      <w:pPr>
        <w:spacing w:line="400" w:lineRule="exact"/>
        <w:ind w:firstLine="630" w:firstLineChars="300"/>
        <w:rPr>
          <w:rFonts w:ascii="宋体" w:hAnsi="宋体" w:cs="宋体"/>
          <w:color w:val="auto"/>
          <w:highlight w:val="none"/>
          <w:lang w:val="zh-CN"/>
        </w:rPr>
      </w:pPr>
      <w:r>
        <w:rPr>
          <w:rFonts w:hint="eastAsia" w:ascii="宋体" w:hAnsi="宋体" w:cs="宋体"/>
          <w:color w:val="auto"/>
          <w:highlight w:val="none"/>
        </w:rPr>
        <w:t>3</w:t>
      </w:r>
      <w:r>
        <w:rPr>
          <w:rFonts w:hint="eastAsia" w:ascii="宋体" w:hAnsi="宋体" w:cs="宋体"/>
          <w:color w:val="auto"/>
          <w:highlight w:val="none"/>
          <w:lang w:val="zh-CN"/>
        </w:rPr>
        <w:t>.在“供应商是否属于监狱企业”栏后“是”或“否”上打“√”。</w:t>
      </w:r>
    </w:p>
    <w:p w14:paraId="4E4A2F86">
      <w:pPr>
        <w:spacing w:line="460" w:lineRule="exact"/>
        <w:jc w:val="center"/>
        <w:rPr>
          <w:rFonts w:ascii="宋体" w:hAnsi="宋体" w:cs="宋体"/>
          <w:color w:val="auto"/>
          <w:highlight w:val="none"/>
        </w:rPr>
      </w:pPr>
    </w:p>
    <w:p w14:paraId="38396584">
      <w:pPr>
        <w:widowControl/>
        <w:adjustRightInd w:val="0"/>
        <w:spacing w:line="460" w:lineRule="exact"/>
        <w:jc w:val="left"/>
        <w:rPr>
          <w:rFonts w:ascii="宋体" w:hAnsi="宋体" w:cs="宋体"/>
          <w:b/>
          <w:color w:val="auto"/>
          <w:kern w:val="0"/>
          <w:highlight w:val="none"/>
          <w:lang w:val="zh-CN"/>
        </w:rPr>
        <w:sectPr>
          <w:pgSz w:w="11906" w:h="16838"/>
          <w:pgMar w:top="1440" w:right="1800" w:bottom="1440" w:left="1800" w:header="851" w:footer="992" w:gutter="0"/>
          <w:cols w:space="720" w:num="1"/>
          <w:docGrid w:type="lines" w:linePitch="312" w:charSpace="0"/>
        </w:sectPr>
      </w:pPr>
    </w:p>
    <w:p w14:paraId="2CED1277">
      <w:pPr>
        <w:widowControl/>
        <w:adjustRightInd w:val="0"/>
        <w:spacing w:line="460" w:lineRule="exact"/>
        <w:rPr>
          <w:rFonts w:ascii="宋体" w:hAnsi="宋体" w:cs="宋体"/>
          <w:b/>
          <w:color w:val="auto"/>
          <w:sz w:val="24"/>
          <w:szCs w:val="24"/>
          <w:highlight w:val="none"/>
        </w:rPr>
      </w:pPr>
      <w:r>
        <w:rPr>
          <w:rFonts w:hint="eastAsia" w:ascii="宋体" w:hAnsi="宋体" w:cs="宋体"/>
          <w:b/>
          <w:color w:val="auto"/>
          <w:kern w:val="0"/>
          <w:sz w:val="24"/>
          <w:szCs w:val="24"/>
          <w:highlight w:val="none"/>
        </w:rPr>
        <w:t>目录四</w:t>
      </w:r>
      <w:r>
        <w:rPr>
          <w:rFonts w:hint="eastAsia" w:ascii="宋体" w:hAnsi="宋体" w:cs="宋体"/>
          <w:b/>
          <w:color w:val="auto"/>
          <w:kern w:val="0"/>
          <w:sz w:val="24"/>
          <w:szCs w:val="24"/>
          <w:highlight w:val="none"/>
          <w:lang w:val="zh-CN"/>
        </w:rPr>
        <w:t>、</w:t>
      </w:r>
      <w:r>
        <w:rPr>
          <w:rFonts w:hint="eastAsia" w:ascii="宋体" w:hAnsi="宋体" w:cs="宋体"/>
          <w:b/>
          <w:color w:val="auto"/>
          <w:sz w:val="24"/>
          <w:szCs w:val="24"/>
          <w:highlight w:val="none"/>
        </w:rPr>
        <w:t>资格证明文件</w:t>
      </w:r>
    </w:p>
    <w:p w14:paraId="255613D2">
      <w:pPr>
        <w:spacing w:line="4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南京市政府采购供应商信用记录表暨信用承诺书</w:t>
      </w:r>
    </w:p>
    <w:p w14:paraId="47F155DF">
      <w:pPr>
        <w:rPr>
          <w:color w:val="auto"/>
          <w:highlight w:val="none"/>
        </w:rPr>
      </w:pPr>
      <w:r>
        <w:rPr>
          <w:rFonts w:hint="eastAsia"/>
          <w:color w:val="auto"/>
          <w:highlight w:val="none"/>
        </w:rPr>
        <w:t xml:space="preserve">                                                                   年  月  日</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50D5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vAlign w:val="center"/>
          </w:tcPr>
          <w:p w14:paraId="7257146E">
            <w:pPr>
              <w:jc w:val="left"/>
              <w:rPr>
                <w:rFonts w:ascii="宋体" w:hAnsi="宋体" w:cs="宋体"/>
                <w:color w:val="auto"/>
                <w:highlight w:val="none"/>
              </w:rPr>
            </w:pPr>
            <w:r>
              <w:rPr>
                <w:rFonts w:hint="eastAsia" w:ascii="宋体" w:hAnsi="宋体" w:cs="宋体"/>
                <w:color w:val="auto"/>
                <w:highlight w:val="none"/>
              </w:rPr>
              <w:t>单位名称</w:t>
            </w:r>
          </w:p>
        </w:tc>
        <w:tc>
          <w:tcPr>
            <w:tcW w:w="2130" w:type="dxa"/>
            <w:vAlign w:val="center"/>
          </w:tcPr>
          <w:p w14:paraId="64F33155">
            <w:pPr>
              <w:jc w:val="center"/>
              <w:rPr>
                <w:rFonts w:ascii="宋体" w:hAnsi="宋体" w:cs="宋体"/>
                <w:color w:val="auto"/>
                <w:highlight w:val="none"/>
              </w:rPr>
            </w:pPr>
          </w:p>
        </w:tc>
        <w:tc>
          <w:tcPr>
            <w:tcW w:w="2131" w:type="dxa"/>
            <w:vAlign w:val="center"/>
          </w:tcPr>
          <w:p w14:paraId="30CC9646">
            <w:pPr>
              <w:jc w:val="left"/>
              <w:rPr>
                <w:rFonts w:ascii="宋体" w:hAnsi="宋体" w:cs="宋体"/>
                <w:color w:val="auto"/>
                <w:highlight w:val="none"/>
              </w:rPr>
            </w:pPr>
            <w:r>
              <w:rPr>
                <w:rFonts w:hint="eastAsia" w:ascii="宋体" w:hAnsi="宋体" w:cs="宋体"/>
                <w:color w:val="auto"/>
                <w:highlight w:val="none"/>
              </w:rPr>
              <w:t>统一社会信用代码</w:t>
            </w:r>
          </w:p>
        </w:tc>
        <w:tc>
          <w:tcPr>
            <w:tcW w:w="2131" w:type="dxa"/>
            <w:vAlign w:val="center"/>
          </w:tcPr>
          <w:p w14:paraId="0F1D0F2F">
            <w:pPr>
              <w:jc w:val="center"/>
              <w:rPr>
                <w:rFonts w:ascii="宋体" w:hAnsi="宋体" w:cs="宋体"/>
                <w:color w:val="auto"/>
                <w:highlight w:val="none"/>
              </w:rPr>
            </w:pPr>
          </w:p>
        </w:tc>
      </w:tr>
      <w:tr w14:paraId="04F2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vAlign w:val="center"/>
          </w:tcPr>
          <w:p w14:paraId="02024C71">
            <w:pPr>
              <w:jc w:val="left"/>
              <w:rPr>
                <w:rFonts w:ascii="宋体" w:hAnsi="宋体" w:cs="宋体"/>
                <w:color w:val="auto"/>
                <w:highlight w:val="none"/>
              </w:rPr>
            </w:pPr>
            <w:r>
              <w:rPr>
                <w:rFonts w:hint="eastAsia" w:ascii="宋体" w:hAnsi="宋体" w:cs="宋体"/>
                <w:color w:val="auto"/>
                <w:highlight w:val="none"/>
              </w:rPr>
              <w:t>法定代表人</w:t>
            </w:r>
          </w:p>
        </w:tc>
        <w:tc>
          <w:tcPr>
            <w:tcW w:w="2130" w:type="dxa"/>
            <w:vAlign w:val="center"/>
          </w:tcPr>
          <w:p w14:paraId="30B244E5">
            <w:pPr>
              <w:jc w:val="center"/>
              <w:rPr>
                <w:rFonts w:ascii="宋体" w:hAnsi="宋体" w:cs="宋体"/>
                <w:color w:val="auto"/>
                <w:highlight w:val="none"/>
              </w:rPr>
            </w:pPr>
          </w:p>
        </w:tc>
        <w:tc>
          <w:tcPr>
            <w:tcW w:w="2131" w:type="dxa"/>
            <w:vAlign w:val="center"/>
          </w:tcPr>
          <w:p w14:paraId="65DC0239">
            <w:pPr>
              <w:jc w:val="left"/>
              <w:rPr>
                <w:rFonts w:ascii="宋体" w:hAnsi="宋体" w:cs="宋体"/>
                <w:color w:val="auto"/>
                <w:highlight w:val="none"/>
              </w:rPr>
            </w:pPr>
            <w:r>
              <w:rPr>
                <w:rFonts w:hint="eastAsia" w:ascii="宋体" w:hAnsi="宋体" w:cs="宋体"/>
                <w:color w:val="auto"/>
                <w:highlight w:val="none"/>
              </w:rPr>
              <w:t>联系人</w:t>
            </w:r>
          </w:p>
        </w:tc>
        <w:tc>
          <w:tcPr>
            <w:tcW w:w="2131" w:type="dxa"/>
            <w:vAlign w:val="center"/>
          </w:tcPr>
          <w:p w14:paraId="344CB603">
            <w:pPr>
              <w:jc w:val="center"/>
              <w:rPr>
                <w:rFonts w:ascii="宋体" w:hAnsi="宋体" w:cs="宋体"/>
                <w:color w:val="auto"/>
                <w:highlight w:val="none"/>
              </w:rPr>
            </w:pPr>
          </w:p>
        </w:tc>
      </w:tr>
      <w:tr w14:paraId="0BAF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vAlign w:val="center"/>
          </w:tcPr>
          <w:p w14:paraId="78D66A27">
            <w:pPr>
              <w:jc w:val="left"/>
              <w:rPr>
                <w:rFonts w:ascii="宋体" w:hAnsi="宋体" w:cs="宋体"/>
                <w:color w:val="auto"/>
                <w:highlight w:val="none"/>
              </w:rPr>
            </w:pPr>
            <w:r>
              <w:rPr>
                <w:rFonts w:hint="eastAsia" w:ascii="宋体" w:hAnsi="宋体" w:cs="宋体"/>
                <w:color w:val="auto"/>
                <w:highlight w:val="none"/>
              </w:rPr>
              <w:t>联系地址</w:t>
            </w:r>
          </w:p>
        </w:tc>
        <w:tc>
          <w:tcPr>
            <w:tcW w:w="2130" w:type="dxa"/>
            <w:vAlign w:val="center"/>
          </w:tcPr>
          <w:p w14:paraId="0EF84EA4">
            <w:pPr>
              <w:jc w:val="center"/>
              <w:rPr>
                <w:rFonts w:ascii="宋体" w:hAnsi="宋体" w:cs="宋体"/>
                <w:color w:val="auto"/>
                <w:highlight w:val="none"/>
              </w:rPr>
            </w:pPr>
          </w:p>
        </w:tc>
        <w:tc>
          <w:tcPr>
            <w:tcW w:w="2131" w:type="dxa"/>
            <w:vAlign w:val="center"/>
          </w:tcPr>
          <w:p w14:paraId="115A5E11">
            <w:pPr>
              <w:jc w:val="left"/>
              <w:rPr>
                <w:rFonts w:ascii="宋体" w:hAnsi="宋体" w:cs="宋体"/>
                <w:color w:val="auto"/>
                <w:highlight w:val="none"/>
              </w:rPr>
            </w:pPr>
            <w:r>
              <w:rPr>
                <w:rFonts w:hint="eastAsia" w:ascii="宋体" w:hAnsi="宋体" w:cs="宋体"/>
                <w:color w:val="auto"/>
                <w:highlight w:val="none"/>
              </w:rPr>
              <w:t>联系电话</w:t>
            </w:r>
          </w:p>
        </w:tc>
        <w:tc>
          <w:tcPr>
            <w:tcW w:w="2131" w:type="dxa"/>
            <w:vAlign w:val="center"/>
          </w:tcPr>
          <w:p w14:paraId="2783BD62">
            <w:pPr>
              <w:jc w:val="center"/>
              <w:rPr>
                <w:rFonts w:ascii="宋体" w:hAnsi="宋体" w:cs="宋体"/>
                <w:color w:val="auto"/>
                <w:highlight w:val="none"/>
              </w:rPr>
            </w:pPr>
          </w:p>
        </w:tc>
      </w:tr>
      <w:tr w14:paraId="5C4E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vAlign w:val="center"/>
          </w:tcPr>
          <w:p w14:paraId="2115B82E">
            <w:pPr>
              <w:jc w:val="left"/>
              <w:rPr>
                <w:rFonts w:ascii="宋体" w:hAnsi="宋体" w:cs="宋体"/>
                <w:color w:val="auto"/>
                <w:highlight w:val="none"/>
              </w:rPr>
            </w:pPr>
            <w:r>
              <w:rPr>
                <w:rFonts w:hint="eastAsia" w:ascii="宋体" w:hAnsi="宋体" w:cs="宋体"/>
                <w:color w:val="auto"/>
                <w:highlight w:val="none"/>
              </w:rPr>
              <w:t>信用得分</w:t>
            </w:r>
          </w:p>
        </w:tc>
        <w:tc>
          <w:tcPr>
            <w:tcW w:w="2130" w:type="dxa"/>
            <w:vAlign w:val="center"/>
          </w:tcPr>
          <w:p w14:paraId="16DBABA2">
            <w:pPr>
              <w:jc w:val="center"/>
              <w:rPr>
                <w:rFonts w:ascii="宋体" w:hAnsi="宋体" w:cs="宋体"/>
                <w:color w:val="auto"/>
                <w:highlight w:val="none"/>
              </w:rPr>
            </w:pPr>
          </w:p>
        </w:tc>
        <w:tc>
          <w:tcPr>
            <w:tcW w:w="2131" w:type="dxa"/>
            <w:vAlign w:val="center"/>
          </w:tcPr>
          <w:p w14:paraId="2423BFF5">
            <w:pPr>
              <w:jc w:val="left"/>
              <w:rPr>
                <w:rFonts w:ascii="宋体" w:hAnsi="宋体" w:cs="宋体"/>
                <w:color w:val="auto"/>
                <w:highlight w:val="none"/>
              </w:rPr>
            </w:pPr>
            <w:r>
              <w:rPr>
                <w:rFonts w:hint="eastAsia" w:ascii="宋体" w:hAnsi="宋体" w:cs="宋体"/>
                <w:color w:val="auto"/>
                <w:highlight w:val="none"/>
              </w:rPr>
              <w:t>星级</w:t>
            </w:r>
          </w:p>
        </w:tc>
        <w:tc>
          <w:tcPr>
            <w:tcW w:w="2131" w:type="dxa"/>
            <w:vAlign w:val="center"/>
          </w:tcPr>
          <w:p w14:paraId="082128B7">
            <w:pPr>
              <w:jc w:val="center"/>
              <w:rPr>
                <w:rFonts w:ascii="宋体" w:hAnsi="宋体" w:cs="宋体"/>
                <w:color w:val="auto"/>
                <w:highlight w:val="none"/>
              </w:rPr>
            </w:pPr>
          </w:p>
        </w:tc>
      </w:tr>
      <w:tr w14:paraId="741E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130" w:type="dxa"/>
            <w:vAlign w:val="center"/>
          </w:tcPr>
          <w:p w14:paraId="5DBA54B2">
            <w:pPr>
              <w:jc w:val="left"/>
              <w:rPr>
                <w:rFonts w:ascii="宋体" w:hAnsi="宋体" w:cs="宋体"/>
                <w:color w:val="auto"/>
                <w:highlight w:val="none"/>
              </w:rPr>
            </w:pPr>
            <w:r>
              <w:rPr>
                <w:rFonts w:hint="eastAsia" w:ascii="宋体" w:hAnsi="宋体" w:cs="宋体"/>
                <w:color w:val="auto"/>
                <w:highlight w:val="none"/>
              </w:rPr>
              <w:t>诚信档案记录情况</w:t>
            </w:r>
          </w:p>
        </w:tc>
        <w:tc>
          <w:tcPr>
            <w:tcW w:w="6392" w:type="dxa"/>
            <w:gridSpan w:val="3"/>
            <w:vAlign w:val="center"/>
          </w:tcPr>
          <w:p w14:paraId="15C40825">
            <w:pPr>
              <w:jc w:val="left"/>
              <w:rPr>
                <w:rFonts w:ascii="宋体" w:hAnsi="宋体" w:cs="宋体"/>
                <w:color w:val="auto"/>
                <w:highlight w:val="none"/>
              </w:rPr>
            </w:pPr>
          </w:p>
          <w:p w14:paraId="6CC3BF55">
            <w:pPr>
              <w:rPr>
                <w:rFonts w:ascii="宋体" w:hAnsi="宋体" w:cs="宋体"/>
                <w:color w:val="auto"/>
                <w:highlight w:val="none"/>
              </w:rPr>
            </w:pPr>
          </w:p>
          <w:p w14:paraId="30C80FC0">
            <w:pPr>
              <w:pStyle w:val="5"/>
              <w:outlineLvl w:val="3"/>
              <w:rPr>
                <w:rFonts w:ascii="宋体" w:hAnsi="宋体" w:eastAsia="宋体" w:cs="宋体"/>
                <w:color w:val="auto"/>
                <w:highlight w:val="none"/>
              </w:rPr>
            </w:pPr>
          </w:p>
        </w:tc>
      </w:tr>
      <w:tr w14:paraId="711B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130" w:type="dxa"/>
            <w:vAlign w:val="center"/>
          </w:tcPr>
          <w:p w14:paraId="6D286EE7">
            <w:pPr>
              <w:jc w:val="left"/>
              <w:rPr>
                <w:rFonts w:ascii="宋体" w:hAnsi="宋体" w:cs="宋体"/>
                <w:color w:val="auto"/>
                <w:highlight w:val="none"/>
              </w:rPr>
            </w:pPr>
            <w:r>
              <w:rPr>
                <w:rFonts w:hint="eastAsia" w:ascii="宋体" w:hAnsi="宋体" w:cs="宋体"/>
                <w:color w:val="auto"/>
                <w:highlight w:val="none"/>
              </w:rPr>
              <w:t>信用承诺</w:t>
            </w:r>
          </w:p>
        </w:tc>
        <w:tc>
          <w:tcPr>
            <w:tcW w:w="6392" w:type="dxa"/>
            <w:gridSpan w:val="3"/>
            <w:vAlign w:val="center"/>
          </w:tcPr>
          <w:p w14:paraId="45DB8ABD">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p>
          <w:p w14:paraId="6E0A7222">
            <w:pPr>
              <w:pStyle w:val="5"/>
              <w:outlineLvl w:val="3"/>
              <w:rPr>
                <w:rFonts w:ascii="宋体" w:hAnsi="宋体" w:eastAsia="宋体" w:cs="宋体"/>
                <w:b w:val="0"/>
                <w:color w:val="auto"/>
                <w:sz w:val="21"/>
                <w:szCs w:val="21"/>
                <w:highlight w:val="none"/>
              </w:rPr>
            </w:pPr>
          </w:p>
          <w:p w14:paraId="3A63772B">
            <w:pPr>
              <w:pStyle w:val="5"/>
              <w:ind w:firstLine="2520" w:firstLineChars="1200"/>
              <w:outlineLvl w:val="3"/>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供应商名称（盖章）：</w:t>
            </w:r>
          </w:p>
          <w:p w14:paraId="346D87F3">
            <w:pPr>
              <w:ind w:firstLine="2520" w:firstLineChars="1200"/>
              <w:rPr>
                <w:rFonts w:ascii="宋体" w:hAnsi="宋体" w:cs="宋体"/>
                <w:color w:val="auto"/>
                <w:highlight w:val="none"/>
              </w:rPr>
            </w:pPr>
            <w:r>
              <w:rPr>
                <w:rFonts w:hint="eastAsia" w:ascii="宋体" w:hAnsi="宋体" w:cs="宋体"/>
                <w:color w:val="auto"/>
                <w:highlight w:val="none"/>
              </w:rPr>
              <w:t>法定代表人（签字）：</w:t>
            </w:r>
          </w:p>
          <w:p w14:paraId="2C86F570">
            <w:pPr>
              <w:rPr>
                <w:rFonts w:ascii="宋体" w:hAnsi="宋体" w:cs="宋体"/>
                <w:color w:val="auto"/>
                <w:highlight w:val="none"/>
              </w:rPr>
            </w:pPr>
            <w:r>
              <w:rPr>
                <w:rFonts w:hint="eastAsia" w:ascii="宋体" w:hAnsi="宋体" w:cs="宋体"/>
                <w:color w:val="auto"/>
                <w:highlight w:val="none"/>
              </w:rPr>
              <w:t xml:space="preserve">                             年  月  日</w:t>
            </w:r>
          </w:p>
        </w:tc>
      </w:tr>
    </w:tbl>
    <w:p w14:paraId="3ECF1827">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注：1、供应商在中标（成交）后，应按采购文件要求，将上述由信用承诺书替代的证明材料提交采购人或采购代理机构核验。经核验无误后，由采购人或采购代理机构发出中标（成交）通知书。</w:t>
      </w:r>
    </w:p>
    <w:p w14:paraId="45F8FD5F">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2、信用承诺书替代的证明材料为： </w:t>
      </w:r>
    </w:p>
    <w:p w14:paraId="7FD1B89A">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（1）具有独立承担民事责任的能力（提供法人或者其他组织的营业执照）； </w:t>
      </w:r>
    </w:p>
    <w:p w14:paraId="04A9704B">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（2）具有良好的商业信誉和健全的财务会计制度（提供参加本次政府采购活动前的财务状况报告，法人或者其他组织成立未满一年的可以不提供）； </w:t>
      </w:r>
    </w:p>
    <w:p w14:paraId="57B0444D">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（3）具有履行合同所必需的设备和专业技术能力（根据项目需求提供履行合同所必需的设备和专业技术能力的声明及证明材料）； </w:t>
      </w:r>
    </w:p>
    <w:p w14:paraId="69489F75">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（4）有依法缴纳税收和社会保障资金的良好记录（提供参加本次采购活动前依法缴纳税收和社会保障资金的相关材料）； </w:t>
      </w:r>
    </w:p>
    <w:p w14:paraId="47846388">
      <w:pPr>
        <w:widowControl/>
        <w:adjustRightInd w:val="0"/>
        <w:spacing w:line="460" w:lineRule="exact"/>
        <w:jc w:val="left"/>
        <w:rPr>
          <w:rFonts w:ascii="宋体" w:hAnsi="宋体" w:cs="宋体"/>
          <w:b/>
          <w:color w:val="auto"/>
          <w:kern w:val="0"/>
          <w:highlight w:val="none"/>
          <w:lang w:val="zh-CN"/>
        </w:rPr>
      </w:pPr>
      <w:r>
        <w:rPr>
          <w:rFonts w:hint="eastAsia" w:ascii="宋体" w:hAnsi="宋体" w:cs="宋体"/>
          <w:b/>
          <w:color w:val="auto"/>
          <w:kern w:val="0"/>
          <w:highlight w:val="none"/>
          <w:lang w:val="zh-CN"/>
        </w:rPr>
        <w:t xml:space="preserve">（5）参加本次采购活动前三年内，在经营活动中没有重大违法或不良征信记录（提供参加本次采购活动前三年内在经营活动中没有重大违法记录的书面声明）。 </w:t>
      </w:r>
    </w:p>
    <w:p w14:paraId="46EF8996">
      <w:pPr>
        <w:widowControl/>
        <w:adjustRightInd w:val="0"/>
        <w:spacing w:line="460" w:lineRule="exact"/>
        <w:jc w:val="left"/>
        <w:rPr>
          <w:rFonts w:ascii="宋体" w:hAnsi="宋体" w:cs="宋体"/>
          <w:b/>
          <w:bCs/>
          <w:color w:val="auto"/>
          <w:sz w:val="24"/>
          <w:szCs w:val="24"/>
          <w:highlight w:val="none"/>
        </w:rPr>
      </w:pPr>
      <w:r>
        <w:rPr>
          <w:rFonts w:hint="eastAsia" w:ascii="宋体" w:hAnsi="宋体" w:cs="宋体"/>
          <w:b/>
          <w:color w:val="auto"/>
          <w:kern w:val="0"/>
          <w:highlight w:val="none"/>
          <w:lang w:val="zh-CN"/>
        </w:rPr>
        <w:t>（6）法律、行政法规规定的其他条件。</w:t>
      </w:r>
    </w:p>
    <w:p w14:paraId="0201A15D">
      <w:pPr>
        <w:jc w:val="left"/>
        <w:rPr>
          <w:rFonts w:ascii="宋体" w:hAnsi="宋体" w:cs="宋体"/>
          <w:b/>
          <w:bCs/>
          <w:color w:val="auto"/>
          <w:sz w:val="24"/>
          <w:szCs w:val="24"/>
          <w:highlight w:val="none"/>
        </w:rPr>
      </w:pPr>
    </w:p>
    <w:p w14:paraId="4BD3E008">
      <w:pPr>
        <w:jc w:val="left"/>
        <w:rPr>
          <w:rFonts w:ascii="宋体" w:hAnsi="宋体" w:cs="宋体"/>
          <w:b/>
          <w:bCs/>
          <w:color w:val="auto"/>
          <w:sz w:val="24"/>
          <w:szCs w:val="24"/>
          <w:highlight w:val="none"/>
        </w:rPr>
      </w:pPr>
    </w:p>
    <w:p w14:paraId="323287ED">
      <w:pPr>
        <w:jc w:val="left"/>
        <w:rPr>
          <w:rFonts w:hint="default" w:ascii="宋体" w:hAnsi="宋体" w:eastAsia="宋体" w:cs="宋体"/>
          <w:b/>
          <w:bCs/>
          <w:color w:val="auto"/>
          <w:sz w:val="24"/>
          <w:szCs w:val="24"/>
          <w:highlight w:val="none"/>
          <w:lang w:val="en-US" w:eastAsia="zh-CN"/>
        </w:rPr>
        <w:sectPr>
          <w:pgSz w:w="11906" w:h="16838"/>
          <w:pgMar w:top="1440" w:right="1800" w:bottom="1440" w:left="1800" w:header="851" w:footer="992" w:gutter="0"/>
          <w:cols w:space="720" w:num="1"/>
          <w:docGrid w:type="lines" w:linePitch="312" w:charSpace="0"/>
        </w:sectPr>
      </w:pPr>
      <w:r>
        <w:rPr>
          <w:rFonts w:hint="eastAsia" w:ascii="宋体" w:hAnsi="宋体" w:cs="宋体"/>
          <w:b/>
          <w:bCs/>
          <w:color w:val="auto"/>
          <w:sz w:val="24"/>
          <w:szCs w:val="24"/>
          <w:highlight w:val="none"/>
          <w:lang w:val="en-US" w:eastAsia="zh-CN"/>
        </w:rPr>
        <w:t>注：上表格式仅供参考，应以在线打印的有效文件为准。</w:t>
      </w:r>
    </w:p>
    <w:p w14:paraId="6CE167F4">
      <w:pPr>
        <w:jc w:val="left"/>
        <w:rPr>
          <w:rFonts w:ascii="宋体" w:hAnsi="宋体" w:cs="宋体"/>
          <w:b/>
          <w:bCs/>
          <w:color w:val="auto"/>
          <w:sz w:val="24"/>
          <w:szCs w:val="24"/>
          <w:highlight w:val="none"/>
          <w:lang w:val="zh-CN"/>
        </w:rPr>
      </w:pPr>
      <w:r>
        <w:rPr>
          <w:rFonts w:hint="eastAsia" w:ascii="宋体" w:hAnsi="宋体" w:cs="宋体"/>
          <w:b/>
          <w:color w:val="auto"/>
          <w:sz w:val="24"/>
          <w:highlight w:val="none"/>
          <w:lang w:val="zh-CN" w:bidi="zh-CN"/>
        </w:rPr>
        <w:t>★</w:t>
      </w:r>
      <w:r>
        <w:rPr>
          <w:rFonts w:hint="eastAsia" w:ascii="宋体" w:hAnsi="宋体" w:cs="宋体"/>
          <w:b/>
          <w:bCs/>
          <w:color w:val="auto"/>
          <w:sz w:val="24"/>
          <w:szCs w:val="24"/>
          <w:highlight w:val="none"/>
        </w:rPr>
        <w:t>目录五、</w:t>
      </w:r>
      <w:r>
        <w:rPr>
          <w:rFonts w:hint="eastAsia" w:ascii="宋体" w:hAnsi="宋体" w:cs="宋体"/>
          <w:b/>
          <w:bCs/>
          <w:color w:val="auto"/>
          <w:sz w:val="24"/>
          <w:szCs w:val="24"/>
          <w:highlight w:val="none"/>
          <w:lang w:val="zh-CN"/>
        </w:rPr>
        <w:t>技术条款偏离表格式</w:t>
      </w:r>
    </w:p>
    <w:p w14:paraId="7717D577">
      <w:pPr>
        <w:jc w:val="center"/>
        <w:rPr>
          <w:color w:val="auto"/>
          <w:sz w:val="24"/>
          <w:szCs w:val="24"/>
          <w:highlight w:val="none"/>
          <w:lang w:val="zh-CN"/>
        </w:rPr>
      </w:pPr>
      <w:r>
        <w:rPr>
          <w:rFonts w:hint="eastAsia"/>
          <w:b/>
          <w:bCs/>
          <w:color w:val="auto"/>
          <w:sz w:val="24"/>
          <w:szCs w:val="24"/>
          <w:highlight w:val="none"/>
          <w:lang w:val="zh-CN"/>
        </w:rPr>
        <w:t>技术条款偏离表</w:t>
      </w:r>
    </w:p>
    <w:tbl>
      <w:tblPr>
        <w:tblStyle w:val="43"/>
        <w:tblW w:w="9435" w:type="dxa"/>
        <w:jc w:val="center"/>
        <w:tblLayout w:type="fixed"/>
        <w:tblCellMar>
          <w:top w:w="0" w:type="dxa"/>
          <w:left w:w="0" w:type="dxa"/>
          <w:bottom w:w="0" w:type="dxa"/>
          <w:right w:w="0" w:type="dxa"/>
        </w:tblCellMar>
      </w:tblPr>
      <w:tblGrid>
        <w:gridCol w:w="765"/>
        <w:gridCol w:w="1620"/>
        <w:gridCol w:w="2700"/>
        <w:gridCol w:w="1411"/>
        <w:gridCol w:w="1829"/>
        <w:gridCol w:w="1110"/>
      </w:tblGrid>
      <w:tr w14:paraId="56BFD97B">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40FE21D0">
            <w:pPr>
              <w:widowControl/>
              <w:adjustRightInd w:val="0"/>
              <w:spacing w:line="460" w:lineRule="exact"/>
              <w:jc w:val="left"/>
              <w:rPr>
                <w:rFonts w:ascii="宋体" w:hAnsi="宋体" w:cs="宋体"/>
                <w:color w:val="auto"/>
                <w:kern w:val="0"/>
                <w:highlight w:val="none"/>
                <w:lang w:val="zh-CN"/>
              </w:rPr>
            </w:pPr>
            <w:r>
              <w:rPr>
                <w:rFonts w:hint="eastAsia" w:ascii="宋体" w:hAnsi="宋体" w:cs="宋体"/>
                <w:color w:val="auto"/>
                <w:kern w:val="0"/>
                <w:highlight w:val="none"/>
                <w:lang w:val="zh-CN"/>
              </w:rPr>
              <w:t>项目名称：</w:t>
            </w:r>
          </w:p>
        </w:tc>
        <w:tc>
          <w:tcPr>
            <w:tcW w:w="2939" w:type="dxa"/>
            <w:gridSpan w:val="2"/>
            <w:tcBorders>
              <w:top w:val="nil"/>
              <w:left w:val="nil"/>
              <w:bottom w:val="single" w:color="auto" w:sz="6" w:space="0"/>
              <w:right w:val="nil"/>
            </w:tcBorders>
            <w:vAlign w:val="center"/>
          </w:tcPr>
          <w:p w14:paraId="3FABE8D8">
            <w:pPr>
              <w:widowControl/>
              <w:adjustRightInd w:val="0"/>
              <w:spacing w:line="460" w:lineRule="exact"/>
              <w:jc w:val="left"/>
              <w:rPr>
                <w:rFonts w:ascii="宋体" w:hAnsi="宋体" w:cs="宋体"/>
                <w:color w:val="auto"/>
                <w:kern w:val="0"/>
                <w:highlight w:val="none"/>
              </w:rPr>
            </w:pPr>
            <w:r>
              <w:rPr>
                <w:rFonts w:hint="eastAsia" w:ascii="宋体" w:hAnsi="宋体" w:cs="宋体"/>
                <w:color w:val="auto"/>
                <w:kern w:val="0"/>
                <w:highlight w:val="none"/>
              </w:rPr>
              <w:t>项目编号：</w:t>
            </w:r>
          </w:p>
        </w:tc>
      </w:tr>
      <w:tr w14:paraId="56AAE80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C9E3057">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295925C0">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磋商文件条目号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16487C75">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磋商文件要求</w:t>
            </w:r>
            <w:r>
              <w:rPr>
                <w:rFonts w:hint="eastAsia" w:ascii="宋体" w:hAnsi="宋体" w:cs="宋体"/>
                <w:color w:val="auto"/>
                <w:kern w:val="0"/>
                <w:highlight w:val="none"/>
              </w:rPr>
              <w:t>的</w:t>
            </w:r>
            <w:r>
              <w:rPr>
                <w:rFonts w:hint="eastAsia" w:ascii="宋体" w:hAnsi="宋体" w:cs="宋体"/>
                <w:color w:val="auto"/>
                <w:kern w:val="0"/>
                <w:highlight w:val="none"/>
                <w:lang w:val="zh-CN"/>
              </w:rPr>
              <w:t>技术条款</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26A4E2A">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投标响应</w:t>
            </w:r>
          </w:p>
        </w:tc>
        <w:tc>
          <w:tcPr>
            <w:tcW w:w="1110" w:type="dxa"/>
            <w:tcBorders>
              <w:top w:val="single" w:color="auto" w:sz="6" w:space="0"/>
              <w:left w:val="single" w:color="auto" w:sz="6" w:space="0"/>
              <w:bottom w:val="single" w:color="auto" w:sz="6" w:space="0"/>
              <w:right w:val="single" w:color="auto" w:sz="6" w:space="0"/>
            </w:tcBorders>
            <w:vAlign w:val="center"/>
          </w:tcPr>
          <w:p w14:paraId="0478C003">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偏离</w:t>
            </w:r>
          </w:p>
        </w:tc>
      </w:tr>
      <w:tr w14:paraId="3701196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5955CCA">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65467BE5">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79FB1E2">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6F46050">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6C1644E">
            <w:pPr>
              <w:widowControl/>
              <w:adjustRightInd w:val="0"/>
              <w:spacing w:line="460" w:lineRule="exact"/>
              <w:jc w:val="center"/>
              <w:rPr>
                <w:rFonts w:ascii="宋体" w:hAnsi="宋体" w:cs="宋体"/>
                <w:color w:val="auto"/>
                <w:kern w:val="0"/>
                <w:highlight w:val="none"/>
                <w:lang w:val="zh-CN"/>
              </w:rPr>
            </w:pPr>
          </w:p>
        </w:tc>
      </w:tr>
      <w:tr w14:paraId="081D331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B6968FD">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D3F2D43">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472FD3B">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FEA27ED">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4716788">
            <w:pPr>
              <w:widowControl/>
              <w:adjustRightInd w:val="0"/>
              <w:spacing w:line="460" w:lineRule="exact"/>
              <w:jc w:val="center"/>
              <w:rPr>
                <w:rFonts w:ascii="宋体" w:hAnsi="宋体" w:cs="宋体"/>
                <w:color w:val="auto"/>
                <w:kern w:val="0"/>
                <w:highlight w:val="none"/>
                <w:lang w:val="zh-CN"/>
              </w:rPr>
            </w:pPr>
          </w:p>
        </w:tc>
      </w:tr>
      <w:tr w14:paraId="4A4AF1B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91AEE9B">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112D0C1">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48D3E275">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DCFAA58">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2947929">
            <w:pPr>
              <w:widowControl/>
              <w:adjustRightInd w:val="0"/>
              <w:spacing w:line="460" w:lineRule="exact"/>
              <w:jc w:val="center"/>
              <w:rPr>
                <w:rFonts w:ascii="宋体" w:hAnsi="宋体" w:cs="宋体"/>
                <w:color w:val="auto"/>
                <w:kern w:val="0"/>
                <w:highlight w:val="none"/>
                <w:lang w:val="zh-CN"/>
              </w:rPr>
            </w:pPr>
          </w:p>
        </w:tc>
      </w:tr>
      <w:tr w14:paraId="2F883F3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A299D63">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48DCEC1">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E4E4617">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B3ACB4F">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EE02154">
            <w:pPr>
              <w:widowControl/>
              <w:adjustRightInd w:val="0"/>
              <w:spacing w:line="460" w:lineRule="exact"/>
              <w:jc w:val="center"/>
              <w:rPr>
                <w:rFonts w:ascii="宋体" w:hAnsi="宋体" w:cs="宋体"/>
                <w:color w:val="auto"/>
                <w:kern w:val="0"/>
                <w:highlight w:val="none"/>
                <w:lang w:val="zh-CN"/>
              </w:rPr>
            </w:pPr>
          </w:p>
        </w:tc>
      </w:tr>
      <w:tr w14:paraId="6227C32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551A5C0">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2919F282">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E2BB6A0">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476E59E">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084B14C">
            <w:pPr>
              <w:widowControl/>
              <w:adjustRightInd w:val="0"/>
              <w:spacing w:line="460" w:lineRule="exact"/>
              <w:jc w:val="center"/>
              <w:rPr>
                <w:rFonts w:ascii="宋体" w:hAnsi="宋体" w:cs="宋体"/>
                <w:color w:val="auto"/>
                <w:kern w:val="0"/>
                <w:highlight w:val="none"/>
                <w:lang w:val="zh-CN"/>
              </w:rPr>
            </w:pPr>
          </w:p>
        </w:tc>
      </w:tr>
      <w:tr w14:paraId="51B45C8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E4EBE65">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BDB1D11">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19258C6">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8EFEA6A">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5CDADDD">
            <w:pPr>
              <w:widowControl/>
              <w:adjustRightInd w:val="0"/>
              <w:spacing w:line="460" w:lineRule="exact"/>
              <w:jc w:val="center"/>
              <w:rPr>
                <w:rFonts w:ascii="宋体" w:hAnsi="宋体" w:cs="宋体"/>
                <w:color w:val="auto"/>
                <w:kern w:val="0"/>
                <w:highlight w:val="none"/>
                <w:lang w:val="zh-CN"/>
              </w:rPr>
            </w:pPr>
          </w:p>
        </w:tc>
      </w:tr>
      <w:tr w14:paraId="1C037A5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9A7A94A">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DE7C86E">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75FEEEBF">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7CEC4B2">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33B62FA">
            <w:pPr>
              <w:widowControl/>
              <w:adjustRightInd w:val="0"/>
              <w:spacing w:line="460" w:lineRule="exact"/>
              <w:jc w:val="center"/>
              <w:rPr>
                <w:rFonts w:ascii="宋体" w:hAnsi="宋体" w:cs="宋体"/>
                <w:color w:val="auto"/>
                <w:kern w:val="0"/>
                <w:highlight w:val="none"/>
                <w:lang w:val="zh-CN"/>
              </w:rPr>
            </w:pPr>
          </w:p>
        </w:tc>
      </w:tr>
      <w:tr w14:paraId="5122F91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FB62E4F">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3C433A4">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7423783">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05514DD">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1B79AD2">
            <w:pPr>
              <w:widowControl/>
              <w:adjustRightInd w:val="0"/>
              <w:spacing w:line="460" w:lineRule="exact"/>
              <w:jc w:val="center"/>
              <w:rPr>
                <w:rFonts w:ascii="宋体" w:hAnsi="宋体" w:cs="宋体"/>
                <w:color w:val="auto"/>
                <w:kern w:val="0"/>
                <w:highlight w:val="none"/>
                <w:lang w:val="zh-CN"/>
              </w:rPr>
            </w:pPr>
          </w:p>
        </w:tc>
      </w:tr>
      <w:tr w14:paraId="518EB59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8EC72CA">
            <w:pPr>
              <w:widowControl/>
              <w:adjustRightInd w:val="0"/>
              <w:spacing w:line="460" w:lineRule="exact"/>
              <w:jc w:val="center"/>
              <w:rPr>
                <w:rFonts w:ascii="宋体" w:hAnsi="宋体" w:cs="宋体"/>
                <w:color w:val="auto"/>
                <w:kern w:val="0"/>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B20FED8">
            <w:pPr>
              <w:widowControl/>
              <w:adjustRightInd w:val="0"/>
              <w:spacing w:line="460" w:lineRule="exact"/>
              <w:jc w:val="center"/>
              <w:rPr>
                <w:rFonts w:ascii="宋体" w:hAnsi="宋体" w:cs="宋体"/>
                <w:color w:val="auto"/>
                <w:kern w:val="0"/>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E43BFCB">
            <w:pPr>
              <w:widowControl/>
              <w:adjustRightInd w:val="0"/>
              <w:spacing w:line="460" w:lineRule="exact"/>
              <w:jc w:val="center"/>
              <w:rPr>
                <w:rFonts w:ascii="宋体" w:hAnsi="宋体" w:cs="宋体"/>
                <w:color w:val="auto"/>
                <w:kern w:val="0"/>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8EEE71B">
            <w:pPr>
              <w:widowControl/>
              <w:adjustRightInd w:val="0"/>
              <w:spacing w:line="460" w:lineRule="exact"/>
              <w:jc w:val="center"/>
              <w:rPr>
                <w:rFonts w:ascii="宋体" w:hAnsi="宋体" w:cs="宋体"/>
                <w:color w:val="auto"/>
                <w:kern w:val="0"/>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FCD9CF0">
            <w:pPr>
              <w:widowControl/>
              <w:adjustRightInd w:val="0"/>
              <w:spacing w:line="460" w:lineRule="exact"/>
              <w:jc w:val="center"/>
              <w:rPr>
                <w:rFonts w:ascii="宋体" w:hAnsi="宋体" w:cs="宋体"/>
                <w:color w:val="auto"/>
                <w:kern w:val="0"/>
                <w:highlight w:val="none"/>
                <w:lang w:val="zh-CN"/>
              </w:rPr>
            </w:pPr>
          </w:p>
        </w:tc>
      </w:tr>
    </w:tbl>
    <w:p w14:paraId="400962DB">
      <w:pPr>
        <w:widowControl/>
        <w:adjustRightInd w:val="0"/>
        <w:spacing w:line="460" w:lineRule="exact"/>
        <w:jc w:val="left"/>
        <w:rPr>
          <w:rFonts w:ascii="宋体" w:hAnsi="宋体" w:cs="宋体"/>
          <w:color w:val="auto"/>
          <w:kern w:val="0"/>
          <w:highlight w:val="none"/>
          <w:lang w:val="zh-CN"/>
        </w:rPr>
      </w:pPr>
      <w:r>
        <w:rPr>
          <w:rFonts w:hint="eastAsia" w:ascii="宋体" w:hAnsi="宋体" w:cs="宋体"/>
          <w:color w:val="auto"/>
          <w:kern w:val="0"/>
          <w:highlight w:val="none"/>
          <w:lang w:val="zh-CN"/>
        </w:rPr>
        <w:t>供应商名称：（盖章）</w:t>
      </w:r>
    </w:p>
    <w:p w14:paraId="5BC6787E">
      <w:pPr>
        <w:rPr>
          <w:rFonts w:ascii="宋体" w:hAnsi="宋体" w:cs="宋体"/>
          <w:b/>
          <w:color w:val="auto"/>
          <w:kern w:val="0"/>
          <w:sz w:val="24"/>
          <w:szCs w:val="24"/>
          <w:highlight w:val="none"/>
          <w:lang w:val="zh-CN"/>
        </w:rPr>
      </w:pPr>
    </w:p>
    <w:p w14:paraId="492AABB9">
      <w:pPr>
        <w:pStyle w:val="24"/>
        <w:rPr>
          <w:color w:val="auto"/>
          <w:highlight w:val="none"/>
          <w:lang w:val="zh-CN"/>
        </w:rPr>
      </w:pPr>
    </w:p>
    <w:p w14:paraId="261DF5C7">
      <w:pPr>
        <w:widowControl/>
        <w:adjustRightInd w:val="0"/>
        <w:spacing w:line="460" w:lineRule="exact"/>
        <w:jc w:val="left"/>
        <w:rPr>
          <w:rFonts w:ascii="宋体" w:hAnsi="宋体" w:cs="宋体"/>
          <w:b/>
          <w:color w:val="auto"/>
          <w:kern w:val="0"/>
          <w:sz w:val="24"/>
          <w:szCs w:val="24"/>
          <w:highlight w:val="none"/>
          <w:lang w:val="zh-CN"/>
        </w:rPr>
      </w:pPr>
      <w:r>
        <w:rPr>
          <w:rFonts w:hint="eastAsia" w:ascii="宋体" w:hAnsi="宋体" w:cs="宋体"/>
          <w:b/>
          <w:color w:val="auto"/>
          <w:sz w:val="24"/>
          <w:highlight w:val="none"/>
          <w:lang w:val="zh-CN" w:bidi="zh-CN"/>
        </w:rPr>
        <w:t>★</w:t>
      </w:r>
      <w:r>
        <w:rPr>
          <w:rFonts w:hint="eastAsia" w:ascii="宋体" w:hAnsi="宋体" w:cs="宋体"/>
          <w:b/>
          <w:color w:val="auto"/>
          <w:kern w:val="0"/>
          <w:sz w:val="24"/>
          <w:szCs w:val="24"/>
          <w:highlight w:val="none"/>
        </w:rPr>
        <w:t>目录六、</w:t>
      </w:r>
      <w:r>
        <w:rPr>
          <w:rFonts w:hint="eastAsia" w:ascii="宋体" w:hAnsi="宋体" w:cs="宋体"/>
          <w:b/>
          <w:bCs/>
          <w:color w:val="auto"/>
          <w:sz w:val="24"/>
          <w:szCs w:val="24"/>
          <w:highlight w:val="none"/>
          <w:lang w:val="zh-CN"/>
        </w:rPr>
        <w:t>商务条款偏离表格式</w:t>
      </w:r>
    </w:p>
    <w:p w14:paraId="4D87DC49">
      <w:pPr>
        <w:jc w:val="center"/>
        <w:rPr>
          <w:color w:val="auto"/>
          <w:sz w:val="24"/>
          <w:szCs w:val="24"/>
          <w:highlight w:val="none"/>
          <w:lang w:val="zh-CN"/>
        </w:rPr>
      </w:pPr>
      <w:r>
        <w:rPr>
          <w:rFonts w:hint="eastAsia"/>
          <w:color w:val="auto"/>
          <w:sz w:val="24"/>
          <w:szCs w:val="24"/>
          <w:highlight w:val="none"/>
          <w:lang w:val="zh-CN"/>
        </w:rPr>
        <w:t>商务条款偏离表</w:t>
      </w:r>
    </w:p>
    <w:tbl>
      <w:tblPr>
        <w:tblStyle w:val="43"/>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9"/>
        <w:gridCol w:w="1689"/>
        <w:gridCol w:w="2700"/>
        <w:gridCol w:w="1415"/>
        <w:gridCol w:w="1810"/>
        <w:gridCol w:w="1072"/>
      </w:tblGrid>
      <w:tr w14:paraId="3E4C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543" w:type="dxa"/>
            <w:gridSpan w:val="4"/>
            <w:tcBorders>
              <w:top w:val="nil"/>
              <w:left w:val="nil"/>
              <w:right w:val="nil"/>
            </w:tcBorders>
            <w:vAlign w:val="center"/>
          </w:tcPr>
          <w:p w14:paraId="79763610">
            <w:pPr>
              <w:widowControl/>
              <w:adjustRightInd w:val="0"/>
              <w:spacing w:line="460" w:lineRule="exact"/>
              <w:jc w:val="left"/>
              <w:rPr>
                <w:rFonts w:ascii="宋体" w:hAnsi="宋体" w:cs="宋体"/>
                <w:color w:val="auto"/>
                <w:kern w:val="0"/>
                <w:highlight w:val="none"/>
                <w:lang w:val="zh-CN"/>
              </w:rPr>
            </w:pPr>
            <w:r>
              <w:rPr>
                <w:rFonts w:hint="eastAsia" w:ascii="宋体" w:hAnsi="宋体" w:cs="宋体"/>
                <w:color w:val="auto"/>
                <w:kern w:val="0"/>
                <w:highlight w:val="none"/>
                <w:lang w:val="zh-CN"/>
              </w:rPr>
              <w:t>项目名称：</w:t>
            </w:r>
          </w:p>
        </w:tc>
        <w:tc>
          <w:tcPr>
            <w:tcW w:w="2882" w:type="dxa"/>
            <w:gridSpan w:val="2"/>
            <w:tcBorders>
              <w:top w:val="nil"/>
              <w:left w:val="nil"/>
              <w:right w:val="nil"/>
            </w:tcBorders>
            <w:vAlign w:val="center"/>
          </w:tcPr>
          <w:p w14:paraId="35C4A4CD">
            <w:pPr>
              <w:widowControl/>
              <w:adjustRightInd w:val="0"/>
              <w:spacing w:line="460" w:lineRule="exact"/>
              <w:jc w:val="left"/>
              <w:rPr>
                <w:rFonts w:ascii="宋体" w:hAnsi="宋体" w:cs="宋体"/>
                <w:color w:val="auto"/>
                <w:kern w:val="0"/>
                <w:highlight w:val="none"/>
              </w:rPr>
            </w:pPr>
            <w:r>
              <w:rPr>
                <w:rFonts w:hint="eastAsia" w:ascii="宋体" w:hAnsi="宋体" w:cs="宋体"/>
                <w:color w:val="auto"/>
                <w:kern w:val="0"/>
                <w:highlight w:val="none"/>
              </w:rPr>
              <w:t>项目编号：</w:t>
            </w:r>
          </w:p>
        </w:tc>
      </w:tr>
      <w:tr w14:paraId="16478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6AB2EA55">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序号</w:t>
            </w:r>
          </w:p>
        </w:tc>
        <w:tc>
          <w:tcPr>
            <w:tcW w:w="1689" w:type="dxa"/>
            <w:vAlign w:val="center"/>
          </w:tcPr>
          <w:p w14:paraId="1E84D918">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磋商文件条目号</w:t>
            </w:r>
          </w:p>
        </w:tc>
        <w:tc>
          <w:tcPr>
            <w:tcW w:w="2700" w:type="dxa"/>
            <w:vAlign w:val="center"/>
          </w:tcPr>
          <w:p w14:paraId="4380D3CE">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磋商文件要求的商务条款</w:t>
            </w:r>
          </w:p>
        </w:tc>
        <w:tc>
          <w:tcPr>
            <w:tcW w:w="3225" w:type="dxa"/>
            <w:gridSpan w:val="2"/>
            <w:vAlign w:val="center"/>
          </w:tcPr>
          <w:p w14:paraId="0E210BC1">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投标响应</w:t>
            </w:r>
          </w:p>
        </w:tc>
        <w:tc>
          <w:tcPr>
            <w:tcW w:w="1072" w:type="dxa"/>
            <w:vAlign w:val="center"/>
          </w:tcPr>
          <w:p w14:paraId="1CD12C96">
            <w:pPr>
              <w:widowControl/>
              <w:adjustRightInd w:val="0"/>
              <w:spacing w:line="460" w:lineRule="exact"/>
              <w:jc w:val="center"/>
              <w:rPr>
                <w:rFonts w:ascii="宋体" w:hAnsi="宋体" w:cs="宋体"/>
                <w:color w:val="auto"/>
                <w:kern w:val="0"/>
                <w:highlight w:val="none"/>
                <w:lang w:val="zh-CN"/>
              </w:rPr>
            </w:pPr>
            <w:r>
              <w:rPr>
                <w:rFonts w:hint="eastAsia" w:ascii="宋体" w:hAnsi="宋体" w:cs="宋体"/>
                <w:color w:val="auto"/>
                <w:kern w:val="0"/>
                <w:highlight w:val="none"/>
                <w:lang w:val="zh-CN"/>
              </w:rPr>
              <w:t>偏离</w:t>
            </w:r>
          </w:p>
        </w:tc>
      </w:tr>
      <w:tr w14:paraId="2DE6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09A3F325">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125EB7B8">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0F2EE017">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7B9C4712">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0F3C3D41">
            <w:pPr>
              <w:widowControl/>
              <w:adjustRightInd w:val="0"/>
              <w:spacing w:line="460" w:lineRule="exact"/>
              <w:jc w:val="center"/>
              <w:rPr>
                <w:rFonts w:ascii="宋体" w:hAnsi="宋体" w:cs="宋体"/>
                <w:color w:val="auto"/>
                <w:kern w:val="0"/>
                <w:highlight w:val="none"/>
                <w:lang w:val="zh-CN"/>
              </w:rPr>
            </w:pPr>
          </w:p>
        </w:tc>
      </w:tr>
      <w:tr w14:paraId="4785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2FE94ABE">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720CBB78">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027CEB4A">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7675C648">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17F1A543">
            <w:pPr>
              <w:widowControl/>
              <w:adjustRightInd w:val="0"/>
              <w:spacing w:line="460" w:lineRule="exact"/>
              <w:jc w:val="center"/>
              <w:rPr>
                <w:rFonts w:ascii="宋体" w:hAnsi="宋体" w:cs="宋体"/>
                <w:color w:val="auto"/>
                <w:kern w:val="0"/>
                <w:highlight w:val="none"/>
                <w:lang w:val="zh-CN"/>
              </w:rPr>
            </w:pPr>
          </w:p>
        </w:tc>
      </w:tr>
      <w:tr w14:paraId="42A5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0653D86C">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6DC02090">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2A6EAF66">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1B622247">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730D75FB">
            <w:pPr>
              <w:widowControl/>
              <w:adjustRightInd w:val="0"/>
              <w:spacing w:line="460" w:lineRule="exact"/>
              <w:jc w:val="center"/>
              <w:rPr>
                <w:rFonts w:ascii="宋体" w:hAnsi="宋体" w:cs="宋体"/>
                <w:color w:val="auto"/>
                <w:kern w:val="0"/>
                <w:highlight w:val="none"/>
                <w:lang w:val="zh-CN"/>
              </w:rPr>
            </w:pPr>
          </w:p>
        </w:tc>
      </w:tr>
      <w:tr w14:paraId="1BBD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545AFBE9">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2FEBE5D7">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7CF7DA82">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28505A5B">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1124A7A9">
            <w:pPr>
              <w:widowControl/>
              <w:adjustRightInd w:val="0"/>
              <w:spacing w:line="460" w:lineRule="exact"/>
              <w:jc w:val="center"/>
              <w:rPr>
                <w:rFonts w:ascii="宋体" w:hAnsi="宋体" w:cs="宋体"/>
                <w:color w:val="auto"/>
                <w:kern w:val="0"/>
                <w:highlight w:val="none"/>
                <w:lang w:val="zh-CN"/>
              </w:rPr>
            </w:pPr>
          </w:p>
        </w:tc>
      </w:tr>
      <w:tr w14:paraId="0353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76443274">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644BA9AC">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5E91A5ED">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36788BD6">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76969789">
            <w:pPr>
              <w:widowControl/>
              <w:adjustRightInd w:val="0"/>
              <w:spacing w:line="460" w:lineRule="exact"/>
              <w:jc w:val="center"/>
              <w:rPr>
                <w:rFonts w:ascii="宋体" w:hAnsi="宋体" w:cs="宋体"/>
                <w:color w:val="auto"/>
                <w:kern w:val="0"/>
                <w:highlight w:val="none"/>
                <w:lang w:val="zh-CN"/>
              </w:rPr>
            </w:pPr>
          </w:p>
        </w:tc>
      </w:tr>
      <w:tr w14:paraId="6B3A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0C9EA098">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5D4F5DED">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677B4E35">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70A43C1D">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223C1F86">
            <w:pPr>
              <w:widowControl/>
              <w:adjustRightInd w:val="0"/>
              <w:spacing w:line="460" w:lineRule="exact"/>
              <w:jc w:val="center"/>
              <w:rPr>
                <w:rFonts w:ascii="宋体" w:hAnsi="宋体" w:cs="宋体"/>
                <w:color w:val="auto"/>
                <w:kern w:val="0"/>
                <w:highlight w:val="none"/>
                <w:lang w:val="zh-CN"/>
              </w:rPr>
            </w:pPr>
          </w:p>
        </w:tc>
      </w:tr>
      <w:tr w14:paraId="7440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1A4D69A3">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2A7AFF9C">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3A4F709F">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79A92E7D">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03422E61">
            <w:pPr>
              <w:widowControl/>
              <w:adjustRightInd w:val="0"/>
              <w:spacing w:line="460" w:lineRule="exact"/>
              <w:jc w:val="center"/>
              <w:rPr>
                <w:rFonts w:ascii="宋体" w:hAnsi="宋体" w:cs="宋体"/>
                <w:color w:val="auto"/>
                <w:kern w:val="0"/>
                <w:highlight w:val="none"/>
                <w:lang w:val="zh-CN"/>
              </w:rPr>
            </w:pPr>
          </w:p>
        </w:tc>
      </w:tr>
      <w:tr w14:paraId="7259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39" w:type="dxa"/>
            <w:vAlign w:val="center"/>
          </w:tcPr>
          <w:p w14:paraId="499BF3D9">
            <w:pPr>
              <w:widowControl/>
              <w:adjustRightInd w:val="0"/>
              <w:spacing w:line="460" w:lineRule="exact"/>
              <w:jc w:val="center"/>
              <w:rPr>
                <w:rFonts w:ascii="宋体" w:hAnsi="宋体" w:cs="宋体"/>
                <w:color w:val="auto"/>
                <w:kern w:val="0"/>
                <w:highlight w:val="none"/>
                <w:lang w:val="zh-CN"/>
              </w:rPr>
            </w:pPr>
          </w:p>
        </w:tc>
        <w:tc>
          <w:tcPr>
            <w:tcW w:w="1689" w:type="dxa"/>
            <w:vAlign w:val="center"/>
          </w:tcPr>
          <w:p w14:paraId="59E5E843">
            <w:pPr>
              <w:widowControl/>
              <w:adjustRightInd w:val="0"/>
              <w:spacing w:line="460" w:lineRule="exact"/>
              <w:jc w:val="center"/>
              <w:rPr>
                <w:rFonts w:ascii="宋体" w:hAnsi="宋体" w:cs="宋体"/>
                <w:color w:val="auto"/>
                <w:kern w:val="0"/>
                <w:highlight w:val="none"/>
                <w:lang w:val="zh-CN"/>
              </w:rPr>
            </w:pPr>
          </w:p>
        </w:tc>
        <w:tc>
          <w:tcPr>
            <w:tcW w:w="2700" w:type="dxa"/>
            <w:vAlign w:val="center"/>
          </w:tcPr>
          <w:p w14:paraId="7836C569">
            <w:pPr>
              <w:widowControl/>
              <w:adjustRightInd w:val="0"/>
              <w:spacing w:line="460" w:lineRule="exact"/>
              <w:jc w:val="center"/>
              <w:rPr>
                <w:rFonts w:ascii="宋体" w:hAnsi="宋体" w:cs="宋体"/>
                <w:color w:val="auto"/>
                <w:kern w:val="0"/>
                <w:highlight w:val="none"/>
                <w:lang w:val="zh-CN"/>
              </w:rPr>
            </w:pPr>
          </w:p>
        </w:tc>
        <w:tc>
          <w:tcPr>
            <w:tcW w:w="3225" w:type="dxa"/>
            <w:gridSpan w:val="2"/>
            <w:vAlign w:val="center"/>
          </w:tcPr>
          <w:p w14:paraId="7F3E37EB">
            <w:pPr>
              <w:widowControl/>
              <w:adjustRightInd w:val="0"/>
              <w:spacing w:line="460" w:lineRule="exact"/>
              <w:jc w:val="center"/>
              <w:rPr>
                <w:rFonts w:ascii="宋体" w:hAnsi="宋体" w:cs="宋体"/>
                <w:color w:val="auto"/>
                <w:kern w:val="0"/>
                <w:highlight w:val="none"/>
                <w:lang w:val="zh-CN"/>
              </w:rPr>
            </w:pPr>
          </w:p>
        </w:tc>
        <w:tc>
          <w:tcPr>
            <w:tcW w:w="1072" w:type="dxa"/>
            <w:vAlign w:val="center"/>
          </w:tcPr>
          <w:p w14:paraId="63D5EE8D">
            <w:pPr>
              <w:widowControl/>
              <w:adjustRightInd w:val="0"/>
              <w:spacing w:line="460" w:lineRule="exact"/>
              <w:jc w:val="center"/>
              <w:rPr>
                <w:rFonts w:ascii="宋体" w:hAnsi="宋体" w:cs="宋体"/>
                <w:color w:val="auto"/>
                <w:kern w:val="0"/>
                <w:highlight w:val="none"/>
                <w:lang w:val="zh-CN"/>
              </w:rPr>
            </w:pPr>
          </w:p>
        </w:tc>
      </w:tr>
    </w:tbl>
    <w:p w14:paraId="1BD82E15">
      <w:pPr>
        <w:widowControl/>
        <w:adjustRightInd w:val="0"/>
        <w:spacing w:line="460" w:lineRule="exact"/>
        <w:jc w:val="left"/>
        <w:rPr>
          <w:rFonts w:ascii="宋体" w:hAnsi="宋体" w:cs="宋体"/>
          <w:color w:val="auto"/>
          <w:kern w:val="0"/>
          <w:highlight w:val="none"/>
          <w:lang w:val="zh-CN"/>
        </w:rPr>
      </w:pPr>
      <w:r>
        <w:rPr>
          <w:rFonts w:hint="eastAsia" w:ascii="宋体" w:hAnsi="宋体" w:cs="宋体"/>
          <w:color w:val="auto"/>
          <w:kern w:val="0"/>
          <w:highlight w:val="none"/>
          <w:lang w:val="zh-CN"/>
        </w:rPr>
        <w:t>供应商名称：（盖章）</w:t>
      </w:r>
    </w:p>
    <w:p w14:paraId="217FF376">
      <w:pPr>
        <w:widowControl/>
        <w:adjustRightInd w:val="0"/>
        <w:spacing w:line="460" w:lineRule="exact"/>
        <w:jc w:val="left"/>
        <w:rPr>
          <w:rFonts w:ascii="宋体" w:hAnsi="宋体" w:cs="宋体"/>
          <w:b/>
          <w:bCs/>
          <w:color w:val="auto"/>
          <w:sz w:val="24"/>
          <w:szCs w:val="24"/>
          <w:highlight w:val="none"/>
        </w:rPr>
      </w:pPr>
    </w:p>
    <w:p w14:paraId="1849A61A">
      <w:pPr>
        <w:widowControl/>
        <w:adjustRightInd w:val="0"/>
        <w:spacing w:line="460" w:lineRule="exact"/>
        <w:jc w:val="left"/>
        <w:rPr>
          <w:rFonts w:ascii="宋体" w:hAnsi="宋体" w:cs="宋体"/>
          <w:b/>
          <w:bCs/>
          <w:color w:val="auto"/>
          <w:sz w:val="24"/>
          <w:szCs w:val="24"/>
          <w:highlight w:val="none"/>
        </w:rPr>
      </w:pPr>
    </w:p>
    <w:p w14:paraId="2C426291">
      <w:pPr>
        <w:rPr>
          <w:b/>
          <w:bCs/>
          <w:color w:val="auto"/>
          <w:sz w:val="24"/>
          <w:szCs w:val="24"/>
          <w:highlight w:val="none"/>
        </w:rPr>
      </w:pPr>
      <w:r>
        <w:rPr>
          <w:rFonts w:hint="eastAsia"/>
          <w:b/>
          <w:bCs/>
          <w:color w:val="auto"/>
          <w:sz w:val="24"/>
          <w:szCs w:val="24"/>
          <w:highlight w:val="none"/>
        </w:rPr>
        <w:t>目录七、服务方案</w:t>
      </w:r>
    </w:p>
    <w:p w14:paraId="3CF369B7">
      <w:pPr>
        <w:jc w:val="center"/>
        <w:rPr>
          <w:b/>
          <w:bCs/>
          <w:color w:val="auto"/>
          <w:sz w:val="24"/>
          <w:szCs w:val="24"/>
          <w:highlight w:val="none"/>
        </w:rPr>
      </w:pPr>
      <w:r>
        <w:rPr>
          <w:rFonts w:hint="eastAsia"/>
          <w:b/>
          <w:bCs/>
          <w:color w:val="auto"/>
          <w:sz w:val="24"/>
          <w:szCs w:val="24"/>
          <w:highlight w:val="none"/>
        </w:rPr>
        <w:t>服务方案</w:t>
      </w:r>
    </w:p>
    <w:p w14:paraId="78E79A29">
      <w:pPr>
        <w:rPr>
          <w:color w:val="auto"/>
          <w:highlight w:val="none"/>
        </w:rPr>
      </w:pPr>
    </w:p>
    <w:p w14:paraId="624A0F64">
      <w:pPr>
        <w:rPr>
          <w:color w:val="auto"/>
          <w:highlight w:val="none"/>
        </w:rPr>
      </w:pPr>
      <w:r>
        <w:rPr>
          <w:rFonts w:hint="eastAsia"/>
          <w:b/>
          <w:bCs/>
          <w:color w:val="auto"/>
          <w:sz w:val="24"/>
          <w:szCs w:val="24"/>
          <w:highlight w:val="none"/>
        </w:rPr>
        <w:t>目录八、服务与承诺（格式自拟）</w:t>
      </w:r>
    </w:p>
    <w:p w14:paraId="02913EC7">
      <w:pPr>
        <w:jc w:val="center"/>
        <w:rPr>
          <w:b/>
          <w:bCs/>
          <w:color w:val="auto"/>
          <w:sz w:val="24"/>
          <w:szCs w:val="24"/>
          <w:highlight w:val="none"/>
        </w:rPr>
      </w:pPr>
      <w:r>
        <w:rPr>
          <w:rFonts w:hint="eastAsia"/>
          <w:b/>
          <w:bCs/>
          <w:color w:val="auto"/>
          <w:sz w:val="24"/>
          <w:szCs w:val="24"/>
          <w:highlight w:val="none"/>
        </w:rPr>
        <w:t>服务与承诺</w:t>
      </w:r>
    </w:p>
    <w:p w14:paraId="06B24B0D">
      <w:pPr>
        <w:rPr>
          <w:color w:val="auto"/>
          <w:highlight w:val="none"/>
        </w:rPr>
      </w:pPr>
    </w:p>
    <w:p w14:paraId="6714617D">
      <w:pPr>
        <w:rPr>
          <w:b/>
          <w:bCs/>
          <w:color w:val="auto"/>
          <w:sz w:val="24"/>
          <w:szCs w:val="24"/>
          <w:highlight w:val="none"/>
        </w:rPr>
      </w:pPr>
      <w:r>
        <w:rPr>
          <w:rFonts w:hint="eastAsia"/>
          <w:b/>
          <w:bCs/>
          <w:color w:val="auto"/>
          <w:sz w:val="24"/>
          <w:szCs w:val="24"/>
          <w:highlight w:val="none"/>
        </w:rPr>
        <w:t>目录九、投标需要的其他证明文件及材料（企业资信、业绩等）</w:t>
      </w:r>
    </w:p>
    <w:p w14:paraId="1B33C0D9">
      <w:pPr>
        <w:rPr>
          <w:b/>
          <w:bCs/>
          <w:color w:val="auto"/>
          <w:sz w:val="24"/>
          <w:szCs w:val="24"/>
          <w:highlight w:val="none"/>
        </w:rPr>
      </w:pPr>
      <w:r>
        <w:rPr>
          <w:rFonts w:hint="eastAsia"/>
          <w:b/>
          <w:bCs/>
          <w:color w:val="auto"/>
          <w:sz w:val="24"/>
          <w:szCs w:val="24"/>
          <w:highlight w:val="none"/>
        </w:rPr>
        <w:t>目录十、其他资料（格式自拟）</w:t>
      </w:r>
    </w:p>
    <w:p w14:paraId="7FF42CF1">
      <w:pPr>
        <w:rPr>
          <w:b/>
          <w:bCs/>
          <w:color w:val="auto"/>
          <w:sz w:val="24"/>
          <w:szCs w:val="24"/>
          <w:highlight w:val="none"/>
        </w:rPr>
      </w:pPr>
    </w:p>
    <w:p w14:paraId="4B22988D">
      <w:pPr>
        <w:rPr>
          <w:b/>
          <w:bCs/>
          <w:color w:val="auto"/>
          <w:sz w:val="24"/>
          <w:szCs w:val="24"/>
          <w:highlight w:val="none"/>
        </w:rPr>
        <w:sectPr>
          <w:pgSz w:w="11906" w:h="16838"/>
          <w:pgMar w:top="1440" w:right="1800" w:bottom="1440" w:left="1800" w:header="851" w:footer="992" w:gutter="0"/>
          <w:cols w:space="720" w:num="1"/>
          <w:docGrid w:type="lines" w:linePitch="312" w:charSpace="0"/>
        </w:sectPr>
      </w:pPr>
    </w:p>
    <w:p w14:paraId="00574157">
      <w:pPr>
        <w:spacing w:line="460" w:lineRule="exact"/>
        <w:rPr>
          <w:rFonts w:ascii="宋体" w:hAnsi="宋体" w:cs="宋体"/>
          <w:b/>
          <w:bCs/>
          <w:color w:val="auto"/>
          <w:sz w:val="24"/>
          <w:szCs w:val="24"/>
          <w:highlight w:val="none"/>
          <w:lang w:val="zh-CN"/>
        </w:rPr>
      </w:pPr>
      <w:r>
        <w:rPr>
          <w:rFonts w:hint="eastAsia" w:ascii="宋体" w:hAnsi="宋体" w:cs="宋体"/>
          <w:b/>
          <w:color w:val="auto"/>
          <w:sz w:val="24"/>
          <w:szCs w:val="24"/>
          <w:highlight w:val="none"/>
        </w:rPr>
        <w:t>附件一、</w:t>
      </w:r>
      <w:r>
        <w:rPr>
          <w:rFonts w:hint="eastAsia" w:ascii="宋体" w:hAnsi="宋体" w:cs="宋体"/>
          <w:b/>
          <w:bCs/>
          <w:color w:val="auto"/>
          <w:sz w:val="24"/>
          <w:szCs w:val="24"/>
          <w:highlight w:val="none"/>
          <w:lang w:val="zh-CN"/>
        </w:rPr>
        <w:t>中小企业声明函格式</w:t>
      </w:r>
    </w:p>
    <w:p w14:paraId="60F8CAD9">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中小企业声明函（服务）</w:t>
      </w:r>
    </w:p>
    <w:p w14:paraId="1B19B5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项目（分包号：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5BDDF927">
      <w:pPr>
        <w:spacing w:line="360" w:lineRule="auto"/>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行业（磋商文件中明确的所属行业）；承接企业为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，属于¨中型企业 ¨小型企业 ¨微型企业。</w:t>
      </w:r>
    </w:p>
    <w:p w14:paraId="414BBB84">
      <w:pPr>
        <w:spacing w:line="360" w:lineRule="auto"/>
        <w:ind w:firstLine="48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行业（磋商文件中明确的所属行业）；承接企业为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，属于¨中型企业 ¨小型企业 ¨微型企业。</w:t>
      </w:r>
    </w:p>
    <w:p w14:paraId="0FF608D0">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FF18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18283A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B4D5356">
      <w:pPr>
        <w:spacing w:line="360" w:lineRule="auto"/>
        <w:rPr>
          <w:rFonts w:hint="eastAsia" w:ascii="宋体" w:hAnsi="宋体" w:eastAsia="宋体" w:cs="宋体"/>
          <w:color w:val="auto"/>
          <w:highlight w:val="none"/>
        </w:rPr>
      </w:pPr>
    </w:p>
    <w:p w14:paraId="70822E10">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p>
    <w:p w14:paraId="65843321">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C7615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3248033F">
      <w:pPr>
        <w:spacing w:line="360" w:lineRule="auto"/>
        <w:jc w:val="both"/>
        <w:rPr>
          <w:rFonts w:hint="eastAsia" w:ascii="宋体" w:hAnsi="宋体" w:cs="宋体"/>
          <w:b/>
          <w:color w:val="auto"/>
          <w:sz w:val="24"/>
          <w:szCs w:val="24"/>
          <w:highlight w:val="none"/>
        </w:rPr>
      </w:pPr>
    </w:p>
    <w:p w14:paraId="617A6882">
      <w:pPr>
        <w:spacing w:line="360" w:lineRule="auto"/>
        <w:jc w:val="both"/>
        <w:rPr>
          <w:rFonts w:hint="eastAsia" w:ascii="宋体" w:hAnsi="宋体" w:cs="宋体"/>
          <w:b/>
          <w:bCs/>
          <w:color w:val="auto"/>
          <w:sz w:val="24"/>
          <w:szCs w:val="24"/>
          <w:highlight w:val="none"/>
          <w:lang w:val="zh-CN"/>
        </w:rPr>
      </w:pPr>
      <w:r>
        <w:rPr>
          <w:rFonts w:hint="eastAsia" w:ascii="宋体" w:hAnsi="宋体" w:cs="宋体"/>
          <w:b/>
          <w:color w:val="auto"/>
          <w:sz w:val="24"/>
          <w:szCs w:val="24"/>
          <w:highlight w:val="none"/>
        </w:rPr>
        <w:t>附件二、</w:t>
      </w:r>
      <w:r>
        <w:rPr>
          <w:rFonts w:hint="eastAsia" w:ascii="宋体" w:hAnsi="宋体" w:cs="宋体"/>
          <w:b/>
          <w:bCs/>
          <w:color w:val="auto"/>
          <w:sz w:val="24"/>
          <w:szCs w:val="24"/>
          <w:highlight w:val="none"/>
          <w:lang w:val="zh-CN"/>
        </w:rPr>
        <w:t>残疾人福利性</w:t>
      </w:r>
    </w:p>
    <w:p w14:paraId="22F12A0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398B0FC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项目（分包号：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服务全部由本单位提供</w:t>
      </w:r>
      <w:r>
        <w:rPr>
          <w:rFonts w:hint="eastAsia" w:ascii="宋体" w:hAnsi="宋体" w:eastAsia="宋体" w:cs="宋体"/>
          <w:color w:val="auto"/>
          <w:sz w:val="24"/>
          <w:szCs w:val="21"/>
          <w:highlight w:val="none"/>
        </w:rPr>
        <w:t>。</w:t>
      </w:r>
    </w:p>
    <w:p w14:paraId="6ABD56E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73DF0905">
      <w:pPr>
        <w:pStyle w:val="181"/>
        <w:spacing w:line="360" w:lineRule="auto"/>
        <w:rPr>
          <w:rFonts w:hint="eastAsia" w:ascii="宋体" w:hAnsi="宋体" w:eastAsia="宋体" w:cs="宋体"/>
          <w:color w:val="auto"/>
          <w:sz w:val="24"/>
          <w:szCs w:val="24"/>
          <w:highlight w:val="none"/>
        </w:rPr>
      </w:pPr>
    </w:p>
    <w:p w14:paraId="1467DE68">
      <w:pPr>
        <w:spacing w:line="360" w:lineRule="auto"/>
        <w:rPr>
          <w:rFonts w:hint="eastAsia" w:ascii="宋体" w:hAnsi="宋体" w:eastAsia="宋体" w:cs="宋体"/>
          <w:color w:val="auto"/>
          <w:highlight w:val="none"/>
        </w:rPr>
      </w:pPr>
    </w:p>
    <w:p w14:paraId="5127D854">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p>
    <w:p w14:paraId="08FBCDBA">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4163CFE">
      <w:pPr>
        <w:spacing w:line="360" w:lineRule="auto"/>
        <w:ind w:firstLine="480"/>
        <w:rPr>
          <w:rFonts w:hint="eastAsia" w:ascii="宋体" w:hAnsi="宋体" w:eastAsia="宋体" w:cs="宋体"/>
          <w:color w:val="auto"/>
          <w:sz w:val="24"/>
          <w:highlight w:val="none"/>
        </w:rPr>
      </w:pPr>
    </w:p>
    <w:p w14:paraId="73AD9A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001167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1.供应商如不提供此声明函，价格将不做相应扣除。</w:t>
      </w:r>
    </w:p>
    <w:p w14:paraId="33FCF4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2.成交供应商为残疾人福利性单位的，此声明函将随成交结果同时公告，接受社会监督。</w:t>
      </w:r>
    </w:p>
    <w:p w14:paraId="02F0DF14">
      <w:pPr>
        <w:spacing w:line="360" w:lineRule="auto"/>
        <w:rPr>
          <w:rFonts w:ascii="宋体" w:hAnsi="宋体" w:cs="宋体"/>
          <w:color w:val="auto"/>
          <w:highlight w:val="none"/>
        </w:rPr>
      </w:pPr>
    </w:p>
    <w:p w14:paraId="042149A9">
      <w:pPr>
        <w:widowControl/>
        <w:adjustRightInd w:val="0"/>
        <w:spacing w:line="460" w:lineRule="exact"/>
        <w:rPr>
          <w:rFonts w:ascii="宋体" w:hAnsi="宋体" w:cs="宋体"/>
          <w:b/>
          <w:color w:val="auto"/>
          <w:highlight w:val="none"/>
        </w:rPr>
      </w:pPr>
    </w:p>
    <w:p w14:paraId="3C2152A3">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附件三、监狱和戒毒企业证明材料（如有）</w:t>
      </w:r>
    </w:p>
    <w:p w14:paraId="167823FE">
      <w:pPr>
        <w:jc w:val="center"/>
        <w:rPr>
          <w:b/>
          <w:bCs/>
          <w:color w:val="auto"/>
          <w:sz w:val="24"/>
          <w:szCs w:val="24"/>
          <w:highlight w:val="none"/>
          <w:lang w:val="zh-CN"/>
        </w:rPr>
      </w:pPr>
      <w:r>
        <w:rPr>
          <w:rFonts w:hint="eastAsia"/>
          <w:b/>
          <w:bCs/>
          <w:color w:val="auto"/>
          <w:sz w:val="24"/>
          <w:szCs w:val="24"/>
          <w:highlight w:val="none"/>
          <w:lang w:val="zh-CN"/>
        </w:rPr>
        <w:t>提供证明材料</w:t>
      </w:r>
    </w:p>
    <w:p w14:paraId="7857691E">
      <w:pPr>
        <w:pStyle w:val="5"/>
        <w:rPr>
          <w:color w:val="auto"/>
          <w:highlight w:val="none"/>
          <w:lang w:val="zh-CN"/>
        </w:rPr>
      </w:pPr>
    </w:p>
    <w:p w14:paraId="16755A02">
      <w:pPr>
        <w:spacing w:line="460" w:lineRule="exact"/>
        <w:jc w:val="center"/>
        <w:rPr>
          <w:rFonts w:ascii="宋体" w:hAnsi="宋体" w:cs="宋体"/>
          <w:color w:val="auto"/>
          <w:highlight w:val="none"/>
        </w:rPr>
      </w:pPr>
      <w:r>
        <w:rPr>
          <w:rFonts w:hint="eastAsia" w:ascii="宋体" w:hAnsi="宋体" w:cs="宋体"/>
          <w:b/>
          <w:bCs/>
          <w:color w:val="auto"/>
          <w:sz w:val="24"/>
          <w:szCs w:val="24"/>
          <w:highlight w:val="none"/>
        </w:rPr>
        <w:t>其他证明材料及文件：（如果供应商认为需要提供的话）</w:t>
      </w:r>
    </w:p>
    <w:bookmarkEnd w:id="167"/>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Segoe UI">
    <w:panose1 w:val="020B0502040204020203"/>
    <w:charset w:val="00"/>
    <w:family w:val="auto"/>
    <w:pitch w:val="default"/>
    <w:sig w:usb0="E4002EFF" w:usb1="C000E47F"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E6E3C">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A09170">
                          <w:pPr>
                            <w:pStyle w:val="29"/>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2A09170">
                    <w:pPr>
                      <w:pStyle w:val="29"/>
                    </w:pPr>
                    <w:r>
                      <w:fldChar w:fldCharType="begin"/>
                    </w:r>
                    <w:r>
                      <w:instrText xml:space="preserve"> PAGE  \* MERGEFORMAT </w:instrText>
                    </w:r>
                    <w:r>
                      <w:fldChar w:fldCharType="separate"/>
                    </w:r>
                    <w:r>
                      <w:t>19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A5020">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9CCE7"/>
    <w:multiLevelType w:val="singleLevel"/>
    <w:tmpl w:val="8F09CCE7"/>
    <w:lvl w:ilvl="0" w:tentative="0">
      <w:start w:val="1"/>
      <w:numFmt w:val="decimal"/>
      <w:lvlText w:val="%1."/>
      <w:lvlJc w:val="left"/>
      <w:pPr>
        <w:ind w:left="425" w:hanging="425"/>
      </w:pPr>
      <w:rPr>
        <w:rFonts w:hint="default"/>
      </w:rPr>
    </w:lvl>
  </w:abstractNum>
  <w:abstractNum w:abstractNumId="1">
    <w:nsid w:val="9DA6AF78"/>
    <w:multiLevelType w:val="singleLevel"/>
    <w:tmpl w:val="9DA6AF78"/>
    <w:lvl w:ilvl="0" w:tentative="0">
      <w:start w:val="3"/>
      <w:numFmt w:val="decimal"/>
      <w:lvlText w:val="%1."/>
      <w:lvlJc w:val="left"/>
      <w:pPr>
        <w:tabs>
          <w:tab w:val="left" w:pos="312"/>
        </w:tabs>
      </w:pPr>
    </w:lvl>
  </w:abstractNum>
  <w:abstractNum w:abstractNumId="2">
    <w:nsid w:val="085E6578"/>
    <w:multiLevelType w:val="singleLevel"/>
    <w:tmpl w:val="085E6578"/>
    <w:lvl w:ilvl="0" w:tentative="0">
      <w:start w:val="1"/>
      <w:numFmt w:val="decimal"/>
      <w:lvlText w:val="%1."/>
      <w:lvlJc w:val="left"/>
      <w:pPr>
        <w:ind w:left="425" w:hanging="425"/>
      </w:pPr>
      <w:rPr>
        <w:rFonts w:hint="default"/>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5AA4C303"/>
    <w:multiLevelType w:val="singleLevel"/>
    <w:tmpl w:val="5AA4C303"/>
    <w:lvl w:ilvl="0" w:tentative="0">
      <w:start w:val="2"/>
      <w:numFmt w:val="chineseCounting"/>
      <w:suff w:val="nothing"/>
      <w:lvlText w:val="%1、"/>
      <w:lvlJc w:val="left"/>
      <w:rPr>
        <w:rFonts w:hint="eastAsia"/>
      </w:rPr>
    </w:lvl>
  </w:abstractNum>
  <w:abstractNum w:abstractNumId="5">
    <w:nsid w:val="6058AA71"/>
    <w:multiLevelType w:val="singleLevel"/>
    <w:tmpl w:val="6058AA71"/>
    <w:lvl w:ilvl="0" w:tentative="0">
      <w:start w:val="1"/>
      <w:numFmt w:val="decimal"/>
      <w:lvlText w:val="%1."/>
      <w:lvlJc w:val="left"/>
      <w:pPr>
        <w:ind w:left="425" w:hanging="425"/>
      </w:pPr>
      <w:rPr>
        <w:rFonts w:hint="default"/>
      </w:rPr>
    </w:lvl>
  </w:abstractNum>
  <w:abstractNum w:abstractNumId="6">
    <w:nsid w:val="6058AA93"/>
    <w:multiLevelType w:val="singleLevel"/>
    <w:tmpl w:val="6058AA93"/>
    <w:lvl w:ilvl="0" w:tentative="0">
      <w:start w:val="1"/>
      <w:numFmt w:val="decimal"/>
      <w:lvlText w:val="%1."/>
      <w:lvlJc w:val="left"/>
      <w:pPr>
        <w:ind w:left="425" w:hanging="425"/>
      </w:pPr>
      <w:rPr>
        <w:rFonts w:hint="default"/>
      </w:rPr>
    </w:lvl>
  </w:abstractNum>
  <w:abstractNum w:abstractNumId="7">
    <w:nsid w:val="6058AAB7"/>
    <w:multiLevelType w:val="singleLevel"/>
    <w:tmpl w:val="6058AAB7"/>
    <w:lvl w:ilvl="0" w:tentative="0">
      <w:start w:val="1"/>
      <w:numFmt w:val="decimal"/>
      <w:lvlText w:val="%1."/>
      <w:lvlJc w:val="left"/>
      <w:pPr>
        <w:ind w:left="425" w:hanging="425"/>
      </w:pPr>
      <w:rPr>
        <w:rFonts w:hint="default"/>
      </w:rPr>
    </w:lvl>
  </w:abstractNum>
  <w:abstractNum w:abstractNumId="8">
    <w:nsid w:val="6058AD03"/>
    <w:multiLevelType w:val="singleLevel"/>
    <w:tmpl w:val="6058AD03"/>
    <w:lvl w:ilvl="0" w:tentative="0">
      <w:start w:val="1"/>
      <w:numFmt w:val="decimal"/>
      <w:lvlText w:val="%1."/>
      <w:lvlJc w:val="left"/>
      <w:pPr>
        <w:ind w:left="425" w:hanging="425"/>
      </w:pPr>
      <w:rPr>
        <w:rFonts w:hint="default"/>
      </w:rPr>
    </w:lvl>
  </w:abstractNum>
  <w:abstractNum w:abstractNumId="9">
    <w:nsid w:val="6058AD30"/>
    <w:multiLevelType w:val="singleLevel"/>
    <w:tmpl w:val="6058AD30"/>
    <w:lvl w:ilvl="0" w:tentative="0">
      <w:start w:val="1"/>
      <w:numFmt w:val="decimal"/>
      <w:lvlText w:val="%1."/>
      <w:lvlJc w:val="left"/>
      <w:pPr>
        <w:ind w:left="425" w:hanging="425"/>
      </w:pPr>
      <w:rPr>
        <w:rFonts w:hint="default"/>
      </w:rPr>
    </w:lvl>
  </w:abstractNum>
  <w:abstractNum w:abstractNumId="10">
    <w:nsid w:val="6058AD5E"/>
    <w:multiLevelType w:val="singleLevel"/>
    <w:tmpl w:val="6058AD5E"/>
    <w:lvl w:ilvl="0" w:tentative="0">
      <w:start w:val="1"/>
      <w:numFmt w:val="decimal"/>
      <w:lvlText w:val="%1."/>
      <w:lvlJc w:val="left"/>
      <w:pPr>
        <w:ind w:left="425" w:hanging="425"/>
      </w:pPr>
      <w:rPr>
        <w:rFonts w:hint="default"/>
      </w:rPr>
    </w:lvl>
  </w:abstractNum>
  <w:abstractNum w:abstractNumId="11">
    <w:nsid w:val="6058AEB4"/>
    <w:multiLevelType w:val="singleLevel"/>
    <w:tmpl w:val="6058AEB4"/>
    <w:lvl w:ilvl="0" w:tentative="0">
      <w:start w:val="1"/>
      <w:numFmt w:val="decimal"/>
      <w:lvlText w:val="%1."/>
      <w:lvlJc w:val="left"/>
      <w:pPr>
        <w:ind w:left="425" w:hanging="425"/>
      </w:pPr>
      <w:rPr>
        <w:rFonts w:hint="default"/>
      </w:rPr>
    </w:lvl>
  </w:abstractNum>
  <w:abstractNum w:abstractNumId="12">
    <w:nsid w:val="6657E7BE"/>
    <w:multiLevelType w:val="singleLevel"/>
    <w:tmpl w:val="6657E7BE"/>
    <w:lvl w:ilvl="0" w:tentative="0">
      <w:start w:val="1"/>
      <w:numFmt w:val="decimal"/>
      <w:lvlText w:val="%1."/>
      <w:lvlJc w:val="left"/>
      <w:pPr>
        <w:ind w:left="425" w:hanging="425"/>
      </w:pPr>
      <w:rPr>
        <w:rFonts w:hint="default"/>
      </w:rPr>
    </w:lvl>
  </w:abstractNum>
  <w:abstractNum w:abstractNumId="13">
    <w:nsid w:val="72183CF9"/>
    <w:multiLevelType w:val="multilevel"/>
    <w:tmpl w:val="72183CF9"/>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9"/>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4">
    <w:nsid w:val="73C7AB22"/>
    <w:multiLevelType w:val="singleLevel"/>
    <w:tmpl w:val="73C7AB22"/>
    <w:lvl w:ilvl="0" w:tentative="0">
      <w:start w:val="5"/>
      <w:numFmt w:val="chineseCounting"/>
      <w:suff w:val="space"/>
      <w:lvlText w:val="第%1章"/>
      <w:lvlJc w:val="left"/>
      <w:rPr>
        <w:rFonts w:hint="eastAsia"/>
      </w:rPr>
    </w:lvl>
  </w:abstractNum>
  <w:num w:numId="1">
    <w:abstractNumId w:val="13"/>
  </w:num>
  <w:num w:numId="2">
    <w:abstractNumId w:val="3"/>
  </w:num>
  <w:num w:numId="3">
    <w:abstractNumId w:val="4"/>
  </w:num>
  <w:num w:numId="4">
    <w:abstractNumId w:val="1"/>
  </w:num>
  <w:num w:numId="5">
    <w:abstractNumId w:val="14"/>
  </w:num>
  <w:num w:numId="6">
    <w:abstractNumId w:val="2"/>
  </w:num>
  <w:num w:numId="7">
    <w:abstractNumId w:val="12"/>
  </w:num>
  <w:num w:numId="8">
    <w:abstractNumId w:val="5"/>
  </w:num>
  <w:num w:numId="9">
    <w:abstractNumId w:val="6"/>
  </w:num>
  <w:num w:numId="10">
    <w:abstractNumId w:val="7"/>
  </w:num>
  <w:num w:numId="11">
    <w:abstractNumId w:val="0"/>
  </w:num>
  <w:num w:numId="12">
    <w:abstractNumId w:val="8"/>
  </w:num>
  <w:num w:numId="13">
    <w:abstractNumId w:val="9"/>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3YmJmZThjMTZkODkyMTNmYTYwNjYwOWZhZWQyNjEifQ=="/>
  </w:docVars>
  <w:rsids>
    <w:rsidRoot w:val="00172A27"/>
    <w:rsid w:val="000022A8"/>
    <w:rsid w:val="00010176"/>
    <w:rsid w:val="00016FEF"/>
    <w:rsid w:val="0002295B"/>
    <w:rsid w:val="00022AF5"/>
    <w:rsid w:val="00031BB9"/>
    <w:rsid w:val="0003306C"/>
    <w:rsid w:val="00034FC0"/>
    <w:rsid w:val="0004159E"/>
    <w:rsid w:val="0005202D"/>
    <w:rsid w:val="0005253D"/>
    <w:rsid w:val="0005389A"/>
    <w:rsid w:val="00061261"/>
    <w:rsid w:val="00072AB3"/>
    <w:rsid w:val="000743B0"/>
    <w:rsid w:val="000758F8"/>
    <w:rsid w:val="00080F95"/>
    <w:rsid w:val="000830CD"/>
    <w:rsid w:val="00087441"/>
    <w:rsid w:val="00097751"/>
    <w:rsid w:val="000B0D3C"/>
    <w:rsid w:val="000B2502"/>
    <w:rsid w:val="000B3407"/>
    <w:rsid w:val="000B382E"/>
    <w:rsid w:val="000B6072"/>
    <w:rsid w:val="000B76FD"/>
    <w:rsid w:val="000C2EE4"/>
    <w:rsid w:val="000C42D0"/>
    <w:rsid w:val="000D70D6"/>
    <w:rsid w:val="000E2E90"/>
    <w:rsid w:val="000E33BB"/>
    <w:rsid w:val="000E4C80"/>
    <w:rsid w:val="000E70FF"/>
    <w:rsid w:val="000F1AF0"/>
    <w:rsid w:val="000F76A3"/>
    <w:rsid w:val="001026BE"/>
    <w:rsid w:val="00103C3A"/>
    <w:rsid w:val="0010479B"/>
    <w:rsid w:val="00112DD4"/>
    <w:rsid w:val="00117341"/>
    <w:rsid w:val="00122058"/>
    <w:rsid w:val="00125D97"/>
    <w:rsid w:val="00131265"/>
    <w:rsid w:val="00131E37"/>
    <w:rsid w:val="00133A35"/>
    <w:rsid w:val="00133F84"/>
    <w:rsid w:val="00142712"/>
    <w:rsid w:val="00142DA6"/>
    <w:rsid w:val="001514CF"/>
    <w:rsid w:val="00163A2A"/>
    <w:rsid w:val="00172A27"/>
    <w:rsid w:val="00172D10"/>
    <w:rsid w:val="001739A9"/>
    <w:rsid w:val="001816F0"/>
    <w:rsid w:val="00184437"/>
    <w:rsid w:val="00194C76"/>
    <w:rsid w:val="00196407"/>
    <w:rsid w:val="001A046A"/>
    <w:rsid w:val="001A5989"/>
    <w:rsid w:val="001A7292"/>
    <w:rsid w:val="001A7DBB"/>
    <w:rsid w:val="001B4FAF"/>
    <w:rsid w:val="001B5B69"/>
    <w:rsid w:val="001B75D3"/>
    <w:rsid w:val="001B7678"/>
    <w:rsid w:val="001C2C94"/>
    <w:rsid w:val="001C34A6"/>
    <w:rsid w:val="001D12EA"/>
    <w:rsid w:val="001D2299"/>
    <w:rsid w:val="001D2DFF"/>
    <w:rsid w:val="001D4443"/>
    <w:rsid w:val="001E303B"/>
    <w:rsid w:val="001F0D24"/>
    <w:rsid w:val="001F21C7"/>
    <w:rsid w:val="001F5B87"/>
    <w:rsid w:val="001F70C3"/>
    <w:rsid w:val="00205D77"/>
    <w:rsid w:val="002119DC"/>
    <w:rsid w:val="00212556"/>
    <w:rsid w:val="002145D9"/>
    <w:rsid w:val="00215C04"/>
    <w:rsid w:val="00220028"/>
    <w:rsid w:val="00222C89"/>
    <w:rsid w:val="00223DBA"/>
    <w:rsid w:val="00226D9B"/>
    <w:rsid w:val="00227E8E"/>
    <w:rsid w:val="002303D3"/>
    <w:rsid w:val="00232026"/>
    <w:rsid w:val="00247656"/>
    <w:rsid w:val="00251CDF"/>
    <w:rsid w:val="00253D6E"/>
    <w:rsid w:val="00254C79"/>
    <w:rsid w:val="002575E7"/>
    <w:rsid w:val="00267932"/>
    <w:rsid w:val="0027073F"/>
    <w:rsid w:val="002722E0"/>
    <w:rsid w:val="0028173E"/>
    <w:rsid w:val="00283A7B"/>
    <w:rsid w:val="00287F0F"/>
    <w:rsid w:val="002905F1"/>
    <w:rsid w:val="00291FE1"/>
    <w:rsid w:val="00296ABB"/>
    <w:rsid w:val="00297897"/>
    <w:rsid w:val="002A0EF8"/>
    <w:rsid w:val="002A1770"/>
    <w:rsid w:val="002A4579"/>
    <w:rsid w:val="002B0886"/>
    <w:rsid w:val="002B26FC"/>
    <w:rsid w:val="002B283E"/>
    <w:rsid w:val="002B41E8"/>
    <w:rsid w:val="002B51AC"/>
    <w:rsid w:val="002D4EF9"/>
    <w:rsid w:val="002E206B"/>
    <w:rsid w:val="002E52CB"/>
    <w:rsid w:val="002E7938"/>
    <w:rsid w:val="002F030A"/>
    <w:rsid w:val="002F0A6E"/>
    <w:rsid w:val="002F5443"/>
    <w:rsid w:val="003016DD"/>
    <w:rsid w:val="0031222F"/>
    <w:rsid w:val="003131D2"/>
    <w:rsid w:val="00314213"/>
    <w:rsid w:val="00314BF5"/>
    <w:rsid w:val="003330CE"/>
    <w:rsid w:val="00341AD5"/>
    <w:rsid w:val="00341F7A"/>
    <w:rsid w:val="00352739"/>
    <w:rsid w:val="00352994"/>
    <w:rsid w:val="00352C35"/>
    <w:rsid w:val="00360A4F"/>
    <w:rsid w:val="00360FD7"/>
    <w:rsid w:val="00361359"/>
    <w:rsid w:val="0036175C"/>
    <w:rsid w:val="00362263"/>
    <w:rsid w:val="00363983"/>
    <w:rsid w:val="00367F6B"/>
    <w:rsid w:val="00370717"/>
    <w:rsid w:val="003707D0"/>
    <w:rsid w:val="00372A2B"/>
    <w:rsid w:val="00373A21"/>
    <w:rsid w:val="00376402"/>
    <w:rsid w:val="00381CED"/>
    <w:rsid w:val="00382E0D"/>
    <w:rsid w:val="00382ED2"/>
    <w:rsid w:val="00383DB5"/>
    <w:rsid w:val="0039100F"/>
    <w:rsid w:val="00393F45"/>
    <w:rsid w:val="003940F0"/>
    <w:rsid w:val="00396BD7"/>
    <w:rsid w:val="00396E01"/>
    <w:rsid w:val="003973F6"/>
    <w:rsid w:val="003A1491"/>
    <w:rsid w:val="003A211D"/>
    <w:rsid w:val="003A6899"/>
    <w:rsid w:val="003B393D"/>
    <w:rsid w:val="003B6320"/>
    <w:rsid w:val="003B6FB0"/>
    <w:rsid w:val="003C1B08"/>
    <w:rsid w:val="003D18AB"/>
    <w:rsid w:val="003D4F51"/>
    <w:rsid w:val="003D7452"/>
    <w:rsid w:val="003E5612"/>
    <w:rsid w:val="003E5633"/>
    <w:rsid w:val="003E6800"/>
    <w:rsid w:val="003F54FD"/>
    <w:rsid w:val="003F7857"/>
    <w:rsid w:val="00400228"/>
    <w:rsid w:val="00403FCE"/>
    <w:rsid w:val="004046E3"/>
    <w:rsid w:val="0040484E"/>
    <w:rsid w:val="00406340"/>
    <w:rsid w:val="004079A4"/>
    <w:rsid w:val="0041272D"/>
    <w:rsid w:val="00412D36"/>
    <w:rsid w:val="00414657"/>
    <w:rsid w:val="00424774"/>
    <w:rsid w:val="0043043C"/>
    <w:rsid w:val="0043171F"/>
    <w:rsid w:val="004403EA"/>
    <w:rsid w:val="0044086A"/>
    <w:rsid w:val="004412FD"/>
    <w:rsid w:val="004427E5"/>
    <w:rsid w:val="00444CA8"/>
    <w:rsid w:val="0044571E"/>
    <w:rsid w:val="00451415"/>
    <w:rsid w:val="004519DE"/>
    <w:rsid w:val="004527CB"/>
    <w:rsid w:val="0045627E"/>
    <w:rsid w:val="004611F4"/>
    <w:rsid w:val="00461941"/>
    <w:rsid w:val="004631E7"/>
    <w:rsid w:val="00463FA8"/>
    <w:rsid w:val="00465269"/>
    <w:rsid w:val="00467C17"/>
    <w:rsid w:val="00470BD8"/>
    <w:rsid w:val="00473984"/>
    <w:rsid w:val="0047404D"/>
    <w:rsid w:val="0047433D"/>
    <w:rsid w:val="004756A6"/>
    <w:rsid w:val="00480E19"/>
    <w:rsid w:val="00482460"/>
    <w:rsid w:val="00484C6D"/>
    <w:rsid w:val="004924F9"/>
    <w:rsid w:val="00492583"/>
    <w:rsid w:val="0049349B"/>
    <w:rsid w:val="004973FD"/>
    <w:rsid w:val="0049782B"/>
    <w:rsid w:val="004A09D4"/>
    <w:rsid w:val="004A16FF"/>
    <w:rsid w:val="004A2656"/>
    <w:rsid w:val="004B2373"/>
    <w:rsid w:val="004B537C"/>
    <w:rsid w:val="004C2077"/>
    <w:rsid w:val="004C24FD"/>
    <w:rsid w:val="004C32F1"/>
    <w:rsid w:val="004D1BFE"/>
    <w:rsid w:val="004D455A"/>
    <w:rsid w:val="004D4C31"/>
    <w:rsid w:val="004D63F0"/>
    <w:rsid w:val="004E408A"/>
    <w:rsid w:val="004E5144"/>
    <w:rsid w:val="004E74A7"/>
    <w:rsid w:val="004F2C63"/>
    <w:rsid w:val="004F392E"/>
    <w:rsid w:val="004F525A"/>
    <w:rsid w:val="0050617C"/>
    <w:rsid w:val="00510168"/>
    <w:rsid w:val="0051040C"/>
    <w:rsid w:val="00512ABE"/>
    <w:rsid w:val="0051646C"/>
    <w:rsid w:val="00516DC3"/>
    <w:rsid w:val="00517CD2"/>
    <w:rsid w:val="00524307"/>
    <w:rsid w:val="00524400"/>
    <w:rsid w:val="00525A3D"/>
    <w:rsid w:val="00527275"/>
    <w:rsid w:val="00527739"/>
    <w:rsid w:val="005308F0"/>
    <w:rsid w:val="00544759"/>
    <w:rsid w:val="0054716D"/>
    <w:rsid w:val="00547A38"/>
    <w:rsid w:val="00550C33"/>
    <w:rsid w:val="00550FCB"/>
    <w:rsid w:val="0055114E"/>
    <w:rsid w:val="00551415"/>
    <w:rsid w:val="005524A0"/>
    <w:rsid w:val="005528C0"/>
    <w:rsid w:val="005549E4"/>
    <w:rsid w:val="005571D9"/>
    <w:rsid w:val="00563D14"/>
    <w:rsid w:val="00570F1B"/>
    <w:rsid w:val="005738B3"/>
    <w:rsid w:val="00575214"/>
    <w:rsid w:val="0057577D"/>
    <w:rsid w:val="00575E5A"/>
    <w:rsid w:val="005765FE"/>
    <w:rsid w:val="005839B8"/>
    <w:rsid w:val="00584AF1"/>
    <w:rsid w:val="00590379"/>
    <w:rsid w:val="00593A29"/>
    <w:rsid w:val="00596E5D"/>
    <w:rsid w:val="005A5017"/>
    <w:rsid w:val="005A5080"/>
    <w:rsid w:val="005B09DA"/>
    <w:rsid w:val="005B3735"/>
    <w:rsid w:val="005B3F9E"/>
    <w:rsid w:val="005B4833"/>
    <w:rsid w:val="005B7B75"/>
    <w:rsid w:val="005C2BB5"/>
    <w:rsid w:val="005C7BD0"/>
    <w:rsid w:val="005D2478"/>
    <w:rsid w:val="005E1572"/>
    <w:rsid w:val="005E1B74"/>
    <w:rsid w:val="005E2558"/>
    <w:rsid w:val="005E46E0"/>
    <w:rsid w:val="005E7704"/>
    <w:rsid w:val="005F0B89"/>
    <w:rsid w:val="005F0D7F"/>
    <w:rsid w:val="005F1D4D"/>
    <w:rsid w:val="005F1F0E"/>
    <w:rsid w:val="005F3423"/>
    <w:rsid w:val="005F3A48"/>
    <w:rsid w:val="005F4894"/>
    <w:rsid w:val="005F5628"/>
    <w:rsid w:val="005F7515"/>
    <w:rsid w:val="0060193E"/>
    <w:rsid w:val="00602DF1"/>
    <w:rsid w:val="006035F1"/>
    <w:rsid w:val="00604D6E"/>
    <w:rsid w:val="00605972"/>
    <w:rsid w:val="00606D28"/>
    <w:rsid w:val="00611452"/>
    <w:rsid w:val="0061556B"/>
    <w:rsid w:val="00615936"/>
    <w:rsid w:val="00622D94"/>
    <w:rsid w:val="006240B6"/>
    <w:rsid w:val="006252EA"/>
    <w:rsid w:val="00626519"/>
    <w:rsid w:val="00627AB3"/>
    <w:rsid w:val="006377C7"/>
    <w:rsid w:val="006420AD"/>
    <w:rsid w:val="00645937"/>
    <w:rsid w:val="00650642"/>
    <w:rsid w:val="00656826"/>
    <w:rsid w:val="006576CE"/>
    <w:rsid w:val="006600F1"/>
    <w:rsid w:val="006628A6"/>
    <w:rsid w:val="006723CA"/>
    <w:rsid w:val="00674F68"/>
    <w:rsid w:val="00685284"/>
    <w:rsid w:val="00686DB5"/>
    <w:rsid w:val="0069188C"/>
    <w:rsid w:val="0069276F"/>
    <w:rsid w:val="00697A0D"/>
    <w:rsid w:val="006A1A01"/>
    <w:rsid w:val="006A33FA"/>
    <w:rsid w:val="006A5C8E"/>
    <w:rsid w:val="006A7744"/>
    <w:rsid w:val="006B19CE"/>
    <w:rsid w:val="006B2A74"/>
    <w:rsid w:val="006B6CCD"/>
    <w:rsid w:val="006C2009"/>
    <w:rsid w:val="006C3CFC"/>
    <w:rsid w:val="006C3FD6"/>
    <w:rsid w:val="006D4BF0"/>
    <w:rsid w:val="006D506E"/>
    <w:rsid w:val="006D573F"/>
    <w:rsid w:val="006E0087"/>
    <w:rsid w:val="006E3472"/>
    <w:rsid w:val="006F1E4C"/>
    <w:rsid w:val="00701793"/>
    <w:rsid w:val="00704464"/>
    <w:rsid w:val="0070726F"/>
    <w:rsid w:val="00710067"/>
    <w:rsid w:val="00711038"/>
    <w:rsid w:val="0071328D"/>
    <w:rsid w:val="007141A3"/>
    <w:rsid w:val="0071552C"/>
    <w:rsid w:val="00721F66"/>
    <w:rsid w:val="00730E76"/>
    <w:rsid w:val="00733CC0"/>
    <w:rsid w:val="00741DB7"/>
    <w:rsid w:val="007437A4"/>
    <w:rsid w:val="007443CB"/>
    <w:rsid w:val="00745943"/>
    <w:rsid w:val="007477AA"/>
    <w:rsid w:val="00747921"/>
    <w:rsid w:val="007532A8"/>
    <w:rsid w:val="007543E9"/>
    <w:rsid w:val="007550FE"/>
    <w:rsid w:val="00766E65"/>
    <w:rsid w:val="00767EA7"/>
    <w:rsid w:val="0077362A"/>
    <w:rsid w:val="007754DC"/>
    <w:rsid w:val="00775684"/>
    <w:rsid w:val="0077626E"/>
    <w:rsid w:val="00781396"/>
    <w:rsid w:val="00783837"/>
    <w:rsid w:val="00784BEC"/>
    <w:rsid w:val="0078768E"/>
    <w:rsid w:val="0079148C"/>
    <w:rsid w:val="00791858"/>
    <w:rsid w:val="00791E2E"/>
    <w:rsid w:val="0079269C"/>
    <w:rsid w:val="0079687A"/>
    <w:rsid w:val="007A2E72"/>
    <w:rsid w:val="007B04F2"/>
    <w:rsid w:val="007B0A10"/>
    <w:rsid w:val="007B28CD"/>
    <w:rsid w:val="007B5305"/>
    <w:rsid w:val="007B5822"/>
    <w:rsid w:val="007B5A33"/>
    <w:rsid w:val="007B6B61"/>
    <w:rsid w:val="007C497E"/>
    <w:rsid w:val="007C70E5"/>
    <w:rsid w:val="007D1259"/>
    <w:rsid w:val="007D4AC6"/>
    <w:rsid w:val="007E0167"/>
    <w:rsid w:val="007E02B8"/>
    <w:rsid w:val="007E0645"/>
    <w:rsid w:val="007E71A2"/>
    <w:rsid w:val="007F0F93"/>
    <w:rsid w:val="0080391F"/>
    <w:rsid w:val="00810AF7"/>
    <w:rsid w:val="00812C3A"/>
    <w:rsid w:val="00814B69"/>
    <w:rsid w:val="00816221"/>
    <w:rsid w:val="00824C77"/>
    <w:rsid w:val="00825A09"/>
    <w:rsid w:val="00826060"/>
    <w:rsid w:val="00826B94"/>
    <w:rsid w:val="00827DE9"/>
    <w:rsid w:val="008303DA"/>
    <w:rsid w:val="00832B17"/>
    <w:rsid w:val="00832D59"/>
    <w:rsid w:val="008466A2"/>
    <w:rsid w:val="008556FB"/>
    <w:rsid w:val="00862A5C"/>
    <w:rsid w:val="008647BC"/>
    <w:rsid w:val="00864E7C"/>
    <w:rsid w:val="008661DB"/>
    <w:rsid w:val="00872D48"/>
    <w:rsid w:val="00872F55"/>
    <w:rsid w:val="00881425"/>
    <w:rsid w:val="00892C9B"/>
    <w:rsid w:val="008A2091"/>
    <w:rsid w:val="008A5ED1"/>
    <w:rsid w:val="008B254A"/>
    <w:rsid w:val="008B794A"/>
    <w:rsid w:val="008C0A03"/>
    <w:rsid w:val="008C1EEF"/>
    <w:rsid w:val="008D4CC4"/>
    <w:rsid w:val="008D4E6C"/>
    <w:rsid w:val="008E491F"/>
    <w:rsid w:val="008E685F"/>
    <w:rsid w:val="008E6871"/>
    <w:rsid w:val="008F1EA2"/>
    <w:rsid w:val="008F2C6C"/>
    <w:rsid w:val="008F5547"/>
    <w:rsid w:val="00900C1E"/>
    <w:rsid w:val="00901530"/>
    <w:rsid w:val="00910F19"/>
    <w:rsid w:val="00910FE0"/>
    <w:rsid w:val="00912430"/>
    <w:rsid w:val="009215D7"/>
    <w:rsid w:val="009220F0"/>
    <w:rsid w:val="00923685"/>
    <w:rsid w:val="009263A2"/>
    <w:rsid w:val="0093460B"/>
    <w:rsid w:val="00935422"/>
    <w:rsid w:val="00937538"/>
    <w:rsid w:val="009415F1"/>
    <w:rsid w:val="009424B6"/>
    <w:rsid w:val="009468A5"/>
    <w:rsid w:val="0095311E"/>
    <w:rsid w:val="00955E39"/>
    <w:rsid w:val="00956159"/>
    <w:rsid w:val="009567D8"/>
    <w:rsid w:val="0096473B"/>
    <w:rsid w:val="009655DD"/>
    <w:rsid w:val="00967927"/>
    <w:rsid w:val="0098135A"/>
    <w:rsid w:val="00992F45"/>
    <w:rsid w:val="009938B0"/>
    <w:rsid w:val="00996B78"/>
    <w:rsid w:val="009A2112"/>
    <w:rsid w:val="009A5FEF"/>
    <w:rsid w:val="009A674F"/>
    <w:rsid w:val="009A7355"/>
    <w:rsid w:val="009B38C0"/>
    <w:rsid w:val="009B3C65"/>
    <w:rsid w:val="009C565C"/>
    <w:rsid w:val="009D04BF"/>
    <w:rsid w:val="009D0EF1"/>
    <w:rsid w:val="009D2760"/>
    <w:rsid w:val="009D4609"/>
    <w:rsid w:val="009E2DA1"/>
    <w:rsid w:val="009E5399"/>
    <w:rsid w:val="009E65E7"/>
    <w:rsid w:val="009E67A7"/>
    <w:rsid w:val="009F50C9"/>
    <w:rsid w:val="009F6FB2"/>
    <w:rsid w:val="009F7CF5"/>
    <w:rsid w:val="00A0109C"/>
    <w:rsid w:val="00A03809"/>
    <w:rsid w:val="00A03B71"/>
    <w:rsid w:val="00A047D3"/>
    <w:rsid w:val="00A067D7"/>
    <w:rsid w:val="00A136AE"/>
    <w:rsid w:val="00A13CA9"/>
    <w:rsid w:val="00A16335"/>
    <w:rsid w:val="00A16651"/>
    <w:rsid w:val="00A1695F"/>
    <w:rsid w:val="00A16BB7"/>
    <w:rsid w:val="00A21826"/>
    <w:rsid w:val="00A23A64"/>
    <w:rsid w:val="00A23E25"/>
    <w:rsid w:val="00A27637"/>
    <w:rsid w:val="00A3045B"/>
    <w:rsid w:val="00A325CC"/>
    <w:rsid w:val="00A330B4"/>
    <w:rsid w:val="00A33F9F"/>
    <w:rsid w:val="00A36A4C"/>
    <w:rsid w:val="00A37213"/>
    <w:rsid w:val="00A40AA0"/>
    <w:rsid w:val="00A420B4"/>
    <w:rsid w:val="00A444DA"/>
    <w:rsid w:val="00A457FA"/>
    <w:rsid w:val="00A527C9"/>
    <w:rsid w:val="00A568E8"/>
    <w:rsid w:val="00A57FA6"/>
    <w:rsid w:val="00A6490D"/>
    <w:rsid w:val="00A65CD6"/>
    <w:rsid w:val="00A669E9"/>
    <w:rsid w:val="00A70EF8"/>
    <w:rsid w:val="00A7360F"/>
    <w:rsid w:val="00A75072"/>
    <w:rsid w:val="00A76659"/>
    <w:rsid w:val="00A80802"/>
    <w:rsid w:val="00A87A3B"/>
    <w:rsid w:val="00A9527C"/>
    <w:rsid w:val="00A95559"/>
    <w:rsid w:val="00AA012D"/>
    <w:rsid w:val="00AA2C36"/>
    <w:rsid w:val="00AA68CA"/>
    <w:rsid w:val="00AA6F3F"/>
    <w:rsid w:val="00AB0E4F"/>
    <w:rsid w:val="00AB40DE"/>
    <w:rsid w:val="00AC111E"/>
    <w:rsid w:val="00AC21F4"/>
    <w:rsid w:val="00AC5CDE"/>
    <w:rsid w:val="00AC64D3"/>
    <w:rsid w:val="00AD174E"/>
    <w:rsid w:val="00AD325A"/>
    <w:rsid w:val="00AE1926"/>
    <w:rsid w:val="00AE2164"/>
    <w:rsid w:val="00AE3DF6"/>
    <w:rsid w:val="00AE4D38"/>
    <w:rsid w:val="00AE501C"/>
    <w:rsid w:val="00AF40C6"/>
    <w:rsid w:val="00AF46B0"/>
    <w:rsid w:val="00AF7207"/>
    <w:rsid w:val="00B1175D"/>
    <w:rsid w:val="00B135C9"/>
    <w:rsid w:val="00B14994"/>
    <w:rsid w:val="00B15B2D"/>
    <w:rsid w:val="00B206B9"/>
    <w:rsid w:val="00B22C67"/>
    <w:rsid w:val="00B259AB"/>
    <w:rsid w:val="00B26915"/>
    <w:rsid w:val="00B32E8C"/>
    <w:rsid w:val="00B341AC"/>
    <w:rsid w:val="00B368E3"/>
    <w:rsid w:val="00B44ADC"/>
    <w:rsid w:val="00B45CCB"/>
    <w:rsid w:val="00B508E5"/>
    <w:rsid w:val="00B51F65"/>
    <w:rsid w:val="00B5436A"/>
    <w:rsid w:val="00B6312E"/>
    <w:rsid w:val="00B65F1B"/>
    <w:rsid w:val="00B710BA"/>
    <w:rsid w:val="00B816F5"/>
    <w:rsid w:val="00B83654"/>
    <w:rsid w:val="00B870DF"/>
    <w:rsid w:val="00B8737B"/>
    <w:rsid w:val="00B95822"/>
    <w:rsid w:val="00BA7354"/>
    <w:rsid w:val="00BA7CFF"/>
    <w:rsid w:val="00BB407A"/>
    <w:rsid w:val="00BB4133"/>
    <w:rsid w:val="00BB4AD8"/>
    <w:rsid w:val="00BC196A"/>
    <w:rsid w:val="00BC5329"/>
    <w:rsid w:val="00BC7870"/>
    <w:rsid w:val="00BD5E48"/>
    <w:rsid w:val="00BE191F"/>
    <w:rsid w:val="00BE1DDB"/>
    <w:rsid w:val="00BE22B5"/>
    <w:rsid w:val="00BE40B7"/>
    <w:rsid w:val="00BF3520"/>
    <w:rsid w:val="00BF4D6B"/>
    <w:rsid w:val="00BF5375"/>
    <w:rsid w:val="00BF5497"/>
    <w:rsid w:val="00BF7145"/>
    <w:rsid w:val="00C076C5"/>
    <w:rsid w:val="00C122E4"/>
    <w:rsid w:val="00C15CD6"/>
    <w:rsid w:val="00C16CDC"/>
    <w:rsid w:val="00C2316F"/>
    <w:rsid w:val="00C35F32"/>
    <w:rsid w:val="00C36605"/>
    <w:rsid w:val="00C44681"/>
    <w:rsid w:val="00C519F4"/>
    <w:rsid w:val="00C51FC0"/>
    <w:rsid w:val="00C5430C"/>
    <w:rsid w:val="00C57CEF"/>
    <w:rsid w:val="00C6047D"/>
    <w:rsid w:val="00C65B7A"/>
    <w:rsid w:val="00C768D9"/>
    <w:rsid w:val="00C81179"/>
    <w:rsid w:val="00C820EA"/>
    <w:rsid w:val="00C83295"/>
    <w:rsid w:val="00C86903"/>
    <w:rsid w:val="00C96F93"/>
    <w:rsid w:val="00C978BC"/>
    <w:rsid w:val="00CA78FE"/>
    <w:rsid w:val="00CB71ED"/>
    <w:rsid w:val="00CB7BB2"/>
    <w:rsid w:val="00CC0AE9"/>
    <w:rsid w:val="00CC0FF8"/>
    <w:rsid w:val="00CC1F89"/>
    <w:rsid w:val="00CC3E89"/>
    <w:rsid w:val="00CE05B8"/>
    <w:rsid w:val="00CE5551"/>
    <w:rsid w:val="00CE7A2E"/>
    <w:rsid w:val="00D03281"/>
    <w:rsid w:val="00D11132"/>
    <w:rsid w:val="00D11C62"/>
    <w:rsid w:val="00D128C6"/>
    <w:rsid w:val="00D16420"/>
    <w:rsid w:val="00D203DF"/>
    <w:rsid w:val="00D247DC"/>
    <w:rsid w:val="00D24E14"/>
    <w:rsid w:val="00D27A35"/>
    <w:rsid w:val="00D304DB"/>
    <w:rsid w:val="00D314DC"/>
    <w:rsid w:val="00D322ED"/>
    <w:rsid w:val="00D43569"/>
    <w:rsid w:val="00D46093"/>
    <w:rsid w:val="00D5199B"/>
    <w:rsid w:val="00D61571"/>
    <w:rsid w:val="00D61F37"/>
    <w:rsid w:val="00D6351B"/>
    <w:rsid w:val="00D6528A"/>
    <w:rsid w:val="00D6724A"/>
    <w:rsid w:val="00D7795C"/>
    <w:rsid w:val="00D77B7F"/>
    <w:rsid w:val="00D83BAC"/>
    <w:rsid w:val="00D8432A"/>
    <w:rsid w:val="00D853E0"/>
    <w:rsid w:val="00D862AB"/>
    <w:rsid w:val="00D94459"/>
    <w:rsid w:val="00D94EDD"/>
    <w:rsid w:val="00D954E6"/>
    <w:rsid w:val="00DA3B52"/>
    <w:rsid w:val="00DA4D29"/>
    <w:rsid w:val="00DA71DE"/>
    <w:rsid w:val="00DB24A6"/>
    <w:rsid w:val="00DB679D"/>
    <w:rsid w:val="00DB7792"/>
    <w:rsid w:val="00DC3516"/>
    <w:rsid w:val="00DD4463"/>
    <w:rsid w:val="00DE2884"/>
    <w:rsid w:val="00DE6E92"/>
    <w:rsid w:val="00DF1E63"/>
    <w:rsid w:val="00DF2CD5"/>
    <w:rsid w:val="00DF5F20"/>
    <w:rsid w:val="00DF7DE2"/>
    <w:rsid w:val="00E24FE7"/>
    <w:rsid w:val="00E33D3B"/>
    <w:rsid w:val="00E37187"/>
    <w:rsid w:val="00E4170F"/>
    <w:rsid w:val="00E43083"/>
    <w:rsid w:val="00E46207"/>
    <w:rsid w:val="00E47221"/>
    <w:rsid w:val="00E47E4D"/>
    <w:rsid w:val="00E55943"/>
    <w:rsid w:val="00E55E7F"/>
    <w:rsid w:val="00E62570"/>
    <w:rsid w:val="00E63D71"/>
    <w:rsid w:val="00E63E2E"/>
    <w:rsid w:val="00E6460D"/>
    <w:rsid w:val="00E652D7"/>
    <w:rsid w:val="00E65CED"/>
    <w:rsid w:val="00E67F54"/>
    <w:rsid w:val="00E75C02"/>
    <w:rsid w:val="00E76FCF"/>
    <w:rsid w:val="00E859FE"/>
    <w:rsid w:val="00E8730D"/>
    <w:rsid w:val="00E910DA"/>
    <w:rsid w:val="00E95273"/>
    <w:rsid w:val="00E966E7"/>
    <w:rsid w:val="00E96C5E"/>
    <w:rsid w:val="00EA2723"/>
    <w:rsid w:val="00EB1E2F"/>
    <w:rsid w:val="00EB2C70"/>
    <w:rsid w:val="00EC1DA3"/>
    <w:rsid w:val="00EC7598"/>
    <w:rsid w:val="00ED38A9"/>
    <w:rsid w:val="00ED3C77"/>
    <w:rsid w:val="00ED5B32"/>
    <w:rsid w:val="00ED663B"/>
    <w:rsid w:val="00ED7830"/>
    <w:rsid w:val="00EE41CF"/>
    <w:rsid w:val="00EE476D"/>
    <w:rsid w:val="00EE6A03"/>
    <w:rsid w:val="00EF0367"/>
    <w:rsid w:val="00EF7EC2"/>
    <w:rsid w:val="00F017BE"/>
    <w:rsid w:val="00F057D7"/>
    <w:rsid w:val="00F06843"/>
    <w:rsid w:val="00F12EAA"/>
    <w:rsid w:val="00F24011"/>
    <w:rsid w:val="00F24A60"/>
    <w:rsid w:val="00F268A5"/>
    <w:rsid w:val="00F43541"/>
    <w:rsid w:val="00F43EDD"/>
    <w:rsid w:val="00F44318"/>
    <w:rsid w:val="00F56DE3"/>
    <w:rsid w:val="00F6130F"/>
    <w:rsid w:val="00F673FA"/>
    <w:rsid w:val="00F70C64"/>
    <w:rsid w:val="00F7392E"/>
    <w:rsid w:val="00F771F1"/>
    <w:rsid w:val="00F81627"/>
    <w:rsid w:val="00F81F17"/>
    <w:rsid w:val="00F90B38"/>
    <w:rsid w:val="00F90F5E"/>
    <w:rsid w:val="00F93FE3"/>
    <w:rsid w:val="00F9463C"/>
    <w:rsid w:val="00F94666"/>
    <w:rsid w:val="00F952CA"/>
    <w:rsid w:val="00FA3CDC"/>
    <w:rsid w:val="00FA6B61"/>
    <w:rsid w:val="00FA6F0D"/>
    <w:rsid w:val="00FB1549"/>
    <w:rsid w:val="00FB3A4E"/>
    <w:rsid w:val="00FB5DC4"/>
    <w:rsid w:val="00FC583A"/>
    <w:rsid w:val="00FD061B"/>
    <w:rsid w:val="00FD0908"/>
    <w:rsid w:val="00FD0D35"/>
    <w:rsid w:val="00FD42CC"/>
    <w:rsid w:val="00FF6D74"/>
    <w:rsid w:val="01271A5F"/>
    <w:rsid w:val="012824F2"/>
    <w:rsid w:val="01284C1D"/>
    <w:rsid w:val="012A376B"/>
    <w:rsid w:val="01316414"/>
    <w:rsid w:val="01353465"/>
    <w:rsid w:val="014816EC"/>
    <w:rsid w:val="01557D37"/>
    <w:rsid w:val="015606D5"/>
    <w:rsid w:val="017304F0"/>
    <w:rsid w:val="017F026C"/>
    <w:rsid w:val="0189608F"/>
    <w:rsid w:val="01927107"/>
    <w:rsid w:val="01937EF4"/>
    <w:rsid w:val="019B2F64"/>
    <w:rsid w:val="01A5192C"/>
    <w:rsid w:val="01A7312E"/>
    <w:rsid w:val="01D31544"/>
    <w:rsid w:val="01E33A31"/>
    <w:rsid w:val="01E66FA5"/>
    <w:rsid w:val="01F2212E"/>
    <w:rsid w:val="01F707CD"/>
    <w:rsid w:val="0206235D"/>
    <w:rsid w:val="02162BE1"/>
    <w:rsid w:val="021B1097"/>
    <w:rsid w:val="021E3273"/>
    <w:rsid w:val="02233B86"/>
    <w:rsid w:val="022A23D7"/>
    <w:rsid w:val="02373995"/>
    <w:rsid w:val="02460B58"/>
    <w:rsid w:val="0248787D"/>
    <w:rsid w:val="02597CDC"/>
    <w:rsid w:val="027C16B8"/>
    <w:rsid w:val="028D7421"/>
    <w:rsid w:val="02A922FF"/>
    <w:rsid w:val="02C76DD0"/>
    <w:rsid w:val="02EB50C9"/>
    <w:rsid w:val="030219B1"/>
    <w:rsid w:val="0322077C"/>
    <w:rsid w:val="03263025"/>
    <w:rsid w:val="033135F2"/>
    <w:rsid w:val="033C24C1"/>
    <w:rsid w:val="035A4E9B"/>
    <w:rsid w:val="03676929"/>
    <w:rsid w:val="03775768"/>
    <w:rsid w:val="037F15FA"/>
    <w:rsid w:val="03A44890"/>
    <w:rsid w:val="03B83C37"/>
    <w:rsid w:val="03D8077D"/>
    <w:rsid w:val="03EB4777"/>
    <w:rsid w:val="03F769C3"/>
    <w:rsid w:val="03F94FAF"/>
    <w:rsid w:val="03FD2386"/>
    <w:rsid w:val="03FE58A6"/>
    <w:rsid w:val="04090FA6"/>
    <w:rsid w:val="04117713"/>
    <w:rsid w:val="042237BB"/>
    <w:rsid w:val="04232D50"/>
    <w:rsid w:val="04294066"/>
    <w:rsid w:val="043E0640"/>
    <w:rsid w:val="043E36EE"/>
    <w:rsid w:val="04434F47"/>
    <w:rsid w:val="04504AAA"/>
    <w:rsid w:val="04574281"/>
    <w:rsid w:val="046C76BB"/>
    <w:rsid w:val="047459D2"/>
    <w:rsid w:val="048626A3"/>
    <w:rsid w:val="049918F9"/>
    <w:rsid w:val="04A375F7"/>
    <w:rsid w:val="04CE1C7A"/>
    <w:rsid w:val="04D421E7"/>
    <w:rsid w:val="04EA5630"/>
    <w:rsid w:val="051F1393"/>
    <w:rsid w:val="05255ACF"/>
    <w:rsid w:val="0540354B"/>
    <w:rsid w:val="05634469"/>
    <w:rsid w:val="057F7008"/>
    <w:rsid w:val="059424AB"/>
    <w:rsid w:val="05A50789"/>
    <w:rsid w:val="05FF4415"/>
    <w:rsid w:val="062749A5"/>
    <w:rsid w:val="06467495"/>
    <w:rsid w:val="06472916"/>
    <w:rsid w:val="06551B25"/>
    <w:rsid w:val="06623328"/>
    <w:rsid w:val="067708B3"/>
    <w:rsid w:val="067714DA"/>
    <w:rsid w:val="06863551"/>
    <w:rsid w:val="068F50BB"/>
    <w:rsid w:val="068F78B0"/>
    <w:rsid w:val="06986394"/>
    <w:rsid w:val="069C0D35"/>
    <w:rsid w:val="069D202E"/>
    <w:rsid w:val="06A62E80"/>
    <w:rsid w:val="06B94A71"/>
    <w:rsid w:val="06CB7731"/>
    <w:rsid w:val="06FD7D98"/>
    <w:rsid w:val="07392D69"/>
    <w:rsid w:val="074A71F6"/>
    <w:rsid w:val="0750727A"/>
    <w:rsid w:val="075952C3"/>
    <w:rsid w:val="076B4ABE"/>
    <w:rsid w:val="077A3B0C"/>
    <w:rsid w:val="07B6236B"/>
    <w:rsid w:val="07C670CB"/>
    <w:rsid w:val="07D75D35"/>
    <w:rsid w:val="07F4029E"/>
    <w:rsid w:val="0808177F"/>
    <w:rsid w:val="08084D3B"/>
    <w:rsid w:val="080976BA"/>
    <w:rsid w:val="081564D4"/>
    <w:rsid w:val="082825B6"/>
    <w:rsid w:val="08391865"/>
    <w:rsid w:val="084C57BA"/>
    <w:rsid w:val="0857140A"/>
    <w:rsid w:val="08694F2F"/>
    <w:rsid w:val="087A23B3"/>
    <w:rsid w:val="087A7939"/>
    <w:rsid w:val="087B5F6E"/>
    <w:rsid w:val="088A6808"/>
    <w:rsid w:val="08B42510"/>
    <w:rsid w:val="08BE263A"/>
    <w:rsid w:val="08CA15FD"/>
    <w:rsid w:val="08D045A1"/>
    <w:rsid w:val="08E32A0F"/>
    <w:rsid w:val="090473D0"/>
    <w:rsid w:val="0924233D"/>
    <w:rsid w:val="094211D5"/>
    <w:rsid w:val="095C09E6"/>
    <w:rsid w:val="095E277F"/>
    <w:rsid w:val="09610AF1"/>
    <w:rsid w:val="096E7C1E"/>
    <w:rsid w:val="097F01EE"/>
    <w:rsid w:val="099303EA"/>
    <w:rsid w:val="09954B85"/>
    <w:rsid w:val="099D30AA"/>
    <w:rsid w:val="09A265CF"/>
    <w:rsid w:val="09A411DF"/>
    <w:rsid w:val="09AA5CD8"/>
    <w:rsid w:val="09AD25B4"/>
    <w:rsid w:val="09B53A60"/>
    <w:rsid w:val="09BE2249"/>
    <w:rsid w:val="09C82C33"/>
    <w:rsid w:val="09D10057"/>
    <w:rsid w:val="09D96DB9"/>
    <w:rsid w:val="09DC6F1A"/>
    <w:rsid w:val="09E371DF"/>
    <w:rsid w:val="09F54777"/>
    <w:rsid w:val="09FA5B1C"/>
    <w:rsid w:val="0A251FA9"/>
    <w:rsid w:val="0A2B2DC6"/>
    <w:rsid w:val="0A3F71E7"/>
    <w:rsid w:val="0A4221AC"/>
    <w:rsid w:val="0A4505E1"/>
    <w:rsid w:val="0A462AD7"/>
    <w:rsid w:val="0A523F5B"/>
    <w:rsid w:val="0A547BE3"/>
    <w:rsid w:val="0A7D6298"/>
    <w:rsid w:val="0A8C5597"/>
    <w:rsid w:val="0A8D700E"/>
    <w:rsid w:val="0A900383"/>
    <w:rsid w:val="0A972C1B"/>
    <w:rsid w:val="0A982DE2"/>
    <w:rsid w:val="0AB62434"/>
    <w:rsid w:val="0AE841C2"/>
    <w:rsid w:val="0AE93258"/>
    <w:rsid w:val="0B043FF8"/>
    <w:rsid w:val="0B0F4433"/>
    <w:rsid w:val="0B2A160E"/>
    <w:rsid w:val="0B4B6388"/>
    <w:rsid w:val="0B4F4D68"/>
    <w:rsid w:val="0B57063D"/>
    <w:rsid w:val="0B755125"/>
    <w:rsid w:val="0B7A11B3"/>
    <w:rsid w:val="0B8211A1"/>
    <w:rsid w:val="0B9170F6"/>
    <w:rsid w:val="0B93744E"/>
    <w:rsid w:val="0BD15580"/>
    <w:rsid w:val="0BF14C16"/>
    <w:rsid w:val="0BFD5118"/>
    <w:rsid w:val="0C014D1F"/>
    <w:rsid w:val="0C094659"/>
    <w:rsid w:val="0C0C6D4B"/>
    <w:rsid w:val="0C17730D"/>
    <w:rsid w:val="0C2D6131"/>
    <w:rsid w:val="0C623305"/>
    <w:rsid w:val="0C697FC7"/>
    <w:rsid w:val="0C6C5F7A"/>
    <w:rsid w:val="0C8C43DB"/>
    <w:rsid w:val="0C917B0E"/>
    <w:rsid w:val="0C980234"/>
    <w:rsid w:val="0CA550BC"/>
    <w:rsid w:val="0CB34C17"/>
    <w:rsid w:val="0CB41A4E"/>
    <w:rsid w:val="0CB46603"/>
    <w:rsid w:val="0CB666A1"/>
    <w:rsid w:val="0CBA462A"/>
    <w:rsid w:val="0CE263B4"/>
    <w:rsid w:val="0CE56DF4"/>
    <w:rsid w:val="0CF50E9C"/>
    <w:rsid w:val="0CFF50CF"/>
    <w:rsid w:val="0D170D6B"/>
    <w:rsid w:val="0D4408F0"/>
    <w:rsid w:val="0D484842"/>
    <w:rsid w:val="0D55615D"/>
    <w:rsid w:val="0D66055F"/>
    <w:rsid w:val="0D907DC5"/>
    <w:rsid w:val="0DA97398"/>
    <w:rsid w:val="0DC22968"/>
    <w:rsid w:val="0DED69A3"/>
    <w:rsid w:val="0DF8260D"/>
    <w:rsid w:val="0E082052"/>
    <w:rsid w:val="0E126C28"/>
    <w:rsid w:val="0E277CBB"/>
    <w:rsid w:val="0E437C38"/>
    <w:rsid w:val="0E5057A7"/>
    <w:rsid w:val="0E63067F"/>
    <w:rsid w:val="0E681122"/>
    <w:rsid w:val="0E7B033D"/>
    <w:rsid w:val="0E7D6931"/>
    <w:rsid w:val="0E8C3C7D"/>
    <w:rsid w:val="0EA21E23"/>
    <w:rsid w:val="0EA52E07"/>
    <w:rsid w:val="0ED740CF"/>
    <w:rsid w:val="0EE03036"/>
    <w:rsid w:val="0EE97B70"/>
    <w:rsid w:val="0EEB5BCE"/>
    <w:rsid w:val="0EF1350A"/>
    <w:rsid w:val="0F1F78D7"/>
    <w:rsid w:val="0F244F28"/>
    <w:rsid w:val="0F5415C8"/>
    <w:rsid w:val="0F577DBC"/>
    <w:rsid w:val="0F684138"/>
    <w:rsid w:val="0F6A45A7"/>
    <w:rsid w:val="0FA80F53"/>
    <w:rsid w:val="0FC770A0"/>
    <w:rsid w:val="0FCB3337"/>
    <w:rsid w:val="100B39FD"/>
    <w:rsid w:val="100C5D7C"/>
    <w:rsid w:val="10196597"/>
    <w:rsid w:val="101D489A"/>
    <w:rsid w:val="102C7938"/>
    <w:rsid w:val="103846F8"/>
    <w:rsid w:val="10533FC3"/>
    <w:rsid w:val="106C2775"/>
    <w:rsid w:val="109B6496"/>
    <w:rsid w:val="10C96F3E"/>
    <w:rsid w:val="10CF5BB8"/>
    <w:rsid w:val="10DC0358"/>
    <w:rsid w:val="10F71E55"/>
    <w:rsid w:val="10FB7DFC"/>
    <w:rsid w:val="110A4595"/>
    <w:rsid w:val="110E15E8"/>
    <w:rsid w:val="11121768"/>
    <w:rsid w:val="112418DC"/>
    <w:rsid w:val="11250073"/>
    <w:rsid w:val="11340324"/>
    <w:rsid w:val="113529D2"/>
    <w:rsid w:val="113F222E"/>
    <w:rsid w:val="11563811"/>
    <w:rsid w:val="11AD1BC3"/>
    <w:rsid w:val="11BD4FAA"/>
    <w:rsid w:val="11CF5A88"/>
    <w:rsid w:val="11D02E86"/>
    <w:rsid w:val="11F36B75"/>
    <w:rsid w:val="11F85C26"/>
    <w:rsid w:val="1205621E"/>
    <w:rsid w:val="1211435E"/>
    <w:rsid w:val="122349ED"/>
    <w:rsid w:val="12252291"/>
    <w:rsid w:val="1229469B"/>
    <w:rsid w:val="122E62BE"/>
    <w:rsid w:val="124E6666"/>
    <w:rsid w:val="1254538F"/>
    <w:rsid w:val="12590BE9"/>
    <w:rsid w:val="129F0E48"/>
    <w:rsid w:val="12D9418F"/>
    <w:rsid w:val="12E62C7D"/>
    <w:rsid w:val="12F3675C"/>
    <w:rsid w:val="130052E1"/>
    <w:rsid w:val="13042924"/>
    <w:rsid w:val="13080B10"/>
    <w:rsid w:val="13082671"/>
    <w:rsid w:val="130B3873"/>
    <w:rsid w:val="13126E1E"/>
    <w:rsid w:val="131A01D7"/>
    <w:rsid w:val="131B37B3"/>
    <w:rsid w:val="133451EC"/>
    <w:rsid w:val="13444CE1"/>
    <w:rsid w:val="134C26FB"/>
    <w:rsid w:val="13526439"/>
    <w:rsid w:val="13540B2E"/>
    <w:rsid w:val="136E5F82"/>
    <w:rsid w:val="136F2CD5"/>
    <w:rsid w:val="138A2D27"/>
    <w:rsid w:val="13AB7C5A"/>
    <w:rsid w:val="13D46A90"/>
    <w:rsid w:val="13EB5EAD"/>
    <w:rsid w:val="13EC4BC9"/>
    <w:rsid w:val="14136865"/>
    <w:rsid w:val="142212E7"/>
    <w:rsid w:val="14327510"/>
    <w:rsid w:val="14506500"/>
    <w:rsid w:val="14603804"/>
    <w:rsid w:val="14742B22"/>
    <w:rsid w:val="14C21117"/>
    <w:rsid w:val="14E60C05"/>
    <w:rsid w:val="14EA4E60"/>
    <w:rsid w:val="15314098"/>
    <w:rsid w:val="15347395"/>
    <w:rsid w:val="153E4203"/>
    <w:rsid w:val="154667FD"/>
    <w:rsid w:val="155434BB"/>
    <w:rsid w:val="155A462C"/>
    <w:rsid w:val="15614066"/>
    <w:rsid w:val="156146A1"/>
    <w:rsid w:val="157C446E"/>
    <w:rsid w:val="158D108E"/>
    <w:rsid w:val="15AE7982"/>
    <w:rsid w:val="15B60CBF"/>
    <w:rsid w:val="15B64965"/>
    <w:rsid w:val="15BE597E"/>
    <w:rsid w:val="15C6756A"/>
    <w:rsid w:val="15E85528"/>
    <w:rsid w:val="15FE169F"/>
    <w:rsid w:val="164D6DDE"/>
    <w:rsid w:val="16556536"/>
    <w:rsid w:val="165A38A7"/>
    <w:rsid w:val="16664439"/>
    <w:rsid w:val="166C5148"/>
    <w:rsid w:val="16781AC9"/>
    <w:rsid w:val="1689418F"/>
    <w:rsid w:val="168B1CC1"/>
    <w:rsid w:val="168C107F"/>
    <w:rsid w:val="168C69E6"/>
    <w:rsid w:val="16915340"/>
    <w:rsid w:val="16AD19E8"/>
    <w:rsid w:val="16B90124"/>
    <w:rsid w:val="16D66E9F"/>
    <w:rsid w:val="16DA5EFB"/>
    <w:rsid w:val="16E35C40"/>
    <w:rsid w:val="16FB6B7B"/>
    <w:rsid w:val="17217827"/>
    <w:rsid w:val="172C2525"/>
    <w:rsid w:val="172D2B29"/>
    <w:rsid w:val="1744312B"/>
    <w:rsid w:val="1746750A"/>
    <w:rsid w:val="17473B0C"/>
    <w:rsid w:val="174B6065"/>
    <w:rsid w:val="17507EFF"/>
    <w:rsid w:val="175D32DD"/>
    <w:rsid w:val="17690076"/>
    <w:rsid w:val="176D7614"/>
    <w:rsid w:val="17971A26"/>
    <w:rsid w:val="17C64C5A"/>
    <w:rsid w:val="17D443F2"/>
    <w:rsid w:val="17E57443"/>
    <w:rsid w:val="181A4A15"/>
    <w:rsid w:val="181D47CC"/>
    <w:rsid w:val="181E3C6C"/>
    <w:rsid w:val="1820543E"/>
    <w:rsid w:val="18505C72"/>
    <w:rsid w:val="18524030"/>
    <w:rsid w:val="185E3ECE"/>
    <w:rsid w:val="18695DE3"/>
    <w:rsid w:val="18886C2A"/>
    <w:rsid w:val="1899510E"/>
    <w:rsid w:val="189E102A"/>
    <w:rsid w:val="18A872BC"/>
    <w:rsid w:val="18AE1143"/>
    <w:rsid w:val="18B878F0"/>
    <w:rsid w:val="18C9408E"/>
    <w:rsid w:val="18CD1846"/>
    <w:rsid w:val="18E1018E"/>
    <w:rsid w:val="19000843"/>
    <w:rsid w:val="1901161F"/>
    <w:rsid w:val="191E43F7"/>
    <w:rsid w:val="194D3E6A"/>
    <w:rsid w:val="196B16E7"/>
    <w:rsid w:val="19A76E98"/>
    <w:rsid w:val="19AA61E1"/>
    <w:rsid w:val="19AD7786"/>
    <w:rsid w:val="19D3617B"/>
    <w:rsid w:val="19D65EE9"/>
    <w:rsid w:val="19DD7134"/>
    <w:rsid w:val="19E00B88"/>
    <w:rsid w:val="19EB50C0"/>
    <w:rsid w:val="19EC090B"/>
    <w:rsid w:val="19F035D7"/>
    <w:rsid w:val="19F46EC4"/>
    <w:rsid w:val="1A254538"/>
    <w:rsid w:val="1A374993"/>
    <w:rsid w:val="1A514D80"/>
    <w:rsid w:val="1A5745AB"/>
    <w:rsid w:val="1A5B1A2A"/>
    <w:rsid w:val="1A7C759C"/>
    <w:rsid w:val="1A806CA0"/>
    <w:rsid w:val="1A8962C8"/>
    <w:rsid w:val="1A9D2F6E"/>
    <w:rsid w:val="1AA70700"/>
    <w:rsid w:val="1AC028CC"/>
    <w:rsid w:val="1ADF0BB0"/>
    <w:rsid w:val="1B1F6388"/>
    <w:rsid w:val="1B2C0611"/>
    <w:rsid w:val="1B326C3E"/>
    <w:rsid w:val="1B3579E5"/>
    <w:rsid w:val="1B3969D4"/>
    <w:rsid w:val="1B47617D"/>
    <w:rsid w:val="1B7E5AA8"/>
    <w:rsid w:val="1B7F0A21"/>
    <w:rsid w:val="1BA3433F"/>
    <w:rsid w:val="1BB67BA3"/>
    <w:rsid w:val="1BBD395D"/>
    <w:rsid w:val="1BCA594F"/>
    <w:rsid w:val="1BD356C5"/>
    <w:rsid w:val="1BDA0C23"/>
    <w:rsid w:val="1BE41F08"/>
    <w:rsid w:val="1C0227D6"/>
    <w:rsid w:val="1C346B6C"/>
    <w:rsid w:val="1C355D29"/>
    <w:rsid w:val="1C4A4D16"/>
    <w:rsid w:val="1C556DAA"/>
    <w:rsid w:val="1C570FC5"/>
    <w:rsid w:val="1C572942"/>
    <w:rsid w:val="1C5D3C4D"/>
    <w:rsid w:val="1C6568C1"/>
    <w:rsid w:val="1C6F3CCF"/>
    <w:rsid w:val="1C725B22"/>
    <w:rsid w:val="1C737D4F"/>
    <w:rsid w:val="1C784901"/>
    <w:rsid w:val="1C9341AE"/>
    <w:rsid w:val="1C935FDB"/>
    <w:rsid w:val="1C993FCC"/>
    <w:rsid w:val="1C9C3F9F"/>
    <w:rsid w:val="1CA711A3"/>
    <w:rsid w:val="1CAD097E"/>
    <w:rsid w:val="1CB7179E"/>
    <w:rsid w:val="1CB8730B"/>
    <w:rsid w:val="1CC203A3"/>
    <w:rsid w:val="1CD7545A"/>
    <w:rsid w:val="1CDB6556"/>
    <w:rsid w:val="1CE11BAA"/>
    <w:rsid w:val="1CFF6D3A"/>
    <w:rsid w:val="1D036806"/>
    <w:rsid w:val="1D2813A7"/>
    <w:rsid w:val="1D3778C7"/>
    <w:rsid w:val="1D4B6358"/>
    <w:rsid w:val="1D4B7BFC"/>
    <w:rsid w:val="1D510C0F"/>
    <w:rsid w:val="1D633925"/>
    <w:rsid w:val="1D6771E4"/>
    <w:rsid w:val="1D887A36"/>
    <w:rsid w:val="1D8B5AE5"/>
    <w:rsid w:val="1D9446B6"/>
    <w:rsid w:val="1D9720E3"/>
    <w:rsid w:val="1D983CB2"/>
    <w:rsid w:val="1DA325CC"/>
    <w:rsid w:val="1DCD5CB1"/>
    <w:rsid w:val="1DEF1D32"/>
    <w:rsid w:val="1DF86F2E"/>
    <w:rsid w:val="1E1853BD"/>
    <w:rsid w:val="1E1F0C8B"/>
    <w:rsid w:val="1E3B39D9"/>
    <w:rsid w:val="1E5737B3"/>
    <w:rsid w:val="1E5E633C"/>
    <w:rsid w:val="1E697177"/>
    <w:rsid w:val="1E83354E"/>
    <w:rsid w:val="1E873CC8"/>
    <w:rsid w:val="1E976304"/>
    <w:rsid w:val="1EA3429B"/>
    <w:rsid w:val="1ECB2690"/>
    <w:rsid w:val="1EDE6BC3"/>
    <w:rsid w:val="1EDF4BD2"/>
    <w:rsid w:val="1EEB7551"/>
    <w:rsid w:val="1F1F0B10"/>
    <w:rsid w:val="1F345A2F"/>
    <w:rsid w:val="1F464FEA"/>
    <w:rsid w:val="1F635832"/>
    <w:rsid w:val="1F8950E7"/>
    <w:rsid w:val="1F9B1839"/>
    <w:rsid w:val="1FA92F69"/>
    <w:rsid w:val="1FAB3793"/>
    <w:rsid w:val="1FCB4108"/>
    <w:rsid w:val="1FCE3A8A"/>
    <w:rsid w:val="1FDF3E8E"/>
    <w:rsid w:val="20061E52"/>
    <w:rsid w:val="20127160"/>
    <w:rsid w:val="20183AD9"/>
    <w:rsid w:val="20272064"/>
    <w:rsid w:val="20296706"/>
    <w:rsid w:val="202C0033"/>
    <w:rsid w:val="20326387"/>
    <w:rsid w:val="20345A7D"/>
    <w:rsid w:val="20636F3A"/>
    <w:rsid w:val="207209ED"/>
    <w:rsid w:val="2072136E"/>
    <w:rsid w:val="20807E8B"/>
    <w:rsid w:val="20971A13"/>
    <w:rsid w:val="20BE0ED9"/>
    <w:rsid w:val="20D251F6"/>
    <w:rsid w:val="20D61A2A"/>
    <w:rsid w:val="2112332F"/>
    <w:rsid w:val="212914B7"/>
    <w:rsid w:val="215469C2"/>
    <w:rsid w:val="215F7D83"/>
    <w:rsid w:val="21634E2C"/>
    <w:rsid w:val="21822BE2"/>
    <w:rsid w:val="21840028"/>
    <w:rsid w:val="218A318D"/>
    <w:rsid w:val="21955DFD"/>
    <w:rsid w:val="21A61712"/>
    <w:rsid w:val="21A90A60"/>
    <w:rsid w:val="21AB121A"/>
    <w:rsid w:val="21B04C7D"/>
    <w:rsid w:val="21B12C55"/>
    <w:rsid w:val="21CB5BB8"/>
    <w:rsid w:val="21D36D57"/>
    <w:rsid w:val="21D9062A"/>
    <w:rsid w:val="21E01A23"/>
    <w:rsid w:val="21E55445"/>
    <w:rsid w:val="21EE7AB9"/>
    <w:rsid w:val="21FA65B0"/>
    <w:rsid w:val="220A5202"/>
    <w:rsid w:val="221C0C22"/>
    <w:rsid w:val="2221772E"/>
    <w:rsid w:val="222A6E16"/>
    <w:rsid w:val="223A211F"/>
    <w:rsid w:val="223D6325"/>
    <w:rsid w:val="224F1CAD"/>
    <w:rsid w:val="225E1BDC"/>
    <w:rsid w:val="22844935"/>
    <w:rsid w:val="228E34B4"/>
    <w:rsid w:val="22AD2A82"/>
    <w:rsid w:val="22DB34D9"/>
    <w:rsid w:val="22FA0E80"/>
    <w:rsid w:val="231675A9"/>
    <w:rsid w:val="231F63AC"/>
    <w:rsid w:val="23270C12"/>
    <w:rsid w:val="233A5DBA"/>
    <w:rsid w:val="23451670"/>
    <w:rsid w:val="234969A2"/>
    <w:rsid w:val="236F7268"/>
    <w:rsid w:val="238D5B79"/>
    <w:rsid w:val="23B47454"/>
    <w:rsid w:val="23BA0F30"/>
    <w:rsid w:val="23BC3AF3"/>
    <w:rsid w:val="23E26CD7"/>
    <w:rsid w:val="24086E7E"/>
    <w:rsid w:val="241308D1"/>
    <w:rsid w:val="241556B7"/>
    <w:rsid w:val="24584F62"/>
    <w:rsid w:val="247D15C3"/>
    <w:rsid w:val="24830A5B"/>
    <w:rsid w:val="248F79CC"/>
    <w:rsid w:val="24974A67"/>
    <w:rsid w:val="249A5E3A"/>
    <w:rsid w:val="24A27B0D"/>
    <w:rsid w:val="24D224C7"/>
    <w:rsid w:val="24EE64BB"/>
    <w:rsid w:val="24F5127F"/>
    <w:rsid w:val="24FE2F9A"/>
    <w:rsid w:val="250560AC"/>
    <w:rsid w:val="25085ADD"/>
    <w:rsid w:val="2514459C"/>
    <w:rsid w:val="25291A5F"/>
    <w:rsid w:val="25427FE9"/>
    <w:rsid w:val="254865BB"/>
    <w:rsid w:val="256E4A38"/>
    <w:rsid w:val="257D6DBF"/>
    <w:rsid w:val="257F6742"/>
    <w:rsid w:val="258330BA"/>
    <w:rsid w:val="25936104"/>
    <w:rsid w:val="259B7663"/>
    <w:rsid w:val="259D70CC"/>
    <w:rsid w:val="25E85BA9"/>
    <w:rsid w:val="25EA6590"/>
    <w:rsid w:val="25F13DB7"/>
    <w:rsid w:val="25FC0296"/>
    <w:rsid w:val="25FF67FB"/>
    <w:rsid w:val="2627003D"/>
    <w:rsid w:val="2635298F"/>
    <w:rsid w:val="26413BE9"/>
    <w:rsid w:val="26546A75"/>
    <w:rsid w:val="265772B4"/>
    <w:rsid w:val="26711E9D"/>
    <w:rsid w:val="267362AB"/>
    <w:rsid w:val="26760048"/>
    <w:rsid w:val="26823497"/>
    <w:rsid w:val="268A152C"/>
    <w:rsid w:val="26A32153"/>
    <w:rsid w:val="26D42AAC"/>
    <w:rsid w:val="26D93EA0"/>
    <w:rsid w:val="26DF14DB"/>
    <w:rsid w:val="26F10BA2"/>
    <w:rsid w:val="27132C54"/>
    <w:rsid w:val="27321C4C"/>
    <w:rsid w:val="273F51F5"/>
    <w:rsid w:val="274578D4"/>
    <w:rsid w:val="274C37A4"/>
    <w:rsid w:val="276A5A9D"/>
    <w:rsid w:val="277A5A61"/>
    <w:rsid w:val="27887E5B"/>
    <w:rsid w:val="2797386C"/>
    <w:rsid w:val="279908E2"/>
    <w:rsid w:val="279C5D53"/>
    <w:rsid w:val="27A13CCA"/>
    <w:rsid w:val="27A606BE"/>
    <w:rsid w:val="27B52CD1"/>
    <w:rsid w:val="27D71AF1"/>
    <w:rsid w:val="27EA7D6A"/>
    <w:rsid w:val="27EF40A7"/>
    <w:rsid w:val="27F76850"/>
    <w:rsid w:val="27FB44F0"/>
    <w:rsid w:val="28023A3D"/>
    <w:rsid w:val="28280F12"/>
    <w:rsid w:val="28301037"/>
    <w:rsid w:val="284A0138"/>
    <w:rsid w:val="285773A6"/>
    <w:rsid w:val="285C796F"/>
    <w:rsid w:val="28675EE5"/>
    <w:rsid w:val="28835D72"/>
    <w:rsid w:val="288F72FD"/>
    <w:rsid w:val="289361A4"/>
    <w:rsid w:val="289703E5"/>
    <w:rsid w:val="28C865B6"/>
    <w:rsid w:val="28CE5090"/>
    <w:rsid w:val="28E83937"/>
    <w:rsid w:val="28EC435F"/>
    <w:rsid w:val="28F35B80"/>
    <w:rsid w:val="291679E7"/>
    <w:rsid w:val="291B0620"/>
    <w:rsid w:val="291B0E92"/>
    <w:rsid w:val="291D29FD"/>
    <w:rsid w:val="294E380A"/>
    <w:rsid w:val="2969345B"/>
    <w:rsid w:val="29883BEF"/>
    <w:rsid w:val="29A5006B"/>
    <w:rsid w:val="29A81C0A"/>
    <w:rsid w:val="29BA3BCB"/>
    <w:rsid w:val="29E70460"/>
    <w:rsid w:val="2A0076E7"/>
    <w:rsid w:val="2A050C55"/>
    <w:rsid w:val="2A0F39FA"/>
    <w:rsid w:val="2A101098"/>
    <w:rsid w:val="2A11498D"/>
    <w:rsid w:val="2A1E0467"/>
    <w:rsid w:val="2A2949B2"/>
    <w:rsid w:val="2A361EB3"/>
    <w:rsid w:val="2A435B9F"/>
    <w:rsid w:val="2A473AAA"/>
    <w:rsid w:val="2A570191"/>
    <w:rsid w:val="2A5F2511"/>
    <w:rsid w:val="2A6A5CC3"/>
    <w:rsid w:val="2A873307"/>
    <w:rsid w:val="2AA1716F"/>
    <w:rsid w:val="2AA5538F"/>
    <w:rsid w:val="2AA64C74"/>
    <w:rsid w:val="2AA77796"/>
    <w:rsid w:val="2ABB2FFA"/>
    <w:rsid w:val="2AC810F2"/>
    <w:rsid w:val="2ADF135E"/>
    <w:rsid w:val="2AEF7BE7"/>
    <w:rsid w:val="2B3C0529"/>
    <w:rsid w:val="2B3F23E7"/>
    <w:rsid w:val="2B493399"/>
    <w:rsid w:val="2B4F710B"/>
    <w:rsid w:val="2B6C67FA"/>
    <w:rsid w:val="2B700FA5"/>
    <w:rsid w:val="2B7D7254"/>
    <w:rsid w:val="2B905751"/>
    <w:rsid w:val="2BC24C8D"/>
    <w:rsid w:val="2BD37A9B"/>
    <w:rsid w:val="2BD773CD"/>
    <w:rsid w:val="2C0108F0"/>
    <w:rsid w:val="2C020D90"/>
    <w:rsid w:val="2C060CD8"/>
    <w:rsid w:val="2C212244"/>
    <w:rsid w:val="2C345F53"/>
    <w:rsid w:val="2C4520C9"/>
    <w:rsid w:val="2C682E90"/>
    <w:rsid w:val="2C6E29F7"/>
    <w:rsid w:val="2C78282C"/>
    <w:rsid w:val="2C814D8D"/>
    <w:rsid w:val="2CA40F28"/>
    <w:rsid w:val="2CBA2F10"/>
    <w:rsid w:val="2CC35385"/>
    <w:rsid w:val="2CC618A0"/>
    <w:rsid w:val="2CD4196D"/>
    <w:rsid w:val="2CE130DC"/>
    <w:rsid w:val="2D014A77"/>
    <w:rsid w:val="2D0E755C"/>
    <w:rsid w:val="2D1C19B6"/>
    <w:rsid w:val="2D1C7919"/>
    <w:rsid w:val="2D2B0D5E"/>
    <w:rsid w:val="2D306A77"/>
    <w:rsid w:val="2D3B5B48"/>
    <w:rsid w:val="2D437038"/>
    <w:rsid w:val="2D451DB8"/>
    <w:rsid w:val="2D475DE6"/>
    <w:rsid w:val="2D4A68C0"/>
    <w:rsid w:val="2D60730D"/>
    <w:rsid w:val="2D651C7D"/>
    <w:rsid w:val="2D6706EB"/>
    <w:rsid w:val="2D8B0771"/>
    <w:rsid w:val="2D9672ED"/>
    <w:rsid w:val="2D9C3CC7"/>
    <w:rsid w:val="2DA13A94"/>
    <w:rsid w:val="2DA70988"/>
    <w:rsid w:val="2DB61567"/>
    <w:rsid w:val="2DE40B8A"/>
    <w:rsid w:val="2DE92FC9"/>
    <w:rsid w:val="2DEB254F"/>
    <w:rsid w:val="2DF73A5B"/>
    <w:rsid w:val="2E073877"/>
    <w:rsid w:val="2E0F444F"/>
    <w:rsid w:val="2E3811E3"/>
    <w:rsid w:val="2E44691E"/>
    <w:rsid w:val="2E9D6EE2"/>
    <w:rsid w:val="2ECD75AB"/>
    <w:rsid w:val="2EDA403E"/>
    <w:rsid w:val="2F063C19"/>
    <w:rsid w:val="2F232EB7"/>
    <w:rsid w:val="2F504068"/>
    <w:rsid w:val="2F593740"/>
    <w:rsid w:val="2F7560D8"/>
    <w:rsid w:val="2F760877"/>
    <w:rsid w:val="2F897553"/>
    <w:rsid w:val="2F9A510C"/>
    <w:rsid w:val="2FA869BF"/>
    <w:rsid w:val="2FAC0380"/>
    <w:rsid w:val="2FDB7451"/>
    <w:rsid w:val="2FEA27B5"/>
    <w:rsid w:val="2FF1220D"/>
    <w:rsid w:val="2FF124EE"/>
    <w:rsid w:val="30022F41"/>
    <w:rsid w:val="300B546C"/>
    <w:rsid w:val="3034062C"/>
    <w:rsid w:val="303466EF"/>
    <w:rsid w:val="303947E6"/>
    <w:rsid w:val="304B53B5"/>
    <w:rsid w:val="3050190A"/>
    <w:rsid w:val="30561AA4"/>
    <w:rsid w:val="30571CE1"/>
    <w:rsid w:val="306160A8"/>
    <w:rsid w:val="306974DE"/>
    <w:rsid w:val="308570DA"/>
    <w:rsid w:val="309061AB"/>
    <w:rsid w:val="30BB4BBC"/>
    <w:rsid w:val="30BF68EF"/>
    <w:rsid w:val="30CF523D"/>
    <w:rsid w:val="30D4446A"/>
    <w:rsid w:val="30D7159E"/>
    <w:rsid w:val="30E571DD"/>
    <w:rsid w:val="30F145C1"/>
    <w:rsid w:val="312E7E73"/>
    <w:rsid w:val="31342FDA"/>
    <w:rsid w:val="314B298D"/>
    <w:rsid w:val="31676DCD"/>
    <w:rsid w:val="31693325"/>
    <w:rsid w:val="317909ED"/>
    <w:rsid w:val="31A87135"/>
    <w:rsid w:val="31AA329C"/>
    <w:rsid w:val="31B23365"/>
    <w:rsid w:val="31C11E2D"/>
    <w:rsid w:val="31C66225"/>
    <w:rsid w:val="31CA1DF5"/>
    <w:rsid w:val="31D10829"/>
    <w:rsid w:val="31D9516F"/>
    <w:rsid w:val="31F33CF4"/>
    <w:rsid w:val="31F95E05"/>
    <w:rsid w:val="3207249C"/>
    <w:rsid w:val="320F1772"/>
    <w:rsid w:val="321C2535"/>
    <w:rsid w:val="321D2940"/>
    <w:rsid w:val="322D27DB"/>
    <w:rsid w:val="324273D2"/>
    <w:rsid w:val="32545A06"/>
    <w:rsid w:val="326D1544"/>
    <w:rsid w:val="327C459C"/>
    <w:rsid w:val="327E41AE"/>
    <w:rsid w:val="32841682"/>
    <w:rsid w:val="32A80013"/>
    <w:rsid w:val="32AE4B51"/>
    <w:rsid w:val="32B13A79"/>
    <w:rsid w:val="32B56BC3"/>
    <w:rsid w:val="32C13AF7"/>
    <w:rsid w:val="32F26CA9"/>
    <w:rsid w:val="32F70BBC"/>
    <w:rsid w:val="32FB3002"/>
    <w:rsid w:val="32FE17D4"/>
    <w:rsid w:val="33103267"/>
    <w:rsid w:val="33105242"/>
    <w:rsid w:val="331620A2"/>
    <w:rsid w:val="333077D1"/>
    <w:rsid w:val="334E3919"/>
    <w:rsid w:val="33522D51"/>
    <w:rsid w:val="336B41F1"/>
    <w:rsid w:val="33792A8D"/>
    <w:rsid w:val="337C4C56"/>
    <w:rsid w:val="338C2BC1"/>
    <w:rsid w:val="338E6F95"/>
    <w:rsid w:val="33A17B6D"/>
    <w:rsid w:val="33AA7583"/>
    <w:rsid w:val="33B165EF"/>
    <w:rsid w:val="33CA4715"/>
    <w:rsid w:val="33DE5E66"/>
    <w:rsid w:val="33E2235A"/>
    <w:rsid w:val="33E349AA"/>
    <w:rsid w:val="33E514CF"/>
    <w:rsid w:val="343676A0"/>
    <w:rsid w:val="3438629B"/>
    <w:rsid w:val="3442196C"/>
    <w:rsid w:val="34622650"/>
    <w:rsid w:val="346C5A52"/>
    <w:rsid w:val="34780283"/>
    <w:rsid w:val="34843E25"/>
    <w:rsid w:val="348509E7"/>
    <w:rsid w:val="34D17B8C"/>
    <w:rsid w:val="34D23B09"/>
    <w:rsid w:val="34FE4938"/>
    <w:rsid w:val="35124A8B"/>
    <w:rsid w:val="3520127B"/>
    <w:rsid w:val="3527249F"/>
    <w:rsid w:val="354A03A7"/>
    <w:rsid w:val="355A3E29"/>
    <w:rsid w:val="356658C9"/>
    <w:rsid w:val="358633CD"/>
    <w:rsid w:val="35942522"/>
    <w:rsid w:val="359E6C74"/>
    <w:rsid w:val="35B27D87"/>
    <w:rsid w:val="35B80981"/>
    <w:rsid w:val="35D14C44"/>
    <w:rsid w:val="35DA12E4"/>
    <w:rsid w:val="35FF26FD"/>
    <w:rsid w:val="360B18EA"/>
    <w:rsid w:val="360E6EDE"/>
    <w:rsid w:val="361D6A8E"/>
    <w:rsid w:val="362A4E86"/>
    <w:rsid w:val="36337978"/>
    <w:rsid w:val="363A19CA"/>
    <w:rsid w:val="36407025"/>
    <w:rsid w:val="3641300B"/>
    <w:rsid w:val="36575CFC"/>
    <w:rsid w:val="366A7AFE"/>
    <w:rsid w:val="366B72A3"/>
    <w:rsid w:val="3692543F"/>
    <w:rsid w:val="36A855AE"/>
    <w:rsid w:val="36B3194D"/>
    <w:rsid w:val="36C742B7"/>
    <w:rsid w:val="36C90C4B"/>
    <w:rsid w:val="36D5175A"/>
    <w:rsid w:val="36ED2AEA"/>
    <w:rsid w:val="36ED7D92"/>
    <w:rsid w:val="36F9145A"/>
    <w:rsid w:val="37034F1F"/>
    <w:rsid w:val="370D7F57"/>
    <w:rsid w:val="370F60C3"/>
    <w:rsid w:val="3711592B"/>
    <w:rsid w:val="3713136B"/>
    <w:rsid w:val="37290257"/>
    <w:rsid w:val="37315989"/>
    <w:rsid w:val="373618E8"/>
    <w:rsid w:val="37790D7B"/>
    <w:rsid w:val="378B43A5"/>
    <w:rsid w:val="379A1BB6"/>
    <w:rsid w:val="379F6EE4"/>
    <w:rsid w:val="37A0165A"/>
    <w:rsid w:val="37BD163B"/>
    <w:rsid w:val="37C12490"/>
    <w:rsid w:val="37E700AE"/>
    <w:rsid w:val="37FF018F"/>
    <w:rsid w:val="38004805"/>
    <w:rsid w:val="38047781"/>
    <w:rsid w:val="38187FD5"/>
    <w:rsid w:val="384E118D"/>
    <w:rsid w:val="386F4EFB"/>
    <w:rsid w:val="3875532A"/>
    <w:rsid w:val="387B7477"/>
    <w:rsid w:val="389F3521"/>
    <w:rsid w:val="389F5A95"/>
    <w:rsid w:val="38A917F5"/>
    <w:rsid w:val="38AC2FAE"/>
    <w:rsid w:val="38AE23C6"/>
    <w:rsid w:val="38CE5B6D"/>
    <w:rsid w:val="38DC3C54"/>
    <w:rsid w:val="38F0347F"/>
    <w:rsid w:val="38F75CCF"/>
    <w:rsid w:val="38FE7FB0"/>
    <w:rsid w:val="390A1ECF"/>
    <w:rsid w:val="390C4607"/>
    <w:rsid w:val="390E5EBF"/>
    <w:rsid w:val="391C7E02"/>
    <w:rsid w:val="39214ED5"/>
    <w:rsid w:val="39321F3C"/>
    <w:rsid w:val="39414F29"/>
    <w:rsid w:val="394176F6"/>
    <w:rsid w:val="3967488B"/>
    <w:rsid w:val="39734A9F"/>
    <w:rsid w:val="39756B90"/>
    <w:rsid w:val="39D05C98"/>
    <w:rsid w:val="39E10019"/>
    <w:rsid w:val="3A237439"/>
    <w:rsid w:val="3A2E3BFE"/>
    <w:rsid w:val="3A366B98"/>
    <w:rsid w:val="3A4E47DE"/>
    <w:rsid w:val="3A6669BA"/>
    <w:rsid w:val="3A8856BA"/>
    <w:rsid w:val="3A8F31B5"/>
    <w:rsid w:val="3A9321CA"/>
    <w:rsid w:val="3A9414B4"/>
    <w:rsid w:val="3AAD7959"/>
    <w:rsid w:val="3AB61B3C"/>
    <w:rsid w:val="3ABA4740"/>
    <w:rsid w:val="3AC95EBB"/>
    <w:rsid w:val="3B0B56FF"/>
    <w:rsid w:val="3B107E40"/>
    <w:rsid w:val="3B292BB8"/>
    <w:rsid w:val="3B2E44FB"/>
    <w:rsid w:val="3B4244DD"/>
    <w:rsid w:val="3B5E2BE4"/>
    <w:rsid w:val="3B6619D7"/>
    <w:rsid w:val="3B8F5B80"/>
    <w:rsid w:val="3B982D07"/>
    <w:rsid w:val="3BA02859"/>
    <w:rsid w:val="3BAD6A50"/>
    <w:rsid w:val="3BEA5089"/>
    <w:rsid w:val="3BFE0AEE"/>
    <w:rsid w:val="3C021242"/>
    <w:rsid w:val="3C191527"/>
    <w:rsid w:val="3C290157"/>
    <w:rsid w:val="3C5D7410"/>
    <w:rsid w:val="3C5D7B3F"/>
    <w:rsid w:val="3C7E6961"/>
    <w:rsid w:val="3C876ECD"/>
    <w:rsid w:val="3C991B20"/>
    <w:rsid w:val="3CB439F4"/>
    <w:rsid w:val="3CC17AA3"/>
    <w:rsid w:val="3CF11EAC"/>
    <w:rsid w:val="3CF272AF"/>
    <w:rsid w:val="3D090DDD"/>
    <w:rsid w:val="3D161FA6"/>
    <w:rsid w:val="3D2B3D98"/>
    <w:rsid w:val="3D3E5B6F"/>
    <w:rsid w:val="3D4B494E"/>
    <w:rsid w:val="3D4E7982"/>
    <w:rsid w:val="3D5F6E75"/>
    <w:rsid w:val="3D6E24A2"/>
    <w:rsid w:val="3D7A59F0"/>
    <w:rsid w:val="3D86598A"/>
    <w:rsid w:val="3D961F77"/>
    <w:rsid w:val="3D984913"/>
    <w:rsid w:val="3DB01748"/>
    <w:rsid w:val="3DB80550"/>
    <w:rsid w:val="3DC11B62"/>
    <w:rsid w:val="3DD472F8"/>
    <w:rsid w:val="3DE224FF"/>
    <w:rsid w:val="3DE63342"/>
    <w:rsid w:val="3DEB60E8"/>
    <w:rsid w:val="3DF46791"/>
    <w:rsid w:val="3E066635"/>
    <w:rsid w:val="3E363455"/>
    <w:rsid w:val="3E3C72CE"/>
    <w:rsid w:val="3E402F07"/>
    <w:rsid w:val="3E462C21"/>
    <w:rsid w:val="3E613D26"/>
    <w:rsid w:val="3E746C5D"/>
    <w:rsid w:val="3E9D4CB9"/>
    <w:rsid w:val="3ECA13E6"/>
    <w:rsid w:val="3EF2081B"/>
    <w:rsid w:val="3EFC5C44"/>
    <w:rsid w:val="3F07543D"/>
    <w:rsid w:val="3F0E6CDE"/>
    <w:rsid w:val="3F470D88"/>
    <w:rsid w:val="3F4906F4"/>
    <w:rsid w:val="3F6B7DE3"/>
    <w:rsid w:val="3F735DA4"/>
    <w:rsid w:val="3F807045"/>
    <w:rsid w:val="3FA04434"/>
    <w:rsid w:val="3FA80C63"/>
    <w:rsid w:val="3FAF5469"/>
    <w:rsid w:val="3FC0290A"/>
    <w:rsid w:val="3FC523E1"/>
    <w:rsid w:val="3FC77F3C"/>
    <w:rsid w:val="3FD32791"/>
    <w:rsid w:val="3FD37F58"/>
    <w:rsid w:val="3FE039DF"/>
    <w:rsid w:val="3FE52B3A"/>
    <w:rsid w:val="3FE829A5"/>
    <w:rsid w:val="40200E71"/>
    <w:rsid w:val="40254051"/>
    <w:rsid w:val="408819F1"/>
    <w:rsid w:val="40AD095C"/>
    <w:rsid w:val="40C42D5F"/>
    <w:rsid w:val="40C56636"/>
    <w:rsid w:val="40EC40B4"/>
    <w:rsid w:val="40F85B95"/>
    <w:rsid w:val="410C1FBA"/>
    <w:rsid w:val="410D7AB8"/>
    <w:rsid w:val="411C73B5"/>
    <w:rsid w:val="411E7371"/>
    <w:rsid w:val="412729B0"/>
    <w:rsid w:val="41287FFD"/>
    <w:rsid w:val="41497880"/>
    <w:rsid w:val="417972FB"/>
    <w:rsid w:val="41850A30"/>
    <w:rsid w:val="419675A1"/>
    <w:rsid w:val="419F619E"/>
    <w:rsid w:val="41B12F6B"/>
    <w:rsid w:val="41BE3C08"/>
    <w:rsid w:val="41BF005A"/>
    <w:rsid w:val="41C247B5"/>
    <w:rsid w:val="41C56A80"/>
    <w:rsid w:val="41EE26B8"/>
    <w:rsid w:val="41F432B1"/>
    <w:rsid w:val="41FE7966"/>
    <w:rsid w:val="42046492"/>
    <w:rsid w:val="42124FFC"/>
    <w:rsid w:val="421952EC"/>
    <w:rsid w:val="423277A7"/>
    <w:rsid w:val="423F32EF"/>
    <w:rsid w:val="424E723E"/>
    <w:rsid w:val="42616AF3"/>
    <w:rsid w:val="426F716A"/>
    <w:rsid w:val="42753B53"/>
    <w:rsid w:val="427862AA"/>
    <w:rsid w:val="428A2FB8"/>
    <w:rsid w:val="429178A2"/>
    <w:rsid w:val="429E7027"/>
    <w:rsid w:val="42BB551C"/>
    <w:rsid w:val="42C9661D"/>
    <w:rsid w:val="42CA6E86"/>
    <w:rsid w:val="42F2226B"/>
    <w:rsid w:val="430823B0"/>
    <w:rsid w:val="431165AD"/>
    <w:rsid w:val="434C474F"/>
    <w:rsid w:val="439A02A5"/>
    <w:rsid w:val="43A545CE"/>
    <w:rsid w:val="43C45D16"/>
    <w:rsid w:val="43CC11D8"/>
    <w:rsid w:val="43F1198B"/>
    <w:rsid w:val="440174F9"/>
    <w:rsid w:val="440206AC"/>
    <w:rsid w:val="44111132"/>
    <w:rsid w:val="44170379"/>
    <w:rsid w:val="44224F14"/>
    <w:rsid w:val="44257A99"/>
    <w:rsid w:val="442E0C8E"/>
    <w:rsid w:val="442E6973"/>
    <w:rsid w:val="4433060C"/>
    <w:rsid w:val="443734AE"/>
    <w:rsid w:val="44477E29"/>
    <w:rsid w:val="44861074"/>
    <w:rsid w:val="448D6ADA"/>
    <w:rsid w:val="449F0313"/>
    <w:rsid w:val="44A36047"/>
    <w:rsid w:val="44C7068E"/>
    <w:rsid w:val="44E8701D"/>
    <w:rsid w:val="45156827"/>
    <w:rsid w:val="451F7E32"/>
    <w:rsid w:val="453E1441"/>
    <w:rsid w:val="45433F8B"/>
    <w:rsid w:val="45460185"/>
    <w:rsid w:val="45464C32"/>
    <w:rsid w:val="454A079F"/>
    <w:rsid w:val="456B14B6"/>
    <w:rsid w:val="456D7629"/>
    <w:rsid w:val="4570420D"/>
    <w:rsid w:val="45893275"/>
    <w:rsid w:val="458B4E19"/>
    <w:rsid w:val="45930F62"/>
    <w:rsid w:val="459B78D2"/>
    <w:rsid w:val="45BC2FD6"/>
    <w:rsid w:val="45BD075B"/>
    <w:rsid w:val="45FA65EC"/>
    <w:rsid w:val="461A005C"/>
    <w:rsid w:val="461B2CF8"/>
    <w:rsid w:val="46430104"/>
    <w:rsid w:val="464540FD"/>
    <w:rsid w:val="46604917"/>
    <w:rsid w:val="46647A66"/>
    <w:rsid w:val="466970F6"/>
    <w:rsid w:val="46742955"/>
    <w:rsid w:val="46A42EF5"/>
    <w:rsid w:val="46B473F1"/>
    <w:rsid w:val="46BC1287"/>
    <w:rsid w:val="46DF702D"/>
    <w:rsid w:val="46E22D93"/>
    <w:rsid w:val="46E42955"/>
    <w:rsid w:val="46E70265"/>
    <w:rsid w:val="46FE483A"/>
    <w:rsid w:val="471247CA"/>
    <w:rsid w:val="47156485"/>
    <w:rsid w:val="472672C2"/>
    <w:rsid w:val="472D1A82"/>
    <w:rsid w:val="472E6878"/>
    <w:rsid w:val="473E5CE3"/>
    <w:rsid w:val="47440610"/>
    <w:rsid w:val="47454BEB"/>
    <w:rsid w:val="47561677"/>
    <w:rsid w:val="47573C81"/>
    <w:rsid w:val="476367ED"/>
    <w:rsid w:val="47637CD8"/>
    <w:rsid w:val="476E45DC"/>
    <w:rsid w:val="476F0470"/>
    <w:rsid w:val="47711C41"/>
    <w:rsid w:val="47847B1D"/>
    <w:rsid w:val="47883EB0"/>
    <w:rsid w:val="47AC387D"/>
    <w:rsid w:val="47AD0751"/>
    <w:rsid w:val="47CE6102"/>
    <w:rsid w:val="47D47863"/>
    <w:rsid w:val="47E62119"/>
    <w:rsid w:val="480046E7"/>
    <w:rsid w:val="48176F01"/>
    <w:rsid w:val="48313978"/>
    <w:rsid w:val="485F63D7"/>
    <w:rsid w:val="488A699C"/>
    <w:rsid w:val="488B0409"/>
    <w:rsid w:val="4892644D"/>
    <w:rsid w:val="48C50C9A"/>
    <w:rsid w:val="48F22724"/>
    <w:rsid w:val="49197C02"/>
    <w:rsid w:val="492F14E2"/>
    <w:rsid w:val="493E4087"/>
    <w:rsid w:val="494B26E8"/>
    <w:rsid w:val="49534F2D"/>
    <w:rsid w:val="49540338"/>
    <w:rsid w:val="495B21DD"/>
    <w:rsid w:val="496170A0"/>
    <w:rsid w:val="4972249A"/>
    <w:rsid w:val="498B2668"/>
    <w:rsid w:val="499A72FA"/>
    <w:rsid w:val="49A01370"/>
    <w:rsid w:val="49A308A5"/>
    <w:rsid w:val="49B43F88"/>
    <w:rsid w:val="49B92943"/>
    <w:rsid w:val="49C2712F"/>
    <w:rsid w:val="49C83FE2"/>
    <w:rsid w:val="49D94FA5"/>
    <w:rsid w:val="49E9640B"/>
    <w:rsid w:val="49F17862"/>
    <w:rsid w:val="49F96717"/>
    <w:rsid w:val="4A177127"/>
    <w:rsid w:val="4A5B01D8"/>
    <w:rsid w:val="4A6B64C9"/>
    <w:rsid w:val="4A6D4A0F"/>
    <w:rsid w:val="4A7C3887"/>
    <w:rsid w:val="4A86008B"/>
    <w:rsid w:val="4AA265E8"/>
    <w:rsid w:val="4ABA40AA"/>
    <w:rsid w:val="4AD043E5"/>
    <w:rsid w:val="4AD26D90"/>
    <w:rsid w:val="4AE7594F"/>
    <w:rsid w:val="4AFB19CB"/>
    <w:rsid w:val="4AFE1C9D"/>
    <w:rsid w:val="4B057873"/>
    <w:rsid w:val="4B0C61BF"/>
    <w:rsid w:val="4B1E4D8D"/>
    <w:rsid w:val="4B486714"/>
    <w:rsid w:val="4B502367"/>
    <w:rsid w:val="4B506B07"/>
    <w:rsid w:val="4B745939"/>
    <w:rsid w:val="4B8C58E0"/>
    <w:rsid w:val="4BA13EBD"/>
    <w:rsid w:val="4BAD3F8C"/>
    <w:rsid w:val="4BC6509A"/>
    <w:rsid w:val="4BEA57AB"/>
    <w:rsid w:val="4BF9422A"/>
    <w:rsid w:val="4C101E7B"/>
    <w:rsid w:val="4C3E2697"/>
    <w:rsid w:val="4C522088"/>
    <w:rsid w:val="4C770FB8"/>
    <w:rsid w:val="4C774EC2"/>
    <w:rsid w:val="4C78682A"/>
    <w:rsid w:val="4C90493B"/>
    <w:rsid w:val="4C9D6649"/>
    <w:rsid w:val="4CB050F2"/>
    <w:rsid w:val="4CD61507"/>
    <w:rsid w:val="4CD82ABA"/>
    <w:rsid w:val="4D334778"/>
    <w:rsid w:val="4D4D07EE"/>
    <w:rsid w:val="4D522FB6"/>
    <w:rsid w:val="4D5F70FB"/>
    <w:rsid w:val="4D6776CC"/>
    <w:rsid w:val="4D6A3FBD"/>
    <w:rsid w:val="4D775538"/>
    <w:rsid w:val="4D9330A4"/>
    <w:rsid w:val="4D945723"/>
    <w:rsid w:val="4D964FDC"/>
    <w:rsid w:val="4D9E7635"/>
    <w:rsid w:val="4DB86E03"/>
    <w:rsid w:val="4DBC6854"/>
    <w:rsid w:val="4DC52509"/>
    <w:rsid w:val="4DC714ED"/>
    <w:rsid w:val="4DCD5F51"/>
    <w:rsid w:val="4DD51DDA"/>
    <w:rsid w:val="4DD7606C"/>
    <w:rsid w:val="4DE905AE"/>
    <w:rsid w:val="4E086E88"/>
    <w:rsid w:val="4E0B1C04"/>
    <w:rsid w:val="4E2C6C91"/>
    <w:rsid w:val="4E451AD2"/>
    <w:rsid w:val="4E546612"/>
    <w:rsid w:val="4E567F8C"/>
    <w:rsid w:val="4E7B4F3A"/>
    <w:rsid w:val="4E881FCA"/>
    <w:rsid w:val="4E8D46FD"/>
    <w:rsid w:val="4E942D6D"/>
    <w:rsid w:val="4E9821BA"/>
    <w:rsid w:val="4EFA302D"/>
    <w:rsid w:val="4F085C3B"/>
    <w:rsid w:val="4F1E5572"/>
    <w:rsid w:val="4F20645D"/>
    <w:rsid w:val="4F2C3F21"/>
    <w:rsid w:val="4F3952A4"/>
    <w:rsid w:val="4F4F7835"/>
    <w:rsid w:val="4F6208E8"/>
    <w:rsid w:val="4F6B686D"/>
    <w:rsid w:val="4F6E5084"/>
    <w:rsid w:val="4F6F1CC8"/>
    <w:rsid w:val="4F78018C"/>
    <w:rsid w:val="4F7F71A0"/>
    <w:rsid w:val="4F96594E"/>
    <w:rsid w:val="4FC60E6A"/>
    <w:rsid w:val="4FF7217D"/>
    <w:rsid w:val="4FF745A6"/>
    <w:rsid w:val="500478F6"/>
    <w:rsid w:val="50083CA0"/>
    <w:rsid w:val="501715D7"/>
    <w:rsid w:val="501A73E7"/>
    <w:rsid w:val="502739A9"/>
    <w:rsid w:val="502C3517"/>
    <w:rsid w:val="505931D5"/>
    <w:rsid w:val="509132B9"/>
    <w:rsid w:val="50B33A0F"/>
    <w:rsid w:val="50B86668"/>
    <w:rsid w:val="50B94813"/>
    <w:rsid w:val="50DD78C0"/>
    <w:rsid w:val="50DE08B4"/>
    <w:rsid w:val="50FD51B3"/>
    <w:rsid w:val="50FE1B69"/>
    <w:rsid w:val="51033607"/>
    <w:rsid w:val="51037E4D"/>
    <w:rsid w:val="51215526"/>
    <w:rsid w:val="512C64C4"/>
    <w:rsid w:val="513E0360"/>
    <w:rsid w:val="516163FD"/>
    <w:rsid w:val="51656D4C"/>
    <w:rsid w:val="51786E44"/>
    <w:rsid w:val="51901F07"/>
    <w:rsid w:val="51975969"/>
    <w:rsid w:val="519B5C5E"/>
    <w:rsid w:val="519C2B5A"/>
    <w:rsid w:val="51B87D65"/>
    <w:rsid w:val="521A3585"/>
    <w:rsid w:val="52251615"/>
    <w:rsid w:val="523D180D"/>
    <w:rsid w:val="524349D3"/>
    <w:rsid w:val="52461BCF"/>
    <w:rsid w:val="5296748C"/>
    <w:rsid w:val="52BC004C"/>
    <w:rsid w:val="52D649E5"/>
    <w:rsid w:val="52EC0AD9"/>
    <w:rsid w:val="52F178D4"/>
    <w:rsid w:val="534053B7"/>
    <w:rsid w:val="535B7B08"/>
    <w:rsid w:val="53665ABA"/>
    <w:rsid w:val="53BE1B55"/>
    <w:rsid w:val="53C97781"/>
    <w:rsid w:val="53FE78A0"/>
    <w:rsid w:val="54053E97"/>
    <w:rsid w:val="54311574"/>
    <w:rsid w:val="54394FBB"/>
    <w:rsid w:val="543E696D"/>
    <w:rsid w:val="54784372"/>
    <w:rsid w:val="548D47E6"/>
    <w:rsid w:val="54A65A53"/>
    <w:rsid w:val="54F46817"/>
    <w:rsid w:val="54FC70BB"/>
    <w:rsid w:val="5501079D"/>
    <w:rsid w:val="550801A7"/>
    <w:rsid w:val="550B6828"/>
    <w:rsid w:val="55507566"/>
    <w:rsid w:val="55647961"/>
    <w:rsid w:val="55753BE1"/>
    <w:rsid w:val="55860FED"/>
    <w:rsid w:val="559476AD"/>
    <w:rsid w:val="55985036"/>
    <w:rsid w:val="55AB3510"/>
    <w:rsid w:val="55BA3D27"/>
    <w:rsid w:val="55BF1536"/>
    <w:rsid w:val="55C80E72"/>
    <w:rsid w:val="55CB7680"/>
    <w:rsid w:val="55D76439"/>
    <w:rsid w:val="55DD02C0"/>
    <w:rsid w:val="55E75BE1"/>
    <w:rsid w:val="561C16D5"/>
    <w:rsid w:val="562E70D5"/>
    <w:rsid w:val="563936CF"/>
    <w:rsid w:val="56581397"/>
    <w:rsid w:val="56674091"/>
    <w:rsid w:val="56763F17"/>
    <w:rsid w:val="567B4D05"/>
    <w:rsid w:val="56937016"/>
    <w:rsid w:val="569752EE"/>
    <w:rsid w:val="569F41A2"/>
    <w:rsid w:val="56BD163F"/>
    <w:rsid w:val="56C208D9"/>
    <w:rsid w:val="56D03449"/>
    <w:rsid w:val="56D23F60"/>
    <w:rsid w:val="56D46702"/>
    <w:rsid w:val="56DA2C12"/>
    <w:rsid w:val="56EF73AC"/>
    <w:rsid w:val="56F616CA"/>
    <w:rsid w:val="56F67722"/>
    <w:rsid w:val="56FC33A3"/>
    <w:rsid w:val="57003755"/>
    <w:rsid w:val="573C2B6A"/>
    <w:rsid w:val="57547721"/>
    <w:rsid w:val="577603B2"/>
    <w:rsid w:val="57945CD1"/>
    <w:rsid w:val="57A37CC2"/>
    <w:rsid w:val="57A934F0"/>
    <w:rsid w:val="57CA2A93"/>
    <w:rsid w:val="57F83C45"/>
    <w:rsid w:val="57FD682B"/>
    <w:rsid w:val="58052A67"/>
    <w:rsid w:val="58216A24"/>
    <w:rsid w:val="58293682"/>
    <w:rsid w:val="58342C2C"/>
    <w:rsid w:val="584427BB"/>
    <w:rsid w:val="587608C3"/>
    <w:rsid w:val="587B3A94"/>
    <w:rsid w:val="58866D15"/>
    <w:rsid w:val="5887300D"/>
    <w:rsid w:val="589759B4"/>
    <w:rsid w:val="58A3088C"/>
    <w:rsid w:val="58A4027E"/>
    <w:rsid w:val="58BD34B0"/>
    <w:rsid w:val="58BE64DA"/>
    <w:rsid w:val="58C92476"/>
    <w:rsid w:val="59262365"/>
    <w:rsid w:val="59294739"/>
    <w:rsid w:val="5931649C"/>
    <w:rsid w:val="593A51FE"/>
    <w:rsid w:val="5943175D"/>
    <w:rsid w:val="59480E1A"/>
    <w:rsid w:val="595922BA"/>
    <w:rsid w:val="596272F3"/>
    <w:rsid w:val="596560A9"/>
    <w:rsid w:val="596C7119"/>
    <w:rsid w:val="597A2940"/>
    <w:rsid w:val="599607BA"/>
    <w:rsid w:val="59AD12BA"/>
    <w:rsid w:val="59AF55CF"/>
    <w:rsid w:val="59D71BD8"/>
    <w:rsid w:val="59DD1391"/>
    <w:rsid w:val="59DF03A2"/>
    <w:rsid w:val="59E545C2"/>
    <w:rsid w:val="59FA7F8D"/>
    <w:rsid w:val="5A010301"/>
    <w:rsid w:val="5A0C619B"/>
    <w:rsid w:val="5A107B44"/>
    <w:rsid w:val="5A2C78C0"/>
    <w:rsid w:val="5A2D13D3"/>
    <w:rsid w:val="5A637332"/>
    <w:rsid w:val="5A6C2E6E"/>
    <w:rsid w:val="5A753861"/>
    <w:rsid w:val="5A7F1435"/>
    <w:rsid w:val="5A845985"/>
    <w:rsid w:val="5AB0049A"/>
    <w:rsid w:val="5ACB44F3"/>
    <w:rsid w:val="5ACE7632"/>
    <w:rsid w:val="5AD3099C"/>
    <w:rsid w:val="5AEE5A68"/>
    <w:rsid w:val="5AFB1B19"/>
    <w:rsid w:val="5B056F42"/>
    <w:rsid w:val="5B057235"/>
    <w:rsid w:val="5B0C72FF"/>
    <w:rsid w:val="5B1423EC"/>
    <w:rsid w:val="5B3970F8"/>
    <w:rsid w:val="5B4134F3"/>
    <w:rsid w:val="5B5432AE"/>
    <w:rsid w:val="5B5C5B6E"/>
    <w:rsid w:val="5B680958"/>
    <w:rsid w:val="5B8C000D"/>
    <w:rsid w:val="5B8D4A43"/>
    <w:rsid w:val="5B971227"/>
    <w:rsid w:val="5BAC08EC"/>
    <w:rsid w:val="5BB24853"/>
    <w:rsid w:val="5BB649FC"/>
    <w:rsid w:val="5BBB3836"/>
    <w:rsid w:val="5BD306B2"/>
    <w:rsid w:val="5BDA5F23"/>
    <w:rsid w:val="5BE02DDA"/>
    <w:rsid w:val="5BFC2241"/>
    <w:rsid w:val="5C5F2BBB"/>
    <w:rsid w:val="5C6C071B"/>
    <w:rsid w:val="5C76606A"/>
    <w:rsid w:val="5CA65208"/>
    <w:rsid w:val="5CA73DB1"/>
    <w:rsid w:val="5CA74402"/>
    <w:rsid w:val="5CAC2119"/>
    <w:rsid w:val="5CC14BA7"/>
    <w:rsid w:val="5CCE0639"/>
    <w:rsid w:val="5CD5218F"/>
    <w:rsid w:val="5CF13EAF"/>
    <w:rsid w:val="5CF61109"/>
    <w:rsid w:val="5CF717CB"/>
    <w:rsid w:val="5D120C72"/>
    <w:rsid w:val="5D417D61"/>
    <w:rsid w:val="5D431DE2"/>
    <w:rsid w:val="5D4832D2"/>
    <w:rsid w:val="5D4F5A63"/>
    <w:rsid w:val="5D5A6197"/>
    <w:rsid w:val="5D660231"/>
    <w:rsid w:val="5DE64BF9"/>
    <w:rsid w:val="5DED07FA"/>
    <w:rsid w:val="5DEF0AC3"/>
    <w:rsid w:val="5DF5698D"/>
    <w:rsid w:val="5DF84E75"/>
    <w:rsid w:val="5DFC1EDA"/>
    <w:rsid w:val="5DFE448A"/>
    <w:rsid w:val="5E0952FA"/>
    <w:rsid w:val="5E1A1693"/>
    <w:rsid w:val="5E287173"/>
    <w:rsid w:val="5E2F7B9F"/>
    <w:rsid w:val="5E3139F7"/>
    <w:rsid w:val="5E5B4E53"/>
    <w:rsid w:val="5E604B5A"/>
    <w:rsid w:val="5E694802"/>
    <w:rsid w:val="5E6C3504"/>
    <w:rsid w:val="5E721E52"/>
    <w:rsid w:val="5E800508"/>
    <w:rsid w:val="5E845069"/>
    <w:rsid w:val="5EB95C0A"/>
    <w:rsid w:val="5EBC227C"/>
    <w:rsid w:val="5EF23E8C"/>
    <w:rsid w:val="5EFF4B95"/>
    <w:rsid w:val="5F003F2E"/>
    <w:rsid w:val="5F02607A"/>
    <w:rsid w:val="5F2376ED"/>
    <w:rsid w:val="5F3735C0"/>
    <w:rsid w:val="5F48587A"/>
    <w:rsid w:val="5F4D6E91"/>
    <w:rsid w:val="5F5643DE"/>
    <w:rsid w:val="5F640167"/>
    <w:rsid w:val="5F7414B6"/>
    <w:rsid w:val="5F7603C9"/>
    <w:rsid w:val="5F90475F"/>
    <w:rsid w:val="5F972B1E"/>
    <w:rsid w:val="5FA10C06"/>
    <w:rsid w:val="5FA43544"/>
    <w:rsid w:val="5FB40923"/>
    <w:rsid w:val="5FD11073"/>
    <w:rsid w:val="5FD311A5"/>
    <w:rsid w:val="5FDC5726"/>
    <w:rsid w:val="5FE178F5"/>
    <w:rsid w:val="5FE5356E"/>
    <w:rsid w:val="5FFB4BA2"/>
    <w:rsid w:val="60067436"/>
    <w:rsid w:val="60144FCB"/>
    <w:rsid w:val="60172113"/>
    <w:rsid w:val="602A4B67"/>
    <w:rsid w:val="602E52A4"/>
    <w:rsid w:val="60320CB8"/>
    <w:rsid w:val="604B5821"/>
    <w:rsid w:val="60513A38"/>
    <w:rsid w:val="605C2DA0"/>
    <w:rsid w:val="60613668"/>
    <w:rsid w:val="606B2748"/>
    <w:rsid w:val="60733B2A"/>
    <w:rsid w:val="60764115"/>
    <w:rsid w:val="60765A69"/>
    <w:rsid w:val="607C4290"/>
    <w:rsid w:val="60BB6C96"/>
    <w:rsid w:val="60D038A4"/>
    <w:rsid w:val="60ED12AB"/>
    <w:rsid w:val="60F97E42"/>
    <w:rsid w:val="610118B3"/>
    <w:rsid w:val="610174BD"/>
    <w:rsid w:val="610B1530"/>
    <w:rsid w:val="610C4FEC"/>
    <w:rsid w:val="610D0F02"/>
    <w:rsid w:val="6110461A"/>
    <w:rsid w:val="61131762"/>
    <w:rsid w:val="612F7299"/>
    <w:rsid w:val="61362AB4"/>
    <w:rsid w:val="614A7F3E"/>
    <w:rsid w:val="61A15DCF"/>
    <w:rsid w:val="61A742EE"/>
    <w:rsid w:val="61BF25D2"/>
    <w:rsid w:val="61CE48E1"/>
    <w:rsid w:val="61DF68A3"/>
    <w:rsid w:val="61F15D61"/>
    <w:rsid w:val="623865D6"/>
    <w:rsid w:val="623C7A99"/>
    <w:rsid w:val="623F1F56"/>
    <w:rsid w:val="624A121F"/>
    <w:rsid w:val="62605CC4"/>
    <w:rsid w:val="62657B65"/>
    <w:rsid w:val="626F1504"/>
    <w:rsid w:val="627E5186"/>
    <w:rsid w:val="627F5C45"/>
    <w:rsid w:val="628C6DE6"/>
    <w:rsid w:val="62916673"/>
    <w:rsid w:val="62CD4741"/>
    <w:rsid w:val="62CD4ACF"/>
    <w:rsid w:val="62D11B41"/>
    <w:rsid w:val="62D31A82"/>
    <w:rsid w:val="62D84C08"/>
    <w:rsid w:val="631D4B86"/>
    <w:rsid w:val="632443AD"/>
    <w:rsid w:val="63374E07"/>
    <w:rsid w:val="633F3793"/>
    <w:rsid w:val="634720E1"/>
    <w:rsid w:val="63524787"/>
    <w:rsid w:val="63685355"/>
    <w:rsid w:val="637F16BD"/>
    <w:rsid w:val="6382695C"/>
    <w:rsid w:val="63841BAF"/>
    <w:rsid w:val="63AF4379"/>
    <w:rsid w:val="63B73E27"/>
    <w:rsid w:val="63B93C3E"/>
    <w:rsid w:val="63D80CF3"/>
    <w:rsid w:val="63E87658"/>
    <w:rsid w:val="641D4020"/>
    <w:rsid w:val="644F40C2"/>
    <w:rsid w:val="645122BD"/>
    <w:rsid w:val="647F3441"/>
    <w:rsid w:val="64BC1C2E"/>
    <w:rsid w:val="64BF18E6"/>
    <w:rsid w:val="64D9464F"/>
    <w:rsid w:val="64EE3269"/>
    <w:rsid w:val="64F42AA6"/>
    <w:rsid w:val="650F0DE8"/>
    <w:rsid w:val="65533C99"/>
    <w:rsid w:val="655636E7"/>
    <w:rsid w:val="655F347A"/>
    <w:rsid w:val="657A408B"/>
    <w:rsid w:val="658F675D"/>
    <w:rsid w:val="659C0C82"/>
    <w:rsid w:val="659F0F0E"/>
    <w:rsid w:val="65A11CE5"/>
    <w:rsid w:val="65A7609C"/>
    <w:rsid w:val="65D46DE1"/>
    <w:rsid w:val="65DC016E"/>
    <w:rsid w:val="65E907BF"/>
    <w:rsid w:val="65E971E8"/>
    <w:rsid w:val="6612232C"/>
    <w:rsid w:val="662A1A05"/>
    <w:rsid w:val="66370885"/>
    <w:rsid w:val="668B029F"/>
    <w:rsid w:val="668D7A89"/>
    <w:rsid w:val="669E15BC"/>
    <w:rsid w:val="669E7BE1"/>
    <w:rsid w:val="66AC450E"/>
    <w:rsid w:val="66AE391D"/>
    <w:rsid w:val="66C72E5C"/>
    <w:rsid w:val="66CC7333"/>
    <w:rsid w:val="66D47279"/>
    <w:rsid w:val="66F93BB1"/>
    <w:rsid w:val="66FE3F79"/>
    <w:rsid w:val="671953BB"/>
    <w:rsid w:val="672901E4"/>
    <w:rsid w:val="672D1356"/>
    <w:rsid w:val="67454FA0"/>
    <w:rsid w:val="67506B1C"/>
    <w:rsid w:val="675D1CF4"/>
    <w:rsid w:val="67701314"/>
    <w:rsid w:val="677942CC"/>
    <w:rsid w:val="677E346D"/>
    <w:rsid w:val="67833121"/>
    <w:rsid w:val="67892EB7"/>
    <w:rsid w:val="678A54ED"/>
    <w:rsid w:val="67B5244F"/>
    <w:rsid w:val="67D57458"/>
    <w:rsid w:val="67D64D05"/>
    <w:rsid w:val="67F7778F"/>
    <w:rsid w:val="680152DC"/>
    <w:rsid w:val="681653A0"/>
    <w:rsid w:val="6818174C"/>
    <w:rsid w:val="68295FC1"/>
    <w:rsid w:val="68335016"/>
    <w:rsid w:val="684A03C1"/>
    <w:rsid w:val="684A6702"/>
    <w:rsid w:val="68532073"/>
    <w:rsid w:val="68686378"/>
    <w:rsid w:val="68691501"/>
    <w:rsid w:val="687614E3"/>
    <w:rsid w:val="68B371D7"/>
    <w:rsid w:val="68C161FA"/>
    <w:rsid w:val="68C21A8D"/>
    <w:rsid w:val="68C54527"/>
    <w:rsid w:val="68C93DEE"/>
    <w:rsid w:val="68F32A36"/>
    <w:rsid w:val="690E6A60"/>
    <w:rsid w:val="694801B8"/>
    <w:rsid w:val="694828EA"/>
    <w:rsid w:val="69505378"/>
    <w:rsid w:val="69525ECE"/>
    <w:rsid w:val="695345E5"/>
    <w:rsid w:val="695909FF"/>
    <w:rsid w:val="695E6518"/>
    <w:rsid w:val="69631CF0"/>
    <w:rsid w:val="6973345A"/>
    <w:rsid w:val="6996316A"/>
    <w:rsid w:val="69AC084A"/>
    <w:rsid w:val="69B0190F"/>
    <w:rsid w:val="69BB6DFE"/>
    <w:rsid w:val="69BF6F3E"/>
    <w:rsid w:val="69CF4094"/>
    <w:rsid w:val="69D6717B"/>
    <w:rsid w:val="69DB620B"/>
    <w:rsid w:val="6A01576D"/>
    <w:rsid w:val="6A0F1450"/>
    <w:rsid w:val="6A350C4E"/>
    <w:rsid w:val="6A4A0B23"/>
    <w:rsid w:val="6A51139D"/>
    <w:rsid w:val="6A7A5E3F"/>
    <w:rsid w:val="6A9753AA"/>
    <w:rsid w:val="6AA10977"/>
    <w:rsid w:val="6ACE6840"/>
    <w:rsid w:val="6ADF7078"/>
    <w:rsid w:val="6AFE79A3"/>
    <w:rsid w:val="6B2211FE"/>
    <w:rsid w:val="6B3334B8"/>
    <w:rsid w:val="6B46043A"/>
    <w:rsid w:val="6B5E2426"/>
    <w:rsid w:val="6B6218F8"/>
    <w:rsid w:val="6B630372"/>
    <w:rsid w:val="6B7E0D8A"/>
    <w:rsid w:val="6B7E373D"/>
    <w:rsid w:val="6B812B87"/>
    <w:rsid w:val="6B856C4B"/>
    <w:rsid w:val="6B8C6927"/>
    <w:rsid w:val="6B907AE2"/>
    <w:rsid w:val="6B9104A1"/>
    <w:rsid w:val="6BA94E00"/>
    <w:rsid w:val="6BAF72DF"/>
    <w:rsid w:val="6BBB225F"/>
    <w:rsid w:val="6BBC58A9"/>
    <w:rsid w:val="6BD4628C"/>
    <w:rsid w:val="6BD540B7"/>
    <w:rsid w:val="6BE115E4"/>
    <w:rsid w:val="6BE403B1"/>
    <w:rsid w:val="6BE96C59"/>
    <w:rsid w:val="6BF901A3"/>
    <w:rsid w:val="6C062079"/>
    <w:rsid w:val="6C094F8C"/>
    <w:rsid w:val="6C1479C3"/>
    <w:rsid w:val="6C2C6080"/>
    <w:rsid w:val="6C2F0598"/>
    <w:rsid w:val="6C307382"/>
    <w:rsid w:val="6C3F7297"/>
    <w:rsid w:val="6C462123"/>
    <w:rsid w:val="6C5E57D7"/>
    <w:rsid w:val="6C711C63"/>
    <w:rsid w:val="6C733740"/>
    <w:rsid w:val="6C763138"/>
    <w:rsid w:val="6C7644AC"/>
    <w:rsid w:val="6C7D7906"/>
    <w:rsid w:val="6CBE317C"/>
    <w:rsid w:val="6CC97B2F"/>
    <w:rsid w:val="6CE51FC7"/>
    <w:rsid w:val="6CF66193"/>
    <w:rsid w:val="6CFB3E99"/>
    <w:rsid w:val="6D1E76F1"/>
    <w:rsid w:val="6D420487"/>
    <w:rsid w:val="6D484F24"/>
    <w:rsid w:val="6D4E0792"/>
    <w:rsid w:val="6D7E7E06"/>
    <w:rsid w:val="6D7F4034"/>
    <w:rsid w:val="6D8039AA"/>
    <w:rsid w:val="6D846649"/>
    <w:rsid w:val="6D8A2581"/>
    <w:rsid w:val="6DAA420E"/>
    <w:rsid w:val="6DAF0B3A"/>
    <w:rsid w:val="6DB60856"/>
    <w:rsid w:val="6DC356AF"/>
    <w:rsid w:val="6DC55C52"/>
    <w:rsid w:val="6DDD25B6"/>
    <w:rsid w:val="6DDD5ACA"/>
    <w:rsid w:val="6DF52AC3"/>
    <w:rsid w:val="6E0230A7"/>
    <w:rsid w:val="6E0E0001"/>
    <w:rsid w:val="6E2E319F"/>
    <w:rsid w:val="6E444E68"/>
    <w:rsid w:val="6E810905"/>
    <w:rsid w:val="6E85702C"/>
    <w:rsid w:val="6E8D4C84"/>
    <w:rsid w:val="6E931BEC"/>
    <w:rsid w:val="6EC063AA"/>
    <w:rsid w:val="6EEA1B56"/>
    <w:rsid w:val="6EEF283F"/>
    <w:rsid w:val="6EF81186"/>
    <w:rsid w:val="6F053454"/>
    <w:rsid w:val="6F0E1C82"/>
    <w:rsid w:val="6F201C6B"/>
    <w:rsid w:val="6F261602"/>
    <w:rsid w:val="6F3E32ED"/>
    <w:rsid w:val="6F5A01FA"/>
    <w:rsid w:val="6F6262EB"/>
    <w:rsid w:val="6F685021"/>
    <w:rsid w:val="6F7440CB"/>
    <w:rsid w:val="6F82042D"/>
    <w:rsid w:val="6F8D038F"/>
    <w:rsid w:val="6F9D10F4"/>
    <w:rsid w:val="6FAB1D81"/>
    <w:rsid w:val="6FB94A37"/>
    <w:rsid w:val="6FEB11AB"/>
    <w:rsid w:val="6FEB735C"/>
    <w:rsid w:val="6FF93C10"/>
    <w:rsid w:val="70053342"/>
    <w:rsid w:val="7053403D"/>
    <w:rsid w:val="70A42995"/>
    <w:rsid w:val="70AD3FCC"/>
    <w:rsid w:val="70CE0130"/>
    <w:rsid w:val="70CF16E2"/>
    <w:rsid w:val="70F705B1"/>
    <w:rsid w:val="710A1AE5"/>
    <w:rsid w:val="711421C6"/>
    <w:rsid w:val="71431DBF"/>
    <w:rsid w:val="71443910"/>
    <w:rsid w:val="714A0E7A"/>
    <w:rsid w:val="714F6A99"/>
    <w:rsid w:val="715823F7"/>
    <w:rsid w:val="71644941"/>
    <w:rsid w:val="716E75C4"/>
    <w:rsid w:val="717A163C"/>
    <w:rsid w:val="71A14C62"/>
    <w:rsid w:val="71A75AF9"/>
    <w:rsid w:val="71AD1A11"/>
    <w:rsid w:val="71D208D7"/>
    <w:rsid w:val="71F6775C"/>
    <w:rsid w:val="71FC3485"/>
    <w:rsid w:val="721219C2"/>
    <w:rsid w:val="72477710"/>
    <w:rsid w:val="72574F7D"/>
    <w:rsid w:val="725A0998"/>
    <w:rsid w:val="72717C20"/>
    <w:rsid w:val="729B368C"/>
    <w:rsid w:val="72A40CFA"/>
    <w:rsid w:val="72AA009C"/>
    <w:rsid w:val="72B21C5A"/>
    <w:rsid w:val="72BF687D"/>
    <w:rsid w:val="72E61B52"/>
    <w:rsid w:val="72F86293"/>
    <w:rsid w:val="72FD08D8"/>
    <w:rsid w:val="730712E2"/>
    <w:rsid w:val="73105DF9"/>
    <w:rsid w:val="73141347"/>
    <w:rsid w:val="731614FD"/>
    <w:rsid w:val="732634D4"/>
    <w:rsid w:val="732E14E0"/>
    <w:rsid w:val="73380ED7"/>
    <w:rsid w:val="733E234E"/>
    <w:rsid w:val="734D5D5C"/>
    <w:rsid w:val="7353121D"/>
    <w:rsid w:val="735617EC"/>
    <w:rsid w:val="73561F51"/>
    <w:rsid w:val="73634DF7"/>
    <w:rsid w:val="7379604F"/>
    <w:rsid w:val="737D356B"/>
    <w:rsid w:val="73864BC0"/>
    <w:rsid w:val="73B04B84"/>
    <w:rsid w:val="73BB389C"/>
    <w:rsid w:val="73BF2499"/>
    <w:rsid w:val="73BF796A"/>
    <w:rsid w:val="73D073A4"/>
    <w:rsid w:val="73D2559E"/>
    <w:rsid w:val="73E5172E"/>
    <w:rsid w:val="74062344"/>
    <w:rsid w:val="7408658E"/>
    <w:rsid w:val="74092912"/>
    <w:rsid w:val="74336ED8"/>
    <w:rsid w:val="74775D4B"/>
    <w:rsid w:val="747D1049"/>
    <w:rsid w:val="74957939"/>
    <w:rsid w:val="749B36CC"/>
    <w:rsid w:val="74AD005F"/>
    <w:rsid w:val="74C339B6"/>
    <w:rsid w:val="74C5102D"/>
    <w:rsid w:val="74D15A17"/>
    <w:rsid w:val="74F8025A"/>
    <w:rsid w:val="74FA7F6B"/>
    <w:rsid w:val="754B2309"/>
    <w:rsid w:val="7562687E"/>
    <w:rsid w:val="75726C0A"/>
    <w:rsid w:val="757A48AD"/>
    <w:rsid w:val="75920223"/>
    <w:rsid w:val="75B95F1C"/>
    <w:rsid w:val="75BB65A2"/>
    <w:rsid w:val="75C7261F"/>
    <w:rsid w:val="75E850B3"/>
    <w:rsid w:val="75F92214"/>
    <w:rsid w:val="75FA628B"/>
    <w:rsid w:val="75FB7F8A"/>
    <w:rsid w:val="75FF7897"/>
    <w:rsid w:val="761424FF"/>
    <w:rsid w:val="76167BE8"/>
    <w:rsid w:val="761958C7"/>
    <w:rsid w:val="76331F22"/>
    <w:rsid w:val="763B13F0"/>
    <w:rsid w:val="76654669"/>
    <w:rsid w:val="76694AED"/>
    <w:rsid w:val="766A3CFA"/>
    <w:rsid w:val="76850C12"/>
    <w:rsid w:val="76921A98"/>
    <w:rsid w:val="76996F90"/>
    <w:rsid w:val="76A12CA1"/>
    <w:rsid w:val="76B949B4"/>
    <w:rsid w:val="76BE169D"/>
    <w:rsid w:val="76D47BA7"/>
    <w:rsid w:val="76EF0E40"/>
    <w:rsid w:val="76FB6517"/>
    <w:rsid w:val="76FC168B"/>
    <w:rsid w:val="7703210C"/>
    <w:rsid w:val="770543ED"/>
    <w:rsid w:val="774E1CF1"/>
    <w:rsid w:val="7778562F"/>
    <w:rsid w:val="778025B6"/>
    <w:rsid w:val="778A2EE1"/>
    <w:rsid w:val="77960A43"/>
    <w:rsid w:val="779F0738"/>
    <w:rsid w:val="77C05AB5"/>
    <w:rsid w:val="77C27DCC"/>
    <w:rsid w:val="77D17600"/>
    <w:rsid w:val="77D74816"/>
    <w:rsid w:val="77E045AC"/>
    <w:rsid w:val="77E21C3E"/>
    <w:rsid w:val="77F535AA"/>
    <w:rsid w:val="780D38A1"/>
    <w:rsid w:val="781A596F"/>
    <w:rsid w:val="781A63B0"/>
    <w:rsid w:val="78801C2E"/>
    <w:rsid w:val="788270D8"/>
    <w:rsid w:val="788317E7"/>
    <w:rsid w:val="7883746C"/>
    <w:rsid w:val="788649D7"/>
    <w:rsid w:val="789A33D6"/>
    <w:rsid w:val="78AE74F5"/>
    <w:rsid w:val="78B03211"/>
    <w:rsid w:val="78BB2D92"/>
    <w:rsid w:val="78D74841"/>
    <w:rsid w:val="78FE545A"/>
    <w:rsid w:val="79083FE2"/>
    <w:rsid w:val="79225B64"/>
    <w:rsid w:val="7938758D"/>
    <w:rsid w:val="794D5707"/>
    <w:rsid w:val="79670781"/>
    <w:rsid w:val="79701631"/>
    <w:rsid w:val="798B6566"/>
    <w:rsid w:val="79A41C5A"/>
    <w:rsid w:val="79BA6732"/>
    <w:rsid w:val="79EF1FBF"/>
    <w:rsid w:val="79FD01B8"/>
    <w:rsid w:val="7A1D1EBD"/>
    <w:rsid w:val="7A204091"/>
    <w:rsid w:val="7A2C45AF"/>
    <w:rsid w:val="7A344A7E"/>
    <w:rsid w:val="7A4237D3"/>
    <w:rsid w:val="7A454960"/>
    <w:rsid w:val="7A80068E"/>
    <w:rsid w:val="7A873778"/>
    <w:rsid w:val="7AA3150F"/>
    <w:rsid w:val="7AA67B9A"/>
    <w:rsid w:val="7AE55D78"/>
    <w:rsid w:val="7AF90AD9"/>
    <w:rsid w:val="7B087093"/>
    <w:rsid w:val="7B134404"/>
    <w:rsid w:val="7B3029F6"/>
    <w:rsid w:val="7B4D237A"/>
    <w:rsid w:val="7B5F4D1D"/>
    <w:rsid w:val="7B887333"/>
    <w:rsid w:val="7B8C10D2"/>
    <w:rsid w:val="7B941E72"/>
    <w:rsid w:val="7BA25401"/>
    <w:rsid w:val="7BA920DC"/>
    <w:rsid w:val="7BA92C05"/>
    <w:rsid w:val="7BAE4529"/>
    <w:rsid w:val="7BB747C8"/>
    <w:rsid w:val="7BC906AC"/>
    <w:rsid w:val="7BD60ADD"/>
    <w:rsid w:val="7BD65048"/>
    <w:rsid w:val="7BE129E3"/>
    <w:rsid w:val="7BEA37EF"/>
    <w:rsid w:val="7BFE1AAA"/>
    <w:rsid w:val="7C041B9A"/>
    <w:rsid w:val="7C061802"/>
    <w:rsid w:val="7C2F7BF3"/>
    <w:rsid w:val="7C965D27"/>
    <w:rsid w:val="7CDA6AB9"/>
    <w:rsid w:val="7CE71B72"/>
    <w:rsid w:val="7D050953"/>
    <w:rsid w:val="7D197D15"/>
    <w:rsid w:val="7D474AC8"/>
    <w:rsid w:val="7D6A489F"/>
    <w:rsid w:val="7D722BC4"/>
    <w:rsid w:val="7DA55C93"/>
    <w:rsid w:val="7DBC5EB4"/>
    <w:rsid w:val="7DBF4DA1"/>
    <w:rsid w:val="7DC2797F"/>
    <w:rsid w:val="7DD215C6"/>
    <w:rsid w:val="7DE27D74"/>
    <w:rsid w:val="7E0262D6"/>
    <w:rsid w:val="7E1B5FCB"/>
    <w:rsid w:val="7E1F5A45"/>
    <w:rsid w:val="7E2C5292"/>
    <w:rsid w:val="7E404EB7"/>
    <w:rsid w:val="7E9A4950"/>
    <w:rsid w:val="7E9C4542"/>
    <w:rsid w:val="7E9E1DC8"/>
    <w:rsid w:val="7EC17B15"/>
    <w:rsid w:val="7EC3068C"/>
    <w:rsid w:val="7EF93525"/>
    <w:rsid w:val="7F0C570A"/>
    <w:rsid w:val="7F1A66DC"/>
    <w:rsid w:val="7F30040D"/>
    <w:rsid w:val="7F484C05"/>
    <w:rsid w:val="7F527E43"/>
    <w:rsid w:val="7FBB147E"/>
    <w:rsid w:val="7FD54943"/>
    <w:rsid w:val="7FDE223B"/>
    <w:rsid w:val="7FF60A27"/>
    <w:rsid w:val="7FF64583"/>
    <w:rsid w:val="7FFF5B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109"/>
    <w:autoRedefine/>
    <w:qFormat/>
    <w:uiPriority w:val="0"/>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126"/>
    <w:autoRedefine/>
    <w:qFormat/>
    <w:uiPriority w:val="0"/>
    <w:pPr>
      <w:keepNext/>
      <w:keepLines/>
      <w:spacing w:before="120" w:after="120"/>
      <w:jc w:val="left"/>
      <w:outlineLvl w:val="1"/>
    </w:pPr>
    <w:rPr>
      <w:rFonts w:ascii="宋体" w:hAnsi="宋体"/>
      <w:b/>
      <w:bCs/>
      <w:sz w:val="28"/>
      <w:szCs w:val="28"/>
    </w:rPr>
  </w:style>
  <w:style w:type="paragraph" w:styleId="4">
    <w:name w:val="heading 3"/>
    <w:basedOn w:val="1"/>
    <w:next w:val="1"/>
    <w:link w:val="87"/>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6"/>
    <w:link w:val="120"/>
    <w:autoRedefine/>
    <w:unhideWhenUsed/>
    <w:qFormat/>
    <w:uiPriority w:val="0"/>
    <w:pPr>
      <w:keepNext/>
      <w:keepLines/>
      <w:spacing w:before="120" w:after="120"/>
      <w:outlineLvl w:val="3"/>
    </w:pPr>
    <w:rPr>
      <w:rFonts w:ascii="Cambria" w:hAnsi="Cambria" w:eastAsia="华文细黑"/>
      <w:b/>
      <w:sz w:val="28"/>
      <w:szCs w:val="20"/>
    </w:rPr>
  </w:style>
  <w:style w:type="paragraph" w:styleId="7">
    <w:name w:val="heading 5"/>
    <w:basedOn w:val="1"/>
    <w:next w:val="1"/>
    <w:link w:val="85"/>
    <w:autoRedefine/>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88"/>
    <w:autoRedefine/>
    <w:qFormat/>
    <w:uiPriority w:val="0"/>
    <w:pPr>
      <w:keepNext/>
      <w:keepLines/>
      <w:spacing w:before="240" w:after="64" w:line="317" w:lineRule="auto"/>
      <w:outlineLvl w:val="5"/>
    </w:pPr>
    <w:rPr>
      <w:rFonts w:ascii="Cambria" w:hAnsi="Cambria"/>
      <w:b/>
      <w:bCs/>
      <w:sz w:val="24"/>
      <w:szCs w:val="24"/>
    </w:rPr>
  </w:style>
  <w:style w:type="paragraph" w:styleId="9">
    <w:name w:val="heading 7"/>
    <w:basedOn w:val="1"/>
    <w:next w:val="1"/>
    <w:link w:val="89"/>
    <w:autoRedefine/>
    <w:qFormat/>
    <w:uiPriority w:val="0"/>
    <w:pPr>
      <w:keepNext/>
      <w:keepLines/>
      <w:spacing w:before="240" w:after="64" w:line="317" w:lineRule="auto"/>
      <w:outlineLvl w:val="6"/>
    </w:pPr>
    <w:rPr>
      <w:b/>
      <w:bCs/>
      <w:sz w:val="24"/>
      <w:szCs w:val="24"/>
    </w:rPr>
  </w:style>
  <w:style w:type="paragraph" w:styleId="10">
    <w:name w:val="heading 8"/>
    <w:basedOn w:val="1"/>
    <w:next w:val="1"/>
    <w:link w:val="90"/>
    <w:autoRedefine/>
    <w:qFormat/>
    <w:uiPriority w:val="0"/>
    <w:pPr>
      <w:keepNext/>
      <w:keepLines/>
      <w:spacing w:before="240" w:after="64" w:line="317" w:lineRule="auto"/>
      <w:outlineLvl w:val="7"/>
    </w:pPr>
    <w:rPr>
      <w:rFonts w:ascii="Cambria" w:hAnsi="Cambria"/>
      <w:sz w:val="24"/>
      <w:szCs w:val="24"/>
    </w:rPr>
  </w:style>
  <w:style w:type="paragraph" w:styleId="11">
    <w:name w:val="heading 9"/>
    <w:basedOn w:val="1"/>
    <w:next w:val="1"/>
    <w:link w:val="91"/>
    <w:autoRedefine/>
    <w:qFormat/>
    <w:uiPriority w:val="0"/>
    <w:pPr>
      <w:keepNext/>
      <w:keepLines/>
      <w:spacing w:before="240" w:after="64" w:line="317" w:lineRule="auto"/>
      <w:outlineLvl w:val="8"/>
    </w:pPr>
    <w:rPr>
      <w:rFonts w:ascii="Cambria" w:hAnsi="Cambria"/>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70"/>
    <w:autoRedefine/>
    <w:qFormat/>
    <w:uiPriority w:val="0"/>
    <w:pPr>
      <w:ind w:firstLine="420"/>
    </w:pPr>
  </w:style>
  <w:style w:type="paragraph" w:styleId="12">
    <w:name w:val="toc 7"/>
    <w:basedOn w:val="1"/>
    <w:next w:val="1"/>
    <w:autoRedefine/>
    <w:qFormat/>
    <w:uiPriority w:val="0"/>
    <w:pPr>
      <w:ind w:left="2520" w:leftChars="1200"/>
    </w:pPr>
    <w:rPr>
      <w:szCs w:val="22"/>
    </w:rPr>
  </w:style>
  <w:style w:type="paragraph" w:styleId="13">
    <w:name w:val="caption"/>
    <w:basedOn w:val="1"/>
    <w:next w:val="1"/>
    <w:autoRedefine/>
    <w:qFormat/>
    <w:uiPriority w:val="0"/>
    <w:rPr>
      <w:rFonts w:ascii="Cambria" w:hAnsi="Cambria" w:eastAsia="黑体"/>
      <w:sz w:val="20"/>
      <w:szCs w:val="20"/>
    </w:rPr>
  </w:style>
  <w:style w:type="paragraph" w:styleId="14">
    <w:name w:val="Document Map"/>
    <w:basedOn w:val="1"/>
    <w:link w:val="92"/>
    <w:autoRedefine/>
    <w:qFormat/>
    <w:uiPriority w:val="0"/>
    <w:pPr>
      <w:widowControl/>
      <w:shd w:val="clear" w:color="auto" w:fill="000080"/>
      <w:jc w:val="left"/>
    </w:pPr>
    <w:rPr>
      <w:rFonts w:ascii="Times New Roman" w:hAnsi="Times New Roman"/>
      <w:kern w:val="0"/>
      <w:sz w:val="20"/>
      <w:szCs w:val="20"/>
    </w:rPr>
  </w:style>
  <w:style w:type="paragraph" w:styleId="15">
    <w:name w:val="annotation text"/>
    <w:basedOn w:val="1"/>
    <w:link w:val="133"/>
    <w:autoRedefine/>
    <w:qFormat/>
    <w:uiPriority w:val="0"/>
    <w:pPr>
      <w:jc w:val="left"/>
    </w:pPr>
    <w:rPr>
      <w:rFonts w:ascii="Times New Roman" w:hAnsi="Times New Roman"/>
    </w:rPr>
  </w:style>
  <w:style w:type="paragraph" w:styleId="16">
    <w:name w:val="Body Text 3"/>
    <w:basedOn w:val="1"/>
    <w:autoRedefine/>
    <w:qFormat/>
    <w:uiPriority w:val="0"/>
    <w:pPr>
      <w:spacing w:after="120"/>
    </w:pPr>
    <w:rPr>
      <w:sz w:val="16"/>
      <w:szCs w:val="16"/>
    </w:rPr>
  </w:style>
  <w:style w:type="paragraph" w:styleId="17">
    <w:name w:val="Body Text"/>
    <w:basedOn w:val="1"/>
    <w:link w:val="118"/>
    <w:autoRedefine/>
    <w:qFormat/>
    <w:uiPriority w:val="0"/>
    <w:rPr>
      <w:rFonts w:ascii="楷体_GB2312" w:hAnsi="Arial"/>
      <w:sz w:val="28"/>
      <w:szCs w:val="28"/>
    </w:rPr>
  </w:style>
  <w:style w:type="paragraph" w:styleId="18">
    <w:name w:val="Body Text Indent"/>
    <w:basedOn w:val="1"/>
    <w:next w:val="19"/>
    <w:link w:val="180"/>
    <w:autoRedefine/>
    <w:qFormat/>
    <w:uiPriority w:val="0"/>
    <w:pPr>
      <w:spacing w:line="300" w:lineRule="exact"/>
      <w:jc w:val="center"/>
    </w:pPr>
    <w:rPr>
      <w:rFonts w:ascii="宋体" w:hAnsi="宋体"/>
      <w:kern w:val="0"/>
    </w:rPr>
  </w:style>
  <w:style w:type="paragraph" w:styleId="19">
    <w:name w:val="envelope return"/>
    <w:basedOn w:val="1"/>
    <w:qFormat/>
    <w:uiPriority w:val="0"/>
    <w:pPr>
      <w:snapToGrid w:val="0"/>
    </w:pPr>
    <w:rPr>
      <w:rFonts w:ascii="Arial" w:hAnsi="Arial" w:eastAsia="宋体" w:cs="宋体"/>
    </w:rPr>
  </w:style>
  <w:style w:type="paragraph" w:styleId="20">
    <w:name w:val="Block Text"/>
    <w:basedOn w:val="1"/>
    <w:unhideWhenUsed/>
    <w:qFormat/>
    <w:uiPriority w:val="99"/>
    <w:pPr>
      <w:spacing w:after="120"/>
      <w:ind w:left="1440" w:leftChars="700" w:right="1440" w:rightChars="700"/>
    </w:pPr>
  </w:style>
  <w:style w:type="paragraph" w:styleId="21">
    <w:name w:val="index 4"/>
    <w:basedOn w:val="1"/>
    <w:next w:val="1"/>
    <w:autoRedefine/>
    <w:qFormat/>
    <w:uiPriority w:val="0"/>
    <w:pPr>
      <w:ind w:left="1260"/>
    </w:pPr>
  </w:style>
  <w:style w:type="paragraph" w:styleId="22">
    <w:name w:val="toc 5"/>
    <w:basedOn w:val="1"/>
    <w:next w:val="1"/>
    <w:autoRedefine/>
    <w:qFormat/>
    <w:uiPriority w:val="0"/>
    <w:pPr>
      <w:tabs>
        <w:tab w:val="right" w:leader="dot" w:pos="8296"/>
      </w:tabs>
      <w:ind w:left="1050" w:leftChars="500"/>
    </w:pPr>
    <w:rPr>
      <w:szCs w:val="22"/>
    </w:rPr>
  </w:style>
  <w:style w:type="paragraph" w:styleId="23">
    <w:name w:val="toc 3"/>
    <w:basedOn w:val="1"/>
    <w:next w:val="1"/>
    <w:autoRedefine/>
    <w:qFormat/>
    <w:uiPriority w:val="0"/>
    <w:pPr>
      <w:ind w:left="840" w:leftChars="400"/>
    </w:pPr>
    <w:rPr>
      <w:szCs w:val="22"/>
    </w:rPr>
  </w:style>
  <w:style w:type="paragraph" w:styleId="24">
    <w:name w:val="Plain Text"/>
    <w:basedOn w:val="1"/>
    <w:link w:val="83"/>
    <w:autoRedefine/>
    <w:qFormat/>
    <w:uiPriority w:val="0"/>
    <w:rPr>
      <w:rFonts w:ascii="宋体" w:hAnsi="Courier New"/>
      <w:szCs w:val="20"/>
    </w:rPr>
  </w:style>
  <w:style w:type="paragraph" w:styleId="25">
    <w:name w:val="toc 8"/>
    <w:basedOn w:val="1"/>
    <w:next w:val="1"/>
    <w:autoRedefine/>
    <w:qFormat/>
    <w:uiPriority w:val="0"/>
    <w:pPr>
      <w:ind w:left="2940" w:leftChars="1400"/>
    </w:pPr>
    <w:rPr>
      <w:szCs w:val="22"/>
    </w:rPr>
  </w:style>
  <w:style w:type="paragraph" w:styleId="26">
    <w:name w:val="Date"/>
    <w:basedOn w:val="1"/>
    <w:next w:val="1"/>
    <w:link w:val="94"/>
    <w:autoRedefine/>
    <w:qFormat/>
    <w:uiPriority w:val="0"/>
    <w:rPr>
      <w:rFonts w:ascii="宋体" w:hAnsi="Times New Roman"/>
      <w:szCs w:val="20"/>
    </w:rPr>
  </w:style>
  <w:style w:type="paragraph" w:styleId="27">
    <w:name w:val="Body Text Indent 2"/>
    <w:basedOn w:val="1"/>
    <w:link w:val="95"/>
    <w:autoRedefine/>
    <w:qFormat/>
    <w:uiPriority w:val="0"/>
    <w:pPr>
      <w:widowControl/>
      <w:tabs>
        <w:tab w:val="left" w:pos="0"/>
        <w:tab w:val="left" w:pos="993"/>
        <w:tab w:val="left" w:pos="1134"/>
      </w:tabs>
      <w:spacing w:line="500" w:lineRule="exact"/>
      <w:ind w:firstLine="851"/>
    </w:pPr>
    <w:rPr>
      <w:rFonts w:ascii="楷体_GB2312" w:hAnsi="Times New Roman" w:eastAsia="楷体_GB2312"/>
      <w:b/>
      <w:spacing w:val="-24"/>
      <w:kern w:val="0"/>
      <w:sz w:val="28"/>
      <w:szCs w:val="20"/>
    </w:rPr>
  </w:style>
  <w:style w:type="paragraph" w:styleId="28">
    <w:name w:val="Balloon Text"/>
    <w:basedOn w:val="1"/>
    <w:link w:val="75"/>
    <w:autoRedefine/>
    <w:qFormat/>
    <w:uiPriority w:val="0"/>
    <w:rPr>
      <w:sz w:val="18"/>
      <w:szCs w:val="18"/>
    </w:rPr>
  </w:style>
  <w:style w:type="paragraph" w:styleId="29">
    <w:name w:val="footer"/>
    <w:basedOn w:val="1"/>
    <w:link w:val="71"/>
    <w:autoRedefine/>
    <w:qFormat/>
    <w:uiPriority w:val="0"/>
    <w:pPr>
      <w:tabs>
        <w:tab w:val="center" w:pos="4153"/>
        <w:tab w:val="right" w:pos="8306"/>
      </w:tabs>
      <w:snapToGrid w:val="0"/>
      <w:jc w:val="left"/>
    </w:pPr>
    <w:rPr>
      <w:sz w:val="18"/>
      <w:szCs w:val="18"/>
    </w:rPr>
  </w:style>
  <w:style w:type="paragraph" w:styleId="30">
    <w:name w:val="header"/>
    <w:basedOn w:val="1"/>
    <w:link w:val="72"/>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0"/>
    <w:pPr>
      <w:tabs>
        <w:tab w:val="right" w:leader="dot" w:pos="8296"/>
      </w:tabs>
    </w:pPr>
    <w:rPr>
      <w:rFonts w:ascii="宋体" w:hAnsi="Times New Roman" w:eastAsia="楷体_GB2312" w:cs="TimesNewRomanPSMT"/>
      <w:b/>
      <w:kern w:val="0"/>
      <w:sz w:val="28"/>
      <w:szCs w:val="20"/>
    </w:rPr>
  </w:style>
  <w:style w:type="paragraph" w:styleId="32">
    <w:name w:val="toc 4"/>
    <w:basedOn w:val="1"/>
    <w:next w:val="1"/>
    <w:autoRedefine/>
    <w:qFormat/>
    <w:uiPriority w:val="0"/>
    <w:pPr>
      <w:tabs>
        <w:tab w:val="left" w:pos="1890"/>
        <w:tab w:val="right" w:leader="dot" w:pos="8296"/>
      </w:tabs>
      <w:ind w:left="630" w:leftChars="300"/>
    </w:pPr>
    <w:rPr>
      <w:szCs w:val="22"/>
    </w:rPr>
  </w:style>
  <w:style w:type="paragraph" w:styleId="33">
    <w:name w:val="Subtitle"/>
    <w:basedOn w:val="1"/>
    <w:next w:val="1"/>
    <w:link w:val="129"/>
    <w:autoRedefine/>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autoRedefine/>
    <w:qFormat/>
    <w:uiPriority w:val="0"/>
    <w:pPr>
      <w:ind w:left="2100" w:leftChars="1000"/>
    </w:pPr>
    <w:rPr>
      <w:szCs w:val="22"/>
    </w:rPr>
  </w:style>
  <w:style w:type="paragraph" w:styleId="35">
    <w:name w:val="Body Text Indent 3"/>
    <w:basedOn w:val="1"/>
    <w:link w:val="93"/>
    <w:autoRedefine/>
    <w:qFormat/>
    <w:uiPriority w:val="0"/>
    <w:pPr>
      <w:widowControl/>
      <w:tabs>
        <w:tab w:val="left" w:pos="0"/>
        <w:tab w:val="left" w:pos="1134"/>
      </w:tabs>
      <w:adjustRightInd w:val="0"/>
      <w:snapToGrid w:val="0"/>
      <w:spacing w:line="360" w:lineRule="auto"/>
      <w:ind w:left="567"/>
      <w:jc w:val="left"/>
    </w:pPr>
    <w:rPr>
      <w:rFonts w:ascii="仿宋_GB2312" w:hAnsi="Times New Roman" w:eastAsia="仿宋_GB2312"/>
      <w:kern w:val="0"/>
      <w:sz w:val="28"/>
      <w:szCs w:val="20"/>
    </w:rPr>
  </w:style>
  <w:style w:type="paragraph" w:styleId="36">
    <w:name w:val="toc 2"/>
    <w:basedOn w:val="1"/>
    <w:next w:val="1"/>
    <w:autoRedefine/>
    <w:qFormat/>
    <w:uiPriority w:val="0"/>
    <w:pPr>
      <w:ind w:left="420" w:leftChars="200"/>
    </w:pPr>
    <w:rPr>
      <w:rFonts w:ascii="宋体" w:hAnsi="Times New Roman"/>
      <w:b/>
      <w:sz w:val="28"/>
      <w:szCs w:val="20"/>
    </w:rPr>
  </w:style>
  <w:style w:type="paragraph" w:styleId="37">
    <w:name w:val="toc 9"/>
    <w:basedOn w:val="1"/>
    <w:next w:val="1"/>
    <w:autoRedefine/>
    <w:qFormat/>
    <w:uiPriority w:val="0"/>
    <w:pPr>
      <w:ind w:left="3360" w:leftChars="1600"/>
    </w:pPr>
    <w:rPr>
      <w:szCs w:val="22"/>
    </w:rPr>
  </w:style>
  <w:style w:type="paragraph" w:styleId="38">
    <w:name w:val="Body Text 2"/>
    <w:basedOn w:val="1"/>
    <w:link w:val="96"/>
    <w:autoRedefine/>
    <w:qFormat/>
    <w:uiPriority w:val="0"/>
    <w:pPr>
      <w:widowControl/>
      <w:tabs>
        <w:tab w:val="left" w:pos="0"/>
        <w:tab w:val="left" w:pos="993"/>
        <w:tab w:val="left" w:pos="1134"/>
      </w:tabs>
      <w:spacing w:line="240" w:lineRule="exact"/>
    </w:pPr>
    <w:rPr>
      <w:rFonts w:ascii="楷体_GB2312" w:hAnsi="Times New Roman" w:eastAsia="楷体_GB2312"/>
      <w:kern w:val="0"/>
      <w:sz w:val="18"/>
      <w:szCs w:val="20"/>
    </w:rPr>
  </w:style>
  <w:style w:type="paragraph" w:styleId="39">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40">
    <w:name w:val="Title"/>
    <w:basedOn w:val="1"/>
    <w:next w:val="1"/>
    <w:link w:val="127"/>
    <w:autoRedefine/>
    <w:qFormat/>
    <w:uiPriority w:val="0"/>
    <w:pPr>
      <w:spacing w:before="240" w:after="60"/>
      <w:jc w:val="center"/>
      <w:outlineLvl w:val="0"/>
    </w:pPr>
    <w:rPr>
      <w:rFonts w:ascii="Cambria" w:hAnsi="Cambria"/>
      <w:b/>
      <w:bCs/>
      <w:sz w:val="32"/>
      <w:szCs w:val="32"/>
    </w:rPr>
  </w:style>
  <w:style w:type="paragraph" w:styleId="41">
    <w:name w:val="annotation subject"/>
    <w:basedOn w:val="15"/>
    <w:next w:val="15"/>
    <w:link w:val="119"/>
    <w:autoRedefine/>
    <w:qFormat/>
    <w:uiPriority w:val="0"/>
    <w:rPr>
      <w:rFonts w:ascii="宋体"/>
      <w:b/>
      <w:bCs/>
      <w:kern w:val="0"/>
      <w:sz w:val="28"/>
      <w:szCs w:val="20"/>
    </w:rPr>
  </w:style>
  <w:style w:type="paragraph" w:styleId="42">
    <w:name w:val="Body Text First Indent 2"/>
    <w:basedOn w:val="18"/>
    <w:next w:val="1"/>
    <w:qFormat/>
    <w:uiPriority w:val="0"/>
    <w:pPr>
      <w:spacing w:line="360" w:lineRule="auto"/>
      <w:ind w:firstLine="420" w:firstLineChars="200"/>
    </w:pPr>
    <w:rPr>
      <w:rFonts w:ascii="宋体" w:hAnsi="宋体" w:eastAsia="宋体"/>
      <w:sz w:val="21"/>
      <w:szCs w:val="20"/>
    </w:rPr>
  </w:style>
  <w:style w:type="table" w:styleId="44">
    <w:name w:val="Table Grid"/>
    <w:basedOn w:val="4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autoRedefine/>
    <w:qFormat/>
    <w:uiPriority w:val="0"/>
    <w:rPr>
      <w:b/>
      <w:bCs/>
      <w:kern w:val="2"/>
      <w:sz w:val="21"/>
      <w:szCs w:val="24"/>
    </w:rPr>
  </w:style>
  <w:style w:type="character" w:styleId="47">
    <w:name w:val="page number"/>
    <w:basedOn w:val="45"/>
    <w:autoRedefine/>
    <w:qFormat/>
    <w:uiPriority w:val="0"/>
  </w:style>
  <w:style w:type="character" w:styleId="48">
    <w:name w:val="FollowedHyperlink"/>
    <w:autoRedefine/>
    <w:qFormat/>
    <w:uiPriority w:val="0"/>
    <w:rPr>
      <w:color w:val="333333"/>
      <w:kern w:val="2"/>
      <w:sz w:val="21"/>
      <w:szCs w:val="24"/>
      <w:u w:val="none"/>
    </w:rPr>
  </w:style>
  <w:style w:type="character" w:styleId="49">
    <w:name w:val="Emphasis"/>
    <w:autoRedefine/>
    <w:qFormat/>
    <w:uiPriority w:val="0"/>
    <w:rPr>
      <w:i/>
      <w:iCs/>
    </w:rPr>
  </w:style>
  <w:style w:type="character" w:styleId="50">
    <w:name w:val="HTML Typewriter"/>
    <w:basedOn w:val="45"/>
    <w:autoRedefine/>
    <w:qFormat/>
    <w:uiPriority w:val="0"/>
    <w:rPr>
      <w:rFonts w:hint="default" w:ascii="monospace" w:hAnsi="monospace" w:eastAsia="monospace" w:cs="monospace"/>
      <w:sz w:val="20"/>
    </w:rPr>
  </w:style>
  <w:style w:type="character" w:styleId="51">
    <w:name w:val="HTML Acronym"/>
    <w:basedOn w:val="45"/>
    <w:autoRedefine/>
    <w:qFormat/>
    <w:uiPriority w:val="0"/>
  </w:style>
  <w:style w:type="character" w:styleId="52">
    <w:name w:val="Hyperlink"/>
    <w:basedOn w:val="45"/>
    <w:autoRedefine/>
    <w:qFormat/>
    <w:uiPriority w:val="0"/>
    <w:rPr>
      <w:rFonts w:ascii="Times New Roman" w:hAnsi="Times New Roman" w:eastAsia="宋体" w:cs="Times New Roman"/>
      <w:color w:val="0076BE"/>
      <w:u w:val="none"/>
    </w:rPr>
  </w:style>
  <w:style w:type="character" w:styleId="53">
    <w:name w:val="HTML Code"/>
    <w:basedOn w:val="45"/>
    <w:autoRedefine/>
    <w:qFormat/>
    <w:uiPriority w:val="0"/>
    <w:rPr>
      <w:rFonts w:hint="default" w:ascii="monospace" w:hAnsi="monospace" w:eastAsia="monospace" w:cs="monospace"/>
      <w:sz w:val="20"/>
    </w:rPr>
  </w:style>
  <w:style w:type="character" w:styleId="54">
    <w:name w:val="annotation reference"/>
    <w:autoRedefine/>
    <w:qFormat/>
    <w:uiPriority w:val="0"/>
    <w:rPr>
      <w:rFonts w:cs="Times New Roman"/>
      <w:sz w:val="21"/>
      <w:szCs w:val="21"/>
    </w:rPr>
  </w:style>
  <w:style w:type="character" w:styleId="55">
    <w:name w:val="HTML Keyboard"/>
    <w:basedOn w:val="45"/>
    <w:autoRedefine/>
    <w:qFormat/>
    <w:uiPriority w:val="0"/>
    <w:rPr>
      <w:rFonts w:ascii="monospace" w:hAnsi="monospace" w:eastAsia="monospace" w:cs="monospace"/>
      <w:sz w:val="20"/>
    </w:rPr>
  </w:style>
  <w:style w:type="character" w:styleId="56">
    <w:name w:val="HTML Sample"/>
    <w:basedOn w:val="45"/>
    <w:autoRedefine/>
    <w:qFormat/>
    <w:uiPriority w:val="0"/>
    <w:rPr>
      <w:rFonts w:hint="default" w:ascii="monospace" w:hAnsi="monospace" w:eastAsia="monospace" w:cs="monospace"/>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8">
    <w:name w:val="列表段落1"/>
    <w:basedOn w:val="1"/>
    <w:qFormat/>
    <w:uiPriority w:val="99"/>
    <w:pPr>
      <w:ind w:firstLine="420"/>
    </w:pPr>
    <w:rPr>
      <w:rFonts w:ascii="Times New Roman" w:hAnsi="Times New Roman"/>
      <w:szCs w:val="20"/>
    </w:rPr>
  </w:style>
  <w:style w:type="paragraph" w:customStyle="1" w:styleId="59">
    <w:name w:val="标题 41"/>
    <w:basedOn w:val="1"/>
    <w:next w:val="1"/>
    <w:autoRedefine/>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60">
    <w:name w:val="标题 5（有编号）（绿盟科技）"/>
    <w:basedOn w:val="1"/>
    <w:next w:val="61"/>
    <w:autoRedefine/>
    <w:qFormat/>
    <w:uiPriority w:val="0"/>
    <w:pPr>
      <w:keepNext/>
      <w:keepLines/>
      <w:numPr>
        <w:ilvl w:val="4"/>
        <w:numId w:val="2"/>
      </w:numPr>
      <w:spacing w:before="280" w:after="156" w:line="377" w:lineRule="auto"/>
      <w:jc w:val="left"/>
      <w:outlineLvl w:val="4"/>
    </w:pPr>
    <w:rPr>
      <w:rFonts w:ascii="Arial" w:hAnsi="Arial" w:eastAsia="黑体"/>
      <w:b/>
      <w:sz w:val="24"/>
      <w:szCs w:val="28"/>
    </w:rPr>
  </w:style>
  <w:style w:type="paragraph" w:customStyle="1" w:styleId="61">
    <w:name w:val="正文（绿盟科技）"/>
    <w:autoRedefine/>
    <w:qFormat/>
    <w:uiPriority w:val="0"/>
    <w:pPr>
      <w:spacing w:line="300" w:lineRule="auto"/>
    </w:pPr>
    <w:rPr>
      <w:rFonts w:ascii="Arial" w:hAnsi="Arial" w:eastAsia="宋体" w:cs="黑体"/>
      <w:sz w:val="21"/>
      <w:szCs w:val="21"/>
      <w:lang w:val="en-US" w:eastAsia="zh-CN" w:bidi="ar-SA"/>
    </w:rPr>
  </w:style>
  <w:style w:type="paragraph" w:customStyle="1" w:styleId="62">
    <w:name w:val="xl75"/>
    <w:basedOn w:val="1"/>
    <w:next w:val="63"/>
    <w:autoRedefine/>
    <w:qFormat/>
    <w:uiPriority w:val="0"/>
    <w:pPr>
      <w:widowControl/>
      <w:spacing w:before="280" w:after="280"/>
      <w:ind w:left="200" w:firstLine="5320"/>
      <w:jc w:val="center"/>
    </w:pPr>
    <w:rPr>
      <w:rFonts w:ascii="宋体"/>
    </w:rPr>
  </w:style>
  <w:style w:type="paragraph" w:customStyle="1" w:styleId="63">
    <w:name w:val="Test2"/>
    <w:basedOn w:val="3"/>
    <w:next w:val="64"/>
    <w:autoRedefine/>
    <w:qFormat/>
    <w:uiPriority w:val="0"/>
    <w:pPr>
      <w:widowControl/>
      <w:spacing w:before="156" w:after="156" w:line="480" w:lineRule="exact"/>
      <w:ind w:left="200" w:firstLine="14"/>
      <w:jc w:val="center"/>
    </w:pPr>
  </w:style>
  <w:style w:type="paragraph" w:customStyle="1" w:styleId="64">
    <w:name w:val="xl59"/>
    <w:basedOn w:val="1"/>
    <w:next w:val="65"/>
    <w:autoRedefine/>
    <w:qFormat/>
    <w:uiPriority w:val="0"/>
    <w:pPr>
      <w:widowControl/>
      <w:spacing w:before="280" w:after="280"/>
      <w:ind w:left="200" w:firstLine="5320"/>
      <w:jc w:val="center"/>
    </w:pPr>
  </w:style>
  <w:style w:type="paragraph" w:customStyle="1" w:styleId="65">
    <w:name w:val="方案正文"/>
    <w:basedOn w:val="1"/>
    <w:next w:val="66"/>
    <w:autoRedefine/>
    <w:qFormat/>
    <w:uiPriority w:val="0"/>
    <w:pPr>
      <w:spacing w:before="156"/>
      <w:ind w:left="359" w:firstLine="3687"/>
    </w:pPr>
  </w:style>
  <w:style w:type="paragraph" w:customStyle="1" w:styleId="66">
    <w:name w:val="小四 段落 宋体 Char Char Char Char"/>
    <w:basedOn w:val="1"/>
    <w:next w:val="67"/>
    <w:autoRedefine/>
    <w:qFormat/>
    <w:uiPriority w:val="0"/>
    <w:pPr>
      <w:ind w:left="480" w:right="-33" w:firstLine="3808"/>
    </w:pPr>
  </w:style>
  <w:style w:type="paragraph" w:customStyle="1" w:styleId="67">
    <w:name w:val="flType"/>
    <w:next w:val="1"/>
    <w:autoRedefine/>
    <w:qFormat/>
    <w:uiPriority w:val="0"/>
    <w:pPr>
      <w:widowControl w:val="0"/>
      <w:spacing w:after="284" w:line="113" w:lineRule="atLeast"/>
      <w:ind w:firstLine="4608"/>
      <w:jc w:val="center"/>
    </w:pPr>
    <w:rPr>
      <w:rFonts w:ascii="Calibri" w:hAnsi="Times New Roman" w:eastAsia="宋体" w:cs="Times New Roman"/>
      <w:lang w:val="en-US" w:eastAsia="zh-CN" w:bidi="ar-SA"/>
    </w:rPr>
  </w:style>
  <w:style w:type="paragraph" w:customStyle="1" w:styleId="6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正文1"/>
    <w:next w:val="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70">
    <w:name w:val="正文缩进 Char"/>
    <w:link w:val="6"/>
    <w:autoRedefine/>
    <w:qFormat/>
    <w:uiPriority w:val="0"/>
    <w:rPr>
      <w:rFonts w:ascii="Calibri" w:hAnsi="Calibri" w:eastAsia="宋体" w:cs="Times New Roman"/>
      <w:kern w:val="2"/>
      <w:sz w:val="21"/>
      <w:szCs w:val="21"/>
    </w:rPr>
  </w:style>
  <w:style w:type="character" w:customStyle="1" w:styleId="71">
    <w:name w:val="页脚 Char"/>
    <w:link w:val="29"/>
    <w:autoRedefine/>
    <w:qFormat/>
    <w:uiPriority w:val="0"/>
    <w:rPr>
      <w:rFonts w:ascii="Calibri" w:hAnsi="Calibri" w:eastAsia="宋体" w:cs="Times New Roman"/>
      <w:kern w:val="2"/>
      <w:sz w:val="18"/>
      <w:szCs w:val="18"/>
    </w:rPr>
  </w:style>
  <w:style w:type="character" w:customStyle="1" w:styleId="72">
    <w:name w:val="页眉 Char"/>
    <w:link w:val="30"/>
    <w:autoRedefine/>
    <w:qFormat/>
    <w:uiPriority w:val="0"/>
    <w:rPr>
      <w:rFonts w:ascii="Calibri" w:hAnsi="Calibri" w:eastAsia="宋体" w:cs="Times New Roman"/>
      <w:kern w:val="2"/>
      <w:sz w:val="18"/>
      <w:szCs w:val="18"/>
    </w:rPr>
  </w:style>
  <w:style w:type="character" w:customStyle="1" w:styleId="73">
    <w:name w:val="15"/>
    <w:autoRedefine/>
    <w:qFormat/>
    <w:uiPriority w:val="0"/>
    <w:rPr>
      <w:rFonts w:hint="default" w:ascii="Times New Roman" w:hAnsi="Times New Roman" w:eastAsia="宋体" w:cs="Times New Roman"/>
      <w:b/>
      <w:bCs/>
    </w:rPr>
  </w:style>
  <w:style w:type="character" w:customStyle="1" w:styleId="74">
    <w:name w:val="16"/>
    <w:autoRedefine/>
    <w:qFormat/>
    <w:uiPriority w:val="0"/>
    <w:rPr>
      <w:rFonts w:hint="default" w:ascii="Times New Roman" w:hAnsi="Times New Roman" w:eastAsia="宋体" w:cs="Times New Roman"/>
    </w:rPr>
  </w:style>
  <w:style w:type="character" w:customStyle="1" w:styleId="75">
    <w:name w:val="批注框文本 Char"/>
    <w:link w:val="28"/>
    <w:autoRedefine/>
    <w:qFormat/>
    <w:uiPriority w:val="0"/>
    <w:rPr>
      <w:rFonts w:ascii="Calibri" w:hAnsi="Calibri" w:eastAsia="宋体" w:cs="Times New Roman"/>
      <w:kern w:val="2"/>
      <w:sz w:val="18"/>
      <w:szCs w:val="18"/>
    </w:rPr>
  </w:style>
  <w:style w:type="paragraph" w:customStyle="1" w:styleId="76">
    <w:name w:val="修订1"/>
    <w:autoRedefine/>
    <w:qFormat/>
    <w:uiPriority w:val="0"/>
    <w:rPr>
      <w:rFonts w:ascii="Calibri" w:hAnsi="Calibri" w:eastAsia="宋体" w:cs="Times New Roman"/>
      <w:kern w:val="2"/>
      <w:sz w:val="21"/>
      <w:szCs w:val="21"/>
      <w:lang w:val="en-US" w:eastAsia="zh-CN" w:bidi="ar-SA"/>
    </w:rPr>
  </w:style>
  <w:style w:type="paragraph" w:customStyle="1" w:styleId="77">
    <w:name w:val="正文 A"/>
    <w:autoRedefine/>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78">
    <w:name w:val="样式 样式 首行缩进:  2 字符 + 行距: 1.5 倍行距"/>
    <w:basedOn w:val="1"/>
    <w:autoRedefine/>
    <w:qFormat/>
    <w:uiPriority w:val="0"/>
    <w:pPr>
      <w:spacing w:line="360" w:lineRule="auto"/>
      <w:ind w:firstLine="470" w:firstLineChars="196"/>
    </w:pPr>
    <w:rPr>
      <w:rFonts w:ascii="Times New Roman" w:hAnsi="Times New Roman"/>
      <w:sz w:val="24"/>
      <w:szCs w:val="24"/>
    </w:rPr>
  </w:style>
  <w:style w:type="paragraph" w:customStyle="1" w:styleId="79">
    <w:name w:val="列出段落1"/>
    <w:basedOn w:val="1"/>
    <w:autoRedefine/>
    <w:qFormat/>
    <w:uiPriority w:val="0"/>
    <w:pPr>
      <w:ind w:firstLine="420" w:firstLineChars="200"/>
    </w:pPr>
    <w:rPr>
      <w:rFonts w:ascii="Tahoma" w:hAnsi="Tahoma"/>
      <w:szCs w:val="22"/>
    </w:rPr>
  </w:style>
  <w:style w:type="paragraph" w:customStyle="1" w:styleId="80">
    <w:name w:val="WG标题2"/>
    <w:basedOn w:val="81"/>
    <w:autoRedefine/>
    <w:qFormat/>
    <w:uiPriority w:val="99"/>
    <w:pPr>
      <w:ind w:firstLine="0" w:firstLineChars="0"/>
      <w:outlineLvl w:val="1"/>
    </w:pPr>
    <w:rPr>
      <w:rFonts w:eastAsia="宋体"/>
      <w:b/>
    </w:rPr>
  </w:style>
  <w:style w:type="paragraph" w:customStyle="1" w:styleId="81">
    <w:name w:val="样式 正文小四wg + 首行缩进:  2 字符"/>
    <w:basedOn w:val="1"/>
    <w:autoRedefine/>
    <w:qFormat/>
    <w:uiPriority w:val="99"/>
    <w:pPr>
      <w:autoSpaceDE w:val="0"/>
      <w:autoSpaceDN w:val="0"/>
      <w:adjustRightInd w:val="0"/>
      <w:ind w:firstLine="200" w:firstLineChars="200"/>
    </w:pPr>
    <w:rPr>
      <w:rFonts w:ascii="仿宋_GB2312" w:hAnsi="宋体" w:eastAsia="仿宋_GB2312" w:cs="宋体"/>
      <w:color w:val="000000"/>
      <w:kern w:val="20"/>
      <w:sz w:val="24"/>
      <w:szCs w:val="20"/>
    </w:rPr>
  </w:style>
  <w:style w:type="character" w:customStyle="1" w:styleId="82">
    <w:name w:val="纯文本 Char"/>
    <w:autoRedefine/>
    <w:qFormat/>
    <w:locked/>
    <w:uiPriority w:val="0"/>
    <w:rPr>
      <w:rFonts w:ascii="宋体" w:hAnsi="Courier New"/>
      <w:kern w:val="2"/>
      <w:sz w:val="21"/>
    </w:rPr>
  </w:style>
  <w:style w:type="character" w:customStyle="1" w:styleId="83">
    <w:name w:val="纯文本 Char1"/>
    <w:basedOn w:val="45"/>
    <w:link w:val="24"/>
    <w:autoRedefine/>
    <w:qFormat/>
    <w:uiPriority w:val="99"/>
    <w:rPr>
      <w:rFonts w:ascii="宋体" w:hAnsi="Courier New" w:cs="Courier New"/>
      <w:kern w:val="2"/>
      <w:sz w:val="21"/>
      <w:szCs w:val="21"/>
    </w:rPr>
  </w:style>
  <w:style w:type="paragraph" w:customStyle="1" w:styleId="84">
    <w:name w:val="正文文字缩进"/>
    <w:basedOn w:val="1"/>
    <w:autoRedefine/>
    <w:qFormat/>
    <w:uiPriority w:val="0"/>
    <w:pPr>
      <w:adjustRightInd w:val="0"/>
      <w:ind w:left="180" w:firstLine="360"/>
      <w:jc w:val="left"/>
      <w:textAlignment w:val="baseline"/>
    </w:pPr>
    <w:rPr>
      <w:rFonts w:ascii="Times New Roman" w:hAnsi="Times New Roman"/>
      <w:sz w:val="24"/>
      <w:szCs w:val="20"/>
    </w:rPr>
  </w:style>
  <w:style w:type="character" w:customStyle="1" w:styleId="85">
    <w:name w:val="标题 5 Char"/>
    <w:basedOn w:val="45"/>
    <w:link w:val="7"/>
    <w:autoRedefine/>
    <w:qFormat/>
    <w:uiPriority w:val="0"/>
    <w:rPr>
      <w:rFonts w:ascii="Calibri" w:hAnsi="Calibri"/>
      <w:b/>
      <w:bCs/>
      <w:kern w:val="2"/>
      <w:sz w:val="28"/>
      <w:szCs w:val="28"/>
    </w:rPr>
  </w:style>
  <w:style w:type="paragraph" w:customStyle="1" w:styleId="86">
    <w:name w:val="BodyText"/>
    <w:basedOn w:val="1"/>
    <w:autoRedefine/>
    <w:qFormat/>
    <w:uiPriority w:val="0"/>
    <w:pPr>
      <w:spacing w:after="120"/>
      <w:textAlignment w:val="baseline"/>
    </w:pPr>
    <w:rPr>
      <w:kern w:val="0"/>
      <w:sz w:val="20"/>
      <w:szCs w:val="24"/>
    </w:rPr>
  </w:style>
  <w:style w:type="character" w:customStyle="1" w:styleId="87">
    <w:name w:val="标题 3 Char"/>
    <w:basedOn w:val="45"/>
    <w:link w:val="4"/>
    <w:autoRedefine/>
    <w:qFormat/>
    <w:uiPriority w:val="0"/>
    <w:rPr>
      <w:rFonts w:ascii="Calibri" w:hAnsi="Calibri"/>
      <w:b/>
      <w:bCs/>
      <w:kern w:val="2"/>
      <w:sz w:val="32"/>
      <w:szCs w:val="32"/>
    </w:rPr>
  </w:style>
  <w:style w:type="character" w:customStyle="1" w:styleId="88">
    <w:name w:val="标题 6 Char"/>
    <w:basedOn w:val="45"/>
    <w:link w:val="8"/>
    <w:autoRedefine/>
    <w:qFormat/>
    <w:uiPriority w:val="0"/>
    <w:rPr>
      <w:rFonts w:ascii="Cambria" w:hAnsi="Cambria"/>
      <w:b/>
      <w:bCs/>
      <w:kern w:val="2"/>
      <w:sz w:val="24"/>
      <w:szCs w:val="24"/>
    </w:rPr>
  </w:style>
  <w:style w:type="character" w:customStyle="1" w:styleId="89">
    <w:name w:val="标题 7 Char"/>
    <w:basedOn w:val="45"/>
    <w:link w:val="9"/>
    <w:autoRedefine/>
    <w:qFormat/>
    <w:uiPriority w:val="0"/>
    <w:rPr>
      <w:rFonts w:ascii="Calibri" w:hAnsi="Calibri"/>
      <w:b/>
      <w:bCs/>
      <w:kern w:val="2"/>
      <w:sz w:val="24"/>
      <w:szCs w:val="24"/>
    </w:rPr>
  </w:style>
  <w:style w:type="character" w:customStyle="1" w:styleId="90">
    <w:name w:val="标题 8 Char"/>
    <w:basedOn w:val="45"/>
    <w:link w:val="10"/>
    <w:autoRedefine/>
    <w:qFormat/>
    <w:uiPriority w:val="0"/>
    <w:rPr>
      <w:rFonts w:ascii="Cambria" w:hAnsi="Cambria"/>
      <w:kern w:val="2"/>
      <w:sz w:val="24"/>
      <w:szCs w:val="24"/>
    </w:rPr>
  </w:style>
  <w:style w:type="character" w:customStyle="1" w:styleId="91">
    <w:name w:val="标题 9 Char"/>
    <w:basedOn w:val="45"/>
    <w:link w:val="11"/>
    <w:autoRedefine/>
    <w:qFormat/>
    <w:uiPriority w:val="0"/>
    <w:rPr>
      <w:rFonts w:ascii="Cambria" w:hAnsi="Cambria"/>
      <w:kern w:val="2"/>
      <w:sz w:val="21"/>
      <w:szCs w:val="21"/>
    </w:rPr>
  </w:style>
  <w:style w:type="character" w:customStyle="1" w:styleId="92">
    <w:name w:val="文档结构图 Char"/>
    <w:basedOn w:val="45"/>
    <w:link w:val="14"/>
    <w:autoRedefine/>
    <w:qFormat/>
    <w:uiPriority w:val="0"/>
    <w:rPr>
      <w:shd w:val="clear" w:color="auto" w:fill="000080"/>
    </w:rPr>
  </w:style>
  <w:style w:type="character" w:customStyle="1" w:styleId="93">
    <w:name w:val="正文文本缩进 3 Char"/>
    <w:basedOn w:val="45"/>
    <w:link w:val="35"/>
    <w:autoRedefine/>
    <w:qFormat/>
    <w:uiPriority w:val="0"/>
    <w:rPr>
      <w:rFonts w:ascii="仿宋_GB2312" w:eastAsia="仿宋_GB2312"/>
      <w:sz w:val="28"/>
    </w:rPr>
  </w:style>
  <w:style w:type="character" w:customStyle="1" w:styleId="94">
    <w:name w:val="日期 Char"/>
    <w:basedOn w:val="45"/>
    <w:link w:val="26"/>
    <w:autoRedefine/>
    <w:qFormat/>
    <w:uiPriority w:val="0"/>
    <w:rPr>
      <w:rFonts w:ascii="宋体"/>
      <w:kern w:val="2"/>
      <w:sz w:val="21"/>
    </w:rPr>
  </w:style>
  <w:style w:type="character" w:customStyle="1" w:styleId="95">
    <w:name w:val="正文文本缩进 2 Char"/>
    <w:basedOn w:val="45"/>
    <w:link w:val="27"/>
    <w:autoRedefine/>
    <w:qFormat/>
    <w:uiPriority w:val="0"/>
    <w:rPr>
      <w:rFonts w:ascii="楷体_GB2312" w:eastAsia="楷体_GB2312"/>
      <w:b/>
      <w:spacing w:val="-24"/>
      <w:sz w:val="28"/>
    </w:rPr>
  </w:style>
  <w:style w:type="character" w:customStyle="1" w:styleId="96">
    <w:name w:val="正文文本 2 Char"/>
    <w:basedOn w:val="45"/>
    <w:link w:val="38"/>
    <w:autoRedefine/>
    <w:qFormat/>
    <w:uiPriority w:val="0"/>
    <w:rPr>
      <w:rFonts w:ascii="楷体_GB2312" w:eastAsia="楷体_GB2312"/>
      <w:sz w:val="18"/>
    </w:rPr>
  </w:style>
  <w:style w:type="paragraph" w:customStyle="1" w:styleId="97">
    <w:name w:val="Char"/>
    <w:basedOn w:val="1"/>
    <w:autoRedefine/>
    <w:qFormat/>
    <w:uiPriority w:val="0"/>
    <w:rPr>
      <w:rFonts w:ascii="Times New Roman" w:hAnsi="Times New Roman"/>
      <w:szCs w:val="24"/>
    </w:rPr>
  </w:style>
  <w:style w:type="paragraph" w:customStyle="1" w:styleId="98">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b w:val="0"/>
      <w:bCs w:val="0"/>
      <w:szCs w:val="20"/>
    </w:rPr>
  </w:style>
  <w:style w:type="paragraph" w:customStyle="1" w:styleId="99">
    <w:name w:val="正文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0">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1">
    <w:name w:val="Blockquote"/>
    <w:basedOn w:val="1"/>
    <w:autoRedefine/>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102">
    <w:name w:val="Char1"/>
    <w:basedOn w:val="1"/>
    <w:autoRedefine/>
    <w:qFormat/>
    <w:uiPriority w:val="0"/>
    <w:rPr>
      <w:rFonts w:ascii="Times New Roman" w:hAnsi="Times New Roman"/>
      <w:szCs w:val="24"/>
    </w:rPr>
  </w:style>
  <w:style w:type="character" w:customStyle="1" w:styleId="103">
    <w:name w:val="正文文本 Char1"/>
    <w:autoRedefine/>
    <w:qFormat/>
    <w:uiPriority w:val="0"/>
    <w:rPr>
      <w:kern w:val="2"/>
      <w:sz w:val="21"/>
      <w:szCs w:val="22"/>
    </w:rPr>
  </w:style>
  <w:style w:type="character" w:customStyle="1" w:styleId="104">
    <w:name w:val="明显引用 Char"/>
    <w:link w:val="105"/>
    <w:autoRedefine/>
    <w:qFormat/>
    <w:uiPriority w:val="0"/>
    <w:rPr>
      <w:b/>
      <w:bCs/>
      <w:i/>
      <w:iCs/>
      <w:color w:val="4F81BD"/>
      <w:kern w:val="2"/>
      <w:sz w:val="21"/>
      <w:szCs w:val="22"/>
    </w:rPr>
  </w:style>
  <w:style w:type="paragraph" w:styleId="105">
    <w:name w:val="Intense Quote"/>
    <w:basedOn w:val="1"/>
    <w:next w:val="1"/>
    <w:link w:val="104"/>
    <w:autoRedefine/>
    <w:qFormat/>
    <w:uiPriority w:val="0"/>
    <w:pPr>
      <w:pBdr>
        <w:bottom w:val="single" w:color="4F81BD" w:sz="4" w:space="4"/>
      </w:pBdr>
      <w:spacing w:before="200" w:after="280"/>
      <w:ind w:left="936" w:right="936"/>
    </w:pPr>
    <w:rPr>
      <w:rFonts w:ascii="Times New Roman" w:hAnsi="Times New Roman"/>
      <w:b/>
      <w:bCs/>
      <w:i/>
      <w:iCs/>
      <w:color w:val="4F81BD"/>
      <w:szCs w:val="22"/>
    </w:rPr>
  </w:style>
  <w:style w:type="character" w:customStyle="1" w:styleId="106">
    <w:name w:val="不明显强调1"/>
    <w:autoRedefine/>
    <w:qFormat/>
    <w:uiPriority w:val="0"/>
    <w:rPr>
      <w:i/>
      <w:iCs/>
      <w:color w:val="808080"/>
    </w:rPr>
  </w:style>
  <w:style w:type="character" w:customStyle="1" w:styleId="107">
    <w:name w:val="标题4 Char Char"/>
    <w:link w:val="108"/>
    <w:autoRedefine/>
    <w:qFormat/>
    <w:uiPriority w:val="0"/>
    <w:rPr>
      <w:rFonts w:ascii="Arial" w:hAnsi="Arial"/>
      <w:b/>
      <w:bCs/>
      <w:sz w:val="24"/>
      <w:szCs w:val="32"/>
    </w:rPr>
  </w:style>
  <w:style w:type="paragraph" w:customStyle="1" w:styleId="108">
    <w:name w:val="标题4"/>
    <w:basedOn w:val="3"/>
    <w:next w:val="21"/>
    <w:link w:val="107"/>
    <w:autoRedefine/>
    <w:qFormat/>
    <w:uiPriority w:val="0"/>
    <w:pPr>
      <w:spacing w:before="260" w:after="260" w:line="413" w:lineRule="auto"/>
      <w:jc w:val="both"/>
    </w:pPr>
    <w:rPr>
      <w:rFonts w:ascii="Arial" w:hAnsi="Arial"/>
      <w:kern w:val="0"/>
      <w:sz w:val="24"/>
      <w:szCs w:val="32"/>
    </w:rPr>
  </w:style>
  <w:style w:type="character" w:customStyle="1" w:styleId="109">
    <w:name w:val="标题 1 Char"/>
    <w:link w:val="2"/>
    <w:autoRedefine/>
    <w:qFormat/>
    <w:uiPriority w:val="0"/>
    <w:rPr>
      <w:b/>
      <w:bCs/>
      <w:kern w:val="44"/>
      <w:sz w:val="44"/>
      <w:szCs w:val="44"/>
    </w:rPr>
  </w:style>
  <w:style w:type="character" w:customStyle="1" w:styleId="110">
    <w:name w:val="标题5 Char Char"/>
    <w:link w:val="111"/>
    <w:autoRedefine/>
    <w:qFormat/>
    <w:uiPriority w:val="0"/>
    <w:rPr>
      <w:rFonts w:ascii="Arial" w:hAnsi="Arial"/>
      <w:b/>
      <w:bCs/>
      <w:sz w:val="24"/>
      <w:szCs w:val="32"/>
    </w:rPr>
  </w:style>
  <w:style w:type="paragraph" w:customStyle="1" w:styleId="111">
    <w:name w:val="标题5"/>
    <w:basedOn w:val="4"/>
    <w:link w:val="110"/>
    <w:autoRedefine/>
    <w:qFormat/>
    <w:uiPriority w:val="0"/>
    <w:pPr>
      <w:spacing w:line="413" w:lineRule="auto"/>
    </w:pPr>
    <w:rPr>
      <w:rFonts w:ascii="Arial" w:hAnsi="Arial"/>
      <w:kern w:val="0"/>
      <w:sz w:val="24"/>
    </w:rPr>
  </w:style>
  <w:style w:type="character" w:customStyle="1" w:styleId="112">
    <w:name w:val="明显参考1"/>
    <w:autoRedefine/>
    <w:qFormat/>
    <w:uiPriority w:val="0"/>
    <w:rPr>
      <w:b/>
      <w:bCs/>
      <w:smallCaps/>
      <w:color w:val="C0504D"/>
      <w:spacing w:val="5"/>
      <w:u w:val="single"/>
    </w:rPr>
  </w:style>
  <w:style w:type="character" w:customStyle="1" w:styleId="113">
    <w:name w:val="书籍标题1"/>
    <w:autoRedefine/>
    <w:qFormat/>
    <w:uiPriority w:val="0"/>
    <w:rPr>
      <w:b/>
      <w:bCs/>
      <w:smallCaps/>
      <w:spacing w:val="5"/>
    </w:rPr>
  </w:style>
  <w:style w:type="character" w:customStyle="1" w:styleId="114">
    <w:name w:val="批注框文本 Char1"/>
    <w:autoRedefine/>
    <w:qFormat/>
    <w:uiPriority w:val="0"/>
    <w:rPr>
      <w:kern w:val="2"/>
      <w:sz w:val="18"/>
      <w:szCs w:val="18"/>
    </w:rPr>
  </w:style>
  <w:style w:type="character" w:customStyle="1" w:styleId="115">
    <w:name w:val="引用 Char"/>
    <w:link w:val="116"/>
    <w:autoRedefine/>
    <w:qFormat/>
    <w:uiPriority w:val="0"/>
    <w:rPr>
      <w:i/>
      <w:iCs/>
      <w:color w:val="000000"/>
      <w:kern w:val="2"/>
      <w:sz w:val="21"/>
      <w:szCs w:val="22"/>
    </w:rPr>
  </w:style>
  <w:style w:type="paragraph" w:styleId="116">
    <w:name w:val="Quote"/>
    <w:basedOn w:val="1"/>
    <w:next w:val="1"/>
    <w:link w:val="115"/>
    <w:autoRedefine/>
    <w:qFormat/>
    <w:uiPriority w:val="0"/>
    <w:rPr>
      <w:rFonts w:ascii="Times New Roman" w:hAnsi="Times New Roman"/>
      <w:i/>
      <w:iCs/>
      <w:color w:val="000000"/>
      <w:szCs w:val="22"/>
    </w:rPr>
  </w:style>
  <w:style w:type="character" w:customStyle="1" w:styleId="117">
    <w:name w:val="批注主题 Char1"/>
    <w:autoRedefine/>
    <w:qFormat/>
    <w:uiPriority w:val="0"/>
    <w:rPr>
      <w:b/>
      <w:bCs/>
      <w:kern w:val="2"/>
      <w:sz w:val="21"/>
      <w:szCs w:val="22"/>
    </w:rPr>
  </w:style>
  <w:style w:type="character" w:customStyle="1" w:styleId="118">
    <w:name w:val="正文文本 Char"/>
    <w:link w:val="17"/>
    <w:autoRedefine/>
    <w:qFormat/>
    <w:uiPriority w:val="0"/>
    <w:rPr>
      <w:rFonts w:ascii="楷体_GB2312" w:hAnsi="Arial"/>
      <w:kern w:val="2"/>
      <w:sz w:val="28"/>
      <w:szCs w:val="28"/>
    </w:rPr>
  </w:style>
  <w:style w:type="character" w:customStyle="1" w:styleId="119">
    <w:name w:val="批注主题 Char"/>
    <w:link w:val="41"/>
    <w:autoRedefine/>
    <w:qFormat/>
    <w:uiPriority w:val="0"/>
    <w:rPr>
      <w:rFonts w:ascii="宋体"/>
      <w:b/>
      <w:bCs/>
      <w:sz w:val="28"/>
    </w:rPr>
  </w:style>
  <w:style w:type="character" w:customStyle="1" w:styleId="120">
    <w:name w:val="标题 4 Char"/>
    <w:link w:val="5"/>
    <w:autoRedefine/>
    <w:qFormat/>
    <w:uiPriority w:val="0"/>
    <w:rPr>
      <w:rFonts w:ascii="Cambria" w:hAnsi="Cambria" w:eastAsia="华文细黑"/>
      <w:b/>
      <w:kern w:val="2"/>
      <w:sz w:val="28"/>
    </w:rPr>
  </w:style>
  <w:style w:type="character" w:customStyle="1" w:styleId="121">
    <w:name w:val="日期 Char1"/>
    <w:autoRedefine/>
    <w:qFormat/>
    <w:uiPriority w:val="0"/>
    <w:rPr>
      <w:kern w:val="2"/>
      <w:sz w:val="21"/>
      <w:szCs w:val="22"/>
    </w:rPr>
  </w:style>
  <w:style w:type="character" w:customStyle="1" w:styleId="122">
    <w:name w:val="明显强调1"/>
    <w:autoRedefine/>
    <w:qFormat/>
    <w:uiPriority w:val="0"/>
    <w:rPr>
      <w:b/>
      <w:bCs/>
      <w:i/>
      <w:iCs/>
      <w:color w:val="4F81BD"/>
    </w:rPr>
  </w:style>
  <w:style w:type="character" w:customStyle="1" w:styleId="123">
    <w:name w:val="textcontents"/>
    <w:autoRedefine/>
    <w:qFormat/>
    <w:uiPriority w:val="0"/>
    <w:rPr>
      <w:rFonts w:cs="Times New Roman"/>
    </w:rPr>
  </w:style>
  <w:style w:type="character" w:customStyle="1" w:styleId="124">
    <w:name w:val="不明显参考1"/>
    <w:autoRedefine/>
    <w:qFormat/>
    <w:uiPriority w:val="0"/>
    <w:rPr>
      <w:smallCaps/>
      <w:color w:val="C0504D"/>
      <w:u w:val="single"/>
    </w:rPr>
  </w:style>
  <w:style w:type="character" w:customStyle="1" w:styleId="125">
    <w:name w:val="批注文字 Char Char"/>
    <w:autoRedefine/>
    <w:qFormat/>
    <w:uiPriority w:val="0"/>
    <w:rPr>
      <w:rFonts w:ascii="宋体" w:hAnsi="Times New Roman" w:eastAsia="宋体" w:cs="Times New Roman"/>
      <w:sz w:val="28"/>
      <w:szCs w:val="20"/>
    </w:rPr>
  </w:style>
  <w:style w:type="character" w:customStyle="1" w:styleId="126">
    <w:name w:val="标题 2 Char"/>
    <w:link w:val="3"/>
    <w:autoRedefine/>
    <w:qFormat/>
    <w:uiPriority w:val="0"/>
    <w:rPr>
      <w:rFonts w:ascii="宋体" w:hAnsi="宋体"/>
      <w:b/>
      <w:bCs/>
      <w:kern w:val="2"/>
      <w:sz w:val="28"/>
      <w:szCs w:val="28"/>
    </w:rPr>
  </w:style>
  <w:style w:type="character" w:customStyle="1" w:styleId="127">
    <w:name w:val="标题 Char"/>
    <w:link w:val="40"/>
    <w:autoRedefine/>
    <w:qFormat/>
    <w:uiPriority w:val="0"/>
    <w:rPr>
      <w:rFonts w:ascii="Cambria" w:hAnsi="Cambria"/>
      <w:b/>
      <w:bCs/>
      <w:kern w:val="2"/>
      <w:sz w:val="32"/>
      <w:szCs w:val="32"/>
    </w:rPr>
  </w:style>
  <w:style w:type="character" w:customStyle="1" w:styleId="128">
    <w:name w:val="批注文字 Char"/>
    <w:autoRedefine/>
    <w:qFormat/>
    <w:uiPriority w:val="0"/>
    <w:rPr>
      <w:kern w:val="2"/>
      <w:sz w:val="21"/>
      <w:szCs w:val="22"/>
    </w:rPr>
  </w:style>
  <w:style w:type="character" w:customStyle="1" w:styleId="129">
    <w:name w:val="副标题 Char"/>
    <w:link w:val="33"/>
    <w:autoRedefine/>
    <w:qFormat/>
    <w:uiPriority w:val="0"/>
    <w:rPr>
      <w:rFonts w:ascii="Cambria" w:hAnsi="Cambria"/>
      <w:b/>
      <w:bCs/>
      <w:kern w:val="28"/>
      <w:sz w:val="32"/>
      <w:szCs w:val="32"/>
    </w:rPr>
  </w:style>
  <w:style w:type="character" w:customStyle="1" w:styleId="130">
    <w:name w:val="文档结构图 Char1"/>
    <w:autoRedefine/>
    <w:qFormat/>
    <w:uiPriority w:val="0"/>
    <w:rPr>
      <w:rFonts w:ascii="宋体"/>
      <w:kern w:val="2"/>
      <w:sz w:val="18"/>
      <w:szCs w:val="18"/>
    </w:rPr>
  </w:style>
  <w:style w:type="paragraph" w:customStyle="1" w:styleId="131">
    <w:name w:val="修订2"/>
    <w:autoRedefine/>
    <w:qFormat/>
    <w:uiPriority w:val="0"/>
    <w:rPr>
      <w:rFonts w:ascii="Times New Roman" w:hAnsi="Times New Roman" w:eastAsia="宋体" w:cs="Times New Roman"/>
      <w:kern w:val="2"/>
      <w:sz w:val="21"/>
      <w:szCs w:val="24"/>
      <w:lang w:val="en-US" w:eastAsia="zh-CN" w:bidi="ar-SA"/>
    </w:rPr>
  </w:style>
  <w:style w:type="character" w:customStyle="1" w:styleId="132">
    <w:name w:val="批注文字 Char1"/>
    <w:basedOn w:val="45"/>
    <w:autoRedefine/>
    <w:qFormat/>
    <w:uiPriority w:val="0"/>
    <w:rPr>
      <w:kern w:val="2"/>
      <w:sz w:val="21"/>
      <w:szCs w:val="24"/>
    </w:rPr>
  </w:style>
  <w:style w:type="character" w:customStyle="1" w:styleId="133">
    <w:name w:val="批注文字 Char2"/>
    <w:basedOn w:val="45"/>
    <w:link w:val="15"/>
    <w:autoRedefine/>
    <w:qFormat/>
    <w:uiPriority w:val="0"/>
    <w:rPr>
      <w:kern w:val="2"/>
      <w:sz w:val="21"/>
      <w:szCs w:val="21"/>
    </w:rPr>
  </w:style>
  <w:style w:type="character" w:customStyle="1" w:styleId="134">
    <w:name w:val="批注主题 Char2"/>
    <w:basedOn w:val="133"/>
    <w:autoRedefine/>
    <w:qFormat/>
    <w:uiPriority w:val="0"/>
    <w:rPr>
      <w:rFonts w:ascii="Calibri" w:hAnsi="Calibri"/>
      <w:b/>
      <w:bCs/>
      <w:kern w:val="2"/>
      <w:sz w:val="21"/>
      <w:szCs w:val="21"/>
    </w:rPr>
  </w:style>
  <w:style w:type="character" w:customStyle="1" w:styleId="135">
    <w:name w:val="标题 Char1"/>
    <w:basedOn w:val="45"/>
    <w:autoRedefine/>
    <w:qFormat/>
    <w:uiPriority w:val="0"/>
    <w:rPr>
      <w:rFonts w:asciiTheme="majorHAnsi" w:hAnsiTheme="majorHAnsi" w:cstheme="majorBidi"/>
      <w:b/>
      <w:bCs/>
      <w:kern w:val="2"/>
      <w:sz w:val="32"/>
      <w:szCs w:val="32"/>
    </w:rPr>
  </w:style>
  <w:style w:type="paragraph" w:customStyle="1" w:styleId="136">
    <w:name w:val="TOC 标题1"/>
    <w:basedOn w:val="2"/>
    <w:next w:val="1"/>
    <w:autoRedefine/>
    <w:qFormat/>
    <w:uiPriority w:val="0"/>
    <w:pPr>
      <w:outlineLvl w:val="9"/>
    </w:pPr>
    <w:rPr>
      <w:rFonts w:ascii="Calibri" w:hAnsi="Calibri"/>
    </w:rPr>
  </w:style>
  <w:style w:type="character" w:customStyle="1" w:styleId="137">
    <w:name w:val="副标题 Char1"/>
    <w:basedOn w:val="45"/>
    <w:autoRedefine/>
    <w:qFormat/>
    <w:uiPriority w:val="0"/>
    <w:rPr>
      <w:rFonts w:asciiTheme="majorHAnsi" w:hAnsiTheme="majorHAnsi" w:cstheme="majorBidi"/>
      <w:b/>
      <w:bCs/>
      <w:kern w:val="28"/>
      <w:sz w:val="32"/>
      <w:szCs w:val="32"/>
    </w:rPr>
  </w:style>
  <w:style w:type="character" w:customStyle="1" w:styleId="138">
    <w:name w:val="明显引用 Char1"/>
    <w:basedOn w:val="45"/>
    <w:autoRedefine/>
    <w:qFormat/>
    <w:uiPriority w:val="99"/>
    <w:rPr>
      <w:rFonts w:ascii="Calibri" w:hAnsi="Calibri"/>
      <w:b/>
      <w:bCs/>
      <w:i/>
      <w:iCs/>
      <w:color w:val="4F81BD" w:themeColor="accent1"/>
      <w:kern w:val="2"/>
      <w:sz w:val="21"/>
      <w:szCs w:val="21"/>
      <w14:textFill>
        <w14:solidFill>
          <w14:schemeClr w14:val="accent1"/>
        </w14:solidFill>
      </w14:textFill>
    </w:rPr>
  </w:style>
  <w:style w:type="paragraph" w:customStyle="1" w:styleId="139">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b w:val="0"/>
      <w:bCs w:val="0"/>
      <w:sz w:val="24"/>
      <w:szCs w:val="20"/>
    </w:rPr>
  </w:style>
  <w:style w:type="paragraph" w:customStyle="1" w:styleId="140">
    <w:name w:val="空半行"/>
    <w:basedOn w:val="1"/>
    <w:autoRedefine/>
    <w:qFormat/>
    <w:uiPriority w:val="0"/>
    <w:pPr>
      <w:adjustRightInd w:val="0"/>
      <w:spacing w:line="120" w:lineRule="exact"/>
      <w:textAlignment w:val="baseline"/>
    </w:pPr>
    <w:rPr>
      <w:rFonts w:ascii="Times New Roman" w:hAnsi="Times New Roman" w:eastAsia="仿宋_GB2312"/>
      <w:color w:val="FFFFFF"/>
      <w:kern w:val="0"/>
      <w:sz w:val="30"/>
      <w:szCs w:val="20"/>
    </w:rPr>
  </w:style>
  <w:style w:type="paragraph" w:styleId="141">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2">
    <w:name w:val="引用 Char1"/>
    <w:basedOn w:val="45"/>
    <w:autoRedefine/>
    <w:qFormat/>
    <w:uiPriority w:val="99"/>
    <w:rPr>
      <w:rFonts w:ascii="Calibri" w:hAnsi="Calibri"/>
      <w:i/>
      <w:iCs/>
      <w:color w:val="000000" w:themeColor="text1"/>
      <w:kern w:val="2"/>
      <w:sz w:val="21"/>
      <w:szCs w:val="21"/>
      <w14:textFill>
        <w14:solidFill>
          <w14:schemeClr w14:val="tx1"/>
        </w14:solidFill>
      </w14:textFill>
    </w:rPr>
  </w:style>
  <w:style w:type="paragraph" w:styleId="143">
    <w:name w:val="List Paragraph"/>
    <w:basedOn w:val="1"/>
    <w:autoRedefine/>
    <w:qFormat/>
    <w:uiPriority w:val="0"/>
    <w:pPr>
      <w:ind w:firstLine="420" w:firstLineChars="200"/>
    </w:pPr>
    <w:rPr>
      <w:szCs w:val="22"/>
    </w:rPr>
  </w:style>
  <w:style w:type="paragraph" w:customStyle="1" w:styleId="144">
    <w:name w:val="flNote"/>
    <w:basedOn w:val="1"/>
    <w:autoRedefine/>
    <w:qFormat/>
    <w:uiPriority w:val="0"/>
    <w:pPr>
      <w:adjustRightInd w:val="0"/>
      <w:spacing w:before="320" w:after="160" w:line="360" w:lineRule="atLeast"/>
      <w:jc w:val="center"/>
      <w:textAlignment w:val="baseline"/>
    </w:pPr>
    <w:rPr>
      <w:rFonts w:ascii="Arial" w:hAnsi="Times New Roman" w:eastAsia="黑体"/>
      <w:kern w:val="0"/>
      <w:sz w:val="30"/>
      <w:szCs w:val="20"/>
    </w:rPr>
  </w:style>
  <w:style w:type="paragraph" w:customStyle="1" w:styleId="145">
    <w:name w:val="标题 #1"/>
    <w:basedOn w:val="1"/>
    <w:autoRedefine/>
    <w:qFormat/>
    <w:uiPriority w:val="0"/>
    <w:pPr>
      <w:shd w:val="clear" w:color="auto" w:fill="FFFFFF"/>
      <w:spacing w:before="1320" w:after="30"/>
      <w:outlineLvl w:val="0"/>
    </w:pPr>
    <w:rPr>
      <w:rFonts w:ascii="MingLiU" w:hAnsi="MingLiU" w:eastAsia="MingLiU" w:cs="MingLiU"/>
      <w:sz w:val="48"/>
      <w:szCs w:val="48"/>
      <w:lang w:val="zh-CN" w:bidi="zh-CN"/>
    </w:rPr>
  </w:style>
  <w:style w:type="paragraph" w:customStyle="1" w:styleId="146">
    <w:name w:val="正文文本1"/>
    <w:basedOn w:val="1"/>
    <w:autoRedefine/>
    <w:qFormat/>
    <w:uiPriority w:val="0"/>
    <w:pPr>
      <w:shd w:val="clear" w:color="auto" w:fill="FFFFFF"/>
      <w:spacing w:after="120" w:line="0" w:lineRule="atLeast"/>
      <w:ind w:hanging="1020"/>
    </w:pPr>
    <w:rPr>
      <w:rFonts w:ascii="宋体" w:hAnsi="宋体"/>
      <w:kern w:val="0"/>
      <w:sz w:val="22"/>
      <w:szCs w:val="22"/>
    </w:rPr>
  </w:style>
  <w:style w:type="paragraph" w:customStyle="1" w:styleId="147">
    <w:name w:val="标题 #2"/>
    <w:basedOn w:val="1"/>
    <w:autoRedefine/>
    <w:qFormat/>
    <w:uiPriority w:val="0"/>
    <w:pPr>
      <w:shd w:val="clear" w:color="auto" w:fill="FFFFFF"/>
      <w:spacing w:after="340" w:line="295" w:lineRule="auto"/>
      <w:ind w:left="2310" w:firstLine="10"/>
      <w:outlineLvl w:val="1"/>
    </w:pPr>
    <w:rPr>
      <w:rFonts w:ascii="MingLiU" w:hAnsi="MingLiU" w:eastAsia="MingLiU" w:cs="MingLiU"/>
      <w:sz w:val="28"/>
      <w:szCs w:val="28"/>
      <w:lang w:val="zh-CN" w:bidi="zh-CN"/>
    </w:rPr>
  </w:style>
  <w:style w:type="paragraph" w:customStyle="1" w:styleId="148">
    <w:name w:val="首行缩进"/>
    <w:basedOn w:val="1"/>
    <w:autoRedefine/>
    <w:qFormat/>
    <w:uiPriority w:val="0"/>
    <w:pPr>
      <w:spacing w:line="360" w:lineRule="auto"/>
      <w:ind w:firstLine="420" w:firstLineChars="200"/>
    </w:pPr>
    <w:rPr>
      <w:kern w:val="0"/>
      <w:sz w:val="20"/>
    </w:rPr>
  </w:style>
  <w:style w:type="character" w:customStyle="1" w:styleId="149">
    <w:name w:val="font11"/>
    <w:basedOn w:val="45"/>
    <w:autoRedefine/>
    <w:qFormat/>
    <w:uiPriority w:val="0"/>
    <w:rPr>
      <w:rFonts w:hint="eastAsia" w:ascii="宋体" w:hAnsi="宋体" w:eastAsia="宋体" w:cs="宋体"/>
      <w:color w:val="000000"/>
      <w:sz w:val="24"/>
      <w:szCs w:val="24"/>
      <w:u w:val="none"/>
    </w:rPr>
  </w:style>
  <w:style w:type="character" w:customStyle="1" w:styleId="150">
    <w:name w:val="font01"/>
    <w:basedOn w:val="45"/>
    <w:autoRedefine/>
    <w:qFormat/>
    <w:uiPriority w:val="0"/>
    <w:rPr>
      <w:rFonts w:hint="default" w:ascii="Arial" w:hAnsi="Arial" w:cs="Arial"/>
      <w:color w:val="000000"/>
      <w:sz w:val="24"/>
      <w:szCs w:val="24"/>
      <w:u w:val="none"/>
    </w:rPr>
  </w:style>
  <w:style w:type="character" w:customStyle="1" w:styleId="151">
    <w:name w:val="Body text (10)_"/>
    <w:link w:val="152"/>
    <w:autoRedefine/>
    <w:qFormat/>
    <w:uiPriority w:val="0"/>
    <w:rPr>
      <w:rFonts w:ascii="MingLiU" w:hAnsi="MingLiU" w:eastAsia="MingLiU"/>
      <w:kern w:val="0"/>
      <w:sz w:val="28"/>
      <w:szCs w:val="28"/>
    </w:rPr>
  </w:style>
  <w:style w:type="paragraph" w:customStyle="1" w:styleId="152">
    <w:name w:val="Body text (10)"/>
    <w:basedOn w:val="1"/>
    <w:link w:val="151"/>
    <w:autoRedefine/>
    <w:qFormat/>
    <w:uiPriority w:val="0"/>
    <w:pPr>
      <w:shd w:val="clear" w:color="auto" w:fill="FFFFFF"/>
      <w:spacing w:before="660" w:after="360" w:line="0" w:lineRule="atLeast"/>
      <w:jc w:val="center"/>
    </w:pPr>
    <w:rPr>
      <w:rFonts w:ascii="MingLiU" w:hAnsi="MingLiU" w:eastAsia="MingLiU"/>
      <w:kern w:val="0"/>
      <w:sz w:val="28"/>
      <w:szCs w:val="28"/>
    </w:rPr>
  </w:style>
  <w:style w:type="paragraph" w:customStyle="1" w:styleId="153">
    <w:name w:val="Body text (24)"/>
    <w:basedOn w:val="1"/>
    <w:autoRedefine/>
    <w:qFormat/>
    <w:uiPriority w:val="0"/>
    <w:pPr>
      <w:shd w:val="clear" w:color="auto" w:fill="FFFFFF"/>
      <w:spacing w:after="420" w:line="0" w:lineRule="atLeast"/>
    </w:pPr>
    <w:rPr>
      <w:rFonts w:ascii="MingLiU" w:hAnsi="MingLiU" w:eastAsia="MingLiU"/>
      <w:kern w:val="0"/>
      <w:sz w:val="32"/>
      <w:szCs w:val="32"/>
    </w:rPr>
  </w:style>
  <w:style w:type="paragraph" w:customStyle="1" w:styleId="154">
    <w:name w:val="格式３"/>
    <w:basedOn w:val="1"/>
    <w:autoRedefine/>
    <w:qFormat/>
    <w:uiPriority w:val="0"/>
    <w:pPr>
      <w:spacing w:line="420" w:lineRule="exact"/>
      <w:ind w:left="600" w:hanging="600" w:hangingChars="250"/>
    </w:pPr>
    <w:rPr>
      <w:rFonts w:ascii="宋体" w:hAnsi="宋体"/>
      <w:color w:val="000000"/>
      <w:sz w:val="24"/>
      <w:szCs w:val="20"/>
    </w:rPr>
  </w:style>
  <w:style w:type="paragraph" w:customStyle="1" w:styleId="155">
    <w:name w:val="标题 #6 (3)"/>
    <w:basedOn w:val="1"/>
    <w:autoRedefine/>
    <w:qFormat/>
    <w:uiPriority w:val="0"/>
    <w:pPr>
      <w:shd w:val="clear" w:color="auto" w:fill="FFFFFF"/>
      <w:spacing w:before="180" w:after="600" w:line="0" w:lineRule="atLeast"/>
      <w:jc w:val="center"/>
      <w:outlineLvl w:val="5"/>
    </w:pPr>
    <w:rPr>
      <w:rFonts w:ascii="宋体" w:hAnsi="宋体" w:cs="宋体"/>
      <w:sz w:val="25"/>
      <w:szCs w:val="25"/>
    </w:rPr>
  </w:style>
  <w:style w:type="paragraph" w:customStyle="1" w:styleId="156">
    <w:name w:val="标题 #6 (2)"/>
    <w:basedOn w:val="1"/>
    <w:autoRedefine/>
    <w:qFormat/>
    <w:uiPriority w:val="0"/>
    <w:pPr>
      <w:shd w:val="clear" w:color="auto" w:fill="FFFFFF"/>
      <w:spacing w:before="420" w:after="600" w:line="0" w:lineRule="atLeast"/>
      <w:outlineLvl w:val="5"/>
    </w:pPr>
    <w:rPr>
      <w:rFonts w:ascii="宋体" w:hAnsi="宋体" w:cs="宋体"/>
      <w:sz w:val="29"/>
      <w:szCs w:val="29"/>
    </w:rPr>
  </w:style>
  <w:style w:type="paragraph" w:customStyle="1" w:styleId="157">
    <w:name w:val="标题 #8"/>
    <w:basedOn w:val="1"/>
    <w:autoRedefine/>
    <w:qFormat/>
    <w:uiPriority w:val="0"/>
    <w:pPr>
      <w:shd w:val="clear" w:color="auto" w:fill="FFFFFF"/>
      <w:spacing w:before="300" w:after="60" w:line="557" w:lineRule="exact"/>
      <w:outlineLvl w:val="7"/>
    </w:pPr>
    <w:rPr>
      <w:rFonts w:ascii="宋体" w:hAnsi="宋体"/>
      <w:kern w:val="0"/>
      <w:sz w:val="22"/>
      <w:szCs w:val="22"/>
    </w:rPr>
  </w:style>
  <w:style w:type="character" w:customStyle="1" w:styleId="158">
    <w:name w:val="标题 #8 + 9.5 pt"/>
    <w:autoRedefine/>
    <w:qFormat/>
    <w:uiPriority w:val="0"/>
    <w:rPr>
      <w:rFonts w:ascii="宋体" w:hAnsi="宋体" w:cs="宋体"/>
      <w:spacing w:val="0"/>
      <w:sz w:val="19"/>
      <w:szCs w:val="19"/>
      <w:shd w:val="clear" w:color="auto" w:fill="FFFFFF"/>
    </w:rPr>
  </w:style>
  <w:style w:type="character" w:customStyle="1" w:styleId="159">
    <w:name w:val="正文文本 + 9.5 pt2"/>
    <w:autoRedefine/>
    <w:qFormat/>
    <w:uiPriority w:val="0"/>
    <w:rPr>
      <w:rFonts w:ascii="宋体" w:hAnsi="宋体" w:cs="宋体"/>
      <w:spacing w:val="0"/>
      <w:sz w:val="19"/>
      <w:szCs w:val="19"/>
      <w:shd w:val="clear" w:color="auto" w:fill="FFFFFF"/>
    </w:rPr>
  </w:style>
  <w:style w:type="paragraph" w:customStyle="1" w:styleId="160">
    <w:name w:val="标题 #8 (2)2"/>
    <w:basedOn w:val="1"/>
    <w:autoRedefine/>
    <w:qFormat/>
    <w:uiPriority w:val="0"/>
    <w:pPr>
      <w:shd w:val="clear" w:color="auto" w:fill="FFFFFF"/>
      <w:spacing w:line="398" w:lineRule="exact"/>
      <w:jc w:val="distribute"/>
      <w:outlineLvl w:val="7"/>
    </w:pPr>
    <w:rPr>
      <w:rFonts w:ascii="宋体" w:hAnsi="宋体" w:cs="宋体"/>
      <w:sz w:val="22"/>
      <w:szCs w:val="22"/>
    </w:rPr>
  </w:style>
  <w:style w:type="character" w:customStyle="1" w:styleId="161">
    <w:name w:val="正文文本 (15)_"/>
    <w:link w:val="162"/>
    <w:autoRedefine/>
    <w:qFormat/>
    <w:uiPriority w:val="0"/>
    <w:rPr>
      <w:rFonts w:ascii="宋体" w:hAnsi="宋体"/>
      <w:kern w:val="0"/>
      <w:sz w:val="22"/>
      <w:szCs w:val="22"/>
    </w:rPr>
  </w:style>
  <w:style w:type="paragraph" w:customStyle="1" w:styleId="162">
    <w:name w:val="正文文本 (15)2"/>
    <w:basedOn w:val="1"/>
    <w:link w:val="161"/>
    <w:autoRedefine/>
    <w:qFormat/>
    <w:uiPriority w:val="0"/>
    <w:pPr>
      <w:shd w:val="clear" w:color="auto" w:fill="FFFFFF"/>
      <w:spacing w:after="540" w:line="0" w:lineRule="atLeast"/>
      <w:ind w:hanging="540"/>
    </w:pPr>
    <w:rPr>
      <w:rFonts w:ascii="宋体" w:hAnsi="宋体"/>
      <w:kern w:val="0"/>
      <w:sz w:val="22"/>
      <w:szCs w:val="22"/>
    </w:rPr>
  </w:style>
  <w:style w:type="paragraph" w:customStyle="1" w:styleId="163">
    <w:name w:val="标题 #8 (4)"/>
    <w:basedOn w:val="1"/>
    <w:autoRedefine/>
    <w:qFormat/>
    <w:uiPriority w:val="0"/>
    <w:pPr>
      <w:shd w:val="clear" w:color="auto" w:fill="FFFFFF"/>
      <w:spacing w:after="120" w:line="0" w:lineRule="atLeast"/>
      <w:outlineLvl w:val="7"/>
    </w:pPr>
    <w:rPr>
      <w:rFonts w:ascii="宋体" w:hAnsi="宋体" w:cs="宋体"/>
      <w:sz w:val="25"/>
      <w:szCs w:val="25"/>
    </w:rPr>
  </w:style>
  <w:style w:type="paragraph" w:customStyle="1" w:styleId="164">
    <w:name w:val="正文文本 (9)"/>
    <w:basedOn w:val="1"/>
    <w:autoRedefine/>
    <w:qFormat/>
    <w:uiPriority w:val="0"/>
    <w:pPr>
      <w:shd w:val="clear" w:color="auto" w:fill="FFFFFF"/>
      <w:spacing w:line="0" w:lineRule="atLeast"/>
      <w:ind w:hanging="220"/>
    </w:pPr>
    <w:rPr>
      <w:rFonts w:ascii="宋体" w:hAnsi="宋体" w:cs="宋体"/>
      <w:sz w:val="18"/>
      <w:szCs w:val="18"/>
    </w:rPr>
  </w:style>
  <w:style w:type="paragraph" w:customStyle="1" w:styleId="165">
    <w:name w:val="Table Paragraph"/>
    <w:basedOn w:val="1"/>
    <w:autoRedefine/>
    <w:qFormat/>
    <w:uiPriority w:val="1"/>
    <w:rPr>
      <w:rFonts w:ascii="宋体" w:hAnsi="宋体" w:cs="宋体"/>
      <w:lang w:val="zh-CN" w:bidi="zh-CN"/>
    </w:rPr>
  </w:style>
  <w:style w:type="character" w:customStyle="1" w:styleId="166">
    <w:name w:val="NormalCharacter"/>
    <w:autoRedefine/>
    <w:qFormat/>
    <w:uiPriority w:val="0"/>
  </w:style>
  <w:style w:type="character" w:customStyle="1" w:styleId="167">
    <w:name w:val="font81"/>
    <w:basedOn w:val="45"/>
    <w:autoRedefine/>
    <w:qFormat/>
    <w:uiPriority w:val="0"/>
    <w:rPr>
      <w:rFonts w:hint="eastAsia" w:ascii="宋体" w:hAnsi="宋体" w:eastAsia="宋体" w:cs="宋体"/>
      <w:color w:val="000000"/>
      <w:sz w:val="40"/>
      <w:szCs w:val="40"/>
      <w:u w:val="none"/>
    </w:rPr>
  </w:style>
  <w:style w:type="character" w:customStyle="1" w:styleId="168">
    <w:name w:val="font91"/>
    <w:basedOn w:val="45"/>
    <w:autoRedefine/>
    <w:qFormat/>
    <w:uiPriority w:val="0"/>
    <w:rPr>
      <w:rFonts w:hint="eastAsia" w:ascii="宋体" w:hAnsi="宋体" w:eastAsia="宋体" w:cs="宋体"/>
      <w:color w:val="000000"/>
      <w:sz w:val="40"/>
      <w:szCs w:val="40"/>
      <w:u w:val="none"/>
    </w:rPr>
  </w:style>
  <w:style w:type="character" w:customStyle="1" w:styleId="169">
    <w:name w:val="font21"/>
    <w:basedOn w:val="45"/>
    <w:autoRedefine/>
    <w:qFormat/>
    <w:uiPriority w:val="0"/>
    <w:rPr>
      <w:rFonts w:hint="eastAsia" w:ascii="宋体" w:hAnsi="宋体" w:eastAsia="宋体" w:cs="宋体"/>
      <w:color w:val="000000"/>
      <w:sz w:val="40"/>
      <w:szCs w:val="40"/>
      <w:u w:val="none"/>
    </w:rPr>
  </w:style>
  <w:style w:type="character" w:customStyle="1" w:styleId="170">
    <w:name w:val="font121"/>
    <w:basedOn w:val="45"/>
    <w:autoRedefine/>
    <w:qFormat/>
    <w:uiPriority w:val="0"/>
    <w:rPr>
      <w:rFonts w:ascii="Arial" w:hAnsi="Arial" w:cs="Arial"/>
      <w:color w:val="000000"/>
      <w:sz w:val="40"/>
      <w:szCs w:val="40"/>
      <w:u w:val="none"/>
    </w:rPr>
  </w:style>
  <w:style w:type="character" w:customStyle="1" w:styleId="171">
    <w:name w:val="font122"/>
    <w:basedOn w:val="45"/>
    <w:autoRedefine/>
    <w:qFormat/>
    <w:uiPriority w:val="0"/>
    <w:rPr>
      <w:rFonts w:ascii="Arial" w:hAnsi="Arial" w:cs="Arial"/>
      <w:color w:val="000000"/>
      <w:sz w:val="40"/>
      <w:szCs w:val="40"/>
      <w:u w:val="none"/>
    </w:rPr>
  </w:style>
  <w:style w:type="character" w:customStyle="1" w:styleId="172">
    <w:name w:val="font51"/>
    <w:basedOn w:val="45"/>
    <w:autoRedefine/>
    <w:qFormat/>
    <w:uiPriority w:val="0"/>
    <w:rPr>
      <w:rFonts w:hint="eastAsia" w:ascii="宋体" w:hAnsi="宋体" w:eastAsia="宋体" w:cs="宋体"/>
      <w:color w:val="000000"/>
      <w:sz w:val="40"/>
      <w:szCs w:val="40"/>
      <w:u w:val="none"/>
    </w:rPr>
  </w:style>
  <w:style w:type="character" w:customStyle="1" w:styleId="173">
    <w:name w:val="font71"/>
    <w:basedOn w:val="45"/>
    <w:autoRedefine/>
    <w:qFormat/>
    <w:uiPriority w:val="0"/>
    <w:rPr>
      <w:rFonts w:hint="eastAsia" w:ascii="宋体" w:hAnsi="宋体" w:eastAsia="宋体" w:cs="宋体"/>
      <w:color w:val="000000"/>
      <w:sz w:val="40"/>
      <w:szCs w:val="40"/>
      <w:u w:val="none"/>
    </w:rPr>
  </w:style>
  <w:style w:type="character" w:customStyle="1" w:styleId="174">
    <w:name w:val="font61"/>
    <w:basedOn w:val="45"/>
    <w:autoRedefine/>
    <w:qFormat/>
    <w:uiPriority w:val="0"/>
    <w:rPr>
      <w:rFonts w:hint="eastAsia" w:ascii="宋体" w:hAnsi="宋体" w:eastAsia="宋体" w:cs="宋体"/>
      <w:color w:val="000000"/>
      <w:sz w:val="40"/>
      <w:szCs w:val="40"/>
      <w:u w:val="none"/>
    </w:rPr>
  </w:style>
  <w:style w:type="character" w:customStyle="1" w:styleId="175">
    <w:name w:val="font41"/>
    <w:basedOn w:val="45"/>
    <w:autoRedefine/>
    <w:qFormat/>
    <w:uiPriority w:val="0"/>
    <w:rPr>
      <w:rFonts w:hint="eastAsia" w:ascii="宋体" w:hAnsi="宋体" w:eastAsia="宋体" w:cs="宋体"/>
      <w:color w:val="000000"/>
      <w:sz w:val="40"/>
      <w:szCs w:val="40"/>
      <w:u w:val="none"/>
    </w:rPr>
  </w:style>
  <w:style w:type="character" w:customStyle="1" w:styleId="176">
    <w:name w:val="font111"/>
    <w:basedOn w:val="45"/>
    <w:autoRedefine/>
    <w:qFormat/>
    <w:uiPriority w:val="0"/>
    <w:rPr>
      <w:rFonts w:hint="eastAsia" w:ascii="宋体" w:hAnsi="宋体" w:eastAsia="宋体" w:cs="宋体"/>
      <w:color w:val="000000"/>
      <w:sz w:val="40"/>
      <w:szCs w:val="40"/>
      <w:u w:val="none"/>
    </w:rPr>
  </w:style>
  <w:style w:type="character" w:customStyle="1" w:styleId="177">
    <w:name w:val="font131"/>
    <w:basedOn w:val="45"/>
    <w:autoRedefine/>
    <w:qFormat/>
    <w:uiPriority w:val="0"/>
    <w:rPr>
      <w:rFonts w:ascii="Arial" w:hAnsi="Arial" w:cs="Arial"/>
      <w:color w:val="000000"/>
      <w:sz w:val="40"/>
      <w:szCs w:val="40"/>
      <w:u w:val="none"/>
    </w:rPr>
  </w:style>
  <w:style w:type="paragraph" w:customStyle="1" w:styleId="178">
    <w:name w:val="正文缩进1"/>
    <w:basedOn w:val="1"/>
    <w:autoRedefine/>
    <w:qFormat/>
    <w:uiPriority w:val="0"/>
    <w:pPr>
      <w:ind w:firstLine="420"/>
    </w:pPr>
    <w:rPr>
      <w:lang w:eastAsia="en-US"/>
    </w:rPr>
  </w:style>
  <w:style w:type="paragraph" w:customStyle="1" w:styleId="179">
    <w:name w:val="正文2"/>
    <w:qFormat/>
    <w:uiPriority w:val="0"/>
    <w:rPr>
      <w:rFonts w:ascii="Times New Roman" w:hAnsi="Times New Roman" w:eastAsia="Times New Roman" w:cs="Times New Roman"/>
      <w:sz w:val="24"/>
      <w:szCs w:val="24"/>
      <w:lang w:val="en-US" w:eastAsia="zh-CN" w:bidi="ar-SA"/>
    </w:rPr>
  </w:style>
  <w:style w:type="character" w:customStyle="1" w:styleId="180">
    <w:name w:val="正文文本缩进 Char"/>
    <w:link w:val="18"/>
    <w:semiHidden/>
    <w:qFormat/>
    <w:locked/>
    <w:uiPriority w:val="99"/>
    <w:rPr>
      <w:rFonts w:ascii="宋体" w:hAnsi="宋体"/>
      <w:kern w:val="0"/>
    </w:rPr>
  </w:style>
  <w:style w:type="paragraph" w:customStyle="1" w:styleId="181">
    <w:name w:val="索引 41"/>
    <w:basedOn w:val="1"/>
    <w:next w:val="1"/>
    <w:semiHidden/>
    <w:qFormat/>
    <w:uiPriority w:val="0"/>
    <w:pPr>
      <w:ind w:left="1260"/>
    </w:pPr>
    <w:rPr>
      <w:rFonts w:ascii="Calibri" w:hAnsi="Calibri" w:eastAsia="Calibri" w:cs="宋体"/>
      <w:sz w:val="20"/>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44</Pages>
  <Words>8296</Words>
  <Characters>9169</Characters>
  <Lines>139</Lines>
  <Paragraphs>39</Paragraphs>
  <TotalTime>22</TotalTime>
  <ScaleCrop>false</ScaleCrop>
  <LinksUpToDate>false</LinksUpToDate>
  <CharactersWithSpaces>9287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2025-03-24T08:53:00Z</dcterms:created>
  <dc:creator>AutoBVT</dc:creator>
  <cp:lastModifiedBy>李老北</cp:lastModifiedBy>
  <cp:lastPrinted>2021-11-25T08:14:00Z</cp:lastPrinted>
  <dcterms:modified xsi:type="dcterms:W3CDTF">2026-08-10T03:48:15Z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4F7412FB0E324921A0786A1A1D79BFC0_13</vt:lpwstr>
  </property>
  <property fmtid="{D5CDD505-2E9C-101B-9397-08002B2CF9AE}" pid="4" name="KSOTemplateDocerSaveRecord">
    <vt:lpwstr>eyJoZGlkIjoiOGI3YmJmZThjMTZkODkyMTNmYTYwNjYwOWZhZWQyNjEiLCJ1c2VySWQiOiIyNzIyMDE1NzQifQ==</vt:lpwstr>
  </property>
</Properties>
</file>