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27"/>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27"/>
        <w:ind w:firstLine="0"/>
        <w:jc w:val="center"/>
        <w:widowControl w:val="off"/>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bookmarkStart w:id="82" w:name="_GoBack"/>
      <w:r/>
      <w:bookmarkEnd w:id="82"/>
      <w:r>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t xml:space="preserve">紫金山实验室超宽带通信核心硅基芯片与光电驱动融合系统测试平台采购项目（二次）</w:t>
      </w:r>
      <w:r/>
    </w:p>
    <w:p>
      <w:pPr>
        <w:pStyle w:val="927"/>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JSZC-320100-ZTZB-G2026-0048</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25</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27"/>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27"/>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8</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第一章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14:textFill>
                <w14:solidFill>
                  <w14:schemeClr w14:val="tx1"/>
                </w14:solidFill>
              </w14:textFill>
            </w:rPr>
            <w:t xml:space="preserve">招标</w:t>
          </w:r>
          <w:r>
            <w:rPr>
              <w:rStyle w:val="911"/>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第二章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14:textFill>
                <w14:solidFill>
                  <w14:schemeClr w14:val="tx1"/>
                </w14:solidFill>
              </w14:textFill>
            </w:rPr>
            <w:t xml:space="preserve">投标人</w:t>
          </w:r>
          <w:r>
            <w:rPr>
              <w:rStyle w:val="911"/>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三</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四</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五</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六</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11"/>
              <w:rFonts w:eastAsia="黑体"/>
              <w:color w:val="000000" w:themeColor="text1"/>
              <w14:textFill>
                <w14:solidFill>
                  <w14:schemeClr w14:val="tx1"/>
                </w14:solidFill>
              </w14:textFill>
            </w:rPr>
            <w:t xml:space="preserve">6.1 </w:t>
          </w:r>
          <w:r>
            <w:rPr>
              <w:rStyle w:val="911"/>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11"/>
              <w:rFonts w:eastAsia="黑体"/>
              <w:color w:val="000000" w:themeColor="text1"/>
              <w14:textFill>
                <w14:solidFill>
                  <w14:schemeClr w14:val="tx1"/>
                </w14:solidFill>
              </w14:textFill>
            </w:rPr>
            <w:t xml:space="preserve">6.2 </w:t>
          </w:r>
          <w:r>
            <w:rPr>
              <w:rStyle w:val="911"/>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11"/>
              <w:rFonts w:eastAsia="黑体"/>
              <w:color w:val="000000" w:themeColor="text1"/>
              <w14:textFill>
                <w14:solidFill>
                  <w14:schemeClr w14:val="tx1"/>
                </w14:solidFill>
              </w14:textFill>
            </w:rPr>
            <w:t xml:space="preserve">6.3 </w:t>
          </w:r>
          <w:r>
            <w:rPr>
              <w:rStyle w:val="911"/>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11"/>
              <w:rFonts w:eastAsia="黑体"/>
              <w:color w:val="000000" w:themeColor="text1"/>
              <w14:textFill>
                <w14:solidFill>
                  <w14:schemeClr w14:val="tx1"/>
                </w14:solidFill>
              </w14:textFill>
            </w:rPr>
            <w:t xml:space="preserve">6.4 </w:t>
          </w:r>
          <w:r>
            <w:rPr>
              <w:rStyle w:val="911"/>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11"/>
              <w:rFonts w:eastAsia="黑体"/>
              <w:color w:val="000000" w:themeColor="text1"/>
              <w14:textFill>
                <w14:solidFill>
                  <w14:schemeClr w14:val="tx1"/>
                </w14:solidFill>
              </w14:textFill>
            </w:rPr>
            <w:t xml:space="preserve">6.5 </w:t>
          </w:r>
          <w:r>
            <w:rPr>
              <w:rStyle w:val="911"/>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11"/>
              <w:rFonts w:eastAsia="黑体"/>
              <w:color w:val="000000" w:themeColor="text1"/>
              <w14:textFill>
                <w14:solidFill>
                  <w14:schemeClr w14:val="tx1"/>
                </w14:solidFill>
              </w14:textFill>
            </w:rPr>
            <w:t xml:space="preserve">6.6 </w:t>
          </w:r>
          <w:r>
            <w:rPr>
              <w:rStyle w:val="911"/>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11"/>
              <w:rFonts w:eastAsia="黑体"/>
              <w:color w:val="000000" w:themeColor="text1"/>
              <w14:textFill>
                <w14:solidFill>
                  <w14:schemeClr w14:val="tx1"/>
                </w14:solidFill>
              </w14:textFill>
            </w:rPr>
            <w:t xml:space="preserve">6.7 </w:t>
          </w:r>
          <w:r>
            <w:rPr>
              <w:rStyle w:val="911"/>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11"/>
              <w:rFonts w:eastAsia="黑体"/>
              <w:color w:val="000000" w:themeColor="text1"/>
              <w14:textFill>
                <w14:solidFill>
                  <w14:schemeClr w14:val="tx1"/>
                </w14:solidFill>
              </w14:textFill>
            </w:rPr>
            <w:t xml:space="preserve">6.8 </w:t>
          </w:r>
          <w:r>
            <w:rPr>
              <w:rStyle w:val="911"/>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11"/>
              <w:rFonts w:eastAsia="黑体"/>
              <w:color w:val="000000" w:themeColor="text1"/>
              <w14:textFill>
                <w14:solidFill>
                  <w14:schemeClr w14:val="tx1"/>
                </w14:solidFill>
              </w14:textFill>
            </w:rPr>
            <w:t xml:space="preserve">6.9 </w:t>
          </w:r>
          <w:r>
            <w:rPr>
              <w:rStyle w:val="911"/>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2"/>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11859485"/>
      <w:r/>
      <w:bookmarkStart w:id="2" w:name="_Toc415494523"/>
      <w:r/>
      <w:bookmarkStart w:id="3" w:name="_Toc448069940"/>
      <w:r/>
      <w:bookmarkStart w:id="4" w:name="_Toc"/>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80"/>
        <w:spacing w:line="360" w:lineRule="exact"/>
        <w:rPr>
          <w:rFonts w:ascii="黑体" w:hAnsi="黑体" w:cs="宋体"/>
          <w:b w:val="0"/>
          <w:sz w:val="28"/>
          <w:szCs w:val="28"/>
        </w:rPr>
      </w:pPr>
      <w:r/>
      <w:bookmarkStart w:id="5" w:name="_Toc35393621"/>
      <w:r/>
      <w:bookmarkStart w:id="6" w:name="_Toc35393790"/>
      <w:r/>
      <w:bookmarkStart w:id="7" w:name="_Toc28359002"/>
      <w:r/>
      <w:bookmarkStart w:id="8" w:name="_Toc28359079"/>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项目编号：JSZC-320100-ZTZB-G2026-0048（内部编号PML-ZH-ZB-20260</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w:t>
      </w:r>
      <w:r/>
    </w:p>
    <w:p>
      <w:pPr>
        <w:ind w:left="1959" w:hanging="1400"/>
        <w:spacing w:line="400" w:lineRule="exact"/>
        <w:rPr>
          <w:rFonts w:hint="eastAsia" w:ascii="仿宋" w:hAnsi="仿宋" w:eastAsia="仿宋"/>
          <w:sz w:val="28"/>
          <w:szCs w:val="28"/>
          <w:lang w:eastAsia="zh-CN"/>
        </w:rPr>
      </w:pPr>
      <w:r>
        <w:rPr>
          <w:rFonts w:hint="eastAsia" w:ascii="仿宋" w:hAnsi="仿宋" w:eastAsia="仿宋"/>
          <w:sz w:val="28"/>
          <w:szCs w:val="28"/>
        </w:rPr>
        <w:t xml:space="preserve">项目名称：</w:t>
      </w:r>
      <w:bookmarkEnd w:id="9"/>
      <w:r>
        <w:rPr>
          <w:rFonts w:hint="eastAsia" w:ascii="仿宋" w:hAnsi="仿宋" w:eastAsia="仿宋"/>
          <w:sz w:val="28"/>
          <w:szCs w:val="28"/>
          <w:lang w:eastAsia="zh-CN"/>
        </w:rPr>
        <w:t xml:space="preserve">紫金山实验室超宽带通信核心硅基芯片与光电驱动融合系统测试平台采购项目（二次）</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570万元人民币</w:t>
      </w:r>
      <w:bookmarkEnd w:id="11"/>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最高限价：570万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lang w:bidi="ar"/>
        </w:rPr>
      </w:pPr>
      <w:r>
        <w:rPr>
          <w:rFonts w:hint="eastAsia" w:ascii="仿宋" w:hAnsi="仿宋" w:eastAsia="仿宋"/>
          <w:sz w:val="28"/>
          <w:szCs w:val="28"/>
        </w:rPr>
        <w:t xml:space="preserve">采购需求：</w:t>
      </w:r>
      <w:r/>
    </w:p>
    <w:tbl>
      <w:tblPr>
        <w:tblStyle w:val="986"/>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2"/>
        <w:gridCol w:w="1979"/>
        <w:gridCol w:w="651"/>
        <w:gridCol w:w="604"/>
        <w:gridCol w:w="990"/>
        <w:gridCol w:w="1102"/>
        <w:gridCol w:w="1037"/>
        <w:gridCol w:w="1018"/>
        <w:gridCol w:w="816"/>
      </w:tblGrid>
      <w:tr>
        <w:trPr>
          <w:trHeight w:val="470"/>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000000" w:sz="2" w:space="0"/>
              <w:bottom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
                <w:sz w:val="24"/>
                <w:szCs w:val="24"/>
                <w:lang w:eastAsia="en-US"/>
              </w:rPr>
              <w:t xml:space="preserve">单价报价上限</w:t>
            </w:r>
            <w:r>
              <w:rPr>
                <w:rFonts w:hint="eastAsia" w:ascii="宋体" w:hAnsi="宋体" w:eastAsia="宋体" w:cs="宋体"/>
                <w:bCs/>
                <w:sz w:val="24"/>
                <w:szCs w:val="24"/>
                <w:lang w:eastAsia="en-US"/>
              </w:rPr>
              <w:t xml:space="preserve">（元）</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所属行业类型</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产品属性</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14"/>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color w:val="0000ff"/>
                <w:sz w:val="24"/>
                <w:szCs w:val="24"/>
                <w:lang w:eastAsia="zh-CN"/>
              </w:rPr>
            </w:pPr>
            <w:r>
              <w:rPr>
                <w:rFonts w:hint="default" w:ascii="宋体" w:hAnsi="宋体" w:cs="宋体"/>
                <w:sz w:val="24"/>
                <w:szCs w:val="24"/>
                <w:lang w:eastAsia="zh-CN"/>
              </w:rPr>
              <w:t xml:space="preserve">超宽带通信核心硅基芯片与光电驱动融合系统测试平台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套</w:t>
            </w:r>
            <w:r/>
          </w:p>
        </w:tc>
        <w:tc>
          <w:tcPr>
            <w:tcBorders>
              <w:top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5700000</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default" w:ascii="宋体" w:hAnsi="宋体" w:eastAsia="宋体" w:cs="宋体"/>
                <w:bCs/>
                <w:sz w:val="24"/>
                <w:szCs w:val="24"/>
                <w:lang w:eastAsia="en-US"/>
              </w:rPr>
            </w:r>
            <w:r/>
          </w:p>
        </w:tc>
      </w:tr>
    </w:tbl>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80"/>
        <w:spacing w:line="360" w:lineRule="exact"/>
        <w:rPr>
          <w:rFonts w:ascii="仿宋" w:hAnsi="仿宋" w:eastAsia="仿宋"/>
          <w:sz w:val="28"/>
          <w:szCs w:val="28"/>
        </w:rPr>
      </w:pPr>
      <w:r/>
      <w:bookmarkStart w:id="12" w:name="_Toc35393791"/>
      <w:r/>
      <w:bookmarkStart w:id="13" w:name="_Toc28359003"/>
      <w:r/>
      <w:bookmarkStart w:id="14" w:name="_Toc35393622"/>
      <w:r/>
      <w:bookmarkStart w:id="15" w:name="_Toc28359080"/>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1.7投标人如使用进口产品投标，须持有所投进口产品制造商的有效授权（提供有效证明材料并加盖投标人CA公章）；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81"/>
      <w:r/>
      <w:bookmarkStart w:id="17" w:name="_Toc28359004"/>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 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80"/>
        <w:spacing w:line="360" w:lineRule="exact"/>
        <w:rPr>
          <w:rFonts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w:t>
      </w:r>
      <w:r>
        <w:rPr>
          <w:rFonts w:hint="eastAsia" w:ascii="仿宋" w:hAnsi="仿宋" w:eastAsia="仿宋" w:cs="宋体"/>
          <w:sz w:val="28"/>
          <w:szCs w:val="28"/>
          <w:lang w:val="en-US" w:eastAsia="zh-CN"/>
        </w:rPr>
        <w:t xml:space="preserve">苏采云</w:t>
      </w:r>
      <w:r>
        <w:rPr>
          <w:rFonts w:hint="eastAsia" w:ascii="仿宋" w:hAnsi="仿宋" w:eastAsia="仿宋" w:cs="宋体"/>
          <w:sz w:val="28"/>
          <w:szCs w:val="28"/>
        </w:rPr>
        <w:t xml:space="preserve">免费下载</w:t>
      </w:r>
      <w:r/>
    </w:p>
    <w:p>
      <w:pPr>
        <w:pStyle w:val="880"/>
        <w:spacing w:line="360" w:lineRule="exact"/>
        <w:rPr>
          <w:rFonts w:ascii="黑体" w:hAnsi="黑体" w:cs="宋体"/>
          <w:b w:val="0"/>
          <w:sz w:val="28"/>
          <w:szCs w:val="28"/>
        </w:rPr>
      </w:pPr>
      <w:r/>
      <w:bookmarkStart w:id="20" w:name="_Toc28359082"/>
      <w:r/>
      <w:bookmarkStart w:id="21" w:name="_Toc28359005"/>
      <w:r/>
      <w:bookmarkStart w:id="22" w:name="_Toc35393624"/>
      <w:r/>
      <w:bookmarkStart w:id="23" w:name="_Toc35393793"/>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2026年</w:t>
      </w:r>
      <w:r>
        <w:rPr>
          <w:rFonts w:hint="eastAsia" w:ascii="仿宋" w:hAnsi="仿宋" w:eastAsia="仿宋"/>
          <w:bCs/>
          <w:sz w:val="28"/>
          <w:szCs w:val="28"/>
          <w:highlight w:val="none"/>
          <w:u w:val="single"/>
          <w:lang w:val="en-US" w:eastAsia="zh-CN"/>
        </w:rPr>
        <w:t xml:space="preserve">8</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26</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880"/>
        <w:spacing w:line="360" w:lineRule="exact"/>
        <w:rPr>
          <w:rFonts w:ascii="黑体" w:hAnsi="黑体" w:cs="宋体"/>
          <w:b w:val="0"/>
          <w:sz w:val="28"/>
          <w:szCs w:val="28"/>
          <w:highlight w:val="none"/>
        </w:rPr>
      </w:pPr>
      <w:r/>
      <w:bookmarkStart w:id="24" w:name="_Toc35393625"/>
      <w:r/>
      <w:bookmarkStart w:id="25" w:name="_Toc28359084"/>
      <w:r/>
      <w:bookmarkStart w:id="26" w:name="_Toc35393794"/>
      <w:r/>
      <w:bookmarkStart w:id="27" w:name="_Toc28359007"/>
      <w:r>
        <w:rPr>
          <w:rFonts w:hint="eastAsia" w:ascii="黑体" w:hAnsi="黑体" w:cs="宋体"/>
          <w:b w:val="0"/>
          <w:sz w:val="28"/>
          <w:szCs w:val="28"/>
          <w:highlight w:val="none"/>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bookmarkStart w:id="28" w:name="_Toc35393626"/>
      <w:r/>
      <w:bookmarkStart w:id="29" w:name="_Toc35393795"/>
      <w:r/>
      <w:r/>
    </w:p>
    <w:p>
      <w:pPr>
        <w:pStyle w:val="880"/>
        <w:spacing w:line="360" w:lineRule="exact"/>
        <w:rPr>
          <w:rFonts w:ascii="黑体" w:hAnsi="黑体" w:cs="宋体"/>
          <w:b w:val="0"/>
          <w:sz w:val="28"/>
          <w:szCs w:val="28"/>
          <w:highlight w:val="none"/>
        </w:rPr>
      </w:pPr>
      <w:r>
        <w:rPr>
          <w:rFonts w:hint="eastAsia" w:ascii="黑体" w:hAnsi="黑体" w:cs="宋体"/>
          <w:b w:val="0"/>
          <w:sz w:val="28"/>
          <w:szCs w:val="28"/>
          <w:highlight w:val="none"/>
        </w:rPr>
        <w:t xml:space="preserve">六、其他补充事宜</w:t>
      </w:r>
      <w:bookmarkEnd w:id="28"/>
      <w:r/>
      <w:bookmarkEnd w:id="29"/>
      <w:r/>
      <w:r/>
    </w:p>
    <w:p>
      <w:pPr>
        <w:ind w:firstLine="560"/>
        <w:spacing w:line="400" w:lineRule="exact"/>
        <w:rPr>
          <w:rFonts w:ascii="仿宋" w:hAnsi="仿宋" w:eastAsia="仿宋" w:cs="宋体"/>
          <w:sz w:val="28"/>
          <w:szCs w:val="28"/>
          <w:highlight w:val="none"/>
          <w:u w:val="single"/>
        </w:rPr>
      </w:pPr>
      <w:r/>
      <w:bookmarkStart w:id="30" w:name="_Toc28359008"/>
      <w:r/>
      <w:bookmarkStart w:id="31" w:name="_Toc35393627"/>
      <w:r/>
      <w:bookmarkStart w:id="32" w:name="_Toc35393796"/>
      <w:r/>
      <w:bookmarkStart w:id="33" w:name="_Toc28359085"/>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8</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6</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8</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12</w:t>
      </w:r>
      <w:r>
        <w:rPr>
          <w:rFonts w:hint="eastAsia" w:ascii="仿宋" w:hAnsi="仿宋" w:eastAsia="仿宋" w:cs="宋体"/>
          <w:sz w:val="28"/>
          <w:szCs w:val="28"/>
          <w:highlight w:val="none"/>
          <w:u w:val="single"/>
        </w:rPr>
        <w:t xml:space="preserve">日</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80"/>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陈工（025-57917082）   </w:t>
      </w:r>
      <w:bookmarkStart w:id="34" w:name="_Toc28359086"/>
      <w:r/>
      <w:bookmarkStart w:id="35" w:name="_Toc28359009"/>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10"/>
      <w:r/>
      <w:bookmarkStart w:id="37" w:name="_Toc28359087"/>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28359077"/>
      <w:r/>
      <w:bookmarkStart w:id="39" w:name="_Toc35393619"/>
      <w:r/>
      <w:bookmarkStart w:id="40" w:name="_Toc35393788"/>
      <w:r/>
      <w:bookmarkStart w:id="41" w:name="_Toc28359000"/>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1859486"/>
      <w:r/>
      <w:bookmarkStart w:id="43" w:name="_Toc448069941"/>
      <w:r/>
      <w:bookmarkStart w:id="44" w:name="_Toc415494524"/>
      <w:r/>
      <w:bookmarkStart w:id="45" w:name="_Toc1"/>
      <w:r/>
      <w:r/>
    </w:p>
    <w:p>
      <w:pPr>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w:t>
      </w:r>
      <w:r>
        <w:rPr>
          <w:rFonts w:hint="eastAsia" w:ascii="Times New Roman" w:hAnsi="Times New Roman" w:cs="Times New Roman"/>
          <w:color w:val="000000" w:themeColor="text1"/>
          <w:sz w:val="24"/>
          <w:szCs w:val="24"/>
          <w14:textFill>
            <w14:solidFill>
              <w14:schemeClr w14:val="tx1"/>
            </w14:solidFill>
          </w14:textFill>
        </w:rPr>
        <w:t xml:space="preserve">在投标截止日期前，无论何种原因，采购人均可主动或在解答投标人提出的澄清问题时对采购文件进行修改</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报价采取总承包方式，包括所投产品、安装调试、服务、运输、税金及其它有关的为完成本项目发生的所有费用，采购文件中另有规定的除外。国产货物以人民币报价。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6"/>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6" o:title=""/>
              </v:shape>
            </w:pict>
          </mc:Fallback>
        </mc:AlternateContent>
      </w:r>
      <w:r/>
    </w:p>
    <w:p>
      <w:pPr>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ascii="宋体" w:hAnsi="宋体" w:eastAsia="宋体" w:cs="宋体"/>
          <w:sz w:val="44"/>
          <w:szCs w:val="44"/>
        </w:rPr>
      </w:pPr>
      <w:r>
        <w:rPr>
          <w:rFonts w:ascii="宋体" w:hAnsi="宋体" w:eastAsia="宋体" w:cs="宋体"/>
          <w:sz w:val="44"/>
          <w:szCs w:val="44"/>
        </w:rPr>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ascii="宋体" w:hAnsi="宋体" w:eastAsia="宋体" w:cs="宋体"/>
          <w:color w:val="000000"/>
          <w:sz w:val="28"/>
          <w:szCs w:val="28"/>
        </w:rPr>
      </w:pPr>
      <w:r>
        <w:rPr>
          <w:rFonts w:ascii="宋体" w:hAnsi="宋体" w:eastAsia="宋体" w:cs="宋体"/>
          <w:color w:val="000000"/>
          <w:sz w:val="28"/>
          <w:szCs w:val="28"/>
        </w:rPr>
      </w:r>
      <w:r/>
    </w:p>
    <w:p>
      <w:pPr>
        <w:ind w:firstLine="1120"/>
        <w:rPr>
          <w:rFonts w:ascii="宋体" w:hAnsi="宋体" w:eastAsia="宋体" w:cs="宋体"/>
          <w:color w:val="000000"/>
          <w:sz w:val="28"/>
          <w:szCs w:val="28"/>
        </w:rPr>
      </w:pPr>
      <w:r>
        <w:rPr>
          <w:rFonts w:ascii="宋体" w:hAnsi="宋体" w:eastAsia="宋体" w:cs="宋体"/>
          <w:color w:val="000000"/>
          <w:sz w:val="28"/>
          <w:szCs w:val="28"/>
        </w:rPr>
      </w:r>
      <w:r/>
    </w:p>
    <w:p>
      <w:pPr>
        <w:ind w:left="1400" w:hanging="1400"/>
        <w:rPr>
          <w:rFonts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u w:val="single"/>
          <w:lang w:eastAsia="zh-CN" w:bidi="ar"/>
        </w:rPr>
        <w:t xml:space="preserve">紫金山实验室超宽带通信核心硅基芯片与光电驱动融合系统测试平台采购项目（二次）</w:t>
      </w:r>
      <w:r>
        <w:rPr>
          <w:rFonts w:hint="eastAsia" w:ascii="宋体" w:hAnsi="宋体" w:eastAsia="宋体" w:cs="宋体"/>
          <w:color w:val="000000"/>
          <w:sz w:val="28"/>
          <w:szCs w:val="28"/>
          <w:u w:val="single"/>
          <w:lang w:bidi="ar"/>
        </w:rPr>
        <w:t xml:space="preserve">   </w:t>
      </w:r>
      <w:r/>
    </w:p>
    <w:p>
      <w:pPr>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ind w:firstLine="420"/>
        <w:jc w:val="left"/>
        <w:spacing w:line="540" w:lineRule="exac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2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20"/>
        <w:jc w:val="left"/>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个工作日内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并解除合同，由此引起的风险，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ascii="宋体" w:hAnsi="宋体" w:eastAsia="宋体" w:cs="宋体"/>
          <w:color w:val="000000"/>
          <w:sz w:val="24"/>
          <w:szCs w:val="24"/>
          <w:lang w:bidi="ar"/>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ascii="宋体" w:hAnsi="宋体" w:eastAsia="宋体" w:cs="宋体"/>
          <w:sz w:val="24"/>
          <w:szCs w:val="24"/>
          <w:lang w:bidi="ar"/>
        </w:rPr>
      </w:pPr>
      <w:r>
        <w:rPr>
          <w:rFonts w:hint="eastAsia" w:ascii="宋体" w:hAnsi="宋体" w:eastAsia="宋体" w:cs="宋体"/>
          <w:color w:val="000000"/>
          <w:sz w:val="24"/>
          <w:szCs w:val="24"/>
          <w:lang w:bidi="ar"/>
        </w:rPr>
        <w:t xml:space="preserve">合同签署生效后预付30%；货到安装验收合格后，乙方先行开具全额增值税专用发票，甲方收到发票后支付合同金额的65%；稳定运行一年后支付合同金额的5%。</w:t>
      </w:r>
      <w:r/>
    </w:p>
    <w:p>
      <w:pPr>
        <w:ind w:firstLine="420"/>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税  号：</w:t>
      </w:r>
      <w:r/>
    </w:p>
    <w:p>
      <w:pPr>
        <w:pStyle w:val="903"/>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ascii="宋体" w:hAnsi="宋体" w:eastAsia="宋体" w:cs="宋体"/>
          <w:color w:val="000000"/>
          <w:lang w:val="zh-CN"/>
        </w:rPr>
      </w:pPr>
      <w:r>
        <w:rPr>
          <w:rFonts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天甲方向乙方按照同期贷款市场报价利率标准支付滞纳金，但累计滞纳金总额不超过欠款总额的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如乙方不能交付货物、完成安装调试的，甲方有权要求乙方支付合同总价5%的违约金并解除合同。</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天，乙方向甲方偿付合同总额的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‰的滞纳金。如乙方逾期交付达</w:t>
      </w:r>
      <w:r>
        <w:rPr>
          <w:rFonts w:ascii="宋体" w:hAnsi="宋体" w:eastAsia="宋体" w:cs="宋体"/>
          <w:color w:val="000000"/>
          <w:sz w:val="24"/>
          <w:szCs w:val="24"/>
          <w:lang w:val="zh-CN" w:bidi="ar"/>
        </w:rPr>
        <w:t xml:space="preserve">10</w:t>
      </w:r>
      <w:r>
        <w:rPr>
          <w:rFonts w:hint="eastAsia" w:ascii="宋体" w:hAnsi="宋体" w:eastAsia="宋体" w:cs="宋体"/>
          <w:color w:val="000000"/>
          <w:sz w:val="24"/>
          <w:szCs w:val="24"/>
          <w:lang w:val="zh-CN" w:bidi="ar"/>
        </w:rPr>
        <w:t xml:space="preserve">天，甲方有权解除合同，解除合同的通知自到达乙方时生效，乙方应向甲方另行支付合同总价款</w:t>
      </w:r>
      <w:r>
        <w:rPr>
          <w:rFonts w:ascii="宋体" w:hAnsi="宋体" w:eastAsia="宋体" w:cs="宋体"/>
          <w:color w:val="000000"/>
          <w:sz w:val="24"/>
          <w:szCs w:val="24"/>
          <w:lang w:val="zh-CN" w:bidi="ar"/>
        </w:rPr>
        <w:t xml:space="preserve">25%</w:t>
      </w:r>
      <w:r>
        <w:rPr>
          <w:rFonts w:hint="eastAsia" w:ascii="宋体" w:hAnsi="宋体" w:eastAsia="宋体" w:cs="宋体"/>
          <w:color w:val="000000"/>
          <w:sz w:val="24"/>
          <w:szCs w:val="24"/>
          <w:lang w:val="zh-CN" w:bidi="ar"/>
        </w:rPr>
        <w:t xml:space="preserve">违约金并赔偿给甲方造成全部损失。</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乙方所交付的货物品种、型号、规格不符合合同规定的，甲方有权拒收并解除合同。甲方拒收的，乙方应向甲方支付货款总额</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ascii="宋体" w:hAnsi="宋体" w:eastAsia="宋体" w:cs="宋体"/>
          <w:color w:val="000000"/>
          <w:lang w:val="zh-CN"/>
        </w:rPr>
      </w:pPr>
      <w:r>
        <w:rPr>
          <w:rFonts w:ascii="宋体" w:hAnsi="宋体" w:eastAsia="宋体" w:cs="宋体"/>
          <w:color w:val="000000"/>
          <w:lang w:val="zh-CN"/>
        </w:rPr>
      </w:r>
      <w:r/>
    </w:p>
    <w:p>
      <w:pPr>
        <w:jc w:val="left"/>
        <w:widowControl/>
        <w:rPr>
          <w:rFonts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shd w:val="clear" w:color="auto" w:fill="auto"/>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甲    方：紫金山实验室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法人代表:尤肖虎</w:t>
            </w:r>
            <w:r/>
          </w:p>
          <w:p>
            <w:pPr>
              <w:rPr>
                <w:rFonts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ascii="宋体" w:hAnsi="宋体" w:eastAsia="宋体" w:cs="宋体"/>
              </w:rPr>
            </w:pPr>
            <w:r>
              <w:rPr>
                <w:rFonts w:hint="eastAsia" w:ascii="宋体" w:hAnsi="宋体" w:eastAsia="宋体" w:cs="宋体"/>
                <w:sz w:val="24"/>
                <w:szCs w:val="24"/>
                <w:lang w:bidi="ar"/>
              </w:rPr>
              <w:t xml:space="preserve">邮编:         </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c>
          <w:tcPr>
            <w:shd w:val="clear" w:color="auto" w:fill="auto"/>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乙    方：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w:t>
            </w:r>
            <w:r/>
          </w:p>
          <w:p>
            <w:pPr>
              <w:rPr>
                <w:rFonts w:ascii="宋体" w:hAnsi="宋体" w:eastAsia="宋体" w:cs="宋体"/>
              </w:rPr>
            </w:pPr>
            <w:r>
              <w:rPr>
                <w:rFonts w:hint="eastAsia" w:ascii="宋体" w:hAnsi="宋体" w:eastAsia="宋体" w:cs="宋体"/>
                <w:sz w:val="24"/>
                <w:szCs w:val="24"/>
                <w:lang w:bidi="ar"/>
              </w:rPr>
              <w:t xml:space="preserve">地址:</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sz w:val="24"/>
                <w:szCs w:val="24"/>
                <w:lang w:bidi="ar"/>
              </w:rPr>
              <w:t xml:space="preserve">邮编:</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360"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360"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二、项目建设遵循标准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360" w:lineRule="auto"/>
        <w:rPr>
          <w:rFonts w:ascii="宋体" w:hAnsi="宋体" w:eastAsia="宋体" w:cs="宋体"/>
          <w:bCs/>
          <w:sz w:val="24"/>
          <w:szCs w:val="24"/>
        </w:rPr>
      </w:pPr>
      <w:r>
        <w:rPr>
          <w:rFonts w:hint="eastAsia" w:ascii="黑体" w:hAnsi="黑体" w:eastAsia="黑体" w:cs="黑体"/>
          <w:color w:val="000000"/>
          <w:sz w:val="24"/>
          <w:szCs w:val="24"/>
        </w:rPr>
        <w:t xml:space="preserve">三、产品清单</w:t>
      </w:r>
      <w:r/>
    </w:p>
    <w:tbl>
      <w:tblPr>
        <w:tblStyle w:val="986"/>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2"/>
        <w:gridCol w:w="1979"/>
        <w:gridCol w:w="651"/>
        <w:gridCol w:w="604"/>
        <w:gridCol w:w="990"/>
        <w:gridCol w:w="1102"/>
        <w:gridCol w:w="1037"/>
        <w:gridCol w:w="1018"/>
        <w:gridCol w:w="816"/>
      </w:tblGrid>
      <w:tr>
        <w:trPr>
          <w:trHeight w:val="470"/>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000000" w:sz="2" w:space="0"/>
              <w:bottom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
                <w:sz w:val="24"/>
                <w:szCs w:val="24"/>
                <w:lang w:eastAsia="en-US"/>
              </w:rPr>
              <w:t xml:space="preserve">单价报价上限</w:t>
            </w:r>
            <w:r>
              <w:rPr>
                <w:rFonts w:hint="eastAsia" w:ascii="宋体" w:hAnsi="宋体" w:eastAsia="宋体" w:cs="宋体"/>
                <w:bCs/>
                <w:sz w:val="24"/>
                <w:szCs w:val="24"/>
                <w:lang w:eastAsia="en-US"/>
              </w:rPr>
              <w:t xml:space="preserve">（元）</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所属行业类型</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产品属性</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14"/>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color w:val="0000ff"/>
                <w:sz w:val="24"/>
                <w:szCs w:val="24"/>
                <w:lang w:eastAsia="zh-CN"/>
              </w:rPr>
            </w:pPr>
            <w:r>
              <w:rPr>
                <w:rFonts w:hint="default" w:ascii="宋体" w:hAnsi="宋体" w:cs="宋体"/>
                <w:sz w:val="24"/>
                <w:szCs w:val="24"/>
                <w:lang w:eastAsia="zh-CN"/>
              </w:rPr>
              <w:t xml:space="preserve">超宽带通信核心硅基芯片与光电驱动融合系统测试平台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套</w:t>
            </w:r>
            <w:r/>
          </w:p>
        </w:tc>
        <w:tc>
          <w:tcPr>
            <w:tcBorders>
              <w:top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5700000</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default" w:ascii="宋体" w:hAnsi="宋体" w:eastAsia="宋体" w:cs="宋体"/>
                <w:bCs/>
                <w:sz w:val="24"/>
                <w:szCs w:val="24"/>
                <w:lang w:eastAsia="en-US"/>
              </w:rPr>
            </w:r>
            <w:r/>
          </w:p>
        </w:tc>
      </w:tr>
    </w:tbl>
    <w:p>
      <w:pPr>
        <w:ind w:firstLine="480"/>
        <w:spacing w:line="360" w:lineRule="exact"/>
        <w:rPr>
          <w:rFonts w:ascii="宋体" w:hAnsi="宋体" w:eastAsia="宋体" w:cs="宋体"/>
          <w:b/>
          <w:sz w:val="24"/>
          <w:szCs w:val="24"/>
        </w:rPr>
      </w:pPr>
      <w:r>
        <w:rPr>
          <w:rFonts w:hint="eastAsia" w:ascii="黑体" w:hAnsi="黑体" w:eastAsia="黑体" w:cs="黑体"/>
          <w:color w:val="000000"/>
          <w:sz w:val="24"/>
          <w:szCs w:val="24"/>
        </w:rPr>
        <w:t xml:space="preserve">四、拟采购标的需要满足的技术要求（</w:t>
      </w:r>
      <w:r>
        <w:rPr>
          <w:rFonts w:hint="eastAsia" w:ascii="宋体" w:hAnsi="宋体" w:cs="宋体"/>
          <w:sz w:val="24"/>
          <w:szCs w:val="24"/>
        </w:rPr>
        <w:t xml:space="preserve">功能要求项与指标要求项均须提供技术支撑证明材料，仅接受产品手册，技术规格书，彩页，官方网页产品信息截图；不接受承诺函，白皮书等。</w:t>
      </w:r>
      <w:r>
        <w:rPr>
          <w:rFonts w:hint="eastAsia" w:ascii="黑体" w:hAnsi="黑体" w:eastAsia="黑体" w:cs="黑体"/>
          <w:color w:val="000000"/>
          <w:sz w:val="24"/>
          <w:szCs w:val="24"/>
        </w:rPr>
        <w:t xml:space="preserve">）</w:t>
      </w:r>
      <w:r/>
    </w:p>
    <w:p>
      <w:pPr>
        <w:ind w:firstLine="480"/>
        <w:spacing w:line="360" w:lineRule="exact"/>
        <w:rPr>
          <w:rFonts w:asciiTheme="minorEastAsia" w:hAnsiTheme="minorEastAsia" w:cstheme="minorEastAsia"/>
          <w:color w:val="000000"/>
          <w:sz w:val="24"/>
          <w:szCs w:val="24"/>
        </w:rPr>
      </w:pPr>
      <w:r/>
      <w:bookmarkStart w:id="50" w:name="_Hlk231397455"/>
      <w:r/>
      <w:bookmarkStart w:id="51" w:name="_Hlk232175435"/>
      <w:r>
        <w:rPr>
          <w:rFonts w:hint="eastAsia" w:asciiTheme="minorEastAsia" w:hAnsiTheme="minorEastAsia" w:cstheme="minorEastAsia"/>
          <w:color w:val="000000"/>
          <w:sz w:val="24"/>
          <w:szCs w:val="24"/>
        </w:rPr>
        <w:t xml:space="preserve">1.★</w:t>
      </w:r>
      <w:bookmarkEnd w:id="50"/>
      <w:r>
        <w:rPr>
          <w:rFonts w:hint="eastAsia" w:asciiTheme="minorEastAsia" w:hAnsiTheme="minorEastAsia" w:cstheme="minorEastAsia"/>
          <w:color w:val="000000"/>
          <w:sz w:val="24"/>
          <w:szCs w:val="24"/>
        </w:rPr>
        <w:t xml:space="preserve">功能要求（必须同时满足以下所有条件）</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1.1系统须实现频率范围为10MHz至110GHz的</w:t>
      </w:r>
      <w:bookmarkStart w:id="52" w:name="_Hlk231399814"/>
      <w:r>
        <w:rPr>
          <w:rFonts w:hint="eastAsia" w:asciiTheme="minorEastAsia" w:hAnsiTheme="minorEastAsia" w:cstheme="minorEastAsia"/>
          <w:color w:val="000000"/>
          <w:sz w:val="24"/>
          <w:szCs w:val="24"/>
        </w:rPr>
        <w:t xml:space="preserve">S参数扫频测试</w:t>
      </w:r>
      <w:bookmarkEnd w:id="52"/>
      <w:r>
        <w:rPr>
          <w:rFonts w:hint="eastAsia" w:asciiTheme="minorEastAsia" w:hAnsiTheme="minorEastAsia" w:cstheme="minorEastAsia"/>
          <w:color w:val="000000"/>
          <w:sz w:val="24"/>
          <w:szCs w:val="24"/>
        </w:rPr>
        <w:t xml:space="preserve">，要求在上述频段内进行的是单次同轴连接下的单次连续扫频测试，期间无手动或机械切换硬件，单次连续扫频全频段无频率断点、单次连续扫频无频率分段；</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1.2主机前面板须具备≥12组可配置的刚性跳线接口；</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1.3主机集成的物理测试端口数量≥4; 系统外接毫米波/太赫兹频率扩展模块，配置不低于2个110GHz 连续扫描高频测试端口；每个扩频模块仅用单根线缆与主机连接，并仅由主机供电和驱动并统一控制，无任何其他线缆或电源连接；</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1.4系统须具备内置直流偏置（Bias Tee）功能，其内置直流偏置源的漏电流（典型值）&lt;18nA；</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1.5时域测试方面：系统须具备完整的时域测试功能，能够满足高速光通信与太赫兹通信系统的时域信号测试，时域信号测量物理通道数≥4个；</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1.6芯片在片测试方面：系统须集成芯片在片测试控制与校准功能，测量控制算法须基于不低于32项误差模型的校准算法，集成LRRM，LRM+，SOLT, SOLR, hybrid LRRM-SOLR, TRL及四端口校准算法。此外，须配备误差集管理器。</w:t>
      </w:r>
      <w:r/>
    </w:p>
    <w:p>
      <w:pPr>
        <w:spacing w:line="360" w:lineRule="exact"/>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 指标要求（共计13项，含3项★，8项▲，2项一般项）</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 ▲主机激励源配置：主机内置的激励源个数≥2个，不接受外置源扩展；</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2.2 ★主机本体射频端口数≥4，S参数扫频测试工作频率≥25.6GHz；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2.3 系统中频带宽范围覆盖1Hz～15MHz；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2.4 ▲系统动态范围（10Hz中频带宽，全端口满足）：</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工作频率在各频段下的系统动态范围须满足：2GHz时≥121dB； 26GHz时≥121 dB；80GHz时≥108dB；110GHz时≥104dB。</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2.5 ▲轨迹噪声（1KHz中频带宽条件下）：</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26.5GHz时，轨迹噪声的幅度指标值≤0.003dB(rms)，相位指标值≤0.05deg (rms)；</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工作频率为26.5-75GHz时，轨迹噪声的幅度指标值≤0.004dB(rms)，相位指标值≤0.1deg(rms)；</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工作频率为75-110GHz时，轨迹噪声的幅度指标值≤0.005dB(rms)，相位指标值≤0.1deg(rms)；</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2.6 ★温度稳定性</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10MHz-24GHz时，温度稳定性的典型值 ：幅度≤0.01dB/°C，相位≤0.03deg/°C；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24GHz-54GHz时，温度稳定性的典型值：幅度≤0.01dB/°C，相位≤0.1deg/°C；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54GHz-80GHz时，温度稳定性的典型值：幅度≤0.01dB/°C，相位≤0.2deg/°C；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80GHz-110GHz时，温度稳定性的典型值：幅度≤0.015dB/°C，相位≤0.25deg/°C；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2.7 端口功率水平精度（全端口，预设功率为-5dBm条件下）：</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工作频率为20GHz时，端口功率水平精度的典型值≤±0.7dB；</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工作频率为40GHz时，端口功率水平精度的典型值≤±1dB；</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2.8 ▲端口最大输出功率（至少有2个测试端口满足以下输出功率典型值）</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≥+9dBm（0.05～64GHz），≥+5dBm（64～85GHz），≥+2dBm（85～110GHz）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2.9 ▲工作频率为40GHz时，至少两个端口满足输出三阶谐波抑制的典型值：≤ -61dBc；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2.10 ▲端口0.1dB压缩点典型值：</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1GHz-60GHz时，0.1dB压缩点的典型值≥7dBm;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60GHz-64GHz时，0.1dB压缩点的典型值≥9dBm;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64GHz-80GHz时，0.1dB压缩点的典型值≥5dBm;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80GHz-90GHz时，0.1dB压缩点的典型值≥4dBm;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90GHz-100GHz时，0.1dB压缩点的典型值≥2dBm;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100GHz-110GHz时，0.1dB压缩点的典型值≥1dBm;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2.11 ▲相位噪声典型值：</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工作频率为50GHz时，10KHz频偏相位噪声的典型值≤-97dBc/Hz;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工作频率为75GHz时，10KHz频偏相位噪声的典型值≤-95dBc/Hz;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工作频率为90GHz时，10KHz频偏相位噪声的典型值≤-95dBc/Hz;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工作频率为110GHz时，10KHz频偏相位噪声的典型值≤-91dBc/Hz。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2.12 ▲ 测试端口的底噪典型值（中频带宽10Hz条件下）：</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1GHz–26.5GHz时，底噪的典型值≤-119dBm；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26.5GHz–50GHz时，底噪的典型值≤-112dBm；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50GHz–75GHz时，底噪的典型值≤-113dBm；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75GHz–100GHz时，底噪的典型值≤-109dBm；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100GHz–110GHz时，底噪的典型值≤-107dBm；</w:t>
      </w:r>
      <w:r/>
    </w:p>
    <w:p>
      <w:pPr>
        <w:ind w:firstLine="480"/>
        <w:spacing w:line="360" w:lineRule="exact"/>
        <w:widowControl/>
        <w:rPr>
          <w:rFonts w:ascii="宋体" w:hAnsi="宋体" w:eastAsia="宋体" w:cs="宋体"/>
          <w:sz w:val="24"/>
          <w:szCs w:val="24"/>
        </w:rPr>
      </w:pPr>
      <w:r>
        <w:rPr>
          <w:rFonts w:hint="eastAsia" w:asciiTheme="minorEastAsia" w:hAnsiTheme="minorEastAsia" w:cstheme="minorEastAsia"/>
          <w:color w:val="000000"/>
          <w:sz w:val="24"/>
          <w:szCs w:val="24"/>
        </w:rPr>
        <w:t xml:space="preserve">2.13 ★具备时域测试功能 ，具备任意波形输出功能，连续采样率须 ≥120 GSa/s；数模转换硬件垂直分辨率≥8位；模拟带宽须 ≥45GHz，最高可支持100GBaud速率信号输出；差分输出电压幅值≥1.6Vpp。单通道波形存储深度≥512kSa。</w:t>
      </w:r>
      <w:r/>
    </w:p>
    <w:p>
      <w:pPr>
        <w:ind w:firstLine="480"/>
        <w:spacing w:line="360" w:lineRule="exact"/>
        <w:rPr>
          <w:rFonts w:ascii="宋体" w:hAnsi="宋体" w:eastAsia="宋体" w:cs="宋体"/>
          <w:bCs/>
          <w:sz w:val="24"/>
          <w:szCs w:val="24"/>
        </w:rPr>
      </w:pPr>
      <w:r>
        <w:rPr>
          <w:rFonts w:hint="eastAsia" w:ascii="黑体" w:hAnsi="黑体" w:eastAsia="黑体" w:cs="黑体"/>
          <w:color w:val="000000"/>
          <w:sz w:val="24"/>
          <w:szCs w:val="24"/>
        </w:rPr>
        <w:t xml:space="preserve">★五、拟采购标的需要满足的商务要求</w:t>
      </w:r>
      <w:r/>
    </w:p>
    <w:tbl>
      <w:tblPr>
        <w:tblStyle w:val="907"/>
        <w:tblW w:w="48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5449"/>
        <w:gridCol w:w="1363"/>
      </w:tblGrid>
      <w:tr>
        <w:trPr>
          <w:trHeight w:val="452"/>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条款项</w:t>
            </w:r>
            <w:r/>
          </w:p>
        </w:tc>
        <w:tc>
          <w:tcPr>
            <w:tcW w:w="3183" w:type="pct"/>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描述</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备注</w:t>
            </w:r>
            <w:r/>
          </w:p>
        </w:tc>
      </w:tr>
      <w:tr>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全新设备</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本项目采购的平台的主机与所有部件、模块不接受拆机件、翻新件，须提供承诺函并加盖投标人公章。</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质量保证</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自验收合格报告签署之日起，除另有说明外，项目要求提供不少于一年的质量保证，提供质保承诺函并加盖公章。</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货期要求</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自收到中标通知书之日起，</w:t>
            </w:r>
            <w:r>
              <w:rPr>
                <w:rFonts w:ascii="宋体" w:hAnsi="宋体"/>
                <w:color w:val="auto"/>
                <w:sz w:val="24"/>
                <w:szCs w:val="24"/>
              </w:rPr>
              <w:t xml:space="preserve">35</w:t>
            </w:r>
            <w:r>
              <w:rPr>
                <w:rFonts w:hint="eastAsia" w:ascii="宋体" w:hAnsi="宋体"/>
                <w:sz w:val="24"/>
                <w:szCs w:val="24"/>
              </w:rPr>
              <w:t xml:space="preserve">个工作日内到货，若前述货期内无法到货，可在前述货期后的</w:t>
            </w:r>
            <w:r>
              <w:rPr>
                <w:rFonts w:ascii="宋体" w:hAnsi="宋体"/>
                <w:sz w:val="24"/>
                <w:szCs w:val="24"/>
              </w:rPr>
              <w:t xml:space="preserve">5</w:t>
            </w:r>
            <w:r>
              <w:rPr>
                <w:rFonts w:hint="eastAsia" w:ascii="宋体" w:hAnsi="宋体"/>
                <w:sz w:val="24"/>
                <w:szCs w:val="24"/>
              </w:rPr>
              <w:t xml:space="preserve">个工作日内提供同等标准、参数指标与型号的备用机,并承诺在原定货期后的</w:t>
            </w:r>
            <w:r>
              <w:rPr>
                <w:rFonts w:ascii="宋体" w:hAnsi="宋体"/>
                <w:sz w:val="24"/>
                <w:szCs w:val="24"/>
              </w:rPr>
              <w:t xml:space="preserve">10</w:t>
            </w:r>
            <w:r>
              <w:rPr>
                <w:rFonts w:hint="eastAsia" w:ascii="宋体" w:hAnsi="宋体"/>
                <w:sz w:val="24"/>
                <w:szCs w:val="24"/>
              </w:rPr>
              <w:t xml:space="preserve">个工作日内完成正式产品到货。</w:t>
            </w:r>
            <w:r>
              <w:rPr>
                <w:rFonts w:hint="eastAsia" w:ascii="宋体" w:hAnsi="宋体"/>
                <w:b/>
                <w:bCs/>
                <w:sz w:val="24"/>
                <w:szCs w:val="24"/>
              </w:rPr>
              <w:t xml:space="preserve">提供承诺函（承诺函中明确具体到货日期）并加盖公章。</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项目实施</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中标人负责将合同项下所有设备免费运送至采购人指定位置后，首先对所有硬件、软件进行免费测试，在确认符合要求的情况下免费现场安装、检查、测试及优化，直至满足交付使用要求。</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项目验收</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自货到并安装调试并初验合格起，系统稳定运行至少一个月后，由中标单位提出验收申请，由采购人组织项目验收（终验）。采购人将组织验收小组按照招标文件中所规定的各项技术要求进行项目验收工作，对验收工作中发现的不满足功能项中标单位应在采购人指定的时限内完成整改、优化或完善工作，并重新申请验收，直至满足投标人在应标文件中所承诺的所有功能项。</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售后服务要求</w:t>
            </w:r>
            <w:r/>
          </w:p>
        </w:tc>
        <w:tc>
          <w:tcPr>
            <w:tcW w:w="3183" w:type="pct"/>
            <w:vAlign w:val="center"/>
            <w:textDirection w:val="lrTb"/>
            <w:noWrap w:val="false"/>
          </w:tcPr>
          <w:p>
            <w:pPr>
              <w:ind w:firstLine="480"/>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、提供7×</w:t>
            </w:r>
            <w:r>
              <w:rPr>
                <w:rFonts w:ascii="宋体" w:hAnsi="宋体"/>
                <w:color w:val="000000"/>
                <w:sz w:val="24"/>
                <w:szCs w:val="24"/>
              </w:rPr>
              <w:t xml:space="preserve">24</w:t>
            </w:r>
            <w:r>
              <w:rPr>
                <w:rFonts w:hint="eastAsia" w:ascii="宋体" w:hAnsi="宋体"/>
                <w:color w:val="000000"/>
                <w:sz w:val="24"/>
                <w:szCs w:val="24"/>
              </w:rPr>
              <w:t xml:space="preserve">小时电话支持服务；</w:t>
            </w:r>
            <w:r/>
          </w:p>
          <w:p>
            <w:pPr>
              <w:ind w:firstLine="480"/>
              <w:spacing w:line="36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、接到报修电话后</w:t>
            </w:r>
            <w:r>
              <w:rPr>
                <w:rFonts w:ascii="宋体" w:hAnsi="宋体"/>
                <w:color w:val="000000"/>
                <w:sz w:val="24"/>
                <w:szCs w:val="24"/>
              </w:rPr>
              <w:t xml:space="preserve">3</w:t>
            </w:r>
            <w:r>
              <w:rPr>
                <w:rFonts w:hint="eastAsia" w:ascii="宋体" w:hAnsi="宋体"/>
                <w:color w:val="000000"/>
                <w:sz w:val="24"/>
                <w:szCs w:val="24"/>
              </w:rPr>
              <w:t xml:space="preserve">小时内技术人员应到达故障现场处置（能够远程处理的故障除外），并及时解决。</w:t>
            </w:r>
            <w:r/>
          </w:p>
          <w:p>
            <w:pPr>
              <w:ind w:firstLine="482"/>
              <w:spacing w:line="360" w:lineRule="exact"/>
              <w:rPr>
                <w:rFonts w:hint="eastAsia" w:ascii="宋体" w:hAnsi="宋体" w:eastAsiaTheme="minorEastAsia"/>
                <w:color w:val="000000"/>
                <w:sz w:val="24"/>
                <w:szCs w:val="24"/>
                <w:lang w:eastAsia="zh-CN"/>
              </w:rPr>
            </w:pPr>
            <w:r>
              <w:rPr>
                <w:rFonts w:hint="eastAsia" w:ascii="宋体" w:hAnsi="宋体"/>
                <w:b/>
                <w:bCs/>
                <w:color w:val="000000"/>
                <w:sz w:val="24"/>
                <w:szCs w:val="24"/>
              </w:rPr>
              <w:t xml:space="preserve">上述要求投标人提供承诺函并加盖公章</w:t>
            </w:r>
            <w:r>
              <w:rPr>
                <w:rFonts w:hint="eastAsia" w:ascii="宋体" w:hAnsi="宋体"/>
                <w:b/>
                <w:bCs/>
                <w:color w:val="000000"/>
                <w:sz w:val="24"/>
                <w:szCs w:val="24"/>
                <w:lang w:eastAsia="zh-CN"/>
              </w:rPr>
              <w:t xml:space="preserve">。</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19"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eastAsia="宋体" w:cs="宋体"/>
                <w:sz w:val="24"/>
                <w:szCs w:val="24"/>
              </w:rPr>
              <w:t xml:space="preserve">免税办理要求</w:t>
            </w:r>
            <w:r/>
          </w:p>
        </w:tc>
        <w:tc>
          <w:tcPr>
            <w:tcW w:w="3183" w:type="pct"/>
            <w:textDirection w:val="lrTb"/>
            <w:noWrap w:val="false"/>
          </w:tcPr>
          <w:p>
            <w:pPr>
              <w:ind w:firstLine="480"/>
              <w:spacing w:line="360" w:lineRule="exact"/>
              <w:rPr>
                <w:rFonts w:ascii="宋体" w:hAnsi="宋体" w:eastAsia="宋体" w:cs="宋体"/>
                <w:sz w:val="24"/>
                <w:szCs w:val="24"/>
              </w:rPr>
            </w:pPr>
            <w:r>
              <w:rPr>
                <w:rFonts w:ascii="宋体" w:hAnsi="宋体" w:eastAsia="宋体" w:cs="宋体"/>
                <w:sz w:val="24"/>
                <w:szCs w:val="24"/>
              </w:rPr>
              <w:t xml:space="preserve">（1）若中标产品为进口产品，中标人</w:t>
            </w:r>
            <w:r>
              <w:rPr>
                <w:rFonts w:hint="eastAsia" w:ascii="宋体" w:hAnsi="宋体" w:eastAsia="宋体" w:cs="宋体"/>
                <w:sz w:val="24"/>
                <w:szCs w:val="24"/>
              </w:rPr>
              <w:t xml:space="preserve">须</w:t>
            </w:r>
            <w:r>
              <w:rPr>
                <w:rFonts w:ascii="宋体" w:hAnsi="宋体" w:eastAsia="宋体" w:cs="宋体"/>
                <w:sz w:val="24"/>
                <w:szCs w:val="24"/>
              </w:rPr>
              <w:t xml:space="preserve">负责委托外贸代理公司</w:t>
            </w:r>
            <w:r>
              <w:rPr>
                <w:rFonts w:hint="eastAsia" w:ascii="宋体" w:hAnsi="宋体" w:eastAsia="宋体" w:cs="宋体"/>
                <w:sz w:val="24"/>
                <w:szCs w:val="24"/>
              </w:rPr>
              <w:t xml:space="preserve">为采购人</w:t>
            </w:r>
            <w:r>
              <w:rPr>
                <w:rFonts w:ascii="宋体" w:hAnsi="宋体" w:eastAsia="宋体" w:cs="宋体"/>
                <w:sz w:val="24"/>
                <w:szCs w:val="24"/>
              </w:rPr>
              <w:t xml:space="preserve">办理</w:t>
            </w:r>
            <w:r>
              <w:rPr>
                <w:rFonts w:hint="eastAsia" w:ascii="宋体" w:hAnsi="宋体" w:eastAsia="宋体" w:cs="宋体"/>
                <w:sz w:val="24"/>
                <w:szCs w:val="24"/>
              </w:rPr>
              <w:t xml:space="preserve">有关货物减免税申请手续</w:t>
            </w:r>
            <w:r>
              <w:rPr>
                <w:rFonts w:ascii="宋体" w:hAnsi="宋体" w:eastAsia="宋体" w:cs="宋体"/>
                <w:sz w:val="24"/>
                <w:szCs w:val="24"/>
              </w:rPr>
              <w:t xml:space="preserve">，并承担全部相关办理费用。</w:t>
            </w:r>
            <w:r/>
          </w:p>
          <w:p>
            <w:pPr>
              <w:ind w:firstLine="480"/>
              <w:spacing w:line="360" w:lineRule="exact"/>
              <w:rPr>
                <w:rFonts w:ascii="宋体" w:hAnsi="宋体" w:eastAsia="宋体" w:cs="宋体"/>
                <w:sz w:val="24"/>
                <w:szCs w:val="24"/>
              </w:rPr>
            </w:pPr>
            <w:r>
              <w:rPr>
                <w:rFonts w:ascii="宋体" w:hAnsi="宋体" w:eastAsia="宋体" w:cs="宋体"/>
                <w:sz w:val="24"/>
                <w:szCs w:val="24"/>
              </w:rPr>
              <w:t xml:space="preserve">（2）若</w:t>
            </w:r>
            <w:r>
              <w:rPr>
                <w:rFonts w:hint="eastAsia" w:ascii="宋体" w:hAnsi="宋体" w:eastAsia="宋体" w:cs="宋体"/>
                <w:sz w:val="24"/>
                <w:szCs w:val="24"/>
              </w:rPr>
              <w:t xml:space="preserve">采购人</w:t>
            </w:r>
            <w:r>
              <w:rPr>
                <w:rFonts w:ascii="宋体" w:hAnsi="宋体" w:eastAsia="宋体" w:cs="宋体"/>
                <w:sz w:val="24"/>
                <w:szCs w:val="24"/>
              </w:rPr>
              <w:t xml:space="preserve">因相关政策等原因在办理免税</w:t>
            </w:r>
            <w:r>
              <w:rPr>
                <w:rFonts w:hint="eastAsia" w:ascii="宋体" w:hAnsi="宋体" w:eastAsia="宋体" w:cs="宋体"/>
                <w:sz w:val="24"/>
                <w:szCs w:val="24"/>
              </w:rPr>
              <w:t xml:space="preserve">申请</w:t>
            </w:r>
            <w:r>
              <w:rPr>
                <w:rFonts w:ascii="宋体" w:hAnsi="宋体" w:eastAsia="宋体" w:cs="宋体"/>
                <w:sz w:val="24"/>
                <w:szCs w:val="24"/>
              </w:rPr>
              <w:t xml:space="preserve">手续前暂未取得</w:t>
            </w:r>
            <w:r>
              <w:rPr>
                <w:rFonts w:hint="eastAsia" w:ascii="宋体" w:hAnsi="宋体" w:eastAsia="宋体" w:cs="宋体"/>
                <w:sz w:val="24"/>
                <w:szCs w:val="24"/>
              </w:rPr>
              <w:t xml:space="preserve">减</w:t>
            </w:r>
            <w:r>
              <w:rPr>
                <w:rFonts w:ascii="宋体" w:hAnsi="宋体" w:eastAsia="宋体" w:cs="宋体"/>
                <w:sz w:val="24"/>
                <w:szCs w:val="24"/>
              </w:rPr>
              <w:t xml:space="preserve">免税资格，</w:t>
            </w:r>
            <w:r>
              <w:rPr>
                <w:rFonts w:hint="eastAsia" w:ascii="宋体" w:hAnsi="宋体" w:eastAsia="宋体" w:cs="宋体"/>
                <w:sz w:val="24"/>
                <w:szCs w:val="24"/>
              </w:rPr>
              <w:t xml:space="preserve">中标人须</w:t>
            </w:r>
            <w:r>
              <w:rPr>
                <w:rFonts w:ascii="宋体" w:hAnsi="宋体" w:eastAsia="宋体" w:cs="宋体"/>
                <w:sz w:val="24"/>
                <w:szCs w:val="24"/>
              </w:rPr>
              <w:t xml:space="preserve">负责委托外贸代理公司</w:t>
            </w:r>
            <w:r>
              <w:rPr>
                <w:rFonts w:hint="eastAsia" w:ascii="宋体" w:hAnsi="宋体" w:eastAsia="宋体" w:cs="宋体"/>
                <w:sz w:val="24"/>
                <w:szCs w:val="24"/>
              </w:rPr>
              <w:t xml:space="preserve">为采购人办理有关货物凭税款担保先予放行手续、申请解除税款担保手续，</w:t>
            </w:r>
            <w:r>
              <w:rPr>
                <w:rFonts w:ascii="宋体" w:hAnsi="宋体" w:eastAsia="宋体" w:cs="宋体"/>
                <w:sz w:val="24"/>
                <w:szCs w:val="24"/>
              </w:rPr>
              <w:t xml:space="preserve">并承担全部相关办理费用</w:t>
            </w:r>
            <w:r>
              <w:rPr>
                <w:rFonts w:hint="eastAsia" w:ascii="宋体" w:hAnsi="宋体" w:eastAsia="宋体" w:cs="宋体"/>
                <w:sz w:val="24"/>
                <w:szCs w:val="24"/>
              </w:rPr>
              <w:t xml:space="preserve">。在办理税款担保申请手续前，采购人按外贸代理公司测算的关税、进出口环节增值税、加征特别关税等进口环节税费的预估金额支付预付款。中标人委托的外贸代理公司收到采购人预付款及齐全资料后，须在7日内向海关递交资料办理货物凭税款担保先予放行手续。在取得海关制发的《准予办理担保通知书》后，中标人委托的外贸代理公司在货物进关时向海关代为缴纳进口环节税款担保金。</w:t>
            </w:r>
            <w:r>
              <w:rPr>
                <w:rFonts w:ascii="宋体" w:hAnsi="宋体" w:eastAsia="宋体" w:cs="宋体"/>
                <w:sz w:val="24"/>
                <w:szCs w:val="24"/>
              </w:rPr>
              <w:t xml:space="preserve">待</w:t>
            </w:r>
            <w:r>
              <w:rPr>
                <w:rFonts w:hint="eastAsia" w:ascii="宋体" w:hAnsi="宋体" w:eastAsia="宋体" w:cs="宋体"/>
                <w:sz w:val="24"/>
                <w:szCs w:val="24"/>
              </w:rPr>
              <w:t xml:space="preserve">采购人</w:t>
            </w:r>
            <w:r>
              <w:rPr>
                <w:rFonts w:ascii="宋体" w:hAnsi="宋体" w:eastAsia="宋体" w:cs="宋体"/>
                <w:sz w:val="24"/>
                <w:szCs w:val="24"/>
              </w:rPr>
              <w:t xml:space="preserve">取得免税资格后，外贸代理公司</w:t>
            </w:r>
            <w:r>
              <w:rPr>
                <w:rFonts w:hint="eastAsia" w:ascii="宋体" w:hAnsi="宋体" w:eastAsia="宋体" w:cs="宋体"/>
                <w:sz w:val="24"/>
                <w:szCs w:val="24"/>
              </w:rPr>
              <w:t xml:space="preserve">须在收到海关或其他相关职能部门退还的税款担保金后7日内将采购人支付的全部预付款退还给采购人。</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3）中标人按第2条约定委托外贸代理公司办理有关货物凭税款担保先予放行手续、申请解除税款担保等相关手续的，且已经代为缴纳进口环节税款担保金的，但采购人因相关政策等原因未取得减免税资格海关不予办理税款担保解除手续，不予退还税款担保金的，由采购人承担进口环节的相关税款，双方按实结算，采购人预付款超出应付税款总额的，</w:t>
            </w:r>
            <w:r>
              <w:rPr>
                <w:rFonts w:ascii="宋体" w:hAnsi="宋体" w:eastAsia="宋体" w:cs="宋体"/>
                <w:sz w:val="24"/>
                <w:szCs w:val="24"/>
              </w:rPr>
              <w:t xml:space="preserve">外贸代理公司</w:t>
            </w:r>
            <w:r>
              <w:rPr>
                <w:rFonts w:hint="eastAsia" w:ascii="宋体" w:hAnsi="宋体" w:eastAsia="宋体" w:cs="宋体"/>
                <w:sz w:val="24"/>
                <w:szCs w:val="24"/>
              </w:rPr>
              <w:t xml:space="preserve">须在结算之日起3日内退还多余款项；反之由采购人补足。</w:t>
            </w:r>
            <w:r/>
          </w:p>
          <w:p>
            <w:pPr>
              <w:ind w:firstLine="482"/>
              <w:spacing w:line="360" w:lineRule="exact"/>
              <w:rPr>
                <w:rFonts w:ascii="宋体" w:hAnsi="宋体"/>
                <w:color w:val="000000"/>
                <w:sz w:val="24"/>
                <w:szCs w:val="24"/>
              </w:rPr>
            </w:pPr>
            <w:r>
              <w:rPr>
                <w:rFonts w:hint="eastAsia" w:ascii="宋体" w:hAnsi="宋体" w:eastAsia="宋体" w:cs="宋体"/>
                <w:b/>
                <w:bCs/>
                <w:sz w:val="24"/>
                <w:szCs w:val="24"/>
              </w:rPr>
              <w:t xml:space="preserve">投标人提供免税办理承诺函，并承诺承担过程中的全部办理费用（税款担保金除外）。</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bl>
    <w:p>
      <w:pPr>
        <w:numPr>
          <w:ilvl w:val="-1"/>
          <w:numId w:val="0"/>
        </w:numPr>
        <w:spacing w:line="360" w:lineRule="auto"/>
        <w:rPr>
          <w:rFonts w:hint="default" w:ascii="宋体" w:hAnsi="宋体" w:eastAsia="宋体" w:cs="宋体"/>
          <w:bCs/>
          <w:color w:val="000000"/>
          <w:sz w:val="24"/>
          <w:szCs w:val="24"/>
          <w:lang w:val="en-US" w:eastAsia="zh-CN"/>
        </w:rPr>
      </w:pPr>
      <w:r>
        <w:rPr>
          <w:rFonts w:hint="default" w:ascii="宋体" w:hAnsi="宋体" w:eastAsia="宋体" w:cs="宋体"/>
          <w:bCs/>
          <w:color w:val="000000"/>
          <w:sz w:val="24"/>
          <w:szCs w:val="24"/>
          <w:lang w:val="en-US" w:eastAsia="zh-CN"/>
        </w:rPr>
      </w:r>
      <w:bookmarkEnd w:id="51"/>
      <w:r/>
      <w:r/>
    </w:p>
    <w:p>
      <w:pPr>
        <w:rPr>
          <w:rFonts w:ascii="宋体" w:hAnsi="宋体" w:eastAsia="宋体" w:cs="宋体"/>
          <w:sz w:val="24"/>
          <w:szCs w:val="24"/>
        </w:rPr>
      </w:pPr>
      <w:r>
        <w:rPr>
          <w:rFonts w:hint="eastAsia" w:ascii="宋体" w:hAnsi="宋体" w:eastAsia="宋体" w:cs="宋体"/>
          <w:sz w:val="24"/>
          <w:szCs w:val="24"/>
        </w:rPr>
        <w:br w:type="page" w:clear="all"/>
      </w:r>
      <w:r/>
    </w:p>
    <w:p>
      <w:pPr>
        <w:pStyle w:val="903"/>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3" w:name="_Toc120614281"/>
      <w:r/>
      <w:bookmarkStart w:id="54" w:name="_Toc49090575"/>
      <w:r/>
      <w:bookmarkStart w:id="55" w:name="_Toc26554093"/>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6" w:name="_Hlk232175790"/>
      <w:r>
        <w:rPr>
          <w:rFonts w:ascii="Times New Roman" w:hAnsi="Times New Roman" w:cs="Times New Roman"/>
          <w:b/>
          <w:color w:val="000000" w:themeColor="text1"/>
          <w:sz w:val="24"/>
          <w:szCs w:val="24"/>
          <w14:textFill>
            <w14:solidFill>
              <w14:schemeClr w14:val="tx1"/>
            </w14:solidFill>
          </w14:textFill>
        </w:rPr>
        <w:t xml:space="preserve">评标标准</w:t>
      </w:r>
      <w:bookmarkEnd w:id="53"/>
      <w:r/>
      <w:bookmarkEnd w:id="54"/>
      <w:r/>
      <w:bookmarkEnd w:id="55"/>
      <w:r/>
      <w:r/>
    </w:p>
    <w:tbl>
      <w:tblPr>
        <w:tblStyle w:val="883"/>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561"/>
        <w:gridCol w:w="1564"/>
        <w:gridCol w:w="1179"/>
        <w:gridCol w:w="5483"/>
      </w:tblGrid>
      <w:tr>
        <w:trPr>
          <w:trHeight w:val="228"/>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分数（分）</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评审标准</w:t>
            </w:r>
            <w:r/>
          </w:p>
        </w:tc>
      </w:tr>
      <w:tr>
        <w:trPr>
          <w:trHeight w:val="1233"/>
        </w:trPr>
        <w:tc>
          <w:tcPr>
            <w:tcBorders>
              <w:top w:val="single" w:color="000000" w:sz="4" w:space="0"/>
              <w:left w:val="single" w:color="000000" w:sz="4" w:space="0"/>
              <w:bottom w:val="single" w:color="auto" w:sz="4" w:space="0"/>
              <w:right w:val="single" w:color="000000"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000000" w:sz="4" w:space="0"/>
              <w:left w:val="single" w:color="000000" w:sz="4" w:space="0"/>
              <w:bottom w:val="single" w:color="auto"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价格</w:t>
            </w:r>
            <w:r/>
          </w:p>
        </w:tc>
        <w:tc>
          <w:tcPr>
            <w:tcBorders>
              <w:top w:val="single" w:color="000000" w:sz="4" w:space="0"/>
              <w:left w:val="single" w:color="000000" w:sz="4" w:space="0"/>
              <w:bottom w:val="single" w:color="auto"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42</w:t>
            </w:r>
            <w:r/>
          </w:p>
        </w:tc>
        <w:tc>
          <w:tcPr>
            <w:tcBorders>
              <w:top w:val="single" w:color="000000" w:sz="4" w:space="0"/>
              <w:left w:val="single" w:color="000000" w:sz="4" w:space="0"/>
              <w:bottom w:val="single" w:color="auto" w:sz="4" w:space="0"/>
              <w:right w:val="single" w:color="000000" w:sz="4" w:space="0"/>
            </w:tcBorders>
            <w:tcW w:w="3119" w:type="pct"/>
            <w:vAlign w:val="center"/>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以进入详细评审的各供应商评审价的最低值为A值，A值为价格分的满分，即42分。其他供应商的价格分统一按照以下公式计算：供应商评审价得分=（A／该供应商评审价）× 42。</w:t>
            </w:r>
            <w:r/>
          </w:p>
          <w:p>
            <w:p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政府采购评审中出现下列情形之一的，评审委员会应当启动异常低价响应审查程序：</w:t>
            </w:r>
            <w:r/>
          </w:p>
          <w:p>
            <w:pPr>
              <w:numPr>
                <w:ilvl w:val="255"/>
                <w:numId w:val="0"/>
              </w:num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响应报价低于全部通过符合性审查供应商响应报价平均值50%的，即响应报价&lt;全部通过符合性审查供应商响应报价平均值×50%； </w:t>
            </w:r>
            <w:r/>
          </w:p>
          <w:p>
            <w:pPr>
              <w:numPr>
                <w:ilvl w:val="255"/>
                <w:numId w:val="0"/>
              </w:num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响应报价低于通过符合性审查的次低报价供应商响应报价50%的，即响应报价&lt;通过符合性审查的次低报价供应商响应报价×50%； </w:t>
            </w:r>
            <w:r/>
          </w:p>
          <w:p>
            <w:pPr>
              <w:numPr>
                <w:ilvl w:val="255"/>
                <w:numId w:val="0"/>
              </w:num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响应报价低于采购项目最高限价45%的，即响应报价&lt;采购项目最高限价×45%；</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cstheme="minorEastAsia"/>
                <w:spacing w:val="1"/>
                <w:sz w:val="24"/>
                <w:szCs w:val="24"/>
              </w:rPr>
              <w:t xml:space="preserve">（4）评审委员会基于专业判断，认为供应商报价过低，有可能影响产品质量或者不能诚信履约的其他情形。</w:t>
            </w:r>
            <w:r/>
          </w:p>
        </w:tc>
      </w:tr>
      <w:tr>
        <w:trPr>
          <w:trHeight w:val="435"/>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技术参数响应</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44</w:t>
            </w:r>
            <w:r/>
          </w:p>
        </w:tc>
        <w:tc>
          <w:tcPr>
            <w:tcBorders>
              <w:top w:val="single" w:color="auto" w:sz="4" w:space="0"/>
              <w:left w:val="single" w:color="auto" w:sz="4" w:space="0"/>
              <w:bottom w:val="single" w:color="auto" w:sz="4" w:space="0"/>
              <w:right w:val="single" w:color="auto" w:sz="4" w:space="0"/>
            </w:tcBorders>
            <w:tcW w:w="3119" w:type="pct"/>
            <w:vAlign w:val="center"/>
            <w:textDirection w:val="lrTb"/>
            <w:noWrap w:val="false"/>
          </w:tcPr>
          <w:p>
            <w:pPr>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完全响应招标文件技术要求，或优于招标文件要求的得44分。标★号指标如有负偏离为废标；标▲号指标如有负偏离每项扣 5 分，其他项有负偏离每项扣2 分，扣完为止。</w:t>
            </w:r>
            <w:r/>
          </w:p>
          <w:p>
            <w:pPr>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注：招标文件要求提供的技术支撑证明文件须按要求提供（功能要求项与技术指标要求项均提供技术支撑证明材料，仅接受产品手册，技术规格书，彩页，官方网页产品信息截图；不接受承诺函，白皮书等），否则视为未提供或未响应。</w:t>
            </w:r>
            <w:r/>
          </w:p>
        </w:tc>
      </w:tr>
      <w:tr>
        <w:trPr>
          <w:trHeight w:val="675"/>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投标人承诺的免费质保期限在1年基础上每增加1年，得1分，最多得3分。提供承诺函加盖CA公章，格式自拟，不提供不得分。</w:t>
            </w:r>
            <w:r/>
          </w:p>
        </w:tc>
      </w:tr>
      <w:tr>
        <w:trPr>
          <w:trHeight w:val="1159"/>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供货期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cstheme="minorEastAsia"/>
                <w:color w:val="0f1115"/>
                <w:sz w:val="24"/>
                <w:szCs w:val="24"/>
                <w:shd w:val="clear" w:color="auto" w:fill="ffffff"/>
              </w:rPr>
              <w:t xml:space="preserve">以35个工作日为基准，投标人承诺的货期每比35个工作日每提前2个工作日，加2分，本项最高加6分。若承诺货期大于或等于35个工作日，本项不得分</w:t>
            </w:r>
            <w:r>
              <w:rPr>
                <w:rFonts w:hint="eastAsia" w:asciiTheme="minorEastAsia" w:hAnsiTheme="minorEastAsia" w:eastAsiaTheme="minorEastAsia" w:cstheme="minorEastAsia"/>
                <w:color w:val="0f1115"/>
                <w:sz w:val="24"/>
                <w:szCs w:val="24"/>
                <w:shd w:val="clear" w:color="auto" w:fill="ffffff"/>
              </w:rPr>
              <w:t xml:space="preserve">。</w:t>
            </w:r>
            <w:r/>
          </w:p>
        </w:tc>
      </w:tr>
      <w:tr>
        <w:trPr>
          <w:trHeight w:val="2615"/>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售后服务：根据投标人提供的售后服务体系、售后服务人员、售后服务承诺、售后服务应答及处理时间，质保期内的售后服务范围、质保期满后的售后服务范围进行综合打分：</w:t>
            </w:r>
            <w:r/>
          </w:p>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方案详细，可操作性强得3分；方案较详细，可操作性较强得2分；方案粗略，可操作性一般得1分；无售后方案不得分。</w:t>
            </w:r>
            <w:r/>
          </w:p>
        </w:tc>
      </w:tr>
      <w:tr>
        <w:trPr>
          <w:trHeight w:val="2423"/>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技术培训</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1、对采购人至少一次集中培训，培训场地由采购人提供，培训内容包括但不限于平台用户培训、平台管理员培训等；</w:t>
            </w:r>
            <w:r/>
          </w:p>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2、供应商提供培训资料。</w:t>
            </w:r>
            <w:r/>
          </w:p>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投标人根据上述要求，在投标文件中提供培训方案，方案科学合理，具有很强可实施性的得2分；方案较合理，实施性较强的得1分；未提供方案的或者方案未能满足上述要求的不得分。</w:t>
            </w:r>
            <w:r/>
          </w:p>
        </w:tc>
      </w:tr>
      <w:tr>
        <w:trPr>
          <w:trHeight w:val="484"/>
        </w:trPr>
        <w:tc>
          <w:tcPr>
            <w:gridSpan w:val="2"/>
            <w:tcBorders>
              <w:top w:val="single" w:color="auto" w:sz="4" w:space="0"/>
              <w:left w:val="single" w:color="auto" w:sz="4" w:space="0"/>
              <w:bottom w:val="single" w:color="auto" w:sz="4" w:space="0"/>
              <w:right w:val="single" w:color="000000" w:sz="4" w:space="0"/>
            </w:tcBorders>
            <w:tcW w:w="120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总分</w:t>
            </w:r>
            <w:r/>
          </w:p>
        </w:tc>
        <w:tc>
          <w:tcPr>
            <w:gridSpan w:val="2"/>
            <w:tcBorders>
              <w:top w:val="single" w:color="000000" w:sz="4" w:space="0"/>
              <w:left w:val="single" w:color="000000" w:sz="4" w:space="0"/>
              <w:bottom w:val="single" w:color="000000" w:sz="4" w:space="0"/>
              <w:right w:val="single" w:color="000000" w:sz="4" w:space="0"/>
            </w:tcBorders>
            <w:tcW w:w="3790"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w:t>
            </w:r>
            <w:bookmarkEnd w:id="56"/>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ascii="黑体" w:hAnsi="黑体" w:eastAsia="黑体" w:cs="黑体"/>
          <w:color w:val="000000" w:themeColor="text1"/>
          <w:sz w:val="36"/>
          <w:szCs w:val="36"/>
          <w:lang w:val="zh-TW"/>
          <w14:textFill>
            <w14:solidFill>
              <w14:schemeClr w14:val="tx1"/>
            </w14:solidFill>
          </w14:textFill>
        </w:rPr>
      </w:pPr>
      <w:r/>
      <w:bookmarkStart w:id="57"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7"/>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27"/>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27"/>
        <w:ind w:firstLine="0"/>
        <w:jc w:val="center"/>
        <w:widowControl w:val="off"/>
        <w:rPr>
          <w:rFonts w:hint="eastAsia" w:ascii="Times New Roman" w:hAnsi="Times New Roman" w:eastAsia="黑体" w:cs="Times New Roman"/>
          <w:color w:val="000000" w:themeColor="text1"/>
          <w:sz w:val="36"/>
          <w:szCs w:val="36"/>
          <w:lang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紫金山实验室超宽带通信核心硅基芯片与光电驱动融合系统测试平台采购项目（二次）</w:t>
      </w:r>
      <w:r/>
    </w:p>
    <w:p>
      <w:pPr>
        <w:pStyle w:val="927"/>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JSZC-320100-ZTZB-G2026-0048（内部编号：</w:t>
      </w:r>
      <w:r>
        <w:rPr>
          <w:rFonts w:ascii="Times New Roman" w:hAnsi="Times New Roman" w:eastAsia="黑体" w:cs="Times New Roman"/>
          <w:color w:val="000000" w:themeColor="text1"/>
          <w:sz w:val="36"/>
          <w:szCs w:val="36"/>
          <w14:textFill>
            <w14:solidFill>
              <w14:schemeClr w14:val="tx1"/>
            </w14:solidFill>
          </w14:textFill>
        </w:rPr>
        <w:t xml:space="preserve">PML-ZH-ZB-</w:t>
      </w:r>
      <w:r>
        <w:rPr>
          <w:rFonts w:hint="eastAsia" w:ascii="Times New Roman" w:hAnsi="Times New Roman" w:eastAsia="黑体" w:cs="Times New Roman"/>
          <w:color w:val="000000" w:themeColor="text1"/>
          <w:sz w:val="36"/>
          <w:szCs w:val="36"/>
          <w14:textFill>
            <w14:solidFill>
              <w14:schemeClr w14:val="tx1"/>
            </w14:solidFill>
          </w14:textFill>
        </w:rPr>
        <w:t xml:space="preserve">20260</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25</w:t>
      </w:r>
      <w:r>
        <w:rPr>
          <w:rFonts w:hint="eastAsia" w:ascii="Times New Roman" w:hAnsi="Times New Roman" w:eastAsia="黑体" w:cs="Times New Roman"/>
          <w:color w:val="000000" w:themeColor="text1"/>
          <w:sz w:val="36"/>
          <w:szCs w:val="36"/>
          <w14:textFill>
            <w14:solidFill>
              <w14:schemeClr w14:val="tx1"/>
            </w14:solidFill>
          </w14:textFill>
        </w:rPr>
        <w:t xml:space="preserve">）</w:t>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both"/>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83"/>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48069988"/>
      <w:r/>
      <w:bookmarkStart w:id="59" w:name="_Toc50"/>
      <w:r/>
      <w:bookmarkStart w:id="60" w:name="_Toc415494574"/>
      <w:r/>
      <w:bookmarkStart w:id="61"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8"/>
      <w:r/>
      <w:bookmarkEnd w:id="59"/>
      <w:r/>
      <w:bookmarkEnd w:id="60"/>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1"/>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27"/>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lang w:eastAsia="zh-CN"/>
          <w14:textFill>
            <w14:solidFill>
              <w14:schemeClr w14:val="tx1"/>
            </w14:solidFill>
          </w14:textFill>
        </w:rPr>
        <w:t xml:space="preserve">紫金山实验室超宽带通信核心硅基芯片与光电驱动融合系统测试平台采购项目（二次）</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：JSZC-320100-ZTZB-G2026-0048（内部编号PML-ZH-ZB-20260</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25</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2" w:name="_Toc448069992"/>
      <w:r/>
      <w:bookmarkStart w:id="63" w:name="_Toc11859492"/>
      <w:r/>
      <w:bookmarkStart w:id="64" w:name="_Toc415494579"/>
      <w:r/>
      <w:bookmarkStart w:id="65" w:name="_Toc452541709"/>
      <w:r/>
      <w:bookmarkStart w:id="66" w:name="_Toc51"/>
      <w:r/>
      <w:bookmarkStart w:id="67" w:name="_Toc415494575"/>
      <w:r/>
      <w:bookmarkStart w:id="68"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2"/>
      <w:r/>
      <w:bookmarkEnd w:id="63"/>
      <w:r/>
      <w:bookmarkEnd w:id="64"/>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hint="eastAsia" w:ascii="Times New Roman" w:hAnsi="Times New Roman" w:cs="Times New Roman" w:eastAsiaTheme="minorEastAsia"/>
          <w:color w:val="000000" w:themeColor="text1"/>
          <w:sz w:val="24"/>
          <w:szCs w:val="24"/>
          <w:lang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lang w:eastAsia="zh-CN"/>
          <w14:textFill>
            <w14:solidFill>
              <w14:schemeClr w14:val="tx1"/>
            </w14:solidFill>
          </w14:textFill>
        </w:rPr>
        <w:t xml:space="preserve">紫金山实验室超宽带通信核心硅基芯片与光电驱动融合系统测试平台采购项目（二次）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JSZC-320100-ZTZB-G2026-0048（内部编号PML-ZH-ZB-20260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25</w:t>
      </w:r>
      <w:r>
        <w:rPr>
          <w:rFonts w:hint="eastAsia" w:ascii="Times New Roman" w:hAnsi="Times New Roman" w:cs="Times New Roman"/>
          <w:color w:val="000000" w:themeColor="text1"/>
          <w:sz w:val="24"/>
          <w:szCs w:val="24"/>
          <w14:textFill>
            <w14:solidFill>
              <w14:schemeClr w14:val="tx1"/>
            </w14:solidFill>
          </w14:textFill>
        </w:rPr>
        <w:t xml:space="preserve">）</w:t>
      </w:r>
      <w:r/>
    </w:p>
    <w:tbl>
      <w:tblPr>
        <w:tblStyle w:val="883"/>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67"/>
      </w:tblGrid>
      <w:tr>
        <w:trPr>
          <w:cantSplit/>
          <w:jc w:val="center"/>
          <w:trHeight w:val="859"/>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890"/>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27"/>
              <w:ind w:firstLine="0"/>
              <w:spacing w:before="0" w:after="0" w:line="360" w:lineRule="exact"/>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27"/>
              <w:ind w:firstLine="0"/>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27"/>
              <w:ind w:firstLine="0"/>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27"/>
              <w:ind w:firstLine="0"/>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890"/>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w:t>
      </w:r>
      <w:r>
        <w:rPr>
          <w:rFonts w:hint="eastAsia" w:ascii="Times New Roman" w:hAnsi="Times New Roman" w:cs="Times New Roman"/>
          <w:color w:val="000000" w:themeColor="text1"/>
          <w:szCs w:val="21"/>
          <w:u w:val="single"/>
          <w:lang w:eastAsia="zh-CN"/>
          <w14:textFill>
            <w14:solidFill>
              <w14:schemeClr w14:val="tx1"/>
            </w14:solidFill>
          </w14:textFill>
        </w:rPr>
        <w:t xml:space="preserve">紫金山实验室超宽带通信核心硅基芯片与光电驱动融合系统测试平台采购项目（二次）</w:t>
      </w:r>
      <w:r>
        <w:rPr>
          <w:rFonts w:hint="eastAsia" w:ascii="Times New Roman" w:hAnsi="Times New Roman" w:cs="Times New Roman"/>
          <w:color w:val="000000" w:themeColor="text1"/>
          <w:szCs w:val="21"/>
          <w:u w:val="single"/>
          <w14:textFill>
            <w14:solidFill>
              <w14:schemeClr w14:val="tx1"/>
            </w14:solidFill>
          </w14:textFill>
        </w:rPr>
        <w:t xml:space="preserve"> </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shd w:val="clear" w:color="auto" w:fill="auto"/>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shd w:val="clear" w:color="auto" w:fill="auto"/>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9" w:name="_Toc55"/>
      <w:r/>
      <w:bookmarkStart w:id="70" w:name="_Toc415494580"/>
      <w:r/>
      <w:bookmarkStart w:id="71" w:name="_Toc448069993"/>
      <w:r/>
      <w:bookmarkStart w:id="72" w:name="_Toc118594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9"/>
      <w:r/>
      <w:bookmarkEnd w:id="70"/>
      <w:r/>
      <w:bookmarkEnd w:id="71"/>
      <w:r/>
      <w:bookmarkEnd w:id="72"/>
      <w:r/>
      <w:r/>
    </w:p>
    <w:p>
      <w:pPr>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8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8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448069994"/>
      <w:r/>
      <w:bookmarkStart w:id="74" w:name="_Toc415494581"/>
      <w:r/>
      <w:bookmarkStart w:id="75" w:name="_Toc11859494"/>
      <w:r/>
      <w:bookmarkStart w:id="76" w:name="_Toc56"/>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3"/>
      <w:r/>
      <w:bookmarkEnd w:id="74"/>
      <w:r/>
      <w:bookmarkEnd w:id="75"/>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投标人如使用进口产品投标，须持有所投进口产品制造商的有效授权（提供有效证明材料并加盖投标人公章）。</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7"/>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紫金山实验室超宽带通信核心硅基芯片与光电驱动融合系统测试平台采购项目（二次）</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3"/>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29"/>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29"/>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29"/>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8"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8"/>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紫金山实验室超宽带通信核心硅基芯片与光电驱动融合系统测试平台采购项目（二次）</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3"/>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29"/>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29"/>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9"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9"/>
      <w:r/>
      <w:bookmarkStart w:id="80"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80"/>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06"/>
        <w:numPr>
          <w:ilvl w:val="255"/>
          <w:numId w:val="0"/>
        </w:numPr>
        <w:ind w:firstLine="480"/>
        <w:rPr>
          <w:rFonts w:ascii="宋体" w:hAnsi="宋体" w:cs="宋体"/>
          <w:color w:val="000000"/>
          <w:sz w:val="24"/>
        </w:rPr>
      </w:pPr>
      <w:r>
        <w:rPr>
          <w:rFonts w:hint="eastAsia" w:ascii="宋体" w:hAnsi="宋体" w:cs="宋体"/>
          <w:color w:val="000000"/>
          <w:sz w:val="24"/>
        </w:rPr>
        <w:t xml:space="preserve">售后服务方案</w:t>
      </w:r>
      <w:r/>
    </w:p>
    <w:p>
      <w:pPr>
        <w:ind w:firstLine="480"/>
      </w:pPr>
      <w:r>
        <w:rPr>
          <w:rFonts w:hint="eastAsia" w:ascii="宋体" w:hAnsi="宋体" w:cs="宋体"/>
          <w:color w:val="000000"/>
          <w:sz w:val="24"/>
        </w:rPr>
        <w:t xml:space="preserve">培训方案</w:t>
      </w:r>
      <w:r/>
    </w:p>
    <w:p>
      <w:pPr>
        <w:pStyle w:val="906"/>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06"/>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06"/>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1"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890"/>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890"/>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03"/>
        <w:ind w:right="14"/>
        <w:jc w:val="center"/>
        <w:spacing w:before="0" w:beforeAutospacing="0" w:after="120" w:afterAutospacing="0" w:line="460" w:lineRule="exact"/>
        <w:widowControl w:val="off"/>
      </w:pPr>
      <w:r>
        <w:rPr>
          <w:b/>
          <w:sz w:val="28"/>
          <w:szCs w:val="28"/>
          <w:lang w:bidi="ar"/>
        </w:rPr>
        <w:t xml:space="preserve">中小企业声明函（货物）</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903"/>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890"/>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890"/>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890"/>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89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89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890"/>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0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3"/>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10"/>
          <w:rFonts w:hint="eastAsia" w:ascii="方正魏碑_GBK" w:hAnsi="方正魏碑_GBK" w:eastAsia="方正魏碑_GBK" w:cs="方正魏碑_GBK"/>
          <w:u w:val="single"/>
          <w:shd w:val="clear" w:color="auto" w:fill="ffffff"/>
        </w:rPr>
        <w:t xml:space="preserve">（产品名称1）</w:t>
      </w:r>
      <w:r>
        <w:rPr>
          <w:rStyle w:val="910"/>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0"/>
          <w:rFonts w:hint="eastAsia" w:ascii="方正魏碑_GBK" w:hAnsi="方正魏碑_GBK" w:eastAsia="方正魏碑_GBK" w:cs="方正魏碑_GBK"/>
          <w:u w:val="single"/>
          <w:shd w:val="clear" w:color="auto" w:fill="ffffff"/>
        </w:rPr>
        <w:t xml:space="preserve">（厂名）</w:t>
      </w:r>
      <w:r>
        <w:rPr>
          <w:rStyle w:val="910"/>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0"/>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0"/>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10"/>
          <w:rFonts w:hint="eastAsia" w:ascii="方正魏碑_GBK" w:hAnsi="方正魏碑_GBK" w:eastAsia="方正魏碑_GBK" w:cs="方正魏碑_GBK"/>
          <w:u w:val="single"/>
          <w:shd w:val="clear" w:color="auto" w:fill="ffffff"/>
        </w:rPr>
        <w:t xml:space="preserve">（规定</w:t>
      </w:r>
      <w:r>
        <w:rPr>
          <w:rStyle w:val="910"/>
          <w:rFonts w:ascii="方正魏碑_GBK" w:hAnsi="方正魏碑_GBK" w:eastAsia="方正魏碑_GBK" w:cs="方正魏碑_GBK"/>
          <w:u w:val="single"/>
          <w:shd w:val="clear" w:color="auto" w:fill="ffffff"/>
        </w:rPr>
        <w:t xml:space="preserve">比例</w:t>
      </w:r>
      <w:r>
        <w:rPr>
          <w:rStyle w:val="910"/>
          <w:rFonts w:hint="eastAsia" w:ascii="方正魏碑_GBK" w:hAnsi="方正魏碑_GBK" w:eastAsia="方正魏碑_GBK" w:cs="方正魏碑_GBK"/>
          <w:u w:val="single"/>
          <w:shd w:val="clear" w:color="auto" w:fill="ffffff"/>
        </w:rPr>
        <w:t xml:space="preserve">）</w:t>
      </w:r>
      <w:r>
        <w:rPr>
          <w:rStyle w:val="910"/>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w:t>
      </w:r>
      <w:r>
        <w:rPr>
          <w:rStyle w:val="910"/>
          <w:rFonts w:ascii="方正魏碑_GBK" w:hAnsi="方正魏碑_GBK" w:eastAsia="方正魏碑_GBK" w:cs="方正魏碑_GBK"/>
          <w:u w:val="single"/>
          <w:shd w:val="clear" w:color="auto" w:fill="ffffff"/>
        </w:rPr>
        <w:t xml:space="preserve">组件</w:t>
      </w:r>
      <w:r>
        <w:rPr>
          <w:rStyle w:val="910"/>
          <w:rFonts w:hint="eastAsia" w:ascii="方正魏碑_GBK" w:hAnsi="方正魏碑_GBK" w:eastAsia="方正魏碑_GBK" w:cs="方正魏碑_GBK"/>
          <w:u w:val="single"/>
          <w:shd w:val="clear" w:color="auto" w:fill="ffffff"/>
        </w:rPr>
        <w:t xml:space="preserve">）</w:t>
      </w:r>
      <w:r>
        <w:rPr>
          <w:rStyle w:val="910"/>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（关键工序）</w:t>
      </w:r>
      <w:r>
        <w:rPr>
          <w:rStyle w:val="910"/>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0"/>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0"/>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10"/>
          <w:rFonts w:hint="eastAsia" w:ascii="方正魏碑_GBK" w:hAnsi="方正魏碑_GBK" w:eastAsia="方正魏碑_GBK" w:cs="方正魏碑_GBK"/>
          <w:u w:val="single"/>
          <w:shd w:val="clear" w:color="auto" w:fill="ffffff"/>
        </w:rPr>
        <w:t xml:space="preserve">（规定</w:t>
      </w:r>
      <w:r>
        <w:rPr>
          <w:rStyle w:val="910"/>
          <w:rFonts w:ascii="方正魏碑_GBK" w:hAnsi="方正魏碑_GBK" w:eastAsia="方正魏碑_GBK" w:cs="方正魏碑_GBK"/>
          <w:u w:val="single"/>
          <w:shd w:val="clear" w:color="auto" w:fill="ffffff"/>
        </w:rPr>
        <w:t xml:space="preserve">比例</w:t>
      </w:r>
      <w:r>
        <w:rPr>
          <w:rStyle w:val="910"/>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w:t>
      </w:r>
      <w:r>
        <w:rPr>
          <w:rStyle w:val="910"/>
          <w:rFonts w:ascii="方正魏碑_GBK" w:hAnsi="方正魏碑_GBK" w:eastAsia="方正魏碑_GBK" w:cs="方正魏碑_GBK"/>
          <w:u w:val="single"/>
          <w:shd w:val="clear" w:color="auto" w:fill="ffffff"/>
        </w:rPr>
        <w:t xml:space="preserve">组件</w:t>
      </w:r>
      <w:r>
        <w:rPr>
          <w:rStyle w:val="910"/>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03"/>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3"/>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03"/>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03"/>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0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03"/>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5"/>
      <w:r/>
      <w:bookmarkEnd w:id="66"/>
      <w:r/>
      <w:bookmarkEnd w:id="67"/>
      <w:r/>
      <w:bookmarkEnd w:id="68"/>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footerReference w:type="default" r:id="rId13"/>
      <w:footnotePr/>
      <w:endnotePr/>
      <w:type w:val="nextPage"/>
      <w:pgSz w:w="11906" w:h="16838" w:orient="portrait"/>
      <w:pgMar w:top="1418" w:right="1418" w:bottom="1474" w:left="1701" w:header="850" w:footer="39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36</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rPr>
        <w:rFonts w:hint="eastAsia" w:eastAsiaTheme="minorEastAsia"/>
        <w:lang w:eastAsia="zh-CN"/>
      </w:rPr>
    </w:pPr>
    <w:r>
      <w:rPr>
        <w:rFonts w:hint="eastAsia"/>
        <w:sz w:val="21"/>
        <w:szCs w:val="21"/>
        <w:lang w:eastAsia="zh-CN"/>
      </w:rPr>
      <w:t xml:space="preserve">紫金山实验室超宽带通信核心硅基芯片与光电驱动融合系统测试平台采购项目（二次）</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rPr>
        <w:rFonts w:hint="eastAsia" w:ascii="Times New Roman" w:hAnsi="Times New Roman" w:cs="Times New Roman" w:eastAsiaTheme="minorEastAsia"/>
        <w:sz w:val="21"/>
        <w:szCs w:val="21"/>
        <w:lang w:eastAsia="zh-CN"/>
      </w:rPr>
      <w:pBdr>
        <w:bottom w:val="single" w:color="auto" w:sz="4" w:space="1"/>
      </w:pBdr>
    </w:pPr>
    <w:r>
      <w:rPr>
        <w:rFonts w:hint="eastAsia"/>
        <w:sz w:val="21"/>
        <w:szCs w:val="21"/>
        <w:lang w:eastAsia="zh-CN"/>
      </w:rPr>
      <w:t xml:space="preserve">紫金山实验室超宽带通信核心硅基芯片与光电驱动融合系统测试平台采购项目（二次）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81"/>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2"/>
    <w:link w:val="879"/>
    <w:uiPriority w:val="9"/>
    <w:rPr>
      <w:rFonts w:ascii="Arial" w:hAnsi="Arial" w:eastAsia="Arial" w:cs="Arial"/>
      <w:sz w:val="40"/>
      <w:szCs w:val="40"/>
    </w:rPr>
  </w:style>
  <w:style w:type="character" w:styleId="713">
    <w:name w:val="Heading 2 Char"/>
    <w:basedOn w:val="882"/>
    <w:link w:val="880"/>
    <w:uiPriority w:val="9"/>
    <w:rPr>
      <w:rFonts w:ascii="Arial" w:hAnsi="Arial" w:eastAsia="Arial" w:cs="Arial"/>
      <w:sz w:val="34"/>
    </w:rPr>
  </w:style>
  <w:style w:type="character" w:styleId="714">
    <w:name w:val="Heading 3 Char"/>
    <w:basedOn w:val="882"/>
    <w:link w:val="881"/>
    <w:uiPriority w:val="9"/>
    <w:rPr>
      <w:rFonts w:ascii="Arial" w:hAnsi="Arial" w:eastAsia="Arial" w:cs="Arial"/>
      <w:sz w:val="30"/>
      <w:szCs w:val="30"/>
    </w:rPr>
  </w:style>
  <w:style w:type="paragraph" w:styleId="715">
    <w:name w:val="Heading 4"/>
    <w:basedOn w:val="878"/>
    <w:next w:val="878"/>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basedOn w:val="882"/>
    <w:link w:val="715"/>
    <w:uiPriority w:val="9"/>
    <w:rPr>
      <w:rFonts w:ascii="Arial" w:hAnsi="Arial" w:eastAsia="Arial" w:cs="Arial"/>
      <w:b/>
      <w:bCs/>
      <w:sz w:val="26"/>
      <w:szCs w:val="26"/>
    </w:rPr>
  </w:style>
  <w:style w:type="paragraph" w:styleId="717">
    <w:name w:val="Heading 5"/>
    <w:basedOn w:val="878"/>
    <w:next w:val="878"/>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basedOn w:val="882"/>
    <w:link w:val="717"/>
    <w:uiPriority w:val="9"/>
    <w:rPr>
      <w:rFonts w:ascii="Arial" w:hAnsi="Arial" w:eastAsia="Arial" w:cs="Arial"/>
      <w:b/>
      <w:bCs/>
      <w:sz w:val="24"/>
      <w:szCs w:val="24"/>
    </w:rPr>
  </w:style>
  <w:style w:type="paragraph" w:styleId="719">
    <w:name w:val="Heading 6"/>
    <w:basedOn w:val="878"/>
    <w:next w:val="878"/>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basedOn w:val="882"/>
    <w:link w:val="719"/>
    <w:uiPriority w:val="9"/>
    <w:rPr>
      <w:rFonts w:ascii="Arial" w:hAnsi="Arial" w:eastAsia="Arial" w:cs="Arial"/>
      <w:b/>
      <w:bCs/>
      <w:sz w:val="22"/>
      <w:szCs w:val="22"/>
    </w:rPr>
  </w:style>
  <w:style w:type="paragraph" w:styleId="721">
    <w:name w:val="Heading 7"/>
    <w:basedOn w:val="878"/>
    <w:next w:val="878"/>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basedOn w:val="882"/>
    <w:link w:val="721"/>
    <w:uiPriority w:val="9"/>
    <w:rPr>
      <w:rFonts w:ascii="Arial" w:hAnsi="Arial" w:eastAsia="Arial" w:cs="Arial"/>
      <w:b/>
      <w:bCs/>
      <w:i/>
      <w:iCs/>
      <w:sz w:val="22"/>
      <w:szCs w:val="22"/>
    </w:rPr>
  </w:style>
  <w:style w:type="paragraph" w:styleId="723">
    <w:name w:val="Heading 8"/>
    <w:basedOn w:val="878"/>
    <w:next w:val="878"/>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basedOn w:val="882"/>
    <w:link w:val="723"/>
    <w:uiPriority w:val="9"/>
    <w:rPr>
      <w:rFonts w:ascii="Arial" w:hAnsi="Arial" w:eastAsia="Arial" w:cs="Arial"/>
      <w:i/>
      <w:iCs/>
      <w:sz w:val="22"/>
      <w:szCs w:val="22"/>
    </w:rPr>
  </w:style>
  <w:style w:type="paragraph" w:styleId="725">
    <w:name w:val="Heading 9"/>
    <w:basedOn w:val="878"/>
    <w:next w:val="878"/>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82"/>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character" w:styleId="728">
    <w:name w:val="Title Char"/>
    <w:basedOn w:val="882"/>
    <w:link w:val="904"/>
    <w:uiPriority w:val="10"/>
    <w:rPr>
      <w:sz w:val="48"/>
      <w:szCs w:val="48"/>
    </w:rPr>
  </w:style>
  <w:style w:type="paragraph" w:styleId="729">
    <w:name w:val="Subtitle"/>
    <w:basedOn w:val="878"/>
    <w:next w:val="878"/>
    <w:link w:val="730"/>
    <w:uiPriority w:val="11"/>
    <w:qFormat/>
    <w:pPr>
      <w:spacing w:before="200" w:after="200"/>
    </w:pPr>
    <w:rPr>
      <w:sz w:val="24"/>
      <w:szCs w:val="24"/>
    </w:rPr>
  </w:style>
  <w:style w:type="character" w:styleId="730">
    <w:name w:val="Subtitle Char"/>
    <w:basedOn w:val="882"/>
    <w:link w:val="729"/>
    <w:uiPriority w:val="11"/>
    <w:rPr>
      <w:sz w:val="24"/>
      <w:szCs w:val="24"/>
    </w:rPr>
  </w:style>
  <w:style w:type="paragraph" w:styleId="731">
    <w:name w:val="Quote"/>
    <w:basedOn w:val="878"/>
    <w:next w:val="878"/>
    <w:link w:val="732"/>
    <w:uiPriority w:val="29"/>
    <w:qFormat/>
    <w:pPr>
      <w:ind w:left="720" w:right="720"/>
    </w:pPr>
    <w:rPr>
      <w:i/>
    </w:rPr>
  </w:style>
  <w:style w:type="character" w:styleId="732">
    <w:name w:val="Quote Char"/>
    <w:link w:val="731"/>
    <w:uiPriority w:val="29"/>
    <w:rPr>
      <w:i/>
    </w:rPr>
  </w:style>
  <w:style w:type="paragraph" w:styleId="733">
    <w:name w:val="Intense Quote"/>
    <w:basedOn w:val="878"/>
    <w:next w:val="878"/>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2"/>
    <w:link w:val="899"/>
    <w:uiPriority w:val="99"/>
  </w:style>
  <w:style w:type="character" w:styleId="736">
    <w:name w:val="Footer Char"/>
    <w:basedOn w:val="882"/>
    <w:link w:val="897"/>
    <w:uiPriority w:val="99"/>
  </w:style>
  <w:style w:type="paragraph" w:styleId="737">
    <w:name w:val="Caption"/>
    <w:basedOn w:val="878"/>
    <w:next w:val="878"/>
    <w:uiPriority w:val="35"/>
    <w:semiHidden/>
    <w:unhideWhenUsed/>
    <w:qFormat/>
    <w:pPr>
      <w:spacing w:line="276" w:lineRule="auto"/>
    </w:pPr>
    <w:rPr>
      <w:b/>
      <w:bCs/>
      <w:color w:val="4f81bd" w:themeColor="accent1"/>
      <w:sz w:val="18"/>
      <w:szCs w:val="18"/>
    </w:rPr>
  </w:style>
  <w:style w:type="character" w:styleId="738">
    <w:name w:val="Caption Char"/>
    <w:basedOn w:val="737"/>
    <w:link w:val="897"/>
    <w:uiPriority w:val="99"/>
  </w:style>
  <w:style w:type="table" w:styleId="739">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5">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6">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7">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8">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9">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0">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0">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1">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2">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3">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4">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5">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7">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8">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9">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0">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1">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2">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1">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2">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3">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4">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5">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6">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8">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9">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0">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1">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2">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3">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5">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9">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2">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3">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4">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5">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6">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7">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78"/>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2"/>
    <w:uiPriority w:val="99"/>
    <w:unhideWhenUsed/>
    <w:rPr>
      <w:vertAlign w:val="superscript"/>
    </w:rPr>
  </w:style>
  <w:style w:type="paragraph" w:styleId="867">
    <w:name w:val="endnote text"/>
    <w:basedOn w:val="878"/>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2"/>
    <w:uiPriority w:val="99"/>
    <w:semiHidden/>
    <w:unhideWhenUsed/>
    <w:rPr>
      <w:vertAlign w:val="superscript"/>
    </w:r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9">
    <w:name w:val="Heading 1"/>
    <w:basedOn w:val="878"/>
    <w:next w:val="878"/>
    <w:link w:val="945"/>
    <w:uiPriority w:val="9"/>
    <w:qFormat/>
    <w:pPr>
      <w:keepLines/>
      <w:keepNext/>
      <w:spacing w:before="340" w:after="330" w:line="578" w:lineRule="auto"/>
      <w:outlineLvl w:val="0"/>
    </w:pPr>
    <w:rPr>
      <w:b/>
      <w:bCs/>
      <w:sz w:val="44"/>
      <w:szCs w:val="44"/>
    </w:rPr>
  </w:style>
  <w:style w:type="paragraph" w:styleId="880">
    <w:name w:val="Heading 2"/>
    <w:basedOn w:val="878"/>
    <w:next w:val="878"/>
    <w:link w:val="995"/>
    <w:uiPriority w:val="0"/>
    <w:qFormat/>
    <w:pPr>
      <w:keepLines/>
      <w:keepNext/>
      <w:spacing w:before="260" w:after="260" w:line="415" w:lineRule="auto"/>
      <w:outlineLvl w:val="1"/>
    </w:pPr>
    <w:rPr>
      <w:rFonts w:ascii="Arial" w:hAnsi="Arial" w:eastAsia="黑体" w:cs="Arial"/>
      <w:b/>
      <w:bCs/>
      <w:sz w:val="32"/>
      <w:szCs w:val="32"/>
    </w:rPr>
  </w:style>
  <w:style w:type="paragraph" w:styleId="881">
    <w:name w:val="Heading 3"/>
    <w:basedOn w:val="878"/>
    <w:next w:val="878"/>
    <w:link w:val="944"/>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List Number 2"/>
    <w:basedOn w:val="878"/>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85">
    <w:name w:val="Normal Indent"/>
    <w:basedOn w:val="878"/>
    <w:uiPriority w:val="0"/>
    <w:qFormat/>
    <w:pPr>
      <w:ind w:firstLine="420"/>
    </w:pPr>
    <w:rPr>
      <w:rFonts w:ascii="Times New Roman" w:hAnsi="Times New Roman" w:eastAsia="宋体" w:cs="Times New Roman"/>
      <w:szCs w:val="20"/>
    </w:rPr>
  </w:style>
  <w:style w:type="paragraph" w:styleId="886">
    <w:name w:val="Document Map"/>
    <w:basedOn w:val="878"/>
    <w:link w:val="981"/>
    <w:uiPriority w:val="99"/>
    <w:semiHidden/>
    <w:unhideWhenUsed/>
    <w:qFormat/>
    <w:pPr>
      <w:shd w:val="clear" w:color="auto" w:fill="000080"/>
    </w:pPr>
  </w:style>
  <w:style w:type="paragraph" w:styleId="887">
    <w:name w:val="annotation text"/>
    <w:basedOn w:val="878"/>
    <w:link w:val="948"/>
    <w:uiPriority w:val="99"/>
    <w:qFormat/>
    <w:pPr>
      <w:jc w:val="left"/>
    </w:pPr>
    <w:rPr>
      <w:rFonts w:ascii="Times New Roman" w:hAnsi="Times New Roman" w:eastAsia="宋体" w:cs="Times New Roman"/>
      <w:szCs w:val="20"/>
    </w:rPr>
  </w:style>
  <w:style w:type="paragraph" w:styleId="888">
    <w:name w:val="Body Text 3"/>
    <w:basedOn w:val="878"/>
    <w:link w:val="925"/>
    <w:uiPriority w:val="0"/>
    <w:qFormat/>
    <w:pPr>
      <w:spacing w:after="120"/>
    </w:pPr>
    <w:rPr>
      <w:rFonts w:ascii="Times New Roman" w:hAnsi="Times New Roman" w:eastAsia="宋体" w:cs="Times New Roman"/>
      <w:sz w:val="16"/>
      <w:szCs w:val="16"/>
    </w:rPr>
  </w:style>
  <w:style w:type="paragraph" w:styleId="889">
    <w:name w:val="List Bullet 3"/>
    <w:basedOn w:val="878"/>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0">
    <w:name w:val="Body Text"/>
    <w:basedOn w:val="878"/>
    <w:link w:val="928"/>
    <w:uiPriority w:val="99"/>
    <w:unhideWhenUsed/>
    <w:qFormat/>
    <w:pPr>
      <w:spacing w:after="120"/>
    </w:pPr>
  </w:style>
  <w:style w:type="paragraph" w:styleId="891">
    <w:name w:val="Body Text Indent"/>
    <w:basedOn w:val="878"/>
    <w:link w:val="918"/>
    <w:uiPriority w:val="0"/>
    <w:qFormat/>
    <w:pPr>
      <w:ind w:left="900"/>
      <w:spacing w:after="120" w:line="360" w:lineRule="atLeast"/>
    </w:pPr>
    <w:rPr>
      <w:rFonts w:ascii="楷体_GB2312" w:hAnsi="Times New Roman" w:eastAsia="楷体_GB2312" w:cs="Times New Roman"/>
      <w:sz w:val="28"/>
      <w:szCs w:val="20"/>
    </w:rPr>
  </w:style>
  <w:style w:type="paragraph" w:styleId="892">
    <w:name w:val="index 4"/>
    <w:basedOn w:val="878"/>
    <w:next w:val="878"/>
    <w:uiPriority w:val="99"/>
    <w:semiHidden/>
    <w:unhideWhenUsed/>
    <w:qFormat/>
    <w:pPr>
      <w:ind w:left="600"/>
    </w:pPr>
  </w:style>
  <w:style w:type="paragraph" w:styleId="893">
    <w:name w:val="toc 3"/>
    <w:basedOn w:val="878"/>
    <w:next w:val="878"/>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894">
    <w:name w:val="Plain Text"/>
    <w:basedOn w:val="878"/>
    <w:link w:val="921"/>
    <w:uiPriority w:val="99"/>
    <w:qFormat/>
    <w:rPr>
      <w:rFonts w:ascii="宋体" w:hAnsi="Courier New" w:eastAsia="宋体" w:cs="Times New Roman"/>
      <w:szCs w:val="20"/>
    </w:rPr>
  </w:style>
  <w:style w:type="paragraph" w:styleId="895">
    <w:name w:val="Date"/>
    <w:basedOn w:val="878"/>
    <w:next w:val="878"/>
    <w:link w:val="923"/>
    <w:uiPriority w:val="99"/>
    <w:unhideWhenUsed/>
    <w:qFormat/>
    <w:pPr>
      <w:ind w:left="100"/>
    </w:pPr>
  </w:style>
  <w:style w:type="paragraph" w:styleId="896">
    <w:name w:val="Balloon Text"/>
    <w:basedOn w:val="878"/>
    <w:link w:val="922"/>
    <w:uiPriority w:val="99"/>
    <w:unhideWhenUsed/>
    <w:qFormat/>
    <w:rPr>
      <w:sz w:val="18"/>
      <w:szCs w:val="18"/>
    </w:rPr>
  </w:style>
  <w:style w:type="paragraph" w:styleId="897">
    <w:name w:val="Footer"/>
    <w:basedOn w:val="878"/>
    <w:link w:val="914"/>
    <w:uiPriority w:val="99"/>
    <w:unhideWhenUsed/>
    <w:qFormat/>
    <w:pPr>
      <w:jc w:val="left"/>
      <w:tabs>
        <w:tab w:val="center" w:pos="4153" w:leader="none"/>
        <w:tab w:val="right" w:pos="8306" w:leader="none"/>
      </w:tabs>
    </w:pPr>
    <w:rPr>
      <w:sz w:val="18"/>
      <w:szCs w:val="18"/>
    </w:rPr>
  </w:style>
  <w:style w:type="paragraph" w:styleId="898">
    <w:name w:val="envelope return"/>
    <w:basedOn w:val="878"/>
    <w:uiPriority w:val="0"/>
    <w:qFormat/>
    <w:rPr>
      <w:rFonts w:ascii="Arial" w:hAnsi="Arial" w:eastAsia="宋体" w:cs="宋体"/>
    </w:rPr>
  </w:style>
  <w:style w:type="paragraph" w:styleId="899">
    <w:name w:val="Header"/>
    <w:basedOn w:val="878"/>
    <w:link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78"/>
    <w:next w:val="878"/>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01">
    <w:name w:val="toc 2"/>
    <w:basedOn w:val="878"/>
    <w:next w:val="878"/>
    <w:uiPriority w:val="39"/>
    <w:unhideWhenUsed/>
    <w:qFormat/>
    <w:pPr>
      <w:ind w:left="221"/>
      <w:jc w:val="left"/>
      <w:spacing w:line="360" w:lineRule="auto"/>
      <w:widowControl/>
    </w:pPr>
    <w:rPr>
      <w:rFonts w:ascii="Times New Roman" w:hAnsi="Times New Roman" w:eastAsia="宋体" w:cs="Times New Roman"/>
      <w:sz w:val="22"/>
    </w:rPr>
  </w:style>
  <w:style w:type="paragraph" w:styleId="902">
    <w:name w:val="HTML Preformatted"/>
    <w:basedOn w:val="878"/>
    <w:link w:val="954"/>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03">
    <w:name w:val="Normal (Web)"/>
    <w:basedOn w:val="87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4">
    <w:name w:val="Title"/>
    <w:basedOn w:val="878"/>
    <w:link w:val="982"/>
    <w:uiPriority w:val="10"/>
    <w:qFormat/>
    <w:pPr>
      <w:jc w:val="center"/>
      <w:spacing w:before="240" w:after="60"/>
      <w:outlineLvl w:val="0"/>
    </w:pPr>
    <w:rPr>
      <w:rFonts w:ascii="Arial" w:hAnsi="Arial"/>
      <w:b/>
      <w:sz w:val="32"/>
    </w:rPr>
  </w:style>
  <w:style w:type="paragraph" w:styleId="905">
    <w:name w:val="annotation subject"/>
    <w:basedOn w:val="887"/>
    <w:next w:val="887"/>
    <w:link w:val="932"/>
    <w:uiPriority w:val="99"/>
    <w:unhideWhenUsed/>
    <w:qFormat/>
    <w:rPr>
      <w:rFonts w:asciiTheme="minorHAnsi" w:hAnsiTheme="minorHAnsi" w:eastAsiaTheme="minorEastAsia" w:cstheme="minorBidi"/>
      <w:b/>
      <w:bCs/>
      <w:szCs w:val="22"/>
    </w:rPr>
  </w:style>
  <w:style w:type="paragraph" w:styleId="906">
    <w:name w:val="Body Text First Indent 2"/>
    <w:basedOn w:val="891"/>
    <w:next w:val="878"/>
    <w:uiPriority w:val="99"/>
    <w:qFormat/>
    <w:pPr>
      <w:ind w:left="420" w:firstLine="420"/>
    </w:pPr>
    <w:rPr>
      <w:rFonts w:ascii="Times New Roman" w:eastAsia="宋体"/>
      <w:szCs w:val="21"/>
    </w:rPr>
  </w:style>
  <w:style w:type="table" w:styleId="907">
    <w:name w:val="Table Grid"/>
    <w:basedOn w:val="883"/>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08">
    <w:name w:val="Strong"/>
    <w:uiPriority w:val="22"/>
    <w:qFormat/>
    <w:rPr>
      <w:b/>
      <w:bCs/>
    </w:rPr>
  </w:style>
  <w:style w:type="character" w:styleId="909">
    <w:name w:val="FollowedHyperlink"/>
    <w:basedOn w:val="882"/>
    <w:uiPriority w:val="99"/>
    <w:unhideWhenUsed/>
    <w:qFormat/>
    <w:rPr>
      <w:color w:val="333333"/>
      <w:u w:val="none"/>
    </w:rPr>
  </w:style>
  <w:style w:type="character" w:styleId="910">
    <w:name w:val="Emphasis"/>
    <w:basedOn w:val="882"/>
    <w:uiPriority w:val="20"/>
    <w:qFormat/>
  </w:style>
  <w:style w:type="character" w:styleId="911">
    <w:name w:val="Hyperlink"/>
    <w:basedOn w:val="882"/>
    <w:uiPriority w:val="99"/>
    <w:unhideWhenUsed/>
    <w:qFormat/>
    <w:rPr>
      <w:color w:val="0563c1" w:themeColor="hyperlink"/>
      <w:u w:val="single"/>
      <w14:textFill>
        <w14:solidFill>
          <w14:schemeClr w14:val="hlink"/>
        </w14:solidFill>
      </w14:textFill>
    </w:rPr>
  </w:style>
  <w:style w:type="character" w:styleId="912">
    <w:name w:val="annotation reference"/>
    <w:basedOn w:val="882"/>
    <w:uiPriority w:val="99"/>
    <w:qFormat/>
    <w:rPr>
      <w:sz w:val="21"/>
      <w:szCs w:val="21"/>
    </w:rPr>
  </w:style>
  <w:style w:type="character" w:styleId="913" w:customStyle="1">
    <w:name w:val="页眉 字符"/>
    <w:basedOn w:val="882"/>
    <w:link w:val="899"/>
    <w:uiPriority w:val="99"/>
    <w:qFormat/>
    <w:rPr>
      <w:sz w:val="18"/>
      <w:szCs w:val="18"/>
    </w:rPr>
  </w:style>
  <w:style w:type="character" w:styleId="914" w:customStyle="1">
    <w:name w:val="页脚 字符"/>
    <w:basedOn w:val="882"/>
    <w:link w:val="897"/>
    <w:uiPriority w:val="99"/>
    <w:qFormat/>
    <w:rPr>
      <w:sz w:val="18"/>
      <w:szCs w:val="18"/>
    </w:rPr>
  </w:style>
  <w:style w:type="character" w:styleId="915" w:customStyle="1">
    <w:name w:val="标题 1 Char"/>
    <w:basedOn w:val="882"/>
    <w:uiPriority w:val="9"/>
    <w:qFormat/>
    <w:rPr>
      <w:b/>
      <w:bCs/>
      <w:sz w:val="44"/>
      <w:szCs w:val="44"/>
    </w:rPr>
  </w:style>
  <w:style w:type="paragraph" w:styleId="916" w:customStyle="1">
    <w:name w:val="TOC 标题1"/>
    <w:basedOn w:val="879"/>
    <w:next w:val="878"/>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17" w:customStyle="1">
    <w:name w:val="列出段落1"/>
    <w:basedOn w:val="878"/>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18" w:customStyle="1">
    <w:name w:val="正文文本缩进 字符"/>
    <w:basedOn w:val="882"/>
    <w:link w:val="891"/>
    <w:uiPriority w:val="0"/>
    <w:qFormat/>
    <w:rPr>
      <w:rFonts w:ascii="楷体_GB2312" w:hAnsi="Times New Roman" w:eastAsia="楷体_GB2312" w:cs="Times New Roman"/>
      <w:sz w:val="28"/>
      <w:szCs w:val="20"/>
    </w:rPr>
  </w:style>
  <w:style w:type="paragraph" w:styleId="919" w:customStyle="1">
    <w:name w:val="蓝色显示"/>
    <w:basedOn w:val="878"/>
    <w:link w:val="920"/>
    <w:uiPriority w:val="0"/>
    <w:qFormat/>
    <w:pPr>
      <w:spacing w:before="340" w:after="330" w:line="400" w:lineRule="exact"/>
    </w:pPr>
    <w:rPr>
      <w:rFonts w:ascii="Times New Roman" w:hAnsi="Times New Roman" w:eastAsia="宋体" w:cs="Times New Roman"/>
      <w:b/>
      <w:color w:val="0070c0"/>
      <w:szCs w:val="24"/>
    </w:rPr>
  </w:style>
  <w:style w:type="character" w:styleId="920" w:customStyle="1">
    <w:name w:val="蓝色显示 Char"/>
    <w:link w:val="919"/>
    <w:uiPriority w:val="0"/>
    <w:qFormat/>
    <w:rPr>
      <w:rFonts w:ascii="Times New Roman" w:hAnsi="Times New Roman" w:eastAsia="宋体" w:cs="Times New Roman"/>
      <w:b/>
      <w:color w:val="0070c0"/>
      <w:szCs w:val="24"/>
    </w:rPr>
  </w:style>
  <w:style w:type="character" w:styleId="921" w:customStyle="1">
    <w:name w:val="纯文本 字符"/>
    <w:basedOn w:val="882"/>
    <w:link w:val="894"/>
    <w:uiPriority w:val="0"/>
    <w:qFormat/>
    <w:rPr>
      <w:rFonts w:ascii="宋体" w:hAnsi="Courier New" w:eastAsia="宋体" w:cs="Times New Roman"/>
      <w:szCs w:val="20"/>
    </w:rPr>
  </w:style>
  <w:style w:type="character" w:styleId="922" w:customStyle="1">
    <w:name w:val="批注框文本 字符"/>
    <w:basedOn w:val="882"/>
    <w:link w:val="896"/>
    <w:uiPriority w:val="99"/>
    <w:semiHidden/>
    <w:qFormat/>
    <w:rPr>
      <w:sz w:val="18"/>
      <w:szCs w:val="18"/>
    </w:rPr>
  </w:style>
  <w:style w:type="character" w:styleId="923" w:customStyle="1">
    <w:name w:val="日期 字符"/>
    <w:basedOn w:val="882"/>
    <w:link w:val="895"/>
    <w:uiPriority w:val="99"/>
    <w:semiHidden/>
    <w:qFormat/>
  </w:style>
  <w:style w:type="character" w:styleId="924" w:customStyle="1">
    <w:name w:val="批注文字 Char"/>
    <w:basedOn w:val="882"/>
    <w:uiPriority w:val="99"/>
    <w:qFormat/>
    <w:rPr>
      <w:rFonts w:ascii="Times New Roman" w:hAnsi="Times New Roman" w:eastAsia="宋体" w:cs="Times New Roman"/>
      <w:szCs w:val="20"/>
    </w:rPr>
  </w:style>
  <w:style w:type="character" w:styleId="925" w:customStyle="1">
    <w:name w:val="正文文本 3 字符"/>
    <w:basedOn w:val="882"/>
    <w:link w:val="888"/>
    <w:uiPriority w:val="0"/>
    <w:qFormat/>
    <w:rPr>
      <w:rFonts w:ascii="Times New Roman" w:hAnsi="Times New Roman" w:eastAsia="宋体" w:cs="Times New Roman"/>
      <w:sz w:val="16"/>
      <w:szCs w:val="16"/>
    </w:rPr>
  </w:style>
  <w:style w:type="paragraph" w:styleId="926" w:customStyle="1">
    <w:name w:val="正文00"/>
    <w:basedOn w:val="878"/>
    <w:uiPriority w:val="0"/>
    <w:qFormat/>
    <w:pPr>
      <w:ind w:firstLine="200"/>
      <w:spacing w:line="360" w:lineRule="auto"/>
    </w:pPr>
    <w:rPr>
      <w:rFonts w:ascii="Times New Roman" w:hAnsi="Times New Roman" w:eastAsia="宋体" w:cs="Times New Roman"/>
      <w:sz w:val="24"/>
      <w:szCs w:val="21"/>
    </w:rPr>
  </w:style>
  <w:style w:type="paragraph" w:styleId="927" w:customStyle="1">
    <w:name w:val="普通正文"/>
    <w:basedOn w:val="878"/>
    <w:uiPriority w:val="0"/>
    <w:qFormat/>
    <w:pPr>
      <w:ind w:firstLine="480"/>
      <w:jc w:val="left"/>
      <w:spacing w:before="120" w:after="120" w:line="360" w:lineRule="auto"/>
      <w:widowControl/>
    </w:pPr>
    <w:rPr>
      <w:rFonts w:ascii="Arial" w:hAnsi="Arial" w:eastAsia="宋体" w:cs="宋体"/>
      <w:sz w:val="24"/>
      <w:szCs w:val="24"/>
    </w:rPr>
  </w:style>
  <w:style w:type="character" w:styleId="928" w:customStyle="1">
    <w:name w:val="正文文本 字符"/>
    <w:basedOn w:val="882"/>
    <w:link w:val="890"/>
    <w:uiPriority w:val="0"/>
    <w:qFormat/>
  </w:style>
  <w:style w:type="paragraph" w:styleId="929" w:customStyle="1">
    <w:name w:val="Default"/>
    <w:uiPriority w:val="0"/>
    <w:qFormat/>
    <w:rPr>
      <w:rFonts w:ascii="宋体" w:hAnsi="Times New Roman" w:eastAsia="宋体" w:cs="宋体"/>
      <w:color w:val="000000"/>
      <w:sz w:val="24"/>
      <w:szCs w:val="24"/>
      <w:lang w:val="en-US" w:eastAsia="zh-CN" w:bidi="ar-SA"/>
    </w:rPr>
  </w:style>
  <w:style w:type="paragraph" w:styleId="930" w:customStyle="1">
    <w:name w:val="Table Paragraph"/>
    <w:basedOn w:val="878"/>
    <w:uiPriority w:val="1"/>
    <w:qFormat/>
    <w:pPr>
      <w:jc w:val="left"/>
    </w:pPr>
    <w:rPr>
      <w:rFonts w:ascii="Times New Roman" w:hAnsi="Times New Roman" w:eastAsia="宋体" w:cs="Times New Roman"/>
      <w:sz w:val="24"/>
      <w:szCs w:val="24"/>
    </w:rPr>
  </w:style>
  <w:style w:type="paragraph" w:styleId="931" w:customStyle="1">
    <w:name w:val="_Style 20"/>
    <w:basedOn w:val="878"/>
    <w:next w:val="917"/>
    <w:uiPriority w:val="34"/>
    <w:qFormat/>
    <w:pPr>
      <w:ind w:firstLine="420"/>
    </w:pPr>
    <w:rPr>
      <w:rFonts w:ascii="Times New Roman" w:hAnsi="Times New Roman" w:eastAsia="宋体" w:cs="Times New Roman"/>
      <w:szCs w:val="21"/>
    </w:rPr>
  </w:style>
  <w:style w:type="character" w:styleId="932" w:customStyle="1">
    <w:name w:val="批注主题 字符"/>
    <w:basedOn w:val="924"/>
    <w:link w:val="905"/>
    <w:uiPriority w:val="99"/>
    <w:semiHidden/>
    <w:qFormat/>
    <w:rPr>
      <w:rFonts w:ascii="Times New Roman" w:hAnsi="Times New Roman" w:eastAsia="宋体" w:cs="Times New Roman"/>
      <w:b/>
      <w:bCs/>
      <w:sz w:val="21"/>
      <w:szCs w:val="22"/>
    </w:rPr>
  </w:style>
  <w:style w:type="paragraph" w:styleId="933" w:customStyle="1">
    <w:name w:val="_Style 6"/>
    <w:basedOn w:val="878"/>
    <w:uiPriority w:val="34"/>
    <w:qFormat/>
    <w:pPr>
      <w:ind w:firstLine="420"/>
      <w:widowControl/>
    </w:pPr>
    <w:rPr>
      <w:rFonts w:ascii="Calibri" w:hAnsi="Calibri"/>
      <w:sz w:val="34"/>
      <w:szCs w:val="21"/>
    </w:rPr>
  </w:style>
  <w:style w:type="paragraph" w:styleId="934" w:customStyle="1">
    <w:name w:val="列出段落11"/>
    <w:basedOn w:val="878"/>
    <w:uiPriority w:val="99"/>
    <w:qFormat/>
    <w:pPr>
      <w:contextualSpacing/>
      <w:ind w:left="720"/>
    </w:pPr>
    <w:rPr>
      <w:rFonts w:ascii="黑体" w:hAnsi="黑体" w:eastAsia="Arial" w:cs="黑体"/>
      <w:szCs w:val="21"/>
    </w:rPr>
  </w:style>
  <w:style w:type="character" w:styleId="935" w:customStyle="1">
    <w:name w:val="bsharetext"/>
    <w:basedOn w:val="882"/>
    <w:uiPriority w:val="0"/>
    <w:qFormat/>
  </w:style>
  <w:style w:type="character" w:styleId="936" w:customStyle="1">
    <w:name w:val="active2"/>
    <w:basedOn w:val="882"/>
    <w:uiPriority w:val="0"/>
    <w:qFormat/>
    <w:rPr>
      <w:shd w:val="clear" w:color="auto" w:fill="0162b1"/>
    </w:rPr>
  </w:style>
  <w:style w:type="character" w:styleId="937" w:customStyle="1">
    <w:name w:val="add3"/>
    <w:basedOn w:val="882"/>
    <w:uiPriority w:val="0"/>
    <w:qFormat/>
  </w:style>
  <w:style w:type="paragraph" w:styleId="938">
    <w:name w:val="List Paragraph"/>
    <w:basedOn w:val="878"/>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39" w:customStyle="1">
    <w:name w:val="fontstyle01"/>
    <w:uiPriority w:val="0"/>
    <w:qFormat/>
    <w:rPr>
      <w:rFonts w:hint="eastAsia" w:ascii="宋体" w:hAnsi="宋体" w:eastAsia="宋体"/>
      <w:color w:val="000000"/>
      <w:sz w:val="24"/>
      <w:szCs w:val="24"/>
    </w:rPr>
  </w:style>
  <w:style w:type="character" w:styleId="940" w:customStyle="1">
    <w:name w:val="fontstyle21"/>
    <w:uiPriority w:val="0"/>
    <w:qFormat/>
    <w:rPr>
      <w:rFonts w:hint="default" w:ascii="Times New Roman" w:hAnsi="Times New Roman" w:cs="Times New Roman"/>
      <w:color w:val="000000"/>
      <w:sz w:val="24"/>
      <w:szCs w:val="24"/>
    </w:rPr>
  </w:style>
  <w:style w:type="paragraph" w:styleId="941"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42" w:customStyle="1">
    <w:name w:val="表格中文字（dbapp）"/>
    <w:basedOn w:val="878"/>
    <w:uiPriority w:val="0"/>
    <w:qFormat/>
    <w:pPr>
      <w:jc w:val="left"/>
      <w:spacing w:before="20" w:after="20"/>
    </w:pPr>
    <w:rPr>
      <w:rFonts w:ascii="方正兰亭黑简体" w:hAnsi="方正兰亭黑简体" w:eastAsia="方正兰亭黑简体"/>
      <w:szCs w:val="21"/>
    </w:rPr>
  </w:style>
  <w:style w:type="paragraph" w:styleId="943" w:customStyle="1">
    <w:name w:val="msolistparagraph"/>
    <w:basedOn w:val="878"/>
    <w:uiPriority w:val="0"/>
    <w:qFormat/>
    <w:pPr>
      <w:ind w:firstLine="420"/>
    </w:pPr>
    <w:rPr>
      <w:rFonts w:ascii="Calibri" w:hAnsi="Calibri" w:eastAsia="宋体" w:cs="Times New Roman"/>
    </w:rPr>
  </w:style>
  <w:style w:type="character" w:styleId="944" w:customStyle="1">
    <w:name w:val="标题 3 字符1"/>
    <w:basedOn w:val="882"/>
    <w:link w:val="881"/>
    <w:uiPriority w:val="0"/>
    <w:qFormat/>
    <w:rPr>
      <w:b/>
      <w:bCs/>
      <w:sz w:val="32"/>
      <w:szCs w:val="32"/>
    </w:rPr>
  </w:style>
  <w:style w:type="character" w:styleId="945" w:customStyle="1">
    <w:name w:val="标题 1 字符1"/>
    <w:basedOn w:val="882"/>
    <w:link w:val="879"/>
    <w:uiPriority w:val="0"/>
    <w:qFormat/>
    <w:rPr>
      <w:b/>
      <w:bCs/>
      <w:sz w:val="32"/>
      <w:szCs w:val="44"/>
    </w:rPr>
  </w:style>
  <w:style w:type="character" w:styleId="946" w:customStyle="1">
    <w:name w:val="标题 2 字符1"/>
    <w:basedOn w:val="882"/>
    <w:uiPriority w:val="0"/>
    <w:qFormat/>
    <w:rPr>
      <w:rFonts w:hint="default" w:ascii="Cambria" w:hAnsi="Cambria" w:eastAsia="Cambria" w:cs="Cambria"/>
      <w:b/>
      <w:bCs/>
      <w:sz w:val="32"/>
      <w:szCs w:val="32"/>
    </w:rPr>
  </w:style>
  <w:style w:type="character" w:styleId="947" w:customStyle="1">
    <w:name w:val="批注文字 字符1"/>
    <w:basedOn w:val="882"/>
    <w:uiPriority w:val="0"/>
    <w:qFormat/>
    <w:rPr>
      <w:sz w:val="21"/>
      <w:szCs w:val="24"/>
    </w:rPr>
  </w:style>
  <w:style w:type="character" w:styleId="948" w:customStyle="1">
    <w:name w:val="批注文字 字符"/>
    <w:basedOn w:val="882"/>
    <w:link w:val="887"/>
    <w:uiPriority w:val="99"/>
    <w:qFormat/>
    <w:rPr>
      <w:sz w:val="21"/>
      <w:szCs w:val="24"/>
    </w:rPr>
  </w:style>
  <w:style w:type="paragraph" w:styleId="949"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50"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51"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52"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53"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54" w:customStyle="1">
    <w:name w:val="HTML 预设格式 字符"/>
    <w:basedOn w:val="882"/>
    <w:link w:val="902"/>
    <w:uiPriority w:val="0"/>
    <w:qFormat/>
    <w:rPr>
      <w:rFonts w:hint="eastAsia" w:ascii="宋体" w:hAnsi="宋体" w:eastAsia="宋体" w:cs="宋体"/>
      <w:sz w:val="24"/>
      <w:szCs w:val="24"/>
    </w:rPr>
  </w:style>
  <w:style w:type="paragraph" w:styleId="955"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56"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57"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58"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59"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60"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61" w:customStyle="1">
    <w:name w:val="_正文段落 Char Char"/>
    <w:basedOn w:val="882"/>
    <w:uiPriority w:val="0"/>
    <w:qFormat/>
    <w:rPr>
      <w:sz w:val="24"/>
      <w:szCs w:val="24"/>
    </w:rPr>
  </w:style>
  <w:style w:type="paragraph" w:styleId="962" w:customStyle="1">
    <w:name w:val="正文段落样式"/>
    <w:basedOn w:val="878"/>
    <w:link w:val="964"/>
    <w:uiPriority w:val="0"/>
    <w:qFormat/>
    <w:pPr>
      <w:ind w:firstLine="420"/>
      <w:jc w:val="left"/>
      <w:spacing w:line="360" w:lineRule="auto"/>
    </w:pPr>
    <w:rPr>
      <w:rFonts w:hint="eastAsia" w:ascii="等线" w:hAnsi="等线" w:eastAsia="等线" w:cs="Times New Roman"/>
      <w:sz w:val="24"/>
      <w:szCs w:val="21"/>
    </w:rPr>
  </w:style>
  <w:style w:type="character" w:styleId="963" w:customStyle="1">
    <w:name w:val="列表段落 字符"/>
    <w:basedOn w:val="882"/>
    <w:uiPriority w:val="0"/>
    <w:qFormat/>
    <w:rPr>
      <w:rFonts w:hint="eastAsia" w:ascii="Arial Unicode MS" w:hAnsi="Arial Unicode MS" w:eastAsia="等线" w:cs="Arial Unicode MS"/>
      <w:color w:val="000000"/>
      <w:lang w:eastAsia="en-US"/>
    </w:rPr>
  </w:style>
  <w:style w:type="character" w:styleId="964" w:customStyle="1">
    <w:name w:val="正文段落样式 Char"/>
    <w:basedOn w:val="882"/>
    <w:link w:val="962"/>
    <w:uiPriority w:val="0"/>
    <w:qFormat/>
    <w:rPr>
      <w:rFonts w:hint="eastAsia" w:ascii="等线" w:hAnsi="等线" w:eastAsia="等线" w:cs="Times New Roman"/>
      <w:sz w:val="24"/>
      <w:szCs w:val="21"/>
    </w:rPr>
  </w:style>
  <w:style w:type="paragraph" w:styleId="965"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67" w:customStyle="1">
    <w:name w:val="标题 6 字符"/>
    <w:basedOn w:val="882"/>
    <w:uiPriority w:val="0"/>
    <w:qFormat/>
    <w:rPr>
      <w:rFonts w:ascii="Arial" w:hAnsi="Arial" w:eastAsia="黑体" w:cs="Times New Roman"/>
      <w:sz w:val="22"/>
      <w:szCs w:val="20"/>
    </w:rPr>
  </w:style>
  <w:style w:type="character" w:styleId="968" w:customStyle="1">
    <w:name w:val="文档正文 Char"/>
    <w:basedOn w:val="882"/>
    <w:uiPriority w:val="0"/>
    <w:qFormat/>
    <w:rPr>
      <w:rFonts w:hint="default" w:ascii="Times New Roman" w:hAnsi="Times New Roman" w:eastAsia="宋体" w:cs="Times New Roman"/>
      <w:sz w:val="22"/>
      <w:szCs w:val="20"/>
    </w:rPr>
  </w:style>
  <w:style w:type="character" w:styleId="969" w:customStyle="1">
    <w:name w:val="标题 5 字符"/>
    <w:basedOn w:val="882"/>
    <w:uiPriority w:val="0"/>
    <w:qFormat/>
    <w:rPr>
      <w:rFonts w:hint="default" w:ascii="Times New Roman" w:hAnsi="Times New Roman" w:eastAsia="宋体" w:cs="Times New Roman"/>
      <w:sz w:val="28"/>
      <w:szCs w:val="20"/>
    </w:rPr>
  </w:style>
  <w:style w:type="character" w:styleId="970" w:customStyle="1">
    <w:name w:val="正文(首行缩进) Char"/>
    <w:basedOn w:val="882"/>
    <w:link w:val="971"/>
    <w:uiPriority w:val="0"/>
    <w:qFormat/>
    <w:rPr>
      <w:rFonts w:hint="default" w:ascii="Times New Roman" w:hAnsi="Times New Roman" w:eastAsia="宋体" w:cs="Times New Roman"/>
      <w:sz w:val="24"/>
      <w:szCs w:val="24"/>
    </w:rPr>
  </w:style>
  <w:style w:type="paragraph" w:styleId="971" w:customStyle="1">
    <w:name w:val="正文(首行缩进)"/>
    <w:basedOn w:val="878"/>
    <w:next w:val="878"/>
    <w:link w:val="970"/>
    <w:uiPriority w:val="0"/>
    <w:qFormat/>
    <w:pPr>
      <w:ind w:firstLine="480"/>
      <w:spacing w:line="360" w:lineRule="auto"/>
    </w:pPr>
    <w:rPr>
      <w:rFonts w:ascii="Times New Roman" w:hAnsi="Times New Roman" w:eastAsia="宋体" w:cs="Times New Roman"/>
      <w:sz w:val="24"/>
      <w:szCs w:val="24"/>
    </w:rPr>
  </w:style>
  <w:style w:type="character" w:styleId="972" w:customStyle="1">
    <w:name w:val="标题 4 字符"/>
    <w:basedOn w:val="882"/>
    <w:uiPriority w:val="0"/>
    <w:qFormat/>
    <w:rPr>
      <w:rFonts w:hint="eastAsia" w:ascii="宋体" w:hAnsi="宋体" w:eastAsia="宋体" w:cs="Times New Roman"/>
      <w:b/>
      <w:sz w:val="24"/>
      <w:szCs w:val="24"/>
    </w:rPr>
  </w:style>
  <w:style w:type="paragraph" w:styleId="973" w:customStyle="1">
    <w:name w:val="表格内容"/>
    <w:basedOn w:val="878"/>
    <w:uiPriority w:val="0"/>
    <w:qFormat/>
    <w:pPr>
      <w:ind w:left="420"/>
      <w:spacing w:before="156" w:after="156" w:line="300" w:lineRule="auto"/>
    </w:pPr>
    <w:rPr>
      <w:rFonts w:ascii="Times New Roman" w:hAnsi="Times New Roman" w:eastAsia="宋体" w:cs="Times New Roman"/>
      <w:sz w:val="18"/>
      <w:szCs w:val="24"/>
    </w:rPr>
  </w:style>
  <w:style w:type="character" w:styleId="974" w:customStyle="1">
    <w:name w:val="标题 3 字符"/>
    <w:basedOn w:val="882"/>
    <w:uiPriority w:val="0"/>
    <w:qFormat/>
    <w:rPr>
      <w:rFonts w:hint="eastAsia" w:ascii="宋体" w:hAnsi="宋体" w:eastAsia="宋体" w:cs="Times New Roman"/>
      <w:b/>
      <w:bCs/>
      <w:sz w:val="24"/>
      <w:szCs w:val="24"/>
    </w:rPr>
  </w:style>
  <w:style w:type="character" w:styleId="975" w:customStyle="1">
    <w:name w:val="标题 1 字符"/>
    <w:basedOn w:val="882"/>
    <w:uiPriority w:val="0"/>
    <w:qFormat/>
    <w:rPr>
      <w:rFonts w:hint="eastAsia" w:ascii="宋体" w:hAnsi="宋体" w:eastAsia="宋体" w:cs="Times New Roman"/>
      <w:b/>
      <w:bCs/>
      <w:sz w:val="36"/>
      <w:szCs w:val="36"/>
    </w:rPr>
  </w:style>
  <w:style w:type="character" w:styleId="976" w:customStyle="1">
    <w:name w:val="标题 9 字符"/>
    <w:basedOn w:val="882"/>
    <w:uiPriority w:val="0"/>
    <w:qFormat/>
    <w:rPr>
      <w:rFonts w:hint="default" w:ascii="Arial" w:hAnsi="Arial" w:eastAsia="黑体" w:cs="Times New Roman"/>
      <w:sz w:val="22"/>
      <w:szCs w:val="20"/>
    </w:rPr>
  </w:style>
  <w:style w:type="character" w:styleId="977" w:customStyle="1">
    <w:name w:val="标题 8 字符"/>
    <w:basedOn w:val="882"/>
    <w:uiPriority w:val="0"/>
    <w:qFormat/>
    <w:rPr>
      <w:rFonts w:hint="default" w:ascii="Arial" w:hAnsi="Arial" w:eastAsia="黑体" w:cs="Times New Roman"/>
      <w:sz w:val="22"/>
      <w:szCs w:val="20"/>
    </w:rPr>
  </w:style>
  <w:style w:type="character" w:styleId="978" w:customStyle="1">
    <w:name w:val="[正文行首缩进] Char"/>
    <w:basedOn w:val="882"/>
    <w:link w:val="979"/>
    <w:uiPriority w:val="0"/>
    <w:qFormat/>
    <w:rPr>
      <w:rFonts w:hint="eastAsia" w:ascii="宋体" w:hAnsi="宋体" w:eastAsia="宋体" w:cs="宋体"/>
      <w:color w:val="000000"/>
      <w:sz w:val="24"/>
      <w:szCs w:val="24"/>
    </w:rPr>
  </w:style>
  <w:style w:type="paragraph" w:styleId="979" w:customStyle="1">
    <w:name w:val="[正文行首缩进]"/>
    <w:basedOn w:val="878"/>
    <w:link w:val="978"/>
    <w:uiPriority w:val="0"/>
    <w:qFormat/>
    <w:pPr>
      <w:jc w:val="center"/>
      <w:spacing w:line="360" w:lineRule="auto"/>
    </w:pPr>
    <w:rPr>
      <w:rFonts w:hint="eastAsia" w:ascii="宋体" w:hAnsi="等线" w:eastAsia="等线" w:cs="Times New Roman"/>
      <w:color w:val="000000"/>
      <w:sz w:val="24"/>
      <w:szCs w:val="24"/>
    </w:rPr>
  </w:style>
  <w:style w:type="character" w:styleId="980" w:customStyle="1">
    <w:name w:val="正文缩进 字符"/>
    <w:basedOn w:val="882"/>
    <w:uiPriority w:val="0"/>
    <w:qFormat/>
    <w:rPr>
      <w:sz w:val="24"/>
    </w:rPr>
  </w:style>
  <w:style w:type="character" w:styleId="981" w:customStyle="1">
    <w:name w:val="文档结构图 字符"/>
    <w:basedOn w:val="882"/>
    <w:link w:val="886"/>
    <w:uiPriority w:val="0"/>
    <w:qFormat/>
    <w:rPr>
      <w:rFonts w:hint="eastAsia" w:ascii="Microsoft YaHei UI" w:hAnsi="Microsoft YaHei UI" w:eastAsia="Microsoft YaHei UI" w:cs="Microsoft YaHei UI"/>
      <w:sz w:val="18"/>
      <w:szCs w:val="18"/>
    </w:rPr>
  </w:style>
  <w:style w:type="character" w:styleId="982" w:customStyle="1">
    <w:name w:val="标题 字符"/>
    <w:basedOn w:val="882"/>
    <w:link w:val="904"/>
    <w:uiPriority w:val="0"/>
    <w:qFormat/>
    <w:rPr>
      <w:rFonts w:ascii="等线 Light" w:hAnsi="等线 Light" w:eastAsia="等线 Light" w:cs="Times New Roman"/>
      <w:b/>
      <w:bCs/>
      <w:sz w:val="32"/>
      <w:szCs w:val="32"/>
    </w:rPr>
  </w:style>
  <w:style w:type="character" w:styleId="983" w:customStyle="1">
    <w:name w:val="标题 2 字符"/>
    <w:basedOn w:val="882"/>
    <w:uiPriority w:val="0"/>
    <w:qFormat/>
    <w:rPr>
      <w:rFonts w:hint="eastAsia" w:ascii="宋体" w:hAnsi="宋体" w:eastAsia="宋体" w:cs="Times New Roman"/>
      <w:b/>
      <w:bCs/>
      <w:sz w:val="28"/>
      <w:szCs w:val="32"/>
    </w:rPr>
  </w:style>
  <w:style w:type="character" w:styleId="984" w:customStyle="1">
    <w:name w:val="标题 7 字符"/>
    <w:basedOn w:val="882"/>
    <w:uiPriority w:val="0"/>
    <w:qFormat/>
    <w:rPr>
      <w:rFonts w:hint="default" w:ascii="Times New Roman" w:hAnsi="Times New Roman" w:eastAsia="宋体" w:cs="Times New Roman"/>
      <w:b/>
      <w:sz w:val="22"/>
      <w:szCs w:val="20"/>
    </w:rPr>
  </w:style>
  <w:style w:type="paragraph" w:styleId="985" w:customStyle="1">
    <w:name w:val="表格标题"/>
    <w:basedOn w:val="878"/>
    <w:uiPriority w:val="0"/>
    <w:qFormat/>
    <w:pPr>
      <w:jc w:val="center"/>
      <w:spacing w:before="62" w:after="62" w:line="360" w:lineRule="auto"/>
    </w:pPr>
    <w:rPr>
      <w:rFonts w:hint="eastAsia" w:ascii="宋体" w:hAnsi="宋体" w:eastAsia="宋体" w:cs="Times New Roman"/>
      <w:b/>
      <w:bCs/>
      <w:szCs w:val="20"/>
    </w:rPr>
  </w:style>
  <w:style w:type="table" w:styleId="986" w:customStyle="1">
    <w:name w:val="Table Normal"/>
    <w:basedOn w:val="883"/>
    <w:uiPriority w:val="0"/>
    <w:semiHidden/>
    <w:qFormat/>
    <w:pPr>
      <w:widowControl w:val="off"/>
    </w:pPr>
    <w:rPr>
      <w:rFonts w:hint="eastAsia"/>
      <w:sz w:val="22"/>
      <w:szCs w:val="22"/>
      <w:lang w:eastAsia="en-US"/>
    </w:rPr>
    <w:tblPr>
      <w:tblCellMar>
        <w:left w:w="0" w:type="dxa"/>
        <w:right w:w="0" w:type="dxa"/>
      </w:tblCellMar>
    </w:tblPr>
  </w:style>
  <w:style w:type="paragraph" w:styleId="987"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88" w:customStyle="1">
    <w:name w:val="正文文本首行缩进 字符"/>
    <w:uiPriority w:val="0"/>
    <w:qFormat/>
    <w:rPr>
      <w:rFonts w:hint="default" w:ascii="Calibri" w:hAnsi="Calibri" w:eastAsia="宋体" w:cs="Times New Roman"/>
      <w:sz w:val="21"/>
      <w:szCs w:val="22"/>
    </w:rPr>
  </w:style>
  <w:style w:type="paragraph" w:styleId="989" w:customStyle="1">
    <w:name w:val="表正文"/>
    <w:basedOn w:val="878"/>
    <w:uiPriority w:val="0"/>
    <w:qFormat/>
    <w:rPr>
      <w:rFonts w:hint="eastAsia" w:ascii="等线" w:hAnsi="等线" w:eastAsia="宋体" w:cs="Times New Roman"/>
      <w:sz w:val="18"/>
    </w:rPr>
  </w:style>
  <w:style w:type="paragraph" w:styleId="990"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991" w:customStyle="1">
    <w:name w:val="列出段落 Char"/>
    <w:basedOn w:val="882"/>
    <w:uiPriority w:val="0"/>
    <w:qFormat/>
    <w:rPr>
      <w:rFonts w:hint="eastAsia" w:ascii="Arial Unicode MS" w:hAnsi="Arial Unicode MS" w:eastAsia="Arial Unicode MS" w:cs="Arial Unicode MS"/>
      <w:color w:val="000000"/>
      <w:sz w:val="20"/>
      <w:szCs w:val="20"/>
      <w:lang w:eastAsia="en-US"/>
    </w:rPr>
  </w:style>
  <w:style w:type="character" w:styleId="992" w:customStyle="1">
    <w:name w:val="标题 2 字符2"/>
    <w:basedOn w:val="882"/>
    <w:uiPriority w:val="0"/>
    <w:qFormat/>
    <w:rPr>
      <w:rFonts w:hint="default" w:ascii="Arial" w:hAnsi="Arial" w:eastAsia="黑体" w:cs="Arial"/>
      <w:b/>
      <w:bCs/>
      <w:sz w:val="32"/>
      <w:szCs w:val="32"/>
    </w:rPr>
  </w:style>
  <w:style w:type="paragraph" w:styleId="993"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994"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995" w:customStyle="1">
    <w:name w:val="标题 2 字符3"/>
    <w:basedOn w:val="882"/>
    <w:link w:val="880"/>
    <w:uiPriority w:val="0"/>
    <w:qFormat/>
    <w:rPr>
      <w:rFonts w:hint="default" w:ascii="Arial" w:hAnsi="Arial" w:eastAsia="黑体" w:cs="Arial"/>
      <w:b/>
      <w:bCs/>
      <w:sz w:val="32"/>
      <w:szCs w:val="32"/>
    </w:rPr>
  </w:style>
  <w:style w:type="character" w:styleId="996" w:customStyle="1">
    <w:name w:val="列出段落 Char1"/>
    <w:basedOn w:val="882"/>
    <w:uiPriority w:val="0"/>
    <w:qFormat/>
    <w:rPr>
      <w:rFonts w:hint="eastAsia" w:ascii="Arial Unicode MS" w:hAnsi="Arial Unicode MS" w:eastAsia="Arial Unicode MS" w:cs="Arial Unicode MS"/>
      <w:color w:val="000000"/>
      <w:sz w:val="20"/>
      <w:szCs w:val="20"/>
      <w:lang w:eastAsia="en-US"/>
    </w:rPr>
  </w:style>
  <w:style w:type="paragraph" w:styleId="997"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998"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999" w:customStyle="1">
    <w:name w:val="Table Text"/>
    <w:basedOn w:val="878"/>
    <w:hidden/>
    <w:uiPriority w:val="0"/>
    <w:qFormat/>
    <w:pPr>
      <w:jc w:val="left"/>
      <w:widowControl/>
    </w:pPr>
    <w:rPr>
      <w:rFonts w:hint="eastAsia" w:ascii="宋体" w:hAnsi="宋体" w:eastAsia="宋体" w:cs="Times New Roman"/>
      <w:color w:val="000000"/>
      <w:szCs w:val="21"/>
    </w:rPr>
  </w:style>
  <w:style w:type="paragraph" w:styleId="1000"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01"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02" w:customStyle="1">
    <w:name w:val="纯文本 字符1"/>
    <w:basedOn w:val="882"/>
    <w:uiPriority w:val="0"/>
    <w:qFormat/>
    <w:rPr>
      <w:rFonts w:hint="eastAsia" w:ascii="宋体" w:hAnsi="Courier New" w:eastAsia="宋体" w:cs="Courier New"/>
      <w:szCs w:val="24"/>
    </w:rPr>
  </w:style>
  <w:style w:type="paragraph" w:styleId="1003"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04" w:customStyle="1">
    <w:name w:val="段"/>
    <w:basedOn w:val="878"/>
    <w:next w:val="878"/>
    <w:uiPriority w:val="0"/>
    <w:qFormat/>
    <w:pPr>
      <w:ind w:firstLine="200"/>
      <w:spacing w:line="360" w:lineRule="auto"/>
      <w:widowControl/>
    </w:pPr>
    <w:rPr>
      <w:rFonts w:hint="eastAsia" w:ascii="宋体" w:hAnsi="Times New Roman" w:eastAsia="宋体" w:cs="Times New Roman"/>
      <w:sz w:val="24"/>
    </w:rPr>
  </w:style>
  <w:style w:type="paragraph" w:styleId="1005"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06"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07"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08"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09" w:customStyle="1">
    <w:name w:val="正文文本首行缩进 2 字符"/>
    <w:uiPriority w:val="0"/>
    <w:qFormat/>
    <w:rPr>
      <w:sz w:val="21"/>
      <w:szCs w:val="24"/>
    </w:rPr>
  </w:style>
  <w:style w:type="paragraph" w:styleId="1010" w:customStyle="1">
    <w:name w:val="qq正文"/>
    <w:basedOn w:val="878"/>
    <w:uiPriority w:val="0"/>
    <w:qFormat/>
    <w:pPr>
      <w:ind w:firstLine="200"/>
      <w:spacing w:line="360" w:lineRule="auto"/>
    </w:pPr>
    <w:rPr>
      <w:rFonts w:ascii="Times New Roman" w:hAnsi="Times New Roman" w:eastAsia="宋体" w:cs="Times New Roman"/>
      <w:sz w:val="24"/>
      <w:szCs w:val="24"/>
    </w:rPr>
  </w:style>
  <w:style w:type="paragraph" w:styleId="1011"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12"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13"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14"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16"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17"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7A2E1E4-3D27-4DA6-A32E-3059064F29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47</cp:revision>
  <dcterms:created xsi:type="dcterms:W3CDTF">2026-06-15T02:10:00Z</dcterms:created>
  <dcterms:modified xsi:type="dcterms:W3CDTF">2026-08-04T09:01:31Z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BA6A947A6E194197A00E9258FA014184_13</vt:lpwstr>
  </property>
  <property fmtid="{D5CDD505-2E9C-101B-9397-08002B2CF9AE}" pid="4" name="KSOTemplateDocerSaveRecord">
    <vt:lpwstr>eyJoZGlkIjoiNTE3ODBhODAwYWZlYmM2Zjk2MjA5ZjdiYTk1Y2U0OTQiLCJ1c2VySWQiOiI5NTc1NDY5NDYifQ==</vt:lpwstr>
  </property>
</Properties>
</file>