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rPr>
          <w:rFonts w:ascii="Times New Roman" w:eastAsia="宋体" w:cs="Times New Roman"/>
          <w:b/>
          <w:bCs/>
          <w:sz w:val="84"/>
          <w:szCs w:val="84"/>
        </w:rPr>
      </w:pPr>
      <w:r/>
      <w:bookmarkStart w:id="0" w:name="_Toc390246905"/>
      <w:r/>
      <w:bookmarkStart w:id="1" w:name="_Toc383623672"/>
      <w:r/>
      <w:bookmarkStart w:id="2" w:name="_Toc390099018"/>
      <w:r/>
      <w:bookmarkStart w:id="3" w:name="_Toc383679746"/>
      <w:r/>
      <w:bookmarkStart w:id="4" w:name="_Toc383623944"/>
      <w:r/>
      <w:bookmarkStart w:id="5" w:name="_Toc426469868"/>
      <w:r/>
      <w:bookmarkStart w:id="6" w:name="_Toc383625993"/>
      <w:r/>
      <w:bookmarkStart w:id="7" w:name="_Toc390098840"/>
      <w:r/>
      <w:bookmarkStart w:id="8" w:name="_Toc383587456"/>
      <w:r/>
      <w:bookmarkStart w:id="9" w:name="_Toc383698647"/>
      <w:r/>
      <w:r/>
    </w:p>
    <w:p>
      <w:pPr>
        <w:pStyle w:val="710"/>
        <w:jc w:val="center"/>
        <w:rPr>
          <w:rFonts w:ascii="Times New Roman" w:eastAsia="宋体" w:cs="Times New Roman"/>
          <w:b/>
          <w:bCs/>
          <w:sz w:val="84"/>
          <w:szCs w:val="84"/>
        </w:rPr>
      </w:pPr>
      <w:r>
        <w:rPr>
          <w:rFonts w:ascii="Times New Roman" w:eastAsia="宋体" w:cs="Times New Roman"/>
          <w:b/>
          <w:bCs/>
          <w:sz w:val="84"/>
          <w:szCs w:val="84"/>
        </w:rPr>
      </w:r>
      <w:r/>
    </w:p>
    <w:p>
      <w:pPr>
        <w:pStyle w:val="710"/>
        <w:jc w:val="center"/>
        <w:rPr>
          <w:rFonts w:ascii="Times New Roman" w:eastAsia="宋体" w:cs="Times New Roman"/>
          <w:b/>
          <w:bCs/>
          <w:sz w:val="84"/>
          <w:szCs w:val="84"/>
        </w:rPr>
      </w:pPr>
      <w:r>
        <w:rPr>
          <w:rFonts w:ascii="Times New Roman" w:eastAsia="宋体" w:cs="Times New Roman"/>
          <w:b/>
          <w:bCs/>
          <w:sz w:val="84"/>
          <w:szCs w:val="84"/>
        </w:rPr>
      </w:r>
      <w:r/>
    </w:p>
    <w:p>
      <w:pPr>
        <w:pStyle w:val="710"/>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pStyle w:val="71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10"/>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710"/>
        <w:spacing w:line="540" w:lineRule="exact"/>
        <w:rPr>
          <w:rFonts w:ascii="Times New Roman" w:eastAsia="宋体" w:cs="Times New Roman"/>
          <w:b/>
          <w:bCs/>
          <w:sz w:val="32"/>
          <w:szCs w:val="32"/>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169" w:hanging="2169"/>
        <w:rPr>
          <w:b/>
          <w:bCs/>
          <w:sz w:val="44"/>
          <w:szCs w:val="44"/>
        </w:rPr>
      </w:pPr>
      <w:r>
        <w:rPr>
          <w:b/>
          <w:bCs/>
          <w:sz w:val="44"/>
          <w:szCs w:val="44"/>
        </w:rPr>
        <w:t xml:space="preserve">项目名称：</w:t>
      </w:r>
      <w:r>
        <w:rPr>
          <w:rFonts w:hint="eastAsia"/>
          <w:b/>
          <w:bCs/>
          <w:sz w:val="44"/>
          <w:szCs w:val="44"/>
        </w:rPr>
        <w:t xml:space="preserve">泰兴市</w:t>
      </w:r>
      <w:r>
        <w:rPr>
          <w:rFonts w:hint="eastAsia" w:ascii="宋体" w:hAnsi="宋体" w:eastAsia="宋体" w:cs="宋体"/>
          <w:b/>
          <w:bCs/>
          <w:sz w:val="44"/>
          <w:szCs w:val="44"/>
          <w:highlight w:val="none"/>
        </w:rPr>
        <w:t xml:space="preserve">202</w:t>
      </w:r>
      <w:r>
        <w:rPr>
          <w:rFonts w:hint="eastAsia" w:ascii="宋体" w:hAnsi="宋体" w:cs="宋体"/>
          <w:b/>
          <w:bCs/>
          <w:sz w:val="44"/>
          <w:szCs w:val="44"/>
          <w:highlight w:val="none"/>
          <w:lang w:val="en-US" w:eastAsia="zh-CN"/>
        </w:rPr>
        <w:t xml:space="preserve">6</w:t>
      </w:r>
      <w:r>
        <w:rPr>
          <w:b/>
          <w:bCs/>
          <w:sz w:val="44"/>
          <w:szCs w:val="44"/>
          <w:highlight w:val="none"/>
        </w:rPr>
        <w:t xml:space="preserve">年</w:t>
      </w:r>
      <w:r>
        <w:rPr>
          <w:b/>
          <w:bCs/>
          <w:sz w:val="44"/>
          <w:szCs w:val="44"/>
        </w:rPr>
        <w:t xml:space="preserve">度</w:t>
      </w:r>
      <w:r>
        <w:rPr>
          <w:rFonts w:hint="eastAsia"/>
          <w:b/>
          <w:bCs/>
          <w:sz w:val="44"/>
          <w:szCs w:val="44"/>
          <w:lang w:eastAsia="zh-CN"/>
        </w:rPr>
        <w:t xml:space="preserve">国土变更调查和林草湿沙调查监测</w:t>
      </w:r>
      <w:r>
        <w:rPr>
          <w:b/>
          <w:bCs/>
          <w:sz w:val="44"/>
          <w:szCs w:val="44"/>
        </w:rPr>
        <w:t xml:space="preserve">项目</w:t>
      </w:r>
      <w:r/>
    </w:p>
    <w:p>
      <w:pPr>
        <w:widowControl/>
        <w:rPr>
          <w:rFonts w:hint="default" w:eastAsia="宋体"/>
          <w:sz w:val="44"/>
          <w:szCs w:val="44"/>
          <w:lang w:val="en-US" w:eastAsia="zh-CN"/>
        </w:rPr>
      </w:pPr>
      <w:r>
        <w:rPr>
          <w:b/>
          <w:bCs/>
          <w:sz w:val="44"/>
          <w:szCs w:val="44"/>
        </w:rPr>
        <w:t xml:space="preserve">项目编号：</w:t>
      </w:r>
      <w:r>
        <w:rPr>
          <w:rFonts w:hint="eastAsia" w:ascii="宋体" w:hAnsi="宋体" w:eastAsia="宋体" w:cs="宋体"/>
          <w:b/>
          <w:bCs/>
          <w:sz w:val="44"/>
          <w:szCs w:val="44"/>
        </w:rPr>
        <w:t xml:space="preserve">JSZC-321283-JZCG-G202</w:t>
      </w:r>
      <w:r>
        <w:rPr>
          <w:rFonts w:hint="eastAsia" w:ascii="宋体" w:hAnsi="宋体" w:eastAsia="宋体" w:cs="宋体"/>
          <w:b/>
          <w:bCs/>
          <w:sz w:val="44"/>
          <w:szCs w:val="44"/>
          <w:lang w:val="en-US" w:eastAsia="zh-CN"/>
        </w:rPr>
        <w:t xml:space="preserve">6</w:t>
      </w:r>
      <w:r>
        <w:rPr>
          <w:rFonts w:hint="eastAsia" w:ascii="宋体" w:hAnsi="宋体" w:eastAsia="宋体" w:cs="宋体"/>
          <w:b/>
          <w:bCs/>
          <w:sz w:val="44"/>
          <w:szCs w:val="44"/>
        </w:rPr>
        <w:t xml:space="preserve">-00</w:t>
      </w:r>
      <w:r>
        <w:rPr>
          <w:rFonts w:hint="eastAsia" w:ascii="宋体" w:hAnsi="宋体" w:eastAsia="宋体" w:cs="宋体"/>
          <w:b/>
          <w:bCs/>
          <w:sz w:val="44"/>
          <w:szCs w:val="44"/>
          <w:lang w:val="en-US" w:eastAsia="zh-CN"/>
        </w:rPr>
        <w:t xml:space="preserve">0</w:t>
      </w:r>
      <w:r>
        <w:rPr>
          <w:rFonts w:hint="eastAsia" w:ascii="宋体" w:hAnsi="宋体" w:cs="宋体"/>
          <w:b/>
          <w:bCs/>
          <w:sz w:val="44"/>
          <w:szCs w:val="44"/>
          <w:lang w:val="en-US" w:eastAsia="zh-CN"/>
        </w:rPr>
        <w:t xml:space="preserve">7</w:t>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710"/>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ind w:firstLine="2530"/>
        <w:spacing w:line="360" w:lineRule="auto"/>
        <w:rPr>
          <w:rFonts w:eastAsia="楷体"/>
          <w:b/>
          <w:sz w:val="36"/>
          <w:szCs w:val="36"/>
        </w:rPr>
      </w:pPr>
      <w:r>
        <w:rPr>
          <w:rFonts w:hint="eastAsia" w:eastAsia="楷体"/>
          <w:b/>
          <w:sz w:val="36"/>
          <w:szCs w:val="36"/>
        </w:rPr>
        <w:t xml:space="preserve">泰兴市自然资源和规划局</w:t>
      </w:r>
      <w:r/>
    </w:p>
    <w:p>
      <w:pPr>
        <w:jc w:val="center"/>
        <w:spacing w:line="360" w:lineRule="auto"/>
        <w:rPr>
          <w:rFonts w:eastAsia="楷体"/>
          <w:b/>
          <w:sz w:val="36"/>
          <w:szCs w:val="36"/>
          <w:highlight w:val="none"/>
        </w:rPr>
      </w:pPr>
      <w:r>
        <w:rPr>
          <w:rFonts w:eastAsia="楷体"/>
          <w:b/>
          <w:sz w:val="36"/>
          <w:szCs w:val="36"/>
          <w:highlight w:val="none"/>
        </w:rPr>
        <w:t xml:space="preserve">二〇二</w:t>
      </w:r>
      <w:r>
        <w:rPr>
          <w:rFonts w:hint="eastAsia" w:eastAsia="楷体"/>
          <w:b/>
          <w:sz w:val="36"/>
          <w:szCs w:val="36"/>
          <w:highlight w:val="none"/>
          <w:lang w:val="en-US" w:eastAsia="zh-CN"/>
        </w:rPr>
        <w:t xml:space="preserve">六</w:t>
      </w:r>
      <w:r>
        <w:rPr>
          <w:rFonts w:eastAsia="楷体"/>
          <w:b/>
          <w:sz w:val="36"/>
          <w:szCs w:val="36"/>
          <w:highlight w:val="none"/>
        </w:rPr>
        <w:t xml:space="preserve">年</w:t>
      </w:r>
      <w:r>
        <w:rPr>
          <w:rFonts w:hint="eastAsia" w:eastAsia="楷体"/>
          <w:b/>
          <w:sz w:val="36"/>
          <w:szCs w:val="36"/>
          <w:highlight w:val="none"/>
          <w:lang w:eastAsia="zh-CN"/>
        </w:rPr>
        <w:t xml:space="preserve">七</w:t>
      </w:r>
      <w:r>
        <w:rPr>
          <w:rFonts w:eastAsia="楷体"/>
          <w:b/>
          <w:sz w:val="36"/>
          <w:szCs w:val="36"/>
          <w:highlight w:val="none"/>
        </w:rPr>
        <w:t xml:space="preserve">月</w:t>
      </w:r>
      <w:r/>
    </w:p>
    <w:p>
      <w:pPr>
        <w:pStyle w:val="652"/>
      </w:pPr>
      <w:r/>
      <w:r/>
    </w:p>
    <w:p>
      <w:pPr>
        <w:rPr>
          <w:rFonts w:hint="eastAsia" w:ascii="黑体" w:hAnsi="黑体" w:eastAsia="黑体"/>
          <w:b/>
          <w:color w:val="auto"/>
        </w:rPr>
      </w:pPr>
      <w:r>
        <w:rPr>
          <w:rFonts w:hint="eastAsia" w:ascii="黑体" w:hAnsi="黑体" w:eastAsia="黑体"/>
          <w:b/>
          <w:color w:val="auto"/>
        </w:rPr>
        <w:br w:type="page" w:clear="all"/>
      </w:r>
      <w:r/>
    </w:p>
    <w:p>
      <w:pPr>
        <w:pStyle w:val="667"/>
        <w:ind w:left="0" w:firstLine="0"/>
        <w:jc w:val="center"/>
        <w:spacing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w:t>
      </w:r>
      <w:r>
        <w:rPr>
          <w:rFonts w:ascii="黑体" w:hAnsi="黑体" w:eastAsia="黑体"/>
          <w:b/>
          <w:color w:val="auto"/>
        </w:rPr>
        <w:t xml:space="preserve"> </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color w:val="auto"/>
        </w:rPr>
        <w:t xml:space="preserve">  招标公告</w:t>
      </w:r>
      <w:r/>
    </w:p>
    <w:p>
      <w:pPr>
        <w:spacing w:line="440" w:lineRule="exact"/>
        <w:rPr>
          <w:rFonts w:asci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项目概况</w:t>
      </w:r>
      <w:r/>
    </w:p>
    <w:p>
      <w:pPr>
        <w:ind w:firstLine="560"/>
        <w:spacing w:line="440" w:lineRule="exact"/>
        <w:rPr>
          <w:rFonts w:ascii="宋体"/>
          <w:sz w:val="28"/>
          <w:szCs w:val="28"/>
        </w:rPr>
        <w:pBdr>
          <w:top w:val="single" w:color="auto" w:sz="4" w:space="1"/>
          <w:left w:val="single" w:color="auto" w:sz="4" w:space="4"/>
          <w:bottom w:val="single" w:color="auto" w:sz="4" w:space="1"/>
          <w:right w:val="single" w:color="auto" w:sz="4" w:space="4"/>
        </w:pBdr>
      </w:pPr>
      <w:r/>
      <w:bookmarkStart w:id="10" w:name="_Toc35393621"/>
      <w:r/>
      <w:bookmarkStart w:id="11" w:name="_Toc28359079"/>
      <w:r/>
      <w:bookmarkStart w:id="12" w:name="_Toc28359002"/>
      <w:r/>
      <w:bookmarkStart w:id="13" w:name="_Toc35393790"/>
      <w:r/>
      <w:bookmarkStart w:id="14" w:name="_Hlk24379207"/>
      <w:r>
        <w:rPr>
          <w:rFonts w:hint="eastAsia" w:ascii="宋体" w:hAnsi="宋体"/>
          <w:sz w:val="28"/>
          <w:szCs w:val="28"/>
          <w:u w:val="single"/>
        </w:rPr>
        <w:t xml:space="preserve">泰兴</w:t>
      </w:r>
      <w:r>
        <w:rPr>
          <w:rFonts w:hint="eastAsia" w:ascii="宋体" w:hAnsi="宋体"/>
          <w:sz w:val="28"/>
          <w:szCs w:val="28"/>
          <w:highlight w:val="none"/>
          <w:u w:val="single"/>
        </w:rPr>
        <w:t xml:space="preserve">市202</w:t>
      </w:r>
      <w:r>
        <w:rPr>
          <w:rFonts w:hint="eastAsia" w:ascii="宋体" w:hAnsi="宋体"/>
          <w:sz w:val="28"/>
          <w:szCs w:val="28"/>
          <w:highlight w:val="none"/>
          <w:u w:val="single"/>
          <w:lang w:val="en-US" w:eastAsia="zh-CN"/>
        </w:rPr>
        <w:t xml:space="preserve">6</w:t>
      </w:r>
      <w:r>
        <w:rPr>
          <w:rFonts w:hint="eastAsia" w:ascii="宋体" w:hAnsi="宋体"/>
          <w:sz w:val="28"/>
          <w:szCs w:val="28"/>
          <w:u w:val="single"/>
        </w:rPr>
        <w:t xml:space="preserve">年度</w:t>
      </w:r>
      <w:r>
        <w:rPr>
          <w:rFonts w:hint="eastAsia" w:ascii="宋体" w:hAnsi="宋体"/>
          <w:sz w:val="28"/>
          <w:szCs w:val="28"/>
          <w:u w:val="single"/>
          <w:lang w:eastAsia="zh-CN"/>
        </w:rPr>
        <w:t xml:space="preserve">国土变更调查和林草湿沙调查监测</w:t>
      </w:r>
      <w:r>
        <w:rPr>
          <w:rFonts w:hint="eastAsia" w:ascii="宋体" w:hAnsi="宋体"/>
          <w:sz w:val="28"/>
          <w:szCs w:val="28"/>
          <w:u w:val="single"/>
        </w:rPr>
        <w:t xml:space="preserve">项目JSZC-321283-JZCG-G202</w:t>
      </w:r>
      <w:r>
        <w:rPr>
          <w:rFonts w:hint="eastAsia" w:ascii="宋体" w:hAnsi="宋体"/>
          <w:sz w:val="28"/>
          <w:szCs w:val="28"/>
          <w:u w:val="single"/>
          <w:lang w:val="en-US" w:eastAsia="zh-CN"/>
        </w:rPr>
        <w:t xml:space="preserve">6</w:t>
      </w:r>
      <w:r>
        <w:rPr>
          <w:rFonts w:hint="eastAsia" w:ascii="宋体" w:hAnsi="宋体"/>
          <w:sz w:val="28"/>
          <w:szCs w:val="28"/>
          <w:u w:val="single"/>
        </w:rPr>
        <w:t xml:space="preserve">-00</w:t>
      </w:r>
      <w:r>
        <w:rPr>
          <w:rFonts w:hint="eastAsia" w:ascii="宋体" w:hAnsi="宋体"/>
          <w:sz w:val="28"/>
          <w:szCs w:val="28"/>
          <w:u w:val="single"/>
          <w:lang w:val="en-US" w:eastAsia="zh-CN"/>
        </w:rPr>
        <w:t xml:space="preserve">07</w:t>
      </w:r>
      <w:r>
        <w:rPr>
          <w:rFonts w:hint="eastAsia" w:ascii="宋体" w:hAnsi="宋体"/>
          <w:sz w:val="28"/>
          <w:szCs w:val="28"/>
        </w:rPr>
        <w:t xml:space="preserve">招标项目的潜在投标人应在苏采云获取招标文件，并于</w:t>
      </w: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08</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07 </w:t>
      </w:r>
      <w:r>
        <w:rPr>
          <w:rFonts w:hint="eastAsia" w:ascii="宋体" w:hAnsi="宋体"/>
          <w:sz w:val="28"/>
          <w:szCs w:val="28"/>
          <w:highlight w:val="none"/>
        </w:rPr>
        <w:t xml:space="preserve"> 0</w:t>
      </w:r>
      <w:r>
        <w:rPr>
          <w:rFonts w:hint="eastAsia" w:ascii="宋体" w:hAnsi="宋体"/>
          <w:sz w:val="28"/>
          <w:szCs w:val="28"/>
          <w:highlight w:val="none"/>
          <w:lang w:val="en-US" w:eastAsia="zh-CN"/>
        </w:rPr>
        <w:t xml:space="preserve">9</w:t>
      </w:r>
      <w:r>
        <w:rPr>
          <w:rFonts w:hint="eastAsia" w:ascii="宋体" w:hAnsi="宋体"/>
          <w:sz w:val="28"/>
          <w:szCs w:val="28"/>
          <w:highlight w:val="none"/>
        </w:rPr>
        <w:t xml:space="preserve">:00</w:t>
      </w:r>
      <w:r>
        <w:rPr>
          <w:rFonts w:hint="eastAsia" w:ascii="宋体" w:hAnsi="宋体"/>
          <w:sz w:val="28"/>
          <w:szCs w:val="28"/>
        </w:rPr>
        <w:t xml:space="preserve">（北京时间）前递交投标文件。</w:t>
      </w:r>
      <w:r/>
    </w:p>
    <w:p>
      <w:pPr>
        <w:ind w:firstLine="643"/>
        <w:keepLines w:val="0"/>
        <w:keepNext w:val="0"/>
        <w:pageBreakBefore w:val="0"/>
        <w:spacing w:line="440" w:lineRule="exact"/>
        <w:widowControl w:val="off"/>
        <w:rPr>
          <w:rFonts w:ascii="Arial" w:hAnsi="Arial" w:eastAsia="Arial"/>
          <w:b/>
          <w:sz w:val="32"/>
          <w:szCs w:val="32"/>
        </w:rPr>
      </w:pPr>
      <w:r>
        <w:rPr>
          <w:rFonts w:hint="eastAsia" w:ascii="Arial" w:hAnsi="Arial" w:eastAsia="Arial"/>
          <w:b/>
          <w:sz w:val="32"/>
          <w:szCs w:val="32"/>
        </w:rPr>
        <w:t xml:space="preserve">一、项目基本情况</w:t>
      </w:r>
      <w:bookmarkEnd w:id="10"/>
      <w:r/>
      <w:bookmarkEnd w:id="11"/>
      <w:r/>
      <w:bookmarkEnd w:id="12"/>
      <w:r/>
      <w:bookmarkEnd w:id="13"/>
      <w:r/>
      <w:r/>
    </w:p>
    <w:p>
      <w:pPr>
        <w:ind w:firstLine="560"/>
        <w:keepLines w:val="0"/>
        <w:keepNext w:val="0"/>
        <w:pageBreakBefore w:val="0"/>
        <w:spacing w:line="440" w:lineRule="exact"/>
        <w:widowControl w:val="off"/>
        <w:rPr>
          <w:rFonts w:hint="eastAsia" w:ascii="宋体" w:hAnsi="宋体" w:cs="宋体"/>
          <w:sz w:val="28"/>
          <w:szCs w:val="28"/>
          <w:lang w:val="en-US" w:eastAsia="zh-CN"/>
        </w:rPr>
      </w:pPr>
      <w:r>
        <w:rPr>
          <w:rFonts w:hint="eastAsia" w:ascii="宋体" w:hAnsi="宋体" w:eastAsia="宋体" w:cs="宋体"/>
          <w:sz w:val="28"/>
          <w:szCs w:val="28"/>
        </w:rPr>
        <w:t xml:space="preserve">项目编号：JSZC-321283-JZCG-G202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0</w:t>
      </w:r>
      <w:r>
        <w:rPr>
          <w:rFonts w:hint="eastAsia" w:ascii="宋体" w:hAnsi="宋体" w:cs="宋体"/>
          <w:sz w:val="28"/>
          <w:szCs w:val="28"/>
          <w:lang w:val="en-US" w:eastAsia="zh-CN"/>
        </w:rPr>
        <w:t xml:space="preserve">7</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rPr>
        <w:t xml:space="preserve">项目名称：</w:t>
      </w:r>
      <w:bookmarkEnd w:id="14"/>
      <w:r>
        <w:rPr>
          <w:rFonts w:hint="eastAsia" w:ascii="宋体" w:hAnsi="宋体" w:eastAsia="宋体" w:cs="宋体"/>
          <w:spacing w:val="-6"/>
          <w:sz w:val="28"/>
          <w:szCs w:val="28"/>
          <w:shd w:val="clear" w:color="auto" w:fill="auto"/>
        </w:rPr>
        <w:t xml:space="preserve">泰兴市</w:t>
      </w:r>
      <w:r>
        <w:rPr>
          <w:rFonts w:hint="eastAsia" w:ascii="宋体" w:hAnsi="宋体" w:eastAsia="宋体" w:cs="宋体"/>
          <w:spacing w:val="-6"/>
          <w:sz w:val="28"/>
          <w:szCs w:val="28"/>
          <w:highlight w:val="none"/>
          <w:shd w:val="clear" w:color="auto" w:fill="auto"/>
        </w:rPr>
        <w:t xml:space="preserve">202</w:t>
      </w:r>
      <w:r>
        <w:rPr>
          <w:rFonts w:hint="eastAsia" w:ascii="宋体" w:hAnsi="宋体" w:eastAsia="宋体" w:cs="宋体"/>
          <w:spacing w:val="-6"/>
          <w:sz w:val="28"/>
          <w:szCs w:val="28"/>
          <w:highlight w:val="none"/>
          <w:shd w:val="clear" w:color="auto" w:fill="auto"/>
          <w:lang w:val="en-US" w:eastAsia="zh-CN"/>
        </w:rPr>
        <w:t xml:space="preserve">6</w:t>
      </w:r>
      <w:r>
        <w:rPr>
          <w:rFonts w:hint="eastAsia" w:ascii="宋体" w:hAnsi="宋体" w:eastAsia="宋体" w:cs="宋体"/>
          <w:spacing w:val="-6"/>
          <w:sz w:val="28"/>
          <w:szCs w:val="28"/>
          <w:highlight w:val="none"/>
          <w:shd w:val="clear" w:color="auto" w:fill="auto"/>
        </w:rPr>
        <w:t xml:space="preserve">年度</w:t>
      </w:r>
      <w:r>
        <w:rPr>
          <w:rFonts w:hint="eastAsia" w:ascii="宋体" w:hAnsi="宋体" w:cs="宋体"/>
          <w:spacing w:val="-6"/>
          <w:sz w:val="28"/>
          <w:szCs w:val="28"/>
          <w:highlight w:val="none"/>
          <w:shd w:val="clear" w:color="auto" w:fill="auto"/>
          <w:lang w:eastAsia="zh-CN"/>
        </w:rPr>
        <w:t xml:space="preserve">国土变更调查和林草湿沙调查监测</w:t>
      </w:r>
      <w:r>
        <w:rPr>
          <w:rFonts w:hint="eastAsia" w:ascii="宋体" w:hAnsi="宋体" w:eastAsia="宋体" w:cs="宋体"/>
          <w:spacing w:val="-6"/>
          <w:sz w:val="28"/>
          <w:szCs w:val="28"/>
          <w:highlight w:val="none"/>
          <w:shd w:val="clear" w:color="auto" w:fill="auto"/>
        </w:rPr>
        <w:t xml:space="preserve">项目</w:t>
      </w:r>
      <w:r/>
    </w:p>
    <w:p>
      <w:pPr>
        <w:ind w:firstLine="560"/>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val="en-US" w:eastAsia="zh-CN"/>
        </w:rPr>
        <w:t xml:space="preserve">15</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万元。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最高限价（如有）：1</w:t>
      </w:r>
      <w:r>
        <w:rPr>
          <w:rFonts w:hint="eastAsia" w:ascii="宋体" w:hAnsi="宋体" w:eastAsia="宋体" w:cs="宋体"/>
          <w:sz w:val="28"/>
          <w:szCs w:val="28"/>
          <w:highlight w:val="none"/>
          <w:lang w:val="en-US" w:eastAsia="zh-CN"/>
        </w:rPr>
        <w:t xml:space="preserve">5</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万元</w:t>
      </w:r>
      <w:r>
        <w:rPr>
          <w:rFonts w:hint="eastAsia" w:ascii="宋体" w:hAnsi="宋体" w:eastAsia="宋体" w:cs="宋体"/>
          <w:sz w:val="28"/>
          <w:szCs w:val="28"/>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采购需求：</w:t>
      </w:r>
      <w:r>
        <w:rPr>
          <w:rFonts w:hint="eastAsia" w:ascii="宋体" w:hAnsi="宋体" w:eastAsia="宋体" w:cs="宋体"/>
          <w:sz w:val="28"/>
          <w:szCs w:val="28"/>
          <w:lang w:val="en-US" w:eastAsia="zh-CN"/>
        </w:rPr>
        <w:t xml:space="preserve">具体</w:t>
      </w:r>
      <w:r>
        <w:rPr>
          <w:rFonts w:hint="eastAsia" w:ascii="宋体" w:hAnsi="宋体" w:eastAsia="宋体" w:cs="宋体"/>
          <w:sz w:val="28"/>
          <w:szCs w:val="28"/>
        </w:rPr>
        <w:t xml:space="preserve">详见招标文件第五章采购需求。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sz w:val="28"/>
          <w:szCs w:val="28"/>
        </w:rPr>
        <w:t xml:space="preserve">合同履行期限：</w:t>
      </w:r>
      <w:r>
        <w:rPr>
          <w:rFonts w:hint="eastAsia" w:ascii="宋体" w:hAnsi="宋体" w:cs="宋体"/>
          <w:sz w:val="28"/>
          <w:szCs w:val="28"/>
          <w:lang w:val="en-US" w:eastAsia="zh-CN"/>
        </w:rPr>
        <w:t xml:space="preserve">1年。</w:t>
      </w:r>
      <w:r>
        <w:rPr>
          <w:rFonts w:hint="eastAsia" w:ascii="宋体" w:hAnsi="宋体" w:eastAsia="宋体" w:cs="宋体"/>
          <w:color w:val="auto"/>
          <w:sz w:val="28"/>
          <w:szCs w:val="28"/>
          <w:highlight w:val="none"/>
          <w:lang w:val="en-US" w:eastAsia="zh-CN"/>
        </w:rPr>
        <w:t xml:space="preserve">中标单位须按照自然资源部</w:t>
      </w:r>
      <w:r>
        <w:rPr>
          <w:rFonts w:hint="eastAsia" w:ascii="宋体" w:hAnsi="宋体" w:cs="宋体"/>
          <w:color w:val="auto"/>
          <w:sz w:val="28"/>
          <w:szCs w:val="28"/>
          <w:highlight w:val="none"/>
          <w:lang w:val="en-US" w:eastAsia="zh-CN"/>
        </w:rPr>
        <w:t xml:space="preserve">、国家林草局、</w:t>
      </w:r>
      <w:r>
        <w:rPr>
          <w:rFonts w:hint="eastAsia" w:ascii="宋体" w:hAnsi="宋体" w:eastAsia="宋体" w:cs="宋体"/>
          <w:color w:val="auto"/>
          <w:sz w:val="28"/>
          <w:szCs w:val="28"/>
          <w:highlight w:val="none"/>
          <w:lang w:val="en-US" w:eastAsia="zh-CN"/>
        </w:rPr>
        <w:t xml:space="preserve">省</w:t>
      </w:r>
      <w:r>
        <w:rPr>
          <w:rFonts w:hint="eastAsia" w:ascii="宋体" w:hAnsi="宋体" w:cs="宋体"/>
          <w:color w:val="auto"/>
          <w:sz w:val="28"/>
          <w:szCs w:val="28"/>
          <w:highlight w:val="none"/>
          <w:lang w:val="en-US" w:eastAsia="zh-CN"/>
        </w:rPr>
        <w:t xml:space="preserve">自然资源</w:t>
      </w:r>
      <w:r>
        <w:rPr>
          <w:rFonts w:hint="eastAsia" w:ascii="宋体" w:hAnsi="宋体" w:eastAsia="宋体" w:cs="宋体"/>
          <w:color w:val="auto"/>
          <w:sz w:val="28"/>
          <w:szCs w:val="28"/>
          <w:highlight w:val="none"/>
          <w:lang w:val="en-US" w:eastAsia="zh-CN"/>
        </w:rPr>
        <w:t xml:space="preserve">厅</w:t>
      </w:r>
      <w:r>
        <w:rPr>
          <w:rFonts w:hint="eastAsia" w:ascii="宋体" w:hAnsi="宋体" w:cs="宋体"/>
          <w:color w:val="auto"/>
          <w:sz w:val="28"/>
          <w:szCs w:val="28"/>
          <w:highlight w:val="none"/>
          <w:lang w:val="en-US" w:eastAsia="zh-CN"/>
        </w:rPr>
        <w:t xml:space="preserve">、省林业局</w:t>
      </w:r>
      <w:r>
        <w:rPr>
          <w:rFonts w:hint="eastAsia" w:ascii="宋体" w:hAnsi="宋体" w:eastAsia="宋体" w:cs="宋体"/>
          <w:color w:val="auto"/>
          <w:sz w:val="28"/>
          <w:szCs w:val="28"/>
          <w:highlight w:val="none"/>
          <w:lang w:val="en-US" w:eastAsia="zh-CN"/>
        </w:rPr>
        <w:t xml:space="preserve">要求完成合同签定之日起一年内上级布置的各类一体化调查监测任务</w:t>
      </w:r>
      <w:r>
        <w:rPr>
          <w:rFonts w:hint="eastAsia" w:ascii="宋体" w:hAnsi="宋体" w:eastAsia="宋体" w:cs="宋体"/>
          <w:color w:val="auto"/>
          <w:sz w:val="28"/>
          <w:szCs w:val="28"/>
          <w:highlight w:val="none"/>
          <w:lang w:eastAsia="zh-CN"/>
        </w:rPr>
        <w:t xml:space="preserve">。</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本项目（是/否）接受联合体投标：不接受联合体。</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15" w:name="_Toc35393622"/>
      <w:r/>
      <w:bookmarkStart w:id="16" w:name="_Toc35393791"/>
      <w:r/>
      <w:bookmarkStart w:id="17" w:name="_Toc28359080"/>
      <w:r/>
      <w:bookmarkStart w:id="18" w:name="_Toc28359003"/>
      <w:r>
        <w:rPr>
          <w:rFonts w:hint="eastAsia" w:ascii="宋体" w:hAnsi="宋体" w:eastAsia="宋体" w:cs="宋体"/>
          <w:b/>
          <w:sz w:val="32"/>
          <w:szCs w:val="32"/>
        </w:rPr>
        <w:t xml:space="preserve">二、申请人的资格要求：</w:t>
      </w:r>
      <w:bookmarkEnd w:id="15"/>
      <w:r/>
      <w:bookmarkEnd w:id="16"/>
      <w:r/>
      <w:bookmarkEnd w:id="17"/>
      <w:r/>
      <w:bookmarkEnd w:id="1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（一）满足《中华人民共和国政府采购法》第二十二条规定；</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基本资格条件的承诺（根据供应商提供的承诺函，内容完整且具有法人及法定代表人的印章）。</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19" w:name="_Toc28359004"/>
      <w:r/>
      <w:bookmarkStart w:id="20" w:name="_Toc28359081"/>
      <w:r>
        <w:rPr>
          <w:rFonts w:hint="eastAsia" w:ascii="宋体" w:hAnsi="宋体" w:eastAsia="宋体" w:cs="宋体"/>
          <w:sz w:val="28"/>
          <w:szCs w:val="28"/>
        </w:rPr>
        <w:t xml:space="preserve">（二）落实政府采购政策需满足的资格要求：本项目为专门面向中小企业的项目。</w:t>
      </w:r>
      <w:bookmarkEnd w:id="19"/>
      <w:r/>
      <w:bookmarkEnd w:id="20"/>
      <w:r/>
      <w:r/>
    </w:p>
    <w:p>
      <w:pPr>
        <w:ind w:firstLine="560"/>
        <w:keepLines w:val="0"/>
        <w:keepNext w:val="0"/>
        <w:pageBreakBefore w:val="0"/>
        <w:spacing w:line="440" w:lineRule="exact"/>
        <w:widowControl w:val="off"/>
        <w:rPr>
          <w:rFonts w:hint="eastAsia" w:ascii="宋体" w:hAnsi="宋体" w:cs="宋体" w:eastAsiaTheme="majorEastAsia"/>
          <w:sz w:val="28"/>
          <w:szCs w:val="28"/>
          <w:highlight w:val="none"/>
          <w:lang w:eastAsia="zh-CN"/>
        </w:rPr>
      </w:pPr>
      <w:r/>
      <w:bookmarkStart w:id="21" w:name="_Toc28359085"/>
      <w:r/>
      <w:bookmarkStart w:id="22" w:name="_Toc28359008"/>
      <w:r/>
      <w:bookmarkStart w:id="23" w:name="_Toc35393796"/>
      <w:r/>
      <w:bookmarkStart w:id="24" w:name="_Toc35393627"/>
      <w:r>
        <w:rPr>
          <w:rFonts w:hint="eastAsia" w:ascii="宋体" w:hAnsi="宋体" w:eastAsia="宋体" w:cs="宋体"/>
          <w:sz w:val="28"/>
          <w:szCs w:val="28"/>
        </w:rPr>
        <w:t xml:space="preserve">（三）本项目的特定资格要求：</w:t>
      </w:r>
      <w:r>
        <w:rPr>
          <w:rFonts w:hint="eastAsia" w:asciiTheme="majorEastAsia" w:hAnsiTheme="majorEastAsia" w:eastAsiaTheme="majorEastAsia"/>
          <w:color w:val="auto"/>
          <w:sz w:val="28"/>
          <w:szCs w:val="28"/>
        </w:rPr>
        <w:t xml:space="preserve">投标人须具有</w:t>
      </w:r>
      <w:r>
        <w:rPr>
          <w:rFonts w:hint="eastAsia" w:asciiTheme="majorEastAsia" w:hAnsiTheme="majorEastAsia" w:eastAsiaTheme="majorEastAsia"/>
          <w:color w:val="auto"/>
          <w:sz w:val="28"/>
          <w:szCs w:val="28"/>
          <w:lang w:eastAsia="zh-CN"/>
        </w:rPr>
        <w:t xml:space="preserve">国家</w:t>
      </w:r>
      <w:r>
        <w:rPr>
          <w:rFonts w:hint="eastAsia" w:asciiTheme="majorEastAsia" w:hAnsiTheme="majorEastAsia" w:eastAsiaTheme="majorEastAsia"/>
          <w:color w:val="auto"/>
          <w:sz w:val="28"/>
          <w:szCs w:val="28"/>
        </w:rPr>
        <w:t xml:space="preserve">自然资源主管部门颁发的有效期范围内</w:t>
      </w:r>
      <w:r>
        <w:rPr>
          <w:rFonts w:hint="eastAsia" w:asciiTheme="majorEastAsia" w:hAnsiTheme="majorEastAsia" w:eastAsiaTheme="majorEastAsia"/>
          <w:color w:val="auto"/>
          <w:sz w:val="28"/>
          <w:szCs w:val="28"/>
          <w:lang w:eastAsia="zh-CN"/>
        </w:rPr>
        <w:t xml:space="preserve">乙</w:t>
      </w:r>
      <w:r>
        <w:rPr>
          <w:rFonts w:hint="eastAsia" w:asciiTheme="majorEastAsia" w:hAnsiTheme="majorEastAsia" w:eastAsiaTheme="majorEastAsia"/>
          <w:color w:val="auto"/>
          <w:sz w:val="28"/>
          <w:szCs w:val="28"/>
        </w:rPr>
        <w:t xml:space="preserve">级</w:t>
      </w:r>
      <w:r>
        <w:rPr>
          <w:rFonts w:hint="eastAsia" w:asciiTheme="majorEastAsia" w:hAnsiTheme="majorEastAsia" w:eastAsiaTheme="majorEastAsia"/>
          <w:color w:val="auto"/>
          <w:sz w:val="28"/>
          <w:szCs w:val="28"/>
          <w:lang w:eastAsia="zh-CN"/>
        </w:rPr>
        <w:t xml:space="preserve">及以上</w:t>
      </w:r>
      <w:r>
        <w:rPr>
          <w:rFonts w:hint="eastAsia" w:asciiTheme="majorEastAsia" w:hAnsiTheme="majorEastAsia" w:eastAsiaTheme="majorEastAsia"/>
          <w:color w:val="auto"/>
          <w:sz w:val="28"/>
          <w:szCs w:val="28"/>
        </w:rPr>
        <w:t xml:space="preserve">测绘资质证书</w:t>
      </w:r>
      <w:r>
        <w:rPr>
          <w:rFonts w:hint="eastAsia" w:asciiTheme="majorEastAsia" w:hAnsiTheme="majorEastAsia" w:eastAsiaTheme="majorEastAsia"/>
          <w:color w:val="auto"/>
          <w:sz w:val="28"/>
          <w:szCs w:val="28"/>
          <w:lang w:eastAsia="zh-CN"/>
        </w:rPr>
        <w:t xml:space="preserve">。</w:t>
      </w:r>
      <w:r/>
    </w:p>
    <w:p>
      <w:pPr>
        <w:ind w:firstLine="643"/>
        <w:keepLines w:val="0"/>
        <w:keepNext w:val="0"/>
        <w:pageBreakBefore w:val="0"/>
        <w:spacing w:line="440" w:lineRule="exact"/>
        <w:widowControl w:val="off"/>
        <w:rPr>
          <w:rFonts w:hint="eastAsia" w:ascii="宋体" w:hAnsi="宋体" w:eastAsia="宋体" w:cs="宋体"/>
          <w:b/>
          <w:sz w:val="32"/>
          <w:szCs w:val="32"/>
        </w:rPr>
      </w:pPr>
      <w:r>
        <w:rPr>
          <w:rFonts w:hint="eastAsia" w:ascii="宋体" w:hAnsi="宋体" w:eastAsia="宋体" w:cs="宋体"/>
          <w:b/>
          <w:sz w:val="32"/>
          <w:szCs w:val="32"/>
        </w:rPr>
        <w:t xml:space="preserve">三、获取招标文件</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时间：自招标文件公告发布之日起5个工作日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地点：“苏采云”政府采购一体化平台</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方式：线上获取</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售价：0.00元</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5" w:name="_Toc28359082"/>
      <w:r/>
      <w:bookmarkStart w:id="26" w:name="_Toc28359005"/>
      <w:r/>
      <w:bookmarkStart w:id="27" w:name="_Toc35393793"/>
      <w:r/>
      <w:bookmarkStart w:id="28" w:name="_Toc35393624"/>
      <w:r>
        <w:rPr>
          <w:rFonts w:hint="eastAsia" w:ascii="宋体" w:hAnsi="宋体" w:eastAsia="宋体" w:cs="宋体"/>
          <w:b/>
          <w:sz w:val="32"/>
          <w:szCs w:val="32"/>
        </w:rPr>
        <w:t xml:space="preserve">四、提交投标文件</w:t>
      </w:r>
      <w:bookmarkEnd w:id="25"/>
      <w:r/>
      <w:bookmarkEnd w:id="26"/>
      <w:r>
        <w:rPr>
          <w:rFonts w:hint="eastAsia" w:ascii="宋体" w:hAnsi="宋体" w:eastAsia="宋体" w:cs="宋体"/>
          <w:b/>
          <w:sz w:val="32"/>
          <w:szCs w:val="32"/>
        </w:rPr>
        <w:t xml:space="preserve">截止时间、开标时间和地点</w:t>
      </w:r>
      <w:bookmarkEnd w:id="27"/>
      <w:r/>
      <w:bookmarkEnd w:id="28"/>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highlight w:val="none"/>
        </w:rPr>
        <w:t xml:space="preserve">2026-0</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07</w:t>
      </w:r>
      <w:r>
        <w:rPr>
          <w:rFonts w:hint="eastAsia" w:ascii="宋体" w:hAnsi="宋体" w:eastAsia="宋体" w:cs="宋体"/>
          <w:sz w:val="28"/>
          <w:szCs w:val="28"/>
          <w:highlight w:val="none"/>
        </w:rPr>
        <w:t xml:space="preserve">  0</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:00</w:t>
      </w:r>
      <w:r>
        <w:rPr>
          <w:rFonts w:hint="eastAsia" w:ascii="宋体" w:hAnsi="宋体" w:eastAsia="宋体" w:cs="宋体"/>
          <w:sz w:val="28"/>
          <w:szCs w:val="28"/>
        </w:rPr>
        <w:t xml:space="preserve">（北京时间）</w:t>
      </w:r>
      <w:r/>
    </w:p>
    <w:p>
      <w:pPr>
        <w:ind w:left="561"/>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地点：</w:t>
      </w:r>
      <w:r>
        <w:rPr>
          <w:rFonts w:hint="eastAsia" w:ascii="宋体" w:hAnsi="宋体" w:cs="宋体"/>
          <w:sz w:val="28"/>
          <w:szCs w:val="28"/>
        </w:rPr>
        <w:t xml:space="preserve">“苏采云”政府采购交易系统网上开标大厅。</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29" w:name="_Toc28359007"/>
      <w:r/>
      <w:bookmarkStart w:id="30" w:name="_Toc35393625"/>
      <w:r/>
      <w:bookmarkStart w:id="31" w:name="_Toc35393794"/>
      <w:r/>
      <w:bookmarkStart w:id="32" w:name="_Toc28359084"/>
      <w:r>
        <w:rPr>
          <w:rFonts w:hint="eastAsia" w:ascii="宋体" w:hAnsi="宋体" w:eastAsia="宋体" w:cs="宋体"/>
          <w:b/>
          <w:sz w:val="32"/>
          <w:szCs w:val="32"/>
        </w:rPr>
        <w:t xml:space="preserve">五、公告期限</w:t>
      </w:r>
      <w:bookmarkEnd w:id="29"/>
      <w:r/>
      <w:bookmarkEnd w:id="30"/>
      <w:r/>
      <w:bookmarkEnd w:id="31"/>
      <w:r/>
      <w:bookmarkEnd w:id="32"/>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自本公告发布之日起5个工作日。</w:t>
      </w:r>
      <w:r/>
    </w:p>
    <w:p>
      <w:pPr>
        <w:ind w:firstLine="643"/>
        <w:keepLines w:val="0"/>
        <w:keepNext w:val="0"/>
        <w:pageBreakBefore w:val="0"/>
        <w:spacing w:line="440" w:lineRule="exact"/>
        <w:widowControl w:val="off"/>
        <w:rPr>
          <w:rFonts w:hint="eastAsia" w:ascii="宋体" w:hAnsi="宋体" w:eastAsia="宋体" w:cs="宋体"/>
          <w:b/>
          <w:sz w:val="32"/>
          <w:szCs w:val="32"/>
        </w:rPr>
      </w:pPr>
      <w:r/>
      <w:bookmarkStart w:id="33" w:name="_Toc35393795"/>
      <w:r/>
      <w:bookmarkStart w:id="34" w:name="_Toc35393626"/>
      <w:r>
        <w:rPr>
          <w:rFonts w:hint="eastAsia" w:ascii="宋体" w:hAnsi="宋体" w:eastAsia="宋体" w:cs="宋体"/>
          <w:b/>
          <w:sz w:val="32"/>
          <w:szCs w:val="32"/>
        </w:rPr>
        <w:t xml:space="preserve">六、其他补充事宜</w:t>
      </w:r>
      <w:bookmarkEnd w:id="33"/>
      <w:r/>
      <w:bookmarkEnd w:id="3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1.投标保证金：无。</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w:t>
      </w:r>
      <w:r>
        <w:rPr>
          <w:rFonts w:hint="eastAsia" w:ascii="宋体" w:hAnsi="宋体" w:eastAsia="宋体" w:cs="宋体"/>
          <w:b/>
          <w:color w:val="ff0000"/>
        </w:rPr>
        <w:t xml:space="preserve"> </w:t>
      </w:r>
      <w:r>
        <w:rPr>
          <w:rFonts w:hint="eastAsia" w:ascii="宋体" w:hAnsi="宋体" w:eastAsia="宋体" w:cs="宋体"/>
          <w:b/>
          <w:color w:val="ff0000"/>
          <w:sz w:val="28"/>
          <w:szCs w:val="28"/>
        </w:rPr>
        <w:t xml:space="preserve">注意事项：</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62"/>
        <w:keepLines w:val="0"/>
        <w:keepNext w:val="0"/>
        <w:pageBreakBefore w:val="0"/>
        <w:spacing w:line="440" w:lineRule="exact"/>
        <w:widowControl w:val="off"/>
        <w:rPr>
          <w:rFonts w:hint="eastAsia" w:ascii="宋体" w:hAnsi="宋体" w:eastAsia="宋体" w:cs="宋体"/>
          <w:b/>
          <w:color w:val="ff0000"/>
          <w:sz w:val="28"/>
          <w:szCs w:val="28"/>
        </w:rPr>
      </w:pPr>
      <w:r>
        <w:rPr>
          <w:rFonts w:hint="eastAsia" w:ascii="宋体" w:hAnsi="宋体" w:eastAsia="宋体" w:cs="宋体"/>
          <w:b/>
          <w:color w:val="ff0000"/>
          <w:sz w:val="28"/>
          <w:szCs w:val="28"/>
        </w:rPr>
        <w:t xml:space="preserve">（3）有关本次招标的事项若存在变动或修改，敬请及时关注“江苏政府采购网”发布的更正公告。</w:t>
      </w:r>
      <w:r/>
    </w:p>
    <w:p>
      <w:pPr>
        <w:ind w:firstLine="562"/>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color w:val="ff0000"/>
          <w:sz w:val="28"/>
          <w:szCs w:val="28"/>
        </w:rPr>
        <w:t xml:space="preserve">如潜在投标人未按上述要求操作，将自行承担所产生的风险。</w:t>
      </w:r>
      <w:r/>
    </w:p>
    <w:p>
      <w:pPr>
        <w:ind w:firstLine="643"/>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sz w:val="32"/>
          <w:szCs w:val="32"/>
        </w:rPr>
        <w:t xml:space="preserve">七、对本次招标提出询问，请按以下方式联系。</w:t>
      </w:r>
      <w:bookmarkEnd w:id="21"/>
      <w:r/>
      <w:bookmarkEnd w:id="22"/>
      <w:r/>
      <w:bookmarkEnd w:id="23"/>
      <w:r/>
      <w:bookmarkEnd w:id="24"/>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keepLines w:val="0"/>
        <w:keepNext w:val="0"/>
        <w:pageBreakBefore w:val="0"/>
        <w:spacing w:line="440" w:lineRule="exact"/>
        <w:widowControl w:val="off"/>
        <w:rPr>
          <w:rFonts w:hint="eastAsia" w:ascii="宋体" w:hAnsi="宋体" w:eastAsia="宋体" w:cs="宋体"/>
          <w:sz w:val="28"/>
          <w:szCs w:val="28"/>
        </w:rPr>
      </w:pPr>
      <w:r/>
      <w:bookmarkStart w:id="35" w:name="_Toc28359086"/>
      <w:r/>
      <w:bookmarkStart w:id="36" w:name="_Toc28359009"/>
      <w:r>
        <w:rPr>
          <w:rFonts w:hint="eastAsia" w:ascii="宋体" w:hAnsi="宋体" w:eastAsia="宋体" w:cs="宋体"/>
          <w:sz w:val="28"/>
          <w:szCs w:val="28"/>
        </w:rPr>
        <w:t xml:space="preserve">名 称：泰兴市自然资源和规划局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 泰兴市文昌东路6号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eastAsia="宋体" w:cs="宋体"/>
          <w:sz w:val="28"/>
          <w:szCs w:val="28"/>
          <w:highlight w:val="none"/>
        </w:rPr>
        <w:t xml:space="preserve">：</w:t>
      </w:r>
      <w:bookmarkStart w:id="535" w:name="_GoBack"/>
      <w:r>
        <w:rPr>
          <w:rFonts w:hint="eastAsia" w:ascii="宋体" w:hAnsi="宋体" w:eastAsia="宋体" w:cs="宋体"/>
          <w:color w:val="auto"/>
          <w:sz w:val="28"/>
          <w:szCs w:val="28"/>
          <w:highlight w:val="none"/>
        </w:rPr>
        <w:t xml:space="preserve">0523-</w:t>
      </w:r>
      <w:r>
        <w:rPr>
          <w:rFonts w:hint="eastAsia" w:ascii="宋体" w:hAnsi="宋体" w:eastAsia="宋体" w:cs="宋体"/>
          <w:sz w:val="28"/>
          <w:szCs w:val="28"/>
          <w:lang w:val="en-US" w:eastAsia="zh-CN"/>
        </w:rPr>
        <w:t xml:space="preserve">80721690</w:t>
      </w:r>
      <w:bookmarkEnd w:id="535"/>
      <w:r>
        <w:rPr>
          <w:rFonts w:hint="eastAsia" w:ascii="宋体" w:hAnsi="宋体" w:eastAsia="宋体" w:cs="宋体"/>
          <w:color w:val="auto"/>
          <w:sz w:val="28"/>
          <w:szCs w:val="28"/>
          <w:highlight w:val="none"/>
        </w:rPr>
        <w:t xml:space="preserve"> </w:t>
      </w:r>
      <w:r>
        <w:rPr>
          <w:rFonts w:hint="eastAsia" w:ascii="宋体" w:hAnsi="宋体" w:eastAsia="宋体" w:cs="宋体"/>
          <w:sz w:val="28"/>
          <w:szCs w:val="28"/>
          <w:highlight w:val="none"/>
        </w:rPr>
        <w:t xml:space="preserve">  </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35"/>
      <w:r/>
      <w:bookmarkEnd w:id="36"/>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名 称：泰兴市公共资源交易中心</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地　址：泰兴市文昌东路62号四楼40</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室</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联系方式：</w:t>
      </w:r>
      <w:bookmarkStart w:id="37" w:name="_Toc28359087"/>
      <w:r/>
      <w:bookmarkStart w:id="38" w:name="_Toc28359010"/>
      <w:r>
        <w:rPr>
          <w:rFonts w:hint="eastAsia" w:ascii="宋体" w:hAnsi="宋体" w:eastAsia="宋体" w:cs="宋体"/>
          <w:sz w:val="28"/>
          <w:szCs w:val="28"/>
        </w:rPr>
        <w:t xml:space="preserve"> 0523-87654122             </w:t>
      </w:r>
      <w:bookmarkEnd w:id="37"/>
      <w:r/>
      <w:bookmarkEnd w:id="38"/>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项目联系人：泰兴市自然资源和规划局   </w:t>
      </w:r>
      <w:r>
        <w:rPr>
          <w:rFonts w:hint="eastAsia" w:ascii="宋体" w:hAnsi="宋体" w:cs="宋体"/>
          <w:sz w:val="28"/>
          <w:szCs w:val="28"/>
          <w:lang w:eastAsia="zh-CN"/>
        </w:rPr>
        <w:t xml:space="preserve">姚先生</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w:t>
      </w:r>
      <w:r>
        <w:rPr>
          <w:rFonts w:hint="eastAsia" w:ascii="宋体" w:hAnsi="宋体" w:eastAsia="宋体" w:cs="宋体"/>
          <w:sz w:val="28"/>
          <w:szCs w:val="28"/>
          <w:lang w:val="en-US" w:eastAsia="zh-CN"/>
        </w:rPr>
        <w:t xml:space="preserve">80721690</w:t>
      </w:r>
      <w:r>
        <w:rPr>
          <w:rFonts w:hint="eastAsia" w:ascii="宋体" w:hAnsi="宋体" w:eastAsia="宋体" w:cs="宋体"/>
          <w:sz w:val="28"/>
          <w:szCs w:val="28"/>
        </w:rPr>
        <w:t xml:space="preserve">    </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项目联系人：泰兴市公共资源交易中心   黄女士</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电　话：0523-87654122</w:t>
      </w:r>
      <w:r/>
    </w:p>
    <w:p>
      <w:pPr>
        <w:pStyle w:val="667"/>
        <w:ind w:left="0" w:firstLine="0"/>
        <w:jc w:val="center"/>
        <w:rPr>
          <w:rFonts w:ascii="黑体" w:hAnsi="黑体" w:eastAsia="黑体"/>
          <w:b/>
          <w:bCs/>
          <w:color w:val="auto"/>
          <w:szCs w:val="32"/>
        </w:rPr>
      </w:pPr>
      <w:r/>
      <w:bookmarkStart w:id="39" w:name="_Toc426469869"/>
      <w:r/>
      <w:bookmarkStart w:id="40" w:name="_Toc382813966"/>
      <w:r/>
      <w:bookmarkStart w:id="41" w:name="_Toc16938516"/>
      <w:r/>
      <w:bookmarkStart w:id="42" w:name="_Toc20823272"/>
      <w:r/>
      <w:bookmarkStart w:id="43" w:name="_Toc523127445"/>
      <w:r/>
      <w:bookmarkStart w:id="44" w:name="_Toc513029200"/>
      <w:r/>
      <w:bookmarkStart w:id="45" w:name="_Toc382813885"/>
      <w:r/>
      <w:bookmarkStart w:id="46" w:name="_Toc479757206"/>
      <w:r/>
      <w:bookmarkStart w:id="47" w:name="_Toc382812472"/>
      <w:r>
        <w:rPr>
          <w:szCs w:val="32"/>
        </w:rPr>
        <w:br w:type="page" w:clear="all"/>
      </w:r>
      <w:r>
        <w:rPr>
          <w:rFonts w:hint="eastAsia" w:ascii="黑体" w:hAnsi="黑体" w:eastAsia="黑体"/>
          <w:b/>
          <w:bCs/>
          <w:color w:val="auto"/>
        </w:rPr>
        <w:t xml:space="preserve">第二章</w:t>
      </w:r>
      <w:r>
        <w:rPr>
          <w:rFonts w:ascii="黑体" w:hAnsi="黑体" w:eastAsia="黑体"/>
          <w:b/>
          <w:bCs/>
          <w:color w:val="auto"/>
        </w:rPr>
        <w:t xml:space="preserve"> </w:t>
      </w:r>
      <w:r>
        <w:rPr>
          <w:rFonts w:hint="eastAsia" w:ascii="黑体" w:hAnsi="黑体" w:eastAsia="黑体"/>
          <w:b/>
          <w:bCs/>
          <w:color w:val="auto"/>
        </w:rPr>
        <w:t xml:space="preserve">供应商须知</w:t>
      </w:r>
      <w:bookmarkEnd w:id="39"/>
      <w:r/>
      <w:r/>
    </w:p>
    <w:p>
      <w:pPr>
        <w:rPr>
          <w:sz w:val="28"/>
          <w:szCs w:val="28"/>
        </w:rPr>
      </w:pPr>
      <w:r/>
      <w:bookmarkStart w:id="48" w:name="_Toc426469870"/>
      <w:r>
        <w:rPr>
          <w:rFonts w:hint="eastAsia"/>
          <w:sz w:val="28"/>
          <w:szCs w:val="28"/>
        </w:rPr>
        <w:t xml:space="preserve">供应商须知前附表</w:t>
      </w:r>
      <w:bookmarkEnd w:id="48"/>
      <w:r/>
      <w:r/>
    </w:p>
    <w:tbl>
      <w:tblPr>
        <w:tblStyle w:val="6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w:t>
            </w:r>
            <w:r>
              <w:rPr>
                <w:rFonts w:ascii="宋体" w:hAnsi="宋体"/>
                <w:b/>
                <w:sz w:val="28"/>
                <w:szCs w:val="28"/>
              </w:rPr>
              <w:t xml:space="preserve"> </w:t>
            </w:r>
            <w:r>
              <w:rPr>
                <w:rFonts w:hint="eastAsia" w:ascii="宋体" w:hAnsi="宋体"/>
                <w:b/>
                <w:sz w:val="28"/>
                <w:szCs w:val="28"/>
              </w:rPr>
              <w:t xml:space="preserve">款</w:t>
            </w:r>
            <w:r>
              <w:rPr>
                <w:rFonts w:ascii="宋体" w:hAnsi="宋体"/>
                <w:b/>
                <w:sz w:val="28"/>
                <w:szCs w:val="28"/>
              </w:rPr>
              <w:t xml:space="preserve"> </w:t>
            </w:r>
            <w:r>
              <w:rPr>
                <w:rFonts w:hint="eastAsia" w:ascii="宋体" w:hAnsi="宋体"/>
                <w:b/>
                <w:sz w:val="28"/>
                <w:szCs w:val="28"/>
              </w:rPr>
              <w:t xml:space="preserve">名</w:t>
            </w:r>
            <w:r>
              <w:rPr>
                <w:rFonts w:ascii="宋体" w:hAnsi="宋体"/>
                <w:b/>
                <w:sz w:val="28"/>
                <w:szCs w:val="28"/>
              </w:rPr>
              <w:t xml:space="preserve"> </w:t>
            </w:r>
            <w:r>
              <w:rPr>
                <w:rFonts w:hint="eastAsia" w:ascii="宋体" w:hAnsi="宋体"/>
                <w:b/>
                <w:sz w:val="28"/>
                <w:szCs w:val="28"/>
              </w:rPr>
              <w:t xml:space="preserve">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w:t>
            </w:r>
            <w:r>
              <w:rPr>
                <w:rFonts w:ascii="宋体" w:hAnsi="宋体"/>
                <w:b/>
                <w:sz w:val="28"/>
                <w:szCs w:val="28"/>
              </w:rPr>
              <w:t xml:space="preserve">  </w:t>
            </w:r>
            <w:r>
              <w:rPr>
                <w:rFonts w:hint="eastAsia" w:ascii="宋体" w:hAnsi="宋体"/>
                <w:b/>
                <w:sz w:val="28"/>
                <w:szCs w:val="28"/>
              </w:rPr>
              <w:t xml:space="preserve">列</w:t>
            </w:r>
            <w:r>
              <w:rPr>
                <w:rFonts w:ascii="宋体" w:hAnsi="宋体"/>
                <w:b/>
                <w:sz w:val="28"/>
                <w:szCs w:val="28"/>
              </w:rPr>
              <w:t xml:space="preserve">  </w:t>
            </w:r>
            <w:r>
              <w:rPr>
                <w:rFonts w:hint="eastAsia" w:ascii="宋体" w:hAnsi="宋体"/>
                <w:b/>
                <w:sz w:val="28"/>
                <w:szCs w:val="28"/>
              </w:rPr>
              <w:t xml:space="preserve">内</w:t>
            </w:r>
            <w:r>
              <w:rPr>
                <w:rFonts w:ascii="宋体" w:hAnsi="宋体"/>
                <w:b/>
                <w:sz w:val="28"/>
                <w:szCs w:val="28"/>
              </w:rPr>
              <w:t xml:space="preserve">  </w:t>
            </w:r>
            <w:r>
              <w:rPr>
                <w:rFonts w:hint="eastAsia" w:ascii="宋体" w:hAnsi="宋体"/>
                <w:b/>
                <w:sz w:val="28"/>
                <w:szCs w:val="28"/>
              </w:rPr>
              <w:t xml:space="preserve">容</w:t>
            </w:r>
            <w:r/>
          </w:p>
        </w:tc>
      </w:tr>
      <w:tr>
        <w:trPr>
          <w:jc w:val="center"/>
          <w:trHeight w:val="155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名称：泰兴市自然资源和规划局</w:t>
            </w:r>
            <w:r/>
          </w:p>
          <w:p>
            <w:pPr>
              <w:jc w:val="left"/>
              <w:spacing w:line="360" w:lineRule="exact"/>
              <w:rPr>
                <w:rFonts w:ascii="宋体" w:hAnsi="宋体"/>
                <w:sz w:val="28"/>
                <w:szCs w:val="28"/>
              </w:rPr>
            </w:pPr>
            <w:r>
              <w:rPr>
                <w:rFonts w:hint="eastAsia" w:ascii="宋体" w:hAnsi="宋体"/>
                <w:sz w:val="28"/>
                <w:szCs w:val="28"/>
              </w:rPr>
              <w:t xml:space="preserve">地址：泰兴市文昌东路6号</w:t>
            </w:r>
            <w:r/>
          </w:p>
          <w:p>
            <w:pPr>
              <w:jc w:val="left"/>
              <w:spacing w:line="360" w:lineRule="exact"/>
              <w:rPr>
                <w:rFonts w:hint="default" w:ascii="宋体" w:hAnsi="宋体" w:eastAsia="宋体"/>
                <w:sz w:val="28"/>
                <w:szCs w:val="28"/>
                <w:lang w:val="en-US" w:eastAsia="zh-CN"/>
              </w:rPr>
            </w:pPr>
            <w:r>
              <w:rPr>
                <w:rFonts w:hint="eastAsia" w:ascii="宋体" w:hAnsi="宋体"/>
                <w:sz w:val="28"/>
                <w:szCs w:val="28"/>
              </w:rPr>
              <w:t xml:space="preserve">联系人</w:t>
            </w:r>
            <w:r>
              <w:rPr>
                <w:rFonts w:hint="eastAsia" w:ascii="宋体" w:hAnsi="宋体"/>
                <w:sz w:val="28"/>
                <w:szCs w:val="28"/>
                <w:lang w:eastAsia="zh-CN"/>
              </w:rPr>
              <w:t xml:space="preserve">：</w:t>
            </w:r>
            <w:r>
              <w:rPr>
                <w:rFonts w:hint="eastAsia" w:ascii="宋体" w:hAnsi="宋体"/>
                <w:sz w:val="28"/>
                <w:szCs w:val="28"/>
                <w:lang w:val="en-US" w:eastAsia="zh-CN"/>
              </w:rPr>
              <w:t xml:space="preserve">姚先生</w:t>
            </w:r>
            <w:r/>
          </w:p>
          <w:p>
            <w:pPr>
              <w:jc w:val="left"/>
              <w:spacing w:line="360" w:lineRule="exact"/>
              <w:rPr>
                <w:rFonts w:ascii="宋体" w:hAnsi="宋体"/>
                <w:sz w:val="28"/>
                <w:szCs w:val="28"/>
              </w:rPr>
            </w:pPr>
            <w:r>
              <w:rPr>
                <w:rFonts w:hint="eastAsia" w:ascii="宋体" w:hAnsi="宋体"/>
                <w:sz w:val="28"/>
                <w:szCs w:val="28"/>
              </w:rPr>
              <w:t xml:space="preserve">联系电话</w:t>
            </w:r>
            <w:r>
              <w:rPr>
                <w:rFonts w:hint="eastAsia" w:ascii="宋体" w:hAnsi="宋体" w:eastAsia="宋体" w:cs="宋体"/>
                <w:sz w:val="28"/>
                <w:szCs w:val="28"/>
              </w:rPr>
              <w:t xml:space="preserve">：0523-</w:t>
            </w:r>
            <w:r>
              <w:rPr>
                <w:rFonts w:hint="eastAsia" w:ascii="宋体" w:hAnsi="宋体" w:eastAsia="宋体" w:cs="宋体"/>
                <w:sz w:val="28"/>
                <w:szCs w:val="28"/>
                <w:lang w:val="en-US" w:eastAsia="zh-CN"/>
              </w:rPr>
              <w:t xml:space="preserve">80721690</w:t>
            </w:r>
            <w:r/>
          </w:p>
        </w:tc>
      </w:tr>
      <w:tr>
        <w:trPr>
          <w:jc w:val="center"/>
          <w:trHeight w:val="144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名称：泰兴市公共资源交易中心</w:t>
            </w:r>
            <w:r/>
          </w:p>
          <w:p>
            <w:pPr>
              <w:jc w:val="left"/>
              <w:spacing w:line="360" w:lineRule="exact"/>
              <w:rPr>
                <w:rFonts w:ascii="宋体"/>
                <w:sz w:val="28"/>
                <w:szCs w:val="28"/>
              </w:rPr>
            </w:pPr>
            <w:r>
              <w:rPr>
                <w:rFonts w:hint="eastAsia" w:ascii="宋体" w:hAnsi="宋体"/>
                <w:sz w:val="28"/>
                <w:szCs w:val="28"/>
              </w:rPr>
              <w:t xml:space="preserve">地址：泰兴市文昌东路</w:t>
            </w:r>
            <w:r>
              <w:rPr>
                <w:rFonts w:ascii="宋体" w:hAnsi="宋体"/>
                <w:sz w:val="28"/>
                <w:szCs w:val="28"/>
              </w:rPr>
              <w:t xml:space="preserve">62</w:t>
            </w:r>
            <w:r>
              <w:rPr>
                <w:rFonts w:hint="eastAsia" w:ascii="宋体" w:hAnsi="宋体"/>
                <w:sz w:val="28"/>
                <w:szCs w:val="28"/>
              </w:rPr>
              <w:t xml:space="preserve">号四楼</w:t>
            </w:r>
            <w:r>
              <w:rPr>
                <w:rFonts w:ascii="宋体" w:hAnsi="宋体"/>
                <w:sz w:val="28"/>
                <w:szCs w:val="28"/>
              </w:rPr>
              <w:t xml:space="preserve">40</w:t>
            </w:r>
            <w:r>
              <w:rPr>
                <w:rFonts w:hint="eastAsia" w:ascii="宋体" w:hAnsi="宋体"/>
                <w:sz w:val="28"/>
                <w:szCs w:val="28"/>
                <w:lang w:val="en-US" w:eastAsia="zh-CN"/>
              </w:rPr>
              <w:t xml:space="preserve">2</w:t>
            </w:r>
            <w:r>
              <w:rPr>
                <w:rFonts w:hint="eastAsia" w:ascii="宋体" w:hAnsi="宋体"/>
                <w:sz w:val="28"/>
                <w:szCs w:val="28"/>
              </w:rPr>
              <w:t xml:space="preserve">室</w:t>
            </w:r>
            <w:r/>
          </w:p>
          <w:p>
            <w:pPr>
              <w:jc w:val="left"/>
              <w:spacing w:line="360" w:lineRule="exact"/>
              <w:rPr>
                <w:rFonts w:ascii="宋体"/>
                <w:sz w:val="28"/>
                <w:szCs w:val="28"/>
              </w:rPr>
            </w:pPr>
            <w:r>
              <w:rPr>
                <w:rFonts w:hint="eastAsia" w:ascii="宋体" w:hAnsi="宋体"/>
                <w:sz w:val="28"/>
                <w:szCs w:val="28"/>
              </w:rPr>
              <w:t xml:space="preserve">联系人：黄女士</w:t>
            </w:r>
            <w:r/>
          </w:p>
          <w:p>
            <w:pPr>
              <w:jc w:val="left"/>
              <w:spacing w:line="360" w:lineRule="exact"/>
              <w:rPr>
                <w:rFonts w:ascii="宋体" w:hAnsi="宋体"/>
                <w:sz w:val="28"/>
                <w:szCs w:val="28"/>
              </w:rPr>
            </w:pPr>
            <w:r>
              <w:rPr>
                <w:rFonts w:hint="eastAsia" w:ascii="宋体" w:hAnsi="宋体"/>
                <w:sz w:val="28"/>
                <w:szCs w:val="28"/>
              </w:rPr>
              <w:t xml:space="preserve">联系电话：</w:t>
            </w:r>
            <w:r>
              <w:rPr>
                <w:rFonts w:ascii="宋体" w:hAnsi="宋体"/>
                <w:sz w:val="28"/>
                <w:szCs w:val="28"/>
              </w:rPr>
              <w:t xml:space="preserve">0523-87654122</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项目名称及项目编号</w:t>
            </w:r>
            <w:r/>
          </w:p>
        </w:tc>
        <w:tc>
          <w:tcPr>
            <w:tcW w:w="5987" w:type="dxa"/>
            <w:vAlign w:val="center"/>
            <w:textDirection w:val="lrTb"/>
            <w:noWrap w:val="false"/>
          </w:tcPr>
          <w:p>
            <w:pPr>
              <w:keepLines w:val="0"/>
              <w:keepNext w:val="0"/>
              <w:pageBreakBefore w:val="0"/>
              <w:spacing w:line="440" w:lineRule="exact"/>
              <w:widowControl w:val="off"/>
              <w:rPr>
                <w:rFonts w:hint="eastAsia" w:ascii="宋体" w:hAnsi="宋体" w:eastAsia="宋体" w:cs="宋体"/>
                <w:bCs/>
                <w:sz w:val="32"/>
                <w:szCs w:val="32"/>
                <w:highlight w:val="none"/>
              </w:rPr>
            </w:pPr>
            <w:r>
              <w:rPr>
                <w:rFonts w:hint="eastAsia" w:ascii="宋体" w:hAnsi="宋体"/>
                <w:sz w:val="28"/>
                <w:szCs w:val="28"/>
              </w:rPr>
              <w:t xml:space="preserve">项目名称：</w:t>
            </w:r>
            <w:r>
              <w:rPr>
                <w:rFonts w:hint="eastAsia" w:ascii="宋体" w:hAnsi="宋体" w:eastAsia="宋体" w:cs="宋体"/>
                <w:sz w:val="28"/>
                <w:szCs w:val="28"/>
              </w:rPr>
              <w:t xml:space="preserve">泰兴市</w:t>
            </w:r>
            <w:r>
              <w:rPr>
                <w:rFonts w:hint="eastAsia" w:ascii="宋体" w:hAnsi="宋体" w:eastAsia="宋体" w:cs="宋体"/>
                <w:sz w:val="28"/>
                <w:szCs w:val="28"/>
                <w:highlight w:val="none"/>
              </w:rPr>
              <w:t xml:space="preserve">202</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年度</w:t>
            </w:r>
            <w:r>
              <w:rPr>
                <w:rFonts w:hint="eastAsia" w:ascii="宋体" w:hAnsi="宋体" w:cs="宋体"/>
                <w:sz w:val="28"/>
                <w:szCs w:val="28"/>
                <w:highlight w:val="none"/>
                <w:lang w:eastAsia="zh-CN"/>
              </w:rPr>
              <w:t xml:space="preserve">国土变更调查和林草湿沙调查监测</w:t>
            </w:r>
            <w:r>
              <w:rPr>
                <w:rFonts w:hint="eastAsia" w:ascii="宋体" w:hAnsi="宋体" w:eastAsia="宋体" w:cs="宋体"/>
                <w:sz w:val="28"/>
                <w:szCs w:val="28"/>
                <w:highlight w:val="none"/>
              </w:rPr>
              <w:t xml:space="preserve">项目</w:t>
            </w:r>
            <w:r/>
          </w:p>
          <w:p>
            <w:pPr>
              <w:jc w:val="left"/>
              <w:spacing w:line="360" w:lineRule="exact"/>
              <w:rPr>
                <w:rFonts w:hint="default" w:ascii="宋体" w:eastAsia="宋体"/>
                <w:sz w:val="28"/>
                <w:szCs w:val="28"/>
                <w:lang w:val="en-US" w:eastAsia="zh-CN"/>
              </w:rPr>
            </w:pPr>
            <w:r>
              <w:rPr>
                <w:rFonts w:hint="eastAsia" w:ascii="宋体" w:hAnsi="宋体"/>
                <w:sz w:val="28"/>
                <w:szCs w:val="28"/>
              </w:rPr>
              <w:t xml:space="preserve">项目编号：JSZC-321283-JZCG-G202</w:t>
            </w:r>
            <w:r>
              <w:rPr>
                <w:rFonts w:hint="eastAsia" w:ascii="宋体" w:hAnsi="宋体"/>
                <w:sz w:val="28"/>
                <w:szCs w:val="28"/>
                <w:lang w:val="en-US" w:eastAsia="zh-CN"/>
              </w:rPr>
              <w:t xml:space="preserve">6</w:t>
            </w:r>
            <w:r>
              <w:rPr>
                <w:rFonts w:hint="eastAsia" w:ascii="宋体" w:hAnsi="宋体"/>
                <w:sz w:val="28"/>
                <w:szCs w:val="28"/>
              </w:rPr>
              <w:t xml:space="preserve">-00</w:t>
            </w:r>
            <w:r>
              <w:rPr>
                <w:rFonts w:hint="eastAsia" w:ascii="宋体" w:hAnsi="宋体"/>
                <w:sz w:val="28"/>
                <w:szCs w:val="28"/>
                <w:lang w:val="en-US" w:eastAsia="zh-CN"/>
              </w:rPr>
              <w:t xml:space="preserve">07</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hint="default" w:ascii="宋体"/>
                <w:sz w:val="28"/>
                <w:szCs w:val="28"/>
                <w:lang w:val="en-US"/>
              </w:rPr>
            </w:pPr>
            <w:r>
              <w:rPr>
                <w:rFonts w:hint="eastAsia" w:ascii="宋体" w:hAnsi="宋体" w:eastAsia="宋体"/>
                <w:color w:val="auto"/>
                <w:sz w:val="28"/>
                <w:szCs w:val="28"/>
                <w:lang w:val="en-US" w:eastAsia="zh-CN"/>
              </w:rPr>
              <w:t xml:space="preserve">2026年度国土变更调查和林草湿调查监测成果通过国家级检查合格后，支付合同价款50%。项目验收合格后，支付剩余合同价款。</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见第五章采购需求</w:t>
            </w:r>
            <w:r/>
          </w:p>
        </w:tc>
      </w:tr>
      <w:tr>
        <w:trPr>
          <w:jc w:val="center"/>
          <w:trHeight w:val="4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合同履行期限</w:t>
            </w:r>
            <w:r/>
          </w:p>
        </w:tc>
        <w:tc>
          <w:tcPr>
            <w:tcW w:w="5987" w:type="dxa"/>
            <w:vAlign w:val="center"/>
            <w:textDirection w:val="lrTb"/>
            <w:noWrap w:val="false"/>
          </w:tcPr>
          <w:p>
            <w:pPr>
              <w:spacing w:line="360" w:lineRule="exact"/>
              <w:rPr>
                <w:rFonts w:hint="eastAsia" w:ascii="宋体" w:hAnsi="宋体" w:eastAsia="宋体" w:cs="宋体"/>
                <w:sz w:val="28"/>
                <w:szCs w:val="28"/>
                <w:highlight w:val="none"/>
              </w:rPr>
            </w:pPr>
            <w:r>
              <w:rPr>
                <w:rFonts w:hint="eastAsia" w:ascii="宋体" w:hAnsi="宋体" w:eastAsia="宋体"/>
                <w:sz w:val="28"/>
                <w:szCs w:val="28"/>
                <w:lang w:val="en-US" w:eastAsia="zh-CN"/>
              </w:rPr>
              <w:t xml:space="preserve">1年</w:t>
            </w:r>
            <w:r>
              <w:rPr>
                <w:rFonts w:hint="eastAsia" w:ascii="宋体" w:hAnsi="宋体" w:eastAsia="宋体"/>
                <w:sz w:val="28"/>
                <w:szCs w:val="28"/>
              </w:rPr>
              <w:t xml:space="preserve">。</w:t>
            </w:r>
            <w:r>
              <w:rPr>
                <w:rFonts w:hint="eastAsia" w:ascii="宋体" w:hAnsi="宋体" w:eastAsia="宋体"/>
                <w:sz w:val="28"/>
                <w:szCs w:val="28"/>
                <w:lang w:val="en-US" w:eastAsia="zh-CN"/>
              </w:rPr>
              <w:t xml:space="preserve">中标单位须按照自然资源部、国家林草局、省自然资源厅、省林业局要求完成合同签定之日起一年内上级布置的各类一体化调查监测任务</w:t>
            </w:r>
            <w:r>
              <w:rPr>
                <w:rFonts w:hint="eastAsia" w:ascii="宋体" w:hAnsi="宋体" w:eastAsia="宋体"/>
                <w:sz w:val="28"/>
                <w:szCs w:val="28"/>
                <w:lang w:eastAsia="zh-CN"/>
              </w:rPr>
              <w:t xml:space="preserve">。</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要求供应商具备的特定条件</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见招标公告“申请人的资格要求”</w:t>
            </w:r>
            <w:r/>
          </w:p>
        </w:tc>
      </w:tr>
      <w:tr>
        <w:trPr>
          <w:jc w:val="center"/>
          <w:trHeight w:val="536"/>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highlight w:val="yellow"/>
              </w:rPr>
            </w:pPr>
            <w:r>
              <w:rPr>
                <w:rFonts w:hint="eastAsia" w:ascii="宋体" w:hAnsi="宋体"/>
                <w:sz w:val="28"/>
                <w:szCs w:val="28"/>
              </w:rPr>
              <w:t xml:space="preserve">偏离</w:t>
            </w:r>
            <w:r/>
          </w:p>
        </w:tc>
        <w:tc>
          <w:tcPr>
            <w:tcW w:w="5987" w:type="dxa"/>
            <w:vAlign w:val="center"/>
            <w:textDirection w:val="lrTb"/>
            <w:noWrap w:val="false"/>
          </w:tcPr>
          <w:p>
            <w:pPr>
              <w:pStyle w:val="651"/>
              <w:spacing w:line="320" w:lineRule="exact"/>
              <w:rPr>
                <w:rFonts w:ascii="宋体"/>
                <w:sz w:val="28"/>
                <w:szCs w:val="28"/>
                <w:highlight w:val="yellow"/>
              </w:rPr>
            </w:pPr>
            <w:r/>
            <w:bookmarkStart w:id="49" w:name="FBfe800446baa24252acf6b14953dc4897"/>
            <w:r/>
            <w:bookmarkEnd w:id="49"/>
            <w:r/>
            <w:bookmarkStart w:id="50" w:name="FEfe800446baa24252acf6b14953dc4897"/>
            <w:r/>
            <w:bookmarkEnd w:id="50"/>
            <w:r>
              <w:rPr>
                <w:rFonts w:hint="eastAsia" w:ascii="宋体"/>
                <w:sz w:val="28"/>
                <w:szCs w:val="28"/>
              </w:rPr>
              <w:t xml:space="preserve">第五章采购需求不允许负偏离</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highlight w:val="yellow"/>
              </w:rPr>
            </w:pPr>
            <w:r/>
            <w:bookmarkStart w:id="51" w:name="EB35ced2e8f8364f63a510bf246ff979f0"/>
            <w:r/>
            <w:bookmarkEnd w:id="51"/>
            <w:r>
              <w:rPr>
                <w:rFonts w:hint="eastAsia" w:ascii="宋体" w:hAnsi="宋体"/>
                <w:sz w:val="28"/>
                <w:szCs w:val="28"/>
              </w:rPr>
              <w:t xml:space="preserve">无</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供应商要求澄清招标文件的截止时间</w:t>
            </w:r>
            <w:r/>
          </w:p>
        </w:tc>
        <w:tc>
          <w:tcPr>
            <w:tcW w:w="5987" w:type="dxa"/>
            <w:vAlign w:val="center"/>
            <w:textDirection w:val="lrTb"/>
            <w:noWrap w:val="false"/>
          </w:tcPr>
          <w:p>
            <w:pPr>
              <w:spacing w:line="440" w:lineRule="exact"/>
              <w:rPr>
                <w:rFonts w:ascii="宋体"/>
                <w:sz w:val="28"/>
                <w:szCs w:val="28"/>
              </w:rPr>
            </w:pPr>
            <w:r>
              <w:rPr>
                <w:rFonts w:hint="eastAsia" w:ascii="宋体" w:hAnsi="宋体"/>
                <w:sz w:val="28"/>
                <w:highlight w:val="none"/>
              </w:rPr>
              <w:t xml:space="preserve">202</w:t>
            </w:r>
            <w:r>
              <w:rPr>
                <w:rFonts w:hint="eastAsia" w:ascii="宋体" w:hAnsi="宋体"/>
                <w:sz w:val="28"/>
                <w:highlight w:val="none"/>
                <w:lang w:val="en-US" w:eastAsia="zh-CN"/>
              </w:rPr>
              <w:t xml:space="preserve">6</w:t>
            </w:r>
            <w:r>
              <w:rPr>
                <w:rFonts w:hint="eastAsia" w:ascii="宋体" w:hAnsi="宋体"/>
                <w:sz w:val="28"/>
                <w:highlight w:val="none"/>
              </w:rPr>
              <w:t xml:space="preserve">年</w:t>
            </w:r>
            <w:r>
              <w:rPr>
                <w:rFonts w:hint="eastAsia" w:ascii="宋体" w:hAnsi="宋体"/>
                <w:sz w:val="28"/>
                <w:highlight w:val="none"/>
                <w:lang w:val="en-US" w:eastAsia="zh-CN"/>
              </w:rPr>
              <w:t xml:space="preserve">07</w:t>
            </w:r>
            <w:r>
              <w:rPr>
                <w:rFonts w:hint="eastAsia" w:ascii="宋体" w:hAnsi="宋体"/>
                <w:sz w:val="28"/>
                <w:highlight w:val="none"/>
              </w:rPr>
              <w:t xml:space="preserve">月</w:t>
            </w:r>
            <w:r>
              <w:rPr>
                <w:rFonts w:hint="eastAsia" w:ascii="宋体" w:hAnsi="宋体"/>
                <w:sz w:val="28"/>
                <w:highlight w:val="none"/>
                <w:lang w:val="en-US" w:eastAsia="zh-CN"/>
              </w:rPr>
              <w:t xml:space="preserve">27</w:t>
            </w:r>
            <w:r>
              <w:rPr>
                <w:rFonts w:hint="eastAsia" w:ascii="宋体" w:hAnsi="宋体"/>
                <w:sz w:val="28"/>
                <w:highlight w:val="none"/>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（3）中小企业声明函（若有）；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1.投标函、供应商基本资格条件承诺函中须加盖供应商法人章并经法定代表人签字或签章。</w:t>
            </w:r>
            <w:r/>
          </w:p>
          <w:p>
            <w:pPr>
              <w:jc w:val="left"/>
              <w:spacing w:line="360" w:lineRule="exact"/>
              <w:rPr>
                <w:rFonts w:ascii="宋体" w:hAnsi="宋体" w:cs="宋体"/>
                <w:sz w:val="28"/>
              </w:rPr>
            </w:pPr>
            <w:r>
              <w:rPr>
                <w:rFonts w:hint="eastAsia" w:ascii="宋体" w:hAnsi="宋体"/>
                <w:sz w:val="28"/>
                <w:szCs w:val="28"/>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52" w:name="EB72e20e40757d438698d0d924b6237fcc"/>
            <w:r/>
            <w:bookmarkEnd w:id="52"/>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w:t>
            </w:r>
            <w:r>
              <w:rPr>
                <w:rFonts w:hint="eastAsia" w:ascii="Arial" w:hAnsi="Arial" w:eastAsia="Arial"/>
                <w:sz w:val="28"/>
                <w:szCs w:val="28"/>
              </w:rPr>
              <w:t xml:space="preserve">“苏采云”系统“开标大厅”</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供应商参与开标要求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开标活动将在招标公告中规定的时间和地点进行。供应商应当按照</w:t>
            </w:r>
            <w:r>
              <w:rPr>
                <w:rFonts w:hint="eastAsia" w:ascii="宋体" w:hAnsi="宋体"/>
                <w:b/>
                <w:color w:val="ff0000"/>
                <w:sz w:val="28"/>
                <w:szCs w:val="28"/>
              </w:rPr>
              <w:t xml:space="preserve">《江苏省政府采购管理交易系统（苏采云）供应商操作手册》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423"/>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中标公告媒介</w:t>
            </w:r>
            <w:r/>
          </w:p>
        </w:tc>
        <w:tc>
          <w:tcPr>
            <w:tcW w:w="5987"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江苏政府采购网（</w:t>
            </w:r>
            <w:r>
              <w:rPr>
                <w:rFonts w:ascii="宋体" w:hAnsi="宋体"/>
                <w:sz w:val="28"/>
                <w:szCs w:val="28"/>
              </w:rPr>
              <w:t xml:space="preserve">www.ccgp-jiangsu.gov.cn</w:t>
            </w:r>
            <w:r>
              <w:rPr>
                <w:rFonts w:hint="eastAsia" w:ascii="宋体" w:hAnsi="宋体"/>
                <w:sz w:val="28"/>
                <w:szCs w:val="28"/>
              </w:rPr>
              <w:t xml:space="preserve">）</w:t>
            </w:r>
            <w:r/>
          </w:p>
        </w:tc>
      </w:tr>
      <w:tr>
        <w:trPr>
          <w:jc w:val="center"/>
          <w:trHeight w:val="427"/>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40" w:lineRule="exact"/>
              <w:rPr>
                <w:rFonts w:ascii="宋体" w:hAnsi="宋体"/>
                <w:sz w:val="28"/>
                <w:szCs w:val="28"/>
              </w:rPr>
            </w:pPr>
            <w:r>
              <w:rPr>
                <w:rFonts w:hint="eastAsia" w:ascii="宋体" w:hAnsi="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自中标通知书发出之日起</w:t>
            </w:r>
            <w:r>
              <w:rPr>
                <w:rFonts w:ascii="宋体" w:hAnsi="宋体"/>
                <w:sz w:val="28"/>
                <w:szCs w:val="28"/>
                <w:u w:val="single"/>
              </w:rPr>
              <w:t xml:space="preserve"> </w:t>
            </w:r>
            <w:r>
              <w:rPr>
                <w:rFonts w:hint="eastAsia" w:ascii="宋体" w:hAnsi="宋体"/>
                <w:sz w:val="28"/>
                <w:szCs w:val="28"/>
                <w:u w:val="single"/>
              </w:rPr>
              <w:t xml:space="preserve">15</w:t>
            </w:r>
            <w:r>
              <w:rPr>
                <w:rFonts w:ascii="宋体" w:hAnsi="宋体"/>
                <w:sz w:val="28"/>
                <w:szCs w:val="28"/>
                <w:u w:val="single"/>
              </w:rPr>
              <w:t xml:space="preserve"> </w:t>
            </w:r>
            <w:r>
              <w:rPr>
                <w:rFonts w:hint="eastAsia" w:ascii="宋体" w:hAnsi="宋体"/>
                <w:sz w:val="28"/>
                <w:szCs w:val="28"/>
              </w:rPr>
              <w:t xml:space="preserve">天内</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416"/>
        </w:trPr>
        <w:tc>
          <w:tcPr>
            <w:tcW w:w="1089" w:type="dxa"/>
            <w:vAlign w:val="center"/>
            <w:textDirection w:val="lrTb"/>
            <w:noWrap w:val="false"/>
          </w:tcPr>
          <w:p>
            <w:pPr>
              <w:jc w:val="center"/>
              <w:spacing w:line="360" w:lineRule="exact"/>
              <w:rPr>
                <w:rFonts w:ascii="宋体" w:hAnsi="宋体"/>
                <w:b/>
                <w:color w:val="000000"/>
                <w:sz w:val="28"/>
                <w:szCs w:val="28"/>
              </w:rPr>
            </w:pPr>
            <w:r>
              <w:rPr>
                <w:rFonts w:hint="eastAsia" w:ascii="宋体" w:hAnsi="宋体"/>
                <w:b/>
                <w:color w:val="000000"/>
                <w:sz w:val="28"/>
                <w:szCs w:val="28"/>
              </w:rPr>
              <w:t xml:space="preserve">9.4</w:t>
            </w:r>
            <w:r/>
          </w:p>
        </w:tc>
        <w:tc>
          <w:tcPr>
            <w:tcW w:w="2521" w:type="dxa"/>
            <w:vAlign w:val="center"/>
            <w:textDirection w:val="lrTb"/>
            <w:noWrap w:val="false"/>
          </w:tcPr>
          <w:p>
            <w:pPr>
              <w:jc w:val="center"/>
              <w:spacing w:line="360" w:lineRule="exact"/>
              <w:rPr>
                <w:rFonts w:ascii="宋体" w:hAnsi="宋体"/>
                <w:color w:val="000000"/>
                <w:sz w:val="28"/>
                <w:szCs w:val="28"/>
              </w:rPr>
            </w:pPr>
            <w:r>
              <w:rPr>
                <w:rFonts w:hint="eastAsia" w:ascii="宋体" w:hAnsi="宋体"/>
                <w:color w:val="000000"/>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供应商应仔细阅读和充分理解招标文件的采购需求和合同主要条款，根据自身实际情况并综合考虑合同履行过程中的各类风险</w:t>
            </w:r>
            <w:r>
              <w:rPr>
                <w:rFonts w:hint="eastAsia" w:ascii="宋体" w:hAnsi="宋体"/>
                <w:color w:val="000000"/>
                <w:sz w:val="28"/>
                <w:szCs w:val="28"/>
              </w:rPr>
              <w:t xml:space="preserve">，</w:t>
            </w:r>
            <w:r>
              <w:rPr>
                <w:rFonts w:ascii="宋体" w:hAnsi="宋体"/>
                <w:color w:val="000000"/>
                <w:sz w:val="28"/>
                <w:szCs w:val="28"/>
              </w:rPr>
              <w:t xml:space="preserve">理性报价。</w:t>
            </w:r>
            <w:r/>
          </w:p>
          <w:p>
            <w:pPr>
              <w:jc w:val="left"/>
              <w:spacing w:line="36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中标价格即为合同价格</w:t>
            </w:r>
            <w:r>
              <w:rPr>
                <w:rFonts w:hint="eastAsia" w:ascii="宋体" w:hAnsi="宋体"/>
                <w:color w:val="000000"/>
                <w:sz w:val="28"/>
                <w:szCs w:val="28"/>
              </w:rPr>
              <w:t xml:space="preserve">，</w:t>
            </w:r>
            <w:r>
              <w:rPr>
                <w:rFonts w:ascii="宋体" w:hAnsi="宋体"/>
                <w:color w:val="000000"/>
                <w:sz w:val="28"/>
                <w:szCs w:val="28"/>
              </w:rPr>
              <w:t xml:space="preserve">在合同期内不予调增</w:t>
            </w:r>
            <w:r>
              <w:rPr>
                <w:rFonts w:hint="eastAsia" w:ascii="宋体" w:hAnsi="宋体"/>
                <w:color w:val="000000"/>
                <w:sz w:val="28"/>
                <w:szCs w:val="28"/>
              </w:rPr>
              <w:t xml:space="preserve">。</w:t>
            </w:r>
            <w:r/>
          </w:p>
          <w:p>
            <w:pPr>
              <w:jc w:val="left"/>
              <w:spacing w:line="360" w:lineRule="exact"/>
              <w:rPr>
                <w:rFonts w:ascii="Arial" w:hAnsi="Arial" w:eastAsia="Arial"/>
                <w:b/>
                <w:color w:val="ff0000"/>
              </w:rPr>
            </w:pPr>
            <w:r>
              <w:rPr>
                <w:rFonts w:hint="eastAsia" w:ascii="宋体" w:hAnsi="宋体"/>
                <w:color w:val="000000"/>
                <w:sz w:val="28"/>
                <w:szCs w:val="28"/>
              </w:rPr>
              <w:t xml:space="preserve">3.异常的低价可能会导致投标无效。</w:t>
            </w:r>
            <w:r/>
          </w:p>
        </w:tc>
      </w:tr>
    </w:tbl>
    <w:p>
      <w:pPr>
        <w:spacing w:line="490" w:lineRule="exact"/>
        <w:rPr>
          <w:rFonts w:ascii="黑体" w:hAnsi="黑体" w:eastAsia="黑体"/>
          <w:sz w:val="32"/>
          <w:szCs w:val="32"/>
        </w:rPr>
      </w:pPr>
      <w:r/>
      <w:bookmarkStart w:id="53" w:name="_Toc426469871"/>
      <w:r/>
      <w:bookmarkStart w:id="54" w:name="_Toc367784995"/>
      <w:r>
        <w:rPr>
          <w:rFonts w:ascii="黑体" w:hAnsi="黑体" w:eastAsia="黑体"/>
          <w:sz w:val="32"/>
          <w:szCs w:val="32"/>
        </w:rPr>
        <w:t xml:space="preserve">1.</w:t>
      </w:r>
      <w:r>
        <w:rPr>
          <w:rFonts w:hint="eastAsia" w:ascii="黑体" w:hAnsi="黑体" w:eastAsia="黑体"/>
          <w:sz w:val="32"/>
          <w:szCs w:val="32"/>
        </w:rPr>
        <w:t xml:space="preserve">总则</w:t>
      </w:r>
      <w:bookmarkEnd w:id="53"/>
      <w:r/>
      <w:bookmarkEnd w:id="54"/>
      <w:r/>
      <w:r/>
    </w:p>
    <w:p>
      <w:pPr>
        <w:spacing w:line="490" w:lineRule="exact"/>
        <w:rPr>
          <w:rFonts w:ascii="楷体" w:hAnsi="楷体" w:eastAsia="楷体"/>
          <w:b/>
          <w:sz w:val="28"/>
          <w:szCs w:val="28"/>
        </w:rPr>
      </w:pPr>
      <w:r/>
      <w:bookmarkStart w:id="55" w:name="_Toc383438593"/>
      <w:r/>
      <w:bookmarkStart w:id="56" w:name="_Toc246996919"/>
      <w:r/>
      <w:bookmarkStart w:id="57" w:name="_Toc247085690"/>
      <w:r/>
      <w:bookmarkStart w:id="58" w:name="_Toc426469872"/>
      <w:r/>
      <w:bookmarkStart w:id="59" w:name="_Toc179632547"/>
      <w:r/>
      <w:bookmarkStart w:id="60" w:name="_Toc152042306"/>
      <w:r/>
      <w:bookmarkStart w:id="61" w:name="_Toc246996176"/>
      <w:r/>
      <w:bookmarkStart w:id="62" w:name="_Toc152045530"/>
      <w:r/>
      <w:bookmarkStart w:id="63" w:name="_Toc343525506"/>
      <w:r/>
      <w:bookmarkStart w:id="64" w:name="_Toc144974498"/>
      <w:r/>
      <w:bookmarkStart w:id="65"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55"/>
      <w:r/>
      <w:bookmarkEnd w:id="56"/>
      <w:r/>
      <w:bookmarkEnd w:id="57"/>
      <w:r/>
      <w:bookmarkEnd w:id="58"/>
      <w:r/>
      <w:bookmarkEnd w:id="59"/>
      <w:r/>
      <w:bookmarkEnd w:id="60"/>
      <w:r/>
      <w:bookmarkEnd w:id="61"/>
      <w:r/>
      <w:bookmarkEnd w:id="62"/>
      <w:r/>
      <w:bookmarkEnd w:id="63"/>
      <w:r/>
      <w:bookmarkEnd w:id="64"/>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招标人：见供应商须知前附表。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采购代理机构：见供应商须知前附表。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项目名称及项目编号：见供应商须知前附表。</w:t>
      </w:r>
      <w:r/>
    </w:p>
    <w:p>
      <w:pPr>
        <w:spacing w:line="490" w:lineRule="exact"/>
        <w:rPr>
          <w:rFonts w:ascii="楷体" w:hAnsi="楷体" w:eastAsia="楷体"/>
          <w:b/>
          <w:sz w:val="28"/>
          <w:szCs w:val="28"/>
        </w:rPr>
      </w:pPr>
      <w:r/>
      <w:bookmarkStart w:id="66" w:name="_Toc246996920"/>
      <w:r/>
      <w:bookmarkStart w:id="67" w:name="_Toc152042307"/>
      <w:r/>
      <w:bookmarkStart w:id="68" w:name="_Toc247085691"/>
      <w:r/>
      <w:bookmarkStart w:id="69" w:name="_Toc343525507"/>
      <w:r/>
      <w:bookmarkStart w:id="70" w:name="_Toc383438594"/>
      <w:r/>
      <w:bookmarkStart w:id="71" w:name="_Toc246996177"/>
      <w:r/>
      <w:bookmarkStart w:id="72" w:name="_Toc426469873"/>
      <w:r/>
      <w:bookmarkStart w:id="73" w:name="_Toc144974499"/>
      <w:r/>
      <w:bookmarkStart w:id="74" w:name="_Toc152045531"/>
      <w:r/>
      <w:bookmarkStart w:id="75" w:name="_Toc179632548"/>
      <w:r>
        <w:rPr>
          <w:rFonts w:ascii="楷体" w:hAnsi="楷体" w:eastAsia="楷体"/>
          <w:b/>
          <w:sz w:val="28"/>
          <w:szCs w:val="28"/>
        </w:rPr>
        <w:t xml:space="preserve">1.2</w:t>
      </w:r>
      <w:bookmarkEnd w:id="66"/>
      <w:r/>
      <w:bookmarkEnd w:id="67"/>
      <w:r/>
      <w:bookmarkEnd w:id="68"/>
      <w:r/>
      <w:bookmarkEnd w:id="69"/>
      <w:r/>
      <w:bookmarkEnd w:id="70"/>
      <w:r/>
      <w:bookmarkEnd w:id="71"/>
      <w:r/>
      <w:bookmarkEnd w:id="72"/>
      <w:r/>
      <w:bookmarkEnd w:id="73"/>
      <w:r/>
      <w:bookmarkEnd w:id="74"/>
      <w:r/>
      <w:bookmarkEnd w:id="75"/>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付款方式：见供应商须知前附表。</w:t>
      </w:r>
      <w:r/>
    </w:p>
    <w:p>
      <w:pPr>
        <w:spacing w:line="490" w:lineRule="exact"/>
        <w:rPr>
          <w:rFonts w:ascii="楷体" w:hAnsi="楷体" w:eastAsia="楷体"/>
          <w:b/>
          <w:sz w:val="28"/>
          <w:szCs w:val="28"/>
        </w:rPr>
      </w:pPr>
      <w:r/>
      <w:bookmarkStart w:id="76" w:name="_Toc246996178"/>
      <w:r/>
      <w:bookmarkStart w:id="77" w:name="_Toc246996921"/>
      <w:r/>
      <w:bookmarkStart w:id="78" w:name="_Toc343525508"/>
      <w:r/>
      <w:bookmarkStart w:id="79" w:name="_Toc152045532"/>
      <w:r/>
      <w:bookmarkStart w:id="80" w:name="_Toc179632549"/>
      <w:r/>
      <w:bookmarkStart w:id="81" w:name="_Toc152042308"/>
      <w:r/>
      <w:bookmarkStart w:id="82" w:name="_Toc144974500"/>
      <w:r/>
      <w:bookmarkStart w:id="83" w:name="_Toc247085692"/>
      <w:r/>
      <w:bookmarkStart w:id="84" w:name="_Toc383438595"/>
      <w:r/>
      <w:bookmarkStart w:id="85" w:name="_Toc426469874"/>
      <w:r>
        <w:rPr>
          <w:rFonts w:ascii="楷体" w:hAnsi="楷体" w:eastAsia="楷体"/>
          <w:b/>
          <w:sz w:val="28"/>
          <w:szCs w:val="28"/>
        </w:rPr>
        <w:t xml:space="preserve">1.3 </w:t>
      </w:r>
      <w:bookmarkEnd w:id="76"/>
      <w:r/>
      <w:bookmarkEnd w:id="77"/>
      <w:r/>
      <w:bookmarkEnd w:id="78"/>
      <w:r/>
      <w:bookmarkEnd w:id="79"/>
      <w:r/>
      <w:bookmarkEnd w:id="80"/>
      <w:r/>
      <w:bookmarkEnd w:id="81"/>
      <w:r/>
      <w:bookmarkEnd w:id="82"/>
      <w:r/>
      <w:bookmarkEnd w:id="83"/>
      <w:r/>
      <w:bookmarkEnd w:id="84"/>
      <w:r>
        <w:rPr>
          <w:rFonts w:hint="eastAsia" w:ascii="楷体" w:hAnsi="楷体" w:eastAsia="楷体"/>
          <w:b/>
          <w:sz w:val="28"/>
          <w:szCs w:val="28"/>
        </w:rPr>
        <w:t xml:space="preserve">采购范围</w:t>
      </w:r>
      <w:bookmarkEnd w:id="85"/>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采购范围：见供应商须知前附表。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合同履行期限：见供应商须知前附表。</w:t>
      </w:r>
      <w:r/>
    </w:p>
    <w:p>
      <w:pPr>
        <w:spacing w:line="490" w:lineRule="exact"/>
        <w:rPr>
          <w:rFonts w:ascii="楷体" w:hAnsi="楷体" w:eastAsia="楷体"/>
          <w:b/>
          <w:sz w:val="28"/>
          <w:szCs w:val="28"/>
        </w:rPr>
      </w:pPr>
      <w:r/>
      <w:bookmarkStart w:id="86" w:name="_Toc247085693"/>
      <w:r/>
      <w:bookmarkStart w:id="87" w:name="_Toc246996922"/>
      <w:r/>
      <w:bookmarkStart w:id="88" w:name="_Toc383438596"/>
      <w:r/>
      <w:bookmarkStart w:id="89" w:name="_Toc152042310"/>
      <w:r/>
      <w:bookmarkStart w:id="90" w:name="_Toc144974502"/>
      <w:r/>
      <w:bookmarkStart w:id="91" w:name="_Toc152045534"/>
      <w:r/>
      <w:bookmarkStart w:id="92" w:name="_Toc426469875"/>
      <w:r/>
      <w:bookmarkStart w:id="93" w:name="_Toc179632551"/>
      <w:r/>
      <w:bookmarkStart w:id="94" w:name="_Toc343525509"/>
      <w:r/>
      <w:bookmarkStart w:id="95" w:name="_Toc246996179"/>
      <w:r>
        <w:rPr>
          <w:rFonts w:ascii="楷体" w:hAnsi="楷体" w:eastAsia="楷体"/>
          <w:b/>
          <w:sz w:val="28"/>
          <w:szCs w:val="28"/>
        </w:rPr>
        <w:t xml:space="preserve">1.4 </w:t>
      </w:r>
      <w:r>
        <w:rPr>
          <w:rFonts w:hint="eastAsia" w:ascii="楷体" w:hAnsi="楷体" w:eastAsia="楷体"/>
          <w:b/>
          <w:sz w:val="28"/>
          <w:szCs w:val="28"/>
        </w:rPr>
        <w:t xml:space="preserve">供应商资格要求</w:t>
      </w:r>
      <w:bookmarkEnd w:id="86"/>
      <w:r/>
      <w:bookmarkEnd w:id="87"/>
      <w:r/>
      <w:bookmarkEnd w:id="88"/>
      <w:r/>
      <w:bookmarkEnd w:id="89"/>
      <w:r/>
      <w:bookmarkEnd w:id="90"/>
      <w:r/>
      <w:bookmarkEnd w:id="91"/>
      <w:r/>
      <w:bookmarkEnd w:id="92"/>
      <w:r/>
      <w:bookmarkEnd w:id="93"/>
      <w:r/>
      <w:bookmarkEnd w:id="94"/>
      <w:r/>
      <w:bookmarkEnd w:id="95"/>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供应商参加政府采购活动应当具备下列条件：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ind w:firstLine="560"/>
        <w:spacing w:line="490" w:lineRule="exact"/>
        <w:rPr>
          <w:rFonts w:ascii="宋体"/>
          <w:sz w:val="28"/>
          <w:szCs w:val="28"/>
        </w:rPr>
      </w:pPr>
      <w:r>
        <w:rPr>
          <w:rFonts w:ascii="宋体" w:hAnsi="宋体"/>
          <w:sz w:val="28"/>
          <w:szCs w:val="28"/>
        </w:rPr>
        <w:t xml:space="preserve">1.4.2</w:t>
      </w:r>
      <w:r>
        <w:rPr>
          <w:rFonts w:hint="eastAsia" w:ascii="宋体" w:hAnsi="宋体"/>
          <w:sz w:val="28"/>
          <w:szCs w:val="28"/>
        </w:rPr>
        <w:t xml:space="preserve"> </w:t>
      </w:r>
      <w:r>
        <w:rPr>
          <w:rFonts w:hint="eastAsia" w:ascii="宋体" w:hAnsi="宋体" w:cs="宋体"/>
          <w:sz w:val="28"/>
          <w:szCs w:val="28"/>
        </w:rPr>
        <w:t xml:space="preserve">根据采购项目特殊要求，要求供应商具备的特定条件：见供应商须知前附表。</w:t>
      </w:r>
      <w:r/>
    </w:p>
    <w:p>
      <w:pPr>
        <w:ind w:firstLine="560"/>
        <w:spacing w:line="490" w:lineRule="exact"/>
        <w:rPr>
          <w:rFonts w:ascii="宋体"/>
          <w:sz w:val="28"/>
          <w:szCs w:val="28"/>
        </w:rPr>
      </w:pPr>
      <w:r>
        <w:rPr>
          <w:rFonts w:ascii="宋体" w:hAnsi="宋体"/>
          <w:sz w:val="28"/>
          <w:szCs w:val="28"/>
        </w:rPr>
        <w:t xml:space="preserve">1.4.3</w:t>
      </w:r>
      <w:r>
        <w:rPr>
          <w:rFonts w:hint="eastAsia" w:ascii="宋体" w:hAnsi="宋体"/>
          <w:sz w:val="28"/>
          <w:szCs w:val="28"/>
        </w:rPr>
        <w:t xml:space="preserve"> </w:t>
      </w:r>
      <w:r>
        <w:rPr>
          <w:rFonts w:hint="eastAsia" w:ascii="宋体" w:hAnsi="宋体" w:cs="宋体"/>
          <w:sz w:val="28"/>
          <w:szCs w:val="28"/>
        </w:rPr>
        <w:t xml:space="preserve">供应商不得存在下列情形之一：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）单位负责人为同一人或者存在直接控股、管理关系的不同供应商，参加同一合同项下的政府采购活动。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96" w:name="_Toc247085694"/>
      <w:r/>
      <w:bookmarkStart w:id="97" w:name="_Toc246996923"/>
      <w:r/>
      <w:bookmarkStart w:id="98" w:name="_Toc426469876"/>
      <w:r/>
      <w:bookmarkStart w:id="99" w:name="_Toc383438597"/>
      <w:r/>
      <w:bookmarkStart w:id="100" w:name="_Toc144974503"/>
      <w:r/>
      <w:bookmarkStart w:id="101" w:name="_Toc246996180"/>
      <w:r/>
      <w:bookmarkStart w:id="102" w:name="_Toc179632552"/>
      <w:r/>
      <w:bookmarkStart w:id="103" w:name="_Toc152045535"/>
      <w:r/>
      <w:bookmarkStart w:id="104" w:name="_Toc343525510"/>
      <w:r/>
      <w:bookmarkStart w:id="105" w:name="_Toc152042311"/>
      <w:r>
        <w:rPr>
          <w:rFonts w:ascii="楷体" w:hAnsi="楷体" w:eastAsia="楷体"/>
          <w:b/>
          <w:sz w:val="28"/>
          <w:szCs w:val="28"/>
        </w:rPr>
        <w:t xml:space="preserve">1.5</w:t>
      </w:r>
      <w:r>
        <w:rPr>
          <w:rFonts w:hint="eastAsia" w:ascii="楷体" w:hAnsi="楷体" w:eastAsia="楷体"/>
          <w:b/>
          <w:sz w:val="28"/>
          <w:szCs w:val="28"/>
        </w:rPr>
        <w:t xml:space="preserve"> </w:t>
      </w:r>
      <w:r>
        <w:rPr>
          <w:rFonts w:hint="eastAsia" w:ascii="楷体" w:hAnsi="楷体" w:eastAsia="楷体" w:cs="宋体"/>
          <w:b/>
          <w:sz w:val="28"/>
          <w:szCs w:val="28"/>
        </w:rPr>
        <w:t xml:space="preserve">费用承担</w:t>
      </w:r>
      <w:bookmarkEnd w:id="96"/>
      <w:r/>
      <w:bookmarkEnd w:id="97"/>
      <w:r/>
      <w:bookmarkEnd w:id="98"/>
      <w:r/>
      <w:bookmarkEnd w:id="99"/>
      <w:r/>
      <w:bookmarkEnd w:id="100"/>
      <w:r/>
      <w:bookmarkEnd w:id="101"/>
      <w:r/>
      <w:bookmarkEnd w:id="102"/>
      <w:r/>
      <w:bookmarkEnd w:id="103"/>
      <w:r/>
      <w:bookmarkEnd w:id="104"/>
      <w:r/>
      <w:bookmarkEnd w:id="105"/>
      <w:r/>
      <w:r/>
    </w:p>
    <w:p>
      <w:pPr>
        <w:ind w:firstLine="560"/>
        <w:spacing w:line="490" w:lineRule="exact"/>
        <w:rPr>
          <w:rFonts w:ascii="宋体"/>
          <w:sz w:val="28"/>
          <w:szCs w:val="28"/>
        </w:rPr>
      </w:pPr>
      <w:r>
        <w:rPr>
          <w:rFonts w:hint="eastAsia" w:ascii="宋体" w:hAnsi="宋体" w:cs="宋体"/>
          <w:sz w:val="28"/>
          <w:szCs w:val="28"/>
        </w:rPr>
        <w:t xml:space="preserve">无论采购结果如何，供应商为准备和参加投标活动发生的费用自理。</w:t>
      </w:r>
      <w:r/>
    </w:p>
    <w:p>
      <w:pPr>
        <w:spacing w:line="490" w:lineRule="exact"/>
        <w:rPr>
          <w:rFonts w:ascii="楷体" w:hAnsi="楷体" w:eastAsia="楷体"/>
          <w:b/>
          <w:sz w:val="28"/>
          <w:szCs w:val="28"/>
        </w:rPr>
      </w:pPr>
      <w:r/>
      <w:bookmarkStart w:id="106" w:name="_Toc144974505"/>
      <w:r/>
      <w:bookmarkStart w:id="107" w:name="_Toc152045537"/>
      <w:r/>
      <w:bookmarkStart w:id="108" w:name="_Toc152042313"/>
      <w:r/>
      <w:bookmarkStart w:id="109" w:name="_Toc383438599"/>
      <w:r/>
      <w:bookmarkStart w:id="110" w:name="_Toc246996182"/>
      <w:r/>
      <w:bookmarkStart w:id="111" w:name="_Toc247085696"/>
      <w:r/>
      <w:bookmarkStart w:id="112" w:name="_Toc343525512"/>
      <w:r/>
      <w:bookmarkStart w:id="113" w:name="_Toc426469878"/>
      <w:r/>
      <w:bookmarkStart w:id="114" w:name="_Toc179632554"/>
      <w:r/>
      <w:bookmarkStart w:id="115" w:name="_Toc246996925"/>
      <w:r>
        <w:rPr>
          <w:rFonts w:ascii="楷体" w:hAnsi="楷体" w:eastAsia="楷体"/>
          <w:b/>
          <w:sz w:val="28"/>
          <w:szCs w:val="28"/>
        </w:rPr>
        <w:t xml:space="preserve">1.</w:t>
      </w:r>
      <w:r>
        <w:rPr>
          <w:rFonts w:hint="eastAsia" w:ascii="楷体" w:hAnsi="楷体" w:eastAsia="楷体"/>
          <w:b/>
          <w:sz w:val="28"/>
          <w:szCs w:val="28"/>
        </w:rPr>
        <w:t xml:space="preserve">6 </w:t>
      </w:r>
      <w:r>
        <w:rPr>
          <w:rFonts w:hint="eastAsia" w:ascii="楷体" w:hAnsi="楷体" w:eastAsia="楷体" w:cs="宋体"/>
          <w:b/>
          <w:sz w:val="28"/>
          <w:szCs w:val="28"/>
        </w:rPr>
        <w:t xml:space="preserve">语言</w:t>
      </w:r>
      <w:bookmarkEnd w:id="106"/>
      <w:r>
        <w:rPr>
          <w:rFonts w:hint="eastAsia" w:ascii="楷体" w:hAnsi="楷体" w:eastAsia="楷体" w:cs="宋体"/>
          <w:b/>
          <w:sz w:val="28"/>
          <w:szCs w:val="28"/>
        </w:rPr>
        <w:t xml:space="preserve">文字</w:t>
      </w:r>
      <w:bookmarkEnd w:id="107"/>
      <w:r/>
      <w:bookmarkEnd w:id="108"/>
      <w:r/>
      <w:bookmarkEnd w:id="109"/>
      <w:r/>
      <w:bookmarkEnd w:id="110"/>
      <w:r/>
      <w:bookmarkEnd w:id="111"/>
      <w:r/>
      <w:bookmarkEnd w:id="112"/>
      <w:r/>
      <w:bookmarkEnd w:id="113"/>
      <w:r/>
      <w:bookmarkEnd w:id="114"/>
      <w:r/>
      <w:bookmarkEnd w:id="115"/>
      <w:r/>
      <w:r/>
    </w:p>
    <w:p>
      <w:pPr>
        <w:ind w:firstLine="560"/>
        <w:spacing w:line="490" w:lineRule="exact"/>
        <w:rPr>
          <w:rFonts w:ascii="宋体"/>
          <w:sz w:val="28"/>
          <w:szCs w:val="28"/>
        </w:rPr>
      </w:pPr>
      <w:r/>
      <w:bookmarkStart w:id="116" w:name="_Toc144974506"/>
      <w:r/>
      <w:bookmarkStart w:id="117" w:name="_Toc246996183"/>
      <w:r/>
      <w:bookmarkStart w:id="118" w:name="_Toc179632555"/>
      <w:r/>
      <w:bookmarkStart w:id="119" w:name="_Toc247085697"/>
      <w:r/>
      <w:bookmarkStart w:id="120" w:name="_Toc152045538"/>
      <w:r/>
      <w:bookmarkStart w:id="121" w:name="_Toc152042314"/>
      <w:r/>
      <w:bookmarkStart w:id="122" w:name="_Toc246996926"/>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23" w:name="_Toc426469879"/>
      <w:r/>
      <w:bookmarkStart w:id="124" w:name="_Toc383438600"/>
      <w:r/>
      <w:bookmarkStart w:id="125" w:name="_Toc343525513"/>
      <w:r>
        <w:rPr>
          <w:rFonts w:ascii="楷体" w:hAnsi="楷体" w:eastAsia="楷体"/>
          <w:b/>
          <w:sz w:val="28"/>
          <w:szCs w:val="28"/>
        </w:rPr>
        <w:t xml:space="preserve">1.</w:t>
      </w:r>
      <w:r>
        <w:rPr>
          <w:rFonts w:hint="eastAsia" w:ascii="楷体" w:hAnsi="楷体" w:eastAsia="楷体"/>
          <w:b/>
          <w:sz w:val="28"/>
          <w:szCs w:val="28"/>
        </w:rPr>
        <w:t xml:space="preserve">7</w:t>
      </w:r>
      <w:r>
        <w:rPr>
          <w:rFonts w:ascii="楷体" w:hAnsi="楷体" w:eastAsia="楷体"/>
          <w:b/>
          <w:sz w:val="28"/>
          <w:szCs w:val="28"/>
        </w:rPr>
        <w:t xml:space="preserve"> </w:t>
      </w:r>
      <w:r>
        <w:rPr>
          <w:rFonts w:hint="eastAsia" w:ascii="楷体" w:hAnsi="楷体" w:eastAsia="楷体" w:cs="宋体"/>
          <w:b/>
          <w:sz w:val="28"/>
          <w:szCs w:val="28"/>
        </w:rPr>
        <w:t xml:space="preserve">计量单位</w:t>
      </w:r>
      <w:bookmarkEnd w:id="116"/>
      <w:r/>
      <w:bookmarkEnd w:id="117"/>
      <w:r/>
      <w:bookmarkEnd w:id="118"/>
      <w:r/>
      <w:bookmarkEnd w:id="119"/>
      <w:r/>
      <w:bookmarkEnd w:id="120"/>
      <w:r/>
      <w:bookmarkEnd w:id="121"/>
      <w:r/>
      <w:bookmarkEnd w:id="122"/>
      <w:r/>
      <w:bookmarkEnd w:id="123"/>
      <w:r/>
      <w:bookmarkEnd w:id="124"/>
      <w:r/>
      <w:bookmarkEnd w:id="125"/>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26" w:name="_Toc426469881"/>
      <w:r>
        <w:rPr>
          <w:rFonts w:ascii="楷体" w:hAnsi="楷体" w:eastAsia="楷体"/>
          <w:b/>
          <w:sz w:val="28"/>
          <w:szCs w:val="28"/>
        </w:rPr>
        <w:t xml:space="preserve">1.</w:t>
      </w:r>
      <w:r>
        <w:rPr>
          <w:rFonts w:hint="eastAsia" w:ascii="楷体" w:hAnsi="楷体" w:eastAsia="楷体"/>
          <w:b/>
          <w:sz w:val="28"/>
          <w:szCs w:val="28"/>
        </w:rPr>
        <w:t xml:space="preserve">8 </w:t>
      </w:r>
      <w:r>
        <w:rPr>
          <w:rFonts w:hint="eastAsia" w:ascii="楷体" w:hAnsi="楷体" w:eastAsia="楷体" w:cs="宋体"/>
          <w:b/>
          <w:sz w:val="28"/>
          <w:szCs w:val="28"/>
        </w:rPr>
        <w:t xml:space="preserve">偏离</w:t>
      </w:r>
      <w:bookmarkEnd w:id="126"/>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sz w:val="28"/>
          <w:szCs w:val="28"/>
        </w:rPr>
        <w:t xml:space="preserve"> </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sz w:val="28"/>
          <w:szCs w:val="28"/>
        </w:rPr>
        <w:t xml:space="preserve"> </w:t>
      </w:r>
      <w:r>
        <w:rPr>
          <w:rFonts w:hint="eastAsia" w:ascii="宋体" w:hAnsi="宋体" w:cs="宋体"/>
          <w:sz w:val="28"/>
          <w:szCs w:val="28"/>
        </w:rPr>
        <w:t xml:space="preserve">偏离的具体要求见供应商须知前附表。</w:t>
      </w:r>
      <w:r/>
    </w:p>
    <w:p>
      <w:pPr>
        <w:spacing w:line="490" w:lineRule="exact"/>
        <w:rPr>
          <w:rFonts w:ascii="黑体" w:hAnsi="黑体" w:eastAsia="黑体"/>
          <w:sz w:val="32"/>
          <w:szCs w:val="32"/>
        </w:rPr>
      </w:pPr>
      <w:r/>
      <w:bookmarkStart w:id="127" w:name="_Toc343525517"/>
      <w:r/>
      <w:bookmarkStart w:id="128" w:name="_Toc383438604"/>
      <w:r/>
      <w:bookmarkStart w:id="129" w:name="_Toc426469882"/>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7"/>
      <w:r/>
      <w:bookmarkEnd w:id="128"/>
      <w:r/>
      <w:bookmarkEnd w:id="129"/>
      <w:r/>
      <w:r/>
    </w:p>
    <w:p>
      <w:pPr>
        <w:spacing w:line="490" w:lineRule="exact"/>
        <w:rPr>
          <w:rFonts w:ascii="楷体" w:hAnsi="楷体" w:eastAsia="楷体"/>
          <w:b/>
          <w:sz w:val="28"/>
          <w:szCs w:val="28"/>
        </w:rPr>
      </w:pPr>
      <w:r/>
      <w:bookmarkStart w:id="130" w:name="_Toc343525518"/>
      <w:r/>
      <w:bookmarkStart w:id="131" w:name="_Toc426469883"/>
      <w:r/>
      <w:bookmarkStart w:id="132" w:name="_Toc246996931"/>
      <w:r/>
      <w:bookmarkStart w:id="133" w:name="_Toc152045543"/>
      <w:r/>
      <w:bookmarkStart w:id="134" w:name="_Toc246996188"/>
      <w:r/>
      <w:bookmarkStart w:id="135" w:name="_Toc152042319"/>
      <w:r/>
      <w:bookmarkStart w:id="136" w:name="_Toc179632561"/>
      <w:r/>
      <w:bookmarkStart w:id="137" w:name="_Toc144974511"/>
      <w:r/>
      <w:bookmarkStart w:id="138" w:name="_Toc383438605"/>
      <w:r/>
      <w:bookmarkStart w:id="139" w:name="_Toc247085702"/>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30"/>
      <w:r/>
      <w:bookmarkEnd w:id="131"/>
      <w:r/>
      <w:bookmarkEnd w:id="132"/>
      <w:r/>
      <w:bookmarkEnd w:id="133"/>
      <w:r/>
      <w:bookmarkEnd w:id="134"/>
      <w:r/>
      <w:bookmarkEnd w:id="135"/>
      <w:r/>
      <w:bookmarkEnd w:id="136"/>
      <w:r/>
      <w:bookmarkEnd w:id="137"/>
      <w:r/>
      <w:bookmarkEnd w:id="138"/>
      <w:r/>
      <w:bookmarkEnd w:id="139"/>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）供应商须知；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rPr>
          <w:rFonts w:ascii="宋体" w:hAnsi="宋体"/>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）供应商须知前附表规定的构成招标文件的其他材料。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sz w:val="28"/>
          <w:szCs w:val="28"/>
        </w:rPr>
        <w:t xml:space="preserve"> </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40" w:name="_Toc152045544"/>
      <w:r/>
      <w:bookmarkStart w:id="141" w:name="_Toc152042320"/>
      <w:r/>
      <w:bookmarkStart w:id="142" w:name="_Toc179632562"/>
      <w:r/>
      <w:bookmarkStart w:id="143" w:name="_Toc144974512"/>
      <w:r/>
      <w:bookmarkStart w:id="144" w:name="_Toc383438606"/>
      <w:r/>
      <w:bookmarkStart w:id="145" w:name="_Toc247085703"/>
      <w:r/>
      <w:bookmarkStart w:id="146" w:name="_Toc343525519"/>
      <w:r/>
      <w:bookmarkStart w:id="147" w:name="_Toc426469884"/>
      <w:r/>
      <w:bookmarkStart w:id="148" w:name="_Toc246996932"/>
      <w:r/>
      <w:bookmarkStart w:id="149" w:name="_Toc246996189"/>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40"/>
      <w:r/>
      <w:bookmarkEnd w:id="141"/>
      <w:r/>
      <w:bookmarkEnd w:id="142"/>
      <w:r/>
      <w:bookmarkEnd w:id="143"/>
      <w:r/>
      <w:bookmarkEnd w:id="144"/>
      <w:r/>
      <w:bookmarkEnd w:id="145"/>
      <w:r/>
      <w:bookmarkEnd w:id="146"/>
      <w:r/>
      <w:bookmarkEnd w:id="147"/>
      <w:r/>
      <w:bookmarkEnd w:id="148"/>
      <w:r/>
      <w:bookmarkEnd w:id="149"/>
      <w:r>
        <w:rPr>
          <w:rFonts w:ascii="楷体" w:hAnsi="楷体" w:eastAsia="楷体"/>
          <w:b/>
          <w:sz w:val="28"/>
          <w:szCs w:val="28"/>
        </w:rPr>
        <w:t xml:space="preserve"> </w:t>
      </w:r>
      <w:r/>
    </w:p>
    <w:p>
      <w:pPr>
        <w:ind w:firstLine="560"/>
        <w:spacing w:line="490" w:lineRule="exact"/>
        <w:rPr>
          <w:rFonts w:ascii="宋体"/>
          <w:sz w:val="28"/>
          <w:szCs w:val="28"/>
        </w:rPr>
      </w:pPr>
      <w:r>
        <w:rPr>
          <w:rFonts w:hint="eastAsia" w:ascii="宋体" w:hAnsi="宋体" w:cs="宋体"/>
          <w:sz w:val="28"/>
          <w:szCs w:val="28"/>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50" w:name="_Toc343525520"/>
      <w:r/>
      <w:bookmarkStart w:id="151" w:name="_Toc426469885"/>
      <w:r/>
      <w:bookmarkStart w:id="152" w:name="_Toc144974513"/>
      <w:r/>
      <w:bookmarkStart w:id="153" w:name="_Toc152045545"/>
      <w:r/>
      <w:bookmarkStart w:id="154" w:name="_Toc247085704"/>
      <w:r/>
      <w:bookmarkStart w:id="155" w:name="_Toc383438607"/>
      <w:r/>
      <w:bookmarkStart w:id="156" w:name="_Toc152042321"/>
      <w:r/>
      <w:bookmarkStart w:id="157" w:name="_Toc246996190"/>
      <w:r/>
      <w:bookmarkStart w:id="158" w:name="_Toc179632563"/>
      <w:r/>
      <w:bookmarkStart w:id="159" w:name="_Toc246996933"/>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50"/>
      <w:r/>
      <w:bookmarkEnd w:id="151"/>
      <w:r/>
      <w:bookmarkEnd w:id="152"/>
      <w:r/>
      <w:bookmarkEnd w:id="153"/>
      <w:r/>
      <w:bookmarkEnd w:id="154"/>
      <w:r/>
      <w:bookmarkEnd w:id="155"/>
      <w:r/>
      <w:bookmarkEnd w:id="156"/>
      <w:r/>
      <w:bookmarkEnd w:id="157"/>
      <w:r/>
      <w:bookmarkEnd w:id="158"/>
      <w:r/>
      <w:bookmarkEnd w:id="159"/>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 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60" w:name="_Toc152045546"/>
      <w:r/>
      <w:bookmarkStart w:id="161" w:name="_Toc152042322"/>
      <w:r/>
      <w:bookmarkStart w:id="162" w:name="_Toc246996191"/>
      <w:r/>
      <w:bookmarkStart w:id="163" w:name="_Toc383438609"/>
      <w:r/>
      <w:bookmarkStart w:id="164" w:name="_Toc179632564"/>
      <w:r/>
      <w:bookmarkStart w:id="165" w:name="_Toc144974514"/>
      <w:r/>
      <w:bookmarkStart w:id="166" w:name="_Toc247085705"/>
      <w:r/>
      <w:bookmarkStart w:id="167" w:name="_Toc246996934"/>
      <w:r/>
      <w:bookmarkStart w:id="168" w:name="_Toc343525522"/>
      <w:r/>
      <w:bookmarkStart w:id="169"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60"/>
      <w:r/>
      <w:bookmarkEnd w:id="161"/>
      <w:r/>
      <w:bookmarkEnd w:id="162"/>
      <w:r/>
      <w:bookmarkEnd w:id="163"/>
      <w:r/>
      <w:bookmarkEnd w:id="164"/>
      <w:r/>
      <w:bookmarkEnd w:id="165"/>
      <w:r/>
      <w:bookmarkEnd w:id="166"/>
      <w:r/>
      <w:bookmarkEnd w:id="167"/>
      <w:r/>
      <w:bookmarkEnd w:id="168"/>
      <w:r>
        <w:rPr>
          <w:rFonts w:hint="eastAsia" w:ascii="黑体" w:hAnsi="黑体" w:eastAsia="黑体" w:cs="宋体"/>
          <w:b/>
          <w:sz w:val="32"/>
          <w:szCs w:val="32"/>
        </w:rPr>
        <w:t xml:space="preserve">文件</w:t>
      </w:r>
      <w:bookmarkEnd w:id="169"/>
      <w:r/>
      <w:r/>
    </w:p>
    <w:p>
      <w:pPr>
        <w:spacing w:line="490" w:lineRule="exact"/>
        <w:rPr>
          <w:rFonts w:ascii="楷体" w:hAnsi="楷体" w:eastAsia="楷体" w:cs="宋体"/>
          <w:b/>
          <w:sz w:val="28"/>
          <w:szCs w:val="28"/>
        </w:rPr>
      </w:pPr>
      <w:r/>
      <w:bookmarkStart w:id="170" w:name="_Toc343525523"/>
      <w:r/>
      <w:bookmarkStart w:id="171" w:name="_Toc144974515"/>
      <w:r/>
      <w:bookmarkStart w:id="172" w:name="_Toc383438610"/>
      <w:r/>
      <w:bookmarkStart w:id="173" w:name="_Toc152042323"/>
      <w:r/>
      <w:bookmarkStart w:id="174" w:name="_Toc246996935"/>
      <w:r/>
      <w:bookmarkStart w:id="175" w:name="_Toc179632565"/>
      <w:r/>
      <w:bookmarkStart w:id="176" w:name="_Toc247085706"/>
      <w:r/>
      <w:bookmarkStart w:id="177" w:name="_Toc152045547"/>
      <w:r/>
      <w:bookmarkStart w:id="178" w:name="_Toc246996192"/>
      <w:r/>
      <w:bookmarkStart w:id="179" w:name="_Toc426469888"/>
      <w:r>
        <w:rPr>
          <w:rFonts w:ascii="楷体" w:hAnsi="楷体" w:eastAsia="楷体"/>
          <w:b/>
          <w:sz w:val="28"/>
          <w:szCs w:val="28"/>
        </w:rPr>
        <w:t xml:space="preserve">3</w:t>
      </w:r>
      <w:r>
        <w:rPr>
          <w:rFonts w:ascii="楷体" w:hAnsi="楷体" w:eastAsia="楷体" w:cs="宋体"/>
          <w:b/>
          <w:sz w:val="28"/>
          <w:szCs w:val="28"/>
        </w:rPr>
        <w:t xml:space="preserve">.1</w:t>
      </w:r>
      <w:bookmarkEnd w:id="170"/>
      <w:r/>
      <w:bookmarkEnd w:id="171"/>
      <w:r/>
      <w:bookmarkEnd w:id="172"/>
      <w:r/>
      <w:bookmarkEnd w:id="173"/>
      <w:r/>
      <w:bookmarkEnd w:id="174"/>
      <w:r/>
      <w:bookmarkEnd w:id="175"/>
      <w:r/>
      <w:bookmarkEnd w:id="176"/>
      <w:r/>
      <w:bookmarkEnd w:id="177"/>
      <w:r/>
      <w:bookmarkEnd w:id="178"/>
      <w:r>
        <w:rPr>
          <w:rFonts w:hint="eastAsia" w:ascii="楷体" w:hAnsi="楷体" w:eastAsia="楷体" w:cs="宋体"/>
          <w:b/>
          <w:sz w:val="28"/>
          <w:szCs w:val="28"/>
        </w:rPr>
        <w:t xml:space="preserve"> 投标文件的组成</w:t>
      </w:r>
      <w:bookmarkEnd w:id="179"/>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投标文件的组成：见供应商须知前附表。</w:t>
      </w:r>
      <w:r/>
    </w:p>
    <w:p>
      <w:pPr>
        <w:spacing w:line="490" w:lineRule="exact"/>
        <w:rPr>
          <w:rFonts w:ascii="楷体" w:hAnsi="楷体" w:eastAsia="楷体" w:cs="宋体"/>
          <w:b/>
          <w:sz w:val="28"/>
          <w:szCs w:val="28"/>
        </w:rPr>
      </w:pPr>
      <w:r/>
      <w:bookmarkStart w:id="180" w:name="_Toc367785004"/>
      <w:r/>
      <w:bookmarkStart w:id="181" w:name="_Toc426469889"/>
      <w:r>
        <w:rPr>
          <w:rFonts w:ascii="楷体" w:hAnsi="楷体" w:eastAsia="楷体" w:cs="宋体"/>
          <w:b/>
          <w:sz w:val="28"/>
          <w:szCs w:val="28"/>
        </w:rPr>
        <w:t xml:space="preserve">3.2</w:t>
      </w:r>
      <w:bookmarkEnd w:id="180"/>
      <w:r>
        <w:rPr>
          <w:rFonts w:hint="eastAsia" w:ascii="楷体" w:hAnsi="楷体" w:eastAsia="楷体" w:cs="宋体"/>
          <w:b/>
          <w:sz w:val="28"/>
          <w:szCs w:val="28"/>
        </w:rPr>
        <w:t xml:space="preserve"> 投标报价</w:t>
      </w:r>
      <w:bookmarkEnd w:id="181"/>
      <w:r/>
      <w:r/>
    </w:p>
    <w:p>
      <w:pPr>
        <w:ind w:firstLine="560"/>
        <w:spacing w:line="490" w:lineRule="exact"/>
        <w:rPr>
          <w:rFonts w:ascii="宋体" w:hAnsi="宋体" w:cs="宋体"/>
          <w:sz w:val="28"/>
          <w:szCs w:val="28"/>
        </w:rPr>
      </w:pPr>
      <w:r>
        <w:rPr>
          <w:rFonts w:ascii="宋体" w:hAnsi="宋体" w:cs="宋体"/>
          <w:sz w:val="28"/>
          <w:szCs w:val="28"/>
        </w:rPr>
        <w:t xml:space="preserve">3.2.1</w:t>
      </w:r>
      <w:r>
        <w:rPr>
          <w:rFonts w:hint="eastAsia" w:ascii="宋体" w:hAnsi="宋体" w:cs="宋体"/>
          <w:sz w:val="28"/>
          <w:szCs w:val="28"/>
        </w:rPr>
        <w:t xml:space="preserve"> 供应商应按招标文件规定的供货及服务要求、责任范围和合同条件，以人民币进行报价。</w:t>
      </w:r>
      <w:r/>
    </w:p>
    <w:p>
      <w:pPr>
        <w:ind w:firstLine="560"/>
        <w:spacing w:line="490" w:lineRule="exact"/>
        <w:rPr>
          <w:rFonts w:ascii="宋体" w:hAnsi="宋体"/>
          <w:sz w:val="28"/>
          <w:szCs w:val="28"/>
        </w:rPr>
      </w:pPr>
      <w:r>
        <w:rPr>
          <w:rFonts w:ascii="宋体" w:hAnsi="宋体"/>
          <w:sz w:val="28"/>
          <w:szCs w:val="28"/>
        </w:rPr>
        <w:t xml:space="preserve">3.2.2</w:t>
      </w:r>
      <w:r>
        <w:rPr>
          <w:rFonts w:hint="eastAsia" w:ascii="宋体" w:hAnsi="宋体"/>
          <w:sz w:val="28"/>
          <w:szCs w:val="28"/>
        </w:rPr>
        <w:t xml:space="preserve"> </w:t>
      </w:r>
      <w:r>
        <w:rPr>
          <w:rFonts w:ascii="宋体" w:hAnsi="宋体"/>
          <w:sz w:val="28"/>
          <w:szCs w:val="28"/>
        </w:rPr>
        <w:t xml:space="preserve">供应商在投标文件中只能有一个投标报价，且</w:t>
      </w:r>
      <w:r>
        <w:rPr>
          <w:rFonts w:hint="eastAsia" w:ascii="宋体" w:hAnsi="宋体" w:cs="宋体"/>
          <w:sz w:val="28"/>
          <w:szCs w:val="28"/>
        </w:rPr>
        <w:t xml:space="preserve">不得超过招标公告中载明的最高限价。任何包含价格调整要求和条件的投标报价均将视为无效报价。</w:t>
      </w:r>
      <w:r/>
    </w:p>
    <w:p>
      <w:pPr>
        <w:spacing w:line="490" w:lineRule="exact"/>
        <w:rPr>
          <w:rFonts w:ascii="楷体" w:hAnsi="楷体" w:eastAsia="楷体"/>
          <w:b/>
          <w:sz w:val="28"/>
          <w:szCs w:val="28"/>
        </w:rPr>
      </w:pPr>
      <w:r/>
      <w:bookmarkStart w:id="182" w:name="_Toc383438612"/>
      <w:r/>
      <w:bookmarkStart w:id="183" w:name="_Toc426469890"/>
      <w:r/>
      <w:bookmarkStart w:id="184" w:name="_Toc343525525"/>
      <w:r/>
      <w:bookmarkStart w:id="185" w:name="_Toc152042325"/>
      <w:r/>
      <w:bookmarkStart w:id="186" w:name="_Toc152045549"/>
      <w:r/>
      <w:bookmarkStart w:id="187" w:name="_Toc247085708"/>
      <w:r/>
      <w:bookmarkStart w:id="188" w:name="_Toc179632567"/>
      <w:r/>
      <w:bookmarkStart w:id="189" w:name="_Toc246996194"/>
      <w:r/>
      <w:bookmarkStart w:id="190" w:name="_Toc246996937"/>
      <w:r/>
      <w:bookmarkStart w:id="191" w:name="_Toc144974517"/>
      <w:r>
        <w:rPr>
          <w:rFonts w:ascii="楷体" w:hAnsi="楷体" w:eastAsia="楷体"/>
          <w:b/>
          <w:sz w:val="28"/>
          <w:szCs w:val="28"/>
        </w:rPr>
        <w:t xml:space="preserve">3.3</w:t>
      </w:r>
      <w:r>
        <w:rPr>
          <w:rFonts w:hint="eastAsia" w:ascii="楷体" w:hAnsi="楷体" w:eastAsia="楷体"/>
          <w:b/>
          <w:sz w:val="28"/>
          <w:szCs w:val="28"/>
        </w:rPr>
        <w:t xml:space="preserve"> </w:t>
      </w:r>
      <w:r>
        <w:rPr>
          <w:rFonts w:hint="eastAsia" w:ascii="楷体" w:hAnsi="楷体" w:eastAsia="楷体" w:cs="宋体"/>
          <w:b/>
          <w:sz w:val="28"/>
          <w:szCs w:val="28"/>
        </w:rPr>
        <w:t xml:space="preserve">投标有效期</w:t>
      </w:r>
      <w:bookmarkEnd w:id="182"/>
      <w:r/>
      <w:bookmarkEnd w:id="183"/>
      <w:r/>
      <w:bookmarkEnd w:id="184"/>
      <w:r/>
      <w:bookmarkEnd w:id="185"/>
      <w:r/>
      <w:bookmarkEnd w:id="186"/>
      <w:r/>
      <w:bookmarkEnd w:id="187"/>
      <w:r/>
      <w:bookmarkEnd w:id="188"/>
      <w:r/>
      <w:bookmarkEnd w:id="189"/>
      <w:r/>
      <w:bookmarkEnd w:id="190"/>
      <w:r/>
      <w:bookmarkEnd w:id="191"/>
      <w:r/>
      <w:r/>
    </w:p>
    <w:p>
      <w:pPr>
        <w:ind w:firstLine="560"/>
        <w:spacing w:line="490" w:lineRule="exact"/>
        <w:rPr>
          <w:rFonts w:ascii="宋体"/>
          <w:sz w:val="28"/>
          <w:szCs w:val="28"/>
        </w:rPr>
      </w:pPr>
      <w:r>
        <w:rPr>
          <w:rFonts w:ascii="宋体" w:hAnsi="宋体"/>
          <w:sz w:val="28"/>
          <w:szCs w:val="28"/>
        </w:rPr>
        <w:t xml:space="preserve">3.3.1</w:t>
      </w:r>
      <w:r>
        <w:rPr>
          <w:rFonts w:hint="eastAsia" w:ascii="宋体" w:hAnsi="宋体"/>
          <w:sz w:val="28"/>
          <w:szCs w:val="28"/>
        </w:rPr>
        <w:t xml:space="preserve"> </w:t>
      </w:r>
      <w:r>
        <w:rPr>
          <w:rFonts w:ascii="宋体" w:hAnsi="宋体"/>
          <w:sz w:val="28"/>
          <w:szCs w:val="28"/>
        </w:rPr>
        <w:t xml:space="preserve">在</w:t>
      </w:r>
      <w:r>
        <w:rPr>
          <w:rFonts w:hint="eastAsia" w:ascii="宋体" w:hAnsi="宋体" w:cs="宋体"/>
          <w:sz w:val="28"/>
          <w:szCs w:val="28"/>
        </w:rPr>
        <w:t xml:space="preserve">供应商须知前附表规定的投标有效期内，供应商不得要求撤销或修改其投标文件。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sz w:val="28"/>
          <w:szCs w:val="28"/>
        </w:rPr>
        <w:t xml:space="preserve"> </w:t>
      </w:r>
      <w:r>
        <w:rPr>
          <w:rFonts w:hint="eastAsia" w:ascii="宋体" w:hAnsi="宋体" w:cs="宋体"/>
          <w:sz w:val="28"/>
          <w:szCs w:val="28"/>
        </w:rPr>
        <w:t xml:space="preserve">出现特殊情况需要延长投标有效期的，招标人将以书面形式通知供应商。供应商拒绝延长投标有效期的，其投标失效。</w:t>
      </w:r>
      <w:r/>
    </w:p>
    <w:p>
      <w:pPr>
        <w:spacing w:line="490" w:lineRule="exact"/>
        <w:rPr>
          <w:rFonts w:ascii="楷体" w:hAnsi="楷体" w:eastAsia="楷体"/>
          <w:b/>
          <w:sz w:val="28"/>
          <w:szCs w:val="28"/>
        </w:rPr>
      </w:pPr>
      <w:r/>
      <w:bookmarkStart w:id="192" w:name="_Toc426469892"/>
      <w:r>
        <w:rPr>
          <w:rFonts w:ascii="楷体" w:hAnsi="楷体" w:eastAsia="楷体"/>
          <w:b/>
          <w:sz w:val="28"/>
          <w:szCs w:val="28"/>
        </w:rPr>
        <w:t xml:space="preserve">3.4</w:t>
      </w:r>
      <w:r>
        <w:rPr>
          <w:rFonts w:hint="eastAsia" w:ascii="楷体" w:hAnsi="楷体" w:eastAsia="楷体"/>
          <w:b/>
          <w:sz w:val="28"/>
          <w:szCs w:val="28"/>
        </w:rPr>
        <w:t xml:space="preserve"> </w:t>
      </w:r>
      <w:r>
        <w:rPr>
          <w:rFonts w:hint="eastAsia" w:ascii="楷体" w:hAnsi="楷体" w:eastAsia="楷体" w:cs="宋体"/>
          <w:b/>
          <w:sz w:val="28"/>
          <w:szCs w:val="28"/>
        </w:rPr>
        <w:t xml:space="preserve">投标文件的编制</w:t>
      </w:r>
      <w:bookmarkEnd w:id="192"/>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sz w:val="28"/>
          <w:szCs w:val="28"/>
        </w:rPr>
        <w:t xml:space="preserve"> </w:t>
      </w:r>
      <w:r>
        <w:rPr>
          <w:rFonts w:hint="eastAsia" w:ascii="宋体" w:hAnsi="宋体" w:cs="宋体"/>
          <w:sz w:val="28"/>
          <w:szCs w:val="28"/>
        </w:rPr>
        <w:t xml:space="preserve">供应商可以按照第六章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 </w:t>
      </w:r>
      <w:r>
        <w:rPr>
          <w:rFonts w:ascii="宋体" w:hAnsi="宋体"/>
          <w:sz w:val="28"/>
          <w:szCs w:val="28"/>
        </w:rPr>
        <w:t xml:space="preserve">供应商应对招标文件中的资格要求、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投标文件的数量：见供应商须知前附表</w:t>
      </w:r>
      <w:r/>
    </w:p>
    <w:p>
      <w:pPr>
        <w:ind w:firstLine="560"/>
        <w:spacing w:line="490" w:lineRule="exact"/>
        <w:rPr>
          <w:rFonts w:ascii="宋体" w:hAnsi="宋体"/>
          <w:sz w:val="28"/>
          <w:szCs w:val="28"/>
        </w:rPr>
      </w:pPr>
      <w:r/>
      <w:bookmarkStart w:id="193" w:name="_Toc367785016"/>
      <w:r/>
      <w:bookmarkStart w:id="194" w:name="_Toc426469894"/>
      <w:r>
        <w:rPr>
          <w:rFonts w:hint="eastAsia" w:ascii="宋体" w:hAnsi="宋体"/>
          <w:sz w:val="28"/>
          <w:szCs w:val="28"/>
        </w:rPr>
        <w:t xml:space="preserve">3.4.4 投标文件的签署：见供应商须知前附表</w:t>
      </w:r>
      <w:bookmarkEnd w:id="65"/>
      <w:r/>
      <w:bookmarkEnd w:id="193"/>
      <w:r/>
      <w:bookmarkEnd w:id="194"/>
      <w:r/>
      <w:r/>
    </w:p>
    <w:p>
      <w:pPr>
        <w:spacing w:line="490" w:lineRule="exact"/>
        <w:rPr>
          <w:rFonts w:ascii="黑体" w:hAnsi="黑体" w:eastAsia="黑体"/>
          <w:sz w:val="32"/>
          <w:szCs w:val="32"/>
        </w:rPr>
      </w:pPr>
      <w:r/>
      <w:bookmarkStart w:id="195" w:name="_Toc383623673"/>
      <w:r/>
      <w:bookmarkStart w:id="196" w:name="_Toc246996230"/>
      <w:r/>
      <w:bookmarkStart w:id="197" w:name="_Toc152045587"/>
      <w:r/>
      <w:bookmarkStart w:id="198" w:name="_Toc152042364"/>
      <w:r/>
      <w:bookmarkStart w:id="199" w:name="_Toc144974554"/>
      <w:r/>
      <w:bookmarkStart w:id="200" w:name="_Toc246996973"/>
      <w:r/>
      <w:bookmarkStart w:id="201" w:name="_Toc179632605"/>
      <w:r/>
      <w:bookmarkStart w:id="202" w:name="_Toc390246906"/>
      <w:r/>
      <w:bookmarkStart w:id="203" w:name="_Toc383698648"/>
      <w:r/>
      <w:bookmarkStart w:id="204" w:name="_Toc383679747"/>
      <w:r/>
      <w:bookmarkStart w:id="205" w:name="_Toc383587457"/>
      <w:r/>
      <w:bookmarkStart w:id="206" w:name="_Toc343525562"/>
      <w:r/>
      <w:bookmarkStart w:id="207" w:name="_Toc383623945"/>
      <w:r/>
      <w:bookmarkStart w:id="208" w:name="_Toc390098841"/>
      <w:r/>
      <w:bookmarkStart w:id="209" w:name="_Toc383438646"/>
      <w:r/>
      <w:bookmarkStart w:id="210" w:name="_Toc383625994"/>
      <w:r/>
      <w:bookmarkStart w:id="211" w:name="_Toc247085745"/>
      <w:r/>
      <w:bookmarkStart w:id="212" w:name="_Toc390099019"/>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供应商应充分考虑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在投标截止时间前，供应商可以修改或撤回已递交的投标文件。具体操作方法见《江苏省政府采购管理交易系统（苏采云）供应商操作手册》。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开标时间和地点：见供应商须知前附表。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（1）系统登录。供应商应在投标截止时间前登录开标大厅。</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（2）供应商解密投标文件。按照系统内提示，在规定的时间内完成投标文件的解密。</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（3）唱标。</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（4）开标记录确认。</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（1）系统服务器发生故障，无法访问或无法使用系统；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（2）系统的软件或数据库出现错误，不能进行正常操作；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（3）系统发现有安全漏洞，有潜在的泄密危险； </w:t>
      </w:r>
      <w:r/>
    </w:p>
    <w:p>
      <w:pPr>
        <w:ind w:firstLine="560"/>
        <w:spacing w:line="490" w:lineRule="exact"/>
        <w:rPr>
          <w:rFonts w:ascii="Arial" w:hAnsi="Arial" w:eastAsia="Arial" w:cs="宋体"/>
          <w:sz w:val="28"/>
          <w:szCs w:val="28"/>
        </w:rPr>
      </w:pPr>
      <w:r>
        <w:rPr>
          <w:rFonts w:ascii="Arial" w:hAnsi="Arial" w:eastAsia="Arial" w:cs="宋体"/>
          <w:sz w:val="28"/>
          <w:szCs w:val="28"/>
        </w:rPr>
        <w:t xml:space="preserve">（4）其他无法保证招投标过程公平和信息安全的情形。</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5.3.2因供应商自身原因造成投标文件无法解密的，视为撤销投标文件。</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5.3.3供应商对开标过程和开标记录有疑义的，可向招标人或者采购代理机构提出。</w:t>
      </w:r>
      <w:r/>
    </w:p>
    <w:p>
      <w:pPr>
        <w:ind w:firstLine="560"/>
        <w:spacing w:line="490" w:lineRule="exact"/>
        <w:rPr>
          <w:rFonts w:ascii="Arial" w:hAnsi="Arial" w:eastAsia="Arial" w:cs="宋体"/>
          <w:sz w:val="28"/>
          <w:szCs w:val="28"/>
        </w:rPr>
      </w:pPr>
      <w:r>
        <w:rPr>
          <w:rFonts w:hint="eastAsia" w:ascii="Arial" w:hAnsi="Arial" w:eastAsia="Arial" w:cs="宋体"/>
          <w:sz w:val="28"/>
          <w:szCs w:val="28"/>
        </w:rPr>
        <w:t xml:space="preserve">5.3.4供应商未在开标系统中确认开标结果的，视同认可开标结果。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评标由招标人依法组建的评标委员会负责。评标委员会由招标人代表，以及有关技术、经济等方面的专家组成。具体人数见供应商须知前附表。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参加采购活动前三年内,与供应商存在劳动关系,或者担任过供应商的董事、监事,或者是供应商的控股股东或实际控制人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与供应商的法定代表人或者负责人有夫妻、直系血亲、三代以内旁系血亲或者近姻亲关系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与供应商有其他可能影响政府采购活动公平、公正进行的关系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9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9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9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9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90" w:lineRule="exact"/>
        <w:rPr>
          <w:rFonts w:ascii="宋体"/>
          <w:sz w:val="28"/>
          <w:szCs w:val="28"/>
        </w:rPr>
      </w:pPr>
      <w:r>
        <w:rPr>
          <w:rFonts w:hint="eastAsia" w:ascii="宋体" w:hAnsi="宋体" w:cs="宋体"/>
          <w:sz w:val="28"/>
          <w:szCs w:val="28"/>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9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90" w:lineRule="exact"/>
        <w:rPr>
          <w:rFonts w:ascii="宋体" w:hAnsi="宋体" w:cs="宋体"/>
          <w:sz w:val="28"/>
          <w:szCs w:val="28"/>
        </w:rPr>
      </w:pPr>
      <w:r>
        <w:rPr>
          <w:rFonts w:hint="eastAsia" w:ascii="宋体" w:hAnsi="宋体" w:cs="宋体"/>
          <w:sz w:val="28"/>
          <w:szCs w:val="28"/>
        </w:rPr>
        <w:t xml:space="preserve">7.2.1自中标人确定之日起2个工作日内，在供应商须知前附表规定的媒介上公告中标结果，公告期限为1个工作日。</w:t>
      </w:r>
      <w:r/>
    </w:p>
    <w:p>
      <w:pPr>
        <w:ind w:firstLine="560"/>
        <w:spacing w:line="49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r>
        <w:rPr>
          <w:rFonts w:ascii="宋体" w:hAnsi="宋体"/>
          <w:sz w:val="28"/>
          <w:szCs w:val="28"/>
        </w:rPr>
        <w:t xml:space="preserve">  </w:t>
      </w:r>
      <w:r/>
    </w:p>
    <w:p>
      <w:pPr>
        <w:spacing w:line="490" w:lineRule="exact"/>
        <w:rPr>
          <w:rFonts w:ascii="黑体" w:hAnsi="黑体" w:eastAsia="黑体"/>
          <w:sz w:val="32"/>
          <w:szCs w:val="32"/>
        </w:rPr>
      </w:pPr>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9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9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中标人应按供应商须知前附表规定的履约保证金的形式、金额和提交时间向招标人提交履约保证金。</w:t>
      </w:r>
      <w:r/>
    </w:p>
    <w:p>
      <w:pPr>
        <w:ind w:firstLine="560"/>
        <w:spacing w:line="49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9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90" w:lineRule="exact"/>
        <w:rPr>
          <w:rFonts w:ascii="宋体"/>
          <w:sz w:val="28"/>
          <w:szCs w:val="28"/>
        </w:rPr>
      </w:pPr>
      <w:r>
        <w:rPr>
          <w:rFonts w:hint="eastAsia" w:ascii="宋体" w:hAnsi="宋体" w:cs="宋体"/>
          <w:sz w:val="28"/>
          <w:szCs w:val="28"/>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90" w:lineRule="exact"/>
        <w:rPr>
          <w:rFonts w:ascii="楷体" w:hAnsi="楷体" w:eastAsia="楷体"/>
          <w:b/>
          <w:sz w:val="28"/>
          <w:szCs w:val="28"/>
        </w:rPr>
      </w:pPr>
      <w:r>
        <w:rPr>
          <w:rFonts w:hint="eastAsia" w:ascii="宋体" w:hAnsi="宋体" w:cs="宋体"/>
          <w:sz w:val="28"/>
        </w:rPr>
        <w:t xml:space="preserve">需要补充的其他内容：见供应商须知前附表。</w:t>
      </w:r>
      <w:bookmarkEnd w:id="40"/>
      <w:r/>
      <w:bookmarkEnd w:id="41"/>
      <w:r/>
      <w:bookmarkEnd w:id="42"/>
      <w:r/>
      <w:bookmarkEnd w:id="43"/>
      <w:r/>
      <w:bookmarkEnd w:id="44"/>
      <w:r/>
      <w:bookmarkEnd w:id="45"/>
      <w:r/>
      <w:bookmarkEnd w:id="46"/>
      <w:r/>
      <w:bookmarkEnd w:id="47"/>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Start w:id="213" w:name="_Hlt26671372"/>
      <w:r/>
      <w:bookmarkEnd w:id="213"/>
      <w:r/>
      <w:bookmarkStart w:id="214" w:name="_Hlt24879081"/>
      <w:r/>
      <w:bookmarkEnd w:id="214"/>
      <w:r/>
      <w:bookmarkStart w:id="215" w:name="_Hlt26580838"/>
      <w:r/>
      <w:bookmarkEnd w:id="215"/>
      <w:r/>
      <w:bookmarkStart w:id="216" w:name="_Hlt26955056"/>
      <w:r/>
      <w:bookmarkEnd w:id="216"/>
      <w:r/>
      <w:bookmarkStart w:id="217" w:name="_Hlt26782999"/>
      <w:r/>
      <w:bookmarkEnd w:id="217"/>
      <w:r/>
      <w:bookmarkStart w:id="218" w:name="_Hlt26955064"/>
      <w:r/>
      <w:bookmarkEnd w:id="218"/>
      <w:r/>
      <w:bookmarkStart w:id="219" w:name="_Hlt26671343"/>
      <w:r/>
      <w:bookmarkEnd w:id="219"/>
      <w:r/>
      <w:bookmarkStart w:id="220" w:name="_Hlt26609391"/>
      <w:r/>
      <w:bookmarkEnd w:id="220"/>
      <w:r/>
      <w:r/>
    </w:p>
    <w:p>
      <w:pPr>
        <w:pStyle w:val="652"/>
        <w:spacing w:line="490" w:lineRule="exact"/>
      </w:pPr>
      <w:r/>
      <w:r/>
    </w:p>
    <w:p>
      <w:pPr>
        <w:pStyle w:val="652"/>
      </w:pPr>
      <w:r/>
      <w:r/>
    </w:p>
    <w:p>
      <w:pPr>
        <w:pStyle w:val="652"/>
      </w:pPr>
      <w:r/>
      <w:r/>
    </w:p>
    <w:p>
      <w:pPr>
        <w:pStyle w:val="652"/>
      </w:pPr>
      <w:r/>
      <w:r/>
    </w:p>
    <w:p>
      <w:pPr>
        <w:pStyle w:val="652"/>
      </w:pPr>
      <w:r/>
      <w:r/>
    </w:p>
    <w:p>
      <w:pPr>
        <w:jc w:val="left"/>
        <w:widowControl/>
      </w:pPr>
      <w:r>
        <w:br w:type="page" w:clear="all"/>
      </w:r>
      <w:r/>
    </w:p>
    <w:p>
      <w:pPr>
        <w:pStyle w:val="710"/>
        <w:ind w:left="-2" w:firstLine="643"/>
        <w:jc w:val="center"/>
        <w:spacing w:line="360" w:lineRule="exact"/>
        <w:rPr>
          <w:rFonts w:ascii="黑体" w:hAnsi="黑体" w:eastAsia="黑体"/>
          <w:b/>
          <w:sz w:val="32"/>
          <w:szCs w:val="32"/>
          <w:highlight w:val="none"/>
        </w:rPr>
        <w:outlineLvl w:val="0"/>
      </w:pPr>
      <w:r>
        <w:rPr>
          <w:rFonts w:hint="eastAsia" w:ascii="黑体" w:hAnsi="黑体" w:eastAsia="黑体"/>
          <w:b/>
          <w:sz w:val="32"/>
          <w:szCs w:val="32"/>
          <w:highlight w:val="none"/>
        </w:rPr>
        <w:t xml:space="preserve">第三章</w:t>
      </w:r>
      <w:r>
        <w:rPr>
          <w:rFonts w:ascii="黑体" w:hAnsi="黑体" w:eastAsia="黑体"/>
          <w:b/>
          <w:sz w:val="32"/>
          <w:szCs w:val="32"/>
          <w:highlight w:val="none"/>
        </w:rPr>
        <w:t xml:space="preserve"> 资格审查及</w:t>
      </w:r>
      <w:r>
        <w:rPr>
          <w:rFonts w:hint="eastAsia" w:ascii="黑体" w:hAnsi="黑体" w:eastAsia="黑体"/>
          <w:b/>
          <w:sz w:val="32"/>
          <w:szCs w:val="32"/>
          <w:highlight w:val="none"/>
        </w:rPr>
        <w:t xml:space="preserve">评标办法</w:t>
      </w:r>
      <w:r/>
    </w:p>
    <w:p>
      <w:pPr>
        <w:keepLines w:val="0"/>
        <w:keepNext w:val="0"/>
        <w:pageBreakBefore w:val="0"/>
        <w:spacing w:line="240" w:lineRule="auto"/>
        <w:widowControl w:val="off"/>
        <w:rPr>
          <w:rFonts w:hint="eastAsia" w:ascii="宋体" w:hAnsi="宋体" w:eastAsia="宋体" w:cs="宋体"/>
          <w:sz w:val="21"/>
          <w:szCs w:val="21"/>
          <w:lang w:val="zh-CN"/>
        </w:rPr>
      </w:pPr>
      <w:r/>
      <w:bookmarkStart w:id="221" w:name="_Toc144974555"/>
      <w:r/>
      <w:bookmarkStart w:id="222" w:name="_Toc152045588"/>
      <w:r/>
      <w:bookmarkStart w:id="223" w:name="_Toc179632606"/>
      <w:r/>
      <w:bookmarkStart w:id="224" w:name="_Toc246996974"/>
      <w:r/>
      <w:bookmarkStart w:id="225" w:name="_Toc247085746"/>
      <w:r/>
      <w:bookmarkStart w:id="226" w:name="_Toc152042365"/>
      <w:r/>
      <w:bookmarkStart w:id="227" w:name="_Toc383438647"/>
      <w:r/>
      <w:bookmarkStart w:id="228" w:name="_Toc426469920"/>
      <w:r/>
      <w:bookmarkStart w:id="229" w:name="_Toc343525563"/>
      <w:r/>
      <w:bookmarkStart w:id="230" w:name="_Toc246996231"/>
      <w:r>
        <w:rPr>
          <w:rFonts w:hint="eastAsia" w:ascii="宋体" w:hAnsi="宋体" w:eastAsia="宋体" w:cs="宋体"/>
          <w:sz w:val="21"/>
          <w:szCs w:val="21"/>
          <w:lang w:val="zh-CN"/>
        </w:rPr>
        <w:t xml:space="preserve">资格审查和评标办法前附表</w:t>
      </w:r>
      <w:bookmarkEnd w:id="221"/>
      <w:r/>
      <w:bookmarkEnd w:id="222"/>
      <w:r/>
      <w:bookmarkEnd w:id="223"/>
      <w:r/>
      <w:bookmarkEnd w:id="224"/>
      <w:r/>
      <w:bookmarkEnd w:id="225"/>
      <w:r/>
      <w:bookmarkEnd w:id="226"/>
      <w:r/>
      <w:bookmarkEnd w:id="227"/>
      <w:r/>
      <w:bookmarkEnd w:id="228"/>
      <w:r/>
      <w:bookmarkEnd w:id="229"/>
      <w:r/>
      <w:bookmarkEnd w:id="230"/>
      <w:r/>
      <w:bookmarkStart w:id="231" w:name="_Toc152042366"/>
      <w:r/>
      <w:bookmarkStart w:id="232" w:name="_Toc152045589"/>
      <w:r/>
      <w:bookmarkStart w:id="233" w:name="_Toc343525564"/>
      <w:r/>
      <w:bookmarkStart w:id="234" w:name="_Toc144974556"/>
      <w:r/>
      <w:bookmarkStart w:id="235" w:name="_Toc246996232"/>
      <w:r/>
      <w:bookmarkStart w:id="236" w:name="_Toc246996975"/>
      <w:r/>
      <w:bookmarkStart w:id="237" w:name="_Toc179632607"/>
      <w:r/>
      <w:bookmarkStart w:id="238" w:name="_Toc247085747"/>
      <w:r/>
      <w:r/>
    </w:p>
    <w:tbl>
      <w:tblPr>
        <w:tblStyle w:val="647"/>
        <w:tblW w:w="9198"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85"/>
        <w:gridCol w:w="423"/>
        <w:gridCol w:w="300"/>
        <w:gridCol w:w="2359"/>
        <w:gridCol w:w="5018"/>
        <w:gridCol w:w="713"/>
      </w:tblGrid>
      <w:tr>
        <w:trPr>
          <w:jc w:val="center"/>
          <w:trHeight w:val="481"/>
        </w:trPr>
        <w:tc>
          <w:tcPr>
            <w:gridSpan w:val="2"/>
            <w:tcBorders>
              <w:top w:val="single" w:color="auto" w:sz="6" w:space="0"/>
              <w:left w:val="single" w:color="auto" w:sz="6" w:space="0"/>
              <w:bottom w:val="single" w:color="auto" w:sz="6" w:space="0"/>
              <w:right w:val="single" w:color="auto" w:sz="6" w:space="0"/>
            </w:tcBorders>
            <w:tcW w:w="808"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条款号</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评审因素</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jc w:val="center"/>
              <w:spacing w:line="400" w:lineRule="exact"/>
              <w:rPr>
                <w:rFonts w:ascii="Arial" w:hAnsi="Arial" w:eastAsia="Arial"/>
              </w:rPr>
            </w:pPr>
            <w:r>
              <w:rPr>
                <w:rFonts w:hint="eastAsia" w:ascii="Arial" w:hAnsi="Arial" w:eastAsia="Arial"/>
              </w:rPr>
              <w:t xml:space="preserve">评审标准</w:t>
            </w:r>
            <w:r/>
          </w:p>
        </w:tc>
      </w:tr>
      <w:tr>
        <w:trPr>
          <w:jc w:val="center"/>
          <w:trHeight w:val="627"/>
        </w:trPr>
        <w:tc>
          <w:tcPr>
            <w:tcBorders>
              <w:top w:val="single" w:color="auto" w:sz="6" w:space="0"/>
              <w:left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w:t>
            </w:r>
            <w:r/>
          </w:p>
        </w:tc>
        <w:tc>
          <w:tcPr>
            <w:tcBorders>
              <w:top w:val="single" w:color="auto" w:sz="6" w:space="0"/>
              <w:left w:val="single" w:color="auto" w:sz="6" w:space="0"/>
              <w:right w:val="single" w:color="auto" w:sz="6" w:space="0"/>
            </w:tcBorders>
            <w:tcW w:w="42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资格审查</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根据供应商提供的承诺函，内容完整且具有法人及法定代表人的印章。（内容及格式参照第六章）</w:t>
            </w:r>
            <w:r/>
          </w:p>
        </w:tc>
      </w:tr>
      <w:tr>
        <w:trPr>
          <w:jc w:val="center"/>
          <w:trHeight w:val="627"/>
        </w:trPr>
        <w:tc>
          <w:tcPr>
            <w:tcBorders>
              <w:left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6" w:space="0"/>
              <w:right w:val="single" w:color="auto" w:sz="6" w:space="0"/>
            </w:tcBorders>
            <w:tcW w:w="42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落实政府采购政策需满足的资格要求</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本项目为专门面向中小企业的项目。提供《中小企业声明函》（格式见附件）</w:t>
            </w:r>
            <w:r/>
          </w:p>
        </w:tc>
      </w:tr>
      <w:tr>
        <w:trPr>
          <w:jc w:val="center"/>
          <w:trHeight w:val="584"/>
        </w:trPr>
        <w:tc>
          <w:tcPr>
            <w:tcBorders>
              <w:left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left w:val="single" w:color="auto" w:sz="6" w:space="0"/>
              <w:right w:val="single" w:color="auto" w:sz="6" w:space="0"/>
            </w:tcBorders>
            <w:tcW w:w="423"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投标人须具有国家自然资源主管部门颁发的有效期范围内</w:t>
            </w:r>
            <w:r>
              <w:rPr>
                <w:rFonts w:hint="eastAsia" w:ascii="宋体" w:hAnsi="宋体" w:cs="宋体"/>
                <w:sz w:val="21"/>
                <w:szCs w:val="21"/>
                <w:lang w:val="zh-CN"/>
              </w:rPr>
              <w:t xml:space="preserve">乙</w:t>
            </w:r>
            <w:r>
              <w:rPr>
                <w:rFonts w:hint="eastAsia" w:ascii="宋体" w:hAnsi="宋体" w:eastAsia="宋体" w:cs="宋体"/>
                <w:sz w:val="21"/>
                <w:szCs w:val="21"/>
                <w:lang w:val="zh-CN"/>
              </w:rPr>
              <w:t xml:space="preserve">级</w:t>
            </w:r>
            <w:r>
              <w:rPr>
                <w:rFonts w:hint="eastAsia" w:ascii="宋体" w:hAnsi="宋体" w:cs="宋体"/>
                <w:sz w:val="21"/>
                <w:szCs w:val="21"/>
                <w:lang w:val="zh-CN"/>
              </w:rPr>
              <w:t xml:space="preserve">及以上</w:t>
            </w:r>
            <w:r>
              <w:rPr>
                <w:rFonts w:hint="eastAsia" w:ascii="宋体" w:hAnsi="宋体" w:eastAsia="宋体" w:cs="宋体"/>
                <w:sz w:val="21"/>
                <w:szCs w:val="21"/>
                <w:lang w:val="zh-CN"/>
              </w:rPr>
              <w:t xml:space="preserve">测绘资质证书</w:t>
            </w:r>
            <w:r>
              <w:rPr>
                <w:rFonts w:hint="eastAsia" w:ascii="宋体" w:hAnsi="宋体" w:cs="宋体"/>
                <w:sz w:val="21"/>
                <w:szCs w:val="21"/>
                <w:lang w:val="zh-CN"/>
              </w:rPr>
              <w:t xml:space="preserve">。</w:t>
            </w:r>
            <w:r/>
          </w:p>
        </w:tc>
      </w:tr>
      <w:tr>
        <w:trPr>
          <w:jc w:val="center"/>
          <w:trHeight w:val="306"/>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b/>
                <w:spacing w:val="-14"/>
              </w:rPr>
            </w:pPr>
            <w:r>
              <w:rPr>
                <w:rFonts w:hint="eastAsia" w:ascii="宋体" w:hAnsi="宋体" w:eastAsia="宋体" w:cs="宋体"/>
                <w:b/>
                <w:spacing w:val="-14"/>
              </w:rPr>
              <w:t xml:space="preserve">1.2项评审内容由采购人负责，投标文件不符合1.2项评审标准的，作无效标处理。</w:t>
            </w:r>
            <w:r/>
          </w:p>
        </w:tc>
      </w:tr>
      <w:tr>
        <w:trPr>
          <w:jc w:val="center"/>
          <w:trHeight w:val="458"/>
        </w:trPr>
        <w:tc>
          <w:tcPr>
            <w:tcBorders>
              <w:top w:val="single" w:color="auto" w:sz="6" w:space="0"/>
              <w:left w:val="single" w:color="auto" w:sz="6" w:space="0"/>
              <w:bottom w:val="single" w:color="auto" w:sz="6" w:space="0"/>
              <w:right w:val="single" w:color="auto" w:sz="6" w:space="0"/>
            </w:tcBorders>
            <w:tcW w:w="385" w:type="dxa"/>
            <w:vAlign w:val="center"/>
            <w:vMerge w:val="restart"/>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pacing w:val="-34"/>
                <w:sz w:val="21"/>
                <w:szCs w:val="21"/>
                <w:lang w:val="zh-CN"/>
              </w:rPr>
              <w:t xml:space="preserve">2.2.2</w:t>
            </w:r>
            <w:r/>
          </w:p>
        </w:tc>
        <w:tc>
          <w:tcPr>
            <w:tcBorders>
              <w:top w:val="single" w:color="auto" w:sz="6" w:space="0"/>
              <w:left w:val="single" w:color="auto" w:sz="6" w:space="0"/>
              <w:bottom w:val="single" w:color="auto" w:sz="6" w:space="0"/>
              <w:right w:val="single" w:color="auto" w:sz="6" w:space="0"/>
            </w:tcBorders>
            <w:tcW w:w="423"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性</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评</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审</w:t>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符合第二章第3.4.4项规定</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有且只有一个有效报价；未超过采购最高限价</w:t>
            </w:r>
            <w:r/>
          </w:p>
        </w:tc>
      </w:tr>
      <w:tr>
        <w:trPr>
          <w:jc w:val="center"/>
          <w:trHeight w:val="33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符合第二章第1.3.2项规定</w:t>
            </w:r>
            <w:r/>
          </w:p>
        </w:tc>
      </w:tr>
      <w:tr>
        <w:trPr>
          <w:jc w:val="center"/>
          <w:trHeight w:val="408"/>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投标有效期</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符合第二章第3.3.1项规定</w:t>
            </w:r>
            <w:r/>
          </w:p>
        </w:tc>
      </w:tr>
      <w:tr>
        <w:trPr>
          <w:jc w:val="center"/>
          <w:trHeight w:val="344"/>
        </w:trPr>
        <w:tc>
          <w:tcPr>
            <w:tcBorders>
              <w:top w:val="single" w:color="auto" w:sz="6" w:space="0"/>
              <w:left w:val="single" w:color="auto" w:sz="6" w:space="0"/>
              <w:bottom w:val="single" w:color="auto" w:sz="6" w:space="0"/>
              <w:right w:val="single" w:color="auto" w:sz="6" w:space="0"/>
            </w:tcBorders>
            <w:tcW w:w="385"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Borders>
              <w:top w:val="single" w:color="auto" w:sz="6" w:space="0"/>
              <w:left w:val="single" w:color="auto" w:sz="6" w:space="0"/>
              <w:bottom w:val="single" w:color="auto" w:sz="6" w:space="0"/>
              <w:right w:val="single" w:color="auto" w:sz="6" w:space="0"/>
            </w:tcBorders>
            <w:tcW w:w="423" w:type="dxa"/>
            <w:vAlign w:val="center"/>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r>
            <w:r/>
          </w:p>
        </w:tc>
        <w:tc>
          <w:tcPr>
            <w:gridSpan w:val="2"/>
            <w:tcBorders>
              <w:top w:val="single" w:color="auto" w:sz="6" w:space="0"/>
              <w:left w:val="single" w:color="auto" w:sz="6" w:space="0"/>
              <w:bottom w:val="single" w:color="auto" w:sz="6" w:space="0"/>
              <w:right w:val="single" w:color="auto" w:sz="6" w:space="0"/>
            </w:tcBorders>
            <w:tcW w:w="265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偏离</w:t>
            </w:r>
            <w:r/>
          </w:p>
        </w:tc>
        <w:tc>
          <w:tcPr>
            <w:gridSpan w:val="2"/>
            <w:tcBorders>
              <w:top w:val="single" w:color="auto" w:sz="6" w:space="0"/>
              <w:left w:val="single" w:color="auto" w:sz="6" w:space="0"/>
              <w:bottom w:val="single" w:color="auto" w:sz="6" w:space="0"/>
              <w:right w:val="single" w:color="auto" w:sz="6" w:space="0"/>
            </w:tcBorders>
            <w:tcW w:w="5731" w:type="dxa"/>
            <w:vAlign w:val="center"/>
            <w:textDirection w:val="lrTb"/>
            <w:noWrap w:val="false"/>
          </w:tcPr>
          <w:p>
            <w:pPr>
              <w:keepLines w:val="0"/>
              <w:keepNext w:val="0"/>
              <w:pageBreakBefore w:val="0"/>
              <w:spacing w:line="240" w:lineRule="auto"/>
              <w:widowControl w:val="off"/>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第五章采购需求不允许负偏离</w:t>
            </w:r>
            <w:r/>
          </w:p>
        </w:tc>
      </w:tr>
      <w:tr>
        <w:trPr>
          <w:jc w:val="center"/>
          <w:trHeight w:val="376"/>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460" w:lineRule="exact"/>
              <w:rPr>
                <w:rFonts w:hint="eastAsia" w:ascii="宋体" w:hAnsi="宋体" w:eastAsia="宋体" w:cs="宋体"/>
                <w:spacing w:val="-18"/>
              </w:rPr>
            </w:pPr>
            <w:r>
              <w:rPr>
                <w:rFonts w:hint="eastAsia" w:ascii="宋体" w:hAnsi="宋体" w:eastAsia="宋体" w:cs="宋体"/>
                <w:b/>
                <w:spacing w:val="-14"/>
              </w:rPr>
              <w:t xml:space="preserve">2.2.2项评审内容由评标委员会负责，投标文件不符合2.2.2项评审标准的，作无效标处理。</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z w:val="24"/>
                <w:szCs w:val="24"/>
              </w:rPr>
              <w:t xml:space="preserve">项目</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z w:val="24"/>
                <w:szCs w:val="24"/>
              </w:rPr>
              <w:t xml:space="preserve">评分内容</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keepLines w:val="0"/>
              <w:keepNext w:val="0"/>
              <w:pageBreakBefore w:val="0"/>
              <w:spacing w:line="240" w:lineRule="auto"/>
              <w:widowControl w:val="off"/>
              <w:rPr>
                <w:rFonts w:hint="eastAsia" w:ascii="宋体"/>
                <w:b/>
              </w:rPr>
            </w:pPr>
            <w:r>
              <w:rPr>
                <w:rFonts w:hint="eastAsia" w:ascii="宋体" w:hAnsi="宋体" w:eastAsia="宋体" w:cs="宋体"/>
                <w:b/>
                <w:bCs/>
                <w:spacing w:val="-28"/>
                <w:sz w:val="24"/>
                <w:szCs w:val="24"/>
              </w:rPr>
              <w:t xml:space="preserve">最高分</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eastAsia="宋体" w:cs="宋体"/>
                <w:lang w:val="en-US" w:eastAsia="zh-CN"/>
              </w:rPr>
              <w:t xml:space="preserve">价格</w:t>
            </w:r>
            <w:r>
              <w:rPr>
                <w:rFonts w:hint="eastAsia" w:ascii="宋体" w:hAnsi="宋体" w:eastAsia="宋体" w:cs="宋体"/>
              </w:rPr>
              <w:t xml:space="preserve">评审</w:t>
            </w:r>
            <w:r>
              <w:rPr>
                <w:rFonts w:hint="eastAsia" w:ascii="宋体" w:hAnsi="宋体" w:eastAsia="宋体" w:cs="宋体"/>
                <w:bCs/>
                <w:color w:val="000000" w:themeColor="text1"/>
                <w14:textFill>
                  <w14:solidFill>
                    <w14:schemeClr w14:val="tx1"/>
                  </w14:solidFill>
                </w14:textFill>
              </w:rPr>
              <w:t xml:space="preserve">（</w:t>
            </w:r>
            <w:r>
              <w:rPr>
                <w:rFonts w:hint="eastAsia" w:ascii="宋体" w:hAnsi="宋体" w:eastAsia="宋体" w:cs="宋体"/>
                <w:bCs/>
                <w:color w:val="000000" w:themeColor="text1"/>
                <w:lang w:val="en-US" w:eastAsia="zh-CN"/>
                <w14:textFill>
                  <w14:solidFill>
                    <w14:schemeClr w14:val="tx1"/>
                  </w14:solidFill>
                </w14:textFill>
              </w:rPr>
              <w:t xml:space="preserve">1</w:t>
            </w:r>
            <w:r>
              <w:rPr>
                <w:rFonts w:hint="eastAsia" w:ascii="宋体" w:hAnsi="宋体" w:cs="宋体"/>
                <w:bCs/>
                <w:color w:val="000000" w:themeColor="text1"/>
                <w:lang w:val="en-US" w:eastAsia="zh-CN"/>
                <w14:textFill>
                  <w14:solidFill>
                    <w14:schemeClr w14:val="tx1"/>
                  </w14:solidFill>
                </w14:textFill>
              </w:rPr>
              <w:t xml:space="preserve">5</w:t>
            </w:r>
            <w:r>
              <w:rPr>
                <w:rFonts w:hint="eastAsia" w:ascii="宋体" w:hAnsi="宋体" w:eastAsia="宋体" w:cs="宋体"/>
                <w:bCs/>
                <w:color w:val="000000" w:themeColor="text1"/>
                <w14:textFill>
                  <w14:solidFill>
                    <w14:schemeClr w14:val="tx1"/>
                  </w14:solidFill>
                </w14:textFill>
              </w:rPr>
              <w:t xml:space="preserve">分）</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spacing w:line="400" w:lineRule="exact"/>
              <w:rPr>
                <w:rFonts w:hint="eastAsia" w:ascii="宋体" w:hAnsi="宋体" w:eastAsia="宋体" w:cs="宋体"/>
                <w:sz w:val="21"/>
                <w:szCs w:val="21"/>
                <w:lang w:val="zh-CN"/>
              </w:rPr>
            </w:pPr>
            <w:r>
              <w:rPr>
                <w:rFonts w:hint="eastAsia" w:ascii="宋体" w:hAnsi="宋体" w:eastAsia="宋体" w:cs="宋体"/>
                <w:sz w:val="21"/>
                <w:szCs w:val="21"/>
                <w:lang w:val="zh-CN"/>
              </w:rPr>
              <w:t xml:space="preserve">报价部分</w:t>
            </w:r>
            <w:r/>
          </w:p>
          <w:p>
            <w:pPr>
              <w:jc w:val="center"/>
              <w:spacing w:line="400" w:lineRule="exact"/>
              <w:rPr>
                <w:rFonts w:hint="eastAsia" w:ascii="宋体"/>
                <w:b/>
              </w:rPr>
            </w:pP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w:t>
            </w:r>
            <w:r>
              <w:rPr>
                <w:rFonts w:hint="eastAsia" w:ascii="宋体" w:hAnsi="宋体" w:eastAsia="宋体" w:cs="宋体"/>
                <w:sz w:val="21"/>
                <w:szCs w:val="21"/>
                <w:lang w:val="zh-CN" w:eastAsia="zh-CN"/>
              </w:rPr>
              <w:t xml:space="preserve">）</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资格性审查和符合性审查合格且投标价格最低为评标基准价，其价格分为</w:t>
            </w:r>
            <w:r>
              <w:rPr>
                <w:rFonts w:hint="eastAsia" w:ascii="宋体" w:hAnsi="宋体" w:cs="宋体"/>
                <w:sz w:val="21"/>
                <w:szCs w:val="21"/>
                <w:lang w:val="en-US" w:eastAsia="zh-CN"/>
              </w:rPr>
              <w:t xml:space="preserve">15</w:t>
            </w:r>
            <w:r>
              <w:rPr>
                <w:rFonts w:hint="eastAsia" w:ascii="宋体" w:hAnsi="宋体" w:eastAsia="宋体" w:cs="宋体"/>
                <w:sz w:val="21"/>
                <w:szCs w:val="21"/>
                <w:lang w:val="zh-CN"/>
              </w:rPr>
              <w:t xml:space="preserve">分。其他投标人的价格分按照下列公式计算（小数点保留两位）：投标报价得分=（评标基准价／投标报价）×1</w:t>
            </w:r>
            <w:r>
              <w:rPr>
                <w:rFonts w:hint="eastAsia" w:ascii="宋体" w:hAnsi="宋体" w:cs="宋体"/>
                <w:sz w:val="21"/>
                <w:szCs w:val="21"/>
                <w:lang w:val="en-US" w:eastAsia="zh-CN"/>
              </w:rPr>
              <w:t xml:space="preserve">5</w:t>
            </w:r>
            <w:r>
              <w:rPr>
                <w:rFonts w:hint="eastAsia" w:ascii="宋体" w:hAnsi="宋体" w:eastAsia="宋体" w:cs="宋体"/>
                <w:sz w:val="21"/>
                <w:szCs w:val="21"/>
                <w:lang w:val="zh-CN"/>
              </w:rPr>
              <w:t xml:space="preserve">分（保留两位小数）。</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b/>
                <w:lang w:val="en-US"/>
              </w:rPr>
            </w:pPr>
            <w:r>
              <w:rPr>
                <w:rFonts w:hint="eastAsia" w:ascii="宋体" w:hAnsi="宋体" w:cs="宋体"/>
                <w:szCs w:val="21"/>
                <w:lang w:val="en-US" w:eastAsia="zh-CN"/>
              </w:rPr>
              <w:t xml:space="preserve">15</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eastAsia="宋体" w:cs="宋体"/>
                <w:lang w:val="zh-CN" w:eastAsia="zh-CN"/>
              </w:rPr>
              <w:t xml:space="preserve">技术评审（</w:t>
            </w:r>
            <w:r>
              <w:rPr>
                <w:rFonts w:hint="eastAsia" w:ascii="宋体" w:hAnsi="宋体" w:cs="宋体"/>
                <w:lang w:val="en-US" w:eastAsia="zh-CN"/>
              </w:rPr>
              <w:t xml:space="preserve">37</w:t>
            </w:r>
            <w:r>
              <w:rPr>
                <w:rFonts w:hint="eastAsia" w:ascii="宋体" w:hAnsi="宋体" w:eastAsia="宋体" w:cs="宋体"/>
                <w:lang w:val="zh-CN" w:eastAsia="zh-CN"/>
              </w:rPr>
              <w:t xml:space="preserve">分）</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技术方案</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投标人对本项目任务及目标进行解读，需合理制定科学的</w:t>
            </w:r>
            <w:r>
              <w:rPr>
                <w:rFonts w:hint="eastAsia" w:ascii="宋体" w:hAnsi="宋体" w:eastAsia="宋体" w:cs="宋体"/>
                <w:sz w:val="21"/>
                <w:szCs w:val="21"/>
                <w:lang w:val="zh-CN" w:eastAsia="zh-CN"/>
              </w:rPr>
              <w:t xml:space="preserve">一体化调查监测</w:t>
            </w:r>
            <w:r>
              <w:rPr>
                <w:rFonts w:hint="eastAsia" w:ascii="宋体" w:hAnsi="宋体" w:eastAsia="宋体" w:cs="宋体"/>
                <w:sz w:val="21"/>
                <w:szCs w:val="21"/>
                <w:lang w:val="zh-CN"/>
              </w:rPr>
              <w:t xml:space="preserve">技术方案。根据投标人制定的</w:t>
            </w:r>
            <w:r>
              <w:rPr>
                <w:rFonts w:hint="eastAsia" w:ascii="宋体" w:hAnsi="宋体" w:eastAsia="宋体" w:cs="宋体"/>
                <w:sz w:val="21"/>
                <w:szCs w:val="21"/>
                <w:lang w:val="zh-CN" w:eastAsia="zh-CN"/>
              </w:rPr>
              <w:t xml:space="preserve">一体化调查监测</w:t>
            </w:r>
            <w:r>
              <w:rPr>
                <w:rFonts w:hint="eastAsia" w:ascii="宋体" w:hAnsi="宋体" w:eastAsia="宋体" w:cs="宋体"/>
                <w:sz w:val="21"/>
                <w:szCs w:val="21"/>
                <w:lang w:val="zh-CN"/>
              </w:rPr>
              <w:t xml:space="preserve">技术方案进行打分：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理解全面，内容完整，路线准确，方法得当，精度把握精准，可操作性强的得</w:t>
            </w:r>
            <w:r>
              <w:rPr>
                <w:rFonts w:hint="eastAsia" w:ascii="宋体" w:hAnsi="宋体" w:cs="宋体"/>
                <w:sz w:val="21"/>
                <w:szCs w:val="21"/>
                <w:lang w:val="en-US" w:eastAsia="zh-CN"/>
              </w:rPr>
              <w:t xml:space="preserve">8</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理解</w:t>
            </w:r>
            <w:r>
              <w:rPr>
                <w:rFonts w:hint="eastAsia" w:ascii="宋体" w:hAnsi="宋体" w:cs="宋体"/>
                <w:color w:val="auto"/>
                <w:sz w:val="21"/>
                <w:szCs w:val="21"/>
                <w:lang w:val="zh-CN"/>
              </w:rPr>
              <w:t xml:space="preserve">较</w:t>
            </w:r>
            <w:r>
              <w:rPr>
                <w:rFonts w:hint="eastAsia" w:ascii="宋体" w:hAnsi="宋体" w:eastAsia="宋体" w:cs="宋体"/>
                <w:color w:val="auto"/>
                <w:sz w:val="21"/>
                <w:szCs w:val="21"/>
                <w:lang w:val="zh-CN"/>
              </w:rPr>
              <w:t xml:space="preserve">全面，内容</w:t>
            </w:r>
            <w:r>
              <w:rPr>
                <w:rFonts w:hint="eastAsia" w:ascii="宋体" w:hAnsi="宋体" w:cs="宋体"/>
                <w:color w:val="auto"/>
                <w:sz w:val="21"/>
                <w:szCs w:val="21"/>
                <w:lang w:val="zh-CN"/>
              </w:rPr>
              <w:t xml:space="preserve">较</w:t>
            </w:r>
            <w:r>
              <w:rPr>
                <w:rFonts w:hint="eastAsia" w:ascii="宋体" w:hAnsi="宋体" w:eastAsia="宋体" w:cs="宋体"/>
                <w:color w:val="auto"/>
                <w:sz w:val="21"/>
                <w:szCs w:val="21"/>
                <w:lang w:val="zh-CN"/>
              </w:rPr>
              <w:t xml:space="preserve">完整，路线</w:t>
            </w:r>
            <w:r>
              <w:rPr>
                <w:rFonts w:hint="eastAsia" w:ascii="宋体" w:hAnsi="宋体" w:cs="宋体"/>
                <w:color w:val="auto"/>
                <w:sz w:val="21"/>
                <w:szCs w:val="21"/>
                <w:lang w:val="zh-CN"/>
              </w:rPr>
              <w:t xml:space="preserve">较</w:t>
            </w:r>
            <w:r>
              <w:rPr>
                <w:rFonts w:hint="eastAsia" w:ascii="宋体" w:hAnsi="宋体" w:eastAsia="宋体" w:cs="宋体"/>
                <w:color w:val="auto"/>
                <w:sz w:val="21"/>
                <w:szCs w:val="21"/>
                <w:lang w:val="zh-CN"/>
              </w:rPr>
              <w:t xml:space="preserve">准确，方法基本得当，精度把握相对精准，可操作性</w:t>
            </w:r>
            <w:r>
              <w:rPr>
                <w:rFonts w:hint="eastAsia" w:ascii="宋体" w:hAnsi="宋体" w:cs="宋体"/>
                <w:color w:val="auto"/>
                <w:sz w:val="21"/>
                <w:szCs w:val="21"/>
                <w:lang w:val="zh-CN"/>
              </w:rPr>
              <w:t xml:space="preserve">较强</w:t>
            </w:r>
            <w:r>
              <w:rPr>
                <w:rFonts w:hint="eastAsia" w:ascii="宋体" w:hAnsi="宋体" w:eastAsia="宋体" w:cs="宋体"/>
                <w:color w:val="auto"/>
                <w:sz w:val="21"/>
                <w:szCs w:val="21"/>
                <w:lang w:val="zh-CN"/>
              </w:rPr>
              <w:t xml:space="preserve">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理解一般，内容简单，路线一般，方法一般，精度把握一般，可操作性一般的得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320" w:lineRule="exact"/>
              <w:rPr>
                <w:rFonts w:hint="default" w:ascii="宋体" w:eastAsia="宋体"/>
                <w:b/>
                <w:lang w:val="en-US" w:eastAsia="zh-CN"/>
              </w:rPr>
            </w:pPr>
            <w:r>
              <w:rPr>
                <w:rFonts w:hint="eastAsia" w:ascii="宋体"/>
                <w:b w:val="0"/>
                <w:bCs/>
                <w:lang w:val="en-US" w:eastAsia="zh-CN"/>
              </w:rPr>
              <w:t xml:space="preserve">8</w:t>
            </w:r>
            <w:r/>
          </w:p>
        </w:tc>
      </w:tr>
      <w:tr>
        <w:trPr>
          <w:jc w:val="center"/>
          <w:trHeight w:val="399"/>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进度保证</w:t>
            </w:r>
            <w:r/>
          </w:p>
          <w:p>
            <w:pPr>
              <w:jc w:val="center"/>
              <w:rPr>
                <w:rFonts w:hint="eastAsia" w:ascii="宋体"/>
                <w:b/>
              </w:rPr>
            </w:pPr>
            <w:r>
              <w:rPr>
                <w:rFonts w:hint="eastAsia" w:ascii="宋体" w:hAnsi="宋体" w:eastAsia="宋体" w:cs="宋体"/>
                <w:sz w:val="21"/>
                <w:szCs w:val="21"/>
                <w:lang w:val="zh-CN"/>
              </w:rPr>
              <w:t xml:space="preserve">措施</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单位组织机构齐全，各项制度健全，责任分工明确，成立</w:t>
            </w:r>
            <w:r>
              <w:rPr>
                <w:rFonts w:hint="eastAsia" w:ascii="宋体" w:hAnsi="宋体" w:cs="宋体"/>
                <w:sz w:val="21"/>
                <w:szCs w:val="21"/>
                <w:lang w:val="zh-CN"/>
              </w:rPr>
              <w:t xml:space="preserve">项目</w:t>
            </w:r>
            <w:r>
              <w:rPr>
                <w:rFonts w:hint="eastAsia" w:ascii="宋体" w:hAnsi="宋体" w:eastAsia="宋体" w:cs="宋体"/>
                <w:sz w:val="21"/>
                <w:szCs w:val="21"/>
                <w:lang w:val="zh-CN"/>
              </w:rPr>
              <w:t xml:space="preserve">工作</w:t>
            </w:r>
            <w:r>
              <w:rPr>
                <w:rFonts w:hint="eastAsia" w:ascii="宋体" w:hAnsi="宋体" w:cs="宋体"/>
                <w:sz w:val="21"/>
                <w:szCs w:val="21"/>
                <w:lang w:val="zh-CN"/>
              </w:rPr>
              <w:t xml:space="preserve">小</w:t>
            </w:r>
            <w:r>
              <w:rPr>
                <w:rFonts w:hint="eastAsia" w:ascii="宋体" w:hAnsi="宋体" w:eastAsia="宋体" w:cs="宋体"/>
                <w:sz w:val="21"/>
                <w:szCs w:val="21"/>
                <w:lang w:val="zh-CN"/>
              </w:rPr>
              <w:t xml:space="preserve">组。项目进度安排科学合理，有完善的工期管理措施。根据投标人项目管理和进度安排措施进行打分：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单位组织机构齐全，各项制度健全，责任分工明确，成立</w:t>
            </w:r>
            <w:r>
              <w:rPr>
                <w:rFonts w:hint="eastAsia" w:ascii="宋体" w:hAnsi="宋体" w:cs="宋体"/>
                <w:sz w:val="21"/>
                <w:szCs w:val="21"/>
                <w:lang w:val="zh-CN"/>
              </w:rPr>
              <w:t xml:space="preserve">项目</w:t>
            </w:r>
            <w:r>
              <w:rPr>
                <w:rFonts w:hint="eastAsia" w:ascii="宋体" w:hAnsi="宋体" w:eastAsia="宋体" w:cs="宋体"/>
                <w:sz w:val="21"/>
                <w:szCs w:val="21"/>
                <w:lang w:val="zh-CN"/>
              </w:rPr>
              <w:t xml:space="preserve">工作</w:t>
            </w:r>
            <w:r>
              <w:rPr>
                <w:rFonts w:hint="eastAsia" w:ascii="宋体" w:hAnsi="宋体" w:cs="宋体"/>
                <w:sz w:val="21"/>
                <w:szCs w:val="21"/>
                <w:lang w:val="zh-CN"/>
              </w:rPr>
              <w:t xml:space="preserve">小</w:t>
            </w:r>
            <w:r>
              <w:rPr>
                <w:rFonts w:hint="eastAsia" w:ascii="宋体" w:hAnsi="宋体" w:eastAsia="宋体" w:cs="宋体"/>
                <w:sz w:val="21"/>
                <w:szCs w:val="21"/>
                <w:lang w:val="zh-CN"/>
              </w:rPr>
              <w:t xml:space="preserve">组。项目进度安排科学合理、可行性强的得</w:t>
            </w:r>
            <w:r>
              <w:rPr>
                <w:rFonts w:hint="eastAsia" w:ascii="宋体" w:hAnsi="宋体" w:cs="宋体"/>
                <w:sz w:val="21"/>
                <w:szCs w:val="21"/>
                <w:lang w:val="en-US" w:eastAsia="zh-CN"/>
              </w:rPr>
              <w:t xml:space="preserve">8</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单位组织机构较齐全，各项制度较健全，责任分工较明确。项目进度安排较科学合理、可行性较强的得</w:t>
            </w:r>
            <w:r>
              <w:rPr>
                <w:rFonts w:hint="eastAsia" w:ascii="宋体" w:hAnsi="宋体" w:cs="宋体"/>
                <w:sz w:val="21"/>
                <w:szCs w:val="21"/>
                <w:lang w:val="en-US" w:eastAsia="zh-CN"/>
              </w:rPr>
              <w:t xml:space="preserve">6</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单位组织机构基本齐全，各项制度基本健全。项目进度安排一般、可行性弱的得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8</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质量保证</w:t>
            </w:r>
            <w:r/>
          </w:p>
          <w:p>
            <w:pPr>
              <w:jc w:val="center"/>
              <w:rPr>
                <w:rFonts w:hint="eastAsia" w:ascii="宋体"/>
                <w:b/>
              </w:rPr>
            </w:pPr>
            <w:r>
              <w:rPr>
                <w:rFonts w:hint="eastAsia" w:ascii="宋体" w:hAnsi="宋体" w:eastAsia="宋体" w:cs="宋体"/>
                <w:sz w:val="21"/>
                <w:szCs w:val="21"/>
                <w:lang w:val="zh-CN"/>
              </w:rPr>
              <w:t xml:space="preserve">措施</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cs="宋体"/>
                <w:sz w:val="21"/>
                <w:szCs w:val="21"/>
                <w:lang w:val="en-US" w:eastAsia="zh-CN"/>
              </w:rPr>
              <w:t xml:space="preserve">两</w:t>
            </w:r>
            <w:r>
              <w:rPr>
                <w:rFonts w:hint="eastAsia" w:ascii="宋体" w:hAnsi="宋体" w:eastAsia="宋体" w:cs="宋体"/>
                <w:sz w:val="21"/>
                <w:szCs w:val="21"/>
                <w:lang w:val="zh-CN"/>
              </w:rPr>
              <w:t xml:space="preserve">级</w:t>
            </w:r>
            <w:r>
              <w:rPr>
                <w:rFonts w:hint="eastAsia" w:ascii="宋体" w:hAnsi="宋体" w:cs="宋体"/>
                <w:sz w:val="21"/>
                <w:szCs w:val="21"/>
                <w:lang w:val="zh-CN"/>
              </w:rPr>
              <w:t xml:space="preserve">检查</w:t>
            </w:r>
            <w:r>
              <w:rPr>
                <w:rFonts w:hint="eastAsia" w:ascii="宋体" w:hAnsi="宋体" w:eastAsia="宋体" w:cs="宋体"/>
                <w:sz w:val="21"/>
                <w:szCs w:val="21"/>
                <w:lang w:val="zh-CN"/>
              </w:rPr>
              <w:t xml:space="preserve">质量管理人员齐全，保证措施合理。根据投标人质量保证措施进行打分：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措施科学合理、可行性强的得</w:t>
            </w:r>
            <w:r>
              <w:rPr>
                <w:rFonts w:hint="eastAsia" w:ascii="宋体" w:hAnsi="宋体" w:cs="宋体"/>
                <w:sz w:val="21"/>
                <w:szCs w:val="21"/>
                <w:lang w:val="en-US" w:eastAsia="zh-CN"/>
              </w:rPr>
              <w:t xml:space="preserve">8</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措施较科学合理、可行性较强的得</w:t>
            </w:r>
            <w:r>
              <w:rPr>
                <w:rFonts w:hint="eastAsia" w:ascii="宋体" w:hAnsi="宋体" w:cs="宋体"/>
                <w:sz w:val="21"/>
                <w:szCs w:val="21"/>
                <w:lang w:val="en-US" w:eastAsia="zh-CN"/>
              </w:rPr>
              <w:t xml:space="preserve">6</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措施一般、可行性弱的得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8</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安全保密</w:t>
            </w:r>
            <w:r/>
          </w:p>
          <w:p>
            <w:pPr>
              <w:jc w:val="center"/>
              <w:rPr>
                <w:rFonts w:hint="eastAsia" w:ascii="宋体"/>
                <w:b/>
              </w:rPr>
            </w:pPr>
            <w:r>
              <w:rPr>
                <w:rFonts w:hint="eastAsia" w:ascii="宋体" w:hAnsi="宋体" w:eastAsia="宋体" w:cs="宋体"/>
                <w:sz w:val="21"/>
                <w:szCs w:val="21"/>
                <w:lang w:val="zh-CN"/>
              </w:rPr>
              <w:t xml:space="preserve">措施</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对项目进行安全生产管理及项目保密管理。根据投标人的安全生产及项目保密措施进行打分：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安全生产到位、措施科学合理、可行性强的得</w:t>
            </w:r>
            <w:r>
              <w:rPr>
                <w:rFonts w:hint="eastAsia" w:ascii="宋体" w:hAnsi="宋体" w:cs="宋体"/>
                <w:sz w:val="21"/>
                <w:szCs w:val="21"/>
                <w:lang w:val="en-US" w:eastAsia="zh-CN"/>
              </w:rPr>
              <w:t xml:space="preserve">6</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安全生产较到位、措施较科学合理、可行性较强的得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安全生产基本到位、措施一般、可行性弱的得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6</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合理化</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建议</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能够根据本地实际情况，结合本次</w:t>
            </w:r>
            <w:r>
              <w:rPr>
                <w:rFonts w:hint="eastAsia" w:ascii="宋体" w:hAnsi="宋体" w:eastAsia="宋体" w:cs="宋体"/>
                <w:sz w:val="21"/>
                <w:szCs w:val="21"/>
                <w:lang w:val="zh-CN" w:eastAsia="zh-CN"/>
              </w:rPr>
              <w:t xml:space="preserve">一体化调查监测</w:t>
            </w:r>
            <w:r>
              <w:rPr>
                <w:rFonts w:hint="eastAsia" w:ascii="宋体" w:hAnsi="宋体" w:eastAsia="宋体" w:cs="宋体"/>
                <w:sz w:val="21"/>
                <w:szCs w:val="21"/>
                <w:lang w:val="zh-CN"/>
              </w:rPr>
              <w:t xml:space="preserve">项目相关需求，充分合理利用现有数据及资料，分析本项目重点、难点工作，并为高质量完成本项目提出合理化建议。根据建议的科学性、合理性、规范性和可操作性进行打分。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建议科学合理、可行性强的得</w:t>
            </w: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建议较合理、可行性较强的得</w:t>
            </w:r>
            <w:r>
              <w:rPr>
                <w:rFonts w:hint="eastAsia" w:ascii="宋体" w:hAnsi="宋体" w:cs="宋体"/>
                <w:sz w:val="21"/>
                <w:szCs w:val="21"/>
                <w:lang w:val="en-US" w:eastAsia="zh-CN"/>
              </w:rPr>
              <w:t xml:space="preserve">3</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建议基本合理、可行性弱的得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eastAsia" w:ascii="宋体"/>
                <w:b/>
              </w:rPr>
            </w:pPr>
            <w:r>
              <w:rPr>
                <w:rFonts w:hint="eastAsia" w:ascii="宋体" w:hAnsi="宋体" w:cs="宋体"/>
                <w:szCs w:val="21"/>
                <w:lang w:val="en-US" w:eastAsia="zh-CN"/>
              </w:rPr>
              <w:t xml:space="preserve">4</w:t>
            </w:r>
            <w:r/>
          </w:p>
        </w:tc>
      </w:tr>
      <w:tr>
        <w:trPr>
          <w:jc w:val="center"/>
          <w:trHeight w:val="1247"/>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售后服务</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方案</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对提供的售后服务方案、售后服务承诺落实的保障措施，后续技术支持和维护能力情况进行打分</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方案科学合理、措施可行性强的得</w:t>
            </w:r>
            <w:r>
              <w:rPr>
                <w:rFonts w:hint="eastAsia" w:ascii="宋体" w:hAnsi="宋体" w:cs="宋体"/>
                <w:sz w:val="21"/>
                <w:szCs w:val="21"/>
                <w:lang w:val="en-US" w:eastAsia="zh-CN"/>
              </w:rPr>
              <w:t xml:space="preserve">3</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方案较科学合理、措施可行性较强的得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方案一般、措施可行性弱的得分</w:t>
            </w:r>
            <w:r>
              <w:rPr>
                <w:rFonts w:hint="eastAsia" w:ascii="宋体" w:hAnsi="宋体" w:cs="宋体"/>
                <w:sz w:val="21"/>
                <w:szCs w:val="21"/>
                <w:lang w:val="en-US" w:eastAsia="zh-CN"/>
              </w:rPr>
              <w:t xml:space="preserve">1分</w:t>
            </w:r>
            <w:r>
              <w:rPr>
                <w:rFonts w:hint="eastAsia" w:ascii="宋体" w:hAnsi="宋体" w:eastAsia="宋体" w:cs="宋体"/>
                <w:sz w:val="21"/>
                <w:szCs w:val="21"/>
                <w:lang w:val="zh-CN"/>
              </w:rPr>
              <w:t xml:space="preserve">；</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未提供的不得分。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hAnsi="宋体" w:cs="宋体"/>
                <w:szCs w:val="21"/>
                <w:lang w:val="en-US" w:eastAsia="zh-CN"/>
              </w:rPr>
            </w:pPr>
            <w:r>
              <w:rPr>
                <w:rFonts w:hint="eastAsia" w:ascii="宋体" w:hAnsi="宋体" w:cs="宋体"/>
                <w:szCs w:val="21"/>
                <w:lang w:val="en-US" w:eastAsia="zh-CN"/>
              </w:rPr>
              <w:t xml:space="preserve">3</w:t>
            </w:r>
            <w:r/>
          </w:p>
        </w:tc>
      </w:tr>
      <w:tr>
        <w:trPr>
          <w:jc w:val="center"/>
          <w:trHeight w:val="274"/>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jc w:val="center"/>
              <w:spacing w:line="320" w:lineRule="exact"/>
              <w:rPr>
                <w:rFonts w:hint="eastAsia" w:ascii="宋体"/>
                <w:b/>
              </w:rPr>
            </w:pPr>
            <w:r>
              <w:rPr>
                <w:rFonts w:hint="eastAsia" w:ascii="宋体" w:hAnsi="宋体" w:cs="宋体"/>
                <w:sz w:val="21"/>
                <w:szCs w:val="21"/>
                <w:lang w:val="en-US" w:eastAsia="zh-CN"/>
              </w:rPr>
              <w:t xml:space="preserve">商务评审（48分）</w:t>
            </w:r>
            <w:r/>
          </w:p>
        </w:tc>
      </w:tr>
      <w:tr>
        <w:trPr>
          <w:jc w:val="center"/>
          <w:trHeight w:val="277"/>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企业资信</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1、投标人具有IS09001质量管理体系认证、IS010012测量管理体系认证、ISO27001信息安全管理体系认证、ISO20000信息技术管理体系认证的，有一项得1分，最高得4分。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2、投标人获得省级及以上测绘地理信息行政主管部门颁发的“测绘质量表彰单位”荣誉称号的得3分。</w:t>
            </w:r>
            <w:r/>
          </w:p>
          <w:p>
            <w:pPr>
              <w:keepLines w:val="0"/>
              <w:keepNext w:val="0"/>
              <w:pageBreakBefore w:val="0"/>
              <w:spacing w:line="240" w:lineRule="auto"/>
              <w:widowControl w:val="off"/>
              <w:rPr>
                <w:rFonts w:hint="eastAsia" w:ascii="宋体"/>
                <w:b/>
              </w:rPr>
            </w:pPr>
            <w:r>
              <w:rPr>
                <w:rFonts w:hint="eastAsia" w:ascii="宋体" w:hAnsi="宋体" w:eastAsia="宋体" w:cs="宋体"/>
                <w:sz w:val="21"/>
                <w:szCs w:val="21"/>
                <w:lang w:val="zh-CN"/>
              </w:rPr>
              <w:t xml:space="preserve">注：提供证书复印件加盖单位公章。 </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b/>
                <w:lang w:val="en-US"/>
              </w:rPr>
            </w:pPr>
            <w:r>
              <w:rPr>
                <w:rFonts w:hint="eastAsia" w:ascii="宋体" w:hAnsi="宋体" w:cs="宋体"/>
                <w:szCs w:val="21"/>
                <w:lang w:val="en-US" w:eastAsia="zh-CN"/>
              </w:rPr>
              <w:t xml:space="preserve">7</w:t>
            </w:r>
            <w:r/>
          </w:p>
        </w:tc>
      </w:tr>
      <w:tr>
        <w:trPr>
          <w:jc w:val="center"/>
          <w:trHeight w:val="274"/>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业绩情况</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1、自2022年1月1日以来（以合同签订时间为准）承担过国土变更调查类或林草湿</w:t>
            </w:r>
            <w:r>
              <w:rPr>
                <w:rFonts w:hint="eastAsia" w:ascii="宋体" w:hAnsi="宋体" w:cs="宋体"/>
                <w:sz w:val="21"/>
                <w:szCs w:val="21"/>
                <w:lang w:val="zh-CN"/>
              </w:rPr>
              <w:t xml:space="preserve">沙</w:t>
            </w:r>
            <w:r>
              <w:rPr>
                <w:rFonts w:hint="eastAsia" w:ascii="宋体" w:hAnsi="宋体" w:eastAsia="宋体" w:cs="宋体"/>
                <w:sz w:val="21"/>
                <w:szCs w:val="21"/>
                <w:lang w:val="zh-CN"/>
              </w:rPr>
              <w:t xml:space="preserve">调查类项目，每有</w:t>
            </w:r>
            <w:r>
              <w:rPr>
                <w:rFonts w:hint="eastAsia" w:ascii="宋体" w:hAnsi="宋体" w:cs="宋体"/>
                <w:sz w:val="21"/>
                <w:szCs w:val="21"/>
                <w:lang w:val="en-US" w:eastAsia="zh-CN"/>
              </w:rPr>
              <w:t xml:space="preserve">1</w:t>
            </w:r>
            <w:r>
              <w:rPr>
                <w:rFonts w:hint="eastAsia" w:ascii="宋体" w:hAnsi="宋体" w:eastAsia="宋体" w:cs="宋体"/>
                <w:sz w:val="21"/>
                <w:szCs w:val="21"/>
                <w:lang w:val="zh-CN"/>
              </w:rPr>
              <w:t xml:space="preserve">个得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分，本项最高得6分。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2、自2022年1月1日以来（以合同签订时间为准）承担过国土变更调查检查服务（或年度数据核查服务）类项目，省级及以上的每有一个得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分，本项最高得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仿宋" w:hAnsi="仿宋" w:eastAsia="仿宋"/>
                <w:sz w:val="24"/>
                <w:szCs w:val="24"/>
              </w:rPr>
            </w:pPr>
            <w:r>
              <w:rPr>
                <w:rFonts w:hint="eastAsia" w:ascii="宋体" w:hAnsi="宋体" w:eastAsia="宋体" w:cs="宋体"/>
                <w:sz w:val="21"/>
                <w:szCs w:val="21"/>
                <w:lang w:val="zh-CN" w:eastAsia="zh-CN"/>
              </w:rPr>
              <w:t xml:space="preserve">注：转包和分包合同无效，须提供合同原件扫描件，否则不得分。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b/>
                <w:lang w:val="en-US"/>
              </w:rPr>
            </w:pPr>
            <w:r>
              <w:rPr>
                <w:rFonts w:hint="eastAsia" w:ascii="宋体" w:hAnsi="宋体" w:cs="宋体"/>
                <w:szCs w:val="21"/>
                <w:lang w:val="en-US" w:eastAsia="zh-CN"/>
              </w:rPr>
              <w:t xml:space="preserve">12</w:t>
            </w:r>
            <w:r/>
          </w:p>
        </w:tc>
      </w:tr>
      <w:tr>
        <w:trPr>
          <w:jc w:val="center"/>
          <w:trHeight w:val="90"/>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获奖情况</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1、2022年1月1日以来，投标人承担的调查类项目获得国家优秀测绘工程奖或国家级地理信息产业优秀工程奖的，每提供1例得2分，最高得4分。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2、2022年1月1日以来，投标人承担的调查类项目获得省级及以上优秀测绘工程奖或省级及以上地理信息产业优秀工程奖的，每提供1例得</w:t>
            </w: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分，最高得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注：提供证书复印件加盖单位公章。同一项目按最高等级计分，不重复计分。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b/>
                <w:lang w:val="en-US"/>
              </w:rPr>
            </w:pPr>
            <w:r>
              <w:rPr>
                <w:rFonts w:hint="eastAsia" w:ascii="宋体" w:hAnsi="宋体" w:cs="宋体"/>
                <w:szCs w:val="21"/>
                <w:lang w:val="en-US" w:eastAsia="zh-CN"/>
              </w:rPr>
              <w:t xml:space="preserve">8</w:t>
            </w:r>
            <w:r/>
          </w:p>
        </w:tc>
      </w:tr>
      <w:tr>
        <w:trPr>
          <w:jc w:val="center"/>
          <w:trHeight w:val="202"/>
        </w:trPr>
        <w:tc>
          <w:tcPr>
            <w:gridSpan w:val="3"/>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项目人员</w:t>
            </w:r>
            <w:r/>
          </w:p>
          <w:p>
            <w:pPr>
              <w:jc w:val="cente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构成</w:t>
            </w:r>
            <w:r/>
          </w:p>
        </w:tc>
        <w:tc>
          <w:tcPr>
            <w:gridSpan w:val="2"/>
            <w:tcBorders>
              <w:top w:val="single" w:color="auto" w:sz="6" w:space="0"/>
              <w:left w:val="single" w:color="auto" w:sz="6" w:space="0"/>
              <w:bottom w:val="single" w:color="auto" w:sz="6" w:space="0"/>
              <w:right w:val="single" w:color="auto" w:sz="6" w:space="0"/>
            </w:tcBorders>
            <w:tcW w:w="7377"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项目负责人具有测绘类高级及以上工程师证书、注册测绘师证书，每有一项得</w:t>
            </w:r>
            <w:r>
              <w:rPr>
                <w:rFonts w:hint="eastAsia" w:ascii="宋体" w:hAnsi="宋体" w:cs="宋体"/>
                <w:sz w:val="21"/>
                <w:szCs w:val="21"/>
                <w:lang w:val="en-US" w:eastAsia="zh-CN"/>
              </w:rPr>
              <w:t xml:space="preserve">3</w:t>
            </w:r>
            <w:r>
              <w:rPr>
                <w:rFonts w:hint="eastAsia" w:ascii="宋体" w:hAnsi="宋体" w:eastAsia="宋体" w:cs="宋体"/>
                <w:sz w:val="21"/>
                <w:szCs w:val="21"/>
                <w:lang w:val="zh-CN"/>
              </w:rPr>
              <w:t xml:space="preserve">分，最高得6分；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项目技术负责人具有测绘类高级及以上工程师证书、注册测绘师证书，每有一项得</w:t>
            </w:r>
            <w:r>
              <w:rPr>
                <w:rFonts w:hint="eastAsia" w:ascii="宋体" w:hAnsi="宋体" w:cs="宋体"/>
                <w:sz w:val="21"/>
                <w:szCs w:val="21"/>
                <w:lang w:val="en-US" w:eastAsia="zh-CN"/>
              </w:rPr>
              <w:t xml:space="preserve">3</w:t>
            </w:r>
            <w:r>
              <w:rPr>
                <w:rFonts w:hint="eastAsia" w:ascii="宋体" w:hAnsi="宋体" w:eastAsia="宋体" w:cs="宋体"/>
                <w:sz w:val="21"/>
                <w:szCs w:val="21"/>
                <w:lang w:val="zh-CN"/>
              </w:rPr>
              <w:t xml:space="preserve">分，最高得6分；</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cs="宋体"/>
                <w:sz w:val="21"/>
                <w:szCs w:val="21"/>
                <w:lang w:val="zh-CN"/>
              </w:rPr>
              <w:t xml:space="preserve">、</w:t>
            </w:r>
            <w:r>
              <w:rPr>
                <w:rFonts w:hint="eastAsia" w:ascii="宋体" w:hAnsi="宋体" w:eastAsia="宋体" w:cs="宋体"/>
                <w:sz w:val="21"/>
                <w:szCs w:val="21"/>
                <w:lang w:val="zh-CN"/>
              </w:rPr>
              <w:t xml:space="preserve">项目质量负责人具有测绘类高级及以上工程师证书、注册测绘师证书，每有一项得</w:t>
            </w:r>
            <w:r>
              <w:rPr>
                <w:rFonts w:hint="eastAsia" w:ascii="宋体" w:hAnsi="宋体" w:cs="宋体"/>
                <w:sz w:val="21"/>
                <w:szCs w:val="21"/>
                <w:lang w:val="en-US" w:eastAsia="zh-CN"/>
              </w:rPr>
              <w:t xml:space="preserve">3</w:t>
            </w:r>
            <w:r>
              <w:rPr>
                <w:rFonts w:hint="eastAsia" w:ascii="宋体" w:hAnsi="宋体" w:eastAsia="宋体" w:cs="宋体"/>
                <w:sz w:val="21"/>
                <w:szCs w:val="21"/>
                <w:lang w:val="zh-CN"/>
              </w:rPr>
              <w:t xml:space="preserve">分，最高得</w:t>
            </w:r>
            <w:r>
              <w:rPr>
                <w:rFonts w:hint="eastAsia" w:ascii="宋体" w:hAnsi="宋体" w:eastAsia="宋体" w:cs="宋体"/>
                <w:sz w:val="21"/>
                <w:szCs w:val="21"/>
                <w:lang w:val="en-US" w:eastAsia="zh-CN"/>
              </w:rPr>
              <w:t xml:space="preserve">6分</w:t>
            </w:r>
            <w:r>
              <w:rPr>
                <w:rFonts w:hint="eastAsia" w:ascii="宋体" w:hAnsi="宋体" w:eastAsia="宋体" w:cs="宋体"/>
                <w:sz w:val="21"/>
                <w:szCs w:val="21"/>
                <w:lang w:val="zh-CN"/>
              </w:rPr>
              <w:t xml:space="preserve">；</w:t>
            </w:r>
            <w:r/>
          </w:p>
          <w:p>
            <w:pPr>
              <w:keepLines w:val="0"/>
              <w:keepNext w:val="0"/>
              <w:pageBreakBefore w:val="0"/>
              <w:spacing w:line="240" w:lineRule="auto"/>
              <w:widowControl w:val="off"/>
              <w:rPr>
                <w:rFonts w:hint="eastAsia" w:ascii="宋体" w:hAnsi="宋体" w:eastAsia="宋体" w:cs="宋体"/>
                <w:sz w:val="21"/>
                <w:szCs w:val="21"/>
                <w:lang w:val="zh-CN"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zh-CN"/>
              </w:rPr>
              <w:t xml:space="preserve">项目组成员中具有测绘中级及以上工程师15人以上的，得3分；人数达到10—15人的，得2分；人数在10人以下的，得1分。本项目最高得3分</w:t>
            </w:r>
            <w:r>
              <w:rPr>
                <w:rFonts w:hint="eastAsia" w:ascii="宋体" w:hAnsi="宋体" w:eastAsia="宋体" w:cs="宋体"/>
                <w:sz w:val="21"/>
                <w:szCs w:val="21"/>
                <w:lang w:val="zh-CN" w:eastAsia="zh-CN"/>
              </w:rPr>
              <w:t xml:space="preserve">；</w:t>
            </w:r>
            <w:r/>
          </w:p>
          <w:p>
            <w:pPr>
              <w:keepLines w:val="0"/>
              <w:keepNext w:val="0"/>
              <w:pageBreakBefore w:val="0"/>
              <w:spacing w:line="240" w:lineRule="auto"/>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注：以上项目团队人员不得相互兼任，须提供职称证书（职称证书不能体现专业的需提供职称评审表或毕业证书）、投标人为其缴纳的</w:t>
            </w:r>
            <w:r>
              <w:rPr>
                <w:rFonts w:hint="eastAsia" w:ascii="宋体" w:hAnsi="宋体" w:eastAsia="宋体" w:cs="宋体"/>
                <w:sz w:val="21"/>
                <w:szCs w:val="21"/>
                <w:lang w:val="en-US" w:eastAsia="zh-CN"/>
              </w:rPr>
              <w:t xml:space="preserve">上个月或当月</w:t>
            </w:r>
            <w:r>
              <w:rPr>
                <w:rFonts w:hint="eastAsia" w:ascii="宋体" w:hAnsi="宋体" w:eastAsia="宋体" w:cs="宋体"/>
                <w:sz w:val="21"/>
                <w:szCs w:val="21"/>
                <w:lang w:val="zh-CN"/>
              </w:rPr>
              <w:t xml:space="preserve">的有效社保证明材料编入投标文件，否则不得分。</w:t>
            </w:r>
            <w:r/>
          </w:p>
        </w:tc>
        <w:tc>
          <w:tcPr>
            <w:tcBorders>
              <w:top w:val="single" w:color="auto" w:sz="6" w:space="0"/>
              <w:left w:val="single" w:color="auto" w:sz="6" w:space="0"/>
              <w:bottom w:val="single" w:color="auto" w:sz="6" w:space="0"/>
              <w:right w:val="single" w:color="auto" w:sz="6" w:space="0"/>
            </w:tcBorders>
            <w:tcW w:w="713" w:type="dxa"/>
            <w:vAlign w:val="center"/>
            <w:textDirection w:val="lrTb"/>
            <w:noWrap w:val="false"/>
          </w:tcPr>
          <w:p>
            <w:pPr>
              <w:jc w:val="center"/>
              <w:spacing w:line="400" w:lineRule="exact"/>
              <w:rPr>
                <w:rFonts w:hint="default" w:ascii="宋体" w:hAnsi="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cs="宋体"/>
                <w:szCs w:val="21"/>
                <w:lang w:val="en-US" w:eastAsia="zh-CN"/>
              </w:rPr>
              <w:t xml:space="preserve">1</w:t>
            </w:r>
            <w:r/>
          </w:p>
        </w:tc>
      </w:tr>
      <w:tr>
        <w:trPr>
          <w:jc w:val="center"/>
          <w:trHeight w:val="1405"/>
        </w:trPr>
        <w:tc>
          <w:tcPr>
            <w:gridSpan w:val="6"/>
            <w:tcBorders>
              <w:top w:val="single" w:color="auto" w:sz="6" w:space="0"/>
              <w:left w:val="single" w:color="auto" w:sz="6" w:space="0"/>
              <w:bottom w:val="single" w:color="auto" w:sz="6" w:space="0"/>
              <w:right w:val="single" w:color="auto" w:sz="6" w:space="0"/>
            </w:tcBorders>
            <w:tcW w:w="9198" w:type="dxa"/>
            <w:vAlign w:val="center"/>
            <w:textDirection w:val="lrTb"/>
            <w:noWrap w:val="false"/>
          </w:tcPr>
          <w:p>
            <w:pPr>
              <w:pStyle w:val="651"/>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注：1.上述所有荣誉证书、资格证书、获奖证书或证明性文件等，供应商须确保真实有效，有据可查；</w:t>
            </w:r>
            <w:r/>
          </w:p>
          <w:p>
            <w:pPr>
              <w:jc w:val="left"/>
              <w:spacing w:line="400" w:lineRule="exact"/>
              <w:rPr>
                <w:rFonts w:hint="eastAsia" w:ascii="宋体" w:hAnsi="宋体" w:cs="宋体"/>
                <w:szCs w:val="21"/>
                <w:lang w:val="en-US" w:eastAsia="zh-CN"/>
              </w:rPr>
            </w:pPr>
            <w:r>
              <w:rPr>
                <w:rFonts w:hint="eastAsia" w:ascii="宋体" w:hAnsi="宋体" w:eastAsia="宋体" w:cs="宋体"/>
                <w:sz w:val="21"/>
                <w:szCs w:val="21"/>
                <w:lang w:val="en-US" w:eastAsia="zh-CN" w:bidi="ar-SA"/>
              </w:rPr>
              <w:t xml:space="preserve">2.签订合同前，采购人有权对中标人相关原件进行核查，如发现提供虚假材料，一切后果由供应商承担。</w:t>
            </w:r>
            <w:r/>
          </w:p>
        </w:tc>
      </w:tr>
    </w:tbl>
    <w:p>
      <w:r/>
      <w:r/>
    </w:p>
    <w:p>
      <w:pPr>
        <w:jc w:val="left"/>
        <w:spacing w:line="500" w:lineRule="exact"/>
        <w:rPr>
          <w:rFonts w:hint="eastAsia" w:ascii="黑体" w:hAnsi="黑体" w:eastAsia="黑体"/>
          <w:sz w:val="32"/>
          <w:szCs w:val="32"/>
        </w:rPr>
      </w:pPr>
      <w:r/>
      <w:bookmarkStart w:id="239" w:name="_Toc426469921"/>
      <w:r>
        <w:rPr>
          <w:rFonts w:hint="eastAsia" w:ascii="黑体" w:hAnsi="黑体" w:eastAsia="黑体"/>
          <w:sz w:val="32"/>
          <w:szCs w:val="32"/>
          <w:lang w:val="zh-CN"/>
        </w:rPr>
        <w:t xml:space="preserve">1.资格审查</w:t>
      </w:r>
      <w:r/>
    </w:p>
    <w:p>
      <w:pPr>
        <w:pStyle w:val="652"/>
        <w:spacing w:line="500" w:lineRule="exact"/>
        <w:rPr>
          <w:rFonts w:ascii="Arial" w:hAnsi="Arial" w:eastAsia="Arial"/>
          <w:sz w:val="28"/>
          <w:szCs w:val="28"/>
        </w:rPr>
      </w:pPr>
      <w:r>
        <w:rPr>
          <w:rFonts w:hint="eastAsia" w:ascii="Arial" w:hAnsi="Arial" w:eastAsia="Arial"/>
          <w:sz w:val="28"/>
          <w:szCs w:val="28"/>
        </w:rPr>
        <w:t xml:space="preserve">1.1项目开标结束后，招标人对投标人的资格进行审查。</w:t>
      </w:r>
      <w:r/>
    </w:p>
    <w:p>
      <w:pPr>
        <w:pStyle w:val="652"/>
        <w:spacing w:line="500" w:lineRule="exact"/>
        <w:rPr>
          <w:rFonts w:ascii="Arial" w:hAnsi="Arial" w:eastAsia="Arial"/>
          <w:sz w:val="28"/>
          <w:szCs w:val="28"/>
        </w:rPr>
      </w:pPr>
      <w:r>
        <w:rPr>
          <w:rFonts w:hint="eastAsia" w:ascii="Arial" w:hAnsi="Arial" w:eastAsia="Arial"/>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9"/>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2"/>
        <w:ind w:firstLine="560"/>
        <w:spacing w:line="500" w:lineRule="exact"/>
        <w:rPr>
          <w:rFonts w:ascii="宋体" w:hAnsi="宋体"/>
          <w:sz w:val="28"/>
          <w:szCs w:val="28"/>
        </w:rPr>
      </w:pPr>
      <w:r>
        <w:rPr>
          <w:rFonts w:hint="eastAsia" w:ascii="Arial" w:hAnsi="Arial" w:eastAsia="Arial"/>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2"/>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2"/>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Arial" w:hAnsi="Arial" w:eastAsia="Arial"/>
          <w:sz w:val="28"/>
          <w:szCs w:val="28"/>
        </w:rPr>
        <w:t xml:space="preserve">资格审查和评标办法</w:t>
      </w:r>
      <w:r>
        <w:rPr>
          <w:rFonts w:hint="eastAsia" w:ascii="宋体" w:hAnsi="宋体"/>
          <w:sz w:val="28"/>
          <w:szCs w:val="28"/>
        </w:rPr>
        <w:t xml:space="preserve">前附表。</w:t>
      </w:r>
      <w:r/>
    </w:p>
    <w:p>
      <w:pPr>
        <w:pStyle w:val="652"/>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40"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2"/>
        <w:ind w:firstLine="560"/>
        <w:spacing w:line="500" w:lineRule="exact"/>
        <w:rPr>
          <w:rFonts w:ascii="Arial" w:hAnsi="Arial" w:eastAsia="Arial"/>
          <w:sz w:val="28"/>
          <w:szCs w:val="28"/>
        </w:rPr>
      </w:pPr>
      <w:r>
        <w:rPr>
          <w:rFonts w:hint="eastAsia" w:ascii="Arial" w:hAnsi="Arial" w:eastAsia="Arial"/>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2"/>
        <w:ind w:firstLine="560"/>
        <w:spacing w:line="500" w:lineRule="exact"/>
        <w:rPr>
          <w:rFonts w:ascii="Arial" w:hAnsi="Arial" w:eastAsia="Arial"/>
          <w:sz w:val="28"/>
          <w:szCs w:val="28"/>
        </w:rPr>
      </w:pPr>
      <w:r>
        <w:rPr>
          <w:rFonts w:hint="eastAsia" w:ascii="Arial" w:hAnsi="Arial" w:eastAsia="Arial"/>
          <w:sz w:val="28"/>
          <w:szCs w:val="28"/>
        </w:rPr>
        <w:t xml:space="preserve">投标文件报价出现前后不一致的，按照下列规定修正： </w:t>
      </w:r>
      <w:r/>
    </w:p>
    <w:p>
      <w:pPr>
        <w:pStyle w:val="652"/>
        <w:ind w:firstLine="280"/>
        <w:spacing w:line="440" w:lineRule="exact"/>
        <w:rPr>
          <w:rFonts w:ascii="Arial" w:hAnsi="Arial" w:eastAsia="Arial"/>
          <w:sz w:val="28"/>
          <w:szCs w:val="28"/>
        </w:rPr>
      </w:pPr>
      <w:r>
        <w:rPr>
          <w:rFonts w:hint="eastAsia" w:ascii="Arial" w:hAnsi="Arial" w:eastAsia="Arial"/>
          <w:sz w:val="28"/>
          <w:szCs w:val="28"/>
        </w:rPr>
        <w:t xml:space="preserve">（1）投标文件中开标一览表内容与投标文件中相应内容不一致的，以开标一览表为准； </w:t>
      </w:r>
      <w:r/>
    </w:p>
    <w:p>
      <w:pPr>
        <w:pStyle w:val="652"/>
        <w:ind w:firstLine="280"/>
        <w:spacing w:line="440" w:lineRule="exact"/>
        <w:rPr>
          <w:rFonts w:ascii="Arial" w:hAnsi="Arial" w:eastAsia="Arial"/>
          <w:sz w:val="28"/>
          <w:szCs w:val="28"/>
        </w:rPr>
      </w:pPr>
      <w:r>
        <w:rPr>
          <w:rFonts w:hint="eastAsia" w:ascii="Arial" w:hAnsi="Arial" w:eastAsia="Arial"/>
          <w:sz w:val="28"/>
          <w:szCs w:val="28"/>
        </w:rPr>
        <w:t xml:space="preserve">（2）大写金额和小写金额不一致的，以大写金额为准； </w:t>
      </w:r>
      <w:r/>
    </w:p>
    <w:p>
      <w:pPr>
        <w:pStyle w:val="652"/>
        <w:ind w:firstLine="280"/>
        <w:spacing w:line="440" w:lineRule="exact"/>
        <w:rPr>
          <w:rFonts w:ascii="Arial" w:hAnsi="Arial" w:eastAsia="Arial"/>
          <w:sz w:val="28"/>
          <w:szCs w:val="28"/>
        </w:rPr>
      </w:pPr>
      <w:r>
        <w:rPr>
          <w:rFonts w:hint="eastAsia" w:ascii="Arial" w:hAnsi="Arial" w:eastAsia="Arial"/>
          <w:sz w:val="28"/>
          <w:szCs w:val="28"/>
        </w:rPr>
        <w:t xml:space="preserve">（3）单价金额小数点或者百分比有明显错位的，以开标一览表的总价为准，并修改单价； </w:t>
      </w:r>
      <w:r/>
    </w:p>
    <w:p>
      <w:pPr>
        <w:pStyle w:val="652"/>
        <w:ind w:firstLine="280"/>
        <w:spacing w:line="440" w:lineRule="exact"/>
        <w:rPr>
          <w:rFonts w:ascii="Arial" w:hAnsi="Arial" w:eastAsia="Arial"/>
          <w:sz w:val="28"/>
          <w:szCs w:val="28"/>
        </w:rPr>
      </w:pPr>
      <w:r>
        <w:rPr>
          <w:rFonts w:hint="eastAsia" w:ascii="Arial" w:hAnsi="Arial" w:eastAsia="Arial"/>
          <w:sz w:val="28"/>
          <w:szCs w:val="28"/>
        </w:rPr>
        <w:t xml:space="preserve">（4）总价金额与按单价汇总金额不一致的，以单价金额计算结果为准。 </w:t>
      </w:r>
      <w:r/>
    </w:p>
    <w:p>
      <w:pPr>
        <w:pStyle w:val="652"/>
        <w:ind w:firstLine="560"/>
        <w:spacing w:line="440" w:lineRule="exact"/>
        <w:rPr>
          <w:rFonts w:ascii="Arial" w:hAnsi="Arial" w:eastAsia="Arial"/>
          <w:sz w:val="28"/>
          <w:szCs w:val="28"/>
        </w:rPr>
      </w:pPr>
      <w:r>
        <w:rPr>
          <w:rFonts w:hint="eastAsia" w:ascii="Arial" w:hAnsi="Arial" w:eastAsia="Arial"/>
          <w:sz w:val="28"/>
          <w:szCs w:val="28"/>
        </w:rPr>
        <w:t xml:space="preserve">同时出现两种以上不一致的，按照前款规定的顺序修正。修正后的报价按照本章第2.5条的规定经投标人确认后产生约束力，投标人不确认的，其投标无效。</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2"/>
        <w:ind w:firstLine="560"/>
        <w:spacing w:line="500" w:lineRule="exact"/>
        <w:rPr>
          <w:rFonts w:ascii="Arial" w:hAnsi="Arial" w:eastAsia="Arial"/>
          <w:sz w:val="28"/>
          <w:szCs w:val="28"/>
        </w:rPr>
      </w:pPr>
      <w:r>
        <w:rPr>
          <w:rFonts w:hint="eastAsia" w:ascii="Arial" w:hAnsi="Arial" w:eastAsia="Arial"/>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2"/>
        <w:ind w:firstLine="560"/>
        <w:spacing w:line="500" w:lineRule="exact"/>
        <w:rPr>
          <w:rFonts w:ascii="Arial" w:hAnsi="Arial" w:eastAsia="Arial"/>
          <w:sz w:val="28"/>
          <w:szCs w:val="28"/>
        </w:rPr>
      </w:pPr>
      <w:r>
        <w:rPr>
          <w:rFonts w:hint="eastAsia" w:ascii="Arial" w:hAnsi="Arial" w:eastAsia="Arial"/>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2"/>
        <w:spacing w:line="500" w:lineRule="exact"/>
        <w:rPr>
          <w:rFonts w:hint="eastAsia" w:ascii="楷体" w:hAnsi="楷体" w:eastAsia="楷体"/>
          <w:b/>
          <w:sz w:val="28"/>
          <w:szCs w:val="28"/>
          <w:lang w:val="en-US" w:eastAsia="zh-CN"/>
        </w:rPr>
      </w:pPr>
      <w:r>
        <w:rPr>
          <w:rFonts w:hint="eastAsia" w:ascii="楷体" w:hAnsi="楷体" w:eastAsia="楷体"/>
          <w:b/>
          <w:sz w:val="28"/>
          <w:szCs w:val="28"/>
        </w:rPr>
        <w:t xml:space="preserve">3.</w:t>
      </w:r>
      <w:r>
        <w:rPr>
          <w:rFonts w:hint="eastAsia" w:ascii="楷体" w:hAnsi="楷体" w:eastAsia="楷体"/>
          <w:b/>
          <w:sz w:val="28"/>
          <w:szCs w:val="28"/>
          <w:lang w:val="en-US" w:eastAsia="zh-CN"/>
        </w:rPr>
        <w:t xml:space="preserve">3异常低价审查</w:t>
      </w:r>
      <w:r/>
    </w:p>
    <w:p>
      <w:pPr>
        <w:ind w:firstLine="480"/>
        <w:spacing w:line="480" w:lineRule="exact"/>
        <w:rPr>
          <w:rFonts w:hint="eastAsia" w:ascii="宋体" w:hAnsi="宋体" w:eastAsia="宋体" w:cs="宋体"/>
          <w:sz w:val="28"/>
          <w:szCs w:val="28"/>
          <w:lang w:val="en-US" w:eastAsia="zh-CN" w:bidi="ar-SA"/>
        </w:rPr>
      </w:pPr>
      <w:r>
        <w:rPr>
          <w:rFonts w:hint="eastAsia" w:ascii="Arial" w:hAnsi="Arial" w:eastAsia="Arial" w:cs="Times New Roman"/>
          <w:sz w:val="28"/>
          <w:szCs w:val="28"/>
          <w:lang w:val="en-US" w:eastAsia="zh-CN" w:bidi="ar-SA"/>
        </w:rPr>
        <w:t xml:space="preserve">3.3.1</w:t>
      </w:r>
      <w:r>
        <w:rPr>
          <w:rFonts w:hint="eastAsia" w:ascii="宋体" w:hAnsi="宋体" w:eastAsia="宋体" w:cs="宋体"/>
          <w:sz w:val="28"/>
          <w:szCs w:val="28"/>
          <w:lang w:val="en-US" w:eastAsia="zh-CN" w:bidi="ar-SA"/>
        </w:rPr>
        <w:t xml:space="preserve">评审过程中出现下列情形之一的，评标委员会应当启动异常低价投标（响应）审查程序： </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（3）投标(响应)报价低于采购项目最高限价45%的，即投标(响应)报价&lt;采购项目最高限价×45%；</w:t>
      </w:r>
      <w:r/>
    </w:p>
    <w:p>
      <w:pPr>
        <w:ind w:firstLine="48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ind w:firstLine="480"/>
        <w:spacing w:line="480" w:lineRule="exact"/>
        <w:rPr>
          <w:rFonts w:hint="eastAsia" w:ascii="宋体" w:hAnsi="宋体" w:eastAsia="宋体" w:cs="宋体"/>
          <w:sz w:val="28"/>
          <w:szCs w:val="28"/>
          <w:lang w:val="en-US" w:eastAsia="zh-CN" w:bidi="ar-SA"/>
        </w:rPr>
      </w:pPr>
      <w:r>
        <w:rPr>
          <w:rFonts w:hint="eastAsia" w:ascii="Arial" w:hAnsi="Arial" w:eastAsia="Arial" w:cs="Times New Roman"/>
          <w:sz w:val="28"/>
          <w:szCs w:val="28"/>
          <w:lang w:val="en-US" w:eastAsia="zh-CN" w:bidi="ar-SA"/>
        </w:rPr>
        <w:t xml:space="preserve">3.3.2</w:t>
      </w:r>
      <w:r>
        <w:rPr>
          <w:rFonts w:hint="eastAsia" w:ascii="宋体" w:hAnsi="宋体" w:eastAsia="宋体" w:cs="宋体"/>
          <w:sz w:val="28"/>
          <w:szCs w:val="28"/>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2"/>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2"/>
        <w:ind w:firstLine="560"/>
        <w:spacing w:line="500" w:lineRule="exact"/>
        <w:rPr>
          <w:rFonts w:ascii="Arial" w:hAnsi="Arial" w:eastAsia="Arial"/>
          <w:sz w:val="28"/>
          <w:szCs w:val="28"/>
        </w:rPr>
      </w:pPr>
      <w:r>
        <w:rPr>
          <w:rFonts w:hint="eastAsia" w:ascii="Arial" w:hAnsi="Arial" w:eastAsia="Arial"/>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2"/>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Arial" w:hAnsi="Arial" w:eastAsia="Arial"/>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2"/>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2"/>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2"/>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（1）投标文件无法解密；</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（2）投标文件未在规定的时间内解密成功。</w:t>
      </w:r>
      <w:r/>
    </w:p>
    <w:p>
      <w:pPr>
        <w:pStyle w:val="652"/>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2"/>
        <w:spacing w:after="0" w:line="50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（1）符合性评审时，投标文件出现不符合</w:t>
      </w:r>
      <w:r>
        <w:rPr>
          <w:rFonts w:ascii="Arial" w:hAnsi="Arial" w:eastAsia="Arial"/>
          <w:sz w:val="28"/>
          <w:szCs w:val="28"/>
        </w:rPr>
        <w:t xml:space="preserve">2.</w:t>
      </w:r>
      <w:r>
        <w:rPr>
          <w:rFonts w:hint="eastAsia" w:ascii="Arial" w:hAnsi="Arial" w:eastAsia="Arial"/>
          <w:sz w:val="28"/>
          <w:szCs w:val="28"/>
        </w:rPr>
        <w:t xml:space="preserve">2.2项评审标准之一的；</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（2）投标人不确认评标委员会提出的投标报价修正意见的；</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（3）未按照评标委员会要求提供书面说明及相关证明材料证明其报价合理性的；</w:t>
      </w:r>
      <w:r/>
    </w:p>
    <w:p>
      <w:pPr>
        <w:pStyle w:val="652"/>
        <w:ind w:firstLine="560"/>
        <w:spacing w:after="0" w:line="500" w:lineRule="exact"/>
        <w:rPr>
          <w:rFonts w:ascii="Arial" w:hAnsi="Arial" w:eastAsia="Arial"/>
          <w:sz w:val="28"/>
          <w:szCs w:val="28"/>
        </w:rPr>
      </w:pPr>
      <w:r>
        <w:rPr>
          <w:rFonts w:hint="eastAsia" w:ascii="Arial" w:hAnsi="Arial" w:eastAsia="Arial"/>
          <w:sz w:val="28"/>
          <w:szCs w:val="28"/>
        </w:rPr>
        <w:t xml:space="preserve">（4）投标文件含有采购人不能接受的附加条件的。</w:t>
      </w:r>
      <w:r/>
    </w:p>
    <w:p>
      <w:pPr>
        <w:pStyle w:val="652"/>
        <w:spacing w:after="0" w:line="50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31"/>
      <w:r/>
      <w:bookmarkEnd w:id="232"/>
      <w:r/>
      <w:bookmarkEnd w:id="233"/>
      <w:r/>
      <w:bookmarkEnd w:id="234"/>
      <w:r/>
      <w:bookmarkEnd w:id="235"/>
      <w:r/>
      <w:bookmarkEnd w:id="236"/>
      <w:r/>
      <w:bookmarkEnd w:id="237"/>
      <w:r/>
      <w:bookmarkEnd w:id="238"/>
      <w:r/>
      <w:bookmarkEnd w:id="240"/>
      <w:r/>
      <w:r/>
    </w:p>
    <w:p>
      <w:pPr>
        <w:pStyle w:val="652"/>
      </w:pPr>
      <w:r/>
      <w:r/>
    </w:p>
    <w:p>
      <w:pPr>
        <w:pStyle w:val="652"/>
      </w:pPr>
      <w:r/>
      <w:r/>
    </w:p>
    <w:p>
      <w:pPr>
        <w:jc w:val="left"/>
        <w:widowControl/>
        <w:rPr>
          <w:rFonts w:ascii="黑体" w:hAnsi="宋体" w:eastAsia="黑体"/>
          <w:b/>
          <w:sz w:val="32"/>
          <w:szCs w:val="20"/>
        </w:rPr>
      </w:pPr>
      <w:r/>
      <w:bookmarkStart w:id="241" w:name="_Toc383698715"/>
      <w:r/>
      <w:bookmarkStart w:id="242" w:name="_Toc390099086"/>
      <w:r/>
      <w:bookmarkStart w:id="243" w:name="_Toc390246973"/>
      <w:r/>
      <w:bookmarkStart w:id="244" w:name="_Toc383626062"/>
      <w:r/>
      <w:bookmarkStart w:id="245" w:name="_Toc383623741"/>
      <w:r/>
      <w:bookmarkStart w:id="246" w:name="_Toc383679815"/>
      <w:r/>
      <w:bookmarkStart w:id="247" w:name="_Toc383624013"/>
      <w:r/>
      <w:bookmarkStart w:id="248" w:name="_Toc390098908"/>
      <w:r/>
      <w:bookmarkStart w:id="249" w:name="_Toc425871381"/>
      <w:r>
        <w:rPr>
          <w:rFonts w:ascii="黑体" w:hAnsi="宋体" w:eastAsia="黑体"/>
          <w:b/>
        </w:rPr>
        <w:br w:type="page" w:clear="all"/>
      </w:r>
      <w:r/>
    </w:p>
    <w:p>
      <w:pPr>
        <w:pStyle w:val="667"/>
        <w:ind w:left="0" w:firstLine="0"/>
        <w:jc w:val="center"/>
        <w:spacing w:line="500" w:lineRule="exact"/>
        <w:rPr>
          <w:rFonts w:ascii="黑体" w:hAnsi="宋体" w:eastAsia="黑体"/>
          <w:b/>
          <w:color w:val="auto"/>
        </w:rPr>
        <w:outlineLvl w:val="0"/>
      </w:pPr>
      <w:r>
        <w:rPr>
          <w:rFonts w:hint="eastAsia" w:ascii="黑体" w:hAnsi="宋体" w:eastAsia="黑体"/>
          <w:b/>
          <w:color w:val="auto"/>
        </w:rPr>
        <w:t xml:space="preserve">第四章</w:t>
      </w:r>
      <w:r>
        <w:rPr>
          <w:rFonts w:ascii="黑体" w:hAnsi="宋体" w:eastAsia="黑体"/>
          <w:b/>
          <w:color w:val="auto"/>
        </w:rPr>
        <w:t xml:space="preserve"> </w:t>
      </w:r>
      <w:r>
        <w:rPr>
          <w:rFonts w:hint="eastAsia" w:ascii="黑体" w:hAnsi="宋体" w:eastAsia="黑体"/>
          <w:b/>
          <w:color w:val="auto"/>
        </w:rPr>
        <w:t xml:space="preserve">合同条款</w:t>
      </w:r>
      <w:bookmarkStart w:id="250" w:name="_Toc382812295"/>
      <w:r/>
      <w:bookmarkStart w:id="251" w:name="_Toc513029243"/>
      <w:r/>
      <w:bookmarkStart w:id="252" w:name="_Toc382812484"/>
      <w:r/>
      <w:bookmarkStart w:id="253" w:name="_Toc16938559"/>
      <w:r/>
      <w:bookmarkStart w:id="254" w:name="_Toc382814014"/>
      <w:r/>
      <w:bookmarkStart w:id="255" w:name="_Toc383587505"/>
      <w:r/>
      <w:bookmarkStart w:id="256" w:name="_Toc382813933"/>
      <w:r/>
      <w:bookmarkStart w:id="257" w:name="_Toc120614222"/>
      <w:r/>
      <w:bookmarkStart w:id="258" w:name="_Toc20823315"/>
      <w:r/>
      <w:bookmarkStart w:id="259" w:name="_Toc382811586"/>
      <w:r/>
      <w:bookmarkStart w:id="260" w:name="_Toc288030332"/>
      <w:r/>
      <w:bookmarkStart w:id="261" w:name="_Toc282446296"/>
      <w:r/>
      <w:bookmarkStart w:id="262" w:name="_Toc382811181"/>
      <w:r/>
      <w:bookmarkStart w:id="263" w:name="_Toc425871366"/>
      <w:r/>
      <w:bookmarkStart w:id="264" w:name="_Toc390098887"/>
      <w:r/>
      <w:bookmarkStart w:id="265" w:name="_Toc390099065"/>
      <w:r/>
      <w:bookmarkStart w:id="266" w:name="_Toc390246952"/>
      <w:r/>
      <w:bookmarkStart w:id="267" w:name="_Toc383626041"/>
      <w:r/>
      <w:bookmarkStart w:id="268" w:name="_Toc383698694"/>
      <w:r/>
      <w:bookmarkStart w:id="269" w:name="_Toc383679794"/>
      <w:r/>
      <w:bookmarkStart w:id="270" w:name="_Toc383623720"/>
      <w:r/>
      <w:bookmarkStart w:id="271" w:name="_Toc383623992"/>
      <w:r/>
      <w:r/>
    </w:p>
    <w:p>
      <w:pPr>
        <w:pStyle w:val="667"/>
        <w:ind w:left="0" w:firstLine="0"/>
        <w:spacing w:line="500" w:lineRule="exact"/>
        <w:rPr>
          <w:rFonts w:ascii="宋体" w:hAnsi="宋体" w:eastAsia="宋体"/>
          <w:b/>
          <w:bCs/>
          <w:color w:val="000000"/>
          <w:szCs w:val="28"/>
        </w:rPr>
        <w:outlineLvl w:val="0"/>
      </w:pPr>
      <w:r>
        <w:rPr>
          <w:rFonts w:ascii="宋体" w:hAnsi="宋体" w:eastAsia="宋体"/>
          <w:b/>
          <w:bCs/>
          <w:color w:val="000000"/>
          <w:szCs w:val="28"/>
        </w:rPr>
      </w:r>
      <w:r/>
    </w:p>
    <w:p>
      <w:pPr>
        <w:pStyle w:val="667"/>
        <w:ind w:left="0" w:firstLine="0"/>
        <w:spacing w:line="500" w:lineRule="exact"/>
        <w:rPr>
          <w:rFonts w:ascii="宋体" w:hAnsi="宋体" w:eastAsia="宋体"/>
          <w:b/>
          <w:bCs/>
          <w:color w:val="000000"/>
          <w:szCs w:val="28"/>
        </w:rPr>
        <w:outlineLvl w:val="0"/>
      </w:pPr>
      <w:r>
        <w:rPr>
          <w:rFonts w:hint="eastAsia" w:ascii="宋体" w:hAnsi="宋体" w:eastAsia="宋体"/>
          <w:b/>
          <w:bCs/>
          <w:color w:val="000000"/>
          <w:szCs w:val="28"/>
        </w:rPr>
        <w:t xml:space="preserve">一、通用合同条款</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b/>
          <w:bCs/>
          <w:color w:val="000000"/>
          <w:szCs w:val="28"/>
        </w:rPr>
        <w:t xml:space="preserve">部分</w:t>
      </w:r>
      <w:bookmarkEnd w:id="263"/>
      <w:r/>
      <w:bookmarkEnd w:id="264"/>
      <w:r/>
      <w:bookmarkEnd w:id="265"/>
      <w:r/>
      <w:bookmarkEnd w:id="266"/>
      <w:r/>
      <w:bookmarkEnd w:id="267"/>
      <w:r/>
      <w:bookmarkEnd w:id="268"/>
      <w:r/>
      <w:bookmarkEnd w:id="269"/>
      <w:r/>
      <w:bookmarkEnd w:id="270"/>
      <w:r/>
      <w:bookmarkEnd w:id="271"/>
      <w:r/>
      <w:r/>
    </w:p>
    <w:p>
      <w:pPr>
        <w:ind w:firstLine="560"/>
        <w:jc w:val="left"/>
        <w:spacing w:line="500" w:lineRule="exact"/>
        <w:rPr>
          <w:rFonts w:ascii="宋体" w:hAnsi="宋体" w:cs="宋体"/>
          <w:sz w:val="28"/>
          <w:szCs w:val="21"/>
        </w:rPr>
      </w:pPr>
      <w:r/>
      <w:bookmarkStart w:id="272" w:name="_Toc16938561"/>
      <w:r/>
      <w:bookmarkStart w:id="273" w:name="_Toc383623721"/>
      <w:r/>
      <w:bookmarkStart w:id="274" w:name="_Toc383587507"/>
      <w:r/>
      <w:bookmarkStart w:id="275" w:name="_Toc383679795"/>
      <w:r/>
      <w:bookmarkStart w:id="276" w:name="_Toc382812297"/>
      <w:r/>
      <w:bookmarkStart w:id="277" w:name="_Toc288030334"/>
      <w:r/>
      <w:bookmarkStart w:id="278" w:name="_Toc382812486"/>
      <w:r/>
      <w:bookmarkStart w:id="279" w:name="_Toc383626042"/>
      <w:r/>
      <w:bookmarkStart w:id="280" w:name="_Toc120614224"/>
      <w:r/>
      <w:bookmarkStart w:id="281" w:name="_Toc425871367"/>
      <w:r/>
      <w:bookmarkStart w:id="282" w:name="_Toc20823317"/>
      <w:r/>
      <w:bookmarkStart w:id="283" w:name="_Toc390246953"/>
      <w:r/>
      <w:bookmarkStart w:id="284" w:name="_Toc382814016"/>
      <w:r/>
      <w:bookmarkStart w:id="285" w:name="_Toc383698695"/>
      <w:r/>
      <w:bookmarkStart w:id="286" w:name="_Toc382811588"/>
      <w:r/>
      <w:bookmarkStart w:id="287" w:name="_Toc390099066"/>
      <w:r/>
      <w:bookmarkStart w:id="288" w:name="_Toc282446298"/>
      <w:r/>
      <w:bookmarkStart w:id="289" w:name="_Toc390098888"/>
      <w:r/>
      <w:bookmarkStart w:id="290" w:name="_Toc382813935"/>
      <w:r/>
      <w:bookmarkStart w:id="291" w:name="_Toc382811183"/>
      <w:r/>
      <w:bookmarkStart w:id="292" w:name="_Toc383623993"/>
      <w:r/>
      <w:bookmarkStart w:id="293" w:name="_Toc513029245"/>
      <w:r>
        <w:rPr>
          <w:rFonts w:hint="eastAsia" w:ascii="宋体" w:hAnsi="宋体" w:cs="宋体"/>
          <w:sz w:val="28"/>
          <w:szCs w:val="21"/>
        </w:rPr>
        <w:t xml:space="preserve">1、定义</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本合同中的下列术语应解释为：</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（1）“合同”系指买方、见证方与卖方签署的、合同格式中载明的买方与卖方所达成的协议，包括所有的附件、附录和构成合同的所有文件。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（2）“合同价”系指根据合同规定，卖方在正确地完全履行合同义务后买方应支付给卖方的价格。</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（3）“服务”系指根据合同规定卖方承担与供货有关所有的辅助服务，如运输、保险以及其它的伴随服务，比如安装、调试、测试、提供技术服务、培训和其他所有的卖方应承担的义务。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（4）“买方”系指购买服务的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（5）“卖方”系指提供服务的中标供应商。</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（6）“见证方”系指招标人。</w:t>
      </w:r>
      <w:r/>
    </w:p>
    <w:p>
      <w:pPr>
        <w:ind w:firstLine="560"/>
        <w:jc w:val="left"/>
        <w:spacing w:line="500" w:lineRule="exact"/>
        <w:rPr>
          <w:rFonts w:ascii="宋体" w:hAnsi="宋体" w:cs="宋体"/>
          <w:sz w:val="28"/>
          <w:szCs w:val="21"/>
          <w:u w:val="single"/>
        </w:rPr>
      </w:pPr>
      <w:r>
        <w:rPr>
          <w:rFonts w:hint="eastAsia" w:ascii="宋体" w:hAnsi="宋体" w:cs="宋体"/>
          <w:sz w:val="28"/>
          <w:szCs w:val="21"/>
        </w:rPr>
        <w:t xml:space="preserve">（7）“采购人”系指购买服务的</w:t>
      </w:r>
      <w:r>
        <w:rPr>
          <w:rFonts w:hint="eastAsia" w:ascii="宋体" w:hAnsi="宋体" w:cs="宋体"/>
          <w:sz w:val="28"/>
          <w:szCs w:val="21"/>
          <w:u w:val="single"/>
        </w:rPr>
        <w:t xml:space="preserve">               </w:t>
      </w:r>
      <w:r>
        <w:rPr>
          <w:rFonts w:hint="eastAsia" w:ascii="宋体" w:hAnsi="宋体" w:cs="宋体"/>
          <w:sz w:val="28"/>
          <w:szCs w:val="21"/>
        </w:rPr>
        <w:t xml:space="preserve">。</w:t>
      </w:r>
      <w:r/>
    </w:p>
    <w:p>
      <w:pPr>
        <w:ind w:firstLine="560"/>
        <w:jc w:val="left"/>
        <w:spacing w:line="500" w:lineRule="exact"/>
        <w:rPr>
          <w:rFonts w:ascii="宋体" w:hAnsi="宋体" w:cs="宋体"/>
          <w:sz w:val="28"/>
          <w:szCs w:val="21"/>
        </w:rPr>
      </w:pPr>
      <w:r/>
      <w:bookmarkStart w:id="294" w:name="_Toc120614225"/>
      <w:r/>
      <w:bookmarkStart w:id="295" w:name="_Toc16938562"/>
      <w:r/>
      <w:bookmarkStart w:id="296" w:name="_Toc20823318"/>
      <w:r/>
      <w:bookmarkStart w:id="297" w:name="_Toc282446299"/>
      <w:r/>
      <w:bookmarkStart w:id="298" w:name="_Toc513029246"/>
      <w:r/>
      <w:bookmarkStart w:id="299" w:name="_Toc288030335"/>
      <w:r/>
      <w:bookmarkStart w:id="300" w:name="_Toc383679796"/>
      <w:r/>
      <w:bookmarkStart w:id="301" w:name="_Toc383626043"/>
      <w:r/>
      <w:bookmarkStart w:id="302" w:name="_Toc382812298"/>
      <w:r/>
      <w:bookmarkStart w:id="303" w:name="_Toc382813936"/>
      <w:r/>
      <w:bookmarkStart w:id="304" w:name="_Toc425871368"/>
      <w:r/>
      <w:bookmarkStart w:id="305" w:name="_Toc382814017"/>
      <w:r/>
      <w:bookmarkStart w:id="306" w:name="_Toc383623722"/>
      <w:r/>
      <w:bookmarkStart w:id="307" w:name="_Toc382811184"/>
      <w:r/>
      <w:bookmarkStart w:id="308" w:name="_Toc382812487"/>
      <w:r/>
      <w:bookmarkStart w:id="309" w:name="_Toc383623994"/>
      <w:r/>
      <w:bookmarkStart w:id="310" w:name="_Toc383587508"/>
      <w:r/>
      <w:bookmarkStart w:id="311" w:name="_Toc390099067"/>
      <w:r/>
      <w:bookmarkStart w:id="312" w:name="_Toc382811589"/>
      <w:r/>
      <w:bookmarkStart w:id="313" w:name="_Toc390246954"/>
      <w:r/>
      <w:bookmarkStart w:id="314" w:name="_Toc390098889"/>
      <w:r/>
      <w:bookmarkStart w:id="315" w:name="_Toc383698696"/>
      <w:r>
        <w:rPr>
          <w:rFonts w:hint="eastAsia" w:ascii="宋体" w:hAnsi="宋体" w:cs="宋体"/>
          <w:sz w:val="28"/>
          <w:szCs w:val="21"/>
        </w:rPr>
        <w:t xml:space="preserve">2、技术</w:t>
      </w:r>
      <w:bookmarkEnd w:id="294"/>
      <w:r/>
      <w:bookmarkEnd w:id="295"/>
      <w:r/>
      <w:bookmarkEnd w:id="296"/>
      <w:r/>
      <w:bookmarkEnd w:id="297"/>
      <w:r/>
      <w:bookmarkEnd w:id="298"/>
      <w:r/>
      <w:bookmarkEnd w:id="299"/>
      <w:r>
        <w:rPr>
          <w:rFonts w:hint="eastAsia" w:ascii="宋体" w:hAnsi="宋体" w:cs="宋体"/>
          <w:sz w:val="28"/>
          <w:szCs w:val="21"/>
        </w:rPr>
        <w:t xml:space="preserve">规范</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卖方所提供服务的技术规格、内容应与招标文件规定的业务要求相一致；若技术性能无相应说明，则按国家有关部门最新颁布的标准及规范为准。</w:t>
      </w:r>
      <w:r/>
    </w:p>
    <w:p>
      <w:pPr>
        <w:ind w:firstLine="560"/>
        <w:jc w:val="left"/>
        <w:spacing w:line="500" w:lineRule="exact"/>
        <w:rPr>
          <w:rFonts w:ascii="宋体" w:hAnsi="宋体" w:cs="宋体"/>
          <w:sz w:val="28"/>
          <w:szCs w:val="21"/>
        </w:rPr>
      </w:pPr>
      <w:r/>
      <w:bookmarkStart w:id="316" w:name="_Toc20823319"/>
      <w:r/>
      <w:bookmarkStart w:id="317" w:name="_Toc382812299"/>
      <w:r/>
      <w:bookmarkStart w:id="318" w:name="_Toc383623995"/>
      <w:r/>
      <w:bookmarkStart w:id="319" w:name="_Toc382814018"/>
      <w:r/>
      <w:bookmarkStart w:id="320" w:name="_Toc288030336"/>
      <w:r/>
      <w:bookmarkStart w:id="321" w:name="_Toc120614226"/>
      <w:r/>
      <w:bookmarkStart w:id="322" w:name="_Toc513029247"/>
      <w:r/>
      <w:bookmarkStart w:id="323" w:name="_Toc382813937"/>
      <w:r/>
      <w:bookmarkStart w:id="324" w:name="_Toc383626044"/>
      <w:r/>
      <w:bookmarkStart w:id="325" w:name="_Toc382811185"/>
      <w:r/>
      <w:bookmarkStart w:id="326" w:name="_Toc390099068"/>
      <w:r/>
      <w:bookmarkStart w:id="327" w:name="_Toc382812488"/>
      <w:r/>
      <w:bookmarkStart w:id="328" w:name="_Toc383623723"/>
      <w:r/>
      <w:bookmarkStart w:id="329" w:name="_Toc390098890"/>
      <w:r/>
      <w:bookmarkStart w:id="330" w:name="_Toc282446300"/>
      <w:r/>
      <w:bookmarkStart w:id="331" w:name="_Toc383679797"/>
      <w:r/>
      <w:bookmarkStart w:id="332" w:name="_Toc425871369"/>
      <w:r/>
      <w:bookmarkStart w:id="333" w:name="_Toc390246955"/>
      <w:r/>
      <w:bookmarkStart w:id="334" w:name="_Toc16938563"/>
      <w:r/>
      <w:bookmarkStart w:id="335" w:name="_Toc383698697"/>
      <w:r/>
      <w:bookmarkStart w:id="336" w:name="_Toc382811590"/>
      <w:r/>
      <w:bookmarkStart w:id="337" w:name="_Toc383587509"/>
      <w:r>
        <w:rPr>
          <w:rFonts w:hint="eastAsia" w:ascii="宋体" w:hAnsi="宋体" w:cs="宋体"/>
          <w:sz w:val="28"/>
          <w:szCs w:val="21"/>
        </w:rPr>
        <w:t xml:space="preserve">3、专利权及版权</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ind w:firstLine="560"/>
        <w:jc w:val="left"/>
        <w:spacing w:line="500" w:lineRule="exact"/>
        <w:rPr>
          <w:rFonts w:ascii="宋体" w:hAnsi="宋体" w:cs="宋体"/>
          <w:sz w:val="28"/>
          <w:szCs w:val="21"/>
        </w:rPr>
      </w:pPr>
      <w:r/>
      <w:bookmarkStart w:id="338" w:name="_Toc288030337"/>
      <w:r/>
      <w:bookmarkStart w:id="339" w:name="_Toc20823320"/>
      <w:r/>
      <w:bookmarkStart w:id="340" w:name="_Toc513029248"/>
      <w:r/>
      <w:bookmarkStart w:id="341" w:name="_Toc16938564"/>
      <w:r/>
      <w:bookmarkStart w:id="342" w:name="_Toc120614227"/>
      <w:r/>
      <w:bookmarkStart w:id="343" w:name="_Toc282446301"/>
      <w:r/>
      <w:bookmarkStart w:id="344" w:name="_Toc383626045"/>
      <w:r/>
      <w:bookmarkStart w:id="345" w:name="_Toc383623724"/>
      <w:r/>
      <w:bookmarkStart w:id="346" w:name="_Toc383679798"/>
      <w:r/>
      <w:bookmarkStart w:id="347" w:name="_Toc390099069"/>
      <w:r/>
      <w:bookmarkStart w:id="348" w:name="_Toc382813938"/>
      <w:r/>
      <w:bookmarkStart w:id="349" w:name="_Toc383623996"/>
      <w:r/>
      <w:bookmarkStart w:id="350" w:name="_Toc382814019"/>
      <w:r/>
      <w:bookmarkStart w:id="351" w:name="_Toc383587510"/>
      <w:r/>
      <w:bookmarkStart w:id="352" w:name="_Toc390098891"/>
      <w:r/>
      <w:bookmarkStart w:id="353" w:name="_Toc425871370"/>
      <w:r/>
      <w:bookmarkStart w:id="354" w:name="_Toc383698698"/>
      <w:r/>
      <w:bookmarkStart w:id="355" w:name="_Toc390246956"/>
      <w:r>
        <w:rPr>
          <w:rFonts w:hint="eastAsia" w:ascii="宋体" w:hAnsi="宋体" w:cs="宋体"/>
          <w:sz w:val="28"/>
          <w:szCs w:val="21"/>
        </w:rPr>
        <w:t xml:space="preserve">4、</w:t>
      </w:r>
      <w:bookmarkEnd w:id="338"/>
      <w:r/>
      <w:bookmarkEnd w:id="339"/>
      <w:r/>
      <w:bookmarkEnd w:id="340"/>
      <w:r/>
      <w:bookmarkEnd w:id="341"/>
      <w:r/>
      <w:bookmarkEnd w:id="342"/>
      <w:r/>
      <w:bookmarkEnd w:id="343"/>
      <w:r/>
      <w:bookmarkStart w:id="356" w:name="_Toc120614229"/>
      <w:r/>
      <w:bookmarkStart w:id="357" w:name="_Toc20823322"/>
      <w:r/>
      <w:bookmarkStart w:id="358" w:name="_Toc288030339"/>
      <w:r/>
      <w:bookmarkStart w:id="359" w:name="_Toc282446303"/>
      <w:r/>
      <w:bookmarkStart w:id="360" w:name="_Toc513029250"/>
      <w:r/>
      <w:bookmarkStart w:id="361" w:name="_Toc16938566"/>
      <w:r>
        <w:rPr>
          <w:rFonts w:hint="eastAsia" w:ascii="宋体" w:hAnsi="宋体" w:cs="宋体"/>
          <w:sz w:val="28"/>
          <w:szCs w:val="21"/>
        </w:rPr>
        <w:t xml:space="preserve">付款</w:t>
      </w:r>
      <w:bookmarkEnd w:id="356"/>
      <w:r/>
      <w:bookmarkEnd w:id="357"/>
      <w:r/>
      <w:bookmarkEnd w:id="358"/>
      <w:r/>
      <w:bookmarkEnd w:id="359"/>
      <w:r/>
      <w:bookmarkEnd w:id="360"/>
      <w:r/>
      <w:bookmarkEnd w:id="361"/>
      <w:r>
        <w:rPr>
          <w:rFonts w:hint="eastAsia" w:ascii="宋体" w:hAnsi="宋体" w:cs="宋体"/>
          <w:sz w:val="28"/>
          <w:szCs w:val="21"/>
        </w:rPr>
        <w:t xml:space="preserve">方式</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4.1本合同以人民币付款。</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4.2付款方式见合同专用条款。</w:t>
      </w:r>
      <w:r/>
    </w:p>
    <w:p>
      <w:pPr>
        <w:ind w:firstLine="560"/>
        <w:jc w:val="left"/>
        <w:spacing w:line="500" w:lineRule="exact"/>
        <w:rPr>
          <w:rFonts w:ascii="宋体" w:hAnsi="宋体" w:cs="宋体"/>
          <w:sz w:val="28"/>
          <w:szCs w:val="21"/>
        </w:rPr>
      </w:pPr>
      <w:r/>
      <w:bookmarkStart w:id="362" w:name="_Toc425871371"/>
      <w:r/>
      <w:bookmarkStart w:id="363" w:name="_Toc382812489"/>
      <w:r/>
      <w:bookmarkStart w:id="364" w:name="_Toc382813939"/>
      <w:r/>
      <w:bookmarkStart w:id="365" w:name="_Toc288030340"/>
      <w:r/>
      <w:bookmarkStart w:id="366" w:name="_Toc383626046"/>
      <w:r/>
      <w:bookmarkStart w:id="367" w:name="_Toc383698699"/>
      <w:r/>
      <w:bookmarkStart w:id="368" w:name="_Toc20823323"/>
      <w:r/>
      <w:bookmarkStart w:id="369" w:name="_Toc382812300"/>
      <w:r/>
      <w:bookmarkStart w:id="370" w:name="_Toc282446304"/>
      <w:r/>
      <w:bookmarkStart w:id="371" w:name="_Toc390098892"/>
      <w:r/>
      <w:bookmarkStart w:id="372" w:name="_Toc513029251"/>
      <w:r/>
      <w:bookmarkStart w:id="373" w:name="_Toc383679799"/>
      <w:r/>
      <w:bookmarkStart w:id="374" w:name="_Toc383587511"/>
      <w:r/>
      <w:bookmarkStart w:id="375" w:name="_Toc382811186"/>
      <w:r/>
      <w:bookmarkStart w:id="376" w:name="_Toc382811591"/>
      <w:r/>
      <w:bookmarkStart w:id="377" w:name="_Toc390246957"/>
      <w:r/>
      <w:bookmarkStart w:id="378" w:name="_Toc383623997"/>
      <w:r/>
      <w:bookmarkStart w:id="379" w:name="_Toc120614230"/>
      <w:r/>
      <w:bookmarkStart w:id="380" w:name="_Toc16938567"/>
      <w:r/>
      <w:bookmarkStart w:id="381" w:name="_Toc383623725"/>
      <w:r/>
      <w:bookmarkStart w:id="382" w:name="_Toc382814020"/>
      <w:r/>
      <w:bookmarkStart w:id="383" w:name="_Toc390099070"/>
      <w:r>
        <w:rPr>
          <w:rFonts w:hint="eastAsia" w:ascii="宋体" w:hAnsi="宋体" w:cs="宋体"/>
          <w:sz w:val="28"/>
          <w:szCs w:val="21"/>
        </w:rPr>
        <w:t xml:space="preserve">5、伴随服务</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5.1卖方应按照投标文件的承诺和合同中所附的服务承诺提供服务。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5.2 除本章第5.1条规定外，卖方还应提供下列服务：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 服务的现场质量管理与监督；</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 提供服务和维护所需的工具；</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(3)在合同中卖方承诺的期限内对所提供服务实施运行监督、维护，但前提条件是该服务并不能免除卖方在质量保证期内应承担的义务；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(4) 对服务人员进行培训。</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5.3 伴随服务的费用应含在合同价中，不单独进行支付。</w:t>
      </w:r>
      <w:r/>
    </w:p>
    <w:p>
      <w:pPr>
        <w:ind w:firstLine="560"/>
        <w:jc w:val="left"/>
        <w:spacing w:line="500" w:lineRule="exact"/>
        <w:rPr>
          <w:rFonts w:ascii="宋体" w:hAnsi="宋体" w:cs="宋体"/>
          <w:sz w:val="28"/>
          <w:szCs w:val="21"/>
        </w:rPr>
      </w:pPr>
      <w:r/>
      <w:bookmarkStart w:id="384" w:name="_Toc425871372"/>
      <w:r/>
      <w:bookmarkStart w:id="385" w:name="_Toc20823324"/>
      <w:r/>
      <w:bookmarkStart w:id="386" w:name="_Toc16938568"/>
      <w:r/>
      <w:bookmarkStart w:id="387" w:name="_Toc383698700"/>
      <w:r/>
      <w:bookmarkStart w:id="388" w:name="_Toc390098893"/>
      <w:r/>
      <w:bookmarkStart w:id="389" w:name="_Toc120614231"/>
      <w:r/>
      <w:bookmarkStart w:id="390" w:name="_Toc383679800"/>
      <w:r/>
      <w:bookmarkStart w:id="391" w:name="_Toc382811592"/>
      <w:r/>
      <w:bookmarkStart w:id="392" w:name="_Toc382814021"/>
      <w:r/>
      <w:bookmarkStart w:id="393" w:name="_Toc390246958"/>
      <w:r/>
      <w:bookmarkStart w:id="394" w:name="_Toc382813940"/>
      <w:r/>
      <w:bookmarkStart w:id="395" w:name="_Toc383623726"/>
      <w:r/>
      <w:bookmarkStart w:id="396" w:name="_Toc390099071"/>
      <w:r/>
      <w:bookmarkStart w:id="397" w:name="_Toc383623998"/>
      <w:r/>
      <w:bookmarkStart w:id="398" w:name="_Toc383587512"/>
      <w:r/>
      <w:bookmarkStart w:id="399" w:name="_Toc288030341"/>
      <w:r/>
      <w:bookmarkStart w:id="400" w:name="_Toc382812301"/>
      <w:r/>
      <w:bookmarkStart w:id="401" w:name="_Toc513029252"/>
      <w:r/>
      <w:bookmarkStart w:id="402" w:name="_Toc382811187"/>
      <w:r/>
      <w:bookmarkStart w:id="403" w:name="_Toc282446305"/>
      <w:r/>
      <w:bookmarkStart w:id="404" w:name="_Toc382812490"/>
      <w:r/>
      <w:bookmarkStart w:id="405" w:name="_Toc383626047"/>
      <w:r>
        <w:rPr>
          <w:rFonts w:hint="eastAsia" w:ascii="宋体" w:hAnsi="宋体" w:cs="宋体"/>
          <w:sz w:val="28"/>
          <w:szCs w:val="21"/>
        </w:rPr>
        <w:t xml:space="preserve">6、质量保证</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6.1投标人所提供服务必须遵守各种国家和部颁标准及有关规定。</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6.2投标人所提供服务必须达到本招标文件中规定的要求。</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6.3履行本合同的过程中，确因在现有水平和条件下难以克服的技术困难，导致部分或全部达不到招标规定的服务标准，乙方应当承担违约责任。</w:t>
      </w:r>
      <w:r/>
    </w:p>
    <w:p>
      <w:pPr>
        <w:ind w:firstLine="560"/>
        <w:jc w:val="left"/>
        <w:spacing w:line="500" w:lineRule="exact"/>
        <w:rPr>
          <w:rFonts w:ascii="宋体" w:hAnsi="宋体" w:cs="宋体"/>
          <w:sz w:val="28"/>
          <w:szCs w:val="21"/>
        </w:rPr>
      </w:pPr>
      <w:r/>
      <w:bookmarkStart w:id="406" w:name="_Toc513029254"/>
      <w:r/>
      <w:bookmarkStart w:id="407" w:name="_Toc282446307"/>
      <w:r/>
      <w:bookmarkStart w:id="408" w:name="_Toc120614233"/>
      <w:r/>
      <w:bookmarkStart w:id="409" w:name="_Toc20823326"/>
      <w:r/>
      <w:bookmarkStart w:id="410" w:name="_Toc16938570"/>
      <w:r/>
      <w:bookmarkStart w:id="411" w:name="_Toc288030343"/>
      <w:r/>
      <w:bookmarkStart w:id="412" w:name="_Toc399228176"/>
      <w:r/>
      <w:bookmarkStart w:id="413" w:name="_Toc399658018"/>
      <w:r/>
      <w:bookmarkStart w:id="414" w:name="_Toc399853485"/>
      <w:r/>
      <w:bookmarkStart w:id="415" w:name="_Toc425871373"/>
      <w:r/>
      <w:bookmarkStart w:id="416" w:name="_Toc399227843"/>
      <w:r>
        <w:rPr>
          <w:rFonts w:hint="eastAsia" w:ascii="宋体" w:hAnsi="宋体" w:cs="宋体"/>
          <w:sz w:val="28"/>
          <w:szCs w:val="21"/>
        </w:rPr>
        <w:t xml:space="preserve">7、</w:t>
      </w:r>
      <w:bookmarkEnd w:id="406"/>
      <w:r/>
      <w:bookmarkEnd w:id="407"/>
      <w:r/>
      <w:bookmarkEnd w:id="408"/>
      <w:r/>
      <w:bookmarkEnd w:id="409"/>
      <w:r/>
      <w:bookmarkEnd w:id="410"/>
      <w:r/>
      <w:bookmarkEnd w:id="411"/>
      <w:r/>
      <w:bookmarkStart w:id="417" w:name="_Toc120614236"/>
      <w:r/>
      <w:bookmarkStart w:id="418" w:name="_Toc16938573"/>
      <w:r/>
      <w:bookmarkStart w:id="419" w:name="_Toc288030346"/>
      <w:r/>
      <w:bookmarkStart w:id="420" w:name="_Toc282446310"/>
      <w:r/>
      <w:bookmarkStart w:id="421" w:name="_Toc513029257"/>
      <w:r/>
      <w:bookmarkStart w:id="422" w:name="_Toc20823329"/>
      <w:r>
        <w:rPr>
          <w:rFonts w:hint="eastAsia" w:ascii="宋体" w:hAnsi="宋体" w:cs="宋体"/>
          <w:sz w:val="28"/>
          <w:szCs w:val="21"/>
        </w:rPr>
        <w:t xml:space="preserve">不可抗力</w:t>
      </w:r>
      <w:bookmarkEnd w:id="412"/>
      <w:r/>
      <w:bookmarkEnd w:id="413"/>
      <w:r/>
      <w:bookmarkEnd w:id="414"/>
      <w:r/>
      <w:bookmarkEnd w:id="415"/>
      <w:r/>
      <w:bookmarkEnd w:id="416"/>
      <w:r/>
      <w:bookmarkEnd w:id="417"/>
      <w:r/>
      <w:bookmarkEnd w:id="418"/>
      <w:r/>
      <w:bookmarkEnd w:id="419"/>
      <w:r/>
      <w:bookmarkEnd w:id="420"/>
      <w:r/>
      <w:bookmarkEnd w:id="421"/>
      <w:r/>
      <w:bookmarkEnd w:id="42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7.1尽管有合同条款第11条、12条的规定，如果卖方因不可抗力而导致合同实施延误或不能履行合同义务的话，不应该被没收履约保证金，也不应该承担误期赔偿的责任。</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7.2本条所述的“不可抗力”系指那些卖方无法控制、不可预见的事件，但不包括卖方的违约或疏忽。这些事件包括：战争、严重火灾、洪水、台风、地震以及其它买方和卖方商定的事件。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7.3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 </w:t>
      </w:r>
      <w:r>
        <w:rPr>
          <w:rFonts w:hint="eastAsia" w:ascii="宋体" w:hAnsi="宋体" w:cs="宋体"/>
          <w:sz w:val="28"/>
          <w:szCs w:val="21"/>
          <w:u w:val="single"/>
        </w:rPr>
        <w:t xml:space="preserve">         </w:t>
      </w:r>
      <w:r>
        <w:rPr>
          <w:rFonts w:hint="eastAsia" w:ascii="宋体" w:hAnsi="宋体" w:cs="宋体"/>
          <w:sz w:val="28"/>
          <w:szCs w:val="21"/>
        </w:rPr>
        <w:t xml:space="preserve">天以上时，买方有权终止与卖方的合同，买方也可以和卖方通过友好协商在合理的时间内达成进一步履行合同的协议。</w:t>
      </w:r>
      <w:r/>
    </w:p>
    <w:p>
      <w:pPr>
        <w:ind w:firstLine="560"/>
        <w:jc w:val="left"/>
        <w:spacing w:line="500" w:lineRule="exact"/>
        <w:rPr>
          <w:rFonts w:ascii="宋体" w:hAnsi="宋体" w:cs="宋体"/>
          <w:sz w:val="28"/>
          <w:szCs w:val="21"/>
        </w:rPr>
      </w:pPr>
      <w:r/>
      <w:bookmarkStart w:id="423" w:name="_Toc425871374"/>
      <w:r/>
      <w:bookmarkStart w:id="424" w:name="_Toc16938574"/>
      <w:r/>
      <w:bookmarkStart w:id="425" w:name="_Toc399228177"/>
      <w:r/>
      <w:bookmarkStart w:id="426" w:name="_Toc399853486"/>
      <w:r/>
      <w:bookmarkStart w:id="427" w:name="_Toc288030347"/>
      <w:r/>
      <w:bookmarkStart w:id="428" w:name="_Toc120614237"/>
      <w:r/>
      <w:bookmarkStart w:id="429" w:name="_Toc399658019"/>
      <w:r/>
      <w:bookmarkStart w:id="430" w:name="_Toc20823330"/>
      <w:r/>
      <w:bookmarkStart w:id="431" w:name="_Toc282446311"/>
      <w:r/>
      <w:bookmarkStart w:id="432" w:name="_Toc513029258"/>
      <w:r/>
      <w:bookmarkStart w:id="433" w:name="_Toc399227844"/>
      <w:r>
        <w:rPr>
          <w:rFonts w:hint="eastAsia" w:ascii="宋体" w:hAnsi="宋体" w:cs="宋体"/>
          <w:sz w:val="28"/>
          <w:szCs w:val="21"/>
        </w:rPr>
        <w:t xml:space="preserve">8、税费</w:t>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8.1本项目实施过程中发生的一切税费均由卖方负担。</w:t>
      </w:r>
      <w:r/>
    </w:p>
    <w:p>
      <w:pPr>
        <w:ind w:firstLine="560"/>
        <w:jc w:val="left"/>
        <w:spacing w:line="500" w:lineRule="exact"/>
        <w:rPr>
          <w:rFonts w:ascii="宋体" w:hAnsi="宋体" w:cs="宋体"/>
          <w:sz w:val="28"/>
          <w:szCs w:val="21"/>
        </w:rPr>
      </w:pPr>
      <w:r/>
      <w:bookmarkStart w:id="434" w:name="_Toc282446312"/>
      <w:r/>
      <w:bookmarkStart w:id="435" w:name="_Toc16938575"/>
      <w:r/>
      <w:bookmarkStart w:id="436" w:name="_Toc399228178"/>
      <w:r/>
      <w:bookmarkStart w:id="437" w:name="_Toc425871375"/>
      <w:r/>
      <w:bookmarkStart w:id="438" w:name="_Toc120614238"/>
      <w:r/>
      <w:bookmarkStart w:id="439" w:name="_Toc399227845"/>
      <w:r/>
      <w:bookmarkStart w:id="440" w:name="_Toc20823331"/>
      <w:r/>
      <w:bookmarkStart w:id="441" w:name="_Toc288030348"/>
      <w:r/>
      <w:bookmarkStart w:id="442" w:name="_Toc399658020"/>
      <w:r/>
      <w:bookmarkStart w:id="443" w:name="_Toc399853487"/>
      <w:r/>
      <w:bookmarkStart w:id="444" w:name="_Toc513029259"/>
      <w:r>
        <w:rPr>
          <w:rFonts w:hint="eastAsia" w:ascii="宋体" w:hAnsi="宋体" w:cs="宋体"/>
          <w:sz w:val="28"/>
          <w:szCs w:val="21"/>
        </w:rPr>
        <w:t xml:space="preserve">9、履约保证金</w:t>
      </w:r>
      <w:bookmarkEnd w:id="434"/>
      <w:r/>
      <w:bookmarkEnd w:id="435"/>
      <w:r/>
      <w:bookmarkEnd w:id="436"/>
      <w:r/>
      <w:bookmarkEnd w:id="437"/>
      <w:r/>
      <w:bookmarkEnd w:id="438"/>
      <w:r/>
      <w:bookmarkEnd w:id="439"/>
      <w:r/>
      <w:bookmarkEnd w:id="440"/>
      <w:r/>
      <w:bookmarkEnd w:id="441"/>
      <w:r/>
      <w:bookmarkEnd w:id="442"/>
      <w:r/>
      <w:bookmarkEnd w:id="443"/>
      <w:r/>
      <w:bookmarkEnd w:id="44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的形式：支票、汇票、本票或者金融机构、担保机构出具的保函等非现金形式</w:t>
      </w:r>
      <w:r/>
    </w:p>
    <w:p>
      <w:pPr>
        <w:ind w:firstLine="560"/>
        <w:jc w:val="left"/>
        <w:spacing w:line="500" w:lineRule="exact"/>
        <w:rPr>
          <w:rFonts w:ascii="宋体" w:hAnsi="宋体" w:cs="宋体"/>
          <w:sz w:val="28"/>
          <w:szCs w:val="21"/>
        </w:rPr>
      </w:pPr>
      <w:r>
        <w:rPr>
          <w:rFonts w:ascii="宋体" w:hAnsi="宋体" w:cs="宋体"/>
          <w:sz w:val="28"/>
          <w:szCs w:val="21"/>
        </w:rPr>
        <w:t xml:space="preserve">履约</w:t>
      </w:r>
      <w:r>
        <w:rPr>
          <w:rFonts w:hint="eastAsia" w:ascii="宋体" w:hAnsi="宋体" w:cs="宋体"/>
          <w:sz w:val="28"/>
          <w:szCs w:val="21"/>
        </w:rPr>
        <w:t xml:space="preserve">保证金</w:t>
      </w:r>
      <w:r>
        <w:rPr>
          <w:rFonts w:ascii="宋体" w:hAnsi="宋体" w:cs="宋体"/>
          <w:sz w:val="28"/>
          <w:szCs w:val="21"/>
        </w:rPr>
        <w:t xml:space="preserve">的金额：</w:t>
      </w:r>
      <w:r>
        <w:rPr>
          <w:rFonts w:hint="eastAsia" w:ascii="宋体" w:hAnsi="宋体" w:cs="宋体"/>
          <w:sz w:val="28"/>
          <w:szCs w:val="21"/>
        </w:rPr>
        <w:t xml:space="preserve">无需缴纳履约保证金。</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9.2如卖方未能履行合同规定的义务，买方有权从履约保证金中取得补偿。</w:t>
      </w:r>
      <w:r/>
    </w:p>
    <w:p>
      <w:pPr>
        <w:ind w:firstLine="560"/>
        <w:jc w:val="left"/>
        <w:spacing w:line="500" w:lineRule="exact"/>
        <w:rPr>
          <w:rFonts w:ascii="宋体" w:hAnsi="宋体" w:cs="宋体"/>
          <w:sz w:val="28"/>
          <w:szCs w:val="21"/>
        </w:rPr>
      </w:pPr>
      <w:r/>
      <w:bookmarkStart w:id="445" w:name="_Toc282446313"/>
      <w:r/>
      <w:bookmarkStart w:id="446" w:name="_Toc120614239"/>
      <w:r/>
      <w:bookmarkStart w:id="447" w:name="_Toc513029260"/>
      <w:r/>
      <w:bookmarkStart w:id="448" w:name="_Toc399658021"/>
      <w:r/>
      <w:bookmarkStart w:id="449" w:name="_Toc399853488"/>
      <w:r/>
      <w:bookmarkStart w:id="450" w:name="_Toc462564119"/>
      <w:r/>
      <w:bookmarkStart w:id="451" w:name="_Toc399227846"/>
      <w:r/>
      <w:bookmarkStart w:id="452" w:name="_Toc399228179"/>
      <w:r/>
      <w:bookmarkStart w:id="453" w:name="_Toc20823332"/>
      <w:r/>
      <w:bookmarkStart w:id="454" w:name="_Toc288030349"/>
      <w:r/>
      <w:bookmarkStart w:id="455" w:name="_Toc425871376"/>
      <w:r/>
      <w:bookmarkStart w:id="456" w:name="_Toc16938576"/>
      <w:r>
        <w:rPr>
          <w:rFonts w:hint="eastAsia" w:ascii="宋体" w:hAnsi="宋体" w:cs="宋体"/>
          <w:sz w:val="28"/>
          <w:szCs w:val="21"/>
        </w:rPr>
        <w:t xml:space="preserve">10、仲裁</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10.1在执行本合同中所发生的或与本合同有关的一切争端，买方和卖方应通过友好协商的办法进行解决。如从协商开始</w:t>
      </w:r>
      <w:r>
        <w:rPr>
          <w:rFonts w:hint="eastAsia" w:ascii="宋体" w:hAnsi="宋体" w:cs="宋体"/>
          <w:sz w:val="28"/>
          <w:szCs w:val="21"/>
          <w:u w:val="single"/>
        </w:rPr>
        <w:t xml:space="preserve">         </w:t>
      </w:r>
      <w:r>
        <w:rPr>
          <w:rFonts w:hint="eastAsia" w:ascii="宋体" w:hAnsi="宋体" w:cs="宋体"/>
          <w:sz w:val="28"/>
          <w:szCs w:val="21"/>
        </w:rPr>
        <w:t xml:space="preserve">天内仍不能解决，应将争端提交有关省、市政府或行业主管部门寻求可能解决的办法。如果提交有关省、市政府或行业主管部门后</w:t>
      </w:r>
      <w:r>
        <w:rPr>
          <w:rFonts w:hint="eastAsia" w:ascii="宋体" w:hAnsi="宋体" w:cs="宋体"/>
          <w:sz w:val="28"/>
          <w:szCs w:val="21"/>
          <w:u w:val="single"/>
        </w:rPr>
        <w:t xml:space="preserve">     </w:t>
      </w:r>
      <w:r>
        <w:rPr>
          <w:rFonts w:hint="eastAsia" w:ascii="宋体" w:hAnsi="宋体" w:cs="宋体"/>
          <w:sz w:val="28"/>
          <w:szCs w:val="21"/>
        </w:rPr>
        <w:t xml:space="preserve">天内仍得不到解决，则应申请仲裁。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10.2仲裁应根据《中华人民共和国仲裁法》的规定向泰州仲裁委员会申请仲裁。</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10.3仲裁裁决为最终裁决，对买方和卖方均有约束力。</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10.4在仲裁期间，本合同应继续执行。</w:t>
      </w:r>
      <w:r/>
    </w:p>
    <w:p>
      <w:pPr>
        <w:ind w:firstLine="560"/>
        <w:jc w:val="left"/>
        <w:spacing w:line="500" w:lineRule="exact"/>
        <w:rPr>
          <w:rFonts w:ascii="宋体" w:hAnsi="宋体" w:cs="宋体"/>
          <w:sz w:val="28"/>
          <w:szCs w:val="21"/>
        </w:rPr>
      </w:pPr>
      <w:r/>
      <w:bookmarkStart w:id="457" w:name="_Toc399227847"/>
      <w:r/>
      <w:bookmarkStart w:id="458" w:name="_Toc16938577"/>
      <w:r/>
      <w:bookmarkStart w:id="459" w:name="_Toc399658022"/>
      <w:r/>
      <w:bookmarkStart w:id="460" w:name="_Toc462564120"/>
      <w:r/>
      <w:bookmarkStart w:id="461" w:name="_Toc20823333"/>
      <w:r/>
      <w:bookmarkStart w:id="462" w:name="_Toc288030350"/>
      <w:r/>
      <w:bookmarkStart w:id="463" w:name="_Toc513029261"/>
      <w:r/>
      <w:bookmarkStart w:id="464" w:name="_Toc282446314"/>
      <w:r/>
      <w:bookmarkStart w:id="465" w:name="_Toc425871377"/>
      <w:r/>
      <w:bookmarkStart w:id="466" w:name="_Toc399228180"/>
      <w:r/>
      <w:bookmarkStart w:id="467" w:name="_Toc399853489"/>
      <w:r/>
      <w:bookmarkStart w:id="468" w:name="_Toc120614240"/>
      <w:r>
        <w:rPr>
          <w:rFonts w:hint="eastAsia" w:ascii="宋体" w:hAnsi="宋体" w:cs="宋体"/>
          <w:sz w:val="28"/>
          <w:szCs w:val="21"/>
        </w:rPr>
        <w:t xml:space="preserve">11、违约终止合同</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11.1在买方对卖方违约而采取的任何补救措施不受影响的情况下，买方可向卖方发出终止部分或全部合同的书面通知书。</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(1)如果卖方未能按合同规定的期限或买方同意延长的限期内提供部分或全部服务；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(2)卖方在收到买方发出的违约通知后</w:t>
      </w:r>
      <w:r>
        <w:rPr>
          <w:rFonts w:hint="eastAsia" w:ascii="宋体" w:hAnsi="宋体" w:cs="宋体"/>
          <w:sz w:val="28"/>
          <w:szCs w:val="21"/>
          <w:u w:val="single"/>
        </w:rPr>
        <w:t xml:space="preserve">     </w:t>
      </w:r>
      <w:r>
        <w:rPr>
          <w:rFonts w:hint="eastAsia" w:ascii="宋体" w:hAnsi="宋体" w:cs="宋体"/>
          <w:sz w:val="28"/>
          <w:szCs w:val="21"/>
        </w:rPr>
        <w:t xml:space="preserve">天内，或经买方书面认可延长的时间内未能纠正其过失；</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 (3)如果卖方未能履行合同规定的其他义务。</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ind w:firstLine="560"/>
        <w:jc w:val="left"/>
        <w:spacing w:line="500" w:lineRule="exact"/>
        <w:rPr>
          <w:rFonts w:ascii="宋体" w:hAnsi="宋体" w:cs="宋体"/>
          <w:sz w:val="28"/>
          <w:szCs w:val="21"/>
        </w:rPr>
      </w:pPr>
      <w:r/>
      <w:bookmarkStart w:id="469" w:name="_Toc288030351"/>
      <w:r/>
      <w:bookmarkStart w:id="470" w:name="_Toc399227848"/>
      <w:r/>
      <w:bookmarkStart w:id="471" w:name="_Toc120614241"/>
      <w:r/>
      <w:bookmarkStart w:id="472" w:name="_Toc16938578"/>
      <w:r/>
      <w:bookmarkStart w:id="473" w:name="_Toc462564121"/>
      <w:r/>
      <w:bookmarkStart w:id="474" w:name="_Toc399853490"/>
      <w:r/>
      <w:bookmarkStart w:id="475" w:name="_Toc282446315"/>
      <w:r/>
      <w:bookmarkStart w:id="476" w:name="_Toc425871378"/>
      <w:r/>
      <w:bookmarkStart w:id="477" w:name="_Toc20823334"/>
      <w:r/>
      <w:bookmarkStart w:id="478" w:name="_Toc513029262"/>
      <w:r/>
      <w:bookmarkStart w:id="479" w:name="_Toc399658023"/>
      <w:r/>
      <w:bookmarkStart w:id="480" w:name="_Toc399228181"/>
      <w:r>
        <w:rPr>
          <w:rFonts w:hint="eastAsia" w:ascii="宋体" w:hAnsi="宋体" w:cs="宋体"/>
          <w:sz w:val="28"/>
          <w:szCs w:val="21"/>
        </w:rPr>
        <w:t xml:space="preserve">12、破产中止合同</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12.1如果卖方破产或无清偿能力时，买方在任何时候书面通知卖方中止合同而不给卖方补偿。该中止合同将不损害或影响买方已经或将要采取的补救措施的权利。</w:t>
      </w:r>
      <w:r/>
    </w:p>
    <w:p>
      <w:pPr>
        <w:ind w:firstLine="560"/>
        <w:jc w:val="left"/>
        <w:spacing w:line="500" w:lineRule="exact"/>
        <w:rPr>
          <w:rFonts w:ascii="宋体" w:hAnsi="宋体" w:cs="宋体"/>
          <w:sz w:val="28"/>
          <w:szCs w:val="21"/>
        </w:rPr>
      </w:pPr>
      <w:r/>
      <w:bookmarkStart w:id="481" w:name="_Toc16938579"/>
      <w:r/>
      <w:bookmarkStart w:id="482" w:name="_Toc462564122"/>
      <w:r/>
      <w:bookmarkStart w:id="483" w:name="_Toc120614242"/>
      <w:r/>
      <w:bookmarkStart w:id="484" w:name="_Toc20823335"/>
      <w:r/>
      <w:bookmarkStart w:id="485" w:name="_Toc399227849"/>
      <w:r/>
      <w:bookmarkStart w:id="486" w:name="_Toc513029263"/>
      <w:r/>
      <w:bookmarkStart w:id="487" w:name="_Toc399228182"/>
      <w:r/>
      <w:bookmarkStart w:id="488" w:name="_Toc399853491"/>
      <w:r/>
      <w:bookmarkStart w:id="489" w:name="_Toc288030352"/>
      <w:r/>
      <w:bookmarkStart w:id="490" w:name="_Toc425871379"/>
      <w:r/>
      <w:bookmarkStart w:id="491" w:name="_Toc399658024"/>
      <w:r/>
      <w:bookmarkStart w:id="492" w:name="_Toc282446316"/>
      <w:r>
        <w:rPr>
          <w:rFonts w:hint="eastAsia" w:ascii="宋体" w:hAnsi="宋体" w:cs="宋体"/>
          <w:sz w:val="28"/>
          <w:szCs w:val="21"/>
        </w:rPr>
        <w:t xml:space="preserve">13、转让</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13.1除买方事先书面同意外，卖方不得部分转让或全部转让其应履行的合同义务。</w:t>
      </w:r>
      <w:r/>
    </w:p>
    <w:p>
      <w:pPr>
        <w:ind w:firstLine="560"/>
        <w:jc w:val="left"/>
        <w:spacing w:line="500" w:lineRule="exact"/>
        <w:rPr>
          <w:rFonts w:ascii="宋体" w:hAnsi="宋体" w:cs="宋体"/>
          <w:sz w:val="28"/>
          <w:szCs w:val="21"/>
        </w:rPr>
      </w:pPr>
      <w:r/>
      <w:bookmarkStart w:id="493" w:name="_Toc513029264"/>
      <w:r/>
      <w:bookmarkStart w:id="494" w:name="_Toc16938580"/>
      <w:r/>
      <w:bookmarkStart w:id="495" w:name="_Toc288030353"/>
      <w:r/>
      <w:bookmarkStart w:id="496" w:name="_Toc399228183"/>
      <w:r/>
      <w:bookmarkStart w:id="497" w:name="_Toc399853492"/>
      <w:r/>
      <w:bookmarkStart w:id="498" w:name="_Toc462564123"/>
      <w:r/>
      <w:bookmarkStart w:id="499" w:name="_Toc120614243"/>
      <w:r/>
      <w:bookmarkStart w:id="500" w:name="_Toc282446317"/>
      <w:r/>
      <w:bookmarkStart w:id="501" w:name="_Toc399658025"/>
      <w:r/>
      <w:bookmarkStart w:id="502" w:name="_Toc399227850"/>
      <w:r/>
      <w:bookmarkStart w:id="503" w:name="_Toc425871380"/>
      <w:r/>
      <w:bookmarkStart w:id="504" w:name="_Toc20823336"/>
      <w:r>
        <w:rPr>
          <w:rFonts w:hint="eastAsia" w:ascii="宋体" w:hAnsi="宋体" w:cs="宋体"/>
          <w:sz w:val="28"/>
          <w:szCs w:val="21"/>
        </w:rPr>
        <w:t xml:space="preserve">14、合同生效及其它</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14.1合同应在买方、卖方、见证方签字，并在卖方向见证方交纳履约保证金后生效。</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14.2本合同一式</w:t>
      </w:r>
      <w:r>
        <w:rPr>
          <w:rFonts w:hint="eastAsia" w:ascii="宋体" w:hAnsi="宋体" w:cs="宋体"/>
          <w:sz w:val="28"/>
          <w:szCs w:val="21"/>
          <w:u w:val="single"/>
        </w:rPr>
        <w:t xml:space="preserve">    </w:t>
      </w:r>
      <w:r>
        <w:rPr>
          <w:rFonts w:hint="eastAsia" w:ascii="宋体" w:hAnsi="宋体" w:cs="宋体"/>
          <w:sz w:val="28"/>
          <w:szCs w:val="21"/>
        </w:rPr>
        <w:t xml:space="preserve">份，以中文书写，买方 份，卖方、见证方、各执 </w:t>
      </w:r>
      <w:r>
        <w:rPr>
          <w:rFonts w:hint="eastAsia" w:ascii="宋体" w:hAnsi="宋体" w:cs="宋体"/>
          <w:sz w:val="28"/>
          <w:szCs w:val="21"/>
          <w:u w:val="single"/>
        </w:rPr>
        <w:t xml:space="preserve">     </w:t>
      </w:r>
      <w:r>
        <w:rPr>
          <w:rFonts w:hint="eastAsia" w:ascii="宋体" w:hAnsi="宋体" w:cs="宋体"/>
          <w:sz w:val="28"/>
          <w:szCs w:val="21"/>
        </w:rPr>
        <w:t xml:space="preserve"> 份。</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14.3如需修改或补充合同内容，应经买方、卖方、见证方协商一致，签署书面修改或补充协议。该协议将作为本合同不可分割的一部分。</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14.4本合同应按照中华人民共和国的现行法律进行解释。</w:t>
      </w:r>
      <w:r/>
    </w:p>
    <w:p>
      <w:pPr>
        <w:ind w:firstLine="562"/>
        <w:spacing w:line="500" w:lineRule="exact"/>
        <w:rPr>
          <w:b/>
          <w:bCs/>
          <w:sz w:val="28"/>
          <w:szCs w:val="28"/>
        </w:rPr>
        <w:outlineLvl w:val="1"/>
      </w:pPr>
      <w:r>
        <w:rPr>
          <w:rFonts w:hint="eastAsia" w:ascii="宋体" w:hAnsi="宋体" w:cs="Arial"/>
          <w:b/>
          <w:bCs/>
          <w:color w:val="000000"/>
          <w:sz w:val="28"/>
          <w:szCs w:val="28"/>
        </w:rPr>
        <w:t xml:space="preserve">二、专用合同条款部分</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甲方: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乙方: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甲乙双方根据政府采购编号</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项目采购结果及招标文件的要求,经协商一致,达成如下采购服务合同:</w:t>
      </w:r>
      <w:r/>
    </w:p>
    <w:p>
      <w:pPr>
        <w:ind w:firstLine="560"/>
        <w:jc w:val="left"/>
        <w:spacing w:line="500" w:lineRule="exact"/>
        <w:rPr>
          <w:rFonts w:ascii="宋体" w:hAnsi="宋体"/>
          <w:sz w:val="28"/>
          <w:szCs w:val="28"/>
        </w:rPr>
      </w:pPr>
      <w:r>
        <w:rPr>
          <w:rFonts w:hint="eastAsia" w:ascii="宋体" w:hAnsi="宋体" w:cs="宋体"/>
          <w:sz w:val="28"/>
          <w:szCs w:val="28"/>
        </w:rPr>
        <w:t xml:space="preserve">根据《中华人民共和国政府采购法》、《中华人民共和国民法典》和相关行业法律法规等法律法规的规定，甲乙双方按照**的招标结果</w:t>
      </w:r>
      <w:r>
        <w:rPr>
          <w:rFonts w:hint="eastAsia" w:ascii="宋体" w:hAnsi="宋体"/>
          <w:sz w:val="28"/>
          <w:szCs w:val="28"/>
        </w:rPr>
        <w:t xml:space="preserve">签订本合同。</w:t>
      </w:r>
      <w:r/>
    </w:p>
    <w:p>
      <w:pPr>
        <w:ind w:firstLine="562"/>
        <w:spacing w:line="500" w:lineRule="exact"/>
        <w:rPr>
          <w:rFonts w:ascii="宋体" w:hAnsi="宋体"/>
          <w:b/>
          <w:sz w:val="28"/>
          <w:szCs w:val="28"/>
        </w:rPr>
      </w:pPr>
      <w:r>
        <w:rPr>
          <w:rFonts w:hint="eastAsia" w:ascii="宋体" w:hAnsi="宋体"/>
          <w:b/>
          <w:sz w:val="28"/>
          <w:szCs w:val="28"/>
        </w:rPr>
        <w:t xml:space="preserve">一、项目概况</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1.1 项目名称：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1.2 项目地点： </w:t>
      </w:r>
      <w:r>
        <w:rPr>
          <w:rFonts w:hint="eastAsia" w:ascii="宋体" w:hAnsi="宋体" w:cs="宋体"/>
          <w:sz w:val="28"/>
          <w:szCs w:val="28"/>
          <w:u w:val="single"/>
        </w:rPr>
        <w:t xml:space="preserve">                      </w:t>
      </w:r>
      <w:r/>
    </w:p>
    <w:p>
      <w:pPr>
        <w:ind w:firstLine="560"/>
        <w:jc w:val="left"/>
        <w:spacing w:line="500" w:lineRule="exact"/>
        <w:rPr>
          <w:rFonts w:ascii="宋体" w:hAnsi="宋体" w:cs="宋体"/>
          <w:sz w:val="28"/>
          <w:szCs w:val="28"/>
          <w:u w:val="single"/>
        </w:rPr>
      </w:pPr>
      <w:r>
        <w:rPr>
          <w:rFonts w:hint="eastAsia" w:ascii="宋体" w:hAnsi="宋体" w:cs="宋体"/>
          <w:sz w:val="28"/>
          <w:szCs w:val="28"/>
        </w:rPr>
        <w:t xml:space="preserve">1.3 项目内容： </w:t>
      </w:r>
      <w:r>
        <w:rPr>
          <w:rFonts w:hint="eastAsia" w:ascii="宋体" w:hAnsi="宋体" w:cs="宋体"/>
          <w:sz w:val="28"/>
          <w:szCs w:val="28"/>
          <w:u w:val="single"/>
        </w:rPr>
        <w:t xml:space="preserve">                      </w:t>
      </w:r>
      <w:r/>
    </w:p>
    <w:p>
      <w:pPr>
        <w:ind w:firstLine="560"/>
        <w:spacing w:line="500" w:lineRule="exact"/>
        <w:rPr>
          <w:rFonts w:ascii="宋体" w:hAnsi="宋体" w:cs="宋体"/>
          <w:sz w:val="28"/>
          <w:szCs w:val="28"/>
          <w:u w:val="single"/>
        </w:rPr>
      </w:pPr>
      <w:r>
        <w:rPr>
          <w:rFonts w:hint="eastAsia" w:ascii="宋体" w:hAnsi="宋体" w:cs="宋体"/>
          <w:sz w:val="28"/>
          <w:szCs w:val="28"/>
        </w:rPr>
        <w:t xml:space="preserve">1.4 合同价款：</w:t>
      </w:r>
      <w:r>
        <w:rPr>
          <w:rFonts w:hint="eastAsia" w:ascii="宋体" w:hAnsi="宋体" w:cs="宋体"/>
          <w:sz w:val="28"/>
          <w:szCs w:val="28"/>
          <w:u w:val="single"/>
        </w:rPr>
        <w:t xml:space="preserve">                       </w:t>
      </w:r>
      <w:r/>
    </w:p>
    <w:p>
      <w:pPr>
        <w:ind w:firstLine="562"/>
        <w:spacing w:line="500" w:lineRule="exact"/>
        <w:rPr>
          <w:rFonts w:ascii="宋体" w:hAnsi="宋体"/>
          <w:b/>
          <w:sz w:val="28"/>
          <w:szCs w:val="28"/>
        </w:rPr>
      </w:pPr>
      <w:r>
        <w:rPr>
          <w:rFonts w:hint="eastAsia" w:ascii="宋体" w:hAnsi="宋体"/>
          <w:b/>
          <w:sz w:val="28"/>
          <w:szCs w:val="28"/>
        </w:rPr>
        <w:t xml:space="preserve">二．定义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l“合同”系指甲方和乙方（以下简称合同双方）签署的、合同格式中列明的合同双方所达成的协议，包括所有的附件、附录、招标、投标文件全部内容及对招、投标文件书面修正、澄清的内容等以及构成合同的所有文件。</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2.2“合同价格”系指根据合同规定，在乙方全面正确地履行合同义务后甲方应支付给乙方的价格。</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2.3“甲方”系指采购人。</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2.4“乙方”系指中标人。</w:t>
      </w:r>
      <w:r/>
    </w:p>
    <w:p>
      <w:pPr>
        <w:ind w:firstLine="420"/>
        <w:spacing w:line="500" w:lineRule="exact"/>
        <w:rPr>
          <w:rFonts w:ascii="宋体" w:hAnsi="宋体"/>
          <w:b/>
          <w:sz w:val="28"/>
          <w:szCs w:val="28"/>
        </w:rPr>
      </w:pPr>
      <w:r>
        <w:rPr>
          <w:rFonts w:hint="eastAsia" w:ascii="宋体" w:hAnsi="宋体"/>
          <w:sz w:val="28"/>
          <w:szCs w:val="28"/>
        </w:rPr>
        <w:t xml:space="preserve"> </w:t>
      </w:r>
      <w:r>
        <w:rPr>
          <w:rFonts w:hint="eastAsia" w:ascii="宋体" w:hAnsi="宋体"/>
          <w:b/>
          <w:sz w:val="28"/>
          <w:szCs w:val="28"/>
        </w:rPr>
        <w:t xml:space="preserve">三.适用范围</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3.l本合同条款适用于本次招标项目。</w:t>
      </w:r>
      <w:r/>
    </w:p>
    <w:p>
      <w:pPr>
        <w:ind w:firstLine="562"/>
        <w:spacing w:line="500" w:lineRule="exact"/>
        <w:rPr>
          <w:rFonts w:ascii="宋体" w:hAnsi="宋体"/>
          <w:sz w:val="28"/>
          <w:szCs w:val="28"/>
        </w:rPr>
      </w:pPr>
      <w:r>
        <w:rPr>
          <w:rFonts w:hint="eastAsia" w:ascii="宋体" w:hAnsi="宋体"/>
          <w:b/>
          <w:sz w:val="28"/>
          <w:szCs w:val="28"/>
        </w:rPr>
        <w:t xml:space="preserve">四.服务工作执行技术标准、验收标准及工期：</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1、技术标准与招标文件一致。</w:t>
      </w:r>
      <w:r/>
    </w:p>
    <w:p>
      <w:pPr>
        <w:ind w:firstLine="560"/>
        <w:spacing w:line="500" w:lineRule="exact"/>
        <w:rPr>
          <w:rFonts w:ascii="宋体" w:hAnsi="宋体"/>
          <w:sz w:val="28"/>
          <w:szCs w:val="28"/>
        </w:rPr>
      </w:pPr>
      <w:r>
        <w:rPr>
          <w:rFonts w:hint="eastAsia" w:ascii="宋体" w:hAnsi="宋体"/>
          <w:sz w:val="28"/>
          <w:szCs w:val="28"/>
        </w:rPr>
        <w:t xml:space="preserve">2、验收时间及标准：</w:t>
      </w:r>
      <w:r/>
    </w:p>
    <w:p>
      <w:pPr>
        <w:pStyle w:val="652"/>
        <w:ind w:firstLine="560"/>
        <w:spacing w:line="500" w:lineRule="exact"/>
      </w:pPr>
      <w:r>
        <w:rPr>
          <w:rFonts w:hint="eastAsia" w:ascii="宋体" w:hAnsi="宋体" w:cs="宋体"/>
          <w:sz w:val="28"/>
          <w:szCs w:val="28"/>
        </w:rPr>
        <w:t xml:space="preserve">3、项目履行期限：</w:t>
      </w:r>
      <w:r/>
    </w:p>
    <w:p>
      <w:pPr>
        <w:ind w:firstLine="562"/>
        <w:spacing w:line="500" w:lineRule="exact"/>
        <w:rPr>
          <w:rFonts w:ascii="宋体" w:hAnsi="宋体" w:cs="宋体"/>
          <w:sz w:val="28"/>
          <w:szCs w:val="28"/>
        </w:rPr>
      </w:pPr>
      <w:r>
        <w:rPr>
          <w:rFonts w:hint="eastAsia" w:ascii="宋体" w:hAnsi="宋体"/>
          <w:b/>
          <w:sz w:val="28"/>
          <w:szCs w:val="28"/>
        </w:rPr>
        <w:t xml:space="preserve">五.</w:t>
      </w:r>
      <w:r>
        <w:rPr>
          <w:rFonts w:hint="eastAsia" w:ascii="宋体" w:hAnsi="宋体" w:cs="宋体"/>
          <w:sz w:val="28"/>
          <w:szCs w:val="28"/>
        </w:rPr>
        <w:t xml:space="preserve">项目经费来源、价款以及支付方式</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1、经费来源：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2、项目价款：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1 \* GB2 </w:instrText>
      </w:r>
      <w:r>
        <w:rPr>
          <w:rFonts w:hint="eastAsia" w:ascii="宋体" w:hAnsi="宋体" w:cs="宋体"/>
          <w:sz w:val="28"/>
          <w:szCs w:val="28"/>
        </w:rPr>
        <w:fldChar w:fldCharType="separate"/>
      </w:r>
      <w:r>
        <w:rPr>
          <w:rFonts w:hint="eastAsia" w:ascii="宋体" w:hAnsi="宋体" w:cs="宋体"/>
          <w:sz w:val="28"/>
          <w:szCs w:val="28"/>
        </w:rPr>
        <w:t xml:space="preserve">⑴</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 2 \* GB2 </w:instrText>
      </w:r>
      <w:r>
        <w:rPr>
          <w:rFonts w:hint="eastAsia" w:ascii="宋体" w:hAnsi="宋体" w:cs="宋体"/>
          <w:sz w:val="28"/>
          <w:szCs w:val="28"/>
        </w:rPr>
        <w:fldChar w:fldCharType="separate"/>
      </w:r>
      <w:r>
        <w:rPr>
          <w:rFonts w:hint="eastAsia" w:ascii="宋体" w:hAnsi="宋体" w:cs="宋体"/>
          <w:sz w:val="28"/>
          <w:szCs w:val="28"/>
        </w:rPr>
        <w:t xml:space="preserve">⑵</w:t>
      </w:r>
      <w:r>
        <w:rPr>
          <w:rFonts w:hint="eastAsia" w:ascii="宋体" w:hAnsi="宋体" w:cs="宋体"/>
          <w:sz w:val="28"/>
          <w:szCs w:val="28"/>
        </w:rPr>
        <w:fldChar w:fldCharType="end"/>
      </w:r>
      <w:r>
        <w:rPr>
          <w:rFonts w:hint="eastAsia" w:ascii="宋体" w:hAnsi="宋体" w:cs="宋体"/>
          <w:sz w:val="28"/>
          <w:szCs w:val="28"/>
        </w:rPr>
        <w:t xml:space="preserve">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3、支付方式、时间、条件： </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4、方案编制以及审批过程中产生的所有费用均由编制单位承担。</w:t>
      </w:r>
      <w:r/>
    </w:p>
    <w:p>
      <w:pPr>
        <w:ind w:firstLine="562"/>
        <w:spacing w:line="500" w:lineRule="exact"/>
        <w:rPr>
          <w:rFonts w:ascii="宋体" w:hAnsi="宋体"/>
          <w:sz w:val="28"/>
          <w:szCs w:val="28"/>
        </w:rPr>
      </w:pPr>
      <w:r>
        <w:rPr>
          <w:rFonts w:hint="eastAsia" w:ascii="宋体" w:hAnsi="宋体"/>
          <w:b/>
          <w:bCs/>
          <w:sz w:val="28"/>
          <w:szCs w:val="28"/>
        </w:rPr>
        <w:t xml:space="preserve">六</w:t>
      </w:r>
      <w:r>
        <w:rPr>
          <w:rFonts w:hint="eastAsia" w:ascii="宋体" w:hAnsi="宋体"/>
          <w:sz w:val="28"/>
          <w:szCs w:val="28"/>
        </w:rPr>
        <w:t xml:space="preserve">、甲方的义务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1、负责本项目的组织协商，配合乙方做好相关资料收集和准备工作。</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2、足额向乙方支付经费。</w:t>
      </w:r>
      <w:r/>
    </w:p>
    <w:p>
      <w:pPr>
        <w:ind w:firstLine="562"/>
        <w:spacing w:line="500" w:lineRule="exact"/>
        <w:rPr>
          <w:rFonts w:ascii="宋体" w:hAnsi="宋体"/>
          <w:sz w:val="28"/>
          <w:szCs w:val="28"/>
        </w:rPr>
      </w:pPr>
      <w:r>
        <w:rPr>
          <w:rFonts w:hint="eastAsia" w:ascii="宋体" w:hAnsi="宋体"/>
          <w:b/>
          <w:bCs/>
          <w:sz w:val="28"/>
          <w:szCs w:val="28"/>
        </w:rPr>
        <w:t xml:space="preserve">七</w:t>
      </w:r>
      <w:r>
        <w:rPr>
          <w:rFonts w:hint="eastAsia" w:ascii="宋体" w:hAnsi="宋体"/>
          <w:sz w:val="28"/>
          <w:szCs w:val="28"/>
        </w:rPr>
        <w:t xml:space="preserve">、乙方义务</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严格按照甲方的委托要求独立开展工作，并保证及时高质量完成甲方委托任务，具体事项有：</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1、</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w:t>
      </w:r>
      <w:r>
        <w:rPr>
          <w:rFonts w:hint="eastAsia" w:ascii="宋体" w:hAnsi="宋体" w:cs="宋体"/>
          <w:sz w:val="28"/>
          <w:szCs w:val="28"/>
          <w:u w:val="single"/>
        </w:rPr>
        <w:t xml:space="preserve"> （如有，另行协商）</w:t>
      </w:r>
      <w:r>
        <w:rPr>
          <w:rFonts w:hint="eastAsia" w:ascii="宋体" w:hAnsi="宋体" w:cs="宋体"/>
          <w:sz w:val="28"/>
          <w:szCs w:val="28"/>
        </w:rPr>
        <w:t xml:space="preserve">。</w:t>
      </w:r>
      <w:r/>
    </w:p>
    <w:p>
      <w:pPr>
        <w:ind w:firstLine="562"/>
        <w:spacing w:line="500" w:lineRule="exact"/>
        <w:rPr>
          <w:sz w:val="28"/>
        </w:rPr>
      </w:pPr>
      <w:r>
        <w:rPr>
          <w:rFonts w:hint="eastAsia" w:ascii="宋体" w:hAnsi="宋体"/>
          <w:b/>
          <w:sz w:val="28"/>
          <w:szCs w:val="28"/>
        </w:rPr>
        <w:t xml:space="preserve">八、</w:t>
      </w:r>
      <w:r>
        <w:rPr>
          <w:rFonts w:hint="eastAsia" w:ascii="宋体" w:hAnsi="宋体" w:cs="宋体"/>
          <w:sz w:val="28"/>
        </w:rPr>
        <w:t xml:space="preserve">本合同涉及的本项目成果的所有权、使用权和著作权归甲方所有。</w:t>
      </w:r>
      <w:r/>
    </w:p>
    <w:p>
      <w:pPr>
        <w:ind w:firstLine="562"/>
        <w:spacing w:line="500" w:lineRule="exact"/>
        <w:rPr>
          <w:rFonts w:ascii="宋体" w:hAnsi="宋体"/>
          <w:b/>
          <w:sz w:val="28"/>
          <w:szCs w:val="28"/>
        </w:rPr>
      </w:pPr>
      <w:r>
        <w:rPr>
          <w:rFonts w:hint="eastAsia" w:ascii="宋体" w:hAnsi="宋体"/>
          <w:b/>
          <w:sz w:val="28"/>
          <w:szCs w:val="28"/>
        </w:rPr>
        <w:t xml:space="preserve">九、履约保证金</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 1、中标人与采购人签订政府采购合同前，须提交履约保证金，否则视为放弃中标，给采购人造成损失的，中标人还应当予以赔偿。</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的形式：支票、汇票、本票或者金融机构、担保机构出具的保函等非现金形式</w:t>
      </w:r>
      <w:r/>
    </w:p>
    <w:p>
      <w:pPr>
        <w:ind w:firstLine="560"/>
        <w:jc w:val="left"/>
        <w:spacing w:line="500" w:lineRule="exact"/>
        <w:rPr>
          <w:rFonts w:ascii="宋体" w:hAnsi="宋体" w:cs="宋体"/>
          <w:sz w:val="28"/>
          <w:szCs w:val="28"/>
        </w:rPr>
      </w:pPr>
      <w:r>
        <w:rPr>
          <w:rFonts w:ascii="宋体" w:hAnsi="宋体" w:cs="宋体"/>
          <w:sz w:val="28"/>
          <w:szCs w:val="28"/>
        </w:rPr>
        <w:t xml:space="preserve">履约</w:t>
      </w:r>
      <w:r>
        <w:rPr>
          <w:rFonts w:hint="eastAsia" w:ascii="宋体" w:hAnsi="宋体" w:cs="宋体"/>
          <w:sz w:val="28"/>
          <w:szCs w:val="28"/>
        </w:rPr>
        <w:t xml:space="preserve">保证金</w:t>
      </w:r>
      <w:r>
        <w:rPr>
          <w:rFonts w:ascii="宋体" w:hAnsi="宋体" w:cs="宋体"/>
          <w:sz w:val="28"/>
          <w:szCs w:val="28"/>
        </w:rPr>
        <w:t xml:space="preserve">的金额：</w:t>
      </w:r>
      <w:r>
        <w:rPr>
          <w:rFonts w:hint="eastAsia" w:ascii="宋体" w:hAnsi="宋体" w:cs="宋体"/>
          <w:sz w:val="28"/>
          <w:szCs w:val="28"/>
        </w:rPr>
        <w:t xml:space="preserve">合同价的</w:t>
      </w:r>
      <w:r>
        <w:rPr>
          <w:rFonts w:hint="eastAsia" w:ascii="宋体" w:hAnsi="宋体" w:cs="宋体"/>
          <w:sz w:val="28"/>
          <w:szCs w:val="28"/>
          <w:u w:val="single"/>
        </w:rPr>
        <w:t xml:space="preserve">              </w:t>
      </w:r>
      <w:r>
        <w:rPr>
          <w:rFonts w:hint="eastAsia" w:ascii="宋体" w:hAnsi="宋体" w:cs="宋体"/>
          <w:sz w:val="28"/>
          <w:szCs w:val="28"/>
        </w:rPr>
        <w:t xml:space="preserve">%</w:t>
      </w:r>
      <w:r/>
    </w:p>
    <w:p>
      <w:pPr>
        <w:pStyle w:val="652"/>
        <w:spacing w:line="500" w:lineRule="exact"/>
        <w:rPr>
          <w:rFonts w:ascii="宋体" w:hAnsi="宋体" w:cs="宋体"/>
          <w:sz w:val="28"/>
          <w:szCs w:val="28"/>
        </w:rPr>
      </w:pPr>
      <w:r>
        <w:rPr>
          <w:rFonts w:hint="eastAsia" w:ascii="宋体" w:hAnsi="宋体" w:cs="宋体"/>
          <w:sz w:val="28"/>
          <w:szCs w:val="28"/>
        </w:rPr>
        <w:t xml:space="preserve">    履约保证金退还方式、时间、条件：</w:t>
      </w:r>
      <w:r/>
    </w:p>
    <w:p>
      <w:pPr>
        <w:ind w:firstLine="560"/>
        <w:jc w:val="left"/>
        <w:spacing w:line="500" w:lineRule="exact"/>
        <w:rPr>
          <w:rFonts w:ascii="宋体" w:hAnsi="宋体" w:cs="宋体"/>
          <w:sz w:val="28"/>
          <w:szCs w:val="21"/>
        </w:rPr>
      </w:pPr>
      <w:r>
        <w:rPr>
          <w:rFonts w:hint="eastAsia" w:ascii="宋体" w:hAnsi="宋体" w:cs="宋体"/>
          <w:sz w:val="28"/>
          <w:szCs w:val="21"/>
        </w:rPr>
        <w:t xml:space="preserve">2、如卖方未能履行合同规定的义务，买方有权从履约保证金中取得补偿。</w:t>
      </w:r>
      <w:r/>
    </w:p>
    <w:p>
      <w:pPr>
        <w:ind w:firstLine="560"/>
        <w:spacing w:line="500" w:lineRule="exact"/>
        <w:rPr>
          <w:rFonts w:ascii="宋体" w:hAnsi="宋体" w:cs="宋体"/>
          <w:sz w:val="28"/>
          <w:szCs w:val="28"/>
        </w:rPr>
      </w:pPr>
      <w:r>
        <w:rPr>
          <w:rFonts w:hint="eastAsia" w:ascii="宋体" w:hAnsi="宋体" w:cs="宋体"/>
          <w:sz w:val="28"/>
          <w:szCs w:val="28"/>
        </w:rPr>
        <w:t xml:space="preserve">3、乙方由于过错而导致支付违约金和赔偿损失时可由履约保证金抵顶支付；当违约金和赔偿金额超过履约保证金时，甲方可追偿超过履约保证金的部分。</w:t>
      </w:r>
      <w:r/>
    </w:p>
    <w:p>
      <w:pPr>
        <w:ind w:firstLine="562"/>
        <w:spacing w:line="500" w:lineRule="exact"/>
        <w:rPr>
          <w:rFonts w:ascii="宋体" w:hAnsi="宋体"/>
          <w:b/>
          <w:sz w:val="28"/>
          <w:szCs w:val="28"/>
        </w:rPr>
      </w:pPr>
      <w:r>
        <w:rPr>
          <w:rFonts w:hint="eastAsia" w:ascii="宋体" w:hAnsi="宋体"/>
          <w:b/>
          <w:sz w:val="28"/>
          <w:szCs w:val="28"/>
        </w:rPr>
        <w:t xml:space="preserve">十．不可抗力</w:t>
      </w:r>
      <w:r/>
    </w:p>
    <w:p>
      <w:pPr>
        <w:ind w:firstLine="560"/>
        <w:spacing w:line="500" w:lineRule="exact"/>
        <w:rPr>
          <w:rFonts w:ascii="宋体" w:hAnsi="宋体" w:cs="宋体"/>
          <w:sz w:val="28"/>
          <w:szCs w:val="28"/>
        </w:rPr>
      </w:pPr>
      <w:r>
        <w:rPr>
          <w:rFonts w:hint="eastAsia" w:ascii="宋体" w:hAnsi="宋体" w:cs="宋体"/>
          <w:sz w:val="28"/>
          <w:szCs w:val="28"/>
        </w:rPr>
        <w:t xml:space="preserve">1.签约双方任一方由于受诸如战争、严重火灾、洪水、台风、地震等不可抗力事故的影响而不能执行合同时，履行合同的期限应予以延长，延长的期限应相当于事故所影响的时间。</w:t>
      </w:r>
      <w:r/>
    </w:p>
    <w:p>
      <w:pPr>
        <w:ind w:firstLine="560"/>
        <w:spacing w:line="500" w:lineRule="exact"/>
        <w:rPr>
          <w:rFonts w:ascii="宋体" w:hAnsi="宋体" w:cs="宋体"/>
          <w:sz w:val="28"/>
          <w:szCs w:val="28"/>
        </w:rPr>
      </w:pPr>
      <w:r>
        <w:rPr>
          <w:rFonts w:hint="eastAsia" w:ascii="宋体" w:hAnsi="宋体" w:cs="宋体"/>
          <w:sz w:val="28"/>
          <w:szCs w:val="28"/>
        </w:rPr>
        <w:t xml:space="preserve">2.受阻一方应在不可抗力事故发生后尽快用电报、传真或电传通知对方，并于事故发生后</w:t>
      </w:r>
      <w:r>
        <w:rPr>
          <w:rFonts w:hint="eastAsia" w:ascii="宋体" w:hAnsi="宋体" w:cs="宋体"/>
          <w:sz w:val="28"/>
          <w:szCs w:val="28"/>
          <w:u w:val="single"/>
        </w:rPr>
        <w:t xml:space="preserve"> </w:t>
      </w:r>
      <w:r>
        <w:rPr>
          <w:rFonts w:hint="eastAsia" w:ascii="宋体" w:hAnsi="宋体" w:cs="宋体"/>
          <w:sz w:val="28"/>
          <w:szCs w:val="28"/>
        </w:rPr>
        <w:t xml:space="preserve">天内将有关当局出具的证明文件用特快专递寄给对方审阅确认。一旦不可抗力事故的影响持续</w:t>
      </w:r>
      <w:r>
        <w:rPr>
          <w:rFonts w:hint="eastAsia" w:ascii="宋体" w:hAnsi="宋体" w:cs="宋体"/>
          <w:sz w:val="28"/>
          <w:szCs w:val="28"/>
          <w:u w:val="single"/>
        </w:rPr>
        <w:t xml:space="preserve">  </w:t>
      </w:r>
      <w:r>
        <w:rPr>
          <w:rFonts w:hint="eastAsia" w:ascii="宋体" w:hAnsi="宋体" w:cs="宋体"/>
          <w:sz w:val="28"/>
          <w:szCs w:val="28"/>
        </w:rPr>
        <w:t xml:space="preserve">天以上，双方（或三方）应通过友好协商在合理的时间内达成是否继续履行合同的协议。</w:t>
      </w:r>
      <w:r/>
    </w:p>
    <w:p>
      <w:pPr>
        <w:ind w:firstLine="562"/>
        <w:spacing w:line="500" w:lineRule="exact"/>
        <w:rPr>
          <w:rFonts w:ascii="宋体" w:hAnsi="宋体"/>
          <w:b/>
          <w:sz w:val="28"/>
          <w:szCs w:val="28"/>
        </w:rPr>
      </w:pPr>
      <w:r>
        <w:rPr>
          <w:rFonts w:hint="eastAsia" w:ascii="宋体" w:hAnsi="宋体"/>
          <w:b/>
          <w:sz w:val="28"/>
          <w:szCs w:val="28"/>
        </w:rPr>
        <w:t xml:space="preserve">十一．税费</w:t>
      </w:r>
      <w:r/>
    </w:p>
    <w:p>
      <w:pPr>
        <w:ind w:firstLine="560"/>
        <w:spacing w:line="500" w:lineRule="exact"/>
        <w:rPr>
          <w:rFonts w:ascii="宋体" w:hAnsi="宋体" w:cs="宋体"/>
          <w:sz w:val="28"/>
          <w:szCs w:val="28"/>
        </w:rPr>
      </w:pPr>
      <w:r>
        <w:rPr>
          <w:rFonts w:hint="eastAsia" w:ascii="宋体" w:hAnsi="宋体" w:cs="宋体"/>
          <w:sz w:val="28"/>
          <w:szCs w:val="28"/>
        </w:rPr>
        <w:t xml:space="preserve">1.与履行本合同有关的一切税费，由乙方承担。</w:t>
      </w:r>
      <w:r/>
    </w:p>
    <w:p>
      <w:pPr>
        <w:ind w:firstLine="562"/>
        <w:spacing w:line="500" w:lineRule="exact"/>
        <w:rPr>
          <w:rFonts w:ascii="宋体" w:hAnsi="宋体"/>
          <w:b/>
          <w:sz w:val="28"/>
          <w:szCs w:val="28"/>
        </w:rPr>
      </w:pPr>
      <w:r>
        <w:rPr>
          <w:rFonts w:hint="eastAsia" w:ascii="宋体" w:hAnsi="宋体"/>
          <w:b/>
          <w:sz w:val="28"/>
          <w:szCs w:val="28"/>
        </w:rPr>
        <w:t xml:space="preserve">十二．争议</w:t>
      </w:r>
      <w:r/>
    </w:p>
    <w:p>
      <w:pPr>
        <w:ind w:firstLine="560"/>
        <w:spacing w:line="500" w:lineRule="exact"/>
        <w:rPr>
          <w:rFonts w:ascii="宋体" w:hAnsi="宋体"/>
          <w:sz w:val="28"/>
          <w:szCs w:val="28"/>
        </w:rPr>
      </w:pPr>
      <w:r>
        <w:rPr>
          <w:rFonts w:hint="eastAsia" w:ascii="宋体" w:hAnsi="宋体"/>
          <w:sz w:val="28"/>
          <w:szCs w:val="28"/>
        </w:rPr>
        <w:t xml:space="preserve">1.在执行本合同中发生的或与本合同有关的争端，双方应通过友好协商解决。</w:t>
      </w:r>
      <w:r>
        <w:rPr>
          <w:rFonts w:hint="eastAsia" w:ascii="宋体" w:hAnsi="宋体" w:cs="宋体"/>
          <w:sz w:val="28"/>
          <w:szCs w:val="28"/>
        </w:rPr>
        <w:t xml:space="preserve">经协商不能达成协议时，可向泰兴市仲裁委员会按其仲裁规则申请仲裁。仲裁不成功，向合同签约地的人民法院提请诉讼。</w:t>
      </w:r>
      <w:r/>
    </w:p>
    <w:p>
      <w:pPr>
        <w:ind w:firstLine="560"/>
        <w:spacing w:line="500" w:lineRule="exact"/>
        <w:rPr>
          <w:rFonts w:ascii="宋体" w:hAnsi="宋体"/>
          <w:sz w:val="28"/>
          <w:szCs w:val="28"/>
        </w:rPr>
      </w:pPr>
      <w:r>
        <w:rPr>
          <w:rFonts w:hint="eastAsia" w:ascii="宋体" w:hAnsi="宋体"/>
          <w:sz w:val="28"/>
          <w:szCs w:val="28"/>
        </w:rPr>
        <w:t xml:space="preserve">2.在仲裁和诉讼期间，双方应继续履行争议部分以外的合同内容。</w:t>
      </w:r>
      <w:r/>
    </w:p>
    <w:p>
      <w:pPr>
        <w:ind w:firstLine="562"/>
        <w:spacing w:line="500" w:lineRule="exact"/>
        <w:rPr>
          <w:rFonts w:ascii="宋体" w:hAnsi="宋体"/>
          <w:b/>
          <w:sz w:val="28"/>
          <w:szCs w:val="28"/>
        </w:rPr>
      </w:pPr>
      <w:r>
        <w:rPr>
          <w:rFonts w:hint="eastAsia" w:ascii="宋体" w:hAnsi="宋体"/>
          <w:b/>
          <w:sz w:val="28"/>
          <w:szCs w:val="28"/>
        </w:rPr>
        <w:t xml:space="preserve">十三．违约终止合同</w:t>
      </w:r>
      <w:r/>
    </w:p>
    <w:p>
      <w:pPr>
        <w:ind w:firstLine="560"/>
        <w:spacing w:line="500" w:lineRule="exact"/>
        <w:rPr>
          <w:rFonts w:ascii="宋体" w:hAnsi="宋体"/>
          <w:sz w:val="28"/>
          <w:szCs w:val="28"/>
        </w:rPr>
      </w:pPr>
      <w:r>
        <w:rPr>
          <w:rFonts w:hint="eastAsia" w:ascii="宋体" w:hAnsi="宋体"/>
          <w:sz w:val="28"/>
          <w:szCs w:val="28"/>
        </w:rPr>
        <w:t xml:space="preserve">1 .违约责任</w:t>
      </w:r>
      <w:r/>
    </w:p>
    <w:p>
      <w:pPr>
        <w:ind w:firstLine="560"/>
        <w:spacing w:line="500" w:lineRule="exact"/>
        <w:rPr>
          <w:rFonts w:ascii="宋体" w:hAnsi="宋体"/>
          <w:sz w:val="28"/>
          <w:szCs w:val="28"/>
        </w:rPr>
      </w:pPr>
      <w:r>
        <w:rPr>
          <w:rFonts w:hint="eastAsia" w:ascii="宋体" w:hAnsi="宋体"/>
          <w:sz w:val="28"/>
          <w:szCs w:val="28"/>
        </w:rPr>
        <w:t xml:space="preserve">有下列情况之一的，甲方有权终止协议：</w:t>
      </w:r>
      <w:r/>
    </w:p>
    <w:p>
      <w:pPr>
        <w:ind w:firstLine="560"/>
        <w:spacing w:line="500" w:lineRule="exact"/>
        <w:rPr>
          <w:rFonts w:ascii="宋体" w:hAnsi="宋体"/>
          <w:sz w:val="28"/>
          <w:szCs w:val="28"/>
        </w:rPr>
      </w:pPr>
      <w:r>
        <w:rPr>
          <w:rFonts w:hint="eastAsia" w:ascii="宋体" w:hAnsi="宋体"/>
          <w:sz w:val="28"/>
          <w:szCs w:val="28"/>
        </w:rPr>
        <w:t xml:space="preserve">1.1</w:t>
      </w:r>
      <w:r>
        <w:rPr>
          <w:rFonts w:hint="eastAsia" w:ascii="宋体" w:hAnsi="宋体" w:cs="宋体"/>
          <w:sz w:val="28"/>
          <w:szCs w:val="28"/>
        </w:rPr>
        <w:t xml:space="preserve">乙方未能按</w:t>
      </w:r>
      <w:r>
        <w:rPr>
          <w:rFonts w:hint="eastAsia" w:ascii="宋体" w:hAnsi="宋体"/>
          <w:sz w:val="28"/>
          <w:szCs w:val="28"/>
        </w:rPr>
        <w:t xml:space="preserve">上级</w:t>
      </w:r>
      <w:r>
        <w:rPr>
          <w:rFonts w:hint="eastAsia" w:ascii="宋体" w:hAnsi="宋体" w:cs="宋体"/>
          <w:sz w:val="28"/>
          <w:szCs w:val="28"/>
        </w:rPr>
        <w:t xml:space="preserve">要求造成结果失真或未能按进保质完成甲方委托任务的。</w:t>
      </w:r>
      <w:r/>
    </w:p>
    <w:p>
      <w:pPr>
        <w:ind w:firstLine="560"/>
        <w:spacing w:line="500" w:lineRule="exact"/>
        <w:rPr>
          <w:rFonts w:ascii="宋体" w:hAnsi="宋体"/>
          <w:sz w:val="28"/>
          <w:szCs w:val="28"/>
        </w:rPr>
      </w:pPr>
      <w:r>
        <w:rPr>
          <w:rFonts w:hint="eastAsia" w:ascii="宋体" w:hAnsi="宋体"/>
          <w:sz w:val="28"/>
          <w:szCs w:val="28"/>
        </w:rPr>
        <w:t xml:space="preserve">1.2乙方违反从业道德，影响甲方声誉或投诉查实的。</w:t>
      </w:r>
      <w:r/>
    </w:p>
    <w:p>
      <w:pPr>
        <w:ind w:firstLine="560"/>
        <w:spacing w:line="500" w:lineRule="exact"/>
        <w:rPr>
          <w:rFonts w:ascii="宋体" w:hAnsi="宋体"/>
          <w:sz w:val="28"/>
          <w:szCs w:val="28"/>
        </w:rPr>
      </w:pPr>
      <w:r>
        <w:rPr>
          <w:rFonts w:hint="eastAsia" w:ascii="宋体" w:hAnsi="宋体"/>
          <w:sz w:val="28"/>
          <w:szCs w:val="28"/>
        </w:rPr>
        <w:t xml:space="preserve">2.因解除而终止</w:t>
      </w:r>
      <w:r/>
    </w:p>
    <w:p>
      <w:pPr>
        <w:ind w:firstLine="560"/>
        <w:spacing w:line="500" w:lineRule="exact"/>
        <w:rPr>
          <w:rFonts w:ascii="宋体" w:hAnsi="宋体"/>
          <w:sz w:val="28"/>
          <w:szCs w:val="28"/>
        </w:rPr>
      </w:pPr>
      <w:r>
        <w:rPr>
          <w:rFonts w:hint="eastAsia" w:ascii="宋体" w:hAnsi="宋体"/>
          <w:sz w:val="28"/>
          <w:szCs w:val="28"/>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560"/>
        <w:spacing w:line="500" w:lineRule="exact"/>
        <w:rPr>
          <w:rFonts w:ascii="宋体" w:hAnsi="宋体"/>
          <w:sz w:val="28"/>
          <w:szCs w:val="28"/>
        </w:rPr>
      </w:pPr>
      <w:r>
        <w:rPr>
          <w:rFonts w:hint="eastAsia" w:ascii="宋体" w:hAnsi="宋体"/>
          <w:sz w:val="28"/>
          <w:szCs w:val="28"/>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560"/>
        <w:spacing w:line="500" w:lineRule="exact"/>
        <w:rPr>
          <w:rFonts w:ascii="宋体" w:hAnsi="宋体"/>
          <w:sz w:val="28"/>
          <w:szCs w:val="28"/>
        </w:rPr>
      </w:pPr>
      <w:r>
        <w:rPr>
          <w:rFonts w:hint="eastAsia" w:ascii="宋体" w:hAnsi="宋体"/>
          <w:sz w:val="28"/>
          <w:szCs w:val="28"/>
        </w:rPr>
        <w:t xml:space="preserve">2.3合同一方依本合同约定行使解除权的，合同自解除通知送达另一方之日起终止。违约方应当按本合同约定支付违约金或赔偿损失。</w:t>
      </w:r>
      <w:r/>
    </w:p>
    <w:p>
      <w:pPr>
        <w:ind w:firstLine="560"/>
        <w:spacing w:line="500" w:lineRule="exact"/>
        <w:rPr>
          <w:rFonts w:ascii="宋体" w:hAnsi="宋体"/>
          <w:sz w:val="28"/>
          <w:szCs w:val="28"/>
        </w:rPr>
      </w:pPr>
      <w:r>
        <w:rPr>
          <w:rFonts w:hint="eastAsia" w:ascii="宋体" w:hAnsi="宋体"/>
          <w:sz w:val="28"/>
          <w:szCs w:val="28"/>
        </w:rPr>
        <w:t xml:space="preserve">2.4合同终止后，不妨碍守约方向违约方追究违约责任。</w:t>
      </w:r>
      <w:r/>
    </w:p>
    <w:p>
      <w:pPr>
        <w:ind w:firstLine="560"/>
        <w:spacing w:line="500" w:lineRule="exact"/>
        <w:rPr>
          <w:rFonts w:ascii="宋体" w:hAnsi="宋体"/>
          <w:sz w:val="28"/>
          <w:szCs w:val="28"/>
        </w:rPr>
      </w:pPr>
      <w:r>
        <w:rPr>
          <w:rFonts w:hint="eastAsia" w:ascii="宋体" w:hAnsi="宋体"/>
          <w:sz w:val="28"/>
          <w:szCs w:val="28"/>
        </w:rPr>
        <w:t xml:space="preserve">3.甲方未能按规定时限支付评估经费的，每延迟一天，按应付金额的0.1%对乙方进行违约赔偿。</w:t>
      </w:r>
      <w:r/>
    </w:p>
    <w:p>
      <w:pPr>
        <w:ind w:firstLine="562"/>
        <w:spacing w:line="500" w:lineRule="exact"/>
        <w:rPr>
          <w:rFonts w:ascii="宋体" w:hAnsi="宋体"/>
          <w:b/>
          <w:sz w:val="28"/>
          <w:szCs w:val="28"/>
        </w:rPr>
      </w:pPr>
      <w:r>
        <w:rPr>
          <w:rFonts w:hint="eastAsia" w:ascii="宋体" w:hAnsi="宋体"/>
          <w:b/>
          <w:sz w:val="28"/>
          <w:szCs w:val="28"/>
        </w:rPr>
        <w:t xml:space="preserve">十四．变更指示</w:t>
      </w:r>
      <w:r/>
    </w:p>
    <w:p>
      <w:pPr>
        <w:ind w:firstLine="560"/>
        <w:spacing w:line="500" w:lineRule="exact"/>
        <w:rPr>
          <w:rFonts w:ascii="宋体" w:hAnsi="宋体"/>
          <w:sz w:val="28"/>
          <w:szCs w:val="28"/>
        </w:rPr>
      </w:pPr>
      <w:r>
        <w:rPr>
          <w:rFonts w:hint="eastAsia" w:ascii="宋体" w:hAnsi="宋体"/>
          <w:sz w:val="28"/>
          <w:szCs w:val="28"/>
        </w:rPr>
        <w:t xml:space="preserve">1.甲方有权根据实际需要，在《政府采购法》允许的范围内提出变更要求。</w:t>
      </w:r>
      <w:r/>
    </w:p>
    <w:p>
      <w:pPr>
        <w:ind w:firstLine="560"/>
        <w:spacing w:line="500" w:lineRule="exact"/>
        <w:rPr>
          <w:rFonts w:ascii="宋体" w:hAnsi="宋体"/>
          <w:sz w:val="28"/>
          <w:szCs w:val="28"/>
        </w:rPr>
      </w:pPr>
      <w:r>
        <w:rPr>
          <w:rFonts w:hint="eastAsia" w:ascii="宋体" w:hAnsi="宋体"/>
          <w:sz w:val="28"/>
          <w:szCs w:val="28"/>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562"/>
        <w:spacing w:line="500" w:lineRule="exact"/>
        <w:rPr>
          <w:rFonts w:ascii="宋体" w:hAnsi="宋体"/>
          <w:b/>
          <w:sz w:val="28"/>
          <w:szCs w:val="28"/>
        </w:rPr>
      </w:pPr>
      <w:r>
        <w:rPr>
          <w:rFonts w:hint="eastAsia" w:ascii="宋体" w:hAnsi="宋体"/>
          <w:b/>
          <w:sz w:val="28"/>
          <w:szCs w:val="28"/>
        </w:rPr>
        <w:t xml:space="preserve">十五．合同修改</w:t>
      </w:r>
      <w:r/>
    </w:p>
    <w:p>
      <w:pPr>
        <w:ind w:firstLine="560"/>
        <w:spacing w:line="500" w:lineRule="exact"/>
        <w:rPr>
          <w:rFonts w:ascii="宋体" w:hAnsi="宋体"/>
          <w:sz w:val="28"/>
          <w:szCs w:val="28"/>
        </w:rPr>
      </w:pPr>
      <w:r>
        <w:rPr>
          <w:rFonts w:hint="eastAsia" w:ascii="宋体" w:hAnsi="宋体"/>
          <w:sz w:val="28"/>
          <w:szCs w:val="28"/>
        </w:rPr>
        <w:t xml:space="preserve">1.对合同条款作出任何改动或偏离，均须甲乙双方签署书面的合同修改书。</w:t>
      </w:r>
      <w:r/>
    </w:p>
    <w:p>
      <w:pPr>
        <w:ind w:firstLine="562"/>
        <w:spacing w:line="500" w:lineRule="exact"/>
        <w:rPr>
          <w:rFonts w:ascii="宋体" w:hAnsi="宋体"/>
          <w:b/>
          <w:sz w:val="28"/>
          <w:szCs w:val="28"/>
        </w:rPr>
      </w:pPr>
      <w:r>
        <w:rPr>
          <w:rFonts w:hint="eastAsia" w:ascii="宋体" w:hAnsi="宋体"/>
          <w:b/>
          <w:sz w:val="28"/>
          <w:szCs w:val="28"/>
        </w:rPr>
        <w:t xml:space="preserve">十六．适用法律</w:t>
      </w:r>
      <w:r/>
    </w:p>
    <w:p>
      <w:pPr>
        <w:ind w:firstLine="560"/>
        <w:spacing w:line="500" w:lineRule="exact"/>
        <w:rPr>
          <w:rFonts w:ascii="宋体" w:hAnsi="宋体"/>
          <w:sz w:val="28"/>
          <w:szCs w:val="28"/>
        </w:rPr>
      </w:pPr>
      <w:r>
        <w:rPr>
          <w:rFonts w:hint="eastAsia" w:ascii="宋体" w:hAnsi="宋体"/>
          <w:sz w:val="28"/>
          <w:szCs w:val="28"/>
        </w:rPr>
        <w:t xml:space="preserve">l.本合同应按中华人民共和国的法律解释。</w:t>
      </w:r>
      <w:r/>
    </w:p>
    <w:p>
      <w:pPr>
        <w:ind w:firstLine="562"/>
        <w:spacing w:line="500" w:lineRule="exact"/>
        <w:rPr>
          <w:rFonts w:ascii="宋体" w:hAnsi="宋体"/>
          <w:b/>
          <w:sz w:val="28"/>
          <w:szCs w:val="28"/>
        </w:rPr>
      </w:pPr>
      <w:r>
        <w:rPr>
          <w:rFonts w:hint="eastAsia" w:ascii="宋体" w:hAnsi="宋体"/>
          <w:b/>
          <w:sz w:val="28"/>
          <w:szCs w:val="28"/>
        </w:rPr>
        <w:t xml:space="preserve">十七．语言与计量单位</w:t>
      </w:r>
      <w:r/>
    </w:p>
    <w:p>
      <w:pPr>
        <w:ind w:firstLine="560"/>
        <w:spacing w:line="500" w:lineRule="exact"/>
        <w:rPr>
          <w:rFonts w:ascii="宋体" w:hAnsi="宋体"/>
          <w:sz w:val="28"/>
          <w:szCs w:val="28"/>
        </w:rPr>
      </w:pPr>
      <w:r>
        <w:rPr>
          <w:rFonts w:hint="eastAsia" w:ascii="宋体" w:hAnsi="宋体"/>
          <w:sz w:val="28"/>
          <w:szCs w:val="28"/>
        </w:rPr>
        <w:t xml:space="preserve">1.合同书写应用中文。甲乙双方所有的来往函电以及与合同有关的文件均应以中文书写。</w:t>
      </w:r>
      <w:r/>
    </w:p>
    <w:p>
      <w:pPr>
        <w:ind w:firstLine="560"/>
        <w:spacing w:line="500" w:lineRule="exact"/>
        <w:rPr>
          <w:rFonts w:ascii="宋体" w:hAnsi="宋体"/>
          <w:sz w:val="28"/>
          <w:szCs w:val="28"/>
        </w:rPr>
      </w:pPr>
      <w:r>
        <w:rPr>
          <w:rFonts w:hint="eastAsia" w:ascii="宋体" w:hAnsi="宋体"/>
          <w:sz w:val="28"/>
          <w:szCs w:val="28"/>
        </w:rPr>
        <w:t xml:space="preserve">2.除技术规格中另有规定外，计量单位均使用国际单位制。</w:t>
      </w:r>
      <w:r/>
    </w:p>
    <w:p>
      <w:pPr>
        <w:ind w:firstLine="562"/>
        <w:spacing w:line="500" w:lineRule="exact"/>
        <w:rPr>
          <w:rFonts w:ascii="宋体" w:hAnsi="宋体"/>
          <w:b/>
          <w:sz w:val="28"/>
          <w:szCs w:val="28"/>
        </w:rPr>
      </w:pPr>
      <w:r>
        <w:rPr>
          <w:rFonts w:hint="eastAsia" w:ascii="宋体" w:hAnsi="宋体"/>
          <w:b/>
          <w:sz w:val="28"/>
          <w:szCs w:val="28"/>
        </w:rPr>
        <w:t xml:space="preserve">十八．通知</w:t>
      </w:r>
      <w:r/>
    </w:p>
    <w:p>
      <w:pPr>
        <w:ind w:firstLine="560"/>
        <w:spacing w:line="500" w:lineRule="exact"/>
        <w:rPr>
          <w:rFonts w:ascii="宋体" w:hAnsi="宋体"/>
          <w:sz w:val="28"/>
          <w:szCs w:val="28"/>
        </w:rPr>
      </w:pPr>
      <w:r>
        <w:rPr>
          <w:rFonts w:hint="eastAsia" w:ascii="宋体" w:hAnsi="宋体"/>
          <w:sz w:val="28"/>
          <w:szCs w:val="28"/>
        </w:rPr>
        <w:t xml:space="preserve">1.本合同任何一方给另一方的通知都应以书面形式发送，而另一方应以书面形式确认并发送到对方明确的地址。</w:t>
      </w:r>
      <w:r/>
    </w:p>
    <w:p>
      <w:pPr>
        <w:ind w:firstLine="562"/>
        <w:spacing w:line="500" w:lineRule="exact"/>
        <w:rPr>
          <w:rFonts w:ascii="宋体" w:hAnsi="宋体"/>
          <w:b/>
          <w:sz w:val="28"/>
          <w:szCs w:val="28"/>
        </w:rPr>
      </w:pPr>
      <w:r>
        <w:rPr>
          <w:rFonts w:hint="eastAsia" w:ascii="宋体" w:hAnsi="宋体"/>
          <w:b/>
          <w:sz w:val="28"/>
          <w:szCs w:val="28"/>
        </w:rPr>
        <w:t xml:space="preserve">十九．合同文件及资料的保密</w:t>
      </w:r>
      <w:r/>
    </w:p>
    <w:p>
      <w:pPr>
        <w:ind w:firstLine="542"/>
        <w:spacing w:line="500" w:lineRule="exact"/>
        <w:rPr>
          <w:rFonts w:ascii="宋体" w:hAnsi="宋体"/>
          <w:sz w:val="28"/>
          <w:szCs w:val="28"/>
        </w:rPr>
      </w:pPr>
      <w:r>
        <w:rPr>
          <w:rFonts w:hint="eastAsia" w:ascii="宋体" w:hAnsi="宋体"/>
          <w:sz w:val="28"/>
          <w:szCs w:val="28"/>
        </w:rPr>
        <w:t xml:space="preserve">1.在未经甲方同意的情况下，乙方不得将合同、合同中的规定、有关研究、设计图纸、式样、样本或甲方为乙方提供的资料透露给任何人。</w:t>
      </w:r>
      <w:r/>
    </w:p>
    <w:p>
      <w:pPr>
        <w:ind w:firstLine="560"/>
        <w:spacing w:line="500" w:lineRule="exact"/>
        <w:rPr>
          <w:rFonts w:ascii="宋体" w:hAnsi="宋体"/>
          <w:sz w:val="28"/>
          <w:szCs w:val="28"/>
        </w:rPr>
      </w:pPr>
      <w:r>
        <w:rPr>
          <w:rFonts w:hint="eastAsia" w:ascii="宋体" w:hAnsi="宋体"/>
          <w:sz w:val="28"/>
          <w:szCs w:val="28"/>
        </w:rPr>
        <w:t xml:space="preserve">2.除合同本身以外，乙方从甲方处获得的所有资料其知识产权归甲方所有，乙方应于其合同义务履行完毕以后将这些资料（包括所有副本）退还甲方。</w:t>
      </w:r>
      <w:r/>
    </w:p>
    <w:p>
      <w:pPr>
        <w:ind w:firstLine="562"/>
        <w:spacing w:line="500" w:lineRule="exact"/>
        <w:rPr>
          <w:rFonts w:ascii="宋体" w:hAnsi="宋体"/>
          <w:b/>
          <w:sz w:val="28"/>
          <w:szCs w:val="28"/>
        </w:rPr>
      </w:pPr>
      <w:r>
        <w:rPr>
          <w:rFonts w:hint="eastAsia" w:ascii="宋体" w:hAnsi="宋体"/>
          <w:b/>
          <w:sz w:val="28"/>
          <w:szCs w:val="28"/>
        </w:rPr>
        <w:t xml:space="preserve">二十．合同生效及其他</w:t>
      </w:r>
      <w:r/>
    </w:p>
    <w:p>
      <w:pPr>
        <w:ind w:firstLine="560"/>
        <w:spacing w:line="500" w:lineRule="exact"/>
        <w:rPr>
          <w:rFonts w:ascii="宋体" w:hAnsi="宋体"/>
          <w:sz w:val="28"/>
          <w:szCs w:val="28"/>
        </w:rPr>
      </w:pPr>
      <w:r>
        <w:rPr>
          <w:rFonts w:hint="eastAsia" w:ascii="宋体" w:hAnsi="宋体"/>
          <w:sz w:val="28"/>
          <w:szCs w:val="28"/>
        </w:rPr>
        <w:t xml:space="preserve">1.除合同中另有说明，本合同经双方法定代表人或其委托代理人签字并加盖公章或合同专用章后，即开始生效。</w:t>
      </w:r>
      <w:r/>
    </w:p>
    <w:p>
      <w:pPr>
        <w:ind w:firstLine="560"/>
        <w:spacing w:line="500" w:lineRule="exact"/>
        <w:rPr>
          <w:rFonts w:ascii="宋体" w:hAnsi="宋体"/>
          <w:sz w:val="28"/>
          <w:szCs w:val="28"/>
        </w:rPr>
      </w:pPr>
      <w:r>
        <w:rPr>
          <w:rFonts w:hint="eastAsia" w:ascii="宋体" w:hAnsi="宋体"/>
          <w:sz w:val="28"/>
          <w:szCs w:val="28"/>
        </w:rPr>
        <w:t xml:space="preserve">2.合同一式肆份，具有同等法律效力。</w:t>
      </w:r>
      <w:r/>
    </w:p>
    <w:p>
      <w:pPr>
        <w:ind w:firstLine="562"/>
        <w:spacing w:line="500" w:lineRule="exact"/>
        <w:rPr>
          <w:rFonts w:ascii="宋体" w:hAnsi="宋体"/>
          <w:b/>
          <w:sz w:val="28"/>
          <w:szCs w:val="28"/>
        </w:rPr>
      </w:pPr>
      <w:r>
        <w:rPr>
          <w:rFonts w:hint="eastAsia" w:ascii="宋体" w:hAnsi="宋体"/>
          <w:b/>
          <w:sz w:val="28"/>
          <w:szCs w:val="28"/>
        </w:rPr>
        <w:t xml:space="preserve">二十一．合同文件及解释顺序</w:t>
      </w:r>
      <w:r/>
    </w:p>
    <w:p>
      <w:pPr>
        <w:ind w:firstLine="560"/>
        <w:spacing w:line="500" w:lineRule="exact"/>
        <w:rPr>
          <w:rFonts w:ascii="宋体" w:hAnsi="宋体"/>
          <w:sz w:val="28"/>
          <w:szCs w:val="28"/>
        </w:rPr>
      </w:pPr>
      <w:r>
        <w:rPr>
          <w:rFonts w:hint="eastAsia" w:ascii="宋体" w:hAnsi="宋体"/>
          <w:sz w:val="28"/>
          <w:szCs w:val="28"/>
        </w:rPr>
        <w:t xml:space="preserve">下列文件均为合同组成文件</w:t>
      </w:r>
      <w:r/>
    </w:p>
    <w:p>
      <w:pPr>
        <w:ind w:firstLine="560"/>
        <w:spacing w:line="500" w:lineRule="exact"/>
        <w:rPr>
          <w:rFonts w:ascii="宋体" w:hAnsi="宋体"/>
          <w:sz w:val="28"/>
          <w:szCs w:val="28"/>
        </w:rPr>
      </w:pPr>
      <w:r>
        <w:rPr>
          <w:rFonts w:hint="eastAsia" w:ascii="宋体" w:hAnsi="宋体"/>
          <w:sz w:val="28"/>
          <w:szCs w:val="28"/>
        </w:rPr>
        <w:t xml:space="preserve">1.招标文件（包括澄清、答疑、修改和补充通知）</w:t>
      </w:r>
      <w:r/>
    </w:p>
    <w:p>
      <w:pPr>
        <w:ind w:firstLine="560"/>
        <w:spacing w:line="500" w:lineRule="exact"/>
        <w:rPr>
          <w:rFonts w:ascii="宋体" w:hAnsi="宋体"/>
          <w:sz w:val="28"/>
          <w:szCs w:val="28"/>
        </w:rPr>
      </w:pPr>
      <w:r>
        <w:rPr>
          <w:rFonts w:hint="eastAsia" w:ascii="宋体" w:hAnsi="宋体"/>
          <w:sz w:val="28"/>
          <w:szCs w:val="28"/>
        </w:rPr>
        <w:t xml:space="preserve">2.投标文件（包括修改、澄清）</w:t>
      </w:r>
      <w:r/>
    </w:p>
    <w:p>
      <w:pPr>
        <w:ind w:firstLine="560"/>
        <w:spacing w:line="500" w:lineRule="exact"/>
        <w:rPr>
          <w:rFonts w:ascii="宋体" w:hAnsi="宋体"/>
          <w:sz w:val="28"/>
          <w:szCs w:val="28"/>
        </w:rPr>
      </w:pPr>
      <w:r>
        <w:rPr>
          <w:rFonts w:hint="eastAsia" w:ascii="宋体" w:hAnsi="宋体"/>
          <w:sz w:val="28"/>
          <w:szCs w:val="28"/>
        </w:rPr>
        <w:t xml:space="preserve">3.中标通知书（包括投标人“回执”）</w:t>
      </w:r>
      <w:r/>
    </w:p>
    <w:p>
      <w:pPr>
        <w:ind w:firstLine="560"/>
        <w:spacing w:line="500" w:lineRule="exact"/>
        <w:rPr>
          <w:rFonts w:ascii="宋体" w:hAnsi="宋体"/>
          <w:sz w:val="28"/>
          <w:szCs w:val="28"/>
        </w:rPr>
      </w:pPr>
      <w:r>
        <w:rPr>
          <w:rFonts w:hint="eastAsia" w:ascii="宋体" w:hAnsi="宋体"/>
          <w:sz w:val="28"/>
          <w:szCs w:val="28"/>
        </w:rPr>
        <w:t xml:space="preserve">4.双方商定的补充协议或合同期内双方签署的备忘录</w:t>
      </w:r>
      <w:r/>
    </w:p>
    <w:p>
      <w:pPr>
        <w:ind w:firstLine="560"/>
        <w:spacing w:line="500" w:lineRule="exact"/>
        <w:rPr>
          <w:rFonts w:ascii="宋体" w:hAnsi="宋体"/>
          <w:sz w:val="28"/>
          <w:szCs w:val="28"/>
        </w:rPr>
      </w:pPr>
      <w:r>
        <w:rPr>
          <w:rFonts w:hint="eastAsia" w:ascii="宋体" w:hAnsi="宋体"/>
          <w:sz w:val="28"/>
          <w:szCs w:val="28"/>
        </w:rPr>
        <w:t xml:space="preserve">5.双方签署的合同谈判备忘录</w:t>
      </w:r>
      <w:r/>
    </w:p>
    <w:p>
      <w:pPr>
        <w:ind w:firstLine="560"/>
        <w:spacing w:line="500" w:lineRule="exact"/>
        <w:rPr>
          <w:rFonts w:ascii="宋体" w:hAnsi="宋体"/>
          <w:sz w:val="28"/>
          <w:szCs w:val="28"/>
        </w:rPr>
      </w:pPr>
      <w:r>
        <w:rPr>
          <w:rFonts w:hint="eastAsia" w:ascii="宋体" w:hAnsi="宋体"/>
          <w:sz w:val="28"/>
          <w:szCs w:val="28"/>
        </w:rPr>
        <w:t xml:space="preserve">6.与本合同有关的其他文件</w:t>
      </w:r>
      <w:r/>
    </w:p>
    <w:p>
      <w:pPr>
        <w:ind w:firstLine="420"/>
        <w:jc w:val="left"/>
        <w:spacing w:line="500" w:lineRule="exact"/>
        <w:rPr>
          <w:rFonts w:ascii="宋体" w:hAnsi="宋体"/>
          <w:b/>
          <w:bCs/>
          <w:sz w:val="28"/>
          <w:szCs w:val="28"/>
          <w:lang w:val="zh-CN"/>
        </w:rPr>
      </w:pPr>
      <w:r>
        <w:rPr>
          <w:rFonts w:hint="eastAsia" w:ascii="宋体" w:hAnsi="宋体"/>
          <w:b/>
          <w:bCs/>
          <w:sz w:val="28"/>
          <w:szCs w:val="28"/>
          <w:lang w:val="zh-CN"/>
        </w:rPr>
        <w:t xml:space="preserve">二十二</w:t>
      </w:r>
      <w:r>
        <w:rPr>
          <w:rFonts w:hint="eastAsia" w:ascii="宋体" w:hAnsi="宋体"/>
          <w:b/>
          <w:sz w:val="28"/>
          <w:szCs w:val="28"/>
        </w:rPr>
        <w:t xml:space="preserve">．</w:t>
      </w:r>
      <w:r>
        <w:rPr>
          <w:rFonts w:hint="eastAsia" w:ascii="宋体" w:hAnsi="宋体"/>
          <w:b/>
          <w:bCs/>
          <w:sz w:val="28"/>
          <w:szCs w:val="28"/>
          <w:lang w:val="zh-CN"/>
        </w:rPr>
        <w:t xml:space="preserve">合同的变更和终止</w:t>
      </w:r>
      <w:r/>
    </w:p>
    <w:p>
      <w:pPr>
        <w:ind w:firstLine="560"/>
        <w:spacing w:line="500" w:lineRule="exact"/>
        <w:rPr>
          <w:rFonts w:ascii="宋体" w:hAnsi="宋体"/>
          <w:sz w:val="28"/>
          <w:szCs w:val="28"/>
        </w:rPr>
      </w:pPr>
      <w:r>
        <w:rPr>
          <w:rFonts w:hint="eastAsia" w:ascii="宋体" w:hAnsi="宋体"/>
          <w:sz w:val="28"/>
          <w:szCs w:val="28"/>
        </w:rPr>
        <w:t xml:space="preserve">1.除《政府采购法》第50条第二款规定的情形外，本合同一经签订，甲乙双方不得擅自变更、中止或终止合同。</w:t>
      </w:r>
      <w:r/>
    </w:p>
    <w:p>
      <w:pPr>
        <w:ind w:firstLine="560"/>
        <w:spacing w:line="500" w:lineRule="exact"/>
        <w:rPr>
          <w:rFonts w:ascii="宋体" w:hAnsi="宋体"/>
          <w:sz w:val="28"/>
          <w:szCs w:val="28"/>
        </w:rPr>
      </w:pPr>
      <w:r>
        <w:rPr>
          <w:rFonts w:hint="eastAsia" w:ascii="宋体" w:hAnsi="宋体"/>
          <w:sz w:val="28"/>
          <w:szCs w:val="28"/>
        </w:rPr>
        <w:t xml:space="preserve">2.除发生法律规定的不能预见、不能避免并不能克服的客观情况外，甲乙双方不得放弃或拒绝履行合同。乙方放弃或拒绝履行合同，在三年内不得参加政府采购活动。</w:t>
      </w:r>
      <w:r/>
    </w:p>
    <w:p>
      <w:pPr>
        <w:jc w:val="center"/>
        <w:spacing w:line="500" w:lineRule="exact"/>
        <w:rPr>
          <w:rFonts w:eastAsia="黑体"/>
          <w:sz w:val="52"/>
        </w:rPr>
      </w:pPr>
      <w:r>
        <w:rPr>
          <w:rFonts w:eastAsia="黑体"/>
          <w:sz w:val="52"/>
        </w:rPr>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甲方：（盖章）                乙方：（盖章）</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法定代表人                   </w:t>
      </w:r>
      <w:r>
        <w:rPr>
          <w:rFonts w:hint="eastAsia" w:ascii="宋体" w:hAnsi="宋体"/>
          <w:sz w:val="28"/>
          <w:szCs w:val="28"/>
          <w:lang w:val="en-US" w:eastAsia="zh-CN"/>
        </w:rPr>
        <w:t xml:space="preserve"> </w:t>
      </w:r>
      <w:r>
        <w:rPr>
          <w:rFonts w:hint="eastAsia" w:ascii="宋体" w:hAnsi="宋体"/>
          <w:sz w:val="28"/>
          <w:szCs w:val="28"/>
        </w:rPr>
        <w:t xml:space="preserve">法定代表人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（或授权代理人）：           （或授权代理人）：</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单位地址：泰兴市文昌东路6号  单位地址：</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邮    编：</w:t>
      </w:r>
      <w:r>
        <w:rPr>
          <w:rFonts w:hint="eastAsia" w:ascii="宋体" w:hAnsi="宋体"/>
          <w:sz w:val="28"/>
          <w:szCs w:val="28"/>
          <w:lang w:val="en-US" w:eastAsia="zh-CN"/>
        </w:rPr>
        <w:t xml:space="preserve">225400</w:t>
      </w:r>
      <w:r>
        <w:rPr>
          <w:rFonts w:hint="eastAsia" w:ascii="宋体" w:hAnsi="宋体"/>
          <w:sz w:val="28"/>
          <w:szCs w:val="28"/>
        </w:rPr>
        <w:t xml:space="preserve">             </w:t>
      </w:r>
      <w:r>
        <w:rPr>
          <w:rFonts w:hint="eastAsia" w:ascii="宋体" w:hAnsi="宋体"/>
          <w:sz w:val="28"/>
          <w:szCs w:val="28"/>
          <w:lang w:val="en-US" w:eastAsia="zh-CN"/>
        </w:rPr>
        <w:t xml:space="preserve"> </w:t>
      </w:r>
      <w:r>
        <w:rPr>
          <w:rFonts w:hint="eastAsia" w:ascii="宋体" w:hAnsi="宋体"/>
          <w:sz w:val="28"/>
          <w:szCs w:val="28"/>
        </w:rPr>
        <w:t xml:space="preserve">邮    编：</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电    话：</w:t>
      </w:r>
      <w:r>
        <w:rPr>
          <w:rFonts w:hint="eastAsia" w:ascii="宋体" w:hAnsi="宋体" w:eastAsia="宋体"/>
          <w:sz w:val="28"/>
          <w:szCs w:val="28"/>
          <w:lang w:val="en-US" w:eastAsia="zh-CN"/>
        </w:rPr>
        <w:t xml:space="preserve">0523-80721690  </w:t>
      </w:r>
      <w:r>
        <w:rPr>
          <w:rFonts w:hint="eastAsia" w:ascii="宋体" w:hAnsi="宋体"/>
          <w:sz w:val="28"/>
          <w:szCs w:val="28"/>
        </w:rPr>
        <w:t xml:space="preserve">     电    话：</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传    真：87626742            传    真：</w:t>
      </w:r>
      <w:r/>
    </w:p>
    <w:p>
      <w:pPr>
        <w:keepLines w:val="0"/>
        <w:keepNext w:val="0"/>
        <w:pageBreakBefore w:val="0"/>
        <w:spacing w:line="460" w:lineRule="exact"/>
        <w:widowControl w:val="off"/>
        <w:rPr>
          <w:rFonts w:ascii="宋体" w:hAnsi="宋体"/>
          <w:sz w:val="28"/>
          <w:szCs w:val="28"/>
        </w:rPr>
      </w:pPr>
      <w:r>
        <w:rPr>
          <w:rFonts w:hint="eastAsia" w:ascii="宋体" w:hAnsi="宋体"/>
          <w:sz w:val="28"/>
          <w:szCs w:val="28"/>
        </w:rPr>
        <w:t xml:space="preserve">开户银行：                    开户银行：</w:t>
      </w:r>
      <w:r/>
    </w:p>
    <w:p>
      <w:pPr>
        <w:keepLines w:val="0"/>
        <w:keepNext w:val="0"/>
        <w:pageBreakBefore w:val="0"/>
        <w:spacing w:line="460" w:lineRule="exact"/>
        <w:widowControl w:val="off"/>
        <w:tabs>
          <w:tab w:val="left" w:pos="4680" w:leader="none"/>
          <w:tab w:val="left" w:pos="4860" w:leader="none"/>
        </w:tabs>
        <w:rPr>
          <w:rFonts w:ascii="宋体" w:cs="宋体"/>
          <w:sz w:val="21"/>
          <w:szCs w:val="21"/>
        </w:rPr>
      </w:pPr>
      <w:r>
        <w:rPr>
          <w:rFonts w:hint="eastAsia" w:ascii="宋体" w:hAnsi="宋体"/>
          <w:sz w:val="28"/>
          <w:szCs w:val="28"/>
        </w:rPr>
        <w:t xml:space="preserve">帐    号：                    帐    号：</w:t>
      </w:r>
      <w:bookmarkEnd w:id="241"/>
      <w:r/>
      <w:bookmarkEnd w:id="242"/>
      <w:r/>
      <w:bookmarkEnd w:id="243"/>
      <w:r/>
      <w:bookmarkEnd w:id="244"/>
      <w:r/>
      <w:bookmarkEnd w:id="245"/>
      <w:r/>
      <w:bookmarkEnd w:id="246"/>
      <w:r/>
      <w:bookmarkEnd w:id="247"/>
      <w:r/>
      <w:bookmarkEnd w:id="248"/>
      <w:r/>
      <w:bookmarkEnd w:id="249"/>
      <w:r/>
      <w:r/>
    </w:p>
    <w:p>
      <w:pPr>
        <w:jc w:val="left"/>
        <w:widowControl/>
        <w:rPr>
          <w:rFonts w:ascii="黑体" w:hAnsi="黑体" w:eastAsia="黑体"/>
          <w:sz w:val="44"/>
          <w:szCs w:val="44"/>
        </w:rPr>
      </w:pPr>
      <w:r>
        <w:rPr>
          <w:rFonts w:ascii="黑体" w:hAnsi="黑体" w:eastAsia="黑体"/>
          <w:sz w:val="44"/>
          <w:szCs w:val="44"/>
        </w:rPr>
        <w:br w:type="page" w:clear="all"/>
      </w:r>
      <w:r/>
    </w:p>
    <w:p>
      <w:pPr>
        <w:numPr>
          <w:ilvl w:val="0"/>
          <w:numId w:val="1"/>
        </w:numPr>
        <w:jc w:val="center"/>
        <w:rPr>
          <w:rFonts w:hint="eastAsia" w:ascii="黑体" w:hAnsi="黑体" w:eastAsia="黑体"/>
          <w:sz w:val="44"/>
          <w:szCs w:val="44"/>
        </w:rPr>
      </w:pPr>
      <w:r>
        <w:rPr>
          <w:rFonts w:hint="eastAsia" w:ascii="黑体" w:hAnsi="黑体" w:eastAsia="黑体"/>
          <w:sz w:val="44"/>
          <w:szCs w:val="44"/>
        </w:rPr>
        <w:t xml:space="preserve">采购需求</w:t>
      </w:r>
      <w:r/>
    </w:p>
    <w:p>
      <w:pPr>
        <w:pStyle w:val="710"/>
        <w:ind w:firstLine="560"/>
        <w:rPr>
          <w:rFonts w:ascii="仿宋" w:hAnsi="仿宋" w:eastAsia="仿宋" w:cs="仿宋"/>
          <w:sz w:val="28"/>
          <w:szCs w:val="28"/>
        </w:rPr>
      </w:pPr>
      <w:r>
        <w:rPr>
          <w:rFonts w:ascii="仿宋" w:hAnsi="仿宋" w:eastAsia="仿宋" w:cs="仿宋"/>
          <w:sz w:val="28"/>
          <w:szCs w:val="28"/>
        </w:rPr>
      </w:r>
      <w:r/>
    </w:p>
    <w:p>
      <w:pPr>
        <w:pStyle w:val="710"/>
        <w:ind w:firstLine="840"/>
        <w:rPr>
          <w:rFonts w:ascii="仿宋" w:hAnsi="仿宋" w:eastAsia="仿宋" w:cs="仿宋"/>
          <w:sz w:val="28"/>
          <w:szCs w:val="28"/>
        </w:rPr>
      </w:pPr>
      <w:r>
        <w:rPr>
          <w:rFonts w:hint="eastAsia" w:ascii="黑体" w:hAnsi="黑体" w:eastAsia="黑体" w:cs="黑体"/>
          <w:sz w:val="28"/>
          <w:szCs w:val="28"/>
        </w:rPr>
        <w:t xml:space="preserve">一、项目名称</w:t>
      </w:r>
      <w:r/>
    </w:p>
    <w:p>
      <w:pPr>
        <w:pStyle w:val="710"/>
        <w:ind w:firstLine="840"/>
        <w:rPr>
          <w:rFonts w:ascii="仿宋" w:hAnsi="仿宋" w:eastAsia="仿宋" w:cs="仿宋"/>
          <w:sz w:val="28"/>
          <w:szCs w:val="28"/>
        </w:rPr>
      </w:pPr>
      <w:r>
        <w:rPr>
          <w:rFonts w:hint="eastAsia" w:ascii="仿宋" w:hAnsi="仿宋" w:eastAsia="仿宋" w:cs="仿宋"/>
          <w:sz w:val="28"/>
          <w:szCs w:val="28"/>
        </w:rPr>
        <w:t xml:space="preserve">泰兴市202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年度国土变更调查和</w:t>
      </w:r>
      <w:r>
        <w:rPr>
          <w:rFonts w:hint="eastAsia" w:ascii="仿宋" w:hAnsi="仿宋" w:eastAsia="仿宋" w:cs="仿宋"/>
          <w:sz w:val="28"/>
          <w:szCs w:val="28"/>
          <w:lang w:val="en-US" w:eastAsia="zh-CN"/>
        </w:rPr>
        <w:t xml:space="preserve">林草湿沙</w:t>
      </w:r>
      <w:r>
        <w:rPr>
          <w:rFonts w:hint="eastAsia" w:ascii="仿宋" w:hAnsi="仿宋" w:eastAsia="仿宋" w:cs="仿宋"/>
          <w:sz w:val="28"/>
          <w:szCs w:val="28"/>
        </w:rPr>
        <w:t xml:space="preserve">调查</w:t>
      </w:r>
      <w:r>
        <w:rPr>
          <w:rFonts w:hint="eastAsia" w:ascii="仿宋" w:hAnsi="仿宋" w:eastAsia="仿宋" w:cs="仿宋"/>
          <w:sz w:val="28"/>
          <w:szCs w:val="28"/>
          <w:lang w:val="en-US" w:eastAsia="zh-CN"/>
        </w:rPr>
        <w:t xml:space="preserve">监测</w:t>
      </w:r>
      <w:r>
        <w:rPr>
          <w:rFonts w:hint="eastAsia" w:ascii="仿宋" w:hAnsi="仿宋" w:eastAsia="仿宋" w:cs="仿宋"/>
          <w:sz w:val="28"/>
          <w:szCs w:val="28"/>
        </w:rPr>
        <w:t xml:space="preserve">项目。</w:t>
      </w:r>
      <w:r/>
    </w:p>
    <w:p>
      <w:pPr>
        <w:pStyle w:val="710"/>
        <w:ind w:firstLine="840"/>
        <w:rPr>
          <w:rFonts w:ascii="黑体" w:hAnsi="黑体" w:eastAsia="黑体" w:cs="黑体"/>
          <w:sz w:val="28"/>
          <w:szCs w:val="28"/>
        </w:rPr>
      </w:pPr>
      <w:r>
        <w:rPr>
          <w:rFonts w:hint="eastAsia" w:ascii="黑体" w:hAnsi="黑体" w:eastAsia="黑体" w:cs="黑体"/>
          <w:sz w:val="28"/>
          <w:szCs w:val="28"/>
        </w:rPr>
        <w:t xml:space="preserve">二、项目需求</w:t>
      </w:r>
      <w:r/>
    </w:p>
    <w:p>
      <w:pPr>
        <w:pStyle w:val="710"/>
        <w:ind w:left="247" w:firstLine="621"/>
        <w:rPr>
          <w:rFonts w:ascii="仿宋" w:hAnsi="仿宋" w:eastAsia="仿宋" w:cs="仿宋"/>
          <w:sz w:val="28"/>
          <w:szCs w:val="28"/>
        </w:rPr>
      </w:pPr>
      <w:r>
        <w:rPr>
          <w:rFonts w:ascii="仿宋" w:hAnsi="仿宋" w:eastAsia="仿宋" w:cs="仿宋"/>
          <w:sz w:val="28"/>
          <w:szCs w:val="28"/>
        </w:rPr>
        <w:fldChar w:fldCharType="begin"/>
      </w:r>
      <w:r>
        <w:rPr>
          <w:rFonts w:ascii="仿宋" w:hAnsi="仿宋" w:eastAsia="仿宋" w:cs="仿宋"/>
          <w:sz w:val="28"/>
          <w:szCs w:val="28"/>
        </w:rPr>
        <w:instrText xml:space="preserve"> = 1 \* GB4 \* MERGEFORMAT </w:instrText>
      </w:r>
      <w:r>
        <w:rPr>
          <w:rFonts w:ascii="仿宋" w:hAnsi="仿宋" w:eastAsia="仿宋" w:cs="仿宋"/>
          <w:sz w:val="28"/>
          <w:szCs w:val="28"/>
        </w:rPr>
        <w:fldChar w:fldCharType="separate"/>
      </w:r>
      <w:r>
        <w:rPr>
          <w:rFonts w:hint="eastAsia" w:ascii="仿宋" w:hAnsi="仿宋" w:eastAsia="仿宋" w:cs="仿宋"/>
          <w:sz w:val="28"/>
          <w:szCs w:val="28"/>
        </w:rPr>
        <w:t xml:space="preserve">㈠</w:t>
      </w:r>
      <w:r>
        <w:rPr>
          <w:rFonts w:ascii="仿宋" w:hAnsi="仿宋" w:eastAsia="仿宋" w:cs="仿宋"/>
          <w:sz w:val="28"/>
          <w:szCs w:val="28"/>
        </w:rPr>
        <w:fldChar w:fldCharType="end"/>
      </w:r>
      <w:r>
        <w:rPr>
          <w:rFonts w:hint="eastAsia" w:ascii="仿宋" w:hAnsi="仿宋" w:eastAsia="仿宋" w:cs="仿宋"/>
          <w:sz w:val="28"/>
          <w:szCs w:val="28"/>
        </w:rPr>
        <w:t xml:space="preserve">、项目概况</w:t>
      </w:r>
      <w:r/>
    </w:p>
    <w:p>
      <w:pPr>
        <w:pStyle w:val="710"/>
        <w:ind w:left="319"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为掌握泰兴市国土利用变化情况，按照《自然资源部办公厅</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 xml:space="preserve">国家林业和草原局办公室关于开展</w:t>
      </w:r>
      <w:r>
        <w:rPr>
          <w:rFonts w:hint="eastAsia" w:ascii="仿宋" w:hAnsi="仿宋" w:eastAsia="仿宋" w:cs="仿宋"/>
          <w:sz w:val="28"/>
          <w:szCs w:val="28"/>
          <w:lang w:val="en-US" w:eastAsia="zh-CN"/>
        </w:rPr>
        <w:t xml:space="preserve">2026年度一体化调查监测工作的通知</w:t>
      </w:r>
      <w:r>
        <w:rPr>
          <w:rFonts w:hint="eastAsia" w:ascii="仿宋" w:hAnsi="仿宋" w:eastAsia="仿宋" w:cs="仿宋"/>
          <w:sz w:val="28"/>
          <w:szCs w:val="28"/>
          <w:lang w:eastAsia="zh-CN"/>
        </w:rPr>
        <w:t xml:space="preserve">》（自然资办函【</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1038号</w:t>
      </w:r>
      <w:r>
        <w:rPr>
          <w:rFonts w:hint="eastAsia" w:ascii="仿宋" w:hAnsi="仿宋" w:eastAsia="仿宋" w:cs="仿宋"/>
          <w:sz w:val="28"/>
          <w:szCs w:val="28"/>
          <w:lang w:eastAsia="zh-CN"/>
        </w:rPr>
        <w:t xml:space="preserve">）等文件精神和要求，结合我市实际情况一体化推进</w:t>
      </w:r>
      <w:r>
        <w:rPr>
          <w:rFonts w:hint="eastAsia" w:ascii="仿宋" w:hAnsi="仿宋" w:eastAsia="仿宋" w:cs="仿宋"/>
          <w:sz w:val="28"/>
          <w:szCs w:val="28"/>
          <w:lang w:val="en-US" w:eastAsia="zh-CN"/>
        </w:rPr>
        <w:t xml:space="preserve">2026年度</w:t>
      </w:r>
      <w:r>
        <w:rPr>
          <w:rFonts w:hint="eastAsia" w:ascii="仿宋" w:hAnsi="仿宋" w:eastAsia="仿宋" w:cs="仿宋"/>
          <w:sz w:val="28"/>
          <w:szCs w:val="28"/>
          <w:lang w:eastAsia="zh-CN"/>
        </w:rPr>
        <w:t xml:space="preserve">泰兴市自然资源监测、国土变更调查、林草湿调查监测工作。</w:t>
      </w:r>
      <w:r/>
    </w:p>
    <w:p>
      <w:pPr>
        <w:pStyle w:val="710"/>
        <w:ind w:firstLine="840"/>
        <w:rPr>
          <w:rFonts w:hint="eastAsia" w:ascii="仿宋" w:hAnsi="仿宋" w:eastAsia="仿宋" w:cs="仿宋"/>
          <w:sz w:val="28"/>
          <w:szCs w:val="28"/>
          <w:lang w:eastAsia="zh-CN"/>
        </w:rPr>
      </w:pPr>
      <w:r>
        <w:rPr>
          <w:rFonts w:ascii="仿宋" w:hAnsi="仿宋" w:eastAsia="仿宋" w:cs="仿宋"/>
          <w:sz w:val="28"/>
          <w:szCs w:val="28"/>
        </w:rPr>
        <w:fldChar w:fldCharType="begin"/>
      </w:r>
      <w:r>
        <w:rPr>
          <w:rFonts w:ascii="仿宋" w:hAnsi="仿宋" w:eastAsia="仿宋" w:cs="仿宋"/>
          <w:sz w:val="28"/>
          <w:szCs w:val="28"/>
        </w:rPr>
        <w:instrText xml:space="preserve"> = 2 \* GB4 \* MERGEFORMAT </w:instrText>
      </w:r>
      <w:r>
        <w:rPr>
          <w:rFonts w:ascii="仿宋" w:hAnsi="仿宋" w:eastAsia="仿宋" w:cs="仿宋"/>
          <w:sz w:val="28"/>
          <w:szCs w:val="28"/>
        </w:rPr>
        <w:fldChar w:fldCharType="separate"/>
      </w:r>
      <w:r>
        <w:rPr>
          <w:rFonts w:ascii="仿宋" w:hAnsi="仿宋" w:eastAsia="仿宋" w:cs="仿宋"/>
          <w:sz w:val="28"/>
          <w:szCs w:val="28"/>
        </w:rPr>
        <w:t xml:space="preserve">㈡</w:t>
      </w:r>
      <w:r>
        <w:rPr>
          <w:rFonts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自然资源监测</w:t>
      </w:r>
      <w:r/>
    </w:p>
    <w:p>
      <w:pPr>
        <w:pStyle w:val="710"/>
        <w:ind w:left="319" w:firstLine="560"/>
        <w:rPr>
          <w:rFonts w:hint="default" w:ascii="仿宋" w:hAnsi="仿宋" w:eastAsia="仿宋" w:cs="仿宋"/>
          <w:sz w:val="28"/>
          <w:szCs w:val="28"/>
          <w:lang w:val="en-US" w:eastAsia="zh-CN"/>
        </w:rPr>
      </w:pPr>
      <w:r>
        <w:rPr>
          <w:rFonts w:hint="eastAsia" w:ascii="仿宋" w:hAnsi="仿宋" w:eastAsia="仿宋" w:cs="仿宋"/>
          <w:sz w:val="28"/>
          <w:szCs w:val="28"/>
          <w:lang w:eastAsia="zh-CN"/>
        </w:rPr>
        <w:t xml:space="preserve">部局统筹获取遥感影像，组织专业队伍聚“三区三线”、国家重大战略区域、重要领域、重大工程等，按季度开展覆盖全国陆域范围的自然资源监测、林草预警监测，充分发挥监测成果在国土空间规划实施监测评估、自然资源高效保护利用及监管方面的风险预警作用。自然资源监测成果通过“一张图”共享地方和相关部门参考使用。</w:t>
      </w:r>
      <w:r/>
    </w:p>
    <w:p>
      <w:pPr>
        <w:pStyle w:val="710"/>
        <w:ind w:firstLine="840"/>
        <w:rPr>
          <w:rFonts w:hint="eastAsia" w:ascii="仿宋" w:hAnsi="仿宋" w:eastAsia="仿宋" w:cs="仿宋"/>
          <w:sz w:val="28"/>
          <w:szCs w:val="28"/>
          <w:lang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 3 \* GB4 \* MERGEFORMAT </w:instrText>
      </w:r>
      <w:r>
        <w:rPr>
          <w:rFonts w:hint="eastAsia" w:ascii="仿宋" w:hAnsi="仿宋" w:eastAsia="仿宋" w:cs="仿宋"/>
          <w:sz w:val="28"/>
          <w:szCs w:val="28"/>
        </w:rPr>
        <w:fldChar w:fldCharType="separate"/>
      </w:r>
      <w:r>
        <w:rPr>
          <w:rFonts w:ascii="仿宋" w:hAnsi="仿宋" w:eastAsia="仿宋" w:cs="仿宋"/>
          <w:sz w:val="28"/>
          <w:szCs w:val="28"/>
        </w:rPr>
        <w:t xml:space="preserve">㈢</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国土变更调查</w:t>
      </w:r>
      <w:r/>
    </w:p>
    <w:p>
      <w:pPr>
        <w:pStyle w:val="710"/>
        <w:ind w:left="319" w:firstLine="560"/>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以县级为基本调查单元，及时查清国土利用现状变化情况，动态更新国土利用现状数据并纳入“一张图”，为国土空间实施监测评估等提供基础数据，部重点关注农用地、建设用地和未利用地“三大类”间的变化情况，耕地变化情况，及住宅用地、商业服务业用地、工矿用地、公共管理与公共服务用地、交通运输用地等及其二级地类变化情况。</w:t>
      </w:r>
      <w:r/>
    </w:p>
    <w:p>
      <w:pPr>
        <w:pStyle w:val="710"/>
        <w:ind w:left="319" w:firstLine="560"/>
        <w:rPr>
          <w:rFonts w:hint="eastAsia" w:ascii="仿宋" w:hAnsi="仿宋" w:eastAsia="仿宋" w:cs="仿宋"/>
          <w:sz w:val="28"/>
          <w:szCs w:val="28"/>
          <w:lang w:val="en-US" w:eastAsia="zh-CN"/>
        </w:rPr>
      </w:pPr>
      <w:r>
        <w:rPr>
          <w:rFonts w:ascii="仿宋" w:hAnsi="仿宋" w:eastAsia="仿宋" w:cs="仿宋"/>
          <w:sz w:val="28"/>
          <w:szCs w:val="28"/>
        </w:rPr>
        <w:fldChar w:fldCharType="begin"/>
      </w:r>
      <w:r>
        <w:rPr>
          <w:rFonts w:ascii="仿宋" w:hAnsi="仿宋" w:eastAsia="仿宋" w:cs="仿宋"/>
          <w:sz w:val="28"/>
          <w:szCs w:val="28"/>
        </w:rPr>
        <w:instrText xml:space="preserve"> = 4 \* GB4 \* MERGEFORMAT </w:instrText>
      </w:r>
      <w:r>
        <w:rPr>
          <w:rFonts w:ascii="仿宋" w:hAnsi="仿宋" w:eastAsia="仿宋" w:cs="仿宋"/>
          <w:sz w:val="28"/>
          <w:szCs w:val="28"/>
        </w:rPr>
        <w:fldChar w:fldCharType="separate"/>
      </w:r>
      <w:r>
        <w:rPr>
          <w:rFonts w:hint="eastAsia" w:ascii="仿宋" w:hAnsi="仿宋" w:eastAsia="仿宋" w:cs="仿宋"/>
          <w:sz w:val="28"/>
          <w:szCs w:val="28"/>
        </w:rPr>
        <w:t xml:space="preserve">㈣</w:t>
      </w:r>
      <w:r>
        <w:rPr>
          <w:rFonts w:ascii="仿宋" w:hAnsi="仿宋" w:eastAsia="仿宋" w:cs="仿宋"/>
          <w:sz w:val="28"/>
          <w:szCs w:val="28"/>
        </w:rPr>
        <w:fldChar w:fldCharType="end"/>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森林草地湿地调查监测</w:t>
      </w:r>
      <w:r/>
    </w:p>
    <w:p>
      <w:pPr>
        <w:pStyle w:val="710"/>
        <w:ind w:left="319"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以林草湿荒变化区域和固定样地调查为年度调查监测重点，推进多源遥感应用和无人机数据采集，完善调查因子、优化抽样设计、实现点面融合，逐步形成时空连续、上下联动的立体化监测能力，掌握年度林草湿荒资源及其生态状况变化，为林草资源及工程建设综合管理、成效评估与生态状况评价提供数据支撑。</w:t>
      </w:r>
      <w:r/>
    </w:p>
    <w:p>
      <w:pPr>
        <w:pStyle w:val="710"/>
        <w:ind w:left="319" w:firstLine="56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中标单位须无条件响应</w:t>
      </w:r>
      <w:r>
        <w:rPr>
          <w:rFonts w:hint="eastAsia" w:ascii="仿宋" w:hAnsi="仿宋" w:eastAsia="仿宋" w:cs="仿宋"/>
          <w:color w:val="auto"/>
          <w:sz w:val="28"/>
          <w:szCs w:val="28"/>
          <w:lang w:eastAsia="zh-CN"/>
        </w:rPr>
        <w:t xml:space="preserve">自然资源部、国家林业和草原局、江苏省自然资源厅、江苏省林业局布置的</w:t>
      </w:r>
      <w:r>
        <w:rPr>
          <w:rFonts w:hint="eastAsia" w:ascii="仿宋" w:hAnsi="仿宋" w:eastAsia="仿宋" w:cs="仿宋"/>
          <w:color w:val="auto"/>
          <w:sz w:val="28"/>
          <w:szCs w:val="28"/>
          <w:lang w:val="en-US" w:eastAsia="zh-CN" w:bidi="ar-SA"/>
        </w:rPr>
        <w:t xml:space="preserve">各类</w:t>
      </w:r>
      <w:r>
        <w:rPr>
          <w:rFonts w:hint="eastAsia" w:ascii="仿宋" w:hAnsi="仿宋" w:eastAsia="仿宋" w:cs="仿宋"/>
          <w:color w:val="auto"/>
          <w:sz w:val="28"/>
          <w:szCs w:val="28"/>
          <w:lang w:val="en-US" w:eastAsia="zh-CN"/>
        </w:rPr>
        <w:t xml:space="preserve">一体化调查监测任务。</w:t>
      </w:r>
      <w:r/>
    </w:p>
    <w:p>
      <w:pPr>
        <w:pStyle w:val="710"/>
        <w:ind w:firstLine="840"/>
        <w:rPr>
          <w:rFonts w:hint="eastAsia" w:ascii="黑体" w:hAnsi="黑体" w:eastAsia="黑体" w:cs="黑体"/>
          <w:sz w:val="28"/>
          <w:szCs w:val="28"/>
        </w:rPr>
      </w:pPr>
      <w:r>
        <w:rPr>
          <w:rFonts w:hint="eastAsia" w:ascii="黑体" w:hAnsi="黑体" w:eastAsia="黑体" w:cs="黑体"/>
          <w:sz w:val="28"/>
          <w:szCs w:val="28"/>
          <w:lang w:val="en-US" w:eastAsia="zh-CN"/>
        </w:rPr>
        <w:t xml:space="preserve">三、</w:t>
      </w:r>
      <w:r>
        <w:rPr>
          <w:rFonts w:hint="eastAsia" w:ascii="黑体" w:hAnsi="黑体" w:eastAsia="黑体" w:cs="黑体"/>
          <w:sz w:val="28"/>
          <w:szCs w:val="28"/>
        </w:rPr>
        <w:t xml:space="preserve">成果要求</w:t>
      </w:r>
      <w:r/>
    </w:p>
    <w:p>
      <w:pPr>
        <w:pStyle w:val="710"/>
        <w:ind w:left="319"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各类成果应确保完整性和准确性，符合国家和省级质量要求及相关标准，并通过省级和国家核查。根据国家和省级成果汇交要求及相关标准，进行成果汇交。</w:t>
      </w:r>
      <w:r/>
    </w:p>
    <w:p>
      <w:pPr>
        <w:pStyle w:val="710"/>
        <w:ind w:left="319"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主要成果包括国土变更调查和林草湿调查监测数据统计汇总表格、数据库等数据类成果，年度一体化调查监测实施方案、技术要求和有关报告等文字类成果。</w:t>
      </w:r>
      <w:r/>
    </w:p>
    <w:p>
      <w:pPr>
        <w:pStyle w:val="710"/>
        <w:ind w:left="319" w:firstLine="560"/>
        <w:rPr>
          <w:rFonts w:hint="eastAsia" w:ascii="黑体" w:hAnsi="黑体" w:eastAsia="黑体" w:cs="黑体"/>
          <w:color w:val="auto"/>
          <w:sz w:val="28"/>
          <w:szCs w:val="28"/>
          <w:lang w:val="en-US" w:eastAsia="zh-CN"/>
        </w:rPr>
      </w:pPr>
      <w:r>
        <w:rPr>
          <w:rFonts w:hint="eastAsia" w:ascii="黑体" w:hAnsi="黑体" w:eastAsia="黑体" w:cs="黑体"/>
          <w:sz w:val="28"/>
          <w:szCs w:val="28"/>
          <w:lang w:val="en-US" w:eastAsia="zh-CN"/>
        </w:rPr>
        <w:t xml:space="preserve">四、合同履行期限：</w:t>
      </w:r>
      <w:r>
        <w:rPr>
          <w:rFonts w:hint="eastAsia" w:ascii="仿宋" w:hAnsi="仿宋" w:eastAsia="仿宋" w:cs="仿宋"/>
          <w:color w:val="auto"/>
          <w:sz w:val="28"/>
          <w:szCs w:val="28"/>
          <w:lang w:val="en-US" w:eastAsia="zh-CN" w:bidi="ar-SA"/>
        </w:rPr>
        <w:t xml:space="preserve">1年。中标单位须按照自然资源部、国家林草局和省</w:t>
      </w:r>
      <w:r>
        <w:rPr>
          <w:rFonts w:hint="eastAsia" w:hAnsi="仿宋" w:cs="仿宋"/>
          <w:color w:val="auto"/>
          <w:sz w:val="28"/>
          <w:szCs w:val="28"/>
          <w:lang w:val="en-US" w:eastAsia="zh-CN" w:bidi="ar-SA"/>
        </w:rPr>
        <w:t xml:space="preserve">自然资源</w:t>
      </w:r>
      <w:r>
        <w:rPr>
          <w:rFonts w:hint="eastAsia" w:ascii="仿宋" w:hAnsi="仿宋" w:eastAsia="仿宋" w:cs="仿宋"/>
          <w:color w:val="auto"/>
          <w:sz w:val="28"/>
          <w:szCs w:val="28"/>
          <w:lang w:val="en-US" w:eastAsia="zh-CN" w:bidi="ar-SA"/>
        </w:rPr>
        <w:t xml:space="preserve">厅、省林业局要求完成合同签定之日起一年内上级布置的各类</w:t>
      </w:r>
      <w:r>
        <w:rPr>
          <w:rFonts w:hint="eastAsia" w:ascii="仿宋" w:hAnsi="仿宋" w:eastAsia="仿宋" w:cs="仿宋"/>
          <w:color w:val="auto"/>
          <w:sz w:val="28"/>
          <w:szCs w:val="28"/>
          <w:lang w:val="en-US" w:eastAsia="zh-CN"/>
        </w:rPr>
        <w:t xml:space="preserve">一体化调查监测任务。</w:t>
      </w:r>
      <w:r/>
    </w:p>
    <w:p>
      <w:pPr>
        <w:pStyle w:val="710"/>
        <w:ind w:left="319" w:firstLine="560"/>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r>
      <w:r/>
    </w:p>
    <w:p>
      <w:pPr>
        <w:numPr>
          <w:ilvl w:val="0"/>
          <w:numId w:val="0"/>
        </w:numPr>
        <w:jc w:val="both"/>
        <w:rPr>
          <w:rFonts w:hint="eastAsia" w:ascii="黑体" w:hAnsi="黑体" w:eastAsia="黑体"/>
          <w:sz w:val="44"/>
          <w:szCs w:val="44"/>
        </w:rPr>
      </w:pPr>
      <w:r>
        <w:rPr>
          <w:rFonts w:hint="eastAsia" w:ascii="黑体" w:hAnsi="黑体" w:eastAsia="黑体"/>
          <w:sz w:val="44"/>
          <w:szCs w:val="44"/>
        </w:rPr>
      </w:r>
      <w:r/>
    </w:p>
    <w:p>
      <w:pPr>
        <w:rPr>
          <w:rFonts w:ascii="黑体" w:hAnsi="黑体" w:eastAsia="黑体"/>
          <w:sz w:val="44"/>
          <w:szCs w:val="44"/>
        </w:rPr>
      </w:pPr>
      <w:r>
        <w:rPr>
          <w:rFonts w:ascii="黑体" w:hAnsi="黑体" w:eastAsia="黑体"/>
          <w:sz w:val="44"/>
          <w:szCs w:val="44"/>
        </w:rPr>
        <w:br w:type="page" w:clear="all"/>
      </w:r>
      <w:r/>
    </w:p>
    <w:p>
      <w:pPr>
        <w:jc w:val="center"/>
        <w:rPr>
          <w:rFonts w:ascii="黑体" w:hAnsi="黑体" w:eastAsia="黑体"/>
          <w:b/>
        </w:rPr>
      </w:pPr>
      <w:r>
        <w:rPr>
          <w:rFonts w:ascii="黑体" w:hAnsi="黑体" w:eastAsia="黑体"/>
          <w:sz w:val="44"/>
          <w:szCs w:val="44"/>
        </w:rPr>
        <w:t xml:space="preserve">第六章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r>
        <w:rPr>
          <w:rFonts w:ascii="黑体" w:hAnsi="黑体" w:eastAsia="黑体"/>
          <w:b/>
        </w:rPr>
        <w:t xml:space="preserve"> </w:t>
      </w:r>
      <w:bookmarkStart w:id="505" w:name="_Hlt26955039"/>
      <w:r/>
      <w:bookmarkEnd w:id="505"/>
      <w:r/>
      <w:bookmarkStart w:id="506" w:name="_Hlt26671244"/>
      <w:r/>
      <w:bookmarkEnd w:id="506"/>
      <w:r/>
      <w:bookmarkStart w:id="507" w:name="_Toc49090576"/>
      <w:r/>
      <w:bookmarkStart w:id="508" w:name="_Toc282446331"/>
      <w:r/>
      <w:bookmarkStart w:id="509" w:name="_Toc26554094"/>
      <w:r/>
      <w:bookmarkStart w:id="510" w:name="_Toc120614282"/>
      <w:r/>
      <w:bookmarkStart w:id="511" w:name="_Toc288030359"/>
      <w:r/>
      <w:r/>
    </w:p>
    <w:p>
      <w:pPr>
        <w:pStyle w:val="667"/>
        <w:ind w:left="646" w:firstLine="0"/>
        <w:jc w:val="center"/>
        <w:spacing w:line="360" w:lineRule="exact"/>
        <w:rPr>
          <w:rFonts w:ascii="黑体" w:hAnsi="黑体" w:eastAsia="黑体"/>
          <w:b/>
          <w:color w:val="auto"/>
          <w:sz w:val="44"/>
          <w:szCs w:val="44"/>
        </w:rPr>
        <w:outlineLvl w:val="0"/>
      </w:pPr>
      <w:r>
        <w:rPr>
          <w:rFonts w:ascii="黑体" w:hAnsi="黑体" w:eastAsia="黑体"/>
          <w:b/>
          <w:color w:val="auto"/>
          <w:sz w:val="44"/>
          <w:szCs w:val="44"/>
        </w:rPr>
      </w:r>
      <w:r/>
    </w:p>
    <w:p>
      <w:pPr>
        <w:spacing w:line="500" w:lineRule="exact"/>
        <w:rPr>
          <w:rFonts w:ascii="黑体" w:hAnsi="黑体" w:eastAsia="黑体"/>
          <w:sz w:val="32"/>
          <w:szCs w:val="32"/>
        </w:rPr>
      </w:pPr>
      <w:r/>
      <w:bookmarkStart w:id="512"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512"/>
      <w:r/>
      <w:r/>
    </w:p>
    <w:p>
      <w:pPr>
        <w:ind w:firstLine="560"/>
        <w:spacing w:line="500" w:lineRule="exact"/>
        <w:rPr>
          <w:rFonts w:ascii="宋体"/>
          <w:sz w:val="28"/>
          <w:szCs w:val="28"/>
        </w:rPr>
      </w:pPr>
      <w:r/>
      <w:bookmarkStart w:id="513"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513"/>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514" w:name="OLE_LINK8"/>
      <w:r>
        <w:rPr>
          <w:rFonts w:hint="eastAsia" w:ascii="宋体" w:hAnsi="宋体" w:cs="宋体"/>
          <w:sz w:val="28"/>
          <w:szCs w:val="28"/>
        </w:rPr>
        <w:t xml:space="preserve">投标报价明细表</w:t>
      </w:r>
      <w:bookmarkEnd w:id="514"/>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投标函必须加盖投标人法人公章并经法定代表人签字或签章。</w:t>
      </w:r>
      <w:r/>
    </w:p>
    <w:p>
      <w:pPr>
        <w:spacing w:line="500" w:lineRule="exact"/>
        <w:rPr>
          <w:rFonts w:ascii="楷体" w:hAnsi="楷体" w:eastAsia="楷体"/>
          <w:b/>
          <w:sz w:val="28"/>
          <w:szCs w:val="28"/>
        </w:rPr>
      </w:pPr>
      <w:r>
        <w:rPr>
          <w:rFonts w:hint="eastAsia" w:ascii="楷体" w:hAnsi="楷体" w:eastAsia="楷体"/>
          <w:b/>
          <w:sz w:val="28"/>
          <w:szCs w:val="28"/>
        </w:rPr>
        <w:t xml:space="preserve">2.3资格条件证明文件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）供应商基本资格条件承诺函；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4采购需求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投标人应仔细阅读招标文件第五章采购需求，结合自身的实际情况，如实编制，格式自拟。</w:t>
      </w:r>
      <w:r>
        <w:rPr>
          <w:rFonts w:hint="eastAsia" w:ascii="宋体" w:hAnsi="宋体"/>
          <w:b/>
          <w:sz w:val="28"/>
          <w:szCs w:val="28"/>
        </w:rPr>
        <w:t xml:space="preserve">采购需求响应表须详细说明实际提供的服务及其他采购需求中相关要求的响应情况。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515"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507"/>
      <w:r/>
      <w:bookmarkEnd w:id="508"/>
      <w:r/>
      <w:bookmarkEnd w:id="509"/>
      <w:r/>
      <w:bookmarkEnd w:id="510"/>
      <w:r/>
      <w:bookmarkEnd w:id="511"/>
      <w:r/>
      <w:bookmarkEnd w:id="515"/>
      <w:r/>
      <w:bookmarkStart w:id="516" w:name="_Toc426469936"/>
      <w:r/>
      <w:bookmarkStart w:id="517" w:name="_Toc426469937"/>
      <w:r/>
      <w:bookmarkStart w:id="518" w:name="_Toc390246998"/>
      <w:r/>
      <w:bookmarkStart w:id="519" w:name="_Toc382813957"/>
      <w:r/>
      <w:bookmarkStart w:id="520" w:name="_Toc382812316"/>
      <w:r/>
      <w:bookmarkStart w:id="521" w:name="_Toc382811202"/>
      <w:r/>
      <w:bookmarkStart w:id="522" w:name="_Toc382814038"/>
      <w:r/>
      <w:bookmarkStart w:id="523" w:name="_Toc383679822"/>
      <w:r/>
      <w:bookmarkStart w:id="524" w:name="_Toc383698722"/>
      <w:r/>
      <w:bookmarkStart w:id="525" w:name="_Toc383587529"/>
      <w:r/>
      <w:bookmarkStart w:id="526" w:name="_Toc383626069"/>
      <w:r/>
      <w:bookmarkStart w:id="527" w:name="_Toc383623749"/>
      <w:r/>
      <w:bookmarkStart w:id="528" w:name="_Toc382811607"/>
      <w:r/>
      <w:bookmarkStart w:id="529" w:name="_Toc390098915"/>
      <w:r/>
      <w:bookmarkStart w:id="530" w:name="_Toc382812507"/>
      <w:r/>
      <w:bookmarkStart w:id="531" w:name="_Toc383624021"/>
      <w:r/>
      <w:bookmarkStart w:id="532" w:name="_Toc390099111"/>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516"/>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2"/>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ascii="宋体"/>
          <w:sz w:val="28"/>
          <w:szCs w:val="28"/>
          <w:u w:val="single"/>
        </w:rPr>
        <w:t xml:space="preserve">  </w:t>
      </w:r>
      <w:r>
        <w:rPr>
          <w:rFonts w:hint="eastAsia" w:ascii="宋体"/>
          <w:sz w:val="28"/>
          <w:szCs w:val="28"/>
          <w:u w:val="single"/>
        </w:rPr>
        <w:t xml:space="preserve">（盖法人章）</w:t>
      </w:r>
      <w:r>
        <w:rPr>
          <w:rFonts w:ascii="宋体"/>
          <w:sz w:val="28"/>
          <w:szCs w:val="28"/>
          <w:u w:val="single"/>
        </w:rPr>
        <w:t xml:space="preserve">     </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ascii="楷体" w:hAnsi="楷体" w:eastAsia="楷体"/>
          <w:b/>
          <w:sz w:val="28"/>
          <w:szCs w:val="28"/>
        </w:rPr>
        <w:t xml:space="preserve"> </w:t>
      </w:r>
      <w:r>
        <w:rPr>
          <w:rFonts w:hint="eastAsia" w:ascii="楷体" w:hAnsi="楷体" w:eastAsia="楷体" w:cs="宋体"/>
          <w:b/>
          <w:sz w:val="28"/>
          <w:szCs w:val="28"/>
        </w:rPr>
        <w:t xml:space="preserve">开标一览表</w:t>
      </w:r>
      <w:bookmarkEnd w:id="517"/>
      <w:r/>
      <w:r/>
    </w:p>
    <w:p>
      <w:pPr>
        <w:rPr>
          <w:b/>
          <w:sz w:val="32"/>
          <w:szCs w:val="32"/>
        </w:rPr>
      </w:pPr>
      <w:r/>
      <w:bookmarkStart w:id="533" w:name="_Toc426469938"/>
      <w:r>
        <w:rPr>
          <w:rFonts w:hint="eastAsia"/>
        </w:rPr>
        <w:t xml:space="preserve">                </w:t>
      </w:r>
      <w:r/>
    </w:p>
    <w:p>
      <w:pPr>
        <w:jc w:val="center"/>
        <w:rPr>
          <w:b/>
          <w:sz w:val="32"/>
          <w:szCs w:val="32"/>
        </w:rPr>
      </w:pPr>
      <w:r>
        <w:rPr>
          <w:rFonts w:hint="eastAsia" w:ascii="宋体" w:hAnsi="宋体" w:cs="宋体"/>
        </w:rPr>
        <w:t xml:space="preserve">   </w:t>
      </w:r>
      <w:r>
        <w:rPr>
          <w:rFonts w:hint="eastAsia"/>
          <w:b/>
          <w:sz w:val="32"/>
          <w:szCs w:val="32"/>
        </w:rPr>
        <w:t xml:space="preserve">开标一览表</w:t>
      </w:r>
      <w:r/>
    </w:p>
    <w:p>
      <w:pPr>
        <w:rPr>
          <w:rFonts w:ascii="楷体" w:hAnsi="楷体" w:eastAsia="楷体"/>
          <w:sz w:val="28"/>
          <w:szCs w:val="28"/>
        </w:rPr>
      </w:pPr>
      <w:r>
        <w:rPr>
          <w:rFonts w:hint="eastAsia" w:ascii="宋体"/>
          <w:sz w:val="28"/>
          <w:szCs w:val="28"/>
        </w:rPr>
        <w:t xml:space="preserve">按“江苏省政府采购管理交易系统（苏采云）”中格式填写。</w:t>
      </w: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w:t>
      </w:r>
      <w:r>
        <w:rPr>
          <w:rFonts w:ascii="楷体" w:hAnsi="楷体" w:eastAsia="楷体" w:cs="宋体"/>
          <w:b/>
          <w:sz w:val="28"/>
          <w:szCs w:val="28"/>
        </w:rPr>
        <w:t xml:space="preserve"> </w:t>
      </w:r>
      <w:r>
        <w:rPr>
          <w:rFonts w:hint="eastAsia" w:ascii="楷体" w:hAnsi="楷体" w:eastAsia="楷体" w:cs="宋体"/>
          <w:b/>
          <w:sz w:val="28"/>
          <w:szCs w:val="28"/>
        </w:rPr>
        <w:t xml:space="preserve">投标函</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jc w:val="center"/>
        <w:rPr>
          <w:sz w:val="44"/>
          <w:szCs w:val="44"/>
        </w:rPr>
      </w:pPr>
      <w:r/>
      <w:bookmarkStart w:id="534" w:name="_Toc367785041"/>
      <w:r>
        <w:rPr>
          <w:rFonts w:hint="eastAsia"/>
          <w:sz w:val="44"/>
          <w:szCs w:val="44"/>
        </w:rPr>
        <w:t xml:space="preserve">投</w:t>
      </w:r>
      <w:r>
        <w:rPr>
          <w:rFonts w:eastAsia="Times New Roman"/>
          <w:sz w:val="44"/>
          <w:szCs w:val="44"/>
        </w:rPr>
        <w:t xml:space="preserve"> </w:t>
      </w:r>
      <w:r>
        <w:rPr>
          <w:rFonts w:hint="eastAsia" w:ascii="宋体" w:hAnsi="宋体" w:cs="宋体"/>
          <w:sz w:val="44"/>
          <w:szCs w:val="44"/>
        </w:rPr>
        <w:t xml:space="preserve">标</w:t>
      </w:r>
      <w:r>
        <w:rPr>
          <w:rFonts w:eastAsia="Times New Roman"/>
          <w:sz w:val="44"/>
          <w:szCs w:val="44"/>
        </w:rPr>
        <w:t xml:space="preserve"> </w:t>
      </w:r>
      <w:r>
        <w:rPr>
          <w:rFonts w:hint="eastAsia" w:ascii="宋体" w:hAnsi="宋体" w:cs="宋体"/>
          <w:sz w:val="44"/>
          <w:szCs w:val="44"/>
        </w:rPr>
        <w:t xml:space="preserve">函</w:t>
      </w:r>
      <w:bookmarkEnd w:id="534"/>
      <w:r/>
      <w:r/>
    </w:p>
    <w:p>
      <w:pPr>
        <w:rPr>
          <w:rFonts w:ascii="Arial" w:hAnsi="Arial"/>
          <w:sz w:val="28"/>
          <w:szCs w:val="28"/>
        </w:rPr>
      </w:pPr>
      <w:r>
        <w:rPr>
          <w:rFonts w:hint="eastAsia" w:ascii="Arial" w:hAnsi="Arial"/>
          <w:sz w:val="28"/>
          <w:szCs w:val="28"/>
        </w:rPr>
        <w:t xml:space="preserve">致：</w:t>
      </w:r>
      <w:r>
        <w:rPr>
          <w:rFonts w:ascii="Arial" w:hAnsi="Arial"/>
          <w:sz w:val="28"/>
          <w:szCs w:val="28"/>
          <w:u w:val="single"/>
        </w:rPr>
        <w:t xml:space="preserve">(</w:t>
      </w:r>
      <w:r>
        <w:rPr>
          <w:rFonts w:hint="eastAsia" w:ascii="Arial" w:hAnsi="Arial"/>
          <w:sz w:val="28"/>
          <w:szCs w:val="28"/>
          <w:u w:val="single"/>
        </w:rPr>
        <w:t xml:space="preserve">采购人名称</w:t>
      </w:r>
      <w:r>
        <w:rPr>
          <w:rFonts w:ascii="Arial" w:hAnsi="Arial"/>
          <w:sz w:val="28"/>
          <w:szCs w:val="28"/>
          <w:u w:val="single"/>
        </w:rPr>
        <w:t xml:space="preserve">)</w:t>
      </w:r>
      <w:r>
        <w:rPr>
          <w:rFonts w:hint="eastAsia" w:ascii="Arial" w:hAnsi="Arial"/>
          <w:sz w:val="28"/>
          <w:szCs w:val="28"/>
        </w:rPr>
        <w:t xml:space="preserve">：</w:t>
      </w:r>
      <w:r/>
    </w:p>
    <w:p>
      <w:pPr>
        <w:ind w:firstLine="560"/>
        <w:spacing w:line="520" w:lineRule="exact"/>
        <w:rPr>
          <w:rFonts w:ascii="Arial" w:hAnsi="Arial"/>
          <w:sz w:val="28"/>
          <w:szCs w:val="28"/>
        </w:rPr>
      </w:pPr>
      <w:r>
        <w:rPr>
          <w:rFonts w:hint="eastAsia" w:ascii="Arial" w:hAnsi="Arial"/>
          <w:sz w:val="28"/>
          <w:szCs w:val="28"/>
        </w:rPr>
        <w:t xml:space="preserve">根据</w:t>
      </w:r>
      <w:r>
        <w:rPr>
          <w:rFonts w:ascii="Arial" w:hAnsi="Arial"/>
          <w:sz w:val="28"/>
          <w:szCs w:val="28"/>
          <w:u w:val="single"/>
        </w:rPr>
        <w:t xml:space="preserve">   </w:t>
      </w:r>
      <w:r>
        <w:rPr>
          <w:rFonts w:hint="eastAsia" w:ascii="Arial" w:hAnsi="Arial"/>
          <w:sz w:val="28"/>
          <w:szCs w:val="28"/>
          <w:u w:val="single"/>
        </w:rPr>
        <w:t xml:space="preserve">（项目名称）</w:t>
      </w:r>
      <w:r>
        <w:rPr>
          <w:rFonts w:ascii="Arial" w:hAnsi="Arial"/>
          <w:sz w:val="28"/>
          <w:szCs w:val="28"/>
          <w:u w:val="single"/>
        </w:rPr>
        <w:t xml:space="preserve">    </w:t>
      </w:r>
      <w:r>
        <w:rPr>
          <w:rFonts w:hint="eastAsia" w:ascii="Arial" w:hAnsi="Arial"/>
          <w:sz w:val="28"/>
          <w:szCs w:val="28"/>
        </w:rPr>
        <w:t xml:space="preserve">招标文件的所有条款要求，遵照《中华人民共和国政府采购法》、《中华人民共和国政府采购法实施条例》等有关规定，我方承诺如下：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1、投标价格为（大写）：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。如我方中标，投标总价即为合同价，在履行合同约定的责任和义务的过程中不再要求调增。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2、合同履行期限（工期）：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spacing w:line="520" w:lineRule="exact"/>
        <w:rPr>
          <w:rFonts w:ascii="Arial" w:hAnsi="Arial"/>
          <w:sz w:val="28"/>
          <w:szCs w:val="28"/>
        </w:rPr>
      </w:pPr>
      <w:r>
        <w:rPr>
          <w:rFonts w:hint="eastAsia" w:ascii="宋体" w:hAnsi="宋体" w:eastAsia="宋体" w:cs="宋体"/>
          <w:sz w:val="28"/>
          <w:szCs w:val="28"/>
        </w:rPr>
        <w:t xml:space="preserve">3、投标有效期：</w:t>
      </w:r>
      <w:r>
        <w:rPr>
          <w:rFonts w:hint="eastAsia" w:ascii="宋体" w:hAnsi="宋体" w:eastAsia="宋体" w:cs="宋体"/>
          <w:sz w:val="28"/>
          <w:szCs w:val="28"/>
          <w:u w:val="single"/>
        </w:rPr>
        <w:t xml:space="preserve"> 60天 </w:t>
      </w:r>
      <w:r>
        <w:rPr>
          <w:rFonts w:hint="eastAsia" w:ascii="宋体" w:hAnsi="宋体" w:eastAsia="宋体" w:cs="宋体"/>
          <w:sz w:val="28"/>
          <w:szCs w:val="28"/>
        </w:rPr>
        <w:t xml:space="preserve">。在投标有效期内我方同</w:t>
      </w:r>
      <w:r>
        <w:rPr>
          <w:rFonts w:hint="eastAsia" w:ascii="Arial" w:hAnsi="Arial"/>
          <w:sz w:val="28"/>
          <w:szCs w:val="28"/>
        </w:rPr>
        <w:t xml:space="preserve">意遵守本投标文件中的承诺且在此期限期满之前投标文件对我方具有法律约束力。</w:t>
      </w:r>
      <w:r/>
    </w:p>
    <w:p>
      <w:pPr>
        <w:ind w:firstLine="560"/>
        <w:spacing w:line="520" w:lineRule="exact"/>
        <w:rPr>
          <w:rFonts w:ascii="Arial" w:hAnsi="Arial"/>
          <w:sz w:val="28"/>
          <w:szCs w:val="28"/>
        </w:rPr>
      </w:pPr>
      <w:r>
        <w:rPr>
          <w:rFonts w:hint="eastAsia" w:ascii="Arial" w:hAnsi="Arial"/>
          <w:sz w:val="28"/>
          <w:szCs w:val="28"/>
        </w:rPr>
        <w:t xml:space="preserve">4、我方已详细审查全部招标文件。我们完全理解并同意放弃对这方面有不明及误解的权力。</w:t>
      </w:r>
      <w:r/>
    </w:p>
    <w:p>
      <w:pPr>
        <w:ind w:firstLine="560"/>
        <w:spacing w:line="520" w:lineRule="exact"/>
        <w:rPr>
          <w:rFonts w:ascii="Arial" w:hAnsi="Arial"/>
          <w:sz w:val="28"/>
          <w:szCs w:val="28"/>
        </w:rPr>
      </w:pPr>
      <w:r>
        <w:rPr>
          <w:rFonts w:hint="eastAsia" w:ascii="Arial" w:hAnsi="Arial"/>
          <w:sz w:val="28"/>
          <w:szCs w:val="28"/>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52"/>
      </w:pPr>
      <w:r/>
      <w:r/>
    </w:p>
    <w:p>
      <w:pPr>
        <w:ind w:right="560" w:firstLine="3080"/>
        <w:spacing w:line="520" w:lineRule="exact"/>
        <w:rPr>
          <w:rFonts w:ascii="Arial" w:hAnsi="Arial"/>
          <w:sz w:val="28"/>
          <w:szCs w:val="28"/>
        </w:rPr>
      </w:pPr>
      <w:r>
        <w:rPr>
          <w:rFonts w:hint="eastAsia" w:ascii="Arial" w:hAnsi="Arial"/>
          <w:sz w:val="28"/>
          <w:szCs w:val="28"/>
        </w:rPr>
        <w:t xml:space="preserve">投标人名称(盖法人章)：</w:t>
      </w:r>
      <w:r/>
    </w:p>
    <w:p>
      <w:pPr>
        <w:ind w:firstLine="3080"/>
        <w:spacing w:line="520" w:lineRule="exact"/>
        <w:rPr>
          <w:rFonts w:ascii="Arial" w:hAnsi="Arial"/>
          <w:sz w:val="28"/>
          <w:szCs w:val="28"/>
        </w:rPr>
      </w:pPr>
      <w:r>
        <w:rPr>
          <w:rFonts w:hint="eastAsia" w:ascii="Arial" w:hAnsi="Arial"/>
          <w:sz w:val="28"/>
          <w:szCs w:val="28"/>
        </w:rPr>
        <w:t xml:space="preserve">法定代表人 (签字或签章)：</w:t>
      </w:r>
      <w:r/>
    </w:p>
    <w:p>
      <w:pPr>
        <w:ind w:firstLine="3080"/>
        <w:spacing w:line="520" w:lineRule="exact"/>
        <w:rPr>
          <w:rFonts w:ascii="Arial" w:hAnsi="Arial"/>
          <w:sz w:val="28"/>
          <w:szCs w:val="28"/>
        </w:rPr>
      </w:pPr>
      <w:r>
        <w:rPr>
          <w:rFonts w:hint="eastAsia" w:ascii="Arial" w:hAnsi="Arial"/>
          <w:sz w:val="28"/>
          <w:szCs w:val="28"/>
        </w:rPr>
        <w:t xml:space="preserve">日期：   年  月   日</w:t>
      </w:r>
      <w:r/>
    </w:p>
    <w:p>
      <w:pPr>
        <w:jc w:val="left"/>
        <w:spacing w:line="500" w:lineRule="exact"/>
        <w:widowControl/>
        <w:rPr>
          <w:rFonts w:ascii="楷体" w:hAnsi="楷体" w:eastAsia="楷体" w:cs="宋体"/>
          <w:b/>
          <w:sz w:val="32"/>
          <w:szCs w:val="32"/>
        </w:rPr>
      </w:pPr>
      <w:r>
        <w:rPr>
          <w:rFonts w:ascii="Arial" w:hAnsi="Arial"/>
          <w:sz w:val="28"/>
          <w:szCs w:val="28"/>
        </w:rPr>
        <w:br w:type="page" w:clear="all"/>
      </w:r>
      <w:r>
        <w:rPr>
          <w:rFonts w:hint="eastAsia" w:ascii="楷体" w:hAnsi="楷体" w:eastAsia="楷体" w:cs="宋体"/>
          <w:b/>
          <w:sz w:val="32"/>
          <w:szCs w:val="32"/>
        </w:rPr>
        <w:t xml:space="preserve">3.4供应商资格条件证明文件</w:t>
      </w:r>
      <w:r/>
    </w:p>
    <w:p>
      <w:pPr>
        <w:pStyle w:val="650"/>
        <w:spacing w:line="500" w:lineRule="exact"/>
        <w:rPr>
          <w:rFonts w:ascii="Arial" w:hAnsi="Arial" w:eastAsia="Arial" w:cs="宋体"/>
          <w:b/>
          <w:sz w:val="28"/>
          <w:szCs w:val="28"/>
        </w:rPr>
      </w:pPr>
      <w:r>
        <w:rPr>
          <w:rFonts w:hint="eastAsia" w:ascii="Arial" w:hAnsi="Arial" w:eastAsia="Arial" w:cs="宋体"/>
          <w:b/>
          <w:sz w:val="28"/>
          <w:szCs w:val="28"/>
        </w:rPr>
        <w:t xml:space="preserve">（1）供应商基本资格条件承诺函</w:t>
      </w:r>
      <w:r/>
    </w:p>
    <w:p>
      <w:pPr>
        <w:pStyle w:val="650"/>
        <w:jc w:val="center"/>
        <w:spacing w:line="480" w:lineRule="exact"/>
        <w:rPr>
          <w:rFonts w:ascii="Arial" w:hAnsi="Arial" w:eastAsia="Arial" w:cs="宋体"/>
          <w:b/>
          <w:sz w:val="28"/>
          <w:szCs w:val="28"/>
        </w:rPr>
      </w:pPr>
      <w:r>
        <w:rPr>
          <w:rFonts w:hint="eastAsia" w:ascii="Arial" w:hAnsi="Arial" w:eastAsia="Arial" w:cs="宋体"/>
          <w:b/>
          <w:sz w:val="28"/>
          <w:szCs w:val="28"/>
        </w:rPr>
        <w:t xml:space="preserve">供应商基本资格条件承诺函</w:t>
      </w:r>
      <w:r/>
    </w:p>
    <w:p>
      <w:pPr>
        <w:ind w:firstLine="560"/>
        <w:spacing w:line="480" w:lineRule="exact"/>
        <w:rPr>
          <w:rFonts w:ascii="Arial" w:hAnsi="Arial" w:eastAsia="Arial" w:cs="宋体"/>
          <w:sz w:val="28"/>
          <w:szCs w:val="28"/>
        </w:rPr>
      </w:pPr>
      <w:r>
        <w:rPr>
          <w:rFonts w:hint="eastAsia" w:ascii="Arial" w:hAnsi="Arial" w:eastAsia="Arial" w:cs="宋体"/>
          <w:sz w:val="28"/>
          <w:szCs w:val="28"/>
        </w:rPr>
        <w:t xml:space="preserve">一、按照《政府采购法》第二十二条规定的供应商基本资格条件，我公司郑重承诺如下：</w:t>
      </w:r>
      <w:r/>
    </w:p>
    <w:p>
      <w:pPr>
        <w:pStyle w:val="650"/>
        <w:ind w:firstLine="560"/>
        <w:spacing w:line="480" w:lineRule="exact"/>
        <w:rPr>
          <w:rFonts w:ascii="Arial" w:hAnsi="Arial" w:eastAsia="Arial"/>
          <w:sz w:val="28"/>
          <w:szCs w:val="28"/>
          <w:shd w:val="clear" w:color="auto" w:fill="ffffff"/>
        </w:rPr>
      </w:pPr>
      <w:r>
        <w:rPr>
          <w:rFonts w:hint="eastAsia" w:ascii="Arial" w:hAnsi="Arial" w:eastAsia="Arial"/>
          <w:sz w:val="28"/>
          <w:szCs w:val="28"/>
        </w:rPr>
        <w:t xml:space="preserve">1.我公司具有</w:t>
      </w:r>
      <w:r>
        <w:rPr>
          <w:rFonts w:hint="eastAsia" w:ascii="Arial" w:hAnsi="Arial" w:eastAsia="Arial"/>
          <w:sz w:val="28"/>
          <w:szCs w:val="28"/>
          <w:shd w:val="clear" w:color="auto" w:fill="ffffff"/>
        </w:rPr>
        <w:t xml:space="preserve">良好的商业信誉和健全的财务制度；</w:t>
      </w:r>
      <w:r/>
    </w:p>
    <w:p>
      <w:pPr>
        <w:pStyle w:val="650"/>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2.我公司具有履行合同所必须的设备和专业技术能力；</w:t>
      </w:r>
      <w:r/>
    </w:p>
    <w:p>
      <w:pPr>
        <w:pStyle w:val="650"/>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3.我公司具有依法缴纳税收和社会保障资金的良好记录；</w:t>
      </w:r>
      <w:r/>
    </w:p>
    <w:p>
      <w:pPr>
        <w:pStyle w:val="650"/>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4.我公司参加政府采购活动前三年内，在经营活动中没有重大违法记录；</w:t>
      </w:r>
      <w:r/>
    </w:p>
    <w:p>
      <w:pPr>
        <w:pStyle w:val="650"/>
        <w:ind w:firstLine="560"/>
        <w:spacing w:line="480" w:lineRule="exact"/>
        <w:rPr>
          <w:rFonts w:ascii="Arial" w:hAnsi="Arial" w:eastAsia="Arial"/>
          <w:sz w:val="28"/>
          <w:szCs w:val="28"/>
          <w:shd w:val="clear" w:color="auto" w:fill="ffffff"/>
        </w:rPr>
      </w:pPr>
      <w:r>
        <w:rPr>
          <w:rFonts w:hint="eastAsia" w:ascii="Arial" w:hAnsi="Arial" w:eastAsia="Arial"/>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Arial" w:hAnsi="Arial" w:eastAsia="Arial"/>
          <w:sz w:val="28"/>
          <w:szCs w:val="28"/>
        </w:rPr>
        <w:t xml:space="preserve">。</w:t>
      </w:r>
      <w:r/>
    </w:p>
    <w:p>
      <w:pPr>
        <w:pStyle w:val="650"/>
        <w:ind w:firstLine="560"/>
        <w:spacing w:line="480" w:lineRule="exact"/>
        <w:rPr>
          <w:rFonts w:ascii="Arial" w:hAnsi="Arial" w:eastAsia="Arial"/>
          <w:sz w:val="28"/>
          <w:szCs w:val="28"/>
        </w:rPr>
      </w:pPr>
      <w:r>
        <w:rPr>
          <w:rFonts w:hint="eastAsia" w:ascii="Arial" w:hAnsi="Arial" w:eastAsia="Arial"/>
          <w:sz w:val="28"/>
          <w:szCs w:val="28"/>
          <w:shd w:val="clear" w:color="auto" w:fill="ffffff"/>
        </w:rPr>
        <w:t xml:space="preserve">二、</w:t>
      </w:r>
      <w:r>
        <w:rPr>
          <w:rFonts w:hint="eastAsia" w:ascii="Arial" w:hAnsi="Arial" w:eastAsia="Arial"/>
          <w:sz w:val="28"/>
          <w:szCs w:val="28"/>
        </w:rPr>
        <w:t xml:space="preserve">我公司承诺：在本次投标过程中，我公司不存在本项目招标文件第二章第1.4.3条所列情形之一。</w:t>
      </w:r>
      <w:r/>
    </w:p>
    <w:p>
      <w:pPr>
        <w:ind w:firstLine="3920"/>
        <w:spacing w:before="156" w:line="480" w:lineRule="exact"/>
        <w:rPr>
          <w:rFonts w:ascii="Arial" w:hAnsi="Arial" w:eastAsia="Arial"/>
          <w:sz w:val="28"/>
          <w:szCs w:val="28"/>
        </w:rPr>
      </w:pPr>
      <w:r>
        <w:rPr>
          <w:rFonts w:ascii="Arial" w:hAnsi="Arial" w:eastAsia="Arial"/>
          <w:sz w:val="28"/>
          <w:szCs w:val="28"/>
        </w:rPr>
        <w:t xml:space="preserve">投标人名称(盖法人章)：</w:t>
      </w:r>
      <w:r/>
    </w:p>
    <w:p>
      <w:pPr>
        <w:ind w:firstLine="3920"/>
        <w:spacing w:before="156" w:line="480" w:lineRule="exact"/>
        <w:rPr>
          <w:rFonts w:ascii="Arial" w:hAnsi="Arial" w:eastAsia="Arial"/>
          <w:sz w:val="28"/>
          <w:szCs w:val="28"/>
          <w:u w:val="single"/>
        </w:rPr>
      </w:pPr>
      <w:r>
        <w:rPr>
          <w:rFonts w:hint="eastAsia" w:ascii="Arial" w:hAnsi="Arial" w:eastAsia="Arial"/>
          <w:sz w:val="28"/>
          <w:szCs w:val="28"/>
        </w:rPr>
        <w:t xml:space="preserve">法定代表人</w:t>
      </w:r>
      <w:r>
        <w:rPr>
          <w:rFonts w:ascii="Arial" w:hAnsi="Arial" w:eastAsia="Arial"/>
          <w:sz w:val="28"/>
          <w:szCs w:val="28"/>
        </w:rPr>
        <w:t xml:space="preserve"> (</w:t>
      </w:r>
      <w:r>
        <w:rPr>
          <w:rFonts w:hint="eastAsia" w:ascii="Arial" w:hAnsi="Arial" w:eastAsia="Arial"/>
          <w:sz w:val="28"/>
          <w:szCs w:val="28"/>
        </w:rPr>
        <w:t xml:space="preserve">签字或签章</w:t>
      </w:r>
      <w:r>
        <w:rPr>
          <w:rFonts w:ascii="Arial" w:hAnsi="Arial" w:eastAsia="Arial"/>
          <w:sz w:val="28"/>
          <w:szCs w:val="28"/>
        </w:rPr>
        <w:t xml:space="preserve">)</w:t>
      </w:r>
      <w:r>
        <w:rPr>
          <w:rFonts w:hint="eastAsia" w:ascii="Arial" w:hAnsi="Arial" w:eastAsia="Arial"/>
          <w:sz w:val="28"/>
          <w:szCs w:val="28"/>
        </w:rPr>
        <w:t xml:space="preserve">：</w:t>
      </w:r>
      <w:r/>
    </w:p>
    <w:p>
      <w:pPr>
        <w:ind w:firstLine="3920"/>
        <w:spacing w:before="156" w:line="480" w:lineRule="exact"/>
        <w:rPr>
          <w:rFonts w:ascii="Arial" w:hAnsi="Arial" w:eastAsia="Arial"/>
          <w:sz w:val="28"/>
          <w:szCs w:val="28"/>
        </w:rPr>
      </w:pPr>
      <w:r>
        <w:rPr>
          <w:rFonts w:hint="eastAsia" w:ascii="Arial" w:hAnsi="Arial" w:eastAsia="Arial"/>
          <w:sz w:val="28"/>
          <w:szCs w:val="28"/>
        </w:rPr>
        <w:t xml:space="preserve">日期：   年  月   日</w:t>
      </w:r>
      <w:r/>
    </w:p>
    <w:p>
      <w:pPr>
        <w:pStyle w:val="650"/>
        <w:spacing w:line="500" w:lineRule="exact"/>
        <w:rPr>
          <w:rFonts w:ascii="Arial" w:hAnsi="Arial" w:eastAsia="Arial"/>
          <w:b/>
          <w:sz w:val="28"/>
          <w:szCs w:val="28"/>
        </w:rPr>
      </w:pPr>
      <w:r>
        <w:rPr>
          <w:rFonts w:ascii="Arial" w:hAnsi="Arial" w:eastAsia="Arial"/>
          <w:b/>
          <w:sz w:val="28"/>
          <w:szCs w:val="28"/>
        </w:rPr>
      </w:r>
      <w:r/>
    </w:p>
    <w:p>
      <w:pPr>
        <w:pStyle w:val="650"/>
        <w:spacing w:line="500" w:lineRule="exact"/>
        <w:rPr>
          <w:rFonts w:ascii="Arial" w:hAnsi="Arial" w:eastAsia="Arial"/>
          <w:b/>
          <w:sz w:val="28"/>
          <w:szCs w:val="28"/>
        </w:rPr>
      </w:pPr>
      <w:r>
        <w:rPr>
          <w:rFonts w:hint="eastAsia" w:ascii="Arial" w:hAnsi="Arial" w:eastAsia="Arial"/>
          <w:b/>
          <w:sz w:val="28"/>
          <w:szCs w:val="28"/>
        </w:rPr>
        <w:t xml:space="preserve">（2）</w:t>
      </w:r>
      <w:r>
        <w:rPr>
          <w:rFonts w:hint="eastAsia" w:ascii="Arial" w:hAnsi="Arial" w:eastAsia="Arial" w:cs="宋体"/>
          <w:b/>
          <w:sz w:val="28"/>
          <w:szCs w:val="28"/>
        </w:rPr>
        <w:t xml:space="preserve">招标文件要求的其他资格条件及证明材料</w:t>
      </w:r>
      <w:r/>
    </w:p>
    <w:p>
      <w:pPr>
        <w:pStyle w:val="650"/>
        <w:ind w:firstLine="560"/>
        <w:spacing w:line="500" w:lineRule="exact"/>
        <w:rPr>
          <w:rFonts w:ascii="Arial" w:hAnsi="Arial" w:eastAsia="Arial" w:cs="宋体"/>
          <w:sz w:val="28"/>
          <w:szCs w:val="28"/>
        </w:rPr>
      </w:pPr>
      <w:r>
        <w:rPr>
          <w:rFonts w:hint="eastAsia" w:ascii="Arial" w:hAnsi="Arial" w:eastAsia="Arial" w:cs="宋体"/>
          <w:sz w:val="28"/>
          <w:szCs w:val="28"/>
        </w:rPr>
        <w:t xml:space="preserve">1.具有有效的营业执照（附证书的复印件）；</w:t>
      </w:r>
      <w:r/>
    </w:p>
    <w:p>
      <w:pPr>
        <w:pStyle w:val="650"/>
        <w:ind w:firstLine="560"/>
        <w:spacing w:line="500" w:lineRule="exact"/>
        <w:rPr>
          <w:rFonts w:ascii="Arial" w:hAnsi="Arial" w:eastAsia="Arial" w:cs="宋体"/>
          <w:sz w:val="28"/>
          <w:szCs w:val="28"/>
        </w:rPr>
      </w:pPr>
      <w:r>
        <w:rPr>
          <w:rFonts w:hint="eastAsia" w:ascii="Arial" w:hAnsi="Arial" w:eastAsia="Arial" w:cs="宋体"/>
          <w:sz w:val="28"/>
          <w:szCs w:val="28"/>
        </w:rPr>
        <w:t xml:space="preserve">2.中小企业声明函（参考格式附后）；</w:t>
      </w:r>
      <w:r/>
    </w:p>
    <w:p>
      <w:pPr>
        <w:ind w:firstLine="560"/>
        <w:jc w:val="left"/>
        <w:widowControl/>
        <w:rPr>
          <w:rFonts w:hint="eastAsia" w:asciiTheme="majorEastAsia" w:hAnsiTheme="majorEastAsia" w:eastAsiaTheme="majorEastAsia"/>
          <w:sz w:val="28"/>
          <w:szCs w:val="28"/>
          <w:lang w:eastAsia="zh-CN"/>
        </w:rPr>
      </w:pPr>
      <w:r>
        <w:rPr>
          <w:rFonts w:hint="eastAsia" w:ascii="Arial" w:hAnsi="Arial" w:eastAsia="Arial" w:cs="宋体"/>
          <w:color w:val="auto"/>
          <w:sz w:val="28"/>
          <w:szCs w:val="28"/>
          <w:highlight w:val="none"/>
        </w:rPr>
        <w:t xml:space="preserve">3.特定资格要求：</w:t>
      </w:r>
      <w:r>
        <w:rPr>
          <w:rFonts w:hint="eastAsia" w:ascii="Arial" w:hAnsi="Arial" w:eastAsia="Arial" w:cs="宋体"/>
          <w:sz w:val="28"/>
          <w:szCs w:val="28"/>
          <w:lang w:val="en-US" w:eastAsia="zh-CN" w:bidi="ar-SA"/>
        </w:rPr>
        <w:t xml:space="preserve">投标人须具有自然资源主管部门颁发的有效期范围内乙级及以上测绘资质证书。</w:t>
      </w:r>
      <w:r/>
    </w:p>
    <w:p>
      <w:pPr>
        <w:ind w:firstLine="560"/>
        <w:jc w:val="left"/>
        <w:widowControl/>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r>
      <w:r/>
    </w:p>
    <w:p>
      <w:pPr>
        <w:ind w:firstLine="560"/>
        <w:jc w:val="left"/>
        <w:widowControl/>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r>
      <w:r/>
    </w:p>
    <w:p>
      <w:pPr>
        <w:ind w:firstLine="560"/>
        <w:jc w:val="left"/>
        <w:widowControl/>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r>
      <w:r/>
    </w:p>
    <w:p>
      <w:pPr>
        <w:ind w:firstLine="560"/>
        <w:jc w:val="left"/>
        <w:widowControl/>
        <w:rPr>
          <w:rFonts w:hint="eastAsia" w:asciiTheme="majorEastAsia" w:hAnsiTheme="majorEastAsia" w:eastAsiaTheme="majorEastAsia"/>
          <w:sz w:val="28"/>
          <w:szCs w:val="28"/>
          <w:lang w:eastAsia="zh-CN"/>
        </w:rPr>
      </w:pPr>
      <w:r>
        <w:rPr>
          <w:rFonts w:hint="eastAsia" w:asciiTheme="majorEastAsia" w:hAnsiTheme="majorEastAsia" w:eastAsiaTheme="majorEastAsia"/>
          <w:sz w:val="28"/>
          <w:szCs w:val="28"/>
          <w:lang w:eastAsia="zh-CN"/>
        </w:rPr>
      </w:r>
      <w:r/>
    </w:p>
    <w:p>
      <w:pPr>
        <w:rPr>
          <w:rFonts w:hint="eastAsia" w:ascii="Arial" w:hAnsi="Arial" w:eastAsia="Arial" w:cs="宋体"/>
          <w:b/>
          <w:sz w:val="30"/>
          <w:szCs w:val="30"/>
        </w:rPr>
      </w:pPr>
      <w:r>
        <w:rPr>
          <w:rFonts w:hint="eastAsia" w:ascii="Arial" w:hAnsi="Arial" w:eastAsia="Arial" w:cs="宋体"/>
          <w:b/>
          <w:sz w:val="30"/>
          <w:szCs w:val="30"/>
        </w:rPr>
        <w:br w:type="page" w:clear="all"/>
      </w:r>
      <w:r/>
    </w:p>
    <w:p>
      <w:pPr>
        <w:jc w:val="left"/>
        <w:widowControl/>
        <w:rPr>
          <w:rFonts w:ascii="Arial" w:hAnsi="Arial" w:eastAsia="Arial" w:cs="宋体"/>
          <w:sz w:val="30"/>
          <w:szCs w:val="30"/>
        </w:rPr>
      </w:pPr>
      <w:r>
        <w:rPr>
          <w:rFonts w:hint="eastAsia" w:ascii="Arial" w:hAnsi="Arial" w:eastAsia="Arial" w:cs="宋体"/>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rPr>
        <w:t xml:space="preserve"> （单位名称）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采购活动，提供的货物或服务全部由符合政策要求的小微企业提供。相关企业（含联合体中的中小企业、签订分包意向协议的中小企业）的具体情况如下：</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1.</w:t>
      </w:r>
      <w:r>
        <w:rPr>
          <w:rFonts w:hint="eastAsia" w:ascii="宋体" w:hAnsi="宋体" w:eastAsia="宋体" w:cs="宋体"/>
          <w:sz w:val="28"/>
          <w:szCs w:val="28"/>
          <w:u w:val="single"/>
        </w:rPr>
        <w:t xml:space="preserve"> （标的名称）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其他未列明行业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rPr>
        <w:t xml:space="preserve">（中型企业、小型企业、微型企业）</w:t>
      </w: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u w:val="single"/>
        </w:rPr>
        <w:t xml:space="preserve">（标的名称）        </w:t>
      </w:r>
      <w:r>
        <w:rPr>
          <w:rFonts w:hint="eastAsia" w:ascii="宋体" w:hAnsi="宋体" w:eastAsia="宋体" w:cs="宋体"/>
          <w:sz w:val="28"/>
          <w:szCs w:val="28"/>
        </w:rPr>
        <w:t xml:space="preserve">，属于</w:t>
      </w:r>
      <w:r>
        <w:rPr>
          <w:rFonts w:hint="eastAsia" w:ascii="宋体" w:hAnsi="宋体" w:eastAsia="宋体" w:cs="宋体"/>
          <w:sz w:val="28"/>
          <w:szCs w:val="28"/>
          <w:u w:val="single"/>
        </w:rPr>
        <w:t xml:space="preserve">  （采购文件中明确的所属行业） </w:t>
      </w:r>
      <w:r>
        <w:rPr>
          <w:rFonts w:hint="eastAsia" w:ascii="宋体" w:hAnsi="宋体" w:eastAsia="宋体" w:cs="宋体"/>
          <w:sz w:val="28"/>
          <w:szCs w:val="28"/>
        </w:rPr>
        <w:t xml:space="preserve">；承建（承接）企业为</w:t>
      </w:r>
      <w:r>
        <w:rPr>
          <w:rFonts w:hint="eastAsia" w:ascii="宋体" w:hAnsi="宋体" w:eastAsia="宋体" w:cs="宋体"/>
          <w:sz w:val="28"/>
          <w:szCs w:val="28"/>
          <w:u w:val="single"/>
        </w:rPr>
        <w:t xml:space="preserve"> （企业名称）</w:t>
      </w:r>
      <w:r>
        <w:rPr>
          <w:rFonts w:hint="eastAsia" w:ascii="宋体" w:hAnsi="宋体" w:eastAsia="宋体" w:cs="宋体"/>
          <w:sz w:val="28"/>
          <w:szCs w:val="28"/>
        </w:rPr>
        <w:t xml:space="preserve">，从业人员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人，营业收入</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万元，资产总额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万元，属于</w:t>
      </w:r>
      <w:r>
        <w:rPr>
          <w:rFonts w:hint="eastAsia" w:ascii="宋体" w:hAnsi="宋体" w:eastAsia="宋体" w:cs="宋体"/>
          <w:sz w:val="28"/>
          <w:szCs w:val="28"/>
          <w:u w:val="single"/>
        </w:rPr>
        <w:t xml:space="preserve"> （中型企业、小型企业、微型企业）       </w:t>
      </w:r>
      <w:r>
        <w:rPr>
          <w:rFonts w:hint="eastAsia" w:ascii="宋体" w:hAnsi="宋体" w:eastAsia="宋体" w:cs="宋体"/>
          <w:sz w:val="28"/>
          <w:szCs w:val="28"/>
        </w:rPr>
        <w:t xml:space="preserve">；</w:t>
      </w:r>
      <w:r/>
    </w:p>
    <w:p>
      <w:pPr>
        <w:pStyle w:val="712"/>
        <w:ind w:left="930" w:firstLine="0"/>
        <w:spacing w:line="440" w:lineRule="exact"/>
        <w:rPr>
          <w:rFonts w:hint="eastAsia" w:ascii="宋体" w:hAnsi="宋体" w:eastAsia="宋体" w:cs="宋体"/>
          <w:sz w:val="28"/>
          <w:szCs w:val="28"/>
        </w:rPr>
      </w:pPr>
      <w:r>
        <w:rPr>
          <w:rFonts w:hint="eastAsia" w:ascii="宋体" w:hAnsi="宋体" w:eastAsia="宋体" w:cs="宋体"/>
          <w:sz w:val="28"/>
          <w:szCs w:val="28"/>
        </w:rPr>
        <w:t xml:space="preserve">……</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70"/>
        <w:spacing w:line="440" w:lineRule="exact"/>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企业名称（盖章）：</w:t>
      </w:r>
      <w:r/>
    </w:p>
    <w:p>
      <w:pPr>
        <w:ind w:firstLine="4760"/>
        <w:spacing w:line="440" w:lineRule="exact"/>
        <w:rPr>
          <w:rFonts w:hint="eastAsia" w:ascii="宋体" w:hAnsi="宋体" w:eastAsia="宋体" w:cs="宋体"/>
          <w:sz w:val="28"/>
          <w:szCs w:val="28"/>
        </w:rPr>
      </w:pPr>
      <w:r>
        <w:rPr>
          <w:rFonts w:hint="eastAsia" w:ascii="宋体" w:hAnsi="宋体" w:eastAsia="宋体" w:cs="宋体"/>
          <w:sz w:val="28"/>
          <w:szCs w:val="28"/>
        </w:rPr>
        <w:t xml:space="preserve">日  期：</w:t>
      </w:r>
      <w:r/>
    </w:p>
    <w:p>
      <w:pPr>
        <w:pStyle w:val="711"/>
        <w:spacing w:line="440" w:lineRule="exact"/>
        <w:rPr>
          <w:rFonts w:hint="eastAsia" w:ascii="宋体" w:hAnsi="宋体" w:eastAsia="宋体" w:cs="宋体"/>
          <w:sz w:val="28"/>
          <w:szCs w:val="28"/>
        </w:rPr>
      </w:pPr>
      <w:r>
        <w:rPr>
          <w:rFonts w:hint="eastAsia" w:ascii="宋体" w:hAnsi="宋体" w:eastAsia="宋体" w:cs="宋体"/>
          <w:sz w:val="28"/>
          <w:szCs w:val="28"/>
        </w:rPr>
        <w:t xml:space="preserve">注：1、从业人员、营业收入填报上一年度数据，无上一年度数据的新成立企业可不填报。</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2、供应商如不提供此声明函，价格将不做相应扣除。</w:t>
      </w:r>
      <w:r/>
    </w:p>
    <w:p>
      <w:pPr>
        <w:ind w:firstLine="560"/>
        <w:spacing w:line="440" w:lineRule="exact"/>
        <w:rPr>
          <w:rFonts w:hint="eastAsia" w:ascii="宋体" w:hAnsi="宋体" w:eastAsia="宋体" w:cs="宋体"/>
          <w:sz w:val="28"/>
          <w:szCs w:val="28"/>
        </w:rPr>
      </w:pPr>
      <w:r>
        <w:rPr>
          <w:rFonts w:hint="eastAsia" w:ascii="宋体" w:hAnsi="宋体" w:eastAsia="宋体" w:cs="宋体"/>
          <w:sz w:val="28"/>
          <w:szCs w:val="28"/>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3.5采购需求响应表（格式自拟）</w:t>
      </w:r>
      <w:r/>
    </w:p>
    <w:p>
      <w:r/>
      <w:r/>
    </w:p>
    <w:sectPr>
      <w:footerReference w:type="default" r:id="rId9"/>
      <w:footnotePr/>
      <w:endnotePr/>
      <w:type w:val="nextPage"/>
      <w:pgSz w:w="11906" w:h="16838" w:orient="portrait"/>
      <w:pgMar w:top="1247" w:right="1735" w:bottom="1191"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fldChar w:fldCharType="begin"/>
    </w:r>
    <w:r>
      <w:instrText xml:space="preserve">PAGE   \* MERGEFORMAT</w:instrText>
    </w:r>
    <w:r>
      <w:fldChar w:fldCharType="separate"/>
    </w:r>
    <w:r>
      <w:rPr>
        <w:lang w:val="zh-CN"/>
      </w:rPr>
      <w:t xml:space="preserve">16</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pPr>
      <w:r>
        <w:separator/>
      </w:r>
      <w:r/>
    </w:p>
  </w:footnote>
  <w:footnote w:type="continuationSeparator" w:id="0">
    <w:p>
      <w:pPr>
        <w:spacing w:before="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2"/>
    <w:uiPriority w:val="10"/>
    <w:rPr>
      <w:sz w:val="48"/>
      <w:szCs w:val="48"/>
    </w:rPr>
  </w:style>
  <w:style w:type="character" w:styleId="38">
    <w:name w:val="Quote Char"/>
    <w:link w:val="717"/>
    <w:uiPriority w:val="29"/>
    <w:rPr>
      <w:i/>
    </w:rPr>
  </w:style>
  <w:style w:type="character" w:styleId="40">
    <w:name w:val="Intense Quote Char"/>
    <w:link w:val="719"/>
    <w:uiPriority w:val="30"/>
    <w:rPr>
      <w:i/>
    </w:rPr>
  </w:style>
  <w:style w:type="character" w:styleId="42">
    <w:name w:val="Header Char"/>
    <w:basedOn w:val="646"/>
    <w:link w:val="661"/>
    <w:uiPriority w:val="99"/>
  </w:style>
  <w:style w:type="character" w:styleId="44">
    <w:name w:val="Footer Char"/>
    <w:basedOn w:val="646"/>
    <w:link w:val="660"/>
    <w:uiPriority w:val="99"/>
  </w:style>
  <w:style w:type="paragraph" w:styleId="189">
    <w:name w:val="TOC Heading"/>
    <w:uiPriority w:val="39"/>
    <w:unhideWhenUsed/>
  </w:style>
  <w:style w:type="paragraph" w:styleId="636" w:default="1">
    <w:name w:val="Normal"/>
    <w:uiPriority w:val="0"/>
    <w:qFormat/>
    <w:pPr>
      <w:jc w:val="both"/>
      <w:spacing w:after="0"/>
      <w:widowControl w:val="off"/>
    </w:pPr>
    <w:rPr>
      <w:rFonts w:ascii="Times New Roman" w:hAnsi="Times New Roman" w:eastAsia="宋体" w:cs="Times New Roman"/>
      <w:sz w:val="24"/>
      <w:szCs w:val="24"/>
      <w:lang w:val="en-US" w:eastAsia="zh-CN" w:bidi="ar-SA"/>
    </w:rPr>
  </w:style>
  <w:style w:type="paragraph" w:styleId="637">
    <w:name w:val="Heading 1"/>
    <w:basedOn w:val="636"/>
    <w:next w:val="636"/>
    <w:link w:val="688"/>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38">
    <w:name w:val="Heading 2"/>
    <w:basedOn w:val="636"/>
    <w:next w:val="636"/>
    <w:link w:val="689"/>
    <w:uiPriority w:val="0"/>
    <w:qFormat/>
    <w:pPr>
      <w:keepLines/>
      <w:keepNext/>
      <w:spacing w:before="260" w:after="260" w:line="416" w:lineRule="auto"/>
      <w:outlineLvl w:val="1"/>
    </w:pPr>
    <w:rPr>
      <w:rFonts w:ascii="Calibri Light" w:hAnsi="Calibri Light" w:eastAsia="Arial" w:cs="Arial"/>
      <w:b/>
      <w:bCs/>
      <w:sz w:val="32"/>
      <w:szCs w:val="32"/>
    </w:rPr>
  </w:style>
  <w:style w:type="paragraph" w:styleId="639">
    <w:name w:val="Heading 3"/>
    <w:basedOn w:val="636"/>
    <w:next w:val="636"/>
    <w:link w:val="690"/>
    <w:uiPriority w:val="0"/>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691"/>
    <w:uiPriority w:val="0"/>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92"/>
    <w:uiPriority w:val="0"/>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93"/>
    <w:uiPriority w:val="0"/>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94"/>
    <w:uiPriority w:val="0"/>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95"/>
    <w:uiPriority w:val="0"/>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96"/>
    <w:uiPriority w:val="0"/>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0"/>
    <w:qFormat/>
    <w:rPr>
      <w:rFonts w:ascii="Times New Roman" w:hAnsi="Times New Roman" w:eastAsia="宋体" w:cs="Times New Roman"/>
    </w:rPr>
  </w:style>
  <w:style w:type="table" w:styleId="647"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648">
    <w:name w:val="toc 7"/>
    <w:basedOn w:val="636"/>
    <w:next w:val="636"/>
    <w:uiPriority w:val="0"/>
    <w:qFormat/>
    <w:pPr>
      <w:ind w:left="1701" w:right="0" w:firstLine="0"/>
      <w:spacing w:after="57"/>
    </w:pPr>
    <w:rPr>
      <w:rFonts w:ascii="Times New Roman" w:hAnsi="Times New Roman" w:eastAsia="宋体" w:cs="Times New Roman"/>
    </w:rPr>
  </w:style>
  <w:style w:type="paragraph" w:styleId="649">
    <w:name w:val="Caption"/>
    <w:basedOn w:val="636"/>
    <w:next w:val="636"/>
    <w:uiPriority w:val="0"/>
    <w:qFormat/>
    <w:pPr>
      <w:spacing w:line="276" w:lineRule="auto"/>
    </w:pPr>
    <w:rPr>
      <w:rFonts w:ascii="Times New Roman" w:hAnsi="Times New Roman" w:eastAsia="宋体" w:cs="Times New Roman"/>
      <w:b/>
      <w:bCs/>
      <w:color w:val="5b9bd5"/>
      <w:sz w:val="18"/>
      <w:szCs w:val="18"/>
    </w:rPr>
  </w:style>
  <w:style w:type="paragraph" w:styleId="650">
    <w:name w:val="Document Map"/>
    <w:basedOn w:val="636"/>
    <w:link w:val="697"/>
    <w:uiPriority w:val="0"/>
    <w:qFormat/>
    <w:rPr>
      <w:rFonts w:ascii="宋体" w:hAnsi="Times New Roman" w:eastAsia="宋体" w:cs="Times New Roman"/>
      <w:sz w:val="18"/>
      <w:szCs w:val="18"/>
    </w:rPr>
  </w:style>
  <w:style w:type="paragraph" w:styleId="651">
    <w:name w:val="annotation text"/>
    <w:basedOn w:val="636"/>
    <w:link w:val="698"/>
    <w:uiPriority w:val="0"/>
    <w:qFormat/>
    <w:pPr>
      <w:jc w:val="left"/>
    </w:pPr>
    <w:rPr>
      <w:rFonts w:ascii="Times New Roman" w:hAnsi="Times New Roman" w:eastAsia="宋体" w:cs="Times New Roman"/>
    </w:rPr>
  </w:style>
  <w:style w:type="paragraph" w:styleId="652">
    <w:name w:val="Body Text"/>
    <w:basedOn w:val="636"/>
    <w:link w:val="699"/>
    <w:uiPriority w:val="0"/>
    <w:qFormat/>
    <w:pPr>
      <w:spacing w:after="120"/>
    </w:pPr>
    <w:rPr>
      <w:rFonts w:ascii="Times New Roman" w:hAnsi="Times New Roman" w:eastAsia="宋体" w:cs="Times New Roman"/>
    </w:rPr>
  </w:style>
  <w:style w:type="paragraph" w:styleId="653">
    <w:name w:val="toc 5"/>
    <w:basedOn w:val="636"/>
    <w:next w:val="636"/>
    <w:uiPriority w:val="0"/>
    <w:qFormat/>
    <w:pPr>
      <w:ind w:left="1134" w:right="0" w:firstLine="0"/>
      <w:spacing w:after="57"/>
    </w:pPr>
    <w:rPr>
      <w:rFonts w:ascii="Times New Roman" w:hAnsi="Times New Roman" w:eastAsia="宋体" w:cs="Times New Roman"/>
    </w:rPr>
  </w:style>
  <w:style w:type="paragraph" w:styleId="654">
    <w:name w:val="toc 3"/>
    <w:basedOn w:val="636"/>
    <w:next w:val="636"/>
    <w:uiPriority w:val="0"/>
    <w:qFormat/>
    <w:pPr>
      <w:ind w:left="567" w:right="0" w:firstLine="0"/>
      <w:spacing w:after="57"/>
    </w:pPr>
    <w:rPr>
      <w:rFonts w:ascii="Times New Roman" w:hAnsi="Times New Roman" w:eastAsia="宋体" w:cs="Times New Roman"/>
    </w:rPr>
  </w:style>
  <w:style w:type="paragraph" w:styleId="655">
    <w:name w:val="Plain Text"/>
    <w:basedOn w:val="636"/>
    <w:link w:val="700"/>
    <w:uiPriority w:val="0"/>
    <w:qFormat/>
    <w:rPr>
      <w:rFonts w:ascii="宋体" w:hAnsi="Courier New" w:eastAsia="宋体" w:cs="Times New Roman"/>
      <w:szCs w:val="20"/>
    </w:rPr>
  </w:style>
  <w:style w:type="paragraph" w:styleId="656">
    <w:name w:val="toc 8"/>
    <w:basedOn w:val="636"/>
    <w:next w:val="636"/>
    <w:uiPriority w:val="0"/>
    <w:qFormat/>
    <w:pPr>
      <w:ind w:left="1984" w:right="0" w:firstLine="0"/>
      <w:spacing w:after="57"/>
    </w:pPr>
    <w:rPr>
      <w:rFonts w:ascii="Times New Roman" w:hAnsi="Times New Roman" w:eastAsia="宋体" w:cs="Times New Roman"/>
    </w:rPr>
  </w:style>
  <w:style w:type="paragraph" w:styleId="657">
    <w:name w:val="Body Text Indent 2"/>
    <w:basedOn w:val="636"/>
    <w:uiPriority w:val="0"/>
    <w:qFormat/>
    <w:pPr>
      <w:ind w:left="420"/>
      <w:spacing w:after="120" w:line="480" w:lineRule="auto"/>
    </w:pPr>
    <w:rPr>
      <w:rFonts w:ascii="Times New Roman" w:hAnsi="Times New Roman" w:eastAsia="宋体" w:cs="Times New Roman"/>
    </w:rPr>
  </w:style>
  <w:style w:type="paragraph" w:styleId="658">
    <w:name w:val="endnote text"/>
    <w:basedOn w:val="636"/>
    <w:link w:val="701"/>
    <w:uiPriority w:val="0"/>
    <w:qFormat/>
    <w:pPr>
      <w:spacing w:after="0" w:line="240" w:lineRule="auto"/>
    </w:pPr>
    <w:rPr>
      <w:rFonts w:ascii="Times New Roman" w:hAnsi="Times New Roman" w:eastAsia="宋体" w:cs="Times New Roman"/>
      <w:sz w:val="20"/>
    </w:rPr>
  </w:style>
  <w:style w:type="paragraph" w:styleId="659">
    <w:name w:val="Balloon Text"/>
    <w:basedOn w:val="636"/>
    <w:link w:val="702"/>
    <w:uiPriority w:val="0"/>
    <w:qFormat/>
    <w:rPr>
      <w:rFonts w:ascii="Times New Roman" w:hAnsi="Times New Roman" w:eastAsia="宋体" w:cs="Times New Roman"/>
      <w:sz w:val="18"/>
      <w:szCs w:val="18"/>
    </w:rPr>
  </w:style>
  <w:style w:type="paragraph" w:styleId="660">
    <w:name w:val="Footer"/>
    <w:basedOn w:val="636"/>
    <w:link w:val="703"/>
    <w:uiPriority w:val="0"/>
    <w:qFormat/>
    <w:pPr>
      <w:jc w:val="left"/>
      <w:tabs>
        <w:tab w:val="center" w:pos="4153" w:leader="none"/>
        <w:tab w:val="right" w:pos="8306" w:leader="none"/>
      </w:tabs>
    </w:pPr>
    <w:rPr>
      <w:rFonts w:ascii="Calibri" w:hAnsi="Calibri" w:eastAsia="Arial" w:cs="Arial"/>
      <w:sz w:val="18"/>
      <w:szCs w:val="18"/>
    </w:rPr>
  </w:style>
  <w:style w:type="paragraph" w:styleId="661">
    <w:name w:val="Header"/>
    <w:basedOn w:val="636"/>
    <w:link w:val="704"/>
    <w:uiPriority w:val="0"/>
    <w:qFormat/>
    <w:pPr>
      <w:jc w:val="center"/>
      <w:tabs>
        <w:tab w:val="center" w:pos="4153" w:leader="none"/>
        <w:tab w:val="right" w:pos="8306" w:leader="none"/>
      </w:tabs>
    </w:pPr>
    <w:rPr>
      <w:rFonts w:ascii="Calibri" w:hAnsi="Calibri" w:eastAsia="Arial" w:cs="Arial"/>
      <w:sz w:val="18"/>
      <w:szCs w:val="18"/>
    </w:rPr>
  </w:style>
  <w:style w:type="paragraph" w:styleId="662">
    <w:name w:val="toc 1"/>
    <w:basedOn w:val="636"/>
    <w:next w:val="636"/>
    <w:uiPriority w:val="0"/>
    <w:qFormat/>
    <w:pPr>
      <w:ind w:left="0" w:right="0" w:firstLine="0"/>
      <w:spacing w:after="57"/>
    </w:pPr>
    <w:rPr>
      <w:rFonts w:ascii="Times New Roman" w:hAnsi="Times New Roman" w:eastAsia="宋体" w:cs="Times New Roman"/>
    </w:rPr>
  </w:style>
  <w:style w:type="paragraph" w:styleId="663">
    <w:name w:val="toc 4"/>
    <w:basedOn w:val="636"/>
    <w:next w:val="636"/>
    <w:uiPriority w:val="0"/>
    <w:qFormat/>
    <w:pPr>
      <w:ind w:left="850" w:right="0" w:firstLine="0"/>
      <w:spacing w:after="57"/>
    </w:pPr>
    <w:rPr>
      <w:rFonts w:ascii="Times New Roman" w:hAnsi="Times New Roman" w:eastAsia="宋体" w:cs="Times New Roman"/>
    </w:rPr>
  </w:style>
  <w:style w:type="paragraph" w:styleId="664">
    <w:name w:val="Subtitle"/>
    <w:basedOn w:val="636"/>
    <w:next w:val="636"/>
    <w:link w:val="705"/>
    <w:uiPriority w:val="0"/>
    <w:qFormat/>
    <w:pPr>
      <w:spacing w:before="200" w:after="200"/>
    </w:pPr>
    <w:rPr>
      <w:rFonts w:ascii="Times New Roman" w:hAnsi="Times New Roman" w:eastAsia="宋体" w:cs="Times New Roman"/>
      <w:sz w:val="24"/>
      <w:szCs w:val="24"/>
    </w:rPr>
  </w:style>
  <w:style w:type="paragraph" w:styleId="665">
    <w:name w:val="footnote text"/>
    <w:basedOn w:val="636"/>
    <w:link w:val="706"/>
    <w:uiPriority w:val="0"/>
    <w:qFormat/>
    <w:pPr>
      <w:spacing w:after="40" w:line="240" w:lineRule="auto"/>
    </w:pPr>
    <w:rPr>
      <w:rFonts w:ascii="Times New Roman" w:hAnsi="Times New Roman" w:eastAsia="宋体" w:cs="Times New Roman"/>
      <w:sz w:val="18"/>
    </w:rPr>
  </w:style>
  <w:style w:type="paragraph" w:styleId="666">
    <w:name w:val="toc 6"/>
    <w:basedOn w:val="636"/>
    <w:next w:val="636"/>
    <w:uiPriority w:val="0"/>
    <w:qFormat/>
    <w:pPr>
      <w:ind w:left="1417" w:right="0" w:firstLine="0"/>
      <w:spacing w:after="57"/>
    </w:pPr>
    <w:rPr>
      <w:rFonts w:ascii="Times New Roman" w:hAnsi="Times New Roman" w:eastAsia="宋体" w:cs="Times New Roman"/>
    </w:rPr>
  </w:style>
  <w:style w:type="paragraph" w:styleId="667">
    <w:name w:val="Body Text Indent 3"/>
    <w:basedOn w:val="636"/>
    <w:link w:val="707"/>
    <w:uiPriority w:val="0"/>
    <w:qFormat/>
    <w:pPr>
      <w:ind w:left="645" w:firstLine="645"/>
    </w:pPr>
    <w:rPr>
      <w:rFonts w:ascii="Arial" w:hAnsi="Arial" w:eastAsia="仿宋_GB2312" w:cs="Times New Roman"/>
      <w:color w:val="ffff00"/>
      <w:sz w:val="32"/>
      <w:szCs w:val="20"/>
    </w:rPr>
  </w:style>
  <w:style w:type="paragraph" w:styleId="668">
    <w:name w:val="table of figures"/>
    <w:basedOn w:val="636"/>
    <w:next w:val="636"/>
    <w:uiPriority w:val="0"/>
    <w:qFormat/>
    <w:pPr>
      <w:spacing w:after="0" w:afterAutospacing="0"/>
    </w:pPr>
    <w:rPr>
      <w:rFonts w:ascii="Times New Roman" w:hAnsi="Times New Roman" w:eastAsia="宋体" w:cs="Times New Roman"/>
    </w:rPr>
  </w:style>
  <w:style w:type="paragraph" w:styleId="669">
    <w:name w:val="toc 2"/>
    <w:basedOn w:val="636"/>
    <w:next w:val="636"/>
    <w:uiPriority w:val="0"/>
    <w:qFormat/>
    <w:pPr>
      <w:ind w:left="283" w:right="0" w:firstLine="0"/>
      <w:spacing w:after="57"/>
    </w:pPr>
    <w:rPr>
      <w:rFonts w:ascii="Times New Roman" w:hAnsi="Times New Roman" w:eastAsia="宋体" w:cs="Times New Roman"/>
    </w:rPr>
  </w:style>
  <w:style w:type="paragraph" w:styleId="670">
    <w:name w:val="toc 9"/>
    <w:basedOn w:val="636"/>
    <w:next w:val="636"/>
    <w:uiPriority w:val="0"/>
    <w:qFormat/>
    <w:pPr>
      <w:ind w:left="2268" w:right="0" w:firstLine="0"/>
      <w:spacing w:after="57"/>
    </w:pPr>
    <w:rPr>
      <w:rFonts w:ascii="Times New Roman" w:hAnsi="Times New Roman" w:eastAsia="宋体" w:cs="Times New Roman"/>
    </w:rPr>
  </w:style>
  <w:style w:type="paragraph" w:styleId="671">
    <w:name w:val="Normal (Web)"/>
    <w:basedOn w:val="636"/>
    <w:uiPriority w:val="0"/>
    <w:qFormat/>
    <w:pPr>
      <w:jc w:val="left"/>
      <w:spacing w:before="150" w:after="150" w:line="480" w:lineRule="auto"/>
    </w:pPr>
    <w:rPr>
      <w:rFonts w:hint="eastAsia" w:ascii="宋体" w:hAnsi="宋体" w:eastAsia="宋体" w:cs="Times New Roman"/>
      <w:color w:val="000000"/>
    </w:rPr>
  </w:style>
  <w:style w:type="paragraph" w:styleId="672">
    <w:name w:val="Title"/>
    <w:basedOn w:val="636"/>
    <w:next w:val="636"/>
    <w:link w:val="708"/>
    <w:uiPriority w:val="0"/>
    <w:qFormat/>
    <w:pPr>
      <w:contextualSpacing/>
      <w:spacing w:before="300" w:after="200"/>
    </w:pPr>
    <w:rPr>
      <w:rFonts w:ascii="Times New Roman" w:hAnsi="Times New Roman" w:eastAsia="宋体" w:cs="Times New Roman"/>
      <w:sz w:val="48"/>
      <w:szCs w:val="48"/>
    </w:rPr>
  </w:style>
  <w:style w:type="paragraph" w:styleId="673">
    <w:name w:val="annotation subject"/>
    <w:basedOn w:val="651"/>
    <w:next w:val="651"/>
    <w:link w:val="709"/>
    <w:uiPriority w:val="0"/>
    <w:qFormat/>
    <w:rPr>
      <w:rFonts w:ascii="Times New Roman" w:hAnsi="Times New Roman" w:eastAsia="宋体" w:cs="Times New Roman"/>
      <w:b/>
      <w:bCs/>
    </w:rPr>
  </w:style>
  <w:style w:type="table" w:styleId="674">
    <w:name w:val="Table Grid"/>
    <w:basedOn w:val="647"/>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Medium Grid 3"/>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6">
    <w:name w:val="Medium Grid 3 Accent 1"/>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7">
    <w:name w:val="Medium Grid 3 Accent 2"/>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8">
    <w:name w:val="Medium Grid 3 Accent 3"/>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79">
    <w:name w:val="Medium Grid 3 Accent 4"/>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80">
    <w:name w:val="Medium Grid 3 Accent 5"/>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681">
    <w:name w:val="Medium Grid 3 Accent 6"/>
    <w:basedOn w:val="647"/>
    <w:uiPriority w:val="0"/>
    <w:qFormat/>
    <w:rPr>
      <w:rFonts w:ascii="Times New Roman" w:hAnsi="Times New Roman" w:eastAsia="宋体"/>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none" w:color="000000" w:sz="4" w:space="0"/>
          <w:bottom w:val="single" w:color="CCE8CF" w:sz="8"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24" w:space="0"/>
          <w:bottom w:val="single" w:color="CCE8CF" w:sz="8"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none" w:color="000000" w:sz="4" w:space="0"/>
          <w:bottom w:val="single" w:color="CCE8CF" w:sz="2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682">
    <w:name w:val="Strong"/>
    <w:basedOn w:val="646"/>
    <w:uiPriority w:val="0"/>
    <w:qFormat/>
    <w:rPr>
      <w:rFonts w:ascii="Times New Roman" w:hAnsi="Times New Roman" w:eastAsia="宋体" w:cs="Times New Roman"/>
      <w:b/>
    </w:rPr>
  </w:style>
  <w:style w:type="character" w:styleId="683">
    <w:name w:val="endnote reference"/>
    <w:basedOn w:val="646"/>
    <w:uiPriority w:val="0"/>
    <w:qFormat/>
    <w:rPr>
      <w:rFonts w:ascii="Times New Roman" w:hAnsi="Times New Roman" w:eastAsia="宋体" w:cs="Times New Roman"/>
      <w:vertAlign w:val="superscript"/>
    </w:rPr>
  </w:style>
  <w:style w:type="character" w:styleId="684">
    <w:name w:val="FollowedHyperlink"/>
    <w:basedOn w:val="646"/>
    <w:uiPriority w:val="0"/>
    <w:qFormat/>
    <w:rPr>
      <w:rFonts w:ascii="Times New Roman" w:hAnsi="Times New Roman" w:eastAsia="宋体" w:cs="Times New Roman"/>
      <w:color w:val="333333"/>
      <w:u w:val="none"/>
    </w:rPr>
  </w:style>
  <w:style w:type="character" w:styleId="685">
    <w:name w:val="Hyperlink"/>
    <w:uiPriority w:val="0"/>
    <w:qFormat/>
    <w:rPr>
      <w:rFonts w:ascii="Times New Roman" w:hAnsi="Times New Roman" w:eastAsia="宋体" w:cs="Times New Roman"/>
      <w:color w:val="336699"/>
      <w:sz w:val="18"/>
      <w:u w:val="none"/>
    </w:rPr>
  </w:style>
  <w:style w:type="character" w:styleId="686">
    <w:name w:val="annotation reference"/>
    <w:basedOn w:val="646"/>
    <w:uiPriority w:val="0"/>
    <w:qFormat/>
    <w:rPr>
      <w:rFonts w:ascii="Times New Roman" w:hAnsi="Times New Roman" w:eastAsia="宋体" w:cs="Times New Roman"/>
      <w:sz w:val="21"/>
      <w:szCs w:val="21"/>
    </w:rPr>
  </w:style>
  <w:style w:type="character" w:styleId="687">
    <w:name w:val="footnote reference"/>
    <w:basedOn w:val="646"/>
    <w:uiPriority w:val="0"/>
    <w:qFormat/>
    <w:rPr>
      <w:rFonts w:ascii="Times New Roman" w:hAnsi="Times New Roman" w:eastAsia="宋体" w:cs="Times New Roman"/>
      <w:vertAlign w:val="superscript"/>
    </w:rPr>
  </w:style>
  <w:style w:type="character" w:styleId="688" w:customStyle="1">
    <w:name w:val="标题 1 Char"/>
    <w:basedOn w:val="646"/>
    <w:link w:val="637"/>
    <w:uiPriority w:val="0"/>
    <w:qFormat/>
    <w:rPr>
      <w:rFonts w:ascii="Times New Roman" w:hAnsi="Times New Roman" w:eastAsia="宋体" w:cs="Times New Roman"/>
      <w:b/>
      <w:bCs/>
      <w:sz w:val="44"/>
      <w:szCs w:val="44"/>
    </w:rPr>
  </w:style>
  <w:style w:type="character" w:styleId="689" w:customStyle="1">
    <w:name w:val="标题 2 Char"/>
    <w:basedOn w:val="646"/>
    <w:link w:val="638"/>
    <w:uiPriority w:val="0"/>
    <w:qFormat/>
    <w:rPr>
      <w:rFonts w:ascii="Calibri Light" w:hAnsi="Calibri Light" w:eastAsia="Arial" w:cs="Arial"/>
      <w:b/>
      <w:bCs/>
      <w:sz w:val="32"/>
      <w:szCs w:val="32"/>
    </w:rPr>
  </w:style>
  <w:style w:type="character" w:styleId="690" w:customStyle="1">
    <w:name w:val="Heading 3 Char_a9b216b8-bf54-458b-b387-147c628c2a81"/>
    <w:basedOn w:val="646"/>
    <w:link w:val="639"/>
    <w:uiPriority w:val="0"/>
    <w:qFormat/>
    <w:rPr>
      <w:rFonts w:ascii="Arial" w:hAnsi="Arial" w:eastAsia="Arial" w:cs="Arial"/>
      <w:sz w:val="30"/>
      <w:szCs w:val="30"/>
    </w:rPr>
  </w:style>
  <w:style w:type="character" w:styleId="691" w:customStyle="1">
    <w:name w:val="Heading 4 Char_b59364e0-d5ed-4dc1-b6d7-cdc88059b588"/>
    <w:basedOn w:val="646"/>
    <w:link w:val="640"/>
    <w:uiPriority w:val="0"/>
    <w:qFormat/>
    <w:rPr>
      <w:rFonts w:ascii="Arial" w:hAnsi="Arial" w:eastAsia="Arial" w:cs="Arial"/>
      <w:b/>
      <w:bCs/>
      <w:sz w:val="26"/>
      <w:szCs w:val="26"/>
    </w:rPr>
  </w:style>
  <w:style w:type="character" w:styleId="692" w:customStyle="1">
    <w:name w:val="Heading 5 Char_65e270c1-d483-457d-8dc0-82819986679d"/>
    <w:basedOn w:val="646"/>
    <w:link w:val="641"/>
    <w:uiPriority w:val="0"/>
    <w:qFormat/>
    <w:rPr>
      <w:rFonts w:ascii="Arial" w:hAnsi="Arial" w:eastAsia="Arial" w:cs="Arial"/>
      <w:b/>
      <w:bCs/>
      <w:sz w:val="24"/>
      <w:szCs w:val="24"/>
    </w:rPr>
  </w:style>
  <w:style w:type="character" w:styleId="693" w:customStyle="1">
    <w:name w:val="Heading 6 Char_e1e3f1cb-737b-4f5c-88d0-5e1d123f61ac"/>
    <w:basedOn w:val="646"/>
    <w:link w:val="642"/>
    <w:uiPriority w:val="0"/>
    <w:qFormat/>
    <w:rPr>
      <w:rFonts w:ascii="Arial" w:hAnsi="Arial" w:eastAsia="Arial" w:cs="Arial"/>
      <w:b/>
      <w:bCs/>
      <w:sz w:val="22"/>
      <w:szCs w:val="22"/>
    </w:rPr>
  </w:style>
  <w:style w:type="character" w:styleId="694" w:customStyle="1">
    <w:name w:val="Heading 7 Char_50de44a3-68c1-4df3-b0b2-d34005039162"/>
    <w:basedOn w:val="646"/>
    <w:link w:val="643"/>
    <w:uiPriority w:val="0"/>
    <w:qFormat/>
    <w:rPr>
      <w:rFonts w:ascii="Arial" w:hAnsi="Arial" w:eastAsia="Arial" w:cs="Arial"/>
      <w:b/>
      <w:bCs/>
      <w:i/>
      <w:iCs/>
      <w:sz w:val="22"/>
      <w:szCs w:val="22"/>
    </w:rPr>
  </w:style>
  <w:style w:type="character" w:styleId="695" w:customStyle="1">
    <w:name w:val="Heading 8 Char_18f28759-a39c-4025-a777-591394453635"/>
    <w:basedOn w:val="646"/>
    <w:link w:val="644"/>
    <w:uiPriority w:val="0"/>
    <w:qFormat/>
    <w:rPr>
      <w:rFonts w:ascii="Arial" w:hAnsi="Arial" w:eastAsia="Arial" w:cs="Arial"/>
      <w:i/>
      <w:iCs/>
      <w:sz w:val="22"/>
      <w:szCs w:val="22"/>
    </w:rPr>
  </w:style>
  <w:style w:type="character" w:styleId="696" w:customStyle="1">
    <w:name w:val="Heading 9 Char_8bd0dcb3-8880-40de-b698-603d2e08a712"/>
    <w:basedOn w:val="646"/>
    <w:link w:val="645"/>
    <w:uiPriority w:val="0"/>
    <w:qFormat/>
    <w:rPr>
      <w:rFonts w:ascii="Arial" w:hAnsi="Arial" w:eastAsia="Arial" w:cs="Arial"/>
      <w:i/>
      <w:iCs/>
      <w:sz w:val="21"/>
      <w:szCs w:val="21"/>
    </w:rPr>
  </w:style>
  <w:style w:type="character" w:styleId="697" w:customStyle="1">
    <w:name w:val="文档结构图 Char"/>
    <w:basedOn w:val="646"/>
    <w:link w:val="650"/>
    <w:uiPriority w:val="0"/>
    <w:qFormat/>
    <w:rPr>
      <w:rFonts w:ascii="宋体" w:hAnsi="Times New Roman" w:eastAsia="宋体" w:cs="Times New Roman"/>
      <w:sz w:val="18"/>
      <w:szCs w:val="18"/>
    </w:rPr>
  </w:style>
  <w:style w:type="character" w:styleId="698" w:customStyle="1">
    <w:name w:val="批注文字 Char"/>
    <w:basedOn w:val="646"/>
    <w:link w:val="651"/>
    <w:uiPriority w:val="0"/>
    <w:qFormat/>
    <w:rPr>
      <w:rFonts w:ascii="Times New Roman" w:hAnsi="Times New Roman" w:eastAsia="宋体" w:cs="Times New Roman"/>
      <w:sz w:val="24"/>
      <w:szCs w:val="24"/>
    </w:rPr>
  </w:style>
  <w:style w:type="character" w:styleId="699" w:customStyle="1">
    <w:name w:val="正文文本 Char1"/>
    <w:basedOn w:val="646"/>
    <w:link w:val="652"/>
    <w:uiPriority w:val="0"/>
    <w:qFormat/>
    <w:rPr>
      <w:rFonts w:ascii="Times New Roman" w:hAnsi="Times New Roman" w:eastAsia="宋体" w:cs="Times New Roman"/>
      <w:sz w:val="24"/>
      <w:szCs w:val="24"/>
    </w:rPr>
  </w:style>
  <w:style w:type="character" w:styleId="700" w:customStyle="1">
    <w:name w:val="纯文本 Char"/>
    <w:basedOn w:val="646"/>
    <w:link w:val="655"/>
    <w:uiPriority w:val="0"/>
    <w:qFormat/>
    <w:rPr>
      <w:rFonts w:ascii="宋体" w:hAnsi="Courier New" w:eastAsia="宋体" w:cs="Times New Roman"/>
      <w:sz w:val="24"/>
      <w:szCs w:val="20"/>
    </w:rPr>
  </w:style>
  <w:style w:type="character" w:styleId="701" w:customStyle="1">
    <w:name w:val="Endnote Text Char"/>
    <w:link w:val="658"/>
    <w:uiPriority w:val="0"/>
    <w:qFormat/>
    <w:rPr>
      <w:rFonts w:ascii="Times New Roman" w:hAnsi="Times New Roman" w:eastAsia="宋体" w:cs="Times New Roman"/>
      <w:sz w:val="20"/>
    </w:rPr>
  </w:style>
  <w:style w:type="character" w:styleId="702" w:customStyle="1">
    <w:name w:val="批注框文本 Char"/>
    <w:basedOn w:val="646"/>
    <w:link w:val="659"/>
    <w:uiPriority w:val="0"/>
    <w:qFormat/>
    <w:rPr>
      <w:rFonts w:ascii="Times New Roman" w:hAnsi="Times New Roman" w:eastAsia="宋体" w:cs="Times New Roman"/>
      <w:sz w:val="18"/>
      <w:szCs w:val="18"/>
    </w:rPr>
  </w:style>
  <w:style w:type="character" w:styleId="703" w:customStyle="1">
    <w:name w:val="页脚 Char"/>
    <w:basedOn w:val="646"/>
    <w:link w:val="660"/>
    <w:uiPriority w:val="0"/>
    <w:qFormat/>
    <w:rPr>
      <w:rFonts w:ascii="Times New Roman" w:hAnsi="Times New Roman" w:eastAsia="宋体" w:cs="Times New Roman"/>
      <w:sz w:val="18"/>
      <w:szCs w:val="18"/>
    </w:rPr>
  </w:style>
  <w:style w:type="character" w:styleId="704" w:customStyle="1">
    <w:name w:val="页眉 Char"/>
    <w:basedOn w:val="646"/>
    <w:link w:val="661"/>
    <w:uiPriority w:val="0"/>
    <w:qFormat/>
    <w:rPr>
      <w:rFonts w:ascii="Times New Roman" w:hAnsi="Times New Roman" w:eastAsia="宋体" w:cs="Times New Roman"/>
      <w:sz w:val="18"/>
      <w:szCs w:val="18"/>
    </w:rPr>
  </w:style>
  <w:style w:type="character" w:styleId="705" w:customStyle="1">
    <w:name w:val="Subtitle Char"/>
    <w:basedOn w:val="646"/>
    <w:link w:val="664"/>
    <w:uiPriority w:val="0"/>
    <w:qFormat/>
    <w:rPr>
      <w:rFonts w:ascii="Times New Roman" w:hAnsi="Times New Roman" w:eastAsia="宋体" w:cs="Times New Roman"/>
      <w:sz w:val="24"/>
      <w:szCs w:val="24"/>
    </w:rPr>
  </w:style>
  <w:style w:type="character" w:styleId="706" w:customStyle="1">
    <w:name w:val="Footnote Text Char"/>
    <w:link w:val="665"/>
    <w:uiPriority w:val="0"/>
    <w:qFormat/>
    <w:rPr>
      <w:rFonts w:ascii="Times New Roman" w:hAnsi="Times New Roman" w:eastAsia="宋体" w:cs="Times New Roman"/>
      <w:sz w:val="18"/>
    </w:rPr>
  </w:style>
  <w:style w:type="character" w:styleId="707" w:customStyle="1">
    <w:name w:val="正文文本缩进 3 Char1"/>
    <w:basedOn w:val="646"/>
    <w:link w:val="667"/>
    <w:uiPriority w:val="0"/>
    <w:qFormat/>
    <w:rPr>
      <w:rFonts w:ascii="Arial" w:hAnsi="Arial" w:eastAsia="仿宋_GB2312" w:cs="Times New Roman"/>
      <w:color w:val="ffff00"/>
      <w:sz w:val="32"/>
      <w:szCs w:val="20"/>
    </w:rPr>
  </w:style>
  <w:style w:type="character" w:styleId="708" w:customStyle="1">
    <w:name w:val="Title Char_6f9859c7-e2e7-4fc0-9c1b-fce9cc378762"/>
    <w:basedOn w:val="646"/>
    <w:link w:val="672"/>
    <w:uiPriority w:val="0"/>
    <w:qFormat/>
    <w:rPr>
      <w:rFonts w:ascii="Times New Roman" w:hAnsi="Times New Roman" w:eastAsia="宋体" w:cs="Times New Roman"/>
      <w:sz w:val="48"/>
      <w:szCs w:val="48"/>
    </w:rPr>
  </w:style>
  <w:style w:type="character" w:styleId="709" w:customStyle="1">
    <w:name w:val="批注主题 Char"/>
    <w:basedOn w:val="698"/>
    <w:link w:val="673"/>
    <w:uiPriority w:val="0"/>
    <w:qFormat/>
    <w:rPr>
      <w:rFonts w:ascii="Times New Roman" w:hAnsi="Times New Roman" w:eastAsia="宋体" w:cs="Times New Roman"/>
      <w:b/>
      <w:bCs/>
      <w:sz w:val="24"/>
      <w:szCs w:val="24"/>
    </w:rPr>
  </w:style>
  <w:style w:type="paragraph" w:styleId="71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11" w:customStyle="1">
    <w:name w:val="WPS Plain"/>
    <w:uiPriority w:val="0"/>
    <w:qFormat/>
    <w:rPr>
      <w:rFonts w:hint="default" w:ascii="Times New Roman" w:hAnsi="Times New Roman" w:eastAsia="宋体" w:cs="Times New Roman"/>
      <w:lang w:val="en-US" w:eastAsia="zh-CN" w:bidi="ar-SA"/>
    </w:rPr>
  </w:style>
  <w:style w:type="paragraph" w:styleId="712">
    <w:name w:val="List Paragraph"/>
    <w:basedOn w:val="636"/>
    <w:uiPriority w:val="0"/>
    <w:qFormat/>
    <w:pPr>
      <w:ind w:firstLine="420"/>
      <w:jc w:val="both"/>
      <w:spacing w:after="0"/>
      <w:widowControl w:val="off"/>
    </w:pPr>
    <w:rPr>
      <w:rFonts w:ascii="Times New Roman" w:hAnsi="Times New Roman" w:eastAsia="Times New Roman" w:cs="Times New Roman"/>
      <w:sz w:val="24"/>
      <w:szCs w:val="24"/>
      <w:lang w:val="en-US" w:eastAsia="zh-CN" w:bidi="ar-SA"/>
    </w:rPr>
  </w:style>
  <w:style w:type="character" w:styleId="713" w:customStyle="1">
    <w:name w:val="Heading 1 Char_2c6a9e7d-8fb6-41f0-ab97-3c4b3a529362"/>
    <w:basedOn w:val="646"/>
    <w:uiPriority w:val="0"/>
    <w:qFormat/>
    <w:rPr>
      <w:rFonts w:ascii="Arial" w:hAnsi="Arial" w:eastAsia="Arial" w:cs="Arial"/>
      <w:sz w:val="40"/>
      <w:szCs w:val="40"/>
    </w:rPr>
  </w:style>
  <w:style w:type="character" w:styleId="714" w:customStyle="1">
    <w:name w:val="Heading 2 Char_b3c263ad-609e-4410-9c59-906d5cae4b57"/>
    <w:basedOn w:val="646"/>
    <w:uiPriority w:val="0"/>
    <w:qFormat/>
    <w:rPr>
      <w:rFonts w:ascii="Arial" w:hAnsi="Arial" w:eastAsia="Arial" w:cs="Arial"/>
      <w:sz w:val="34"/>
    </w:rPr>
  </w:style>
  <w:style w:type="paragraph" w:styleId="715">
    <w:name w:val="No Spacing"/>
    <w:uiPriority w:val="0"/>
    <w:qFormat/>
    <w:pPr>
      <w:spacing w:before="0" w:after="0" w:line="240" w:lineRule="auto"/>
    </w:pPr>
    <w:rPr>
      <w:rFonts w:hint="default" w:ascii="Times New Roman" w:hAnsi="Times New Roman" w:eastAsia="宋体" w:cs="Times New Roman"/>
    </w:rPr>
  </w:style>
  <w:style w:type="character" w:styleId="716" w:customStyle="1">
    <w:name w:val="Quote Char_cc0a6e4d-c12d-445f-8a70-4f5f6c17c00b"/>
    <w:link w:val="717"/>
    <w:uiPriority w:val="0"/>
    <w:qFormat/>
    <w:rPr>
      <w:rFonts w:ascii="Times New Roman" w:hAnsi="Times New Roman" w:eastAsia="宋体" w:cs="Times New Roman"/>
      <w:i/>
    </w:rPr>
  </w:style>
  <w:style w:type="paragraph" w:styleId="717">
    <w:name w:val="Quote"/>
    <w:basedOn w:val="636"/>
    <w:next w:val="636"/>
    <w:link w:val="716"/>
    <w:uiPriority w:val="0"/>
    <w:qFormat/>
    <w:pPr>
      <w:ind w:left="720" w:right="720"/>
    </w:pPr>
    <w:rPr>
      <w:rFonts w:ascii="Times New Roman" w:hAnsi="Times New Roman" w:eastAsia="宋体" w:cs="Times New Roman"/>
      <w:i/>
    </w:rPr>
  </w:style>
  <w:style w:type="character" w:styleId="718" w:customStyle="1">
    <w:name w:val="Intense Quote Char_e574a8f7-d888-4b7d-8c4c-51d5ba965287"/>
    <w:link w:val="719"/>
    <w:uiPriority w:val="0"/>
    <w:qFormat/>
    <w:rPr>
      <w:rFonts w:ascii="Times New Roman" w:hAnsi="Times New Roman" w:eastAsia="宋体" w:cs="Times New Roman"/>
      <w:i/>
    </w:rPr>
  </w:style>
  <w:style w:type="paragraph" w:styleId="719">
    <w:name w:val="Intense Quote"/>
    <w:basedOn w:val="636"/>
    <w:next w:val="636"/>
    <w:link w:val="71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720" w:customStyle="1">
    <w:name w:val="Header Char_0d925369-ca41-4946-bcdb-d109485ae1d5"/>
    <w:basedOn w:val="646"/>
    <w:uiPriority w:val="0"/>
    <w:qFormat/>
    <w:rPr>
      <w:rFonts w:ascii="Times New Roman" w:hAnsi="Times New Roman" w:eastAsia="宋体" w:cs="Times New Roman"/>
    </w:rPr>
  </w:style>
  <w:style w:type="character" w:styleId="721" w:customStyle="1">
    <w:name w:val="Footer Char_6c612275-b2b1-46fc-b9b6-149cfbd3ef6d"/>
    <w:basedOn w:val="646"/>
    <w:uiPriority w:val="0"/>
    <w:qFormat/>
    <w:rPr>
      <w:rFonts w:ascii="Times New Roman" w:hAnsi="Times New Roman" w:eastAsia="宋体" w:cs="Times New Roman"/>
    </w:rPr>
  </w:style>
  <w:style w:type="character" w:styleId="722" w:customStyle="1">
    <w:name w:val="Caption Char"/>
    <w:uiPriority w:val="0"/>
    <w:qFormat/>
    <w:rPr>
      <w:rFonts w:ascii="Times New Roman" w:hAnsi="Times New Roman" w:eastAsia="宋体" w:cs="Times New Roman"/>
    </w:rPr>
  </w:style>
  <w:style w:type="table" w:styleId="723" w:customStyle="1">
    <w:name w:val="Table Grid Light"/>
    <w:basedOn w:val="647"/>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4" w:customStyle="1">
    <w:name w:val="Plain Table 1"/>
    <w:basedOn w:val="647"/>
    <w:uiPriority w:val="0"/>
    <w:qFormat/>
    <w:pPr>
      <w:spacing w:after="0" w:line="240" w:lineRule="auto"/>
    </w:pPr>
    <w:rPr>
      <w:rFonts w:ascii="Times New Roman" w:hAnsi="Times New Roman"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style>
  <w:style w:type="table" w:styleId="725" w:customStyle="1">
    <w:name w:val="Plain Table 2"/>
    <w:basedOn w:val="647"/>
    <w:uiPriority w:val="0"/>
    <w:qFormat/>
    <w:pPr>
      <w:spacing w:after="0" w:line="240" w:lineRule="auto"/>
    </w:pPr>
    <w:rPr>
      <w:rFonts w:ascii="Times New Roman" w:hAnsi="Times New Roman"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style>
  <w:style w:type="table" w:styleId="726" w:customStyle="1">
    <w:name w:val="Plain Table 3"/>
    <w:basedOn w:val="647"/>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style>
  <w:style w:type="table" w:styleId="727" w:customStyle="1">
    <w:name w:val="Plain Table 4"/>
    <w:basedOn w:val="647"/>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style>
  <w:style w:type="table" w:styleId="728" w:customStyle="1">
    <w:name w:val="Plain Table 5"/>
    <w:basedOn w:val="647"/>
    <w:uiPriority w:val="0"/>
    <w:qFormat/>
    <w:pPr>
      <w:spacing w:after="0" w:line="240" w:lineRule="auto"/>
    </w:pPr>
    <w:rPr>
      <w:rFonts w:ascii="Times New Roman" w:hAnsi="Times New Roman" w:eastAsia="宋体" w:cs="Times New Roman"/>
    </w:rPr>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9" w:customStyle="1">
    <w:name w:val="Grid Table 1 Light"/>
    <w:basedOn w:val="647"/>
    <w:uiPriority w:val="0"/>
    <w:qFormat/>
    <w:pPr>
      <w:spacing w:after="0" w:line="240" w:lineRule="auto"/>
    </w:pPr>
    <w:rPr>
      <w:rFonts w:ascii="Times New Roman" w:hAnsi="Times New Roman"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Row">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style>
  <w:style w:type="table" w:styleId="730" w:customStyle="1">
    <w:name w:val="Grid Table 1 Light - Accent 1"/>
    <w:basedOn w:val="647"/>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9FC4E6" w:sz="12" w:space="0"/>
          <w:bottom w:val="none" w:color="000000" w:sz="4" w:space="0"/>
          <w:right w:val="none" w:color="000000" w:sz="4" w:space="0"/>
          <w:insideH w:val="none" w:color="000000" w:sz="4" w:space="0"/>
          <w:insideV w:val="none" w:color="000000" w:sz="4" w:space="0"/>
        </w:tcBorders>
      </w:tcPr>
    </w:tblStylePr>
  </w:style>
  <w:style w:type="table" w:styleId="731" w:customStyle="1">
    <w:name w:val="Grid Table 1 Light - Accent 2"/>
    <w:basedOn w:val="647"/>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386" w:sz="12" w:space="0"/>
          <w:bottom w:val="none" w:color="000000" w:sz="4" w:space="0"/>
          <w:right w:val="none" w:color="000000" w:sz="4" w:space="0"/>
          <w:insideH w:val="none" w:color="000000" w:sz="4" w:space="0"/>
          <w:insideV w:val="none" w:color="000000" w:sz="4" w:space="0"/>
        </w:tcBorders>
      </w:tcPr>
    </w:tblStylePr>
  </w:style>
  <w:style w:type="table" w:styleId="732" w:customStyle="1">
    <w:name w:val="Grid Table 1 Light - Accent 3"/>
    <w:basedOn w:val="647"/>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ACACA" w:sz="12" w:space="0"/>
          <w:bottom w:val="none" w:color="000000" w:sz="4" w:space="0"/>
          <w:right w:val="none" w:color="000000" w:sz="4" w:space="0"/>
          <w:insideH w:val="none" w:color="000000" w:sz="4" w:space="0"/>
          <w:insideV w:val="none" w:color="000000" w:sz="4" w:space="0"/>
        </w:tcBorders>
      </w:tcPr>
    </w:tblStylePr>
  </w:style>
  <w:style w:type="table" w:styleId="733" w:customStyle="1">
    <w:name w:val="Grid Table 1 Light - Accent 4"/>
    <w:basedOn w:val="647"/>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A69" w:sz="12" w:space="0"/>
          <w:bottom w:val="none" w:color="000000" w:sz="4" w:space="0"/>
          <w:right w:val="none" w:color="000000" w:sz="4" w:space="0"/>
          <w:insideH w:val="none" w:color="000000" w:sz="4" w:space="0"/>
          <w:insideV w:val="none" w:color="000000" w:sz="4" w:space="0"/>
        </w:tcBorders>
      </w:tcPr>
    </w:tblStylePr>
  </w:style>
  <w:style w:type="table" w:styleId="734" w:customStyle="1">
    <w:name w:val="Grid Table 1 Light - Accent 5"/>
    <w:basedOn w:val="647"/>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91ACDC" w:sz="12" w:space="0"/>
          <w:bottom w:val="none" w:color="000000" w:sz="4" w:space="0"/>
          <w:right w:val="none" w:color="000000" w:sz="4" w:space="0"/>
          <w:insideH w:val="none" w:color="000000" w:sz="4" w:space="0"/>
          <w:insideV w:val="none" w:color="000000" w:sz="4" w:space="0"/>
        </w:tcBorders>
      </w:tcPr>
    </w:tblStylePr>
  </w:style>
  <w:style w:type="table" w:styleId="735" w:customStyle="1">
    <w:name w:val="Grid Table 1 Light - Accent 6"/>
    <w:basedOn w:val="647"/>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AD190" w:sz="12"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2"/>
    <w:basedOn w:val="647"/>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Row">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1"/>
    <w:basedOn w:val="647"/>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Row">
      <w:tcPr>
        <w:shd w:val="clear" w:color="ffffff" w:fill="auto"/>
        <w:tcBorders>
          <w:top w:val="none" w:color="000000" w:sz="4" w:space="0"/>
          <w:left w:val="single" w:color="68A3D8"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2"/>
    <w:basedOn w:val="647"/>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shd w:val="clear" w:color="ffffff" w:fill="auto"/>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3"/>
    <w:basedOn w:val="647"/>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shd w:val="clear" w:color="ffffff" w:fill="auto"/>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4"/>
    <w:basedOn w:val="647"/>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shd w:val="clear" w:color="ffffff" w:fill="auto"/>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2 - Accent 5"/>
    <w:basedOn w:val="647"/>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shd w:val="clear" w:color="ffffff" w:fill="auto"/>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2 - Accent 6"/>
    <w:basedOn w:val="647"/>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shd w:val="clear" w:color="ffffff" w:fill="auto"/>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w:basedOn w:val="647"/>
    <w:uiPriority w:val="0"/>
    <w:qFormat/>
    <w:pPr>
      <w:spacing w:after="0" w:line="240" w:lineRule="auto"/>
    </w:pPr>
    <w:rPr>
      <w:rFonts w:ascii="Times New Roman" w:hAnsi="Times New Roman" w:eastAsia="宋体" w:cs="Times New Roman"/>
    </w:rPr>
    <w:tblPr>
      <w:tblBorders>
        <w:bottom w:val="single" w:color="696969" w:sz="4" w:space="0"/>
        <w:insideH w:val="single" w:color="696969" w:sz="4" w:space="0"/>
        <w:insideV w:val="single" w:color="696969" w:sz="4" w:space="0"/>
      </w:tblBorders>
    </w:tblPr>
    <w:tblStylePr w:type="band1Horz">
      <w:tcPr>
        <w:shd w:val="clear" w:color="cacaca" w:fill="cacaca"/>
      </w:tcPr>
    </w:tblStylePr>
    <w:tblStylePr w:type="band1Vert">
      <w:tcPr>
        <w:shd w:val="clear" w:color="cacaca" w:fill="caca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1"/>
    <w:basedOn w:val="647"/>
    <w:uiPriority w:val="0"/>
    <w:qFormat/>
    <w:pPr>
      <w:spacing w:after="0" w:line="240" w:lineRule="auto"/>
    </w:pPr>
    <w:rPr>
      <w:rFonts w:ascii="Times New Roman" w:hAnsi="Times New Roman" w:eastAsia="宋体" w:cs="Times New Roman"/>
    </w:rPr>
    <w:tblPr>
      <w:tblBorders>
        <w:bottom w:val="single" w:color="68A3D8" w:sz="4" w:space="0"/>
        <w:insideH w:val="single" w:color="68A3D8" w:sz="4" w:space="0"/>
        <w:insideV w:val="single" w:color="68A3D8"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2"/>
    <w:basedOn w:val="647"/>
    <w:uiPriority w:val="0"/>
    <w:qFormat/>
    <w:pPr>
      <w:spacing w:after="0" w:line="240" w:lineRule="auto"/>
    </w:pPr>
    <w:rPr>
      <w:rFonts w:ascii="Times New Roman" w:hAnsi="Times New Roman" w:eastAsia="宋体" w:cs="Times New Roman"/>
    </w:rPr>
    <w:tblPr>
      <w:tblBorders>
        <w:bottom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3"/>
    <w:basedOn w:val="647"/>
    <w:uiPriority w:val="0"/>
    <w:qFormat/>
    <w:pPr>
      <w:spacing w:after="0" w:line="240" w:lineRule="auto"/>
    </w:pPr>
    <w:rPr>
      <w:rFonts w:ascii="Times New Roman" w:hAnsi="Times New Roman" w:eastAsia="宋体" w:cs="Times New Roman"/>
    </w:rPr>
    <w:tblPr>
      <w:tblBorders>
        <w:bottom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4"/>
    <w:basedOn w:val="647"/>
    <w:uiPriority w:val="0"/>
    <w:qFormat/>
    <w:pPr>
      <w:spacing w:after="0" w:line="240" w:lineRule="auto"/>
    </w:pPr>
    <w:rPr>
      <w:rFonts w:ascii="Times New Roman" w:hAnsi="Times New Roman" w:eastAsia="宋体" w:cs="Times New Roman"/>
    </w:rPr>
    <w:tblPr>
      <w:tblBorders>
        <w:bottom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3 - Accent 5"/>
    <w:basedOn w:val="647"/>
    <w:uiPriority w:val="0"/>
    <w:qFormat/>
    <w:pPr>
      <w:spacing w:after="0" w:line="240" w:lineRule="auto"/>
    </w:pPr>
    <w:rPr>
      <w:rFonts w:ascii="Times New Roman" w:hAnsi="Times New Roman" w:eastAsia="宋体" w:cs="Times New Roman"/>
    </w:rPr>
    <w:tblPr>
      <w:tblBorders>
        <w:bottom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3 - Accent 6"/>
    <w:basedOn w:val="647"/>
    <w:uiPriority w:val="0"/>
    <w:qFormat/>
    <w:pPr>
      <w:spacing w:after="0" w:line="240" w:lineRule="auto"/>
    </w:pPr>
    <w:rPr>
      <w:rFonts w:ascii="Times New Roman" w:hAnsi="Times New Roman" w:eastAsia="宋体" w:cs="Times New Roman"/>
    </w:rPr>
    <w:tblPr>
      <w:tblBorders>
        <w:bottom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w:basedOn w:val="647"/>
    <w:uiPriority w:val="0"/>
    <w:qFormat/>
    <w:pPr>
      <w:spacing w:after="0" w:line="240" w:lineRule="auto"/>
    </w:pPr>
    <w:rPr>
      <w:rFonts w:ascii="Times New Roman" w:hAnsi="Times New Roman"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tcPr>
        <w:shd w:val="clear" w:color="cacaca" w:fill="cacaca"/>
      </w:tcPr>
    </w:tblStylePr>
    <w:tblStylePr w:type="band1Vert">
      <w:tcPr>
        <w:shd w:val="clear" w:color="cacaca" w:fill="cacaca"/>
      </w:tcPr>
    </w:tblStylePr>
    <w:tblStylePr w:type="firstRow">
      <w:tcPr>
        <w:shd w:val="clear" w:color="000000" w:fill="000000"/>
        <w:tcBorders>
          <w:top w:val="single" w:color="auto" w:sz="4" w:space="0"/>
          <w:left w:val="single" w:color="auto" w:sz="4" w:space="0"/>
          <w:bottom w:val="single" w:color="auto" w:sz="4" w:space="0"/>
          <w:right w:val="single" w:color="auto"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1"/>
    <w:basedOn w:val="647"/>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tcPr>
        <w:shd w:val="clear" w:color="deebf6" w:fill="deebf6"/>
      </w:tcPr>
    </w:tblStylePr>
    <w:tblStylePr w:type="band1Vert">
      <w:tcPr>
        <w:shd w:val="clear" w:color="deebf6" w:fill="deebf6"/>
      </w:tcPr>
    </w:tblStylePr>
    <w:tblStylePr w:type="firstRow">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Row">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2"/>
    <w:basedOn w:val="647"/>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tcPr>
        <w:shd w:val="clear" w:color="fbe5d6" w:fill="fbe5d6"/>
      </w:tcPr>
    </w:tblStylePr>
    <w:tblStylePr w:type="band1Vert">
      <w:tcPr>
        <w:shd w:val="clear" w:color="fbe5d6" w:fill="fbe5d6"/>
      </w:tcPr>
    </w:tblStylePr>
    <w:tblStylePr w:type="firstRow">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3"/>
    <w:basedOn w:val="647"/>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tcPr>
        <w:shd w:val="clear" w:color="ececec" w:fill="ececec"/>
      </w:tcPr>
    </w:tblStylePr>
    <w:tblStylePr w:type="band1Vert">
      <w:tcPr>
        <w:shd w:val="clear" w:color="ececec" w:fill="ececec"/>
      </w:tcPr>
    </w:tblStylePr>
    <w:tblStylePr w:type="firstRow">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4"/>
    <w:basedOn w:val="647"/>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tcPr>
        <w:shd w:val="clear" w:color="fef2ca" w:fill="fef2ca"/>
      </w:tcPr>
    </w:tblStylePr>
    <w:tblStylePr w:type="band1Vert">
      <w:tcPr>
        <w:shd w:val="clear" w:color="fef2ca" w:fill="fef2ca"/>
      </w:tcPr>
    </w:tblStylePr>
    <w:tblStylePr w:type="firstRow">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4 - Accent 5"/>
    <w:basedOn w:val="647"/>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Row">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4 - Accent 6"/>
    <w:basedOn w:val="647"/>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Row">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tcPr>
        <w:shd w:val="clear" w:color="000000" w:fill="000000"/>
      </w:tcPr>
    </w:tblStylePr>
    <w:tblStylePr w:type="firstRow">
      <w:tcPr>
        <w:shd w:val="clear" w:color="000000" w:fill="000000"/>
      </w:tcPr>
    </w:tblStylePr>
    <w:tblStylePr w:type="lastCol">
      <w:tcPr>
        <w:shd w:val="clear" w:color="000000" w:fill="000000"/>
      </w:tcPr>
    </w:tblStylePr>
    <w:tblStylePr w:type="lastRow">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Accent 1"/>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tcPr>
        <w:shd w:val="clear" w:color="5b9bd5" w:fill="5b9bd5"/>
      </w:tcPr>
    </w:tblStylePr>
    <w:tblStylePr w:type="firstRow">
      <w:tcPr>
        <w:shd w:val="clear" w:color="5b9bd5" w:fill="5b9bd5"/>
      </w:tcPr>
    </w:tblStylePr>
    <w:tblStylePr w:type="lastCol">
      <w:tcPr>
        <w:shd w:val="clear" w:color="5b9bd5" w:fill="5b9bd5"/>
      </w:tcPr>
    </w:tblStylePr>
    <w:tblStylePr w:type="lastRow">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 Accent 2"/>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tcPr>
        <w:shd w:val="clear" w:color="ed7d31" w:fill="ed7d31"/>
      </w:tcPr>
    </w:tblStylePr>
    <w:tblStylePr w:type="firstRow">
      <w:tcPr>
        <w:shd w:val="clear" w:color="ed7d31" w:fill="ed7d31"/>
      </w:tcPr>
    </w:tblStylePr>
    <w:tblStylePr w:type="lastCol">
      <w:tcPr>
        <w:shd w:val="clear" w:color="ed7d31" w:fill="ed7d31"/>
      </w:tcPr>
    </w:tblStylePr>
    <w:tblStylePr w:type="lastRow">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 Accent 3"/>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Accent 4"/>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tcPr>
        <w:shd w:val="clear" w:color="ffc000" w:fill="ffc000"/>
      </w:tcPr>
    </w:tblStylePr>
    <w:tblStylePr w:type="firstRow">
      <w:tcPr>
        <w:shd w:val="clear" w:color="ffc000" w:fill="ffc000"/>
      </w:tcPr>
    </w:tblStylePr>
    <w:tblStylePr w:type="lastCol">
      <w:tcPr>
        <w:shd w:val="clear" w:color="ffc000" w:fill="ffc000"/>
      </w:tcPr>
    </w:tblStylePr>
    <w:tblStylePr w:type="lastRow">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5 Dark - Accent 5"/>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Grid Table 5 Dark - Accent 6"/>
    <w:basedOn w:val="647"/>
    <w:uiPriority w:val="0"/>
    <w:qFormat/>
    <w:pPr>
      <w:spacing w:after="0" w:line="240" w:lineRule="auto"/>
    </w:pPr>
    <w:rPr>
      <w:rFonts w:ascii="Times New Roman" w:hAnsi="Times New Roman"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6 Colorful"/>
    <w:basedOn w:val="647"/>
    <w:uiPriority w:val="0"/>
    <w:qFormat/>
    <w:pPr>
      <w:spacing w:after="0" w:line="240" w:lineRule="auto"/>
    </w:pPr>
    <w:rPr>
      <w:rFonts w:ascii="Times New Roman" w:hAnsi="Times New Roman"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tcPr>
        <w:shd w:val="clear" w:color="cacaca" w:fill="cacaca"/>
      </w:tcPr>
    </w:tblStylePr>
    <w:tblStylePr w:type="band1Vert">
      <w:tcPr>
        <w:shd w:val="clear" w:color="cacaca" w:fill="cacaca"/>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style>
  <w:style w:type="table" w:styleId="765" w:customStyle="1">
    <w:name w:val="Grid Table 6 Colorful - Accent 1"/>
    <w:basedOn w:val="647"/>
    <w:uiPriority w:val="0"/>
    <w:qFormat/>
    <w:pPr>
      <w:spacing w:after="0" w:line="240" w:lineRule="auto"/>
    </w:pPr>
    <w:rPr>
      <w:rFonts w:ascii="Times New Roman" w:hAnsi="Times New Roman" w:eastAsia="宋体" w:cs="Times New Roman"/>
    </w:rPr>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Row">
      <w:tcPr>
        <w:tcBorders>
          <w:top w:val="none" w:color="000000" w:sz="4" w:space="0"/>
          <w:left w:val="single" w:color="ACCCE9" w:sz="12" w:space="0"/>
          <w:bottom w:val="none" w:color="000000" w:sz="4" w:space="0"/>
          <w:right w:val="none" w:color="000000" w:sz="4" w:space="0"/>
          <w:insideH w:val="none" w:color="000000" w:sz="4" w:space="0"/>
          <w:insideV w:val="none" w:color="000000" w:sz="4" w:space="0"/>
        </w:tcBorders>
      </w:tcPr>
    </w:tblStylePr>
  </w:style>
  <w:style w:type="table" w:styleId="766" w:customStyle="1">
    <w:name w:val="Grid Table 6 Colorful - Accent 2"/>
    <w:basedOn w:val="647"/>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style>
  <w:style w:type="table" w:styleId="767" w:customStyle="1">
    <w:name w:val="Grid Table 6 Colorful - Accent 3"/>
    <w:basedOn w:val="647"/>
    <w:uiPriority w:val="0"/>
    <w:qFormat/>
    <w:pPr>
      <w:spacing w:after="0" w:line="240" w:lineRule="auto"/>
    </w:pPr>
    <w:rPr>
      <w:rFonts w:ascii="Times New Roman" w:hAnsi="Times New Roman" w:eastAsia="宋体" w:cs="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Row">
      <w:tcPr>
        <w:tcBorders>
          <w:top w:val="none" w:color="000000" w:sz="4" w:space="0"/>
          <w:left w:val="single" w:color="A5A5A5" w:sz="12" w:space="0"/>
          <w:bottom w:val="none" w:color="000000" w:sz="4" w:space="0"/>
          <w:right w:val="none" w:color="000000" w:sz="4" w:space="0"/>
          <w:insideH w:val="none" w:color="000000" w:sz="4" w:space="0"/>
          <w:insideV w:val="none" w:color="000000" w:sz="4" w:space="0"/>
        </w:tcBorders>
      </w:tcPr>
    </w:tblStylePr>
  </w:style>
  <w:style w:type="table" w:styleId="768" w:customStyle="1">
    <w:name w:val="Grid Table 6 Colorful - Accent 4"/>
    <w:basedOn w:val="647"/>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style>
  <w:style w:type="table" w:styleId="769" w:customStyle="1">
    <w:name w:val="Grid Table 6 Colorful - Accent 5"/>
    <w:basedOn w:val="647"/>
    <w:uiPriority w:val="0"/>
    <w:qFormat/>
    <w:pPr>
      <w:spacing w:after="0" w:line="240" w:lineRule="auto"/>
    </w:pPr>
    <w:rPr>
      <w:rFonts w:ascii="Times New Roman" w:hAnsi="Times New Roman" w:eastAsia="宋体" w:cs="Times New Roman"/>
    </w:rPr>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tcPr>
        <w:shd w:val="clear" w:color="d8e2f2" w:fill="d8e2f2"/>
      </w:tcPr>
    </w:tblStylePr>
    <w:tblStylePr w:type="band1Vert">
      <w:tcPr>
        <w:shd w:val="clear" w:color="d8e2f2" w:fill="d8e2f2"/>
      </w:tcPr>
    </w:tblStylePr>
    <w:tblStylePr w:type="firstRow">
      <w:tcPr>
        <w:tcBorders>
          <w:top w:val="none" w:color="000000" w:sz="4" w:space="0"/>
          <w:left w:val="single" w:color="4472C4" w:sz="12"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6 Colorful - Accent 6"/>
    <w:basedOn w:val="647"/>
    <w:uiPriority w:val="0"/>
    <w:qFormat/>
    <w:pPr>
      <w:spacing w:after="0" w:line="240" w:lineRule="auto"/>
    </w:pPr>
    <w:rPr>
      <w:rFonts w:ascii="Times New Roman" w:hAnsi="Times New Roman" w:eastAsia="宋体" w:cs="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tcPr>
        <w:shd w:val="clear" w:color="e1efd8" w:fill="e1efd8"/>
      </w:tcPr>
    </w:tblStylePr>
    <w:tblStylePr w:type="band1Vert">
      <w:tcPr>
        <w:shd w:val="clear" w:color="e1efd8" w:fill="e1efd8"/>
      </w:tcPr>
    </w:tblStylePr>
    <w:tblStylePr w:type="firstRow">
      <w:tcPr>
        <w:tcBorders>
          <w:top w:val="none" w:color="000000" w:sz="4" w:space="0"/>
          <w:left w:val="single" w:color="70AD47" w:sz="12"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7 Colorful"/>
    <w:basedOn w:val="647"/>
    <w:uiPriority w:val="0"/>
    <w:qFormat/>
    <w:pPr>
      <w:spacing w:after="0" w:line="240" w:lineRule="auto"/>
    </w:pPr>
    <w:rPr>
      <w:rFonts w:ascii="Times New Roman" w:hAnsi="Times New Roman" w:eastAsia="宋体" w:cs="Times New Roman"/>
    </w:rPr>
    <w:tblPr>
      <w:tblBorders>
        <w:bottom w:val="single" w:color="7E7E7E" w:sz="4" w:space="0"/>
        <w:right w:val="single" w:color="7E7E7E" w:sz="4" w:space="0"/>
        <w:insideH w:val="single" w:color="7E7E7E" w:sz="4" w:space="0"/>
        <w:insideV w:val="single" w:color="7E7E7E" w:sz="4" w:space="0"/>
      </w:tblBorders>
    </w:tblPr>
    <w:tblStylePr w:type="band1Horz">
      <w:tcPr>
        <w:shd w:val="clear" w:color="f1f1f1" w:fill="f1f1f1"/>
      </w:tcPr>
    </w:tblStylePr>
    <w:tblStylePr w:type="band1Vert">
      <w:tcPr>
        <w:shd w:val="clear" w:color="f1f1f1" w:fill="f1f1f1"/>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1"/>
    <w:basedOn w:val="647"/>
    <w:uiPriority w:val="0"/>
    <w:qFormat/>
    <w:pPr>
      <w:spacing w:after="0" w:line="240" w:lineRule="auto"/>
    </w:pPr>
    <w:rPr>
      <w:rFonts w:ascii="Times New Roman" w:hAnsi="Times New Roman" w:eastAsia="宋体" w:cs="Times New Roman"/>
    </w:rPr>
    <w:tblPr>
      <w:tblBorders>
        <w:bottom w:val="single" w:color="ACCCE9" w:sz="4" w:space="0"/>
        <w:right w:val="single" w:color="ACCCE9" w:sz="4" w:space="0"/>
        <w:insideH w:val="single" w:color="ACCCE9" w:sz="4" w:space="0"/>
        <w:insideV w:val="single" w:color="ACCCE9" w:sz="4" w:space="0"/>
      </w:tblBorders>
    </w:tblPr>
    <w:tblStylePr w:type="band1Horz">
      <w:tcPr>
        <w:shd w:val="clear" w:color="ddeaf6" w:fill="ddeaf6"/>
      </w:tcPr>
    </w:tblStylePr>
    <w:tblStylePr w:type="band1Vert">
      <w:tcPr>
        <w:shd w:val="clear" w:color="ddeaf6" w:fill="ddeaf6"/>
      </w:tcPr>
    </w:tblStylePr>
    <w:tblStylePr w:type="firstCol">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tcPr>
        <w:shd w:val="clear" w:color="ffffff" w:fill="ffffff"/>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Row">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2"/>
    <w:basedOn w:val="647"/>
    <w:uiPriority w:val="0"/>
    <w:qFormat/>
    <w:pPr>
      <w:spacing w:after="0" w:line="240" w:lineRule="auto"/>
    </w:pPr>
    <w:rPr>
      <w:rFonts w:ascii="Times New Roman" w:hAnsi="Times New Roman" w:eastAsia="宋体" w:cs="Times New Roman"/>
    </w:rPr>
    <w:tblPr>
      <w:tblBorders>
        <w:bottom w:val="single" w:color="F4B285" w:sz="4" w:space="0"/>
        <w:right w:val="single" w:color="F4B285" w:sz="4" w:space="0"/>
        <w:insideH w:val="single" w:color="F4B285" w:sz="4" w:space="0"/>
        <w:insideV w:val="single" w:color="F4B285" w:sz="4" w:space="0"/>
      </w:tblBorders>
    </w:tblPr>
    <w:tblStylePr w:type="band1Horz">
      <w:tcPr>
        <w:shd w:val="clear" w:color="fbe5d6" w:fill="fbe5d6"/>
      </w:tcPr>
    </w:tblStylePr>
    <w:tblStylePr w:type="band1Vert">
      <w:tcPr>
        <w:shd w:val="clear" w:color="fbe5d6" w:fill="fbe5d6"/>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3"/>
    <w:basedOn w:val="647"/>
    <w:uiPriority w:val="0"/>
    <w:qFormat/>
    <w:pPr>
      <w:spacing w:after="0" w:line="240" w:lineRule="auto"/>
    </w:pPr>
    <w:rPr>
      <w:rFonts w:ascii="Times New Roman" w:hAnsi="Times New Roman" w:eastAsia="宋体" w:cs="Times New Roman"/>
    </w:rPr>
    <w:tblPr>
      <w:tblBorders>
        <w:bottom w:val="single" w:color="A5A5A5" w:sz="4" w:space="0"/>
        <w:right w:val="single" w:color="A5A5A5" w:sz="4" w:space="0"/>
        <w:insideH w:val="single" w:color="A5A5A5" w:sz="4" w:space="0"/>
        <w:insideV w:val="single" w:color="A5A5A5" w:sz="4" w:space="0"/>
      </w:tblBorders>
    </w:tblPr>
    <w:tblStylePr w:type="band1Horz">
      <w:tcPr>
        <w:shd w:val="clear" w:color="ececec" w:fill="ececec"/>
      </w:tcPr>
    </w:tblStylePr>
    <w:tblStylePr w:type="band1Vert">
      <w:tcPr>
        <w:shd w:val="clear" w:color="ececec" w:fill="ececec"/>
      </w:tcPr>
    </w:tblStylePr>
    <w:tblStylePr w:type="firstCol">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tcPr>
        <w:shd w:val="clear" w:color="ffffff" w:fill="ffffff"/>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Row">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4"/>
    <w:basedOn w:val="647"/>
    <w:uiPriority w:val="0"/>
    <w:qFormat/>
    <w:pPr>
      <w:spacing w:after="0" w:line="240" w:lineRule="auto"/>
    </w:pPr>
    <w:rPr>
      <w:rFonts w:ascii="Times New Roman" w:hAnsi="Times New Roman" w:eastAsia="宋体" w:cs="Times New Roman"/>
    </w:rPr>
    <w:tblPr>
      <w:tblBorders>
        <w:bottom w:val="single" w:color="FFD864" w:sz="4" w:space="0"/>
        <w:right w:val="single" w:color="FFD864" w:sz="4" w:space="0"/>
        <w:insideH w:val="single" w:color="FFD864" w:sz="4" w:space="0"/>
        <w:insideV w:val="single" w:color="FFD864" w:sz="4" w:space="0"/>
      </w:tblBorders>
    </w:tblPr>
    <w:tblStylePr w:type="band1Horz">
      <w:tcPr>
        <w:shd w:val="clear" w:color="fef2ca" w:fill="fef2ca"/>
      </w:tcPr>
    </w:tblStylePr>
    <w:tblStylePr w:type="band1Vert">
      <w:tcPr>
        <w:shd w:val="clear" w:color="fef2ca" w:fill="fef2ca"/>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7 Colorful - Accent 5"/>
    <w:basedOn w:val="647"/>
    <w:uiPriority w:val="0"/>
    <w:qFormat/>
    <w:pPr>
      <w:spacing w:after="0" w:line="240" w:lineRule="auto"/>
    </w:pPr>
    <w:rPr>
      <w:rFonts w:ascii="Times New Roman" w:hAnsi="Times New Roman" w:eastAsia="宋体" w:cs="Times New Roman"/>
    </w:rPr>
    <w:tblPr>
      <w:tblBorders>
        <w:bottom w:val="single" w:color="95AFDD" w:sz="4" w:space="0"/>
        <w:right w:val="single" w:color="95AFDD" w:sz="4" w:space="0"/>
        <w:insideH w:val="single" w:color="95AFDD" w:sz="4" w:space="0"/>
        <w:insideV w:val="single" w:color="95AFDD" w:sz="4" w:space="0"/>
      </w:tblBorders>
    </w:tblPr>
    <w:tblStylePr w:type="band1Horz">
      <w:tcPr>
        <w:shd w:val="clear" w:color="d8e2f2" w:fill="d8e2f2"/>
      </w:tcPr>
    </w:tblStylePr>
    <w:tblStylePr w:type="band1Vert">
      <w:tcPr>
        <w:shd w:val="clear" w:color="d8e2f2" w:fill="d8e2f2"/>
      </w:tcPr>
    </w:tblStylePr>
    <w:tblStylePr w:type="firstCol">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tcPr>
        <w:shd w:val="clear" w:color="ffffff" w:fill="ffffff"/>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Row">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7 Colorful - Accent 6"/>
    <w:basedOn w:val="647"/>
    <w:uiPriority w:val="0"/>
    <w:qFormat/>
    <w:pPr>
      <w:spacing w:after="0" w:line="240" w:lineRule="auto"/>
    </w:pPr>
    <w:rPr>
      <w:rFonts w:ascii="Times New Roman" w:hAnsi="Times New Roman" w:eastAsia="宋体" w:cs="Times New Roman"/>
    </w:rPr>
    <w:tblPr>
      <w:tblBorders>
        <w:bottom w:val="single" w:color="ADD394" w:sz="4" w:space="0"/>
        <w:right w:val="single" w:color="ADD394" w:sz="4" w:space="0"/>
        <w:insideH w:val="single" w:color="ADD394" w:sz="4" w:space="0"/>
        <w:insideV w:val="single" w:color="ADD394" w:sz="4" w:space="0"/>
      </w:tblBorders>
    </w:tblPr>
    <w:tblStylePr w:type="band1Horz">
      <w:tcPr>
        <w:shd w:val="clear" w:color="e1efd8" w:fill="e1efd8"/>
      </w:tcPr>
    </w:tblStylePr>
    <w:tblStylePr w:type="band1Vert">
      <w:tcPr>
        <w:shd w:val="clear" w:color="e1efd8" w:fill="e1efd8"/>
      </w:tcPr>
    </w:tblStylePr>
    <w:tblStylePr w:type="firstCol">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tcPr>
        <w:shd w:val="clear" w:color="ffffff" w:fill="ffffff"/>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Row">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w:basedOn w:val="647"/>
    <w:uiPriority w:val="0"/>
    <w:qFormat/>
    <w:pPr>
      <w:spacing w:after="0" w:line="240" w:lineRule="auto"/>
    </w:pPr>
    <w:rPr>
      <w:rFonts w:ascii="Times New Roman" w:hAnsi="Times New Roman" w:eastAsia="宋体" w:cs="Times New Roman"/>
    </w:rPr>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1"/>
    <w:basedOn w:val="647"/>
    <w:uiPriority w:val="0"/>
    <w:qFormat/>
    <w:pPr>
      <w:spacing w:after="0" w:line="240" w:lineRule="auto"/>
    </w:pPr>
    <w:rPr>
      <w:rFonts w:ascii="Times New Roman" w:hAnsi="Times New Roman" w:eastAsia="宋体" w:cs="Times New Roman"/>
    </w:rPr>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2"/>
    <w:basedOn w:val="647"/>
    <w:uiPriority w:val="0"/>
    <w:qFormat/>
    <w:pPr>
      <w:spacing w:after="0" w:line="240" w:lineRule="auto"/>
    </w:pPr>
    <w:rPr>
      <w:rFonts w:ascii="Times New Roman" w:hAnsi="Times New Roman" w:eastAsia="宋体" w:cs="Times New Roman"/>
    </w:rPr>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ED7D31"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3"/>
    <w:basedOn w:val="647"/>
    <w:uiPriority w:val="0"/>
    <w:qFormat/>
    <w:pPr>
      <w:spacing w:after="0" w:line="240" w:lineRule="auto"/>
    </w:pPr>
    <w:rPr>
      <w:rFonts w:ascii="Times New Roman" w:hAnsi="Times New Roman" w:eastAsia="宋体" w:cs="Times New Roman"/>
    </w:rPr>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4"/>
    <w:basedOn w:val="647"/>
    <w:uiPriority w:val="0"/>
    <w:qFormat/>
    <w:pPr>
      <w:spacing w:after="0" w:line="240" w:lineRule="auto"/>
    </w:pPr>
    <w:rPr>
      <w:rFonts w:ascii="Times New Roman" w:hAnsi="Times New Roman" w:eastAsia="宋体" w:cs="Times New Roman"/>
    </w:rPr>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C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1 Light - Accent 5"/>
    <w:basedOn w:val="647"/>
    <w:uiPriority w:val="0"/>
    <w:qFormat/>
    <w:pPr>
      <w:spacing w:after="0" w:line="240" w:lineRule="auto"/>
    </w:pPr>
    <w:rPr>
      <w:rFonts w:ascii="Times New Roman" w:hAnsi="Times New Roman" w:eastAsia="宋体" w:cs="Times New Roman"/>
    </w:rPr>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4472C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1 Light - Accent 6"/>
    <w:basedOn w:val="647"/>
    <w:uiPriority w:val="0"/>
    <w:qFormat/>
    <w:pPr>
      <w:spacing w:after="0" w:line="240" w:lineRule="auto"/>
    </w:pPr>
    <w:rPr>
      <w:rFonts w:ascii="Times New Roman" w:hAnsi="Times New Roman" w:eastAsia="宋体" w:cs="Times New Roman"/>
    </w:rPr>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70AD4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w:basedOn w:val="647"/>
    <w:uiPriority w:val="0"/>
    <w:qFormat/>
    <w:pPr>
      <w:spacing w:after="0" w:line="240" w:lineRule="auto"/>
    </w:pPr>
    <w:rPr>
      <w:rFonts w:ascii="Times New Roman" w:hAnsi="Times New Roman" w:eastAsia="宋体" w:cs="Times New Roman"/>
    </w:rPr>
    <w:tblPr>
      <w:tblBorders>
        <w:top w:val="single" w:color="6E6E6E" w:sz="4" w:space="0"/>
        <w:bottom w:val="single" w:color="6E6E6E" w:sz="4" w:space="0"/>
        <w:insideH w:val="single" w:color="6E6E6E" w:sz="4" w:space="0"/>
      </w:tblBorders>
    </w:tblPr>
    <w:tblStylePr w:type="band1Horz">
      <w:tcPr>
        <w:shd w:val="clear" w:color="bebebe" w:fill="bebebe"/>
      </w:tcPr>
    </w:tblStylePr>
    <w:tblStylePr w:type="band1Vert">
      <w:tcPr>
        <w:shd w:val="clear" w:color="bebebe" w:fill="bebebe"/>
      </w:tcPr>
    </w:tblStylePr>
    <w:tblStylePr w:type="fir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2 - Accent 1"/>
    <w:basedOn w:val="647"/>
    <w:uiPriority w:val="0"/>
    <w:qFormat/>
    <w:pPr>
      <w:spacing w:after="0" w:line="240" w:lineRule="auto"/>
    </w:pPr>
    <w:rPr>
      <w:rFonts w:ascii="Times New Roman" w:hAnsi="Times New Roman" w:eastAsia="宋体" w:cs="Times New Roman"/>
    </w:rPr>
    <w:tblPr>
      <w:tblBorders>
        <w:top w:val="single" w:color="A2C6E7" w:sz="4" w:space="0"/>
        <w:bottom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2C6E7" w:sz="4" w:space="0"/>
          <w:left w:val="single" w:color="A2C6E7" w:sz="4" w:space="0"/>
          <w:bottom w:val="none" w:color="000000" w:sz="4" w:space="0"/>
          <w:right w:val="none" w:color="000000" w:sz="4" w:space="0"/>
          <w:insideH w:val="none" w:color="000000" w:sz="4" w:space="0"/>
          <w:insideV w:val="none" w:color="000000" w:sz="4" w:space="0"/>
        </w:tcBorders>
      </w:tcPr>
    </w:tblStylePr>
  </w:style>
  <w:style w:type="table" w:styleId="787" w:customStyle="1">
    <w:name w:val="List Table 2 - Accent 2"/>
    <w:basedOn w:val="647"/>
    <w:uiPriority w:val="0"/>
    <w:qFormat/>
    <w:pPr>
      <w:spacing w:after="0" w:line="240" w:lineRule="auto"/>
    </w:pPr>
    <w:rPr>
      <w:rFonts w:ascii="Times New Roman" w:hAnsi="Times New Roman" w:eastAsia="宋体" w:cs="Times New Roman"/>
    </w:rPr>
    <w:tblPr>
      <w:tblBorders>
        <w:top w:val="single" w:color="F4B58A" w:sz="4" w:space="0"/>
        <w:bottom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58A" w:sz="4" w:space="0"/>
          <w:left w:val="single" w:color="F4B58A"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2 - Accent 3"/>
    <w:basedOn w:val="647"/>
    <w:uiPriority w:val="0"/>
    <w:qFormat/>
    <w:pPr>
      <w:spacing w:after="0" w:line="240" w:lineRule="auto"/>
    </w:pPr>
    <w:rPr>
      <w:rFonts w:ascii="Times New Roman" w:hAnsi="Times New Roman" w:eastAsia="宋体" w:cs="Times New Roman"/>
    </w:rPr>
    <w:tblPr>
      <w:tblBorders>
        <w:top w:val="single" w:color="CCCCCC" w:sz="4" w:space="0"/>
        <w:bottom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CCCCC" w:sz="4" w:space="0"/>
          <w:left w:val="single" w:color="CCCCCC"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 Accent 4"/>
    <w:basedOn w:val="647"/>
    <w:uiPriority w:val="0"/>
    <w:qFormat/>
    <w:pPr>
      <w:spacing w:after="0" w:line="240" w:lineRule="auto"/>
    </w:pPr>
    <w:rPr>
      <w:rFonts w:ascii="Times New Roman" w:hAnsi="Times New Roman" w:eastAsia="宋体" w:cs="Times New Roman"/>
    </w:rPr>
    <w:tblPr>
      <w:tblBorders>
        <w:top w:val="single" w:color="FFDB6E" w:sz="4" w:space="0"/>
        <w:bottom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B6E" w:sz="4" w:space="0"/>
          <w:left w:val="single" w:color="FFDB6E"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2 - Accent 5"/>
    <w:basedOn w:val="647"/>
    <w:uiPriority w:val="0"/>
    <w:qFormat/>
    <w:pPr>
      <w:spacing w:after="0" w:line="240" w:lineRule="auto"/>
    </w:pPr>
    <w:rPr>
      <w:rFonts w:ascii="Times New Roman" w:hAnsi="Times New Roman" w:eastAsia="宋体" w:cs="Times New Roman"/>
    </w:rPr>
    <w:tblPr>
      <w:tblBorders>
        <w:top w:val="single" w:color="95AFDD" w:sz="4" w:space="0"/>
        <w:bottom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95AFDD" w:sz="4" w:space="0"/>
          <w:left w:val="single" w:color="95AFDD" w:sz="4" w:space="0"/>
          <w:bottom w:val="none" w:color="000000" w:sz="4" w:space="0"/>
          <w:right w:val="none" w:color="000000" w:sz="4" w:space="0"/>
          <w:insideH w:val="none" w:color="000000" w:sz="4" w:space="0"/>
          <w:insideV w:val="none" w:color="000000" w:sz="4" w:space="0"/>
        </w:tcBorders>
      </w:tcPr>
    </w:tblStylePr>
  </w:style>
  <w:style w:type="table" w:styleId="791" w:customStyle="1">
    <w:name w:val="List Table 2 - Accent 6"/>
    <w:basedOn w:val="647"/>
    <w:uiPriority w:val="0"/>
    <w:qFormat/>
    <w:pPr>
      <w:spacing w:after="0" w:line="240" w:lineRule="auto"/>
    </w:pPr>
    <w:rPr>
      <w:rFonts w:ascii="Times New Roman" w:hAnsi="Times New Roman" w:eastAsia="宋体" w:cs="Times New Roman"/>
    </w:rPr>
    <w:tblPr>
      <w:tblBorders>
        <w:top w:val="single" w:color="ADD394" w:sz="4" w:space="0"/>
        <w:bottom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DD394" w:sz="4" w:space="0"/>
          <w:left w:val="single" w:color="ADD394" w:sz="4" w:space="0"/>
          <w:bottom w:val="none" w:color="000000" w:sz="4" w:space="0"/>
          <w:right w:val="none" w:color="000000" w:sz="4" w:space="0"/>
          <w:insideH w:val="none" w:color="000000" w:sz="4" w:space="0"/>
          <w:insideV w:val="none" w:color="000000" w:sz="4" w:space="0"/>
        </w:tcBorders>
      </w:tcPr>
    </w:tblStylePr>
  </w:style>
  <w:style w:type="table" w:styleId="792" w:customStyle="1">
    <w:name w:val="List Table 3"/>
    <w:basedOn w:val="647"/>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tblBorders>
    </w:tblPr>
    <w:tblStylePr w:type="band1Horz">
      <w:tcPr>
        <w:tcBorders>
          <w:top w:val="single" w:color="auto" w:sz="4" w:space="0"/>
          <w:left w:val="single" w:color="auto"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uto" w:sz="4" w:space="0"/>
          <w:right w:val="single" w:color="auto" w:sz="4" w:space="0"/>
          <w:insideH w:val="none" w:color="000000" w:sz="4" w:space="0"/>
          <w:insideV w:val="none" w:color="000000" w:sz="4" w:space="0"/>
        </w:tcBorders>
      </w:tcPr>
    </w:tblStylePr>
    <w:tblStylePr w:type="firstRow">
      <w:tcPr>
        <w:shd w:val="clear" w:color="000000" w:fill="000000"/>
      </w:tcPr>
    </w:tblStylePr>
  </w:style>
  <w:style w:type="table" w:styleId="793" w:customStyle="1">
    <w:name w:val="List Table 3 - Accent 1"/>
    <w:basedOn w:val="647"/>
    <w:uiPriority w:val="0"/>
    <w:qFormat/>
    <w:pPr>
      <w:spacing w:after="0" w:line="240" w:lineRule="auto"/>
    </w:pPr>
    <w:rPr>
      <w:rFonts w:ascii="Times New Roman" w:hAnsi="Times New Roman" w:eastAsia="宋体" w:cs="Times New Roman"/>
    </w:rPr>
    <w:tblPr>
      <w:tblBorders>
        <w:top w:val="single" w:color="5B9BD5" w:sz="4" w:space="0"/>
        <w:left w:val="single" w:color="5B9BD5" w:sz="4" w:space="0"/>
        <w:bottom w:val="single" w:color="5B9BD5" w:sz="4" w:space="0"/>
        <w:right w:val="single" w:color="5B9BD5" w:sz="4" w:space="0"/>
      </w:tblBorders>
    </w:tblPr>
    <w:tblStylePr w:type="band1Horz">
      <w:tcPr>
        <w:tcBorders>
          <w:top w:val="single" w:color="5B9BD5" w:sz="4" w:space="0"/>
          <w:left w:val="single" w:color="5B9BD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5B9BD5" w:sz="4" w:space="0"/>
          <w:right w:val="single" w:color="5B9BD5" w:sz="4" w:space="0"/>
          <w:insideH w:val="none" w:color="000000" w:sz="4" w:space="0"/>
          <w:insideV w:val="none" w:color="000000" w:sz="4" w:space="0"/>
        </w:tcBorders>
      </w:tcPr>
    </w:tblStylePr>
    <w:tblStylePr w:type="firstRow">
      <w:tcPr>
        <w:shd w:val="clear" w:color="5b9bd5" w:fill="5b9bd5"/>
      </w:tcPr>
    </w:tblStylePr>
  </w:style>
  <w:style w:type="table" w:styleId="794" w:customStyle="1">
    <w:name w:val="List Table 3 - Accent 2"/>
    <w:basedOn w:val="647"/>
    <w:uiPriority w:val="0"/>
    <w:qFormat/>
    <w:pPr>
      <w:spacing w:after="0" w:line="240" w:lineRule="auto"/>
    </w:pPr>
    <w:rPr>
      <w:rFonts w:ascii="Times New Roman" w:hAnsi="Times New Roman" w:eastAsia="宋体" w:cs="Times New Roman"/>
    </w:rPr>
    <w:tblPr>
      <w:tblBorders>
        <w:top w:val="single" w:color="F4B285" w:sz="4" w:space="0"/>
        <w:left w:val="single" w:color="F4B285" w:sz="4" w:space="0"/>
        <w:bottom w:val="single" w:color="F4B285" w:sz="4" w:space="0"/>
        <w:right w:val="single" w:color="F4B285" w:sz="4" w:space="0"/>
      </w:tblBorders>
    </w:tblPr>
    <w:tblStylePr w:type="band1Horz">
      <w:tcPr>
        <w:tcBorders>
          <w:top w:val="single" w:color="F4B285" w:sz="4" w:space="0"/>
          <w:left w:val="single" w:color="F4B285"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4B285" w:sz="4" w:space="0"/>
          <w:right w:val="single" w:color="F4B285" w:sz="4" w:space="0"/>
          <w:insideH w:val="none" w:color="000000" w:sz="4" w:space="0"/>
          <w:insideV w:val="none" w:color="000000" w:sz="4" w:space="0"/>
        </w:tcBorders>
      </w:tcPr>
    </w:tblStylePr>
    <w:tblStylePr w:type="firstRow">
      <w:tcPr>
        <w:shd w:val="clear" w:color="f4b285" w:fill="f4b285"/>
      </w:tcPr>
    </w:tblStylePr>
  </w:style>
  <w:style w:type="table" w:styleId="795" w:customStyle="1">
    <w:name w:val="List Table 3 - Accent 3"/>
    <w:basedOn w:val="647"/>
    <w:uiPriority w:val="0"/>
    <w:qFormat/>
    <w:pPr>
      <w:spacing w:after="0" w:line="240" w:lineRule="auto"/>
    </w:pPr>
    <w:rPr>
      <w:rFonts w:ascii="Times New Roman" w:hAnsi="Times New Roman" w:eastAsia="宋体" w:cs="Times New Roman"/>
    </w:rPr>
    <w:tblPr>
      <w:tblBorders>
        <w:top w:val="single" w:color="C9C9C9" w:sz="4" w:space="0"/>
        <w:left w:val="single" w:color="C9C9C9" w:sz="4" w:space="0"/>
        <w:bottom w:val="single" w:color="C9C9C9" w:sz="4" w:space="0"/>
        <w:right w:val="single" w:color="C9C9C9" w:sz="4" w:space="0"/>
      </w:tblBorders>
    </w:tblPr>
    <w:tblStylePr w:type="band1Horz">
      <w:tcPr>
        <w:tcBorders>
          <w:top w:val="single" w:color="C9C9C9" w:sz="4" w:space="0"/>
          <w:left w:val="single" w:color="C9C9C9"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C9C9C9" w:sz="4" w:space="0"/>
          <w:right w:val="single" w:color="C9C9C9" w:sz="4" w:space="0"/>
          <w:insideH w:val="none" w:color="000000" w:sz="4" w:space="0"/>
          <w:insideV w:val="none" w:color="000000" w:sz="4" w:space="0"/>
        </w:tcBorders>
      </w:tcPr>
    </w:tblStylePr>
    <w:tblStylePr w:type="firstRow">
      <w:tcPr>
        <w:shd w:val="clear" w:color="c9c9c9" w:fill="c9c9c9"/>
      </w:tcPr>
    </w:tblStylePr>
  </w:style>
  <w:style w:type="table" w:styleId="796" w:customStyle="1">
    <w:name w:val="List Table 3 - Accent 4"/>
    <w:basedOn w:val="647"/>
    <w:uiPriority w:val="0"/>
    <w:qFormat/>
    <w:pPr>
      <w:spacing w:after="0" w:line="240" w:lineRule="auto"/>
    </w:pPr>
    <w:rPr>
      <w:rFonts w:ascii="Times New Roman" w:hAnsi="Times New Roman" w:eastAsia="宋体" w:cs="Times New Roman"/>
    </w:rPr>
    <w:tblPr>
      <w:tblBorders>
        <w:top w:val="single" w:color="FFD864" w:sz="4" w:space="0"/>
        <w:left w:val="single" w:color="FFD864" w:sz="4" w:space="0"/>
        <w:bottom w:val="single" w:color="FFD864" w:sz="4" w:space="0"/>
        <w:right w:val="single" w:color="FFD864" w:sz="4" w:space="0"/>
      </w:tblBorders>
    </w:tblPr>
    <w:tblStylePr w:type="band1Horz">
      <w:tcPr>
        <w:tcBorders>
          <w:top w:val="single" w:color="FFD864" w:sz="4" w:space="0"/>
          <w:left w:val="single" w:color="FFD864"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FFD864" w:sz="4" w:space="0"/>
          <w:right w:val="single" w:color="FFD864" w:sz="4" w:space="0"/>
          <w:insideH w:val="none" w:color="000000" w:sz="4" w:space="0"/>
          <w:insideV w:val="none" w:color="000000" w:sz="4" w:space="0"/>
        </w:tcBorders>
      </w:tcPr>
    </w:tblStylePr>
    <w:tblStylePr w:type="firstRow">
      <w:tcPr>
        <w:shd w:val="clear" w:color="ffd864" w:fill="ffd864"/>
      </w:tcPr>
    </w:tblStylePr>
  </w:style>
  <w:style w:type="table" w:styleId="797" w:customStyle="1">
    <w:name w:val="List Table 3 - Accent 5"/>
    <w:basedOn w:val="647"/>
    <w:uiPriority w:val="0"/>
    <w:qFormat/>
    <w:pPr>
      <w:spacing w:after="0" w:line="240" w:lineRule="auto"/>
    </w:pPr>
    <w:rPr>
      <w:rFonts w:ascii="Times New Roman" w:hAnsi="Times New Roman" w:eastAsia="宋体" w:cs="Times New Roman"/>
    </w:rPr>
    <w:tblPr>
      <w:tblBorders>
        <w:top w:val="single" w:color="8EA9DB" w:sz="4" w:space="0"/>
        <w:left w:val="single" w:color="8EA9DB" w:sz="4" w:space="0"/>
        <w:bottom w:val="single" w:color="8EA9DB" w:sz="4" w:space="0"/>
        <w:right w:val="single" w:color="8EA9DB" w:sz="4" w:space="0"/>
      </w:tblBorders>
    </w:tblPr>
    <w:tblStylePr w:type="band1Horz">
      <w:tcPr>
        <w:tcBorders>
          <w:top w:val="single" w:color="8EA9DB" w:sz="4" w:space="0"/>
          <w:left w:val="single" w:color="8EA9DB"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8EA9DB" w:sz="4" w:space="0"/>
          <w:right w:val="single" w:color="8EA9DB" w:sz="4" w:space="0"/>
          <w:insideH w:val="none" w:color="000000" w:sz="4" w:space="0"/>
          <w:insideV w:val="none" w:color="000000" w:sz="4" w:space="0"/>
        </w:tcBorders>
      </w:tcPr>
    </w:tblStylePr>
    <w:tblStylePr w:type="firstRow">
      <w:tcPr>
        <w:shd w:val="clear" w:color="8ea9db" w:fill="8ea9db"/>
      </w:tcPr>
    </w:tblStylePr>
  </w:style>
  <w:style w:type="table" w:styleId="798" w:customStyle="1">
    <w:name w:val="List Table 3 - Accent 6"/>
    <w:basedOn w:val="647"/>
    <w:uiPriority w:val="0"/>
    <w:qFormat/>
    <w:pPr>
      <w:spacing w:after="0" w:line="240" w:lineRule="auto"/>
    </w:pPr>
    <w:rPr>
      <w:rFonts w:ascii="Times New Roman" w:hAnsi="Times New Roman" w:eastAsia="宋体" w:cs="Times New Roman"/>
    </w:rPr>
    <w:tblPr>
      <w:tblBorders>
        <w:top w:val="single" w:color="A9D08E" w:sz="4" w:space="0"/>
        <w:left w:val="single" w:color="A9D08E" w:sz="4" w:space="0"/>
        <w:bottom w:val="single" w:color="A9D08E" w:sz="4" w:space="0"/>
        <w:right w:val="single" w:color="A9D08E" w:sz="4" w:space="0"/>
      </w:tblBorders>
    </w:tblPr>
    <w:tblStylePr w:type="band1Horz">
      <w:tcPr>
        <w:tcBorders>
          <w:top w:val="single" w:color="A9D08E" w:sz="4" w:space="0"/>
          <w:left w:val="single" w:color="A9D08E"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A9D08E" w:sz="4" w:space="0"/>
          <w:right w:val="single" w:color="A9D08E" w:sz="4" w:space="0"/>
          <w:insideH w:val="none" w:color="000000" w:sz="4" w:space="0"/>
          <w:insideV w:val="none" w:color="000000" w:sz="4" w:space="0"/>
        </w:tcBorders>
      </w:tcPr>
    </w:tblStylePr>
    <w:tblStylePr w:type="firstRow">
      <w:tcPr>
        <w:shd w:val="clear" w:color="a9d08e" w:fill="a9d08e"/>
      </w:tcPr>
    </w:tblStylePr>
  </w:style>
  <w:style w:type="table" w:styleId="799" w:customStyle="1">
    <w:name w:val="List Table 4"/>
    <w:basedOn w:val="647"/>
    <w:uiPriority w:val="0"/>
    <w:qFormat/>
    <w:pPr>
      <w:spacing w:after="0" w:line="240" w:lineRule="auto"/>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tcPr>
        <w:shd w:val="clear" w:color="bebebe" w:fill="bebebe"/>
      </w:tcPr>
    </w:tblStylePr>
    <w:tblStylePr w:type="band1Vert">
      <w:tcPr>
        <w:shd w:val="clear" w:color="bebebe" w:fill="bebebe"/>
      </w:tcPr>
    </w:tblStylePr>
    <w:tblStylePr w:type="firstRow">
      <w:tcPr>
        <w:shd w:val="clear" w:color="000000" w:fill="000000"/>
      </w:tcPr>
    </w:tblStylePr>
  </w:style>
  <w:style w:type="table" w:styleId="800" w:customStyle="1">
    <w:name w:val="List Table 4 - Accent 1"/>
    <w:basedOn w:val="647"/>
    <w:uiPriority w:val="0"/>
    <w:qFormat/>
    <w:pPr>
      <w:spacing w:after="0" w:line="240" w:lineRule="auto"/>
    </w:pPr>
    <w:rPr>
      <w:rFonts w:ascii="Times New Roman" w:hAnsi="Times New Roman" w:eastAsia="宋体" w:cs="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tcPr>
        <w:shd w:val="clear" w:color="d5e5f4" w:fill="d5e5f4"/>
      </w:tcPr>
    </w:tblStylePr>
    <w:tblStylePr w:type="band1Vert">
      <w:tcPr>
        <w:shd w:val="clear" w:color="d5e5f4" w:fill="d5e5f4"/>
      </w:tcPr>
    </w:tblStylePr>
    <w:tblStylePr w:type="firstRow">
      <w:tcPr>
        <w:shd w:val="clear" w:color="5b9bd5" w:fill="5b9bd5"/>
      </w:tcPr>
    </w:tblStylePr>
  </w:style>
  <w:style w:type="table" w:styleId="801" w:customStyle="1">
    <w:name w:val="List Table 4 - Accent 2"/>
    <w:basedOn w:val="647"/>
    <w:uiPriority w:val="0"/>
    <w:qFormat/>
    <w:pPr>
      <w:spacing w:after="0" w:line="240" w:lineRule="auto"/>
    </w:pPr>
    <w:rPr>
      <w:rFonts w:ascii="Times New Roman" w:hAnsi="Times New Roman" w:eastAsia="宋体" w:cs="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tcPr>
        <w:shd w:val="clear" w:color="fadecb" w:fill="fadecb"/>
      </w:tcPr>
    </w:tblStylePr>
    <w:tblStylePr w:type="band1Vert">
      <w:tcPr>
        <w:shd w:val="clear" w:color="fadecb" w:fill="fadecb"/>
      </w:tcPr>
    </w:tblStylePr>
    <w:tblStylePr w:type="firstRow">
      <w:tcPr>
        <w:shd w:val="clear" w:color="ed7d31" w:fill="ed7d31"/>
      </w:tcPr>
    </w:tblStylePr>
  </w:style>
  <w:style w:type="table" w:styleId="802" w:customStyle="1">
    <w:name w:val="List Table 4 - Accent 3"/>
    <w:basedOn w:val="647"/>
    <w:uiPriority w:val="0"/>
    <w:qFormat/>
    <w:pPr>
      <w:spacing w:after="0" w:line="240" w:lineRule="auto"/>
    </w:pPr>
    <w:rPr>
      <w:rFonts w:ascii="Times New Roman" w:hAnsi="Times New Roman" w:eastAsia="宋体" w:cs="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tcPr>
        <w:shd w:val="clear" w:color="e8e8e8" w:fill="e8e8e8"/>
      </w:tcPr>
    </w:tblStylePr>
    <w:tblStylePr w:type="band1Vert">
      <w:tcPr>
        <w:shd w:val="clear" w:color="e8e8e8" w:fill="e8e8e8"/>
      </w:tcPr>
    </w:tblStylePr>
    <w:tblStylePr w:type="firstRow">
      <w:tcPr>
        <w:shd w:val="clear" w:color="a5a5a5" w:fill="a5a5a5"/>
      </w:tcPr>
    </w:tblStylePr>
  </w:style>
  <w:style w:type="table" w:styleId="803" w:customStyle="1">
    <w:name w:val="List Table 4 - Accent 4"/>
    <w:basedOn w:val="647"/>
    <w:uiPriority w:val="0"/>
    <w:qFormat/>
    <w:pPr>
      <w:spacing w:after="0" w:line="240" w:lineRule="auto"/>
    </w:pPr>
    <w:rPr>
      <w:rFonts w:ascii="Times New Roman" w:hAnsi="Times New Roman" w:eastAsia="宋体" w:cs="Times New Roman"/>
    </w:rPr>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tcPr>
        <w:shd w:val="clear" w:color="ffefbe" w:fill="ffefbe"/>
      </w:tcPr>
    </w:tblStylePr>
    <w:tblStylePr w:type="band1Vert">
      <w:tcPr>
        <w:shd w:val="clear" w:color="ffefbe" w:fill="ffefbe"/>
      </w:tcPr>
    </w:tblStylePr>
    <w:tblStylePr w:type="firstRow">
      <w:tcPr>
        <w:shd w:val="clear" w:color="ffc000" w:fill="ffc000"/>
      </w:tcPr>
    </w:tblStylePr>
  </w:style>
  <w:style w:type="table" w:styleId="804" w:customStyle="1">
    <w:name w:val="List Table 4 - Accent 5"/>
    <w:basedOn w:val="647"/>
    <w:uiPriority w:val="0"/>
    <w:qFormat/>
    <w:pPr>
      <w:spacing w:after="0" w:line="240" w:lineRule="auto"/>
    </w:pPr>
    <w:rPr>
      <w:rFonts w:ascii="Times New Roman" w:hAnsi="Times New Roman" w:eastAsia="宋体" w:cs="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tcPr>
        <w:shd w:val="clear" w:color="d0dbf0" w:fill="d0dbf0"/>
      </w:tcPr>
    </w:tblStylePr>
    <w:tblStylePr w:type="band1Vert">
      <w:tcPr>
        <w:shd w:val="clear" w:color="d0dbf0" w:fill="d0dbf0"/>
      </w:tcPr>
    </w:tblStylePr>
    <w:tblStylePr w:type="firstRow">
      <w:tcPr>
        <w:shd w:val="clear" w:color="4472c4" w:fill="4472c4"/>
      </w:tcPr>
    </w:tblStylePr>
  </w:style>
  <w:style w:type="table" w:styleId="805" w:customStyle="1">
    <w:name w:val="List Table 4 - Accent 6"/>
    <w:basedOn w:val="647"/>
    <w:uiPriority w:val="0"/>
    <w:qFormat/>
    <w:pPr>
      <w:spacing w:after="0" w:line="240" w:lineRule="auto"/>
    </w:pPr>
    <w:rPr>
      <w:rFonts w:ascii="Times New Roman" w:hAnsi="Times New Roman" w:eastAsia="宋体" w:cs="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tcPr>
        <w:shd w:val="clear" w:color="daebcf" w:fill="daebcf"/>
      </w:tcPr>
    </w:tblStylePr>
    <w:tblStylePr w:type="band1Vert">
      <w:tcPr>
        <w:shd w:val="clear" w:color="daebcf" w:fill="daebcf"/>
      </w:tcPr>
    </w:tblStylePr>
    <w:tblStylePr w:type="firstRow">
      <w:tcPr>
        <w:shd w:val="clear" w:color="70ad47" w:fill="70ad47"/>
      </w:tcPr>
    </w:tblStylePr>
  </w:style>
  <w:style w:type="table" w:styleId="806" w:customStyle="1">
    <w:name w:val="List Table 5 Dark"/>
    <w:basedOn w:val="647"/>
    <w:uiPriority w:val="0"/>
    <w:qFormat/>
    <w:pPr>
      <w:spacing w:after="0" w:line="240" w:lineRule="auto"/>
    </w:pPr>
    <w:rPr>
      <w:rFonts w:ascii="Times New Roman" w:hAnsi="Times New Roman" w:eastAsia="宋体" w:cs="Times New Roman"/>
    </w:r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style>
  <w:style w:type="table" w:styleId="807" w:customStyle="1">
    <w:name w:val="List Table 5 Dark - Accent 1"/>
    <w:basedOn w:val="647"/>
    <w:uiPriority w:val="0"/>
    <w:qFormat/>
    <w:pPr>
      <w:spacing w:after="0" w:line="240" w:lineRule="auto"/>
    </w:pPr>
    <w:rPr>
      <w:rFonts w:ascii="Times New Roman" w:hAnsi="Times New Roman" w:eastAsia="宋体" w:cs="Times New Roman"/>
    </w:rPr>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5B9BD5" w:sz="32" w:space="0"/>
          <w:right w:val="single" w:color="FFFFFF" w:sz="4" w:space="0"/>
          <w:insideH w:val="none" w:color="000000" w:sz="4" w:space="0"/>
          <w:insideV w:val="none" w:color="000000" w:sz="4" w:space="0"/>
        </w:tcBorders>
      </w:tcPr>
    </w:tblStylePr>
    <w:tblStylePr w:type="firstRow">
      <w:tcPr>
        <w:shd w:val="clear" w:color="5b9bd5" w:fill="5b9bd5"/>
        <w:tcBorders>
          <w:top w:val="single" w:color="5B9BD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5B9BD5" w:sz="32" w:space="0"/>
          <w:insideH w:val="none" w:color="000000" w:sz="4" w:space="0"/>
          <w:insideV w:val="none" w:color="000000" w:sz="4" w:space="0"/>
        </w:tcBorders>
      </w:tcPr>
    </w:tblStylePr>
  </w:style>
  <w:style w:type="table" w:styleId="808" w:customStyle="1">
    <w:name w:val="List Table 5 Dark - Accent 2"/>
    <w:basedOn w:val="647"/>
    <w:uiPriority w:val="0"/>
    <w:qFormat/>
    <w:pPr>
      <w:spacing w:after="0" w:line="240" w:lineRule="auto"/>
    </w:pPr>
    <w:rPr>
      <w:rFonts w:ascii="Times New Roman" w:hAnsi="Times New Roman" w:eastAsia="宋体" w:cs="Times New Roman"/>
    </w:rPr>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4B285" w:sz="32" w:space="0"/>
          <w:right w:val="single" w:color="FFFFFF" w:sz="4" w:space="0"/>
          <w:insideH w:val="none" w:color="000000" w:sz="4" w:space="0"/>
          <w:insideV w:val="none" w:color="000000" w:sz="4" w:space="0"/>
        </w:tcBorders>
      </w:tcPr>
    </w:tblStylePr>
    <w:tblStylePr w:type="firstRow">
      <w:tcPr>
        <w:shd w:val="clear" w:color="f4b285" w:fill="f4b285"/>
        <w:tcBorders>
          <w:top w:val="single" w:color="F4B28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4B285" w:sz="32" w:space="0"/>
          <w:insideH w:val="none" w:color="000000" w:sz="4" w:space="0"/>
          <w:insideV w:val="none" w:color="000000" w:sz="4" w:space="0"/>
        </w:tcBorders>
      </w:tcPr>
    </w:tblStylePr>
  </w:style>
  <w:style w:type="table" w:styleId="809" w:customStyle="1">
    <w:name w:val="List Table 5 Dark - Accent 3"/>
    <w:basedOn w:val="647"/>
    <w:uiPriority w:val="0"/>
    <w:qFormat/>
    <w:pPr>
      <w:spacing w:after="0" w:line="240" w:lineRule="auto"/>
    </w:pPr>
    <w:rPr>
      <w:rFonts w:ascii="Times New Roman" w:hAnsi="Times New Roman" w:eastAsia="宋体" w:cs="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C9C9C9" w:sz="32" w:space="0"/>
          <w:right w:val="single" w:color="FFFFFF" w:sz="4" w:space="0"/>
          <w:insideH w:val="none" w:color="000000" w:sz="4" w:space="0"/>
          <w:insideV w:val="none" w:color="000000" w:sz="4" w:space="0"/>
        </w:tcBorders>
      </w:tcPr>
    </w:tblStylePr>
    <w:tblStylePr w:type="firstRow">
      <w:tcPr>
        <w:shd w:val="clear" w:color="c9c9c9" w:fill="c9c9c9"/>
        <w:tcBorders>
          <w:top w:val="single" w:color="C9C9C9"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9C9C9" w:sz="32" w:space="0"/>
          <w:insideH w:val="none" w:color="000000" w:sz="4" w:space="0"/>
          <w:insideV w:val="none" w:color="000000" w:sz="4" w:space="0"/>
        </w:tcBorders>
      </w:tcPr>
    </w:tblStylePr>
  </w:style>
  <w:style w:type="table" w:styleId="810" w:customStyle="1">
    <w:name w:val="List Table 5 Dark - Accent 4"/>
    <w:basedOn w:val="647"/>
    <w:uiPriority w:val="0"/>
    <w:qFormat/>
    <w:pPr>
      <w:spacing w:after="0" w:line="240" w:lineRule="auto"/>
    </w:pPr>
    <w:rPr>
      <w:rFonts w:ascii="Times New Roman" w:hAnsi="Times New Roman" w:eastAsia="宋体" w:cs="Times New Roman"/>
    </w:rPr>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FFD864" w:sz="32" w:space="0"/>
          <w:right w:val="single" w:color="FFFFFF" w:sz="4" w:space="0"/>
          <w:insideH w:val="none" w:color="000000" w:sz="4" w:space="0"/>
          <w:insideV w:val="none" w:color="000000" w:sz="4" w:space="0"/>
        </w:tcBorders>
      </w:tcPr>
    </w:tblStylePr>
    <w:tblStylePr w:type="firstRow">
      <w:tcPr>
        <w:shd w:val="clear" w:color="ffd864" w:fill="ffd864"/>
        <w:tcBorders>
          <w:top w:val="single" w:color="FFD864"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FD864" w:sz="32" w:space="0"/>
          <w:insideH w:val="none" w:color="000000" w:sz="4" w:space="0"/>
          <w:insideV w:val="none" w:color="000000" w:sz="4" w:space="0"/>
        </w:tcBorders>
      </w:tcPr>
    </w:tblStylePr>
  </w:style>
  <w:style w:type="table" w:styleId="811" w:customStyle="1">
    <w:name w:val="List Table 5 Dark - Accent 5"/>
    <w:basedOn w:val="647"/>
    <w:uiPriority w:val="0"/>
    <w:qFormat/>
    <w:pPr>
      <w:spacing w:after="0" w:line="240" w:lineRule="auto"/>
    </w:pPr>
    <w:rPr>
      <w:rFonts w:ascii="Times New Roman" w:hAnsi="Times New Roman" w:eastAsia="宋体" w:cs="Times New Roman"/>
    </w:rPr>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8EA9DB" w:sz="32" w:space="0"/>
          <w:right w:val="single" w:color="FFFFFF" w:sz="4" w:space="0"/>
          <w:insideH w:val="none" w:color="000000" w:sz="4" w:space="0"/>
          <w:insideV w:val="none" w:color="000000" w:sz="4" w:space="0"/>
        </w:tcBorders>
      </w:tcPr>
    </w:tblStylePr>
    <w:tblStylePr w:type="firstRow">
      <w:tcPr>
        <w:shd w:val="clear" w:color="8ea9db" w:fill="8ea9db"/>
        <w:tcBorders>
          <w:top w:val="single" w:color="8EA9DB"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8EA9DB" w:sz="32" w:space="0"/>
          <w:insideH w:val="none" w:color="000000" w:sz="4" w:space="0"/>
          <w:insideV w:val="none" w:color="000000" w:sz="4" w:space="0"/>
        </w:tcBorders>
      </w:tcPr>
    </w:tblStylePr>
  </w:style>
  <w:style w:type="table" w:styleId="812" w:customStyle="1">
    <w:name w:val="List Table 5 Dark - Accent 6"/>
    <w:basedOn w:val="647"/>
    <w:uiPriority w:val="0"/>
    <w:qFormat/>
    <w:pPr>
      <w:spacing w:after="0" w:line="240" w:lineRule="auto"/>
    </w:pPr>
    <w:rPr>
      <w:rFonts w:ascii="Times New Roman" w:hAnsi="Times New Roman" w:eastAsia="宋体" w:cs="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tcPr>
        <w:tcBorders>
          <w:top w:val="none" w:color="000000" w:sz="4" w:space="0"/>
          <w:left w:val="none" w:color="000000" w:sz="4" w:space="0"/>
          <w:bottom w:val="single" w:color="A9D08E" w:sz="32" w:space="0"/>
          <w:right w:val="single" w:color="FFFFFF" w:sz="4" w:space="0"/>
          <w:insideH w:val="none" w:color="000000" w:sz="4" w:space="0"/>
          <w:insideV w:val="none" w:color="000000" w:sz="4" w:space="0"/>
        </w:tcBorders>
      </w:tcPr>
    </w:tblStylePr>
    <w:tblStylePr w:type="firstRow">
      <w:tcPr>
        <w:shd w:val="clear" w:color="a9d08e" w:fill="a9d08e"/>
        <w:tcBorders>
          <w:top w:val="single" w:color="A9D08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A9D08E" w:sz="32" w:space="0"/>
          <w:insideH w:val="none" w:color="000000" w:sz="4" w:space="0"/>
          <w:insideV w:val="none" w:color="000000" w:sz="4" w:space="0"/>
        </w:tcBorders>
      </w:tcPr>
    </w:tblStylePr>
  </w:style>
  <w:style w:type="table" w:styleId="813" w:customStyle="1">
    <w:name w:val="List Table 6 Colorful"/>
    <w:basedOn w:val="647"/>
    <w:uiPriority w:val="0"/>
    <w:qFormat/>
    <w:pPr>
      <w:spacing w:after="0" w:line="240" w:lineRule="auto"/>
    </w:pPr>
    <w:rPr>
      <w:rFonts w:ascii="Times New Roman" w:hAnsi="Times New Roman" w:eastAsia="宋体" w:cs="Times New Roman"/>
    </w:rPr>
    <w:tblPr>
      <w:tblBorders>
        <w:top w:val="single" w:color="7E7E7E" w:sz="4" w:space="0"/>
        <w:bottom w:val="single" w:color="7E7E7E" w:sz="4" w:space="0"/>
      </w:tblBorders>
    </w:tblPr>
    <w:tblStylePr w:type="band1Horz">
      <w:tcPr>
        <w:shd w:val="clear" w:color="bebebe" w:fill="bebebe"/>
      </w:tcPr>
    </w:tblStylePr>
    <w:tblStylePr w:type="band1Vert">
      <w:tcPr>
        <w:shd w:val="clear" w:color="bebebe" w:fill="bebebe"/>
      </w:tcPr>
    </w:tblStylePr>
    <w:tblStylePr w:type="firstRow">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1"/>
    <w:basedOn w:val="647"/>
    <w:uiPriority w:val="0"/>
    <w:qFormat/>
    <w:pPr>
      <w:spacing w:after="0" w:line="240" w:lineRule="auto"/>
    </w:pPr>
    <w:rPr>
      <w:rFonts w:ascii="Times New Roman" w:hAnsi="Times New Roman" w:eastAsia="宋体" w:cs="Times New Roman"/>
    </w:rPr>
    <w:tblPr>
      <w:tblBorders>
        <w:top w:val="single" w:color="5B9BD5" w:sz="4" w:space="0"/>
        <w:bottom w:val="single" w:color="5B9BD5" w:sz="4" w:space="0"/>
      </w:tblBorders>
    </w:tblPr>
    <w:tblStylePr w:type="band1Horz">
      <w:tcPr>
        <w:shd w:val="clear" w:color="d5e5f4" w:fill="d5e5f4"/>
      </w:tcPr>
    </w:tblStylePr>
    <w:tblStylePr w:type="band1Vert">
      <w:tcPr>
        <w:shd w:val="clear" w:color="d5e5f4" w:fill="d5e5f4"/>
      </w:tcPr>
    </w:tblStylePr>
    <w:tblStylePr w:type="firstRow">
      <w:tcPr>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2"/>
    <w:basedOn w:val="647"/>
    <w:uiPriority w:val="0"/>
    <w:qFormat/>
    <w:pPr>
      <w:spacing w:after="0" w:line="240" w:lineRule="auto"/>
    </w:pPr>
    <w:rPr>
      <w:rFonts w:ascii="Times New Roman" w:hAnsi="Times New Roman" w:eastAsia="宋体" w:cs="Times New Roman"/>
    </w:rPr>
    <w:tblPr>
      <w:tblBorders>
        <w:top w:val="single" w:color="F4B285" w:sz="4" w:space="0"/>
        <w:bottom w:val="single" w:color="F4B285" w:sz="4" w:space="0"/>
      </w:tblBorders>
    </w:tblPr>
    <w:tblStylePr w:type="band1Horz">
      <w:tcPr>
        <w:shd w:val="clear" w:color="fadecb" w:fill="fadecb"/>
      </w:tcPr>
    </w:tblStylePr>
    <w:tblStylePr w:type="band1Vert">
      <w:tcPr>
        <w:shd w:val="clear" w:color="fadecb" w:fill="fadecb"/>
      </w:tcPr>
    </w:tblStylePr>
    <w:tblStylePr w:type="firstRow">
      <w:tcPr>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3"/>
    <w:basedOn w:val="647"/>
    <w:uiPriority w:val="0"/>
    <w:qFormat/>
    <w:pPr>
      <w:spacing w:after="0" w:line="240" w:lineRule="auto"/>
    </w:pPr>
    <w:rPr>
      <w:rFonts w:ascii="Times New Roman" w:hAnsi="Times New Roman" w:eastAsia="宋体" w:cs="Times New Roman"/>
    </w:rPr>
    <w:tblPr>
      <w:tblBorders>
        <w:top w:val="single" w:color="C9C9C9" w:sz="4" w:space="0"/>
        <w:bottom w:val="single" w:color="C9C9C9" w:sz="4" w:space="0"/>
      </w:tblBorders>
    </w:tblPr>
    <w:tblStylePr w:type="band1Horz">
      <w:tcPr>
        <w:shd w:val="clear" w:color="e8e8e8" w:fill="e8e8e8"/>
      </w:tcPr>
    </w:tblStylePr>
    <w:tblStylePr w:type="band1Vert">
      <w:tcPr>
        <w:shd w:val="clear" w:color="e8e8e8" w:fill="e8e8e8"/>
      </w:tcPr>
    </w:tblStylePr>
    <w:tblStylePr w:type="firstRow">
      <w:tcPr>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4"/>
    <w:basedOn w:val="647"/>
    <w:uiPriority w:val="0"/>
    <w:qFormat/>
    <w:pPr>
      <w:spacing w:after="0" w:line="240" w:lineRule="auto"/>
    </w:pPr>
    <w:rPr>
      <w:rFonts w:ascii="Times New Roman" w:hAnsi="Times New Roman" w:eastAsia="宋体" w:cs="Times New Roman"/>
    </w:rPr>
    <w:tblPr>
      <w:tblBorders>
        <w:top w:val="single" w:color="FFD864" w:sz="4" w:space="0"/>
        <w:bottom w:val="single" w:color="FFD864" w:sz="4" w:space="0"/>
      </w:tblBorders>
    </w:tblPr>
    <w:tblStylePr w:type="band1Horz">
      <w:tcPr>
        <w:shd w:val="clear" w:color="ffefbe" w:fill="ffefbe"/>
      </w:tcPr>
    </w:tblStylePr>
    <w:tblStylePr w:type="band1Vert">
      <w:tcPr>
        <w:shd w:val="clear" w:color="ffefbe" w:fill="ffefbe"/>
      </w:tcPr>
    </w:tblStylePr>
    <w:tblStylePr w:type="firstRow">
      <w:tcPr>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6 Colorful - Accent 5"/>
    <w:basedOn w:val="647"/>
    <w:uiPriority w:val="0"/>
    <w:qFormat/>
    <w:pPr>
      <w:spacing w:after="0" w:line="240" w:lineRule="auto"/>
    </w:pPr>
    <w:rPr>
      <w:rFonts w:ascii="Times New Roman" w:hAnsi="Times New Roman" w:eastAsia="宋体" w:cs="Times New Roman"/>
    </w:rPr>
    <w:tblPr>
      <w:tblBorders>
        <w:top w:val="single" w:color="8EA9DB" w:sz="4" w:space="0"/>
        <w:bottom w:val="single" w:color="8EA9DB" w:sz="4" w:space="0"/>
      </w:tblBorders>
    </w:tblPr>
    <w:tblStylePr w:type="band1Horz">
      <w:tcPr>
        <w:shd w:val="clear" w:color="d0dbf0" w:fill="d0dbf0"/>
      </w:tcPr>
    </w:tblStylePr>
    <w:tblStylePr w:type="band1Vert">
      <w:tcPr>
        <w:shd w:val="clear" w:color="d0dbf0" w:fill="d0dbf0"/>
      </w:tcPr>
    </w:tblStylePr>
    <w:tblStylePr w:type="firstRow">
      <w:tcPr>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6 Colorful - Accent 6"/>
    <w:basedOn w:val="647"/>
    <w:uiPriority w:val="0"/>
    <w:qFormat/>
    <w:pPr>
      <w:spacing w:after="0" w:line="240" w:lineRule="auto"/>
    </w:pPr>
    <w:rPr>
      <w:rFonts w:ascii="Times New Roman" w:hAnsi="Times New Roman" w:eastAsia="宋体" w:cs="Times New Roman"/>
    </w:rPr>
    <w:tblPr>
      <w:tblBorders>
        <w:top w:val="single" w:color="A9D08E" w:sz="4" w:space="0"/>
        <w:bottom w:val="single" w:color="A9D08E" w:sz="4" w:space="0"/>
      </w:tblBorders>
    </w:tblPr>
    <w:tblStylePr w:type="band1Horz">
      <w:tcPr>
        <w:shd w:val="clear" w:color="daebcf" w:fill="daebcf"/>
      </w:tcPr>
    </w:tblStylePr>
    <w:tblStylePr w:type="band1Vert">
      <w:tcPr>
        <w:shd w:val="clear" w:color="daebcf" w:fill="daebcf"/>
      </w:tcPr>
    </w:tblStylePr>
    <w:tblStylePr w:type="firstRow">
      <w:tcPr>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w:basedOn w:val="647"/>
    <w:uiPriority w:val="0"/>
    <w:qFormat/>
    <w:pPr>
      <w:spacing w:after="0" w:line="240" w:lineRule="auto"/>
    </w:pPr>
    <w:rPr>
      <w:rFonts w:ascii="Times New Roman" w:hAnsi="Times New Roman" w:eastAsia="宋体" w:cs="Times New Roman"/>
    </w:rPr>
    <w:tblPr>
      <w:tblBorders>
        <w:right w:val="single" w:color="7E7E7E" w:sz="4" w:space="0"/>
      </w:tblBorders>
    </w:tblPr>
    <w:tblStylePr w:type="band1Horz">
      <w:tcPr>
        <w:shd w:val="clear" w:color="bebebe" w:fill="bebebe"/>
      </w:tcPr>
    </w:tblStylePr>
    <w:tblStylePr w:type="band1Vert">
      <w:tcPr>
        <w:shd w:val="clear" w:color="bebebe" w:fill="bebebe"/>
      </w:tcPr>
    </w:tblStylePr>
    <w:tblStylePr w:type="firstCol">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1"/>
    <w:basedOn w:val="647"/>
    <w:uiPriority w:val="0"/>
    <w:qFormat/>
    <w:pPr>
      <w:spacing w:after="0" w:line="240" w:lineRule="auto"/>
    </w:pPr>
    <w:rPr>
      <w:rFonts w:ascii="Times New Roman" w:hAnsi="Times New Roman" w:eastAsia="宋体" w:cs="Times New Roman"/>
    </w:rPr>
    <w:tblPr>
      <w:tblBorders>
        <w:right w:val="single" w:color="5B9BD5" w:sz="4" w:space="0"/>
      </w:tblBorders>
    </w:tblPr>
    <w:tblStylePr w:type="band1Horz">
      <w:tcPr>
        <w:shd w:val="clear" w:color="d5e5f4" w:fill="d5e5f4"/>
      </w:tcPr>
    </w:tblStylePr>
    <w:tblStylePr w:type="band1Vert">
      <w:tcPr>
        <w:shd w:val="clear" w:color="d5e5f4" w:fill="d5e5f4"/>
      </w:tcPr>
    </w:tblStylePr>
    <w:tblStylePr w:type="firstCol">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tcPr>
        <w:shd w:val="clear" w:color="ffffff" w:fill="ffffff"/>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Row">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2"/>
    <w:basedOn w:val="647"/>
    <w:uiPriority w:val="0"/>
    <w:qFormat/>
    <w:pPr>
      <w:spacing w:after="0" w:line="240" w:lineRule="auto"/>
    </w:pPr>
    <w:rPr>
      <w:rFonts w:ascii="Times New Roman" w:hAnsi="Times New Roman" w:eastAsia="宋体" w:cs="Times New Roman"/>
    </w:rPr>
    <w:tblPr>
      <w:tblBorders>
        <w:right w:val="single" w:color="F4B285" w:sz="4" w:space="0"/>
      </w:tblBorders>
    </w:tblPr>
    <w:tblStylePr w:type="band1Horz">
      <w:tcPr>
        <w:shd w:val="clear" w:color="fadecb" w:fill="fadecb"/>
      </w:tcPr>
    </w:tblStylePr>
    <w:tblStylePr w:type="band1Vert">
      <w:tcPr>
        <w:shd w:val="clear" w:color="fadecb" w:fill="fadecb"/>
      </w:tcPr>
    </w:tblStylePr>
    <w:tblStylePr w:type="firstCol">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tcPr>
        <w:shd w:val="clear" w:color="ffffff" w:fill="ffffff"/>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Row">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3"/>
    <w:basedOn w:val="647"/>
    <w:uiPriority w:val="0"/>
    <w:qFormat/>
    <w:pPr>
      <w:spacing w:after="0" w:line="240" w:lineRule="auto"/>
    </w:pPr>
    <w:rPr>
      <w:rFonts w:ascii="Times New Roman" w:hAnsi="Times New Roman" w:eastAsia="宋体" w:cs="Times New Roman"/>
    </w:rPr>
    <w:tblPr>
      <w:tblBorders>
        <w:right w:val="single" w:color="C9C9C9" w:sz="4" w:space="0"/>
      </w:tblBorders>
    </w:tblPr>
    <w:tblStylePr w:type="band1Horz">
      <w:tcPr>
        <w:shd w:val="clear" w:color="e8e8e8" w:fill="e8e8e8"/>
      </w:tcPr>
    </w:tblStylePr>
    <w:tblStylePr w:type="band1Vert">
      <w:tcPr>
        <w:shd w:val="clear" w:color="e8e8e8" w:fill="e8e8e8"/>
      </w:tcPr>
    </w:tblStylePr>
    <w:tblStylePr w:type="firstCol">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tcPr>
        <w:shd w:val="clear" w:color="ffffff" w:fill="ffffff"/>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Row">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4"/>
    <w:basedOn w:val="647"/>
    <w:uiPriority w:val="0"/>
    <w:qFormat/>
    <w:pPr>
      <w:spacing w:after="0" w:line="240" w:lineRule="auto"/>
    </w:pPr>
    <w:rPr>
      <w:rFonts w:ascii="Times New Roman" w:hAnsi="Times New Roman" w:eastAsia="宋体" w:cs="Times New Roman"/>
    </w:rPr>
    <w:tblPr>
      <w:tblBorders>
        <w:right w:val="single" w:color="FFD864" w:sz="4" w:space="0"/>
      </w:tblBorders>
    </w:tblPr>
    <w:tblStylePr w:type="band1Horz">
      <w:tcPr>
        <w:shd w:val="clear" w:color="ffefbe" w:fill="ffefbe"/>
      </w:tcPr>
    </w:tblStylePr>
    <w:tblStylePr w:type="band1Vert">
      <w:tcPr>
        <w:shd w:val="clear" w:color="ffefbe" w:fill="ffefbe"/>
      </w:tcPr>
    </w:tblStylePr>
    <w:tblStylePr w:type="firstCol">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tcPr>
        <w:shd w:val="clear" w:color="ffffff" w:fill="ffffff"/>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Row">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7 Colorful - Accent 5"/>
    <w:basedOn w:val="647"/>
    <w:uiPriority w:val="0"/>
    <w:qFormat/>
    <w:pPr>
      <w:spacing w:after="0" w:line="240" w:lineRule="auto"/>
    </w:pPr>
    <w:rPr>
      <w:rFonts w:ascii="Times New Roman" w:hAnsi="Times New Roman" w:eastAsia="宋体" w:cs="Times New Roman"/>
    </w:rPr>
    <w:tblPr>
      <w:tblBorders>
        <w:right w:val="single" w:color="8EA9DB" w:sz="4" w:space="0"/>
      </w:tblBorders>
    </w:tblPr>
    <w:tblStylePr w:type="band1Horz">
      <w:tcPr>
        <w:shd w:val="clear" w:color="d0dbf0" w:fill="d0dbf0"/>
      </w:tcPr>
    </w:tblStylePr>
    <w:tblStylePr w:type="band1Vert">
      <w:tcPr>
        <w:shd w:val="clear" w:color="d0dbf0" w:fill="d0dbf0"/>
      </w:tcPr>
    </w:tblStylePr>
    <w:tblStylePr w:type="firstCol">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tcPr>
        <w:shd w:val="clear" w:color="ffffff" w:fill="ffffff"/>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Row">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7 Colorful - Accent 6"/>
    <w:basedOn w:val="647"/>
    <w:uiPriority w:val="0"/>
    <w:qFormat/>
    <w:pPr>
      <w:spacing w:after="0" w:line="240" w:lineRule="auto"/>
    </w:pPr>
    <w:rPr>
      <w:rFonts w:ascii="Times New Roman" w:hAnsi="Times New Roman" w:eastAsia="宋体" w:cs="Times New Roman"/>
    </w:rPr>
    <w:tblPr>
      <w:tblBorders>
        <w:right w:val="single" w:color="A9D08E" w:sz="4" w:space="0"/>
      </w:tblBorders>
    </w:tblPr>
    <w:tblStylePr w:type="band1Horz">
      <w:tcPr>
        <w:shd w:val="clear" w:color="daebcf" w:fill="daebcf"/>
      </w:tcPr>
    </w:tblStylePr>
    <w:tblStylePr w:type="band1Vert">
      <w:tcPr>
        <w:shd w:val="clear" w:color="daebcf" w:fill="daebcf"/>
      </w:tcPr>
    </w:tblStylePr>
    <w:tblStylePr w:type="firstCol">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tcPr>
        <w:shd w:val="clear" w:color="ffffff" w:fill="ffffff"/>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Col">
      <w:tcPr>
        <w:shd w:val="clear" w:color="ffffff" w:fill="auto"/>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Row">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Lined - Accent"/>
    <w:basedOn w:val="647"/>
    <w:uiPriority w:val="0"/>
    <w:qFormat/>
    <w:pPr>
      <w:spacing w:after="0" w:line="240" w:lineRule="auto"/>
    </w:pPr>
    <w:rPr>
      <w:rFonts w:ascii="Times New Roman" w:hAnsi="Times New Roman" w:eastAsia="宋体" w:cs="Times New Roman"/>
      <w:color w:val="404040"/>
    </w:rPr>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28" w:customStyle="1">
    <w:name w:val="Lined - Accent 1"/>
    <w:basedOn w:val="647"/>
    <w:uiPriority w:val="0"/>
    <w:qFormat/>
    <w:pPr>
      <w:spacing w:after="0" w:line="240" w:lineRule="auto"/>
    </w:pPr>
    <w:rPr>
      <w:rFonts w:ascii="Times New Roman" w:hAnsi="Times New Roman" w:eastAsia="宋体" w:cs="Times New Roman"/>
      <w:color w:val="404040"/>
    </w:rPr>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29" w:customStyle="1">
    <w:name w:val="Lined - Accent 2"/>
    <w:basedOn w:val="647"/>
    <w:uiPriority w:val="0"/>
    <w:qFormat/>
    <w:pPr>
      <w:spacing w:after="0" w:line="240" w:lineRule="auto"/>
    </w:pPr>
    <w:rPr>
      <w:rFonts w:ascii="Times New Roman" w:hAnsi="Times New Roman" w:eastAsia="宋体" w:cs="Times New Roman"/>
      <w:color w:val="404040"/>
    </w:rPr>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30" w:customStyle="1">
    <w:name w:val="Lined - Accent 3"/>
    <w:basedOn w:val="647"/>
    <w:uiPriority w:val="0"/>
    <w:qFormat/>
    <w:pPr>
      <w:spacing w:after="0" w:line="240" w:lineRule="auto"/>
    </w:pPr>
    <w:rPr>
      <w:rFonts w:ascii="Times New Roman" w:hAnsi="Times New Roman" w:eastAsia="宋体" w:cs="Times New Roman"/>
      <w:color w:val="404040"/>
    </w:rPr>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31" w:customStyle="1">
    <w:name w:val="Lined - Accent 4"/>
    <w:basedOn w:val="647"/>
    <w:uiPriority w:val="0"/>
    <w:qFormat/>
    <w:pPr>
      <w:spacing w:after="0" w:line="240" w:lineRule="auto"/>
    </w:pPr>
    <w:rPr>
      <w:rFonts w:ascii="Times New Roman" w:hAnsi="Times New Roman" w:eastAsia="宋体" w:cs="Times New Roman"/>
      <w:color w:val="404040"/>
    </w:rPr>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2" w:customStyle="1">
    <w:name w:val="Lined - Accent 5"/>
    <w:basedOn w:val="647"/>
    <w:uiPriority w:val="0"/>
    <w:qFormat/>
    <w:pPr>
      <w:spacing w:after="0" w:line="240" w:lineRule="auto"/>
    </w:pPr>
    <w:rPr>
      <w:rFonts w:ascii="Times New Roman" w:hAnsi="Times New Roman" w:eastAsia="宋体" w:cs="Times New Roman"/>
      <w:color w:val="404040"/>
    </w:rPr>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33" w:customStyle="1">
    <w:name w:val="Lined - Accent 6"/>
    <w:basedOn w:val="647"/>
    <w:uiPriority w:val="0"/>
    <w:qFormat/>
    <w:pPr>
      <w:spacing w:after="0" w:line="240" w:lineRule="auto"/>
    </w:pPr>
    <w:rPr>
      <w:rFonts w:ascii="Times New Roman" w:hAnsi="Times New Roman" w:eastAsia="宋体" w:cs="Times New Roman"/>
      <w:color w:val="404040"/>
    </w:rPr>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34" w:customStyle="1">
    <w:name w:val="Bordered &amp; Lined - Accent"/>
    <w:basedOn w:val="647"/>
    <w:uiPriority w:val="0"/>
    <w:qFormat/>
    <w:pPr>
      <w:spacing w:after="0" w:line="240" w:lineRule="auto"/>
    </w:pPr>
    <w:rPr>
      <w:rFonts w:ascii="Times New Roman" w:hAnsi="Times New Roman" w:eastAsia="宋体" w:cs="Times New Roman"/>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2Horz">
      <w:tcPr>
        <w:shd w:val="clear" w:color="f1f1f1" w:fill="f1f1f1"/>
      </w:tcPr>
    </w:tblStylePr>
    <w:tblStylePr w:type="band2Vert">
      <w:tcPr>
        <w:shd w:val="clear" w:color="f1f1f1" w:fill="f1f1f1"/>
      </w:tcPr>
    </w:tblStylePr>
    <w:tblStylePr w:type="firstCol">
      <w:tcPr>
        <w:shd w:val="clear" w:color="7e7e7e" w:fill="7e7e7e"/>
      </w:tcPr>
    </w:tblStylePr>
    <w:tblStylePr w:type="firstRow">
      <w:tcPr>
        <w:shd w:val="clear" w:color="7e7e7e" w:fill="7e7e7e"/>
      </w:tcPr>
    </w:tblStylePr>
    <w:tblStylePr w:type="lastCol">
      <w:tcPr>
        <w:shd w:val="clear" w:color="7e7e7e" w:fill="7e7e7e"/>
      </w:tcPr>
    </w:tblStylePr>
    <w:tblStylePr w:type="lastRow">
      <w:tcPr>
        <w:shd w:val="clear" w:color="7e7e7e" w:fill="7e7e7e"/>
      </w:tcPr>
    </w:tblStylePr>
  </w:style>
  <w:style w:type="table" w:styleId="835" w:customStyle="1">
    <w:name w:val="Bordered &amp; Lined - Accent 1"/>
    <w:basedOn w:val="647"/>
    <w:uiPriority w:val="0"/>
    <w:qFormat/>
    <w:pPr>
      <w:spacing w:after="0" w:line="240" w:lineRule="auto"/>
    </w:pPr>
    <w:rPr>
      <w:rFonts w:ascii="Times New Roman" w:hAnsi="Times New Roman" w:eastAsia="宋体" w:cs="Times New Roman"/>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2Horz">
      <w:tcPr>
        <w:shd w:val="clear" w:color="cbdff1" w:fill="cbdff1"/>
      </w:tcPr>
    </w:tblStylePr>
    <w:tblStylePr w:type="band2Vert">
      <w:tcPr>
        <w:shd w:val="clear" w:color="cbdff1" w:fill="cbdff1"/>
      </w:tcPr>
    </w:tblStylePr>
    <w:tblStylePr w:type="firstCol">
      <w:tcPr>
        <w:shd w:val="clear" w:color="68a3d8" w:fill="68a3d8"/>
      </w:tcPr>
    </w:tblStylePr>
    <w:tblStylePr w:type="firstRow">
      <w:tcPr>
        <w:shd w:val="clear" w:color="68a3d8" w:fill="68a3d8"/>
      </w:tcPr>
    </w:tblStylePr>
    <w:tblStylePr w:type="lastCol">
      <w:tcPr>
        <w:shd w:val="clear" w:color="68a3d8" w:fill="68a3d8"/>
      </w:tcPr>
    </w:tblStylePr>
    <w:tblStylePr w:type="lastRow">
      <w:tcPr>
        <w:shd w:val="clear" w:color="68a3d8" w:fill="68a3d8"/>
      </w:tcPr>
    </w:tblStylePr>
  </w:style>
  <w:style w:type="table" w:styleId="836" w:customStyle="1">
    <w:name w:val="Bordered &amp; Lined - Accent 2"/>
    <w:basedOn w:val="647"/>
    <w:uiPriority w:val="0"/>
    <w:qFormat/>
    <w:pPr>
      <w:spacing w:after="0" w:line="240" w:lineRule="auto"/>
    </w:pPr>
    <w:rPr>
      <w:rFonts w:ascii="Times New Roman" w:hAnsi="Times New Roman" w:eastAsia="宋体" w:cs="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2Horz">
      <w:tcPr>
        <w:shd w:val="clear" w:color="fbe5d6" w:fill="fbe5d6"/>
      </w:tcPr>
    </w:tblStylePr>
    <w:tblStylePr w:type="band2Vert">
      <w:tcPr>
        <w:shd w:val="clear" w:color="fbe5d6" w:fill="fbe5d6"/>
      </w:tcPr>
    </w:tblStylePr>
    <w:tblStylePr w:type="firstCol">
      <w:tcPr>
        <w:shd w:val="clear" w:color="f4b285" w:fill="f4b285"/>
      </w:tcPr>
    </w:tblStylePr>
    <w:tblStylePr w:type="firstRow">
      <w:tcPr>
        <w:shd w:val="clear" w:color="f4b285" w:fill="f4b285"/>
      </w:tcPr>
    </w:tblStylePr>
    <w:tblStylePr w:type="lastCol">
      <w:tcPr>
        <w:shd w:val="clear" w:color="f4b285" w:fill="f4b285"/>
      </w:tcPr>
    </w:tblStylePr>
    <w:tblStylePr w:type="lastRow">
      <w:tcPr>
        <w:shd w:val="clear" w:color="f4b285" w:fill="f4b285"/>
      </w:tcPr>
    </w:tblStylePr>
  </w:style>
  <w:style w:type="table" w:styleId="837" w:customStyle="1">
    <w:name w:val="Bordered &amp; Lined - Accent 3"/>
    <w:basedOn w:val="647"/>
    <w:uiPriority w:val="0"/>
    <w:qFormat/>
    <w:pPr>
      <w:spacing w:after="0" w:line="240" w:lineRule="auto"/>
    </w:pPr>
    <w:rPr>
      <w:rFonts w:ascii="Times New Roman" w:hAnsi="Times New Roman" w:eastAsia="宋体" w:cs="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2Horz">
      <w:tcPr>
        <w:shd w:val="clear" w:color="ececec" w:fill="ececec"/>
      </w:tcPr>
    </w:tblStylePr>
    <w:tblStylePr w:type="band2Vert">
      <w:tcPr>
        <w:shd w:val="clear" w:color="ececec" w:fill="ececec"/>
      </w:tcPr>
    </w:tblStylePr>
    <w:tblStylePr w:type="firstCol">
      <w:tcPr>
        <w:shd w:val="clear" w:color="a5a5a5" w:fill="a5a5a5"/>
      </w:tcPr>
    </w:tblStylePr>
    <w:tblStylePr w:type="firstRow">
      <w:tcPr>
        <w:shd w:val="clear" w:color="a5a5a5" w:fill="a5a5a5"/>
      </w:tcPr>
    </w:tblStylePr>
    <w:tblStylePr w:type="lastCol">
      <w:tcPr>
        <w:shd w:val="clear" w:color="a5a5a5" w:fill="a5a5a5"/>
      </w:tcPr>
    </w:tblStylePr>
    <w:tblStylePr w:type="lastRow">
      <w:tcPr>
        <w:shd w:val="clear" w:color="a5a5a5" w:fill="a5a5a5"/>
      </w:tcPr>
    </w:tblStylePr>
  </w:style>
  <w:style w:type="table" w:styleId="838" w:customStyle="1">
    <w:name w:val="Bordered &amp; Lined - Accent 4"/>
    <w:basedOn w:val="647"/>
    <w:uiPriority w:val="0"/>
    <w:qFormat/>
    <w:pPr>
      <w:spacing w:after="0" w:line="240" w:lineRule="auto"/>
    </w:pPr>
    <w:rPr>
      <w:rFonts w:ascii="Times New Roman" w:hAnsi="Times New Roman" w:eastAsia="宋体" w:cs="Times New Roman"/>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2Horz">
      <w:tcPr>
        <w:shd w:val="clear" w:color="fef2ca" w:fill="fef2ca"/>
      </w:tcPr>
    </w:tblStylePr>
    <w:tblStylePr w:type="band2Vert">
      <w:tcPr>
        <w:shd w:val="clear" w:color="fef2ca" w:fill="fef2ca"/>
      </w:tcPr>
    </w:tblStylePr>
    <w:tblStylePr w:type="firstCol">
      <w:tcPr>
        <w:shd w:val="clear" w:color="ffd864" w:fill="ffd864"/>
      </w:tcPr>
    </w:tblStylePr>
    <w:tblStylePr w:type="firstRow">
      <w:tcPr>
        <w:shd w:val="clear" w:color="ffd864" w:fill="ffd864"/>
      </w:tcPr>
    </w:tblStylePr>
    <w:tblStylePr w:type="lastCol">
      <w:tcPr>
        <w:shd w:val="clear" w:color="ffd864" w:fill="ffd864"/>
      </w:tcPr>
    </w:tblStylePr>
    <w:tblStylePr w:type="lastRow">
      <w:tcPr>
        <w:shd w:val="clear" w:color="ffd864" w:fill="ffd864"/>
      </w:tcPr>
    </w:tblStylePr>
  </w:style>
  <w:style w:type="table" w:styleId="839" w:customStyle="1">
    <w:name w:val="Bordered &amp; Lined - Accent 5"/>
    <w:basedOn w:val="647"/>
    <w:uiPriority w:val="0"/>
    <w:qFormat/>
    <w:pPr>
      <w:spacing w:after="0" w:line="240" w:lineRule="auto"/>
    </w:pPr>
    <w:rPr>
      <w:rFonts w:ascii="Times New Roman" w:hAnsi="Times New Roman" w:eastAsia="宋体" w:cs="Times New Roman"/>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2Horz">
      <w:tcPr>
        <w:shd w:val="clear" w:color="d8e2f2" w:fill="d8e2f2"/>
      </w:tcPr>
    </w:tblStylePr>
    <w:tblStylePr w:type="band2Vert">
      <w:tcPr>
        <w:shd w:val="clear" w:color="d8e2f2" w:fill="d8e2f2"/>
      </w:tcPr>
    </w:tblStylePr>
    <w:tblStylePr w:type="firstCol">
      <w:tcPr>
        <w:shd w:val="clear" w:color="4472c4" w:fill="4472c4"/>
      </w:tcPr>
    </w:tblStylePr>
    <w:tblStylePr w:type="firstRow">
      <w:tcPr>
        <w:shd w:val="clear" w:color="4472c4" w:fill="4472c4"/>
      </w:tcPr>
    </w:tblStylePr>
    <w:tblStylePr w:type="lastCol">
      <w:tcPr>
        <w:shd w:val="clear" w:color="4472c4" w:fill="4472c4"/>
      </w:tcPr>
    </w:tblStylePr>
    <w:tblStylePr w:type="lastRow">
      <w:tcPr>
        <w:shd w:val="clear" w:color="4472c4" w:fill="4472c4"/>
      </w:tcPr>
    </w:tblStylePr>
  </w:style>
  <w:style w:type="table" w:styleId="840" w:customStyle="1">
    <w:name w:val="Bordered &amp; Lined - Accent 6"/>
    <w:basedOn w:val="647"/>
    <w:uiPriority w:val="0"/>
    <w:qFormat/>
    <w:pPr>
      <w:spacing w:after="0" w:line="240" w:lineRule="auto"/>
    </w:pPr>
    <w:rPr>
      <w:rFonts w:ascii="Times New Roman" w:hAnsi="Times New Roman" w:eastAsia="宋体" w:cs="Times New Roman"/>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2Horz">
      <w:tcPr>
        <w:shd w:val="clear" w:color="e1efd8" w:fill="e1efd8"/>
      </w:tcPr>
    </w:tblStylePr>
    <w:tblStylePr w:type="band2Vert">
      <w:tcPr>
        <w:shd w:val="clear" w:color="e1efd8" w:fill="e1efd8"/>
      </w:tcPr>
    </w:tblStylePr>
    <w:tblStylePr w:type="firstCol">
      <w:tcPr>
        <w:shd w:val="clear" w:color="70ad47" w:fill="70ad47"/>
      </w:tcPr>
    </w:tblStylePr>
    <w:tblStylePr w:type="firstRow">
      <w:tcPr>
        <w:shd w:val="clear" w:color="70ad47" w:fill="70ad47"/>
      </w:tcPr>
    </w:tblStylePr>
    <w:tblStylePr w:type="lastCol">
      <w:tcPr>
        <w:shd w:val="clear" w:color="70ad47" w:fill="70ad47"/>
      </w:tcPr>
    </w:tblStylePr>
    <w:tblStylePr w:type="lastRow">
      <w:tcPr>
        <w:shd w:val="clear" w:color="70ad47" w:fill="70ad47"/>
      </w:tcPr>
    </w:tblStylePr>
  </w:style>
  <w:style w:type="table" w:styleId="841" w:customStyle="1">
    <w:name w:val="Bordered"/>
    <w:basedOn w:val="647"/>
    <w:uiPriority w:val="0"/>
    <w:qFormat/>
    <w:pPr>
      <w:spacing w:after="0" w:line="240" w:lineRule="auto"/>
    </w:pPr>
    <w:rPr>
      <w:rFonts w:ascii="Times New Roman" w:hAnsi="Times New Roman" w:eastAsia="宋体" w:cs="Times New Roman"/>
    </w:r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Row">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1"/>
    <w:basedOn w:val="647"/>
    <w:uiPriority w:val="0"/>
    <w:qFormat/>
    <w:pPr>
      <w:spacing w:after="0" w:line="240" w:lineRule="auto"/>
    </w:pPr>
    <w:rPr>
      <w:rFonts w:ascii="Times New Roman" w:hAnsi="Times New Roman" w:eastAsia="宋体" w:cs="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Row">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Row">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2"/>
    <w:basedOn w:val="647"/>
    <w:uiPriority w:val="0"/>
    <w:qFormat/>
    <w:pPr>
      <w:spacing w:after="0" w:line="240" w:lineRule="auto"/>
    </w:pPr>
    <w:rPr>
      <w:rFonts w:ascii="Times New Roman" w:hAnsi="Times New Roman" w:eastAsia="宋体" w:cs="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Row">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Row">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3"/>
    <w:basedOn w:val="647"/>
    <w:uiPriority w:val="0"/>
    <w:qFormat/>
    <w:pPr>
      <w:spacing w:after="0" w:line="240" w:lineRule="auto"/>
    </w:pPr>
    <w:rPr>
      <w:rFonts w:ascii="Times New Roman" w:hAnsi="Times New Roman" w:eastAsia="宋体" w:cs="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Row">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Row">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4"/>
    <w:basedOn w:val="647"/>
    <w:uiPriority w:val="0"/>
    <w:qFormat/>
    <w:pPr>
      <w:spacing w:after="0" w:line="240" w:lineRule="auto"/>
    </w:pPr>
    <w:rPr>
      <w:rFonts w:ascii="Times New Roman" w:hAnsi="Times New Roman" w:eastAsia="宋体" w:cs="Times New Roman"/>
    </w:r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Row">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Row">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Bordered - Accent 5"/>
    <w:basedOn w:val="647"/>
    <w:uiPriority w:val="0"/>
    <w:qFormat/>
    <w:pPr>
      <w:spacing w:after="0" w:line="240" w:lineRule="auto"/>
    </w:pPr>
    <w:rPr>
      <w:rFonts w:ascii="Times New Roman" w:hAnsi="Times New Roman" w:eastAsia="宋体" w:cs="Times New Roman"/>
    </w:r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Row">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Row">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Bordered - Accent 6"/>
    <w:basedOn w:val="647"/>
    <w:uiPriority w:val="0"/>
    <w:qFormat/>
    <w:pPr>
      <w:spacing w:after="0" w:line="240" w:lineRule="auto"/>
    </w:pPr>
    <w:rPr>
      <w:rFonts w:ascii="Times New Roman" w:hAnsi="Times New Roman" w:eastAsia="宋体" w:cs="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Row">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Row">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8" w:customStyle="1">
    <w:name w:val="TOC Heading_896fdbc1-233e-4be8-9400-2c907556909b"/>
    <w:uiPriority w:val="0"/>
    <w:qFormat/>
    <w:rPr>
      <w:rFonts w:hint="default" w:ascii="Times New Roman" w:hAnsi="Times New Roman" w:eastAsia="宋体" w:cs="Times New Roman"/>
    </w:rPr>
  </w:style>
  <w:style w:type="table" w:styleId="849" w:customStyle="1">
    <w:name w:val="三线表"/>
    <w:basedOn w:val="647"/>
    <w:uiPriority w:val="0"/>
    <w:qFormat/>
    <w:rPr>
      <w:rFonts w:ascii="Times New Roman" w:hAnsi="Times New Roman" w:eastAsia="宋体" w:cs="Times New Roman"/>
    </w:rPr>
    <w:tblPr>
      <w:tblBorders>
        <w:top w:val="single" w:color="000000" w:sz="12" w:space="0"/>
        <w:bottom w:val="single" w:color="000000" w:sz="12" w:space="0"/>
      </w:tblBorders>
      <w:tblCellMar>
        <w:left w:w="108" w:type="dxa"/>
        <w:top w:w="0" w:type="dxa"/>
        <w:right w:w="108" w:type="dxa"/>
        <w:bottom w:w="0" w:type="dxa"/>
      </w:tblCellMar>
    </w:tblPr>
    <w:tblStylePr w:type="firstRow">
      <w:tcPr>
        <w:tcBorders>
          <w:top w:val="none" w:color="000000" w:sz="4" w:space="0"/>
          <w:left w:val="single" w:color="auto" w:sz="4" w:space="0"/>
          <w:bottom w:val="none" w:color="000000" w:sz="4" w:space="0"/>
          <w:right w:val="none" w:color="000000" w:sz="4" w:space="0"/>
          <w:insideH w:val="none" w:color="000000" w:sz="4" w:space="0"/>
          <w:insideV w:val="none" w:color="000000" w:sz="4" w:space="0"/>
        </w:tcBorders>
      </w:tcPr>
    </w:tblStylePr>
  </w:style>
  <w:style w:type="character" w:styleId="850" w:customStyle="1">
    <w:name w:val="正文文本 Char"/>
    <w:basedOn w:val="646"/>
    <w:uiPriority w:val="0"/>
    <w:qFormat/>
    <w:rPr>
      <w:rFonts w:ascii="Times New Roman" w:hAnsi="Times New Roman" w:eastAsia="宋体" w:cs="Times New Roman"/>
      <w:sz w:val="24"/>
      <w:szCs w:val="24"/>
    </w:rPr>
  </w:style>
  <w:style w:type="character" w:styleId="851" w:customStyle="1">
    <w:name w:val="正文文本缩进 3 Char"/>
    <w:basedOn w:val="646"/>
    <w:uiPriority w:val="0"/>
    <w:qFormat/>
    <w:rPr>
      <w:rFonts w:ascii="Times New Roman" w:hAnsi="Times New Roman" w:eastAsia="宋体" w:cs="Times New Roman"/>
      <w:sz w:val="16"/>
      <w:szCs w:val="16"/>
    </w:rPr>
  </w:style>
  <w:style w:type="paragraph" w:styleId="852" w:customStyle="1">
    <w:name w:val="正文首行缩进2字符"/>
    <w:basedOn w:val="636"/>
    <w:uiPriority w:val="0"/>
    <w:qFormat/>
    <w:pPr>
      <w:ind w:firstLine="482"/>
    </w:pPr>
    <w:rPr>
      <w:rFonts w:ascii="Times New Roman" w:hAnsi="Times New Roman" w:eastAsia="宋体" w:cs="Times New Roman"/>
    </w:rPr>
  </w:style>
  <w:style w:type="character" w:styleId="853" w:customStyle="1">
    <w:name w:val="current"/>
    <w:basedOn w:val="646"/>
    <w:uiPriority w:val="0"/>
    <w:qFormat/>
    <w:rPr>
      <w:rFonts w:ascii="Times New Roman" w:hAnsi="Times New Roman" w:eastAsia="宋体" w:cs="Times New Roman"/>
      <w:b/>
      <w:bCs/>
      <w:color w:val="05a7d8"/>
      <w:sz w:val="18"/>
      <w:szCs w:val="18"/>
    </w:rPr>
  </w:style>
  <w:style w:type="character" w:styleId="854" w:customStyle="1">
    <w:name w:val="l-btn-left"/>
    <w:basedOn w:val="646"/>
    <w:uiPriority w:val="0"/>
    <w:qFormat/>
    <w:rPr>
      <w:rFonts w:ascii="Times New Roman" w:hAnsi="Times New Roman" w:eastAsia="宋体" w:cs="Times New Roman"/>
    </w:rPr>
  </w:style>
  <w:style w:type="character" w:styleId="855" w:customStyle="1">
    <w:name w:val="l-btn-text36"/>
    <w:basedOn w:val="646"/>
    <w:uiPriority w:val="0"/>
    <w:qFormat/>
    <w:rPr>
      <w:rFonts w:ascii="Times New Roman" w:hAnsi="Times New Roman" w:eastAsia="宋体" w:cs="Times New Roman"/>
    </w:rPr>
  </w:style>
  <w:style w:type="character" w:styleId="856" w:customStyle="1">
    <w:name w:val="l-btn-text"/>
    <w:basedOn w:val="646"/>
    <w:uiPriority w:val="0"/>
    <w:qFormat/>
    <w:rPr>
      <w:rFonts w:ascii="Times New Roman" w:hAnsi="Times New Roman" w:eastAsia="宋体" w:cs="Times New Roman"/>
    </w:rPr>
  </w:style>
  <w:style w:type="character" w:styleId="857" w:customStyle="1">
    <w:name w:val="grame"/>
    <w:basedOn w:val="646"/>
    <w:uiPriority w:val="0"/>
    <w:qFormat/>
    <w:rPr>
      <w:rFonts w:ascii="Times New Roman" w:hAnsi="Times New Roman" w:eastAsia="宋体" w:cs="Times New Roman"/>
    </w:rPr>
  </w:style>
  <w:style w:type="paragraph" w:styleId="858" w:customStyle="1">
    <w:name w:val="标准文本"/>
    <w:basedOn w:val="636"/>
    <w:uiPriority w:val="0"/>
    <w:qFormat/>
    <w:pPr>
      <w:ind w:firstLine="480"/>
      <w:spacing w:line="360" w:lineRule="auto"/>
    </w:pPr>
    <w:rPr>
      <w:rFonts w:ascii="Times New Roman" w:hAnsi="Times New Roman" w:eastAsia="宋体" w:cs="宋体"/>
      <w:szCs w:val="20"/>
    </w:rPr>
  </w:style>
  <w:style w:type="paragraph" w:styleId="859" w:customStyle="1">
    <w:name w:val="_Style 3"/>
    <w:uiPriority w:val="0"/>
    <w:qFormat/>
    <w:pPr>
      <w:jc w:val="both"/>
      <w:widowControl w:val="off"/>
    </w:pPr>
    <w:rPr>
      <w:rFonts w:hint="default" w:ascii="Calibri" w:hAnsi="Calibri" w:eastAsia="宋体" w:cs="Times New Roman"/>
      <w:sz w:val="21"/>
      <w:szCs w:val="22"/>
      <w:lang w:val="en-US" w:eastAsia="zh-CN" w:bidi="ar-SA"/>
    </w:rPr>
  </w:style>
  <w:style w:type="character" w:styleId="860" w:customStyle="1">
    <w:name w:val="active16"/>
    <w:basedOn w:val="646"/>
    <w:uiPriority w:val="0"/>
    <w:qFormat/>
    <w:rPr>
      <w:rFonts w:ascii="Times New Roman" w:hAnsi="Times New Roman" w:eastAsia="宋体" w:cs="Times New Roman"/>
      <w:color w:val="ffffff"/>
      <w:shd w:val="clear" w:color="auto" w:fill="0f5bb9"/>
    </w:rPr>
  </w:style>
  <w:style w:type="character" w:styleId="861" w:customStyle="1">
    <w:name w:val="active"/>
    <w:basedOn w:val="646"/>
    <w:uiPriority w:val="0"/>
    <w:qFormat/>
    <w:rPr>
      <w:rFonts w:ascii="Times New Roman" w:hAnsi="Times New Roman" w:eastAsia="宋体" w:cs="Times New Roman"/>
      <w:color w:val="ffffff"/>
      <w:shd w:val="clear" w:color="auto" w:fill="0f5bb9"/>
    </w:rPr>
  </w:style>
  <w:style w:type="numbering" w:styleId="77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晗宇 康</dc:creator>
  <cp:lastModifiedBy>黄雪峰</cp:lastModifiedBy>
  <cp:revision>5</cp:revision>
  <dcterms:created xsi:type="dcterms:W3CDTF">2024-12-09T02:34:00Z</dcterms:created>
  <dcterms:modified xsi:type="dcterms:W3CDTF">2026-07-16T08:34:14Z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9AE3DA34068934E94D0D4F6AF1B00B7C_43</vt:lpwstr>
  </property>
  <property fmtid="{D5CDD505-2E9C-101B-9397-08002B2CF9AE}" pid="4" name="KSOTemplateDocerSaveRecord">
    <vt:lpwstr>eyJoZGlkIjoiZGFmOTA5N2IxNmQ1YWY5MjI1YTlkYmVhY2NiMGJkN2QiLCJ1c2VySWQiOiI1Njk0NzI4ODgifQ==</vt:lpwstr>
  </property>
</Properties>
</file>