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5"/>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铜山社区卫生服务中心采购医用内窥镜一批</w:t>
      </w:r>
      <w:r/>
    </w:p>
    <w:p>
      <w:pPr>
        <w:pStyle w:val="68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5"/>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8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5"/>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9</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南京市江宁区禄口街道铜山社区卫生服务中心</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第五章  合同主要条款</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5"/>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5"/>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5"/>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3"/>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铜山社区卫生服务中心采购医用内窥镜一批</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JSZC-320115-DJGS-G2026-0009</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JSZC-320115-DJGS-G2026-0009</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铜山社区卫生服务中心采购医用内窥镜一批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120</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115万元，</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3"/>
        <w:tblW w:w="4839" w:type="pct"/>
        <w:jc w:val="center"/>
        <w:tblLayout w:type="autofit"/>
        <w:tblCellMar>
          <w:left w:w="0" w:type="dxa"/>
          <w:top w:w="0" w:type="dxa"/>
          <w:right w:w="0" w:type="dxa"/>
          <w:bottom w:w="0" w:type="dxa"/>
        </w:tblCellMar>
        <w:tblLook w:val="04A0" w:firstRow="1" w:lastRow="0" w:firstColumn="1" w:lastColumn="0" w:noHBand="0" w:noVBand="1"/>
      </w:tblPr>
      <w:tblGrid>
        <w:gridCol w:w="700"/>
        <w:gridCol w:w="2884"/>
        <w:gridCol w:w="961"/>
        <w:gridCol w:w="1040"/>
        <w:gridCol w:w="2376"/>
        <w:gridCol w:w="1367"/>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cs="宋体"/>
                <w:color w:val="000000" w:themeColor="text1"/>
                <w:highlight w:val="none"/>
                <w:lang w:val="en-US" w:eastAsia="zh-CN"/>
                <w14:textFill>
                  <w14:solidFill>
                    <w14:schemeClr w14:val="tx1"/>
                  </w14:solidFill>
                </w14:textFill>
              </w:rPr>
              <w:t xml:space="preserve">序</w:t>
            </w:r>
            <w:r>
              <w:rPr>
                <w:rFonts w:hint="eastAsia" w:ascii="宋体" w:hAnsi="宋体" w:eastAsia="宋体" w:cs="宋体"/>
                <w:color w:val="000000" w:themeColor="text1"/>
                <w:highlight w:val="none"/>
                <w14:textFill>
                  <w14:solidFill>
                    <w14:schemeClr w14:val="tx1"/>
                  </w14:solidFill>
                </w14:textFill>
              </w:rPr>
              <w:t xml:space="preserve">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4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4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医用内窥镜</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115</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15"/>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9-</w:t>
      </w:r>
      <w:r>
        <w:rPr>
          <w:rFonts w:hint="eastAsia" w:ascii="宋体" w:hAnsi="宋体" w:cs="宋体"/>
          <w:bCs/>
          <w:color w:val="000000" w:themeColor="text1"/>
          <w:szCs w:val="21"/>
          <w:highlight w:val="none"/>
          <w:lang w:val="en-US" w:eastAsia="zh-CN"/>
          <w14:textFill>
            <w14:solidFill>
              <w14:schemeClr w14:val="tx1"/>
            </w14:solidFill>
          </w14:textFill>
        </w:rPr>
        <w:t xml:space="preserve">1 9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称：南京市江宁区禄口街道铜山社区卫生服务中心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南京市江宁区禄口街道铜岭路145号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3"/>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称：南京市江宁区禄口街道铜山社区卫生服务中心</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址：南京市江宁区禄口街道铜岭路145号</w:t>
            </w:r>
            <w:r/>
          </w:p>
          <w:p>
            <w:pP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陆主任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18</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8539"/>
      <w:r/>
      <w:bookmarkStart w:id="6" w:name="_Toc19726"/>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951"/>
      <w:r/>
      <w:bookmarkStart w:id="8" w:name="_Toc30044"/>
      <w:r/>
      <w:bookmarkStart w:id="9" w:name="_Toc16938520"/>
      <w:r/>
      <w:bookmarkStart w:id="10" w:name="_Toc20823276"/>
      <w:r/>
      <w:bookmarkStart w:id="11" w:name="_Toc458694821"/>
      <w:r/>
      <w:bookmarkStart w:id="12" w:name="_Toc513029204"/>
      <w:r/>
      <w:bookmarkStart w:id="13" w:name="_Toc24947"/>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南京市江宁区禄口街道铜山社区卫生服务中心</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25880"/>
      <w:r/>
      <w:bookmarkStart w:id="17"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4759"/>
      <w:r/>
      <w:bookmarkStart w:id="19" w:name="_Toc462564067"/>
      <w:r/>
      <w:bookmarkStart w:id="20" w:name="_Toc16938523"/>
      <w:r/>
      <w:bookmarkStart w:id="21" w:name="_Toc25651"/>
      <w:r/>
      <w:bookmarkStart w:id="22" w:name="_Toc513029207"/>
      <w:r/>
      <w:bookmarkStart w:id="23" w:name="_Toc17711"/>
      <w:r/>
      <w:bookmarkStart w:id="24" w:name="_Toc20823279"/>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6938525"/>
      <w:r/>
      <w:bookmarkStart w:id="28" w:name="_Toc120614215"/>
      <w:r/>
      <w:bookmarkStart w:id="29" w:name="_Toc513029209"/>
      <w:r/>
      <w:bookmarkStart w:id="30" w:name="_Toc20823281"/>
      <w:r/>
      <w:bookmarkStart w:id="31" w:name="_Toc15035"/>
      <w:r/>
      <w:bookmarkStart w:id="32" w:name="_Toc11232"/>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513029210"/>
      <w:r/>
      <w:bookmarkStart w:id="34" w:name="_Toc20823282"/>
      <w:r/>
      <w:bookmarkStart w:id="35" w:name="_Toc16938526"/>
      <w:r/>
      <w:bookmarkStart w:id="36" w:name="_Toc31631"/>
      <w:r/>
      <w:bookmarkStart w:id="37" w:name="_Toc2899"/>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评标标准</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合同主要条款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89"/>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24838"/>
      <w:r/>
      <w:bookmarkStart w:id="39" w:name="_Toc14415"/>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89"/>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89"/>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31206"/>
      <w:r/>
      <w:bookmarkStart w:id="50" w:name="_Toc15215"/>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513029225"/>
      <w:r/>
      <w:bookmarkStart w:id="56" w:name="_Toc20823297"/>
      <w:r/>
      <w:bookmarkStart w:id="57" w:name="_Toc462564084"/>
      <w:r/>
      <w:bookmarkStart w:id="58" w:name="_Toc16938541"/>
      <w:r/>
      <w:bookmarkStart w:id="59" w:name="_Toc415"/>
      <w:r/>
      <w:bookmarkStart w:id="60" w:name="_Toc15509"/>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20823299"/>
      <w:r/>
      <w:bookmarkStart w:id="64" w:name="_Toc513029227"/>
      <w:r/>
      <w:bookmarkStart w:id="65" w:name="_Toc16938543"/>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7"/>
      <w:r/>
      <w:bookmarkStart w:id="70" w:name="_Toc15345"/>
      <w:r/>
      <w:bookmarkStart w:id="71" w:name="_Toc13829"/>
      <w:r/>
      <w:bookmarkStart w:id="72" w:name="_Toc20683"/>
      <w:r/>
      <w:bookmarkStart w:id="73" w:name="OLE_LINK3"/>
      <w:r/>
      <w:bookmarkStart w:id="74" w:name="_Toc3679"/>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20823303"/>
      <w:r/>
      <w:bookmarkStart w:id="78" w:name="_Toc16938547"/>
      <w:r/>
      <w:bookmarkStart w:id="79" w:name="_Toc513029231"/>
      <w:r/>
      <w:bookmarkStart w:id="80" w:name="_Toc29284"/>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8327"/>
      <w:r/>
      <w:bookmarkStart w:id="85" w:name="_Toc12294"/>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1"/>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89"/>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5"/>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3"/>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3"/>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584"/>
        <w:gridCol w:w="138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758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138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1"/>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7584" w:type="dxa"/>
            <w:vAlign w:val="top"/>
            <w:textDirection w:val="lrTb"/>
            <w:noWrap w:val="false"/>
          </w:tcPr>
          <w:p>
            <w:pPr>
              <w:numPr>
                <w:ilvl w:val="0"/>
                <w:numId w:val="0"/>
              </w:num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6.3</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0.9</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38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36.3</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5"/>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265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w:t>
            </w:r>
            <w:r>
              <w:rPr>
                <w:rFonts w:hint="eastAsia" w:ascii="宋体" w:hAnsi="宋体" w:eastAsia="宋体" w:cs="宋体"/>
                <w:color w:val="000000" w:themeColor="text1"/>
                <w:highlight w:val="none"/>
                <w:lang w:val="en-US" w:eastAsia="zh-CN"/>
                <w14:textFill>
                  <w14:solidFill>
                    <w14:schemeClr w14:val="tx1"/>
                  </w14:solidFill>
                </w14:textFill>
              </w:rPr>
              <w:t xml:space="preserve">需至少包含本次采购核心产品</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0.85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138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1.7</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质保期</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在满足采购文件中免费质保期要求的基础上，每增加一年原厂质保得1分，最高得2分。（投标人在投标文件中体现对质保期限的响应且需要提供生产厂家的质保材料，以生产厂家的质保材料载明的时间为准。）</w:t>
            </w:r>
            <w:r/>
          </w:p>
        </w:tc>
        <w:tc>
          <w:tcPr>
            <w:tcW w:w="1385" w:type="dxa"/>
            <w:vAlign w:val="center"/>
            <w:textDirection w:val="lrTb"/>
            <w:noWrap w:val="false"/>
          </w:tcPr>
          <w:p>
            <w:pPr>
              <w:jc w:val="center"/>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2分</w:t>
            </w:r>
            <w:r/>
          </w:p>
        </w:tc>
      </w:tr>
      <w:tr>
        <w:trPr/>
        <w:tc>
          <w:tcPr>
            <w:tcW w:w="789"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758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4432"/>
      <w:r/>
      <w:bookmarkStart w:id="93" w:name="_Toc23314"/>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铜山社区卫生服务中心采购医用内窥镜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(投标人在投标文件中体现对质保期限的响应且需要提供生产厂家的质保材料)。</w:t>
      </w:r>
      <w:r/>
    </w:p>
    <w:p>
      <w:pPr>
        <w:pStyle w:val="688"/>
        <w:ind w:firstLine="48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cs="宋体"/>
          <w:color w:val="000000" w:themeColor="text1"/>
          <w:szCs w:val="21"/>
          <w:lang w:eastAsia="zh-CN"/>
          <w14:textFill>
            <w14:solidFill>
              <w14:schemeClr w14:val="tx1"/>
            </w14:solidFill>
          </w14:textFill>
        </w:rPr>
        <w:t xml:space="preserve">设备发生故障或异常时</w:t>
      </w:r>
      <w:r>
        <w:rPr>
          <w:rFonts w:hint="eastAsia"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小时内做出响应，24小时内完成修复</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投标人在售后服务承诺书中体现对售后响应时间的承诺</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w:t>
      </w:r>
      <w:r/>
    </w:p>
    <w:p>
      <w:pPr>
        <w:pStyle w:val="688"/>
        <w:ind w:firstLine="482"/>
        <w:spacing w:line="360" w:lineRule="auto"/>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cs="宋体"/>
          <w:b/>
          <w:bCs/>
          <w:color w:val="000000" w:themeColor="text1"/>
          <w:sz w:val="21"/>
          <w:szCs w:val="21"/>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1"/>
          <w:szCs w:val="21"/>
          <w:lang w:val="en-US" w:eastAsia="zh-CN"/>
          <w14:textFill>
            <w14:solidFill>
              <w14:schemeClr w14:val="tx1"/>
            </w14:solidFill>
          </w14:textFill>
        </w:rPr>
        <w:t xml:space="preserve">50</w:t>
      </w:r>
      <w:r>
        <w:rPr>
          <w:rFonts w:hint="eastAsia" w:ascii="宋体" w:hAnsi="宋体" w:cs="宋体"/>
          <w:b/>
          <w:bCs/>
          <w:color w:val="000000" w:themeColor="text1"/>
          <w:sz w:val="21"/>
          <w:szCs w:val="21"/>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eastAsia="zh-CN"/>
          <w14:textFill>
            <w14:solidFill>
              <w14:schemeClr w14:val="tx1"/>
            </w14:solidFill>
          </w14:textFill>
        </w:rPr>
        <w:t xml:space="preserve">0%的余款。</w:t>
      </w:r>
      <w:r/>
    </w:p>
    <w:p>
      <w:pPr>
        <w:pStyle w:val="876"/>
        <w:keepLines w:val="0"/>
        <w:keepNext w:val="0"/>
        <w:pageBreakBefore w:val="0"/>
        <w:spacing w:line="360" w:lineRule="auto"/>
        <w:rPr>
          <w:rFonts w:hint="default" w:ascii="宋体" w:hAnsi="宋体" w:eastAsia="宋体" w:cs="宋体"/>
          <w:b/>
          <w:bCs/>
          <w:color w:val="000000" w:themeColor="text1"/>
          <w:sz w:val="21"/>
          <w:szCs w:val="21"/>
          <w:lang w:val="en-US" w:eastAsia="zh-CN" w:bidi="ar-SA"/>
          <w14:textFill>
            <w14:solidFill>
              <w14:schemeClr w14:val="tx1"/>
            </w14:solidFill>
          </w14:textFill>
        </w:rPr>
      </w:pPr>
      <w:r>
        <w:rPr>
          <w:rFonts w:hint="eastAsia"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所投产品需取得该产品的允许销售证明。(投标时提供承诺函，中标后提供允许销售证明原件)</w:t>
      </w:r>
      <w:r>
        <w:rPr>
          <w:rFonts w:hint="eastAsia" w:eastAsia="宋体" w:cs="宋体"/>
          <w:b/>
          <w:bCs/>
          <w:color w:val="000000" w:themeColor="text1"/>
          <w:sz w:val="21"/>
          <w:szCs w:val="21"/>
          <w:lang w:val="en-US" w:eastAsia="zh-CN" w:bidi="ar-SA"/>
          <w14:textFill>
            <w14:solidFill>
              <w14:schemeClr w14:val="tx1"/>
            </w14:solidFill>
          </w14:textFill>
        </w:rPr>
        <w:t xml:space="preserve">。</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eastAsia="宋体" w:cs="宋体"/>
          <w:b/>
          <w:bCs/>
          <w:color w:val="000000" w:themeColor="text1"/>
          <w:sz w:val="21"/>
          <w:szCs w:val="21"/>
          <w:lang w:val="en-US" w:eastAsia="zh-CN" w:bidi="en-US"/>
          <w14:textFill>
            <w14:solidFill>
              <w14:schemeClr w14:val="tx1"/>
            </w14:solidFill>
          </w14:textFill>
        </w:rPr>
        <w:t xml:space="preserve">6、供应商</w:t>
      </w:r>
      <w:r>
        <w:rPr>
          <w:rFonts w:hint="default" w:eastAsia="宋体" w:cs="宋体"/>
          <w:b/>
          <w:bCs/>
          <w:color w:val="000000" w:themeColor="text1"/>
          <w:sz w:val="21"/>
          <w:szCs w:val="21"/>
          <w:lang w:val="en-US" w:eastAsia="zh-CN" w:bidi="en-US"/>
          <w14:textFill>
            <w14:solidFill>
              <w14:schemeClr w14:val="tx1"/>
            </w14:solidFill>
          </w14:textFill>
        </w:rPr>
        <w:t xml:space="preserve">投标产品如果属于医疗器械注册范畴的，根据注册的类别，投标人</w:t>
      </w:r>
      <w:r>
        <w:rPr>
          <w:rFonts w:hint="eastAsia" w:eastAsia="宋体" w:cs="宋体"/>
          <w:b/>
          <w:bCs/>
          <w:color w:val="000000" w:themeColor="text1"/>
          <w:sz w:val="21"/>
          <w:szCs w:val="21"/>
          <w:lang w:val="en-US" w:eastAsia="zh-CN" w:bidi="en-US"/>
          <w14:textFill>
            <w14:solidFill>
              <w14:schemeClr w14:val="tx1"/>
            </w14:solidFill>
          </w14:textFill>
        </w:rPr>
        <w:t xml:space="preserve">必须</w:t>
      </w:r>
      <w:r>
        <w:rPr>
          <w:rFonts w:hint="default" w:eastAsia="宋体" w:cs="宋体"/>
          <w:b/>
          <w:bCs/>
          <w:color w:val="000000" w:themeColor="text1"/>
          <w:sz w:val="21"/>
          <w:szCs w:val="21"/>
          <w:lang w:val="en-US" w:eastAsia="zh-CN" w:bidi="en-US"/>
          <w14:textFill>
            <w14:solidFill>
              <w14:schemeClr w14:val="tx1"/>
            </w14:solidFill>
          </w14:textFill>
        </w:rPr>
        <w:t xml:space="preserve">具有《医疗器械经营许可证》或者《医疗器械经营备案凭证》；投标产品具有《医疗器械注册证》或者《医疗器械备案凭证》（复印件加盖公章）；</w:t>
      </w:r>
      <w:r>
        <w:rPr>
          <w:rFonts w:hint="eastAsia" w:eastAsia="宋体" w:cs="宋体"/>
          <w:b/>
          <w:bCs/>
          <w:color w:val="000000" w:themeColor="text1"/>
          <w:sz w:val="21"/>
          <w:szCs w:val="21"/>
          <w:lang w:val="en-US" w:eastAsia="zh-CN" w:bidi="en-US"/>
          <w14:textFill>
            <w14:solidFill>
              <w14:schemeClr w14:val="tx1"/>
            </w14:solidFill>
          </w14:textFill>
        </w:rPr>
        <w:t xml:space="preserve">且投标产品的信息必须与</w:t>
      </w:r>
      <w:r>
        <w:rPr>
          <w:rFonts w:hint="default" w:eastAsia="宋体" w:cs="宋体"/>
          <w:b/>
          <w:bCs/>
          <w:color w:val="000000" w:themeColor="text1"/>
          <w:sz w:val="21"/>
          <w:szCs w:val="21"/>
          <w:lang w:val="en-US" w:eastAsia="zh-CN" w:bidi="en-US"/>
          <w14:textFill>
            <w14:solidFill>
              <w14:schemeClr w14:val="tx1"/>
            </w14:solidFill>
          </w14:textFill>
        </w:rPr>
        <w:t xml:space="preserve">《医疗器械注册证》或者《医疗器械备案凭证》</w:t>
      </w:r>
      <w:r>
        <w:rPr>
          <w:rFonts w:hint="eastAsia" w:eastAsia="宋体" w:cs="宋体"/>
          <w:b/>
          <w:bCs/>
          <w:color w:val="000000" w:themeColor="text1"/>
          <w:sz w:val="21"/>
          <w:szCs w:val="21"/>
          <w:lang w:val="en-US" w:eastAsia="zh-CN" w:bidi="en-US"/>
          <w14:textFill>
            <w14:solidFill>
              <w14:schemeClr w14:val="tx1"/>
            </w14:solidFill>
          </w14:textFill>
        </w:rPr>
        <w:t xml:space="preserve">一致。否则做无效标处理。</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p>
      <w:pPr>
        <w:numPr>
          <w:ilvl w:val="0"/>
          <w:numId w:val="0"/>
        </w:numPr>
        <w:ind w:left="482"/>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598"/>
        <w:gridCol w:w="1503"/>
      </w:tblGrid>
      <w:tr>
        <w:trPr>
          <w:jc w:val="center"/>
          <w:trHeight w:val="789"/>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98"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6"/>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50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图像处理器</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（核心产品）</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115</w:t>
            </w:r>
            <w:r/>
          </w:p>
        </w:tc>
        <w:tc>
          <w:tcPr>
            <w:tcW w:w="1503"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电子上消化道内窥镜（治疗）</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电子上消化道内窥镜（检查）</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（治疗）</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（检查）</w:t>
            </w:r>
            <w:r/>
          </w:p>
        </w:tc>
        <w:tc>
          <w:tcPr>
            <w:tcW w:w="85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医用监视器</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专用台车</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numPr>
          <w:ilvl w:val="0"/>
          <w:numId w:val="5"/>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p>
      <w:pPr>
        <w:ind w:left="-226" w:right="-358"/>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图像处理器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核心产品）技术</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1.测光模式：可以实现均值测光、峰值测光、自动测光</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2.具有白平衡自动调节功能。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3.具备色彩调节功能，具备构造调节功能，对比度拥有高、中、低档可调</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4.可实现光学染色观察模式，光学染色模式≥3种可调；可实现电子染色观察模式，≥9种模式可设置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5.冻结模式：具有图像冻结功能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6.照明光源：采用LED整合光源</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t xml:space="preserve">7.灯泡寿命：＞14000小时</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8.具备自动亮度调整功能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9.主机、光源一体式设计，整机面板按键式设计，面板具备多功能按键及一键待机功能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10.该套电子内窥镜图像处理器可配置同品牌已上市电子检查胃肠镜、电子放大胃肠镜（光学倍率≥145倍）、电子治疗胃肠镜、电子超细胃肠镜、超声小探头系统等消化产品</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（二）电子上消化道内窥镜（治疗）技术参数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.操作部具有≥4个功能按钮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7.镜体操作具有≥5个自定义功能远程控制按钮。(水气按钮和吸引按钮除外)</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（三）电子上消化道内窥镜（检查）技术参数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▲4.有效长度或工作长度：≥1050mm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.操作部具有≥4个功能按钮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7.镜体操作具有≥5个自定义功能远程控制按钮。(水气按钮和吸引按钮除外)</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default" w:ascii="宋体" w:hAnsi="宋体" w:cs="宋体"/>
          <w:b w:val="0"/>
          <w:bCs w:val="0"/>
          <w:color w:val="000000" w:themeColor="text1"/>
          <w:sz w:val="21"/>
          <w:szCs w:val="21"/>
          <w:highlight w:val="none"/>
          <w:lang w:val="en-US" w:eastAsia="zh-CN"/>
          <w14:textFill>
            <w14:solidFill>
              <w14:schemeClr w14:val="tx1"/>
            </w14:solidFill>
          </w14:textFill>
        </w:rPr>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（四）电子下消化道内窥镜（治疗）技术参数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 视野角≥170°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 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3.弯曲角度：上：≥180°/下：≥180°；左：≥160°/右：≥160°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4.有效长度或工作长度：≥1330mm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5.一键插拔，无需防水帽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6.该内镜操作部≥4个功能按钮</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（五）电子下消化道内窥镜（检查）技术参数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 视野角≥170°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 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3.弯曲角度：上：≥180°/下：≥180°；左：≥160°/右：≥160°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4.有效长度或工作长度：≥1330mm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5.一键插拔，无需防水帽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6.该内镜操作部≥4个功能按钮</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（六）医用监视器技术参数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1.高清分辨率≥3840×2160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2.监视器≥27寸或者≥32英寸</w:t>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（七）专用台车技术参数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1.台车具有防水及耐腐蚀性</w:t>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每年免费设备维护和现场巡检至少1次。因投标方设计安装原因而出现故障，则质保期从故障修复之日起重新开始计算。同步延长</w:t>
      </w: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6"/>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7"/>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7"/>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6"/>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6"/>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4"/>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48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w:t>
      </w: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铜山社区卫生服务中心采购医用内窥镜一批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根据《</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关于推动解决政府采购异常低价问题相关工作的通知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（苏财购〔2025〕62号）的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规定如下：</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（一）评审过程中出现下列情形之一的，评审委员会应当启动异常低价投标（响应）审查程序：</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1．投标（响应）报价低于采购项目预算50%的，即投标（响应）报价&lt;采购项目预算×50%；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themeColor="text1"/>
          <w:sz w:val="36"/>
          <w:highlight w:val="none"/>
          <w:lang w:val="zh-CN" w:eastAsia="zh-CN"/>
          <w14:textFill>
            <w14:solidFill>
              <w14:schemeClr w14:val="tx1"/>
            </w14:solidFill>
          </w14:textFill>
        </w:rPr>
        <w:br w:type="page" w:clear="all"/>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4"/>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4"/>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南京市江宁区医疗设备采购合同</w:t>
      </w:r>
      <w:r/>
    </w:p>
    <w:p>
      <w:pPr>
        <w:ind w:firstLine="31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1918"/>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合同编号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项目名称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xx 医疗</w:t>
      </w:r>
      <w:r>
        <w:rPr>
          <w:rFonts w:hint="eastAsia" w:ascii="宋体" w:hAnsi="宋体" w:eastAsia="宋体" w:cs="宋体"/>
          <w:b/>
          <w:color w:val="000000" w:themeColor="text1"/>
          <w:sz w:val="30"/>
          <w:szCs w:val="30"/>
          <w:u w:val="single"/>
          <w14:textFill>
            <w14:solidFill>
              <w14:schemeClr w14:val="tx1"/>
            </w14:solidFill>
          </w14:textFill>
        </w:rPr>
        <w:t xml:space="preserve">设备</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采购单位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中标单位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签订日期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spacing w:line="24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br w:type="page" w:clear="all"/>
      </w:r>
      <w:r>
        <w:rPr>
          <w:rFonts w:hint="eastAsia" w:ascii="宋体" w:hAnsi="宋体" w:eastAsia="宋体" w:cs="宋体"/>
          <w:color w:val="000000" w:themeColor="text1"/>
          <w:lang w:eastAsia="zh-CN"/>
          <w14:textFill>
            <w14:solidFill>
              <w14:schemeClr w14:val="tx1"/>
            </w14:solidFill>
          </w14:textFill>
        </w:rPr>
        <w:t xml:space="preserve">合同编号: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采购人(以下称甲方) :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供应商(以下称乙方)：</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住所地: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住所地:</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根据《中华人民共和国政府采购法》《中华人民共和国民法典》等法律法规的规定，甲乙双方按照</w:t>
      </w:r>
      <w:r>
        <w:rPr>
          <w:rFonts w:hint="eastAsia" w:ascii="宋体" w:hAnsi="宋体" w:eastAsia="宋体" w:cs="宋体"/>
          <w:b/>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采购结果签订本合同。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第一条 合同标的</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乙方根据甲方要求提供下列货物及服务:</w:t>
      </w:r>
      <w:r/>
    </w:p>
    <w:tbl>
      <w:tblPr>
        <w:tblStyle w:val="683"/>
        <w:tblpPr w:horzAnchor="page" w:tblpX="1297"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规格型号</w:t>
            </w:r>
            <w:r/>
          </w:p>
        </w:tc>
        <w:tc>
          <w:tcPr>
            <w:tcW w:w="776" w:type="dxa"/>
            <w:vAlign w:val="center"/>
            <w:textDirection w:val="lrTb"/>
            <w:noWrap w:val="false"/>
          </w:tcPr>
          <w:p>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品牌</w:t>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单价（元）</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总价（元）</w:t>
            </w:r>
            <w:r/>
          </w:p>
        </w:tc>
        <w:tc>
          <w:tcPr>
            <w:tcW w:w="144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gridSpan w:val="2"/>
            <w:tcW w:w="302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货物及服务内容详见乙方响应性文件等。</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第二条 合同总价款</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本合同项下货物及服务</w:t>
      </w:r>
      <w:r>
        <w:rPr>
          <w:rFonts w:hint="eastAsia" w:ascii="宋体" w:hAnsi="宋体" w:cs="宋体"/>
          <w:color w:val="000000" w:themeColor="text1"/>
          <w:lang w:eastAsia="zh-CN"/>
          <w14:textFill>
            <w14:solidFill>
              <w14:schemeClr w14:val="tx1"/>
            </w14:solidFill>
          </w14:textFill>
        </w:rPr>
        <w:t xml:space="preserve">含税</w:t>
      </w:r>
      <w:r>
        <w:rPr>
          <w:rFonts w:hint="eastAsia" w:ascii="宋体" w:hAnsi="宋体" w:eastAsia="宋体" w:cs="宋体"/>
          <w:color w:val="000000" w:themeColor="text1"/>
          <w:lang w:eastAsia="zh-CN"/>
          <w14:textFill>
            <w14:solidFill>
              <w14:schemeClr w14:val="tx1"/>
            </w14:solidFill>
          </w14:textFill>
        </w:rPr>
        <w:t xml:space="preserve">总价款为</w:t>
      </w:r>
      <w:r>
        <w:rPr>
          <w:rFonts w:hint="eastAsia" w:ascii="宋体" w:hAnsi="宋体" w:eastAsia="宋体" w:cs="宋体"/>
          <w:color w:val="000000" w:themeColor="text1"/>
          <w:u w:val="none"/>
          <w:lang w:eastAsia="zh-CN"/>
          <w14:textFill>
            <w14:solidFill>
              <w14:schemeClr w14:val="tx1"/>
            </w14:solidFill>
          </w14:textFill>
        </w:rPr>
        <w:t xml:space="preserve">(大写)</w:t>
      </w:r>
      <w:r>
        <w:rPr>
          <w:rFonts w:hint="eastAsia" w:ascii="宋体" w:hAnsi="宋体" w:eastAsia="宋体" w:cs="宋体"/>
          <w:color w:val="000000" w:themeColor="text1"/>
          <w:lang w:eastAsia="zh-CN"/>
          <w14:textFill>
            <w14:solidFill>
              <w14:schemeClr w14:val="tx1"/>
            </w14:solidFill>
          </w14:textFill>
        </w:rPr>
        <w:t xml:space="preserve">人民币</w:t>
      </w:r>
      <w:r>
        <w:rPr>
          <w:rFonts w:hint="eastAsia" w:ascii="宋体" w:hAnsi="宋体" w:eastAsia="宋体" w:cs="宋体"/>
          <w:color w:val="000000" w:themeColor="text1"/>
          <w:u w:val="single"/>
          <w:lang w:val="en-US" w:eastAsia="zh-CN"/>
          <w14:textFill>
            <w14:solidFill>
              <w14:schemeClr w14:val="tx1"/>
            </w14:solidFill>
          </w14:textFill>
        </w:rPr>
        <w:t xml:space="preserve">                         元整（￥         ）</w:t>
      </w:r>
      <w:r>
        <w:rPr>
          <w:rFonts w:hint="eastAsia" w:ascii="宋体" w:hAnsi="宋体" w:eastAsia="宋体" w:cs="宋体"/>
          <w:color w:val="000000" w:themeColor="text1"/>
          <w:lang w:eastAsia="zh-CN"/>
          <w14:textFill>
            <w14:solidFill>
              <w14:schemeClr w14:val="tx1"/>
            </w14:solidFill>
          </w14:textFill>
        </w:rPr>
        <w:t xml:space="preserve">。</w:t>
      </w:r>
      <w:r>
        <w:rPr>
          <w:rFonts w:hint="eastAsia"/>
          <w:color w:val="000000" w:themeColor="text1"/>
          <w:lang w:eastAsia="zh-CN"/>
          <w14:textFill>
            <w14:solidFill>
              <w14:schemeClr w14:val="tx1"/>
            </w14:solidFill>
          </w14:textFill>
        </w:rPr>
        <w:t xml:space="preserve">甲方就本合同不再向乙方支付任何其他款项。</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第三条 组成本合同的有关文件</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招标文件和有关附件是本合同不可分割的组成部分，</w:t>
      </w:r>
      <w:r>
        <w:rPr>
          <w:rFonts w:hint="eastAsia" w:ascii="宋体" w:hAnsi="宋体" w:eastAsia="宋体" w:cs="宋体"/>
          <w:color w:val="000000" w:themeColor="text1"/>
          <w:highlight w:val="none"/>
          <w:lang w:eastAsia="zh-CN"/>
          <w14:textFill>
            <w14:solidFill>
              <w14:schemeClr w14:val="tx1"/>
            </w14:solidFill>
          </w14:textFill>
        </w:rPr>
        <w:t xml:space="preserve">以招</w:t>
      </w:r>
      <w:r>
        <w:rPr>
          <w:rFonts w:hint="eastAsia" w:ascii="宋体" w:hAnsi="宋体" w:cs="宋体"/>
          <w:color w:val="000000" w:themeColor="text1"/>
          <w:highlight w:val="none"/>
          <w:lang w:eastAsia="zh-CN"/>
          <w14:textFill>
            <w14:solidFill>
              <w14:schemeClr w14:val="tx1"/>
            </w14:solidFill>
          </w14:textFill>
        </w:rPr>
        <w:t xml:space="preserve">投</w:t>
      </w:r>
      <w:r>
        <w:rPr>
          <w:rFonts w:hint="eastAsia" w:ascii="宋体" w:hAnsi="宋体" w:eastAsia="宋体" w:cs="宋体"/>
          <w:color w:val="000000" w:themeColor="text1"/>
          <w:highlight w:val="none"/>
          <w:lang w:eastAsia="zh-CN"/>
          <w14:textFill>
            <w14:solidFill>
              <w14:schemeClr w14:val="tx1"/>
            </w14:solidFill>
          </w14:textFill>
        </w:rPr>
        <w:t xml:space="preserve">标文件为准</w:t>
      </w:r>
      <w:r>
        <w:rPr>
          <w:rFonts w:hint="eastAsia" w:ascii="宋体" w:hAnsi="宋体" w:eastAsia="宋体" w:cs="宋体"/>
          <w:color w:val="000000" w:themeColor="text1"/>
          <w:lang w:eastAsia="zh-CN"/>
          <w14:textFill>
            <w14:solidFill>
              <w14:schemeClr w14:val="tx1"/>
            </w14:solidFill>
          </w14:textFill>
        </w:rPr>
        <w:t xml:space="preserve">，与本合同具有同等法律效力。</w:t>
      </w:r>
      <w:r/>
    </w:p>
    <w:p>
      <w:pPr>
        <w:ind w:firstLine="482"/>
        <w:keepLines w:val="0"/>
        <w:keepNext w:val="0"/>
        <w:pageBreakBefore w:val="0"/>
        <w:spacing w:after="0" w:line="420" w:lineRule="exact"/>
        <w:widowControl/>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注：原厂质保材料附后。（详见附件1）</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第四条 权利保证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第五条 质量保证</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1、质保期为</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年</w:t>
      </w:r>
      <w:r>
        <w:rPr>
          <w:rFonts w:hint="eastAsia" w:ascii="宋体" w:hAnsi="宋体" w:cs="宋体"/>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质保责任应符合招投标文件中的要求。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第六条 交付使用和验收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1、交付时间:</w:t>
      </w:r>
      <w:r>
        <w:rPr>
          <w:rFonts w:hint="eastAsia" w:ascii="宋体" w:hAnsi="宋体" w:eastAsia="宋体" w:cs="宋体"/>
          <w:color w:val="000000" w:themeColor="text1"/>
          <w:u w:val="single"/>
          <w:lang w:eastAsia="zh-CN"/>
          <w14:textFill>
            <w14:solidFill>
              <w14:schemeClr w14:val="tx1"/>
            </w14:solidFill>
          </w14:textFill>
        </w:rPr>
        <w:t xml:space="preserve">自合同签订之日起10日内完成供货</w:t>
      </w:r>
      <w:r>
        <w:rPr>
          <w:rFonts w:hint="eastAsia" w:ascii="宋体" w:hAnsi="宋体" w:eastAsia="宋体" w:cs="宋体"/>
          <w:color w:val="000000" w:themeColor="text1"/>
          <w:lang w:eastAsia="zh-CN"/>
          <w14:textFill>
            <w14:solidFill>
              <w14:schemeClr w14:val="tx1"/>
            </w14:solidFill>
          </w14:textFill>
        </w:rPr>
        <w:t xml:space="preserve">；</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2、交付地点:采购人指定地点。</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3、验收标准及要求。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第七条 付款条件、时间及方式</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2、付款方式：（1）本合同项下所有款项均以人民币支付。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(2)产品运抵采购人指定的位置，经验收合格，</w:t>
      </w:r>
      <w:r>
        <w:rPr>
          <w:rFonts w:hint="eastAsia"/>
          <w:color w:val="000000" w:themeColor="text1"/>
          <w:lang w:val="en-US" w:eastAsia="zh-CN"/>
          <w14:textFill>
            <w14:solidFill>
              <w14:schemeClr w14:val="tx1"/>
            </w14:solidFill>
          </w14:textFill>
        </w:rPr>
        <w:t xml:space="preserve">乙方开具相应的票据，采购人</w:t>
      </w:r>
      <w:r>
        <w:rPr>
          <w:rFonts w:hint="eastAsia" w:ascii="宋体" w:hAnsi="宋体" w:eastAsia="宋体" w:cs="宋体"/>
          <w:color w:val="000000" w:themeColor="text1"/>
          <w:highlight w:val="none"/>
          <w:lang w:eastAsia="zh-CN"/>
          <w14:textFill>
            <w14:solidFill>
              <w14:schemeClr w14:val="tx1"/>
            </w14:solidFill>
          </w14:textFill>
        </w:rPr>
        <w:t xml:space="preserve">支付合同总价的</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lang w:eastAsia="zh-CN"/>
          <w14:textFill>
            <w14:solidFill>
              <w14:schemeClr w14:val="tx1"/>
            </w14:solidFill>
          </w14:textFill>
        </w:rPr>
        <w:t xml:space="preserve">%货款;自验收合格满一年，</w:t>
      </w:r>
      <w:r>
        <w:rPr>
          <w:rFonts w:hint="eastAsia" w:ascii="宋体" w:hAnsi="宋体" w:cs="宋体"/>
          <w:color w:val="000000" w:themeColor="text1"/>
          <w:highlight w:val="none"/>
          <w:lang w:eastAsia="zh-CN"/>
          <w14:textFill>
            <w14:solidFill>
              <w14:schemeClr w14:val="tx1"/>
            </w14:solidFill>
          </w14:textFill>
        </w:rPr>
        <w:t xml:space="preserve">采购人无息</w:t>
      </w:r>
      <w:r>
        <w:rPr>
          <w:rFonts w:hint="eastAsia" w:ascii="宋体" w:hAnsi="宋体" w:eastAsia="宋体" w:cs="宋体"/>
          <w:color w:val="000000" w:themeColor="text1"/>
          <w:highlight w:val="none"/>
          <w:lang w:eastAsia="zh-CN"/>
          <w14:textFill>
            <w14:solidFill>
              <w14:schemeClr w14:val="tx1"/>
            </w14:solidFill>
          </w14:textFill>
        </w:rPr>
        <w:t xml:space="preserve">付清合同总价</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0%的余款。</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第八条 违约责任</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1、甲方无正当理由拒绝验收或拒付款的，甲方向乙方偿付合同总价的5%违约金。</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第九条 合同的变更和终止</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第十条 合同的转让</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乙方不得擅自部分或全部转让其应履行的合同义务。</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第十一条 争议的解决</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cs="宋体"/>
          <w:color w:val="000000" w:themeColor="text1"/>
          <w:u w:val="single"/>
          <w:lang w:val="en-US" w:eastAsia="zh-CN"/>
          <w14:textFill>
            <w14:solidFill>
              <w14:schemeClr w14:val="tx1"/>
            </w14:solidFill>
          </w14:textFill>
        </w:rPr>
        <w:t xml:space="preserve">1</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种方式解决争议:</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(1)向甲方所在地有管辖权的人民法院提起诉讼；</w:t>
      </w:r>
      <w:r>
        <w:rPr>
          <w:rFonts w:hint="eastAsia" w:ascii="宋体" w:hAnsi="宋体" w:cs="宋体"/>
          <w:color w:val="000000" w:themeColor="text1"/>
          <w:lang w:eastAsia="zh-CN"/>
          <w14:textFill>
            <w14:solidFill>
              <w14:schemeClr w14:val="tx1"/>
            </w14:solidFill>
          </w14:textFill>
        </w:rPr>
        <w:t xml:space="preserve">因一方违约引起</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诉讼纠纷时所产生的诉讼费、保全费、保全担保费、律师费、公证费、鉴定费、差旅费等费用由违约方承担。</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(2)向南京仲裁委员会按其仲裁规则申请仲裁。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2、在仲裁期间，本合同应继续履行。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第十二条 诚实信用</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乙方应诚实信用，严格按照采购文件要求和承诺履行合同，不向甲方进行商业贿赂或者提供不正当利益。</w:t>
      </w:r>
      <w:r>
        <w:rPr>
          <w:rFonts w:hint="eastAsia"/>
          <w:color w:val="000000" w:themeColor="text1"/>
          <w:lang w:val="en-US" w:eastAsia="zh-CN"/>
          <w14:textFill>
            <w14:solidFill>
              <w14:schemeClr w14:val="tx1"/>
            </w14:solidFill>
          </w14:textFill>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第十三条 合同生效及其他</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1、本合同自签订之日起生效。</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2、乙方须在合同签订后七个工作日内提供本合同所有医疗设备厂家授权书原件供甲方核对。</w:t>
      </w:r>
      <w:r/>
    </w:p>
    <w:p>
      <w:pPr>
        <w:ind w:firstLine="482"/>
        <w:keepLines w:val="0"/>
        <w:keepNext w:val="0"/>
        <w:pageBreakBefore w:val="0"/>
        <w:spacing w:after="0" w:line="420" w:lineRule="exact"/>
        <w:widowControl w:val="off"/>
        <w:rPr>
          <w:rFonts w:hint="eastAsia" w:ascii="宋体" w:hAnsi="宋体" w:eastAsia="宋体" w:cs="宋体"/>
          <w:b w:val="0"/>
          <w:bCs/>
          <w:color w:val="000000" w:themeColor="text1"/>
          <w:sz w:val="24"/>
          <w:szCs w:val="24"/>
          <w:lang w:val="en-US" w:eastAsia="zh-CN" w:bidi="ar-SA"/>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、本合同一式肆份，甲乙双方各执贰份。</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lang w:eastAsia="zh-CN"/>
          <w14:textFill>
            <w14:solidFill>
              <w14:schemeClr w14:val="tx1"/>
            </w14:solidFill>
          </w14:textFill>
        </w:rPr>
        <w:t xml:space="preserve">、本合同应按照中华人民共和国的现行法律进行解释。</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left="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甲方（委托方）：                  乙方:</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（盖章）                        （盖章）</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法定或委托代表人：                法定或委托代表人：</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电话:                             电话:</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开户银行:                         开户银行:</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账号:                             账号:</w:t>
      </w:r>
      <w:r/>
    </w:p>
    <w:p>
      <w:pPr>
        <w:jc w:val="both"/>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附件1</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质保及售后服务承诺书</w:t>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致</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b/>
          <w:color w:val="000000" w:themeColor="text1"/>
          <w14:textFill>
            <w14:solidFill>
              <w14:schemeClr w14:val="tx1"/>
            </w14:solidFill>
          </w14:textFill>
        </w:rPr>
        <w:t xml:space="preserve">（招标人）：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我公司是</w:t>
      </w:r>
      <w:r>
        <w:rPr>
          <w:rFonts w:hint="eastAsia" w:ascii="宋体" w:hAnsi="宋体" w:eastAsia="宋体" w:cs="宋体"/>
          <w:color w:val="000000" w:themeColor="text1"/>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14:textFill>
            <w14:solidFill>
              <w14:schemeClr w14:val="tx1"/>
            </w14:solidFill>
          </w14:textFill>
        </w:rPr>
        <w:t xml:space="preserve">的生产厂家，本次由合作方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公司参与该采购项目的投标，招标文件要求</w:t>
      </w:r>
      <w:r>
        <w:rPr>
          <w:rFonts w:hint="eastAsia" w:ascii="宋体" w:hAnsi="宋体" w:eastAsia="宋体" w:cs="宋体"/>
          <w:color w:val="000000" w:themeColor="text1"/>
          <w:u w:val="single"/>
          <w:lang w:val="en-US" w:eastAsia="zh-CN"/>
          <w14:textFill>
            <w14:solidFill>
              <w14:schemeClr w14:val="tx1"/>
            </w14:solidFill>
          </w14:textFill>
        </w:rPr>
        <w:t xml:space="preserve">xxx设备</w:t>
      </w:r>
      <w:r>
        <w:rPr>
          <w:rFonts w:hint="eastAsia" w:ascii="宋体" w:hAnsi="宋体" w:eastAsia="宋体" w:cs="宋体"/>
          <w:color w:val="000000" w:themeColor="text1"/>
          <w14:textFill>
            <w14:solidFill>
              <w14:schemeClr w14:val="tx1"/>
            </w14:solidFill>
          </w14:textFill>
        </w:rPr>
        <w:t xml:space="preserve">质保期为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如合作方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lang w:val="en-US" w:eastAsia="zh-CN"/>
          <w14:textFill>
            <w14:solidFill>
              <w14:schemeClr w14:val="tx1"/>
            </w14:solidFill>
          </w14:textFill>
        </w:rPr>
        <w:t xml:space="preserve">但不仅限于</w:t>
      </w:r>
      <w:r>
        <w:rPr>
          <w:rFonts w:hint="eastAsia" w:ascii="宋体" w:hAnsi="宋体" w:eastAsia="宋体" w:cs="宋体"/>
          <w:color w:val="000000" w:themeColor="text1"/>
          <w14:textFill>
            <w14:solidFill>
              <w14:schemeClr w14:val="tx1"/>
            </w14:solidFill>
          </w14:textFill>
        </w:rPr>
        <w:t xml:space="preserve">以下内容：</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项目</w:t>
      </w:r>
      <w:r>
        <w:rPr>
          <w:rFonts w:hint="eastAsia" w:ascii="宋体" w:hAnsi="宋体" w:eastAsia="宋体" w:cs="宋体"/>
          <w:color w:val="000000" w:themeColor="text1"/>
          <w14:textFill>
            <w14:solidFill>
              <w14:schemeClr w14:val="tx1"/>
            </w14:solidFill>
          </w14:textFill>
        </w:rPr>
        <w:t xml:space="preserve">后期运维管理服务；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特此承诺！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7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生产厂家：（盖章）</w:t>
      </w:r>
      <w:r/>
    </w:p>
    <w:p>
      <w:pPr>
        <w:pStyle w:val="890"/>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p>
    <w:p>
      <w:pPr>
        <w:pStyle w:val="890"/>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年  月  日</w:t>
      </w:r>
      <w:r/>
    </w:p>
    <w:p>
      <w:pPr>
        <w:ind w:firstLine="562"/>
        <w:jc w:val="center"/>
        <w:spacing w:before="67"/>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t xml:space="preserve">医疗产品购销廉洁条例</w:t>
      </w:r>
      <w:r/>
    </w:p>
    <w:p>
      <w:pPr>
        <w:pStyle w:val="890"/>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1.合同双方按照《中华人民共和国民法典》及购销廉洁条例约定购销设备和服务等行为。</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2.甲方应当严格执行采购和服务合同验收、入库制度，对采购产品及发票进行查验，不得违反有关规定合同外采购、违价采购或从非规定渠道采购。</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4.甲方严禁利用任何途径和方式，为乙方个人提供便利。</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5.乙方不得以回扣、宴请等方式影响甲方工作人员采购或使用产品的选择权，不得在为甲方人员提供旅游、超标准支付食宿费用。</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6.乙方指定人员必须在工作时间到甲方指定地点联系商谈，不得借故到甲方相关领导、部门负责人及相关工作人员家中访谈并提供任何好处费等。</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7.乙方如违反本廉洁条例，一经发现，甲方有权立即终止购销合同，并向上级主管部门或本级纪检部门报告。如乙方被列入商业贿赂不良记录，则严格按照国家相关规定处理。</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8.本廉洁条例为甲方产品和服务购销行为的廉洁准则，双方均需严格遵守。</w:t>
      </w:r>
      <w:r/>
    </w:p>
    <w:p>
      <w:pPr>
        <w:ind w:firstLine="44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9.本条例由甲方负责解释。</w:t>
      </w:r>
      <w:r/>
    </w:p>
    <w:p>
      <w:pPr>
        <w:pStyle w:val="904"/>
        <w:ind w:left="132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3"/>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3"/>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供应商名称（盖章）：</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                                                法定代表人（签字）：</w:t>
      </w:r>
      <w:r/>
    </w:p>
    <w:p>
      <w:pPr>
        <w:pStyle w:val="904"/>
        <w:ind w:left="1320" w:right="960" w:firstLine="4080"/>
        <w:spacing w:line="360" w:lineRule="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    年    月   日</w:t>
      </w:r>
      <w:r/>
    </w:p>
    <w:p>
      <w:pPr>
        <w:pStyle w:val="68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铜山社区卫生服务中心采购医用内窥镜一批</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992"/>
        <w:gridCol w:w="1273"/>
        <w:gridCol w:w="982"/>
        <w:gridCol w:w="94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图像处理器</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电子上消化道内窥镜（治疗）</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both"/>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（治疗）</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685"/>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医用监视器</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专用台车</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bookmarkStart w:id="96" w:name="_GoBack"/>
            <w:r/>
            <w:bookmarkEnd w:id="96"/>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95"/>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3"/>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1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1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5"/>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3"/>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95"/>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5"/>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4"/>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4"/>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0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9"/>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09"/>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09"/>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1"/>
        <w:ind w:firstLine="426"/>
        <w:jc w:val="left"/>
        <w:spacing w:befor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cs="宋体"/>
          <w:b/>
          <w:bCs/>
          <w:color w:val="000000" w:themeColor="text1"/>
          <w:sz w:val="24"/>
          <w:szCs w:val="24"/>
          <w:highlight w:val="none"/>
          <w14:textFill>
            <w14:solidFill>
              <w14:schemeClr w14:val="tx1"/>
            </w14:solidFill>
          </w14:textFill>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rPr>
          <w:rFonts w:hint="eastAsia" w:ascii="宋体" w:hAnsi="宋体" w:cs="宋体"/>
          <w:b/>
          <w:bCs/>
          <w:color w:val="000000" w:themeColor="text1"/>
          <w:highlight w:val="none"/>
          <w:lang w:val="en-US" w:eastAsia="zh-CN"/>
          <w14:textFill>
            <w14:solidFill>
              <w14:schemeClr w14:val="tx1"/>
            </w14:solidFill>
          </w14:textFill>
        </w:rPr>
        <w:t xml:space="preserve">打印时间为本招标公告发布之日起至递交投标文件截止日前，</w:t>
      </w:r>
      <w:r>
        <w:rPr>
          <w:rFonts w:hint="eastAsia" w:ascii="宋体" w:hAnsi="宋体" w:cs="宋体"/>
          <w:b/>
          <w:bCs/>
          <w:color w:val="000000" w:themeColor="text1"/>
          <w:highlight w:val="none"/>
          <w14:textFill>
            <w14:solidFill>
              <w14:schemeClr w14:val="tx1"/>
            </w14:solidFill>
          </w14:textFill>
        </w:rPr>
        <w:t xml:space="preserve">在线打印其“南京市政府采购供应商信用记录表暨信用承诺书”，经法定代表人签字、加盖单位公章后作为响应文件的组成部分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未按上述要求提供的，投标文件作废标处理</w:t>
      </w:r>
      <w:r>
        <w:rPr>
          <w:rFonts w:hint="eastAsia" w:ascii="宋体" w:hAnsi="宋体" w:cs="宋体"/>
          <w:b/>
          <w:bCs/>
          <w:color w:val="000000" w:themeColor="text1"/>
          <w:highlight w:val="none"/>
          <w14:textFill>
            <w14:solidFill>
              <w14:schemeClr w14:val="tx1"/>
            </w14:solidFill>
          </w14:textFill>
        </w:rPr>
        <w:t xml:space="preserve">）</w:t>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cente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我公司自愿参加江苏东佳工程项目管理咨询有限公司组织的本次采购活动，严格遵守《中华人民共和国</w:t>
            </w: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政府采购法</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供应商名称（盖章）：</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法定代表人（签字）：</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000000" w:themeColor="text1"/>
          <w:highlight w:val="none"/>
          <w:lang w:eastAsia="zh-CN"/>
          <w14:textFill>
            <w14:solidFill>
              <w14:schemeClr w14:val="tx1"/>
            </w14:solidFill>
          </w14:textFill>
        </w:rPr>
        <w:t xml:space="preserve">字加</w:t>
      </w:r>
      <w:r>
        <w:rPr>
          <w:rFonts w:hint="eastAsia" w:ascii="宋体" w:hAnsi="宋体" w:cs="宋体"/>
          <w:bCs/>
          <w:color w:val="000000" w:themeColor="text1"/>
          <w:highlight w:val="none"/>
          <w14:textFill>
            <w14:solidFill>
              <w14:schemeClr w14:val="tx1"/>
            </w14:solidFill>
          </w14:textFill>
        </w:rPr>
        <w:t xml:space="preserve">盖</w:t>
      </w:r>
      <w:r>
        <w:rPr>
          <w:rFonts w:hint="eastAsia" w:ascii="宋体" w:hAnsi="宋体" w:cs="宋体"/>
          <w:bCs/>
          <w:color w:val="000000" w:themeColor="text1"/>
          <w:highlight w:val="none"/>
          <w:lang w:eastAsia="zh-CN"/>
          <w14:textFill>
            <w14:solidFill>
              <w14:schemeClr w14:val="tx1"/>
            </w14:solidFill>
          </w14:textFill>
        </w:rPr>
        <w:t xml:space="preserve">单位公</w:t>
      </w:r>
      <w:r>
        <w:rPr>
          <w:rFonts w:hint="eastAsia" w:ascii="宋体" w:hAnsi="宋体" w:cs="宋体"/>
          <w:bCs/>
          <w:color w:val="000000" w:themeColor="text1"/>
          <w:highlight w:val="none"/>
          <w14:textFill>
            <w14:solidFill>
              <w14:schemeClr w14:val="tx1"/>
            </w14:solidFill>
          </w14:textFill>
        </w:rPr>
        <w:t xml:space="preserve">章后作为响应文件的组成部分</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“南京市政府采购供应商信用记录表暨信用承诺书”是其参加本次政府采购活动的必备材料。</w:t>
      </w:r>
      <w:r/>
    </w:p>
    <w:p>
      <w:pPr>
        <w:pStyle w:val="902"/>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699"/>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3">
    <w:name w:val="Heading 1"/>
    <w:basedOn w:val="672"/>
    <w:next w:val="672"/>
    <w:link w:val="871"/>
    <w:uiPriority w:val="9"/>
    <w:qFormat/>
    <w:pPr>
      <w:jc w:val="center"/>
      <w:keepLines/>
      <w:keepNext/>
      <w:spacing w:before="340" w:after="330"/>
      <w:outlineLvl w:val="0"/>
    </w:pPr>
    <w:rPr>
      <w:b/>
      <w:bCs/>
      <w:sz w:val="36"/>
      <w:szCs w:val="44"/>
    </w:rPr>
  </w:style>
  <w:style w:type="paragraph" w:styleId="674">
    <w:name w:val="Heading 2"/>
    <w:basedOn w:val="672"/>
    <w:next w:val="672"/>
    <w:link w:val="72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78"/>
    <w:uiPriority w:val="9"/>
    <w:semiHidden/>
    <w:unhideWhenUsed/>
    <w:qFormat/>
    <w:pPr>
      <w:keepLines/>
      <w:keepNext/>
      <w:spacing w:before="260" w:after="260" w:line="416" w:lineRule="auto"/>
      <w:outlineLvl w:val="2"/>
    </w:pPr>
    <w:rPr>
      <w:b/>
      <w:bCs/>
      <w:sz w:val="32"/>
      <w:szCs w:val="32"/>
    </w:rPr>
  </w:style>
  <w:style w:type="paragraph" w:styleId="676">
    <w:name w:val="Heading 4"/>
    <w:basedOn w:val="672"/>
    <w:next w:val="672"/>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72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link w:val="872"/>
    <w:uiPriority w:val="0"/>
    <w:unhideWhenUsed/>
    <w:qFormat/>
    <w:pPr>
      <w:ind w:firstLine="420"/>
    </w:p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annotation text"/>
    <w:basedOn w:val="672"/>
    <w:link w:val="888"/>
    <w:uiPriority w:val="99"/>
    <w:semiHidden/>
    <w:unhideWhenUsed/>
    <w:qFormat/>
  </w:style>
  <w:style w:type="paragraph" w:styleId="688">
    <w:name w:val="Body Text"/>
    <w:basedOn w:val="672"/>
    <w:next w:val="672"/>
    <w:link w:val="879"/>
    <w:uiPriority w:val="1"/>
    <w:qFormat/>
    <w:pPr>
      <w:spacing w:line="240" w:lineRule="auto"/>
    </w:pPr>
    <w:rPr>
      <w:rFonts w:ascii="宋体" w:hAnsi="宋体" w:cs="宋体"/>
      <w:sz w:val="21"/>
      <w:szCs w:val="21"/>
      <w:lang w:val="zh-CN" w:bidi="zh-CN"/>
    </w:rPr>
  </w:style>
  <w:style w:type="paragraph" w:styleId="689">
    <w:name w:val="Body Text Indent"/>
    <w:basedOn w:val="672"/>
    <w:next w:val="690"/>
    <w:uiPriority w:val="0"/>
    <w:qFormat/>
    <w:pPr>
      <w:ind w:left="420" w:firstLine="1188"/>
      <w:spacing w:line="360" w:lineRule="exact"/>
    </w:pPr>
    <w:rPr>
      <w:rFonts w:ascii="Times New Roman" w:hAnsi="Times New Roman" w:cs="Times New Roman"/>
    </w:rPr>
  </w:style>
  <w:style w:type="paragraph" w:styleId="690">
    <w:name w:val="envelope return"/>
    <w:basedOn w:val="672"/>
    <w:uiPriority w:val="0"/>
    <w:qFormat/>
    <w:rPr>
      <w:rFonts w:ascii="Arial" w:hAnsi="Arial" w:cs="宋体"/>
    </w:rPr>
  </w:style>
  <w:style w:type="paragraph" w:styleId="691">
    <w:name w:val="List Bullet 2"/>
    <w:basedOn w:val="672"/>
    <w:uiPriority w:val="0"/>
    <w:qFormat/>
    <w:pPr>
      <w:numPr>
        <w:ilvl w:val="0"/>
        <w:numId w:val="1"/>
      </w:numPr>
      <w:spacing w:line="240" w:lineRule="auto"/>
    </w:pPr>
    <w:rPr>
      <w:rFonts w:ascii="宋体" w:hAnsi="宋体" w:cs="宋体"/>
      <w:sz w:val="22"/>
      <w:szCs w:val="22"/>
      <w:lang w:val="zh-CN" w:bidi="zh-CN"/>
    </w:rPr>
  </w:style>
  <w:style w:type="paragraph" w:styleId="692">
    <w:name w:val="index 4"/>
    <w:basedOn w:val="672"/>
    <w:next w:val="672"/>
    <w:uiPriority w:val="0"/>
    <w:semiHidden/>
    <w:qFormat/>
    <w:pPr>
      <w:ind w:left="1260"/>
      <w:spacing w:line="240" w:lineRule="auto"/>
    </w:pPr>
    <w:rPr>
      <w:rFonts w:ascii="宋体" w:hAnsi="宋体" w:cs="宋体"/>
      <w:sz w:val="22"/>
      <w:szCs w:val="22"/>
      <w:lang w:val="zh-CN" w:bidi="zh-CN"/>
    </w:rPr>
  </w:style>
  <w:style w:type="paragraph" w:styleId="693">
    <w:name w:val="toc 5"/>
    <w:basedOn w:val="672"/>
    <w:next w:val="672"/>
    <w:uiPriority w:val="39"/>
    <w:unhideWhenUsed/>
    <w:qFormat/>
    <w:pPr>
      <w:ind w:left="1134" w:right="0" w:firstLine="0"/>
      <w:spacing w:after="57"/>
    </w:pPr>
  </w:style>
  <w:style w:type="paragraph" w:styleId="694">
    <w:name w:val="toc 3"/>
    <w:basedOn w:val="672"/>
    <w:next w:val="672"/>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5">
    <w:name w:val="Plain Text"/>
    <w:basedOn w:val="672"/>
    <w:next w:val="688"/>
    <w:link w:val="870"/>
    <w:uiPriority w:val="0"/>
    <w:unhideWhenUsed/>
    <w:qFormat/>
    <w:rPr>
      <w:rFonts w:ascii="宋体" w:hAnsi="Courier New" w:cs="Courier New"/>
      <w:szCs w:val="21"/>
    </w:rPr>
  </w:style>
  <w:style w:type="paragraph" w:styleId="696">
    <w:name w:val="toc 8"/>
    <w:basedOn w:val="672"/>
    <w:next w:val="672"/>
    <w:uiPriority w:val="39"/>
    <w:unhideWhenUsed/>
    <w:qFormat/>
    <w:pPr>
      <w:ind w:left="1984" w:right="0" w:firstLine="0"/>
      <w:spacing w:after="57"/>
    </w:pPr>
  </w:style>
  <w:style w:type="paragraph" w:styleId="697">
    <w:name w:val="endnote text"/>
    <w:basedOn w:val="672"/>
    <w:link w:val="865"/>
    <w:uiPriority w:val="99"/>
    <w:semiHidden/>
    <w:unhideWhenUsed/>
    <w:qFormat/>
    <w:pPr>
      <w:spacing w:after="0" w:line="240" w:lineRule="auto"/>
    </w:pPr>
    <w:rPr>
      <w:sz w:val="20"/>
    </w:rPr>
  </w:style>
  <w:style w:type="paragraph" w:styleId="698">
    <w:name w:val="Balloon Text"/>
    <w:basedOn w:val="672"/>
    <w:link w:val="887"/>
    <w:uiPriority w:val="99"/>
    <w:semiHidden/>
    <w:unhideWhenUsed/>
    <w:qFormat/>
    <w:pPr>
      <w:spacing w:line="240" w:lineRule="auto"/>
    </w:pPr>
    <w:rPr>
      <w:sz w:val="18"/>
      <w:szCs w:val="18"/>
    </w:rPr>
  </w:style>
  <w:style w:type="paragraph" w:styleId="699">
    <w:name w:val="Footer"/>
    <w:basedOn w:val="672"/>
    <w:link w:val="868"/>
    <w:uiPriority w:val="99"/>
    <w:unhideWhenUsed/>
    <w:qFormat/>
    <w:pPr>
      <w:tabs>
        <w:tab w:val="center" w:pos="4153" w:leader="none"/>
        <w:tab w:val="right" w:pos="8306" w:leader="none"/>
      </w:tabs>
    </w:pPr>
    <w:rPr>
      <w:sz w:val="18"/>
      <w:szCs w:val="18"/>
    </w:rPr>
  </w:style>
  <w:style w:type="paragraph" w:styleId="700">
    <w:name w:val="Header"/>
    <w:basedOn w:val="672"/>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2"/>
    <w:next w:val="672"/>
    <w:uiPriority w:val="39"/>
    <w:unhideWhenUsed/>
    <w:qFormat/>
    <w:pPr>
      <w:spacing w:line="720" w:lineRule="auto"/>
      <w:tabs>
        <w:tab w:val="right" w:pos="9639" w:leader="dot"/>
      </w:tabs>
    </w:pPr>
  </w:style>
  <w:style w:type="paragraph" w:styleId="702">
    <w:name w:val="toc 4"/>
    <w:basedOn w:val="672"/>
    <w:next w:val="672"/>
    <w:uiPriority w:val="39"/>
    <w:unhideWhenUsed/>
    <w:qFormat/>
    <w:pPr>
      <w:ind w:left="850" w:right="0" w:firstLine="0"/>
      <w:spacing w:after="57"/>
    </w:pPr>
  </w:style>
  <w:style w:type="paragraph" w:styleId="703">
    <w:name w:val="Subtitle"/>
    <w:basedOn w:val="672"/>
    <w:next w:val="672"/>
    <w:link w:val="731"/>
    <w:uiPriority w:val="11"/>
    <w:qFormat/>
    <w:pPr>
      <w:spacing w:before="200" w:after="200"/>
    </w:pPr>
    <w:rPr>
      <w:sz w:val="24"/>
      <w:szCs w:val="24"/>
    </w:rPr>
  </w:style>
  <w:style w:type="paragraph" w:styleId="704">
    <w:name w:val="footnote text"/>
    <w:basedOn w:val="672"/>
    <w:link w:val="864"/>
    <w:uiPriority w:val="99"/>
    <w:semiHidden/>
    <w:unhideWhenUsed/>
    <w:qFormat/>
    <w:pPr>
      <w:spacing w:after="40" w:line="240" w:lineRule="auto"/>
    </w:pPr>
    <w:rPr>
      <w:sz w:val="18"/>
    </w:rPr>
  </w:style>
  <w:style w:type="paragraph" w:styleId="705">
    <w:name w:val="toc 6"/>
    <w:basedOn w:val="672"/>
    <w:next w:val="672"/>
    <w:uiPriority w:val="39"/>
    <w:unhideWhenUsed/>
    <w:qFormat/>
    <w:pPr>
      <w:ind w:left="1417" w:right="0" w:firstLine="0"/>
      <w:spacing w:after="57"/>
    </w:pPr>
  </w:style>
  <w:style w:type="paragraph" w:styleId="706">
    <w:name w:val="table of figures"/>
    <w:basedOn w:val="672"/>
    <w:next w:val="672"/>
    <w:uiPriority w:val="99"/>
    <w:unhideWhenUsed/>
    <w:qFormat/>
    <w:pPr>
      <w:spacing w:after="0" w:afterAutospacing="0"/>
    </w:pPr>
  </w:style>
  <w:style w:type="paragraph" w:styleId="707">
    <w:name w:val="toc 2"/>
    <w:basedOn w:val="672"/>
    <w:next w:val="672"/>
    <w:uiPriority w:val="39"/>
    <w:unhideWhenUsed/>
    <w:qFormat/>
    <w:pPr>
      <w:ind w:left="283" w:right="0" w:firstLine="0"/>
      <w:spacing w:after="57"/>
    </w:pPr>
  </w:style>
  <w:style w:type="paragraph" w:styleId="708">
    <w:name w:val="toc 9"/>
    <w:basedOn w:val="672"/>
    <w:next w:val="672"/>
    <w:uiPriority w:val="39"/>
    <w:unhideWhenUsed/>
    <w:qFormat/>
    <w:pPr>
      <w:ind w:left="2268" w:right="0" w:firstLine="0"/>
      <w:spacing w:after="57"/>
    </w:pPr>
  </w:style>
  <w:style w:type="paragraph" w:styleId="709">
    <w:name w:val="Normal (Web)"/>
    <w:basedOn w:val="672"/>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0">
    <w:name w:val="Title"/>
    <w:basedOn w:val="672"/>
    <w:next w:val="672"/>
    <w:link w:val="730"/>
    <w:uiPriority w:val="10"/>
    <w:qFormat/>
    <w:pPr>
      <w:contextualSpacing/>
      <w:spacing w:before="300" w:after="200"/>
    </w:pPr>
    <w:rPr>
      <w:sz w:val="48"/>
      <w:szCs w:val="48"/>
    </w:rPr>
  </w:style>
  <w:style w:type="paragraph" w:styleId="711">
    <w:name w:val="Body Text First Indent 2"/>
    <w:basedOn w:val="689"/>
    <w:next w:val="672"/>
    <w:uiPriority w:val="0"/>
    <w:qFormat/>
    <w:pPr>
      <w:ind w:left="0" w:firstLine="420"/>
      <w:spacing w:after="0" w:line="360" w:lineRule="auto"/>
    </w:pPr>
    <w:rPr>
      <w:rFonts w:ascii="宋体" w:hAnsi="宋体"/>
      <w:sz w:val="20"/>
      <w:szCs w:val="20"/>
      <w:lang w:eastAsia="en-US"/>
    </w:rPr>
  </w:style>
  <w:style w:type="table" w:styleId="712">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2"/>
    <w:uiPriority w:val="99"/>
    <w:semiHidden/>
    <w:unhideWhenUsed/>
    <w:qFormat/>
    <w:rPr>
      <w:vertAlign w:val="superscript"/>
    </w:rPr>
  </w:style>
  <w:style w:type="character" w:styleId="714">
    <w:name w:val="Emphasis"/>
    <w:uiPriority w:val="0"/>
    <w:qFormat/>
    <w:rPr>
      <w:i/>
    </w:rPr>
  </w:style>
  <w:style w:type="character" w:styleId="715">
    <w:name w:val="Hyperlink"/>
    <w:basedOn w:val="682"/>
    <w:uiPriority w:val="99"/>
    <w:unhideWhenUsed/>
    <w:qFormat/>
    <w:rPr>
      <w:color w:val="0000ff" w:themeColor="hyperlink"/>
      <w:u w:val="single"/>
      <w14:textFill>
        <w14:solidFill>
          <w14:schemeClr w14:val="hlink"/>
        </w14:solidFill>
      </w14:textFill>
    </w:rPr>
  </w:style>
  <w:style w:type="character" w:styleId="716">
    <w:name w:val="annotation reference"/>
    <w:basedOn w:val="682"/>
    <w:uiPriority w:val="99"/>
    <w:semiHidden/>
    <w:unhideWhenUsed/>
    <w:qFormat/>
    <w:rPr>
      <w:sz w:val="21"/>
      <w:szCs w:val="21"/>
    </w:rPr>
  </w:style>
  <w:style w:type="character" w:styleId="717">
    <w:name w:val="footnote reference"/>
    <w:basedOn w:val="682"/>
    <w:uiPriority w:val="99"/>
    <w:unhideWhenUsed/>
    <w:qFormat/>
    <w:rPr>
      <w:vertAlign w:val="superscript"/>
    </w:rPr>
  </w:style>
  <w:style w:type="paragraph" w:styleId="718" w:customStyle="1">
    <w:name w:val="Default"/>
    <w:basedOn w:val="695"/>
    <w:next w:val="695"/>
    <w:uiPriority w:val="0"/>
    <w:qFormat/>
    <w:pPr>
      <w:spacing w:after="0" w:line="240" w:lineRule="auto"/>
    </w:pPr>
    <w:rPr>
      <w:rFonts w:ascii=".." w:hAnsi="Calibri" w:eastAsia=".." w:cs=".."/>
      <w:color w:val="000000"/>
      <w:sz w:val="24"/>
      <w:szCs w:val="24"/>
      <w:lang w:val="en-US" w:eastAsia="zh-CN" w:bidi="ar-SA"/>
    </w:rPr>
  </w:style>
  <w:style w:type="character" w:styleId="719" w:customStyle="1">
    <w:name w:val="Heading 1 Char"/>
    <w:basedOn w:val="682"/>
    <w:uiPriority w:val="9"/>
    <w:qFormat/>
    <w:rPr>
      <w:rFonts w:ascii="Arial" w:hAnsi="Arial" w:eastAsia="Arial" w:cs="Arial"/>
      <w:sz w:val="40"/>
      <w:szCs w:val="40"/>
    </w:rPr>
  </w:style>
  <w:style w:type="character" w:styleId="720" w:customStyle="1">
    <w:name w:val="Heading 2 Char"/>
    <w:basedOn w:val="682"/>
    <w:link w:val="674"/>
    <w:uiPriority w:val="9"/>
    <w:qFormat/>
    <w:rPr>
      <w:rFonts w:ascii="Arial" w:hAnsi="Arial" w:eastAsia="Arial" w:cs="Arial"/>
      <w:sz w:val="34"/>
    </w:rPr>
  </w:style>
  <w:style w:type="character" w:styleId="721" w:customStyle="1">
    <w:name w:val="Heading 3 Char"/>
    <w:basedOn w:val="682"/>
    <w:uiPriority w:val="9"/>
    <w:qFormat/>
    <w:rPr>
      <w:rFonts w:ascii="Arial" w:hAnsi="Arial" w:eastAsia="Arial" w:cs="Arial"/>
      <w:sz w:val="30"/>
      <w:szCs w:val="30"/>
    </w:rPr>
  </w:style>
  <w:style w:type="character" w:styleId="722" w:customStyle="1">
    <w:name w:val="Heading 4 Char"/>
    <w:basedOn w:val="682"/>
    <w:uiPriority w:val="9"/>
    <w:qFormat/>
    <w:rPr>
      <w:rFonts w:ascii="Arial" w:hAnsi="Arial" w:eastAsia="Arial" w:cs="Arial"/>
      <w:b/>
      <w:bCs/>
      <w:sz w:val="26"/>
      <w:szCs w:val="26"/>
    </w:rPr>
  </w:style>
  <w:style w:type="character" w:styleId="723" w:customStyle="1">
    <w:name w:val="Heading 5 Char"/>
    <w:basedOn w:val="682"/>
    <w:link w:val="677"/>
    <w:uiPriority w:val="9"/>
    <w:qFormat/>
    <w:rPr>
      <w:rFonts w:ascii="Arial" w:hAnsi="Arial" w:eastAsia="Arial" w:cs="Arial"/>
      <w:b/>
      <w:bCs/>
      <w:sz w:val="24"/>
      <w:szCs w:val="24"/>
    </w:rPr>
  </w:style>
  <w:style w:type="character" w:styleId="724" w:customStyle="1">
    <w:name w:val="Heading 6 Char"/>
    <w:basedOn w:val="682"/>
    <w:link w:val="678"/>
    <w:uiPriority w:val="9"/>
    <w:qFormat/>
    <w:rPr>
      <w:rFonts w:ascii="Arial" w:hAnsi="Arial" w:eastAsia="Arial" w:cs="Arial"/>
      <w:b/>
      <w:bCs/>
      <w:sz w:val="22"/>
      <w:szCs w:val="22"/>
    </w:rPr>
  </w:style>
  <w:style w:type="character" w:styleId="725" w:customStyle="1">
    <w:name w:val="Heading 7 Char"/>
    <w:basedOn w:val="682"/>
    <w:link w:val="679"/>
    <w:uiPriority w:val="9"/>
    <w:qFormat/>
    <w:rPr>
      <w:rFonts w:ascii="Arial" w:hAnsi="Arial" w:eastAsia="Arial" w:cs="Arial"/>
      <w:b/>
      <w:bCs/>
      <w:i/>
      <w:iCs/>
      <w:sz w:val="22"/>
      <w:szCs w:val="22"/>
    </w:rPr>
  </w:style>
  <w:style w:type="character" w:styleId="726" w:customStyle="1">
    <w:name w:val="Heading 8 Char"/>
    <w:basedOn w:val="682"/>
    <w:link w:val="680"/>
    <w:uiPriority w:val="9"/>
    <w:qFormat/>
    <w:rPr>
      <w:rFonts w:ascii="Arial" w:hAnsi="Arial" w:eastAsia="Arial" w:cs="Arial"/>
      <w:i/>
      <w:iCs/>
      <w:sz w:val="22"/>
      <w:szCs w:val="22"/>
    </w:rPr>
  </w:style>
  <w:style w:type="character" w:styleId="727" w:customStyle="1">
    <w:name w:val="Heading 9 Char"/>
    <w:basedOn w:val="682"/>
    <w:link w:val="681"/>
    <w:uiPriority w:val="9"/>
    <w:qFormat/>
    <w:rPr>
      <w:rFonts w:ascii="Arial" w:hAnsi="Arial" w:eastAsia="Arial" w:cs="Arial"/>
      <w:i/>
      <w:iCs/>
      <w:sz w:val="21"/>
      <w:szCs w:val="21"/>
    </w:rPr>
  </w:style>
  <w:style w:type="paragraph" w:styleId="728">
    <w:name w:val="List Paragraph"/>
    <w:basedOn w:val="672"/>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2"/>
    <w:link w:val="710"/>
    <w:uiPriority w:val="10"/>
    <w:qFormat/>
    <w:rPr>
      <w:sz w:val="48"/>
      <w:szCs w:val="48"/>
    </w:rPr>
  </w:style>
  <w:style w:type="character" w:styleId="731" w:customStyle="1">
    <w:name w:val="Subtitle Char"/>
    <w:basedOn w:val="682"/>
    <w:link w:val="703"/>
    <w:uiPriority w:val="11"/>
    <w:qFormat/>
    <w:rPr>
      <w:sz w:val="24"/>
      <w:szCs w:val="24"/>
    </w:rPr>
  </w:style>
  <w:style w:type="paragraph" w:styleId="732">
    <w:name w:val="Quote"/>
    <w:basedOn w:val="672"/>
    <w:next w:val="672"/>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2"/>
    <w:next w:val="6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2"/>
    <w:uiPriority w:val="99"/>
    <w:qFormat/>
  </w:style>
  <w:style w:type="character" w:styleId="737" w:customStyle="1">
    <w:name w:val="Footer Char"/>
    <w:basedOn w:val="682"/>
    <w:uiPriority w:val="99"/>
    <w:qFormat/>
  </w:style>
  <w:style w:type="character" w:styleId="738" w:customStyle="1">
    <w:name w:val="Caption Char"/>
    <w:uiPriority w:val="99"/>
    <w:qFormat/>
  </w:style>
  <w:style w:type="table" w:styleId="73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4"/>
    <w:uiPriority w:val="99"/>
    <w:qFormat/>
    <w:rPr>
      <w:sz w:val="18"/>
    </w:rPr>
  </w:style>
  <w:style w:type="character" w:styleId="865" w:customStyle="1">
    <w:name w:val="Endnote Text Char"/>
    <w:link w:val="697"/>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2"/>
    <w:link w:val="700"/>
    <w:uiPriority w:val="99"/>
    <w:semiHidden/>
    <w:qFormat/>
    <w:rPr>
      <w:sz w:val="18"/>
      <w:szCs w:val="18"/>
    </w:rPr>
  </w:style>
  <w:style w:type="character" w:styleId="868" w:customStyle="1">
    <w:name w:val="页脚 Char"/>
    <w:basedOn w:val="682"/>
    <w:link w:val="699"/>
    <w:uiPriority w:val="99"/>
    <w:qFormat/>
    <w:rPr>
      <w:sz w:val="18"/>
      <w:szCs w:val="18"/>
    </w:rPr>
  </w:style>
  <w:style w:type="character" w:styleId="869" w:customStyle="1">
    <w:name w:val="纯文本 Char"/>
    <w:basedOn w:val="682"/>
    <w:link w:val="695"/>
    <w:uiPriority w:val="99"/>
    <w:semiHidden/>
    <w:qFormat/>
    <w:rPr>
      <w:rFonts w:ascii="宋体" w:hAnsi="Courier New" w:eastAsia="宋体" w:cs="Courier New"/>
      <w:szCs w:val="21"/>
    </w:rPr>
  </w:style>
  <w:style w:type="character" w:styleId="870" w:customStyle="1">
    <w:name w:val="纯文本 Char1"/>
    <w:link w:val="695"/>
    <w:uiPriority w:val="99"/>
    <w:semiHidden/>
    <w:qFormat/>
    <w:rPr>
      <w:rFonts w:ascii="宋体" w:hAnsi="Courier New" w:eastAsia="宋体" w:cs="Courier New"/>
      <w:szCs w:val="21"/>
    </w:rPr>
  </w:style>
  <w:style w:type="character" w:styleId="871" w:customStyle="1">
    <w:name w:val="标题 1 Char"/>
    <w:basedOn w:val="682"/>
    <w:link w:val="673"/>
    <w:uiPriority w:val="9"/>
    <w:qFormat/>
    <w:rPr>
      <w:rFonts w:ascii="Times New Roman" w:hAnsi="Times New Roman" w:eastAsia="宋体" w:cs="Times New Roman"/>
      <w:b/>
      <w:bCs/>
      <w:sz w:val="36"/>
      <w:szCs w:val="44"/>
    </w:rPr>
  </w:style>
  <w:style w:type="character" w:styleId="872" w:customStyle="1">
    <w:name w:val="正文缩进 Char"/>
    <w:link w:val="685"/>
    <w:uiPriority w:val="0"/>
    <w:qFormat/>
    <w:rPr>
      <w:rFonts w:ascii="Times New Roman" w:hAnsi="Times New Roman" w:eastAsia="宋体" w:cs="Times New Roman"/>
      <w:szCs w:val="24"/>
    </w:rPr>
  </w:style>
  <w:style w:type="paragraph" w:styleId="873" w:customStyle="1">
    <w:name w:val="Table Paragraph"/>
    <w:basedOn w:val="672"/>
    <w:uiPriority w:val="1"/>
    <w:qFormat/>
    <w:pPr>
      <w:spacing w:line="240" w:lineRule="auto"/>
    </w:pPr>
    <w:rPr>
      <w:rFonts w:ascii="宋体" w:hAnsi="宋体" w:cs="宋体"/>
      <w:sz w:val="22"/>
      <w:szCs w:val="22"/>
      <w:lang w:val="zh-CN" w:bidi="zh-CN"/>
    </w:rPr>
  </w:style>
  <w:style w:type="paragraph" w:styleId="874" w:customStyle="1">
    <w:name w:val="纯文本1"/>
    <w:basedOn w:val="672"/>
    <w:uiPriority w:val="99"/>
    <w:qFormat/>
    <w:pPr>
      <w:jc w:val="both"/>
      <w:spacing w:line="240" w:lineRule="auto"/>
    </w:pPr>
    <w:rPr>
      <w:rFonts w:ascii="宋体" w:hAnsi="Courier New"/>
      <w:sz w:val="20"/>
      <w:szCs w:val="21"/>
    </w:rPr>
  </w:style>
  <w:style w:type="character" w:styleId="875" w:customStyle="1">
    <w:name w:val="标题 4 Char"/>
    <w:basedOn w:val="682"/>
    <w:link w:val="676"/>
    <w:uiPriority w:val="9"/>
    <w:semiHidden/>
    <w:qFormat/>
    <w:rPr>
      <w:rFonts w:asciiTheme="majorHAnsi" w:hAnsiTheme="majorHAnsi" w:eastAsiaTheme="majorEastAsia" w:cstheme="majorBidi"/>
      <w:b/>
      <w:bCs/>
      <w:sz w:val="28"/>
      <w:szCs w:val="28"/>
    </w:rPr>
  </w:style>
  <w:style w:type="paragraph" w:styleId="876" w:customStyle="1">
    <w:name w:val="首行缩进"/>
    <w:basedOn w:val="877"/>
    <w:uiPriority w:val="0"/>
    <w:qFormat/>
    <w:pPr>
      <w:ind w:firstLine="480"/>
    </w:pPr>
    <w:rPr>
      <w:rFonts w:ascii="宋体" w:hAnsi="宋体" w:cs="宋体"/>
      <w:szCs w:val="22"/>
      <w:lang w:val="zh-CN" w:bidi="zh-CN"/>
    </w:rPr>
  </w:style>
  <w:style w:type="paragraph" w:styleId="877" w:customStyle="1">
    <w:name w:val="正文1"/>
    <w:next w:val="876"/>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8" w:customStyle="1">
    <w:name w:val="标题 3 Char"/>
    <w:basedOn w:val="682"/>
    <w:link w:val="675"/>
    <w:uiPriority w:val="9"/>
    <w:semiHidden/>
    <w:qFormat/>
    <w:rPr>
      <w:rFonts w:ascii="Times New Roman" w:hAnsi="Times New Roman" w:eastAsia="宋体" w:cs="Times New Roman"/>
      <w:b/>
      <w:bCs/>
      <w:sz w:val="32"/>
      <w:szCs w:val="32"/>
    </w:rPr>
  </w:style>
  <w:style w:type="character" w:styleId="879" w:customStyle="1">
    <w:name w:val="正文文本 Char"/>
    <w:basedOn w:val="682"/>
    <w:link w:val="688"/>
    <w:uiPriority w:val="1"/>
    <w:qFormat/>
    <w:rPr>
      <w:rFonts w:ascii="宋体" w:hAnsi="宋体" w:eastAsia="宋体" w:cs="宋体"/>
      <w:szCs w:val="21"/>
      <w:lang w:val="zh-CN" w:bidi="zh-CN"/>
    </w:rPr>
  </w:style>
  <w:style w:type="paragraph" w:styleId="880" w:customStyle="1">
    <w:name w:val="普通正文"/>
    <w:basedOn w:val="672"/>
    <w:uiPriority w:val="0"/>
    <w:qFormat/>
    <w:pPr>
      <w:ind w:firstLine="480"/>
      <w:spacing w:before="120" w:after="120"/>
    </w:pPr>
    <w:rPr>
      <w:rFonts w:ascii="Arial" w:hAnsi="Arial" w:cs="宋体"/>
      <w:lang w:val="zh-CN" w:bidi="zh-CN"/>
    </w:rPr>
  </w:style>
  <w:style w:type="paragraph" w:styleId="881" w:customStyle="1">
    <w:name w:val="彩色列表1"/>
    <w:basedOn w:val="672"/>
    <w:uiPriority w:val="0"/>
    <w:qFormat/>
    <w:pPr>
      <w:ind w:firstLine="420"/>
      <w:spacing w:line="240" w:lineRule="auto"/>
    </w:pPr>
    <w:rPr>
      <w:rFonts w:ascii="宋体" w:hAnsi="宋体" w:cs="宋体"/>
      <w:sz w:val="22"/>
      <w:lang w:val="zh-CN" w:bidi="zh-CN"/>
    </w:rPr>
  </w:style>
  <w:style w:type="paragraph" w:styleId="882" w:customStyle="1">
    <w:name w:val="ListBullet2"/>
    <w:basedOn w:val="672"/>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3" w:customStyle="1">
    <w:name w:val="标题5 Char Char"/>
    <w:link w:val="884"/>
    <w:uiPriority w:val="0"/>
    <w:qFormat/>
    <w:rPr>
      <w:rFonts w:ascii="Arial" w:hAnsi="Arial"/>
      <w:b/>
      <w:bCs/>
      <w:sz w:val="24"/>
      <w:szCs w:val="32"/>
    </w:rPr>
  </w:style>
  <w:style w:type="paragraph" w:styleId="884" w:customStyle="1">
    <w:name w:val="标题5"/>
    <w:basedOn w:val="675"/>
    <w:link w:val="883"/>
    <w:uiPriority w:val="0"/>
    <w:qFormat/>
    <w:pPr>
      <w:jc w:val="both"/>
      <w:spacing w:line="413" w:lineRule="auto"/>
    </w:pPr>
    <w:rPr>
      <w:rFonts w:ascii="Arial" w:hAnsi="Arial" w:eastAsiaTheme="minorEastAsia" w:cstheme="minorBidi"/>
      <w:sz w:val="24"/>
    </w:rPr>
  </w:style>
  <w:style w:type="character" w:styleId="885" w:customStyle="1">
    <w:name w:val="15"/>
    <w:basedOn w:val="682"/>
    <w:uiPriority w:val="0"/>
    <w:qFormat/>
  </w:style>
  <w:style w:type="table" w:styleId="886" w:customStyle="1">
    <w:name w:val="Table Normal"/>
    <w:uiPriority w:val="0"/>
    <w:semiHidden/>
    <w:unhideWhenUsed/>
    <w:qFormat/>
    <w:tblPr>
      <w:tblCellMar>
        <w:left w:w="0" w:type="dxa"/>
        <w:top w:w="0" w:type="dxa"/>
        <w:right w:w="0" w:type="dxa"/>
        <w:bottom w:w="0" w:type="dxa"/>
      </w:tblCellMar>
    </w:tblPr>
  </w:style>
  <w:style w:type="character" w:styleId="887" w:customStyle="1">
    <w:name w:val="批注框文本 Char"/>
    <w:basedOn w:val="682"/>
    <w:link w:val="698"/>
    <w:uiPriority w:val="99"/>
    <w:semiHidden/>
    <w:qFormat/>
    <w:rPr>
      <w:rFonts w:ascii="Times New Roman" w:hAnsi="Times New Roman" w:eastAsia="宋体" w:cs="Times New Roman"/>
      <w:sz w:val="18"/>
      <w:szCs w:val="18"/>
    </w:rPr>
  </w:style>
  <w:style w:type="character" w:styleId="888" w:customStyle="1">
    <w:name w:val="批注文字 Char"/>
    <w:basedOn w:val="682"/>
    <w:link w:val="687"/>
    <w:uiPriority w:val="99"/>
    <w:semiHidden/>
    <w:qFormat/>
    <w:rPr>
      <w:rFonts w:ascii="Times New Roman" w:hAnsi="Times New Roman" w:eastAsia="宋体" w:cs="Times New Roman"/>
      <w:sz w:val="24"/>
      <w:szCs w:val="24"/>
    </w:rPr>
  </w:style>
  <w:style w:type="paragraph" w:styleId="889" w:customStyle="1">
    <w:name w:val="标题 31"/>
    <w:basedOn w:val="672"/>
    <w:next w:val="89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0" w:customStyle="1">
    <w:name w:val="正文缩进1"/>
    <w:basedOn w:val="672"/>
    <w:uiPriority w:val="99"/>
    <w:qFormat/>
    <w:pPr>
      <w:ind w:firstLine="420"/>
    </w:pPr>
    <w:rPr>
      <w:b/>
      <w:sz w:val="24"/>
    </w:rPr>
  </w:style>
  <w:style w:type="character" w:styleId="891" w:customStyle="1">
    <w:name w:val="要点1"/>
    <w:uiPriority w:val="0"/>
    <w:qFormat/>
    <w:rPr>
      <w:sz w:val="22"/>
      <w:szCs w:val="22"/>
      <w:lang w:val="en-US" w:eastAsia="en-US" w:bidi="en-US"/>
    </w:rPr>
  </w:style>
  <w:style w:type="paragraph" w:styleId="892" w:customStyle="1">
    <w:name w:val="正文首行缩进1"/>
    <w:basedOn w:val="893"/>
    <w:uiPriority w:val="0"/>
    <w:qFormat/>
    <w:pPr>
      <w:ind w:firstLine="420"/>
      <w:spacing w:line="360" w:lineRule="auto"/>
    </w:pPr>
    <w:rPr>
      <w:rFonts w:ascii="Times New Roman" w:hAnsi="Times New Roman" w:cs="Times New Roman"/>
      <w:szCs w:val="21"/>
    </w:rPr>
  </w:style>
  <w:style w:type="paragraph" w:styleId="893" w:customStyle="1">
    <w:name w:val="正文文本1"/>
    <w:basedOn w:val="672"/>
    <w:uiPriority w:val="0"/>
    <w:qFormat/>
    <w:rPr>
      <w:rFonts w:ascii="宋体"/>
      <w:sz w:val="28"/>
    </w:rPr>
  </w:style>
  <w:style w:type="paragraph" w:styleId="894" w:customStyle="1">
    <w:name w:val="1"/>
    <w:basedOn w:val="672"/>
    <w:next w:val="672"/>
    <w:uiPriority w:val="0"/>
    <w:qFormat/>
    <w:rPr>
      <w:szCs w:val="20"/>
    </w:rPr>
  </w:style>
  <w:style w:type="paragraph" w:styleId="895" w:customStyle="1">
    <w:name w:val="标题 311"/>
    <w:basedOn w:val="672"/>
    <w:next w:val="672"/>
    <w:uiPriority w:val="0"/>
    <w:qFormat/>
    <w:pPr>
      <w:keepLines/>
      <w:keepNext/>
      <w:spacing w:before="260" w:after="260" w:line="416" w:lineRule="auto"/>
      <w:outlineLvl w:val="2"/>
    </w:pPr>
    <w:rPr>
      <w:b/>
      <w:sz w:val="32"/>
      <w:szCs w:val="20"/>
    </w:rPr>
  </w:style>
  <w:style w:type="paragraph" w:styleId="896" w:customStyle="1">
    <w:name w:val="List Paragraph1"/>
    <w:basedOn w:val="672"/>
    <w:uiPriority w:val="34"/>
    <w:qFormat/>
    <w:pPr>
      <w:contextualSpacing/>
      <w:ind w:left="720"/>
    </w:pPr>
  </w:style>
  <w:style w:type="character" w:styleId="897" w:customStyle="1">
    <w:name w:val="bot_zi"/>
    <w:basedOn w:val="682"/>
    <w:uiPriority w:val="0"/>
    <w:qFormat/>
  </w:style>
  <w:style w:type="paragraph" w:styleId="898" w:customStyle="1">
    <w:name w:val="列表段落1"/>
    <w:basedOn w:val="672"/>
    <w:uiPriority w:val="34"/>
    <w:qFormat/>
    <w:pPr>
      <w:ind w:firstLine="420"/>
    </w:pPr>
  </w:style>
  <w:style w:type="paragraph" w:styleId="899" w:customStyle="1">
    <w:name w:val="普通(网站)1"/>
    <w:basedOn w:val="672"/>
    <w:uiPriority w:val="99"/>
    <w:qFormat/>
    <w:pPr>
      <w:jc w:val="left"/>
      <w:spacing w:before="100" w:beforeAutospacing="1" w:after="100" w:afterAutospacing="1"/>
      <w:widowControl/>
    </w:pPr>
    <w:rPr>
      <w:sz w:val="24"/>
    </w:rPr>
  </w:style>
  <w:style w:type="paragraph" w:styleId="900" w:customStyle="1">
    <w:name w:val="null3"/>
    <w:hidden/>
    <w:uiPriority w:val="0"/>
    <w:qFormat/>
    <w:rPr>
      <w:rFonts w:hint="eastAsia" w:asciiTheme="minorHAnsi" w:hAnsiTheme="minorHAnsi" w:eastAsiaTheme="minorEastAsia" w:cstheme="minorBidi"/>
      <w:lang w:val="en-US" w:eastAsia="zh-Hans"/>
    </w:rPr>
  </w:style>
  <w:style w:type="paragraph" w:styleId="901" w:customStyle="1">
    <w:name w:val="标题1"/>
    <w:basedOn w:val="672"/>
    <w:next w:val="672"/>
    <w:uiPriority w:val="10"/>
    <w:qFormat/>
    <w:pPr>
      <w:contextualSpacing/>
      <w:spacing w:after="300" w:line="240" w:lineRule="auto"/>
    </w:pPr>
    <w:rPr>
      <w:smallCaps/>
      <w:sz w:val="52"/>
      <w:szCs w:val="52"/>
      <w:lang w:bidi="ar-SA"/>
    </w:rPr>
  </w:style>
  <w:style w:type="paragraph" w:styleId="902" w:customStyle="1">
    <w:name w:val="正文缩进11"/>
    <w:basedOn w:val="672"/>
    <w:next w:val="672"/>
    <w:uiPriority w:val="99"/>
    <w:qFormat/>
    <w:pPr>
      <w:ind w:firstLine="420"/>
    </w:pPr>
    <w:rPr>
      <w:szCs w:val="20"/>
    </w:rPr>
  </w:style>
  <w:style w:type="paragraph" w:styleId="903" w:customStyle="1">
    <w:name w:val="标题 41"/>
    <w:basedOn w:val="672"/>
    <w:next w:val="672"/>
    <w:uiPriority w:val="9"/>
    <w:qFormat/>
    <w:pPr>
      <w:spacing w:after="0" w:line="271" w:lineRule="auto"/>
      <w:outlineLvl w:val="3"/>
    </w:pPr>
    <w:rPr>
      <w:b/>
      <w:bCs/>
      <w:spacing w:val="5"/>
      <w:sz w:val="24"/>
      <w:szCs w:val="24"/>
      <w:lang w:bidi="ar-SA"/>
    </w:rPr>
  </w:style>
  <w:style w:type="paragraph" w:styleId="904" w:customStyle="1">
    <w:name w:val="索引 41"/>
    <w:basedOn w:val="672"/>
    <w:next w:val="672"/>
    <w:uiPriority w:val="0"/>
    <w:qFormat/>
    <w:pPr>
      <w:ind w:left="600"/>
    </w:p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28</cp:revision>
  <dcterms:created xsi:type="dcterms:W3CDTF">2023-09-21T04:43:00Z</dcterms:created>
  <dcterms:modified xsi:type="dcterms:W3CDTF">2026-08-11T05:55:47Z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236D1DFE060D48EF91373BFF96E3C0A4_13</vt:lpwstr>
  </property>
  <property fmtid="{D5CDD505-2E9C-101B-9397-08002B2CF9AE}" pid="4" name="KSOTemplateDocerSaveRecord">
    <vt:lpwstr>eyJoZGlkIjoiOWI0NTJjM2IwNDY2NWI2MTBhOTYxZTNjMDViODlmZWYiLCJ1c2VySWQiOiIzNTYwMDE3MjEifQ==</vt:lpwstr>
  </property>
</Properties>
</file>