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ind w:firstLine="0"/>
        <w:rPr>
          <w:rFonts w:hint="eastAsia" w:eastAsia="黑体"/>
          <w:b/>
          <w:bCs/>
          <w:color w:val="000000" w:themeColor="text1"/>
          <w:sz w:val="84"/>
        </w:rPr>
      </w:pPr>
      <w:r>
        <w:rPr>
          <w:rFonts w:hint="eastAsia" w:eastAsia="黑体"/>
          <w:b/>
          <w:bCs/>
          <w:color w:val="000000" w:themeColor="text1"/>
          <w:sz w:val="84"/>
        </w:rPr>
      </w:r>
      <w:r/>
    </w:p>
    <w:p>
      <w:pPr>
        <w:pStyle w:val="897"/>
        <w:ind w:firstLine="0"/>
        <w:jc w:val="center"/>
        <w:rPr>
          <w:rFonts w:ascii="方正小标宋_GBK" w:hAnsi="方正小标宋_GBK" w:eastAsia="方正小标宋_GBK" w:cs="方正小标宋_GBK"/>
          <w:color w:val="000000" w:themeColor="text1"/>
          <w:sz w:val="52"/>
          <w:szCs w:val="52"/>
        </w:rPr>
      </w:pPr>
      <w:r>
        <w:rPr>
          <w:rFonts w:hint="eastAsia" w:ascii="方正小标宋_GBK" w:hAnsi="方正小标宋_GBK" w:eastAsia="方正小标宋_GBK" w:cs="方正小标宋_GBK"/>
          <w:color w:val="000000" w:themeColor="text1"/>
          <w:sz w:val="52"/>
          <w:szCs w:val="52"/>
        </w:rPr>
        <w:t xml:space="preserve">招　标　文　件</w:t>
      </w:r>
      <w:r/>
    </w:p>
    <w:p>
      <w:pPr>
        <w:pStyle w:val="897"/>
        <w:ind w:firstLine="1968"/>
        <w:spacing w:line="400" w:lineRule="exact"/>
        <w:rPr>
          <w:b/>
          <w:bCs/>
          <w:color w:val="000000" w:themeColor="text1"/>
          <w:sz w:val="28"/>
          <w:szCs w:val="28"/>
        </w:rPr>
      </w:pPr>
      <w:r>
        <w:rPr>
          <w:b/>
          <w:bCs/>
          <w:color w:val="000000" w:themeColor="text1"/>
          <w:sz w:val="28"/>
          <w:szCs w:val="28"/>
        </w:rPr>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项目名称：</w:t>
      </w:r>
      <w:r>
        <w:rPr>
          <w:rFonts w:ascii="方正黑体_GBK" w:hAnsi="方正黑体_GBK" w:eastAsia="方正黑体_GBK" w:cs="方正黑体_GBK"/>
          <w:color w:val="000000" w:themeColor="text1"/>
          <w:sz w:val="28"/>
          <w:szCs w:val="28"/>
        </w:rPr>
        <w:t xml:space="preserve">江苏信息职业技术学院物业托管服务</w:t>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采购编号：</w:t>
      </w:r>
      <w:r>
        <w:rPr>
          <w:rFonts w:ascii="方正黑体_GBK" w:hAnsi="方正黑体_GBK" w:eastAsia="方正黑体_GBK" w:cs="方正黑体_GBK"/>
          <w:color w:val="000000" w:themeColor="text1"/>
          <w:sz w:val="28"/>
          <w:szCs w:val="28"/>
        </w:rPr>
        <w:t xml:space="preserve">JSZC-320000-SCZX-G2026-0338</w:t>
      </w:r>
      <w:r/>
    </w:p>
    <w:p>
      <w:pPr>
        <w:ind w:firstLine="560"/>
        <w:jc w:val="left"/>
        <w:spacing w:before="120" w:after="120" w:line="400" w:lineRule="exact"/>
        <w:rPr>
          <w:rFonts w:ascii="方正黑体_GBK" w:hAnsi="方正黑体_GBK" w:eastAsia="方正黑体_GBK" w:cs="方正黑体_GBK"/>
          <w:color w:val="000000" w:themeColor="text1"/>
          <w:sz w:val="28"/>
          <w:szCs w:val="28"/>
        </w:rPr>
      </w:pPr>
      <w:r>
        <w:rPr>
          <w:rFonts w:ascii="方正黑体_GBK" w:hAnsi="方正黑体_GBK" w:eastAsia="方正黑体_GBK" w:cs="方正黑体_GBK"/>
          <w:color w:val="000000" w:themeColor="text1"/>
          <w:sz w:val="28"/>
          <w:szCs w:val="28"/>
        </w:rPr>
      </w:r>
      <w:r/>
    </w:p>
    <w:p>
      <w:pPr>
        <w:jc w:val="center"/>
        <w:rPr>
          <w:b/>
          <w:color w:val="000000" w:themeColor="text1"/>
          <w:sz w:val="28"/>
          <w:szCs w:val="28"/>
        </w:rPr>
      </w:pPr>
      <w:r>
        <w:rPr>
          <w:b/>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江苏省政府采购中心</w:t>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2026年</w:t>
      </w:r>
      <w:r>
        <w:rPr>
          <w:rFonts w:hint="eastAsia" w:ascii="方正黑体_GBK" w:hAnsi="方正黑体_GBK" w:eastAsia="方正黑体_GBK" w:cs="方正黑体_GBK"/>
          <w:color w:val="000000" w:themeColor="text1"/>
          <w:sz w:val="28"/>
          <w:szCs w:val="28"/>
        </w:rPr>
        <w:t xml:space="preserve">8</w:t>
      </w:r>
      <w:r>
        <w:rPr>
          <w:rFonts w:hint="eastAsia" w:ascii="方正黑体_GBK" w:hAnsi="方正黑体_GBK" w:eastAsia="方正黑体_GBK" w:cs="方正黑体_GBK"/>
          <w:color w:val="000000" w:themeColor="text1"/>
          <w:sz w:val="28"/>
          <w:szCs w:val="28"/>
        </w:rPr>
        <w:t xml:space="preserve">月</w:t>
      </w:r>
      <w:r/>
    </w:p>
    <w:p>
      <w:pPr>
        <w:pStyle w:val="897"/>
        <w:ind w:firstLine="0"/>
        <w:rPr>
          <w:color w:val="000000" w:themeColor="text1"/>
          <w:u w:val="single"/>
        </w:rPr>
      </w:pPr>
      <w:r>
        <w:rPr>
          <w:rFonts w:hint="eastAsia"/>
          <w:color w:val="000000" w:themeColor="text1"/>
        </w:rPr>
        <w:t xml:space="preserve">                        </w:t>
      </w:r>
      <w:r/>
    </w:p>
    <w:p>
      <w:pPr>
        <w:pStyle w:val="897"/>
        <w:ind w:firstLine="0"/>
        <w:jc w:val="center"/>
        <w:rPr>
          <w:color w:val="000000" w:themeColor="text1"/>
        </w:rPr>
      </w:pPr>
      <w:r>
        <w:rPr>
          <w:color w:val="000000" w:themeColor="text1"/>
        </w:rPr>
      </w:r>
      <w:r/>
    </w:p>
    <w:p>
      <w:pPr>
        <w:jc w:val="center"/>
        <w:spacing w:line="400" w:lineRule="exact"/>
        <w:rPr>
          <w:rFonts w:ascii="黑体" w:hAnsi="Arial" w:eastAsia="黑体"/>
          <w:b/>
          <w:color w:val="000000" w:themeColor="text1"/>
          <w:sz w:val="28"/>
          <w:szCs w:val="28"/>
        </w:rPr>
        <w:outlineLvl w:val="0"/>
      </w:pPr>
      <w:r>
        <w:rPr>
          <w:color w:val="000000" w:themeColor="text1"/>
        </w:rPr>
        <w:br w:type="page" w:clear="all"/>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ascii="方正黑体_GBK" w:hAnsi="方正黑体_GBK" w:eastAsia="方正黑体_GBK" w:cs="方正黑体_GBK"/>
          <w:b/>
          <w:color w:val="000000" w:themeColor="text1"/>
          <w:sz w:val="28"/>
          <w:szCs w:val="28"/>
        </w:rPr>
        <w:t xml:space="preserve"> </w:t>
      </w:r>
      <w:r>
        <w:rPr>
          <w:rFonts w:hint="eastAsia" w:ascii="方正黑体_GBK" w:hAnsi="方正黑体_GBK" w:eastAsia="方正黑体_GBK" w:cs="方正黑体_GBK"/>
          <w:bCs/>
          <w:color w:val="000000" w:themeColor="text1"/>
          <w:sz w:val="28"/>
          <w:szCs w:val="28"/>
        </w:rPr>
        <w:t xml:space="preserve">总  目  录</w:t>
      </w:r>
      <w:r/>
    </w:p>
    <w:p>
      <w:pPr>
        <w:spacing w:line="400" w:lineRule="exact"/>
        <w:rPr>
          <w:rFonts w:ascii="方正黑体_GBK" w:hAnsi="方正黑体_GBK" w:eastAsia="方正黑体_GBK" w:cs="方正黑体_GBK"/>
          <w:color w:val="000000" w:themeColor="text1"/>
          <w:sz w:val="28"/>
          <w:szCs w:val="28"/>
        </w:rPr>
        <w:outlineLvl w:val="0"/>
      </w:pPr>
      <w:r>
        <w:rPr>
          <w:rFonts w:ascii="方正黑体_GBK" w:hAnsi="方正黑体_GBK" w:eastAsia="方正黑体_GBK" w:cs="方正黑体_GBK"/>
          <w:color w:val="000000" w:themeColor="text1"/>
          <w:sz w:val="28"/>
          <w:szCs w:val="28"/>
        </w:rPr>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第一章 投标邀请……………………………………3</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第二章 投标人须知…………………………………6</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第三章 合同文本……………………………………16</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第四章 采购需求……………………………………21</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第五章 评标方法与评标标准………………………68</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第六章 投标文件格式………………………………81</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第一章  </w:t>
      </w:r>
      <w:bookmarkEnd w:id="0"/>
      <w:r>
        <w:rPr>
          <w:rFonts w:hint="eastAsia" w:ascii="方正黑体_GBK" w:hAnsi="方正黑体_GBK" w:eastAsia="方正黑体_GBK" w:cs="方正黑体_GBK"/>
          <w:color w:val="000000" w:themeColor="text1"/>
          <w:sz w:val="28"/>
          <w:szCs w:val="28"/>
        </w:rPr>
        <w:t xml:space="preserve">投标邀请</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受江苏信息职业技术技术学院的委托，江苏省政府采购中心就</w:t>
      </w:r>
      <w:r>
        <w:rPr>
          <w:rFonts w:ascii="方正仿宋_GBK" w:hAnsi="方正仿宋_GBK" w:eastAsia="方正仿宋_GBK" w:cs="方正仿宋_GBK"/>
          <w:color w:val="000000" w:themeColor="text1"/>
          <w:sz w:val="28"/>
          <w:szCs w:val="28"/>
        </w:rPr>
        <w:t xml:space="preserve">江苏信息职业技术学院物业托管服务</w:t>
      </w:r>
      <w:r>
        <w:rPr>
          <w:rFonts w:hint="eastAsia" w:ascii="方正仿宋_GBK" w:hAnsi="方正仿宋_GBK" w:eastAsia="方正仿宋_GBK" w:cs="方正仿宋_GBK"/>
          <w:color w:val="000000" w:themeColor="text1"/>
          <w:sz w:val="28"/>
          <w:szCs w:val="28"/>
        </w:rPr>
        <w:t xml:space="preserve">（</w:t>
      </w:r>
      <w:r>
        <w:rPr>
          <w:rFonts w:ascii="方正仿宋_GBK" w:hAnsi="方正仿宋_GBK" w:eastAsia="方正仿宋_GBK" w:cs="方正仿宋_GBK"/>
          <w:color w:val="000000" w:themeColor="text1"/>
          <w:sz w:val="28"/>
          <w:szCs w:val="28"/>
        </w:rPr>
        <w:t xml:space="preserve">JSZC-320000-SCZX-G2026-0338</w:t>
      </w:r>
      <w:r>
        <w:rPr>
          <w:rFonts w:hint="eastAsia" w:ascii="方正仿宋_GBK" w:hAnsi="方正仿宋_GBK" w:eastAsia="方正仿宋_GBK" w:cs="方正仿宋_GBK"/>
          <w:color w:val="000000" w:themeColor="text1"/>
          <w:sz w:val="28"/>
          <w:szCs w:val="28"/>
        </w:rPr>
        <w:t xml:space="preserve">）项目进行公开招标采购，欢迎符合条件的供应商投标。</w:t>
      </w:r>
      <w:r/>
    </w:p>
    <w:p>
      <w:pPr>
        <w:ind w:firstLine="560"/>
        <w:spacing w:line="400" w:lineRule="exact"/>
        <w:rPr>
          <w:rFonts w:ascii="方正仿宋_GBK" w:hAnsi="方正仿宋_GBK" w:eastAsia="方正仿宋_GBK" w:cs="方正仿宋_GBK"/>
          <w:color w:val="000000" w:themeColor="text1"/>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themeColor="text1"/>
          <w:sz w:val="28"/>
          <w:szCs w:val="28"/>
        </w:rPr>
        <w:t xml:space="preserve">项目概况</w:t>
      </w:r>
      <w:r/>
    </w:p>
    <w:p>
      <w:pPr>
        <w:ind w:firstLine="560"/>
        <w:spacing w:line="400" w:lineRule="exact"/>
        <w:rPr>
          <w:rFonts w:ascii="宋体" w:hAnsi="宋体"/>
          <w:color w:val="000000" w:themeColor="text1"/>
          <w:sz w:val="28"/>
          <w:szCs w:val="28"/>
        </w:rPr>
        <w:pBdr>
          <w:top w:val="single" w:color="000000" w:sz="4" w:space="1"/>
          <w:left w:val="single" w:color="000000" w:sz="4" w:space="4"/>
          <w:bottom w:val="single" w:color="000000" w:sz="4" w:space="1"/>
          <w:right w:val="single" w:color="000000" w:sz="4" w:space="4"/>
        </w:pBdr>
      </w:pPr>
      <w:r>
        <w:rPr>
          <w:rFonts w:ascii="方正仿宋_GBK" w:hAnsi="方正仿宋_GBK" w:eastAsia="方正仿宋_GBK" w:cs="方正仿宋_GBK"/>
          <w:color w:val="000000" w:themeColor="text1"/>
          <w:sz w:val="28"/>
          <w:szCs w:val="28"/>
          <w:u w:val="single"/>
        </w:rPr>
        <w:t xml:space="preserve">江苏信息职业技术学院物业托管服务</w:t>
      </w:r>
      <w:r>
        <w:rPr>
          <w:rFonts w:hint="eastAsia" w:ascii="方正仿宋_GBK" w:hAnsi="方正仿宋_GBK" w:eastAsia="方正仿宋_GBK" w:cs="方正仿宋_GBK"/>
          <w:color w:val="000000" w:themeColor="text1"/>
          <w:sz w:val="28"/>
          <w:szCs w:val="28"/>
        </w:rPr>
        <w:t xml:space="preserve">招标项目的潜在投标人可在</w:t>
      </w:r>
      <w:r>
        <w:rPr>
          <w:rFonts w:hint="eastAsia" w:ascii="方正仿宋_GBK" w:hAnsi="方正仿宋_GBK" w:eastAsia="方正仿宋_GBK" w:cs="方正仿宋_GBK"/>
          <w:color w:val="000000" w:themeColor="text1"/>
          <w:sz w:val="28"/>
          <w:szCs w:val="28"/>
          <w:u w:val="single"/>
        </w:rPr>
        <w:t xml:space="preserve">“江苏政府采购网”自行免费下载</w:t>
      </w:r>
      <w:r>
        <w:rPr>
          <w:rFonts w:hint="eastAsia" w:ascii="方正仿宋_GBK" w:hAnsi="方正仿宋_GBK" w:eastAsia="方正仿宋_GBK" w:cs="方正仿宋_GBK"/>
          <w:color w:val="000000" w:themeColor="text1"/>
          <w:sz w:val="28"/>
          <w:szCs w:val="28"/>
        </w:rPr>
        <w:t xml:space="preserve">招标文件，</w:t>
      </w:r>
      <w:r>
        <w:rPr>
          <w:rFonts w:hint="eastAsia" w:ascii="方正仿宋_GBK" w:hAnsi="方正仿宋_GBK" w:eastAsia="方正仿宋_GBK" w:cs="方正仿宋_GBK"/>
          <w:color w:val="000000" w:themeColor="text1"/>
          <w:sz w:val="28"/>
          <w:szCs w:val="28"/>
          <w:u w:val="single"/>
        </w:rPr>
        <w:t xml:space="preserve">并于2026年8月31日09时30分（北京时间）前递交投标文件。</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6" w:name="_Toc38985263"/>
      <w:r/>
      <w:bookmarkStart w:id="7" w:name="_Toc28359079"/>
      <w:r/>
      <w:bookmarkStart w:id="8" w:name="_Toc28359002"/>
      <w:r/>
      <w:bookmarkStart w:id="9" w:name="_Toc35393621"/>
      <w:r/>
      <w:bookmarkStart w:id="10" w:name="_Toc35393790"/>
      <w:r/>
      <w:bookmarkStart w:id="11" w:name="_Hlk24379207"/>
      <w:r>
        <w:rPr>
          <w:rFonts w:hint="eastAsia" w:ascii="方正黑体_GBK" w:hAnsi="方正黑体_GBK" w:eastAsia="方正黑体_GBK" w:cs="方正黑体_GBK"/>
          <w:color w:val="000000" w:themeColor="text1"/>
          <w:sz w:val="28"/>
          <w:szCs w:val="28"/>
        </w:rPr>
        <w:t xml:space="preserve">一、项目基本情况</w:t>
      </w:r>
      <w:bookmarkEnd w:id="6"/>
      <w:r/>
      <w:bookmarkEnd w:id="7"/>
      <w:r/>
      <w:bookmarkEnd w:id="8"/>
      <w:r/>
      <w:bookmarkEnd w:id="9"/>
      <w:r/>
      <w:bookmarkEnd w:id="10"/>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1.采购编号</w:t>
      </w:r>
      <w:r>
        <w:rPr>
          <w:rFonts w:hint="eastAsia" w:eastAsia="方正仿宋_GBK"/>
          <w:color w:val="000000" w:themeColor="text1"/>
          <w:sz w:val="28"/>
          <w:szCs w:val="28"/>
        </w:rPr>
        <w:t xml:space="preserve">：</w:t>
      </w:r>
      <w:r>
        <w:rPr>
          <w:rFonts w:ascii="方正仿宋_GBK" w:hAnsi="方正仿宋_GBK" w:eastAsia="方正仿宋_GBK" w:cs="方正仿宋_GBK"/>
          <w:color w:val="000000" w:themeColor="text1"/>
          <w:sz w:val="28"/>
          <w:szCs w:val="28"/>
        </w:rPr>
        <w:t xml:space="preserve">JSZC-320000-SCZX-G2026-0338</w:t>
      </w:r>
      <w:r>
        <w:rPr>
          <w:rFonts w:hint="eastAsia" w:eastAsia="方正仿宋_GBK"/>
          <w:color w:val="000000" w:themeColor="text1"/>
          <w:sz w:val="28"/>
          <w:szCs w:val="28"/>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2.项目名称：</w:t>
      </w:r>
      <w:r>
        <w:rPr>
          <w:rFonts w:hint="eastAsia" w:eastAsia="方正仿宋_GBK"/>
          <w:color w:val="000000" w:themeColor="text1"/>
          <w:sz w:val="28"/>
          <w:szCs w:val="28"/>
        </w:rPr>
        <w:t xml:space="preserve">江苏信息职业技术技术学院物业管理服务采购</w:t>
      </w:r>
      <w:bookmarkEnd w:id="11"/>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8"/>
        <w:gridCol w:w="4110"/>
      </w:tblGrid>
      <w:tr>
        <w:trPr/>
        <w:tc>
          <w:tcPr>
            <w:tcW w:w="109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包号</w:t>
            </w:r>
            <w:r/>
          </w:p>
        </w:tc>
        <w:tc>
          <w:tcPr>
            <w:tcW w:w="411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预算金额</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（人民币：万元）</w:t>
            </w:r>
            <w:r/>
          </w:p>
        </w:tc>
      </w:tr>
      <w:tr>
        <w:trPr/>
        <w:tc>
          <w:tcPr>
            <w:tcW w:w="1098" w:type="dxa"/>
            <w:textDirection w:val="lrTb"/>
            <w:noWrap w:val="false"/>
          </w:tcPr>
          <w:p>
            <w:pPr>
              <w:ind w:firstLine="280"/>
              <w:spacing w:line="400" w:lineRule="exact"/>
              <w:rPr>
                <w:rFonts w:ascii="方正仿宋_GBK" w:hAnsi="方正仿宋_GBK" w:eastAsia="方正仿宋_GBK" w:cs="方正仿宋_GBK"/>
                <w:color w:val="000000" w:themeColor="text1"/>
                <w:sz w:val="28"/>
                <w:szCs w:val="28"/>
              </w:rPr>
            </w:pPr>
            <w:r/>
            <w:bookmarkStart w:id="12" w:name="OLE_LINK186"/>
            <w:r/>
            <w:bookmarkStart w:id="13" w:name="OLE_LINK185"/>
            <w:r/>
            <w:bookmarkStart w:id="14" w:name="_Hlk233119537"/>
            <w:r>
              <w:rPr>
                <w:rFonts w:hint="eastAsia" w:ascii="方正仿宋_GBK" w:hAnsi="方正仿宋_GBK" w:eastAsia="方正仿宋_GBK" w:cs="方正仿宋_GBK"/>
                <w:color w:val="000000" w:themeColor="text1"/>
                <w:sz w:val="28"/>
                <w:szCs w:val="28"/>
              </w:rPr>
              <w:t xml:space="preserve">1</w:t>
            </w:r>
            <w:r/>
          </w:p>
        </w:tc>
        <w:tc>
          <w:tcPr>
            <w:tcW w:w="4110" w:type="dxa"/>
            <w:textDirection w:val="lrTb"/>
            <w:noWrap w:val="false"/>
          </w:tcPr>
          <w:p>
            <w:pPr>
              <w:ind w:firstLine="112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942</w:t>
            </w:r>
            <w:r>
              <w:rPr>
                <w:rFonts w:ascii="方正仿宋_GBK" w:hAnsi="方正仿宋_GBK" w:eastAsia="方正仿宋_GBK" w:cs="方正仿宋_GBK"/>
                <w:color w:val="000000" w:themeColor="text1"/>
                <w:sz w:val="28"/>
                <w:szCs w:val="28"/>
              </w:rPr>
              <w:t xml:space="preserve">（三年）</w:t>
            </w:r>
            <w:bookmarkEnd w:id="12"/>
            <w:r/>
            <w:bookmarkEnd w:id="13"/>
            <w:r/>
            <w:bookmarkEnd w:id="14"/>
            <w:r/>
            <w:r/>
          </w:p>
        </w:tc>
      </w:tr>
    </w:tbl>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4060"/>
      </w:tblGrid>
      <w:tr>
        <w:trPr/>
        <w:tc>
          <w:tcPr>
            <w:tcW w:w="114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包号</w:t>
            </w:r>
            <w:r/>
          </w:p>
        </w:tc>
        <w:tc>
          <w:tcPr>
            <w:tcW w:w="406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最高限价</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（人民币：万元）</w:t>
            </w:r>
            <w:r/>
          </w:p>
        </w:tc>
      </w:tr>
      <w:tr>
        <w:trPr/>
        <w:tc>
          <w:tcPr>
            <w:tcW w:w="114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4060" w:type="dxa"/>
            <w:textDirection w:val="lrTb"/>
            <w:noWrap w:val="false"/>
          </w:tcPr>
          <w:p>
            <w:pPr>
              <w:ind w:firstLine="1120"/>
              <w:spacing w:line="400" w:lineRule="exact"/>
              <w:rPr>
                <w:color w:val="000000" w:themeColor="text1"/>
              </w:rPr>
            </w:pPr>
            <w:r>
              <w:rPr>
                <w:rFonts w:hint="eastAsia" w:ascii="方正仿宋_GBK" w:hAnsi="方正仿宋_GBK" w:eastAsia="方正仿宋_GBK" w:cs="方正仿宋_GBK"/>
                <w:color w:val="000000" w:themeColor="text1"/>
                <w:sz w:val="28"/>
                <w:szCs w:val="28"/>
              </w:rPr>
              <w:t xml:space="preserve">942</w:t>
            </w:r>
            <w:r>
              <w:rPr>
                <w:rFonts w:ascii="方正仿宋_GBK" w:hAnsi="方正仿宋_GBK" w:eastAsia="方正仿宋_GBK" w:cs="方正仿宋_GBK"/>
                <w:color w:val="000000" w:themeColor="text1"/>
                <w:sz w:val="28"/>
                <w:szCs w:val="28"/>
              </w:rPr>
              <w:t xml:space="preserve">（三年）</w:t>
            </w:r>
            <w:r/>
          </w:p>
        </w:tc>
      </w:tr>
    </w:tbl>
    <w:p>
      <w:pPr>
        <w:ind w:firstLine="560"/>
        <w:spacing w:line="400" w:lineRule="exact"/>
        <w:rPr>
          <w:rFonts w:ascii="方正仿宋_GBK" w:hAnsi="方正仿宋_GBK" w:eastAsia="方正仿宋_GBK" w:cs="方正仿宋_GBK"/>
          <w:color w:val="000000" w:themeColor="text1"/>
          <w:sz w:val="28"/>
          <w:szCs w:val="28"/>
          <w:u w:val="single"/>
        </w:rPr>
      </w:pPr>
      <w:r/>
      <w:bookmarkStart w:id="15" w:name="_Toc35393622"/>
      <w:r/>
      <w:bookmarkStart w:id="16" w:name="_Toc28359003"/>
      <w:r/>
      <w:bookmarkStart w:id="17" w:name="_Toc28359080"/>
      <w:r/>
      <w:bookmarkStart w:id="18" w:name="_Toc38985264"/>
      <w:r/>
      <w:bookmarkStart w:id="19" w:name="_Toc35393791"/>
      <w:r>
        <w:rPr>
          <w:rFonts w:hint="eastAsia" w:ascii="方正仿宋_GBK" w:hAnsi="方正仿宋_GBK" w:eastAsia="方正仿宋_GBK" w:cs="方正仿宋_GBK"/>
          <w:color w:val="000000" w:themeColor="text1"/>
          <w:sz w:val="28"/>
          <w:szCs w:val="28"/>
        </w:rPr>
        <w:t xml:space="preserve">5.采购需求(简介)：</w:t>
      </w:r>
      <w:r>
        <w:rPr>
          <w:rFonts w:hint="eastAsia" w:eastAsia="方正仿宋_GBK"/>
          <w:color w:val="000000" w:themeColor="text1"/>
          <w:sz w:val="28"/>
          <w:szCs w:val="28"/>
        </w:rPr>
        <w:t xml:space="preserve">江苏信息职业技术技术学院位于无锡市钱藕路</w:t>
      </w:r>
      <w:r>
        <w:rPr>
          <w:rFonts w:hint="eastAsia" w:eastAsia="方正仿宋_GBK"/>
          <w:color w:val="000000" w:themeColor="text1"/>
          <w:sz w:val="28"/>
          <w:szCs w:val="28"/>
        </w:rPr>
        <w:t xml:space="preserve">1</w:t>
      </w:r>
      <w:r>
        <w:rPr>
          <w:rFonts w:hint="eastAsia" w:eastAsia="方正仿宋_GBK"/>
          <w:color w:val="000000" w:themeColor="text1"/>
          <w:sz w:val="28"/>
          <w:szCs w:val="28"/>
        </w:rPr>
        <w:t xml:space="preserve">号，学院占地近</w:t>
      </w:r>
      <w:r>
        <w:rPr>
          <w:rFonts w:hint="eastAsia" w:eastAsia="方正仿宋_GBK"/>
          <w:color w:val="000000" w:themeColor="text1"/>
          <w:sz w:val="28"/>
          <w:szCs w:val="28"/>
        </w:rPr>
        <w:t xml:space="preserve">1000</w:t>
      </w:r>
      <w:r>
        <w:rPr>
          <w:rFonts w:hint="eastAsia" w:eastAsia="方正仿宋_GBK"/>
          <w:color w:val="000000" w:themeColor="text1"/>
          <w:sz w:val="28"/>
          <w:szCs w:val="28"/>
        </w:rPr>
        <w:t xml:space="preserve">亩，建筑面积</w:t>
      </w:r>
      <w:r>
        <w:rPr>
          <w:rFonts w:hint="eastAsia" w:eastAsia="方正仿宋_GBK"/>
          <w:color w:val="000000" w:themeColor="text1"/>
          <w:sz w:val="28"/>
          <w:szCs w:val="28"/>
        </w:rPr>
        <w:t xml:space="preserve">25</w:t>
      </w:r>
      <w:r>
        <w:rPr>
          <w:rFonts w:hint="eastAsia" w:eastAsia="方正仿宋_GBK"/>
          <w:color w:val="000000" w:themeColor="text1"/>
          <w:sz w:val="28"/>
          <w:szCs w:val="28"/>
        </w:rPr>
        <w:t xml:space="preserve">万余平方米。本项目采购该校物业管理服务主要包括学生公寓门厅管理、环境保洁及宿舍卫生检查等。</w:t>
      </w:r>
      <w:r>
        <w:rPr>
          <w:rFonts w:hint="eastAsia" w:ascii="方正仿宋_GBK" w:hAnsi="方正仿宋_GBK" w:eastAsia="方正仿宋_GBK" w:cs="方正仿宋_GBK"/>
          <w:color w:val="000000" w:themeColor="text1"/>
          <w:sz w:val="28"/>
          <w:szCs w:val="28"/>
        </w:rPr>
        <w:t xml:space="preserve">（详细内容见本招标文件第四章）</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6.合同履行期限：</w:t>
      </w:r>
      <w:r>
        <w:rPr>
          <w:rFonts w:hint="eastAsia" w:eastAsia="方正仿宋_GBK"/>
          <w:color w:val="000000" w:themeColor="text1"/>
          <w:sz w:val="28"/>
          <w:szCs w:val="28"/>
        </w:rPr>
        <w:t xml:space="preserve">服务期限为叁年</w:t>
      </w:r>
      <w:r>
        <w:rPr>
          <w:rFonts w:hint="eastAsia" w:eastAsia="方正仿宋_GBK"/>
          <w:color w:val="000000" w:themeColor="text1"/>
          <w:sz w:val="28"/>
          <w:szCs w:val="28"/>
        </w:rPr>
        <w:t xml:space="preserve">,</w:t>
      </w:r>
      <w:r>
        <w:rPr>
          <w:rFonts w:hint="eastAsia" w:eastAsia="方正仿宋_GBK"/>
          <w:color w:val="000000" w:themeColor="text1"/>
          <w:sz w:val="28"/>
          <w:szCs w:val="28"/>
        </w:rPr>
        <w:t xml:space="preserve">合同期内采购人进行年度考核，经年度考核合格后履行下一年度合同。</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二、申请人的资格要求</w:t>
      </w:r>
      <w:bookmarkEnd w:id="15"/>
      <w:r/>
      <w:bookmarkEnd w:id="16"/>
      <w:r/>
      <w:bookmarkEnd w:id="17"/>
      <w:r/>
      <w:bookmarkEnd w:id="18"/>
      <w:r/>
      <w:bookmarkEnd w:id="19"/>
      <w:r/>
      <w:r/>
    </w:p>
    <w:p>
      <w:pPr>
        <w:ind w:firstLine="560"/>
        <w:spacing w:line="400" w:lineRule="exact"/>
        <w:rPr>
          <w:rFonts w:ascii="方正楷体_GBK" w:hAnsi="方正楷体_GBK" w:eastAsia="方正楷体_GBK" w:cs="方正楷体_GBK"/>
          <w:color w:val="000000" w:themeColor="text1"/>
          <w:sz w:val="28"/>
          <w:szCs w:val="28"/>
        </w:rPr>
      </w:pPr>
      <w:r/>
      <w:bookmarkStart w:id="20" w:name="_Toc28359004"/>
      <w:r/>
      <w:bookmarkStart w:id="21" w:name="_Toc28359081"/>
      <w:r/>
      <w:bookmarkStart w:id="22" w:name="_Toc35393792"/>
      <w:r/>
      <w:bookmarkStart w:id="23" w:name="_Toc35393623"/>
      <w:r/>
      <w:bookmarkStart w:id="24" w:name="_Toc38985265"/>
      <w:r>
        <w:rPr>
          <w:rFonts w:hint="eastAsia" w:ascii="方正楷体_GBK" w:hAnsi="方正楷体_GBK" w:eastAsia="方正楷体_GBK" w:cs="方正楷体_GBK"/>
          <w:color w:val="000000" w:themeColor="text1"/>
          <w:sz w:val="28"/>
          <w:szCs w:val="28"/>
        </w:rPr>
        <w:t xml:space="preserve">（一）通用资格要求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1.满足《中华人民共和国政府采购法》第二十二条规定，并提供下列材料：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1.1法人或者其他组织的营业执照等证明文件，自然人的身份证明；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1.2上一年度的财务状况报告（成立不满一年无需提供）；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w:t>
      </w:r>
      <w:r>
        <w:rPr>
          <w:rFonts w:hint="eastAsia" w:ascii="方正仿宋_GBK" w:hAnsi="方正仿宋_GBK" w:eastAsia="方正仿宋_GBK" w:cs="方正仿宋_GBK"/>
          <w:color w:val="000000" w:themeColor="text1"/>
          <w:sz w:val="28"/>
          <w:szCs w:val="28"/>
        </w:rPr>
        <w:t xml:space="preserve">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1.4具备履行合同所必需的设备和专业技术能力的书面声明；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1.5参加政府采购活动前3年内在经营活动中没有重大违法记录的书面声明。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3.落实政府采购政策需满足的资格要求：无。</w:t>
      </w:r>
      <w:r/>
    </w:p>
    <w:p>
      <w:pPr>
        <w:ind w:firstLine="560"/>
        <w:spacing w:line="400" w:lineRule="exact"/>
        <w:rPr>
          <w:rFonts w:ascii="方正仿宋_GBK" w:hAnsi="方正仿宋_GBK" w:eastAsia="方正仿宋_GBK" w:cs="方正仿宋_GBK"/>
          <w:color w:val="000000" w:themeColor="text1"/>
          <w:sz w:val="28"/>
          <w:szCs w:val="28"/>
          <w:highlight w:val="yellow"/>
        </w:rPr>
      </w:pPr>
      <w:r>
        <w:rPr>
          <w:rFonts w:hint="eastAsia" w:ascii="方正仿宋_GBK" w:hAnsi="方正仿宋_GBK" w:eastAsia="方正仿宋_GBK" w:cs="方正仿宋_GBK"/>
          <w:color w:val="000000" w:themeColor="text1"/>
          <w:sz w:val="28"/>
          <w:szCs w:val="28"/>
        </w:rPr>
        <w:t xml:space="preserve">4.本项目不接受联合体投标。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楷体_GBK" w:hAnsi="方正楷体_GBK" w:eastAsia="方正楷体_GBK" w:cs="方正楷体_GBK"/>
          <w:color w:val="000000" w:themeColor="text1"/>
          <w:sz w:val="28"/>
          <w:szCs w:val="28"/>
        </w:rPr>
        <w:t xml:space="preserve">（二）本项目的特定资格要求：无</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三、获取招标文件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1.时间：自招标文件公告发布之日起5个工作日。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2.方式：在“江苏政府采购网”自行免费下载招标文件。</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25" w:name="_Toc28359082"/>
      <w:r/>
      <w:bookmarkStart w:id="26" w:name="_Toc28359005"/>
      <w:r/>
      <w:bookmarkStart w:id="27" w:name="_Toc35393624"/>
      <w:r/>
      <w:bookmarkStart w:id="28" w:name="_Toc35393793"/>
      <w:r/>
      <w:bookmarkStart w:id="29" w:name="_Toc38985266"/>
      <w:r/>
      <w:bookmarkStart w:id="30" w:name="_Toc38985267"/>
      <w:r/>
      <w:bookmarkStart w:id="31" w:name="_Toc28359007"/>
      <w:r/>
      <w:bookmarkStart w:id="32" w:name="_Toc35393794"/>
      <w:r/>
      <w:bookmarkStart w:id="33" w:name="_Toc35393625"/>
      <w:r/>
      <w:bookmarkStart w:id="34" w:name="_Toc28359084"/>
      <w:r/>
      <w:bookmarkEnd w:id="20"/>
      <w:r/>
      <w:bookmarkEnd w:id="21"/>
      <w:r/>
      <w:bookmarkEnd w:id="22"/>
      <w:r/>
      <w:bookmarkEnd w:id="23"/>
      <w:r/>
      <w:bookmarkEnd w:id="24"/>
      <w:r>
        <w:rPr>
          <w:rFonts w:hint="eastAsia" w:ascii="方正黑体_GBK" w:hAnsi="方正黑体_GBK" w:eastAsia="方正黑体_GBK" w:cs="方正黑体_GBK"/>
          <w:color w:val="000000" w:themeColor="text1"/>
          <w:sz w:val="28"/>
          <w:szCs w:val="28"/>
        </w:rPr>
        <w:t xml:space="preserve">四、提交投标文件</w:t>
      </w:r>
      <w:bookmarkEnd w:id="25"/>
      <w:r/>
      <w:bookmarkEnd w:id="26"/>
      <w:r>
        <w:rPr>
          <w:rFonts w:hint="eastAsia" w:ascii="方正黑体_GBK" w:hAnsi="方正黑体_GBK" w:eastAsia="方正黑体_GBK" w:cs="方正黑体_GBK"/>
          <w:color w:val="000000" w:themeColor="text1"/>
          <w:sz w:val="28"/>
          <w:szCs w:val="28"/>
        </w:rPr>
        <w:t xml:space="preserve">截止时间、开标时间和地点</w:t>
      </w:r>
      <w:bookmarkEnd w:id="27"/>
      <w:r/>
      <w:bookmarkEnd w:id="28"/>
      <w:r/>
      <w:bookmarkEnd w:id="29"/>
      <w:r/>
      <w:r/>
    </w:p>
    <w:p>
      <w:pPr>
        <w:ind w:firstLine="560"/>
        <w:spacing w:line="400" w:lineRule="exact"/>
        <w:rPr>
          <w:rFonts w:ascii="宋体" w:hAnsi="宋体"/>
          <w:bCs/>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1.</w:t>
      </w:r>
      <w:r>
        <w:rPr>
          <w:rFonts w:hint="eastAsia" w:eastAsia="方正仿宋_GBK"/>
          <w:color w:val="000000" w:themeColor="text1"/>
          <w:sz w:val="28"/>
          <w:szCs w:val="28"/>
        </w:rPr>
        <w:t xml:space="preserve">2026</w:t>
      </w:r>
      <w:r>
        <w:rPr>
          <w:rFonts w:hint="eastAsia" w:ascii="方正仿宋_GBK" w:hAnsi="方正仿宋_GBK" w:eastAsia="方正仿宋_GBK" w:cs="方正仿宋_GBK"/>
          <w:bCs/>
          <w:color w:val="000000" w:themeColor="text1"/>
          <w:sz w:val="28"/>
          <w:szCs w:val="28"/>
        </w:rPr>
        <w:t xml:space="preserve">年8</w:t>
      </w:r>
      <w:r>
        <w:rPr>
          <w:rFonts w:hint="eastAsia" w:ascii="方正仿宋_GBK" w:hAnsi="方正仿宋_GBK" w:eastAsia="方正仿宋_GBK" w:cs="方正仿宋_GBK"/>
          <w:bCs/>
          <w:color w:val="000000" w:themeColor="text1"/>
          <w:sz w:val="28"/>
          <w:szCs w:val="28"/>
        </w:rPr>
        <w:t xml:space="preserve">月31</w:t>
      </w:r>
      <w:r>
        <w:rPr>
          <w:rFonts w:hint="eastAsia" w:ascii="方正仿宋_GBK" w:hAnsi="方正仿宋_GBK" w:eastAsia="方正仿宋_GBK" w:cs="方正仿宋_GBK"/>
          <w:bCs/>
          <w:color w:val="000000" w:themeColor="text1"/>
          <w:sz w:val="28"/>
          <w:szCs w:val="28"/>
        </w:rPr>
        <w:t xml:space="preserve">日09</w:t>
      </w:r>
      <w:r>
        <w:rPr>
          <w:rFonts w:hint="eastAsia" w:ascii="方正仿宋_GBK" w:hAnsi="方正仿宋_GBK" w:eastAsia="方正仿宋_GBK" w:cs="方正仿宋_GBK"/>
          <w:color w:val="000000" w:themeColor="text1"/>
          <w:sz w:val="28"/>
          <w:szCs w:val="28"/>
        </w:rPr>
        <w:t xml:space="preserve">时</w:t>
      </w:r>
      <w:r>
        <w:rPr>
          <w:rFonts w:hint="eastAsia" w:ascii="方正仿宋_GBK" w:hAnsi="方正仿宋_GBK" w:eastAsia="方正仿宋_GBK" w:cs="方正仿宋_GBK"/>
          <w:bCs/>
          <w:color w:val="000000" w:themeColor="text1"/>
          <w:sz w:val="28"/>
          <w:szCs w:val="28"/>
        </w:rPr>
        <w:t xml:space="preserve">30分（北京时间）</w:t>
      </w: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2.地点：“苏采云”政府采购交易系统。</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35" w:name="_Toc35393795"/>
      <w:r/>
      <w:bookmarkStart w:id="36" w:name="_Toc38985268"/>
      <w:r/>
      <w:bookmarkStart w:id="37" w:name="_Toc35393626"/>
      <w:r/>
      <w:bookmarkEnd w:id="30"/>
      <w:r/>
      <w:bookmarkEnd w:id="31"/>
      <w:r/>
      <w:bookmarkEnd w:id="32"/>
      <w:r/>
      <w:bookmarkEnd w:id="33"/>
      <w:r/>
      <w:bookmarkEnd w:id="34"/>
      <w:r>
        <w:rPr>
          <w:rFonts w:hint="eastAsia" w:ascii="方正黑体_GBK" w:hAnsi="方正黑体_GBK" w:eastAsia="方正黑体_GBK" w:cs="方正黑体_GBK"/>
          <w:color w:val="000000" w:themeColor="text1"/>
          <w:sz w:val="28"/>
          <w:szCs w:val="28"/>
        </w:rPr>
        <w:t xml:space="preserve">五、公告期限</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招标公告及招标文件公告期限为自本公告发布之日起5个工作日。</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38" w:name="_Toc35393796"/>
      <w:r/>
      <w:bookmarkStart w:id="39" w:name="_Toc28359008"/>
      <w:r/>
      <w:bookmarkStart w:id="40" w:name="_Toc28359085"/>
      <w:r/>
      <w:bookmarkStart w:id="41" w:name="_Toc38985269"/>
      <w:r/>
      <w:bookmarkStart w:id="42" w:name="_Toc35393627"/>
      <w:r/>
      <w:bookmarkEnd w:id="35"/>
      <w:r/>
      <w:bookmarkEnd w:id="36"/>
      <w:r/>
      <w:bookmarkEnd w:id="37"/>
      <w:r>
        <w:rPr>
          <w:rFonts w:hint="eastAsia" w:ascii="方正黑体_GBK" w:hAnsi="方正黑体_GBK" w:eastAsia="方正黑体_GBK" w:cs="方正黑体_GBK"/>
          <w:color w:val="000000" w:themeColor="text1"/>
          <w:sz w:val="28"/>
          <w:szCs w:val="28"/>
        </w:rPr>
        <w:t xml:space="preserve">六、其他补充事宜</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无</w:t>
      </w:r>
      <w:bookmarkEnd w:id="38"/>
      <w:r/>
      <w:bookmarkEnd w:id="39"/>
      <w:r/>
      <w:bookmarkEnd w:id="40"/>
      <w:r/>
      <w:bookmarkEnd w:id="41"/>
      <w:r/>
      <w:bookmarkEnd w:id="42"/>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七、本次招标联系方式</w:t>
      </w:r>
      <w:r/>
    </w:p>
    <w:p>
      <w:pPr>
        <w:jc w:val="left"/>
        <w:spacing w:line="400" w:lineRule="exact"/>
        <w:widowControl/>
        <w:rPr>
          <w:rFonts w:ascii="方正仿宋_GBK" w:hAnsi="方正仿宋_GBK" w:eastAsia="方正仿宋_GBK" w:cs="方正仿宋_GBK"/>
          <w:color w:val="000000" w:themeColor="text1"/>
          <w:sz w:val="28"/>
          <w:szCs w:val="28"/>
        </w:rPr>
      </w:pPr>
      <w:r>
        <w:rPr>
          <w:rFonts w:hint="eastAsia" w:ascii="仿宋" w:hAnsi="仿宋" w:eastAsia="仿宋" w:cs="宋体"/>
          <w:color w:val="000000" w:themeColor="text1"/>
          <w:sz w:val="28"/>
          <w:szCs w:val="28"/>
        </w:rPr>
        <w:t xml:space="preserve">　　</w:t>
      </w:r>
      <w:r>
        <w:rPr>
          <w:rFonts w:hint="eastAsia" w:ascii="方正仿宋_GBK" w:hAnsi="方正仿宋_GBK" w:eastAsia="方正仿宋_GBK" w:cs="方正仿宋_GBK"/>
          <w:color w:val="000000" w:themeColor="text1"/>
          <w:sz w:val="28"/>
          <w:szCs w:val="28"/>
        </w:rPr>
        <w:t xml:space="preserve">1.采购人信息</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名 称：</w:t>
      </w:r>
      <w:r>
        <w:rPr>
          <w:rFonts w:hint="eastAsia" w:ascii="方正仿宋_GBK" w:hAnsi="方正仿宋_GBK" w:eastAsia="方正仿宋_GBK" w:cs="方正仿宋_GBK"/>
          <w:color w:val="000000" w:themeColor="text1"/>
          <w:sz w:val="28"/>
          <w:szCs w:val="28"/>
          <w:u w:val="single"/>
        </w:rPr>
        <w:t xml:space="preserve">　江苏信息职业技术技术学院</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 址：</w:t>
      </w:r>
      <w:r>
        <w:rPr>
          <w:rFonts w:hint="eastAsia" w:ascii="方正仿宋_GBK" w:hAnsi="方正仿宋_GBK" w:eastAsia="方正仿宋_GBK" w:cs="方正仿宋_GBK"/>
          <w:color w:val="000000" w:themeColor="text1"/>
          <w:sz w:val="28"/>
          <w:szCs w:val="28"/>
          <w:u w:val="single"/>
        </w:rPr>
        <w:t xml:space="preserve">江苏省无锡市惠山区钱藕路1号</w:t>
      </w:r>
      <w:r/>
    </w:p>
    <w:p>
      <w:pPr>
        <w:ind w:firstLine="560"/>
        <w:jc w:val="left"/>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联系方式：</w:t>
      </w:r>
      <w:bookmarkStart w:id="43" w:name="_Toc28359009"/>
      <w:r/>
      <w:bookmarkStart w:id="44" w:name="_Toc28359086"/>
      <w:r>
        <w:rPr>
          <w:rFonts w:hint="eastAsia" w:ascii="方正仿宋_GBK" w:hAnsi="方正仿宋_GBK" w:eastAsia="方正仿宋_GBK" w:cs="方正仿宋_GBK"/>
          <w:color w:val="000000" w:themeColor="text1"/>
          <w:sz w:val="28"/>
          <w:szCs w:val="28"/>
        </w:rPr>
        <w:t xml:space="preserve">黄继超15956515156</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2.江苏省政府采购中心信息</w:t>
      </w:r>
      <w:bookmarkEnd w:id="43"/>
      <w:r/>
      <w:bookmarkEnd w:id="4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　址：</w:t>
      </w:r>
      <w:r>
        <w:rPr>
          <w:rFonts w:hint="eastAsia" w:ascii="方正仿宋_GBK" w:hAnsi="方正仿宋_GBK" w:eastAsia="方正仿宋_GBK" w:cs="方正仿宋_GBK"/>
          <w:color w:val="000000" w:themeColor="text1"/>
          <w:sz w:val="28"/>
          <w:szCs w:val="28"/>
          <w:u w:val="single"/>
        </w:rPr>
        <w:t xml:space="preserve">南京市汉中门大街145号省政务中心二期3楼南区</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联系人：</w:t>
      </w:r>
      <w:r>
        <w:rPr>
          <w:rFonts w:hint="eastAsia" w:ascii="方正仿宋_GBK" w:hAnsi="方正仿宋_GBK" w:eastAsia="方正仿宋_GBK" w:cs="方正仿宋_GBK"/>
          <w:color w:val="000000" w:themeColor="text1"/>
          <w:sz w:val="28"/>
          <w:szCs w:val="28"/>
        </w:rPr>
        <w:t xml:space="preserve">张倩、许滢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联系方式：</w:t>
      </w:r>
      <w:bookmarkStart w:id="45" w:name="_Toc28359087"/>
      <w:r/>
      <w:bookmarkStart w:id="46" w:name="_Toc28359010"/>
      <w:r>
        <w:rPr>
          <w:rFonts w:hint="eastAsia" w:ascii="方正仿宋_GBK" w:hAnsi="方正仿宋_GBK" w:eastAsia="方正仿宋_GBK" w:cs="方正仿宋_GBK"/>
          <w:color w:val="000000" w:themeColor="text1"/>
          <w:sz w:val="28"/>
          <w:szCs w:val="28"/>
        </w:rPr>
        <w:t xml:space="preserve">83668527、83668515</w:t>
      </w:r>
      <w:bookmarkEnd w:id="45"/>
      <w:r/>
      <w:bookmarkEnd w:id="46"/>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八、其他</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rPr>
          <w:rFonts w:hint="eastAsia" w:ascii="方正仿宋_GBK" w:hAnsi="方正仿宋_GBK" w:eastAsia="方正仿宋_GBK" w:cs="方正仿宋_GBK"/>
          <w:bCs/>
          <w:color w:val="000000" w:themeColor="text1"/>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themeColor="text1"/>
          <w:sz w:val="28"/>
          <w:szCs w:val="28"/>
        </w:rPr>
        <w:t xml:space="preserve">“苏采云”政府采购交易系统（以下简称苏采云系统）</w:t>
      </w:r>
      <w:r>
        <w:rPr>
          <w:rFonts w:hint="eastAsia" w:ascii="方正仿宋_GBK" w:hAnsi="方正仿宋_GBK" w:eastAsia="方正仿宋_GBK" w:cs="方正仿宋_GBK"/>
          <w:bCs/>
          <w:color w:val="000000" w:themeColor="text1"/>
          <w:sz w:val="28"/>
          <w:szCs w:val="28"/>
        </w:rPr>
        <w:t xml:space="preserve">的CA数字证书、电子签章已更换为江苏省电子政务证书认证中心CA和方正国际软件（北京）有限公司电子签章。</w:t>
      </w:r>
      <w:r>
        <w:rPr>
          <w:rFonts w:hint="eastAsia" w:ascii="方正仿宋_GBK" w:hAnsi="方正仿宋_GBK" w:eastAsia="方正仿宋_GBK" w:cs="方正仿宋_GBK"/>
          <w:bCs/>
          <w:color w:val="000000" w:themeColor="text1"/>
          <w:sz w:val="28"/>
          <w:szCs w:val="28"/>
        </w:rPr>
        <w:t xml:space="preserve">具体办理指南和操作手册见链接：</w:t>
      </w:r>
      <w:r>
        <w:rPr>
          <w:rFonts w:hint="eastAsia" w:eastAsia="方正仿宋_GBK"/>
          <w:color w:val="000000" w:themeColor="text1"/>
          <w:sz w:val="28"/>
          <w:szCs w:val="28"/>
        </w:rPr>
        <w:t xml:space="preserve">http://www.ccgp-jiangsu.gov.cn/jiangsu/zlxz/ee/ee3a4bc5a3454aa2b0d9312230633ce9.html</w:t>
      </w:r>
      <w:r>
        <w:rPr>
          <w:rFonts w:hint="eastAsia" w:eastAsia="方正仿宋_GBK"/>
          <w:color w:val="000000" w:themeColor="text1"/>
          <w:sz w:val="28"/>
          <w:szCs w:val="28"/>
        </w:rPr>
        <w:t xml:space="preserve">。</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3.本次招标不收取投标保证金。</w:t>
      </w:r>
      <w:r/>
    </w:p>
    <w:p>
      <w:pPr>
        <w:ind w:right="839"/>
        <w:jc w:val="center"/>
        <w:spacing w:line="400" w:lineRule="exact"/>
        <w:rPr>
          <w:rFonts w:ascii="宋体" w:hAnsi="宋体"/>
          <w:color w:val="000000" w:themeColor="text1"/>
          <w:sz w:val="28"/>
          <w:szCs w:val="28"/>
        </w:rPr>
      </w:pPr>
      <w:r>
        <w:rPr>
          <w:rFonts w:ascii="宋体" w:hAnsi="宋体"/>
          <w:color w:val="000000" w:themeColor="text1"/>
          <w:sz w:val="24"/>
          <w:szCs w:val="24"/>
        </w:rPr>
        <w:br w:type="page" w:clear="all"/>
      </w:r>
      <w:bookmarkStart w:id="47" w:name="_Toc120614211"/>
      <w:r>
        <w:rPr>
          <w:rFonts w:hint="eastAsia" w:ascii="方正黑体_GBK" w:hAnsi="方正黑体_GBK" w:eastAsia="方正黑体_GBK" w:cs="方正黑体_GBK"/>
          <w:color w:val="000000" w:themeColor="text1"/>
          <w:sz w:val="28"/>
          <w:szCs w:val="28"/>
        </w:rPr>
        <w:t xml:space="preserve">第二章  </w:t>
      </w:r>
      <w:bookmarkStart w:id="48" w:name="_Toc16938518"/>
      <w:r/>
      <w:bookmarkStart w:id="49" w:name="_Toc120614213"/>
      <w:r/>
      <w:bookmarkStart w:id="50" w:name="_Toc20823274"/>
      <w:r/>
      <w:bookmarkStart w:id="51" w:name="_Toc513029202"/>
      <w:r/>
      <w:bookmarkEnd w:id="1"/>
      <w:r/>
      <w:bookmarkEnd w:id="2"/>
      <w:r/>
      <w:bookmarkEnd w:id="3"/>
      <w:r/>
      <w:bookmarkEnd w:id="4"/>
      <w:r/>
      <w:bookmarkEnd w:id="5"/>
      <w:r/>
      <w:bookmarkEnd w:id="47"/>
      <w:r>
        <w:rPr>
          <w:rFonts w:hint="eastAsia" w:ascii="方正黑体_GBK" w:hAnsi="方正黑体_GBK" w:eastAsia="方正黑体_GBK" w:cs="方正黑体_GBK"/>
          <w:color w:val="000000" w:themeColor="text1"/>
          <w:sz w:val="28"/>
          <w:szCs w:val="28"/>
        </w:rPr>
        <w:t xml:space="preserve">投标人须知</w:t>
      </w:r>
      <w:bookmarkEnd w:id="48"/>
      <w:r/>
      <w:bookmarkEnd w:id="49"/>
      <w:r/>
      <w:bookmarkEnd w:id="50"/>
      <w:r/>
      <w:bookmarkEnd w:id="51"/>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一、总则</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1.招标方式</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1.1 本次招标采取公开招标方式，本招标文件仅适用于招标公告中所述项目。</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2.合格的投标人</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2.1满足招标公告中供应商的资格要求的规定。</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2.2 满足本文件实质性要求的规定。</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3.适用法律和标准</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4.投标费用</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4.2本次招标采购中心和采购人不收取标书工本费与中标服务费。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5.招标文件的约束力</w:t>
      </w:r>
      <w:r/>
    </w:p>
    <w:p>
      <w:pPr>
        <w:ind w:firstLine="560"/>
        <w:spacing w:line="400" w:lineRule="exact"/>
        <w:tabs>
          <w:tab w:val="left" w:pos="900" w:leader="none"/>
        </w:tabs>
        <w:rPr>
          <w:rFonts w:ascii="宋体" w:hAnsi="宋体"/>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5.1 投标人一旦参加本项目采购活动，即被认为接受了本招标文件的规定和约束。</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二、招标文件</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6.招标文件构成</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6.1 招标文件由以下部分组成：</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（1）投标邀请</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（2）投标人须知</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（3）合同文本</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（4）采购需求</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（5）评标方法与评标标准</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（6）投标文件格式</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请仔细检查招标文件是否齐全，如有缺漏请立即与采购中心联系解决。</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方正仿宋_GBK" w:hAnsi="方正仿宋_GBK" w:eastAsia="方正仿宋_GBK" w:cs="方正仿宋_GBK"/>
          <w:bCs/>
          <w:color w:val="000000" w:themeColor="text1"/>
          <w:sz w:val="28"/>
          <w:szCs w:val="28"/>
        </w:rPr>
        <w:t xml:space="preserve">投标人自行承担。</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7.招标文件的修改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7.1 在投标截止时间前，采购中心可以对招标文件进行修改。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7.2 采购中心有权按照法定的要求推迟投标截止日期和开标日期。</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7.3 招标文件的修改将在江苏政府采购网公布，补充文件将作为招标文件的组成部分，并对投标人具有约束力。</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52" w:name="_Toc462564072"/>
      <w:r/>
      <w:bookmarkStart w:id="53" w:name="_Toc16938529"/>
      <w:r/>
      <w:bookmarkStart w:id="54" w:name="_Toc20823285"/>
      <w:r/>
      <w:bookmarkStart w:id="55" w:name="_Toc513029213"/>
      <w:r/>
      <w:bookmarkStart w:id="56" w:name="_Toc120614216"/>
      <w:r>
        <w:rPr>
          <w:rFonts w:hint="eastAsia" w:ascii="方正黑体_GBK" w:hAnsi="方正黑体_GBK" w:eastAsia="方正黑体_GBK" w:cs="方正黑体_GBK"/>
          <w:color w:val="000000" w:themeColor="text1"/>
          <w:sz w:val="28"/>
          <w:szCs w:val="28"/>
        </w:rPr>
        <w:t xml:space="preserve">三、投标文件的编制</w:t>
      </w:r>
      <w:bookmarkEnd w:id="52"/>
      <w:r/>
      <w:bookmarkEnd w:id="53"/>
      <w:r/>
      <w:bookmarkEnd w:id="54"/>
      <w:r/>
      <w:bookmarkEnd w:id="55"/>
      <w:r/>
      <w:bookmarkEnd w:id="56"/>
      <w:r/>
      <w:r/>
    </w:p>
    <w:p>
      <w:pPr>
        <w:pStyle w:val="778"/>
        <w:ind w:firstLine="560"/>
        <w:spacing w:before="0" w:after="0" w:line="400" w:lineRule="exact"/>
        <w:rPr>
          <w:rFonts w:ascii="方正仿宋_GBK" w:hAnsi="方正仿宋_GBK" w:eastAsia="方正仿宋_GBK" w:cs="方正仿宋_GBK"/>
          <w:bCs w:val="0"/>
          <w:color w:val="000000" w:themeColor="text1"/>
        </w:rPr>
      </w:pPr>
      <w:r/>
      <w:bookmarkStart w:id="57" w:name="_Toc462564073"/>
      <w:r/>
      <w:bookmarkStart w:id="58" w:name="_Toc16938530"/>
      <w:r/>
      <w:bookmarkStart w:id="59" w:name="_Toc20823286"/>
      <w:r/>
      <w:bookmarkStart w:id="60" w:name="_Toc513029214"/>
      <w:r>
        <w:rPr>
          <w:rFonts w:hint="eastAsia" w:ascii="方正仿宋_GBK" w:hAnsi="方正仿宋_GBK" w:eastAsia="方正仿宋_GBK" w:cs="方正仿宋_GBK"/>
          <w:b w:val="0"/>
          <w:bCs w:val="0"/>
          <w:color w:val="000000" w:themeColor="text1"/>
        </w:rPr>
        <w:t xml:space="preserve">8.投标文件的语言及度量衡单位</w:t>
      </w:r>
      <w:bookmarkEnd w:id="57"/>
      <w:r/>
      <w:bookmarkEnd w:id="58"/>
      <w:r/>
      <w:bookmarkEnd w:id="59"/>
      <w:r/>
      <w:bookmarkEnd w:id="60"/>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8.1</w:t>
      </w:r>
      <w:r>
        <w:rPr>
          <w:rFonts w:hint="eastAsia" w:ascii="方正仿宋_GBK" w:hAnsi="方正仿宋_GBK" w:eastAsia="方正仿宋_GBK" w:cs="方正仿宋_GBK"/>
          <w:color w:val="000000" w:themeColor="text1"/>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color w:val="000000" w:themeColor="text1"/>
          <w:sz w:val="28"/>
          <w:szCs w:val="28"/>
        </w:rPr>
        <w:t xml:space="preserve">简体中文</w:t>
      </w: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8.2</w:t>
      </w:r>
      <w:r>
        <w:rPr>
          <w:rFonts w:hint="eastAsia" w:ascii="方正仿宋_GBK" w:hAnsi="方正仿宋_GBK" w:eastAsia="方正仿宋_GBK" w:cs="方正仿宋_GBK"/>
          <w:color w:val="000000" w:themeColor="text1"/>
          <w:sz w:val="28"/>
          <w:szCs w:val="28"/>
        </w:rPr>
        <w:t xml:space="preserve"> 除技术性能另有规定外，投标文件所使用的度量衡单位，均须采用国家法定计量单位。</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61" w:name="_Toc20823287"/>
      <w:r/>
      <w:bookmarkStart w:id="62" w:name="_Toc16938531"/>
      <w:r/>
      <w:bookmarkStart w:id="63" w:name="_Toc513029215"/>
      <w:r/>
      <w:bookmarkStart w:id="64" w:name="_Toc462564074"/>
      <w:r>
        <w:rPr>
          <w:rFonts w:hint="eastAsia" w:ascii="方正仿宋_GBK" w:hAnsi="方正仿宋_GBK" w:eastAsia="方正仿宋_GBK" w:cs="方正仿宋_GBK"/>
          <w:b w:val="0"/>
          <w:bCs w:val="0"/>
          <w:color w:val="000000" w:themeColor="text1"/>
        </w:rPr>
        <w:t xml:space="preserve">9.投标文件构成</w:t>
      </w:r>
      <w:bookmarkEnd w:id="61"/>
      <w:r/>
      <w:bookmarkEnd w:id="62"/>
      <w:r/>
      <w:bookmarkEnd w:id="63"/>
      <w:r/>
      <w:bookmarkEnd w:id="6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9.1</w:t>
      </w:r>
      <w:r>
        <w:rPr>
          <w:rFonts w:hint="eastAsia" w:ascii="方正仿宋_GBK" w:hAnsi="方正仿宋_GBK" w:eastAsia="方正仿宋_GBK" w:cs="方正仿宋_GBK"/>
          <w:color w:val="000000" w:themeColor="text1"/>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9.2 如标书制作工具中格式和内容与“江苏政府采购网”发布的招标文件不一致，请以“江苏政府采购网”发布的招标文件为准。</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65" w:name="_Hlt26670360"/>
      <w:r/>
      <w:bookmarkStart w:id="66" w:name="_Hlt26954838"/>
      <w:r/>
      <w:bookmarkStart w:id="67" w:name="_Hlt26668975"/>
      <w:r/>
      <w:bookmarkStart w:id="68" w:name="_Toc513029219"/>
      <w:r/>
      <w:bookmarkStart w:id="69" w:name="_Toc49090509"/>
      <w:r/>
      <w:bookmarkStart w:id="70" w:name="_Toc14577357"/>
      <w:r/>
      <w:bookmarkStart w:id="71" w:name="_Toc49090507"/>
      <w:r/>
      <w:bookmarkStart w:id="72" w:name="_Toc14577354"/>
      <w:r/>
      <w:bookmarkStart w:id="73" w:name="_Toc513029216"/>
      <w:r/>
      <w:bookmarkEnd w:id="65"/>
      <w:r/>
      <w:bookmarkEnd w:id="66"/>
      <w:r/>
      <w:bookmarkEnd w:id="67"/>
      <w:r>
        <w:rPr>
          <w:rFonts w:hint="eastAsia" w:ascii="方正仿宋_GBK" w:hAnsi="方正仿宋_GBK" w:eastAsia="方正仿宋_GBK" w:cs="方正仿宋_GBK"/>
          <w:b w:val="0"/>
          <w:bCs w:val="0"/>
          <w:color w:val="000000" w:themeColor="text1"/>
        </w:rPr>
        <w:t xml:space="preserve">10.证明投标人及投标标的符合招标文件规定的文件</w:t>
      </w:r>
      <w:bookmarkEnd w:id="68"/>
      <w:r/>
      <w:bookmarkEnd w:id="69"/>
      <w:r/>
      <w:bookmarkEnd w:id="70"/>
      <w:r/>
      <w:r/>
    </w:p>
    <w:p>
      <w:pPr>
        <w:ind w:firstLine="560"/>
        <w:spacing w:line="400" w:lineRule="exact"/>
        <w:rPr>
          <w:rFonts w:ascii="方正仿宋_GBK" w:hAnsi="方正仿宋_GBK" w:eastAsia="方正仿宋_GBK" w:cs="方正仿宋_GBK"/>
          <w:color w:val="000000" w:themeColor="text1"/>
          <w:sz w:val="28"/>
          <w:szCs w:val="28"/>
        </w:rPr>
      </w:pPr>
      <w:r/>
      <w:bookmarkStart w:id="74" w:name="_Toc14577355"/>
      <w:r/>
      <w:bookmarkStart w:id="75" w:name="_Toc49090508"/>
      <w:r/>
      <w:bookmarkEnd w:id="71"/>
      <w:r/>
      <w:bookmarkEnd w:id="72"/>
      <w:r/>
      <w:bookmarkEnd w:id="73"/>
      <w:r>
        <w:rPr>
          <w:rFonts w:hint="eastAsia" w:ascii="方正仿宋_GBK" w:hAnsi="方正仿宋_GBK" w:eastAsia="方正仿宋_GBK" w:cs="方正仿宋_GBK"/>
          <w:color w:val="000000" w:themeColor="text1"/>
          <w:sz w:val="28"/>
          <w:szCs w:val="28"/>
        </w:rPr>
        <w:t xml:space="preserve">10.1 投标人应按照法律、法规、规章和规范性文件以及招标文件要求提交证明文件，证明其及投标标的符合招标文件规定。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10.2招标文件对证明文件无明确形式要求的，证明文件可以以文字资料、图纸和数据等形式提交。</w:t>
      </w:r>
      <w:r/>
    </w:p>
    <w:p>
      <w:pPr>
        <w:pStyle w:val="778"/>
        <w:ind w:firstLine="560"/>
        <w:spacing w:before="0" w:after="0" w:line="400" w:lineRule="exact"/>
        <w:rPr>
          <w:rFonts w:ascii="方正仿宋_GBK" w:hAnsi="方正仿宋_GBK" w:eastAsia="方正仿宋_GBK" w:cs="方正仿宋_GBK"/>
          <w:b w:val="0"/>
          <w:bCs w:val="0"/>
          <w:color w:val="000000" w:themeColor="text1"/>
        </w:rPr>
      </w:pPr>
      <w:r>
        <w:rPr>
          <w:rFonts w:hint="eastAsia" w:ascii="方正仿宋_GBK" w:hAnsi="方正仿宋_GBK" w:eastAsia="方正仿宋_GBK" w:cs="方正仿宋_GBK"/>
          <w:b w:val="0"/>
          <w:bCs w:val="0"/>
          <w:color w:val="000000" w:themeColor="text1"/>
        </w:rPr>
        <w:t xml:space="preserve">11.投标分项报价</w:t>
      </w:r>
      <w:bookmarkStart w:id="76" w:name="_Hlt26670373"/>
      <w:r/>
      <w:bookmarkEnd w:id="74"/>
      <w:r/>
      <w:bookmarkEnd w:id="76"/>
      <w:r>
        <w:rPr>
          <w:rFonts w:hint="eastAsia" w:ascii="方正仿宋_GBK" w:hAnsi="方正仿宋_GBK" w:eastAsia="方正仿宋_GBK" w:cs="方正仿宋_GBK"/>
          <w:b w:val="0"/>
          <w:bCs w:val="0"/>
          <w:color w:val="000000" w:themeColor="text1"/>
        </w:rPr>
        <w:t xml:space="preserve">表</w:t>
      </w:r>
      <w:bookmarkEnd w:id="75"/>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11.1</w:t>
      </w:r>
      <w:r>
        <w:rPr>
          <w:rFonts w:hint="eastAsia" w:ascii="方正仿宋_GBK" w:hAnsi="方正仿宋_GBK" w:eastAsia="方正仿宋_GBK" w:cs="方正仿宋_GBK"/>
          <w:color w:val="000000" w:themeColor="text1"/>
          <w:sz w:val="28"/>
          <w:szCs w:val="28"/>
        </w:rPr>
        <w:t xml:space="preserve"> 投</w:t>
      </w:r>
      <w:bookmarkStart w:id="77" w:name="_Hlt26954840"/>
      <w:r/>
      <w:bookmarkEnd w:id="77"/>
      <w:r>
        <w:rPr>
          <w:rFonts w:hint="eastAsia" w:ascii="方正仿宋_GBK" w:hAnsi="方正仿宋_GBK" w:eastAsia="方正仿宋_GBK" w:cs="方正仿宋_GBK"/>
          <w:color w:val="000000" w:themeColor="text1"/>
          <w:sz w:val="28"/>
          <w:szCs w:val="28"/>
        </w:rPr>
        <w:t xml:space="preserve">标人按照招标文件规定格式填报投标分项报价表</w:t>
      </w:r>
      <w:bookmarkStart w:id="78" w:name="_Hlt26670399"/>
      <w:r/>
      <w:bookmarkEnd w:id="78"/>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11.2</w:t>
      </w:r>
      <w:r>
        <w:rPr>
          <w:rFonts w:hint="eastAsia" w:ascii="方正仿宋_GBK" w:hAnsi="方正仿宋_GBK" w:eastAsia="方正仿宋_GBK" w:cs="方正仿宋_GBK"/>
          <w:bCs/>
          <w:color w:val="000000" w:themeColor="text1"/>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color w:val="000000" w:themeColor="text1"/>
          <w:sz w:val="28"/>
          <w:szCs w:val="28"/>
        </w:rPr>
        <w:t xml:space="preserve">招标文件中另有规定的按规定执行。</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79" w:name="_Hlt26954846"/>
      <w:r/>
      <w:bookmarkStart w:id="80" w:name="_Hlt26954731"/>
      <w:r/>
      <w:bookmarkStart w:id="81" w:name="_Hlt26670403"/>
      <w:r/>
      <w:bookmarkStart w:id="82" w:name="_Hlt26954842"/>
      <w:r/>
      <w:bookmarkStart w:id="83" w:name="_Hlt26670482"/>
      <w:r/>
      <w:bookmarkStart w:id="84" w:name="_Hlt26670486"/>
      <w:r/>
      <w:bookmarkStart w:id="85" w:name="_Hlt26668983"/>
      <w:r/>
      <w:bookmarkStart w:id="86" w:name="_Hlt26954844"/>
      <w:r/>
      <w:bookmarkStart w:id="87" w:name="_Hlt26670425"/>
      <w:r/>
      <w:bookmarkStart w:id="88" w:name="_Hlt26954848"/>
      <w:r/>
      <w:bookmarkEnd w:id="79"/>
      <w:r/>
      <w:bookmarkEnd w:id="80"/>
      <w:r/>
      <w:bookmarkEnd w:id="81"/>
      <w:r/>
      <w:bookmarkEnd w:id="82"/>
      <w:r/>
      <w:bookmarkEnd w:id="83"/>
      <w:r/>
      <w:bookmarkEnd w:id="84"/>
      <w:r/>
      <w:bookmarkEnd w:id="85"/>
      <w:r/>
      <w:bookmarkEnd w:id="86"/>
      <w:r/>
      <w:bookmarkEnd w:id="87"/>
      <w:r/>
      <w:bookmarkEnd w:id="88"/>
      <w:r>
        <w:rPr>
          <w:rFonts w:hint="eastAsia" w:ascii="方正仿宋_GBK" w:hAnsi="方正仿宋_GBK" w:eastAsia="方正仿宋_GBK" w:cs="方正仿宋_GBK"/>
          <w:b w:val="0"/>
          <w:bCs w:val="0"/>
          <w:color w:val="000000" w:themeColor="text1"/>
        </w:rPr>
        <w:t xml:space="preserve">12.技术要求响应及偏离表、商务要求响应及偏离表</w:t>
      </w:r>
      <w:r/>
    </w:p>
    <w:p>
      <w:pPr>
        <w:ind w:firstLine="560"/>
        <w:spacing w:line="400" w:lineRule="exact"/>
        <w:rPr>
          <w:rFonts w:ascii="方正仿宋_GBK" w:hAnsi="方正仿宋_GBK" w:eastAsia="方正仿宋_GBK" w:cs="方正仿宋_GBK"/>
          <w:color w:val="000000" w:themeColor="text1"/>
          <w:sz w:val="28"/>
          <w:szCs w:val="28"/>
          <w:lang w:val="zh-CN"/>
        </w:rPr>
      </w:pPr>
      <w:r>
        <w:rPr>
          <w:rFonts w:hint="eastAsia" w:ascii="方正仿宋_GBK" w:hAnsi="方正仿宋_GBK" w:eastAsia="方正仿宋_GBK" w:cs="方正仿宋_GBK"/>
          <w:bCs/>
          <w:color w:val="000000" w:themeColor="text1"/>
          <w:sz w:val="28"/>
          <w:szCs w:val="28"/>
          <w:lang w:val="zh-CN"/>
        </w:rPr>
        <w:t xml:space="preserve">12.1</w:t>
      </w:r>
      <w:r>
        <w:rPr>
          <w:rFonts w:hint="eastAsia" w:ascii="方正仿宋_GBK" w:hAnsi="方正仿宋_GBK" w:eastAsia="方正仿宋_GBK" w:cs="方正仿宋_GBK"/>
          <w:color w:val="000000" w:themeColor="text1"/>
          <w:sz w:val="28"/>
          <w:szCs w:val="28"/>
          <w:lang w:val="zh-CN"/>
        </w:rPr>
        <w:t xml:space="preserve"> 投标人需对招标文件中的技术要求与商务要求逐项作出响应或偏离，并说明原因。</w:t>
      </w:r>
      <w:r/>
    </w:p>
    <w:p>
      <w:pPr>
        <w:ind w:firstLine="560"/>
        <w:spacing w:line="400" w:lineRule="exact"/>
        <w:rPr>
          <w:rFonts w:ascii="方正仿宋_GBK" w:hAnsi="方正仿宋_GBK" w:eastAsia="方正仿宋_GBK" w:cs="方正仿宋_GBK"/>
          <w:color w:val="000000" w:themeColor="text1"/>
          <w:sz w:val="28"/>
          <w:szCs w:val="28"/>
          <w:lang w:val="zh-CN"/>
        </w:rPr>
      </w:pPr>
      <w:r/>
      <w:bookmarkStart w:id="89" w:name="_Toc14577359"/>
      <w:r/>
      <w:bookmarkStart w:id="90" w:name="_Toc49090510"/>
      <w:r>
        <w:rPr>
          <w:rFonts w:hint="eastAsia" w:ascii="方正仿宋_GBK" w:hAnsi="方正仿宋_GBK" w:eastAsia="方正仿宋_GBK" w:cs="方正仿宋_GBK"/>
          <w:color w:val="000000" w:themeColor="text1"/>
          <w:sz w:val="28"/>
          <w:szCs w:val="28"/>
          <w:lang w:val="zh-CN"/>
        </w:rPr>
        <w:t xml:space="preserve">12.2 投标人需按照招标文件要求，在投标文件中提供与技术要求和商务要求相关的证明材料。</w:t>
      </w:r>
      <w:r/>
    </w:p>
    <w:p>
      <w:pPr>
        <w:pStyle w:val="778"/>
        <w:ind w:firstLine="560"/>
        <w:spacing w:before="0" w:after="0" w:line="400" w:lineRule="exact"/>
        <w:rPr>
          <w:rFonts w:ascii="方正仿宋_GBK" w:hAnsi="方正仿宋_GBK" w:eastAsia="方正仿宋_GBK" w:cs="方正仿宋_GBK"/>
          <w:b w:val="0"/>
          <w:bCs w:val="0"/>
          <w:color w:val="000000" w:themeColor="text1"/>
        </w:rPr>
      </w:pPr>
      <w:r>
        <w:rPr>
          <w:rFonts w:hint="eastAsia" w:ascii="方正仿宋_GBK" w:hAnsi="方正仿宋_GBK" w:eastAsia="方正仿宋_GBK" w:cs="方正仿宋_GBK"/>
          <w:b w:val="0"/>
          <w:bCs w:val="0"/>
          <w:color w:val="000000" w:themeColor="text1"/>
        </w:rPr>
        <w:t xml:space="preserve">13.投标函和开标一览表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13.1</w:t>
      </w:r>
      <w:r>
        <w:rPr>
          <w:rFonts w:hint="eastAsia" w:ascii="方正仿宋_GBK" w:hAnsi="方正仿宋_GBK" w:eastAsia="方正仿宋_GBK" w:cs="方正仿宋_GBK"/>
          <w:color w:val="000000" w:themeColor="text1"/>
          <w:sz w:val="28"/>
          <w:szCs w:val="28"/>
        </w:rPr>
        <w:t xml:space="preserve"> 投标人应按照招标文件中提供的格式完整、正确填写投标函、开标一览表。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13.2</w:t>
      </w:r>
      <w:r>
        <w:rPr>
          <w:rFonts w:hint="eastAsia" w:ascii="方正仿宋_GBK" w:hAnsi="方正仿宋_GBK" w:eastAsia="方正仿宋_GBK" w:cs="方正仿宋_GBK"/>
          <w:color w:val="000000" w:themeColor="text1"/>
          <w:sz w:val="28"/>
          <w:szCs w:val="28"/>
        </w:rPr>
        <w:t xml:space="preserve"> 对于采用货币报价的项目，</w:t>
      </w:r>
      <w:r>
        <w:rPr>
          <w:rFonts w:hint="eastAsia" w:ascii="方正仿宋_GBK" w:hAnsi="方正仿宋_GBK" w:eastAsia="方正仿宋_GBK" w:cs="方正仿宋_GBK"/>
          <w:bCs/>
          <w:color w:val="000000" w:themeColor="text1"/>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color w:val="000000" w:themeColor="text1"/>
          <w:sz w:val="28"/>
          <w:szCs w:val="28"/>
        </w:rPr>
        <w:t xml:space="preserve">不作为无效投标处理</w:t>
      </w:r>
      <w:r>
        <w:rPr>
          <w:rFonts w:hint="eastAsia" w:ascii="方正仿宋_GBK" w:hAnsi="方正仿宋_GBK" w:eastAsia="方正仿宋_GBK" w:cs="方正仿宋_GBK"/>
          <w:bCs/>
          <w:color w:val="000000" w:themeColor="text1"/>
          <w:sz w:val="28"/>
          <w:szCs w:val="28"/>
        </w:rPr>
        <w:t xml:space="preserve">，但评标时按开标一览表中价格为准</w:t>
      </w:r>
      <w:r>
        <w:rPr>
          <w:rFonts w:hint="eastAsia" w:ascii="方正仿宋_GBK" w:hAnsi="方正仿宋_GBK" w:eastAsia="方正仿宋_GBK" w:cs="方正仿宋_GBK"/>
          <w:b/>
          <w:bCs/>
          <w:color w:val="000000" w:themeColor="text1"/>
          <w:sz w:val="28"/>
          <w:szCs w:val="28"/>
        </w:rPr>
        <w:t xml:space="preserve">。</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91" w:name="_Hlt26954850"/>
      <w:r/>
      <w:bookmarkStart w:id="92" w:name="_Hlt26670489"/>
      <w:r/>
      <w:bookmarkStart w:id="93" w:name="_Hlt26954734"/>
      <w:r/>
      <w:bookmarkStart w:id="94" w:name="_Toc49090511"/>
      <w:r/>
      <w:bookmarkStart w:id="95" w:name="_Toc14577360"/>
      <w:r/>
      <w:bookmarkEnd w:id="89"/>
      <w:r/>
      <w:bookmarkEnd w:id="90"/>
      <w:r/>
      <w:bookmarkEnd w:id="91"/>
      <w:r/>
      <w:bookmarkEnd w:id="92"/>
      <w:r/>
      <w:bookmarkEnd w:id="93"/>
      <w:r>
        <w:rPr>
          <w:rFonts w:hint="eastAsia" w:ascii="方正仿宋_GBK" w:hAnsi="方正仿宋_GBK" w:eastAsia="方正仿宋_GBK" w:cs="方正仿宋_GBK"/>
          <w:b w:val="0"/>
          <w:bCs w:val="0"/>
          <w:color w:val="000000" w:themeColor="text1"/>
        </w:rPr>
        <w:t xml:space="preserve">14.投标有效期</w:t>
      </w:r>
      <w:bookmarkEnd w:id="94"/>
      <w:r/>
      <w:bookmarkEnd w:id="95"/>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14.1</w:t>
      </w:r>
      <w:r>
        <w:rPr>
          <w:rFonts w:hint="eastAsia" w:ascii="方正仿宋_GBK" w:hAnsi="方正仿宋_GBK" w:eastAsia="方正仿宋_GBK" w:cs="方正仿宋_GBK"/>
          <w:bCs/>
          <w:color w:val="000000" w:themeColor="text1"/>
          <w:sz w:val="28"/>
          <w:szCs w:val="28"/>
        </w:rPr>
        <w:t xml:space="preserve"> 投标有效期为采购中心规定的开标之日后</w:t>
      </w:r>
      <w:r>
        <w:rPr>
          <w:rFonts w:hint="eastAsia" w:ascii="方正仿宋_GBK" w:hAnsi="方正仿宋_GBK" w:eastAsia="方正仿宋_GBK" w:cs="方正仿宋_GBK"/>
          <w:b/>
          <w:color w:val="000000" w:themeColor="text1"/>
          <w:sz w:val="28"/>
          <w:szCs w:val="28"/>
          <w:u w:val="single"/>
        </w:rPr>
        <w:t xml:space="preserve">六十（60）天</w:t>
      </w:r>
      <w:r>
        <w:rPr>
          <w:rFonts w:hint="eastAsia" w:ascii="方正仿宋_GBK" w:hAnsi="方正仿宋_GBK" w:eastAsia="方正仿宋_GBK" w:cs="方正仿宋_GBK"/>
          <w:bCs/>
          <w:color w:val="000000" w:themeColor="text1"/>
          <w:sz w:val="28"/>
          <w:szCs w:val="28"/>
        </w:rPr>
        <w:t xml:space="preserve">。投标有效期比规定短的将被视为未实质性响应招标文件而予以拒绝。</w:t>
      </w:r>
      <w:r/>
    </w:p>
    <w:p>
      <w:pPr>
        <w:pStyle w:val="778"/>
        <w:ind w:firstLine="560"/>
        <w:spacing w:before="0" w:after="0" w:line="400" w:lineRule="exact"/>
        <w:rPr>
          <w:rFonts w:ascii="方正仿宋_GBK" w:hAnsi="方正仿宋_GBK" w:eastAsia="方正仿宋_GBK" w:cs="方正仿宋_GBK"/>
          <w:b w:val="0"/>
          <w:bCs w:val="0"/>
          <w:color w:val="000000" w:themeColor="text1"/>
        </w:rPr>
      </w:pPr>
      <w:r>
        <w:rPr>
          <w:rFonts w:hint="eastAsia" w:ascii="方正仿宋_GBK" w:hAnsi="方正仿宋_GBK" w:eastAsia="方正仿宋_GBK" w:cs="方正仿宋_GBK"/>
          <w:b w:val="0"/>
          <w:bCs w:val="0"/>
          <w:color w:val="000000" w:themeColor="text1"/>
        </w:rPr>
        <w:t xml:space="preserve">15.投标有效期的延长</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15.1</w:t>
      </w:r>
      <w:r>
        <w:rPr>
          <w:rFonts w:hint="eastAsia" w:ascii="方正仿宋_GBK" w:hAnsi="方正仿宋_GBK" w:eastAsia="方正仿宋_GBK" w:cs="方正仿宋_GBK"/>
          <w:bCs/>
          <w:color w:val="000000" w:themeColor="text1"/>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color w:val="000000" w:themeColor="text1"/>
          <w:sz w:val="28"/>
          <w:szCs w:val="28"/>
        </w:rPr>
        <w:t xml:space="preserve">。</w:t>
      </w:r>
      <w:r>
        <w:rPr>
          <w:rFonts w:hint="eastAsia" w:ascii="方正仿宋_GBK" w:hAnsi="方正仿宋_GBK" w:eastAsia="方正仿宋_GBK" w:cs="方正仿宋_GBK"/>
          <w:bCs/>
          <w:color w:val="000000" w:themeColor="text1"/>
          <w:sz w:val="28"/>
          <w:szCs w:val="28"/>
        </w:rPr>
        <w:t xml:space="preserve">同意延长投标有效期的投标人既不能要求也不允许修改其投标文件</w:t>
      </w:r>
      <w:r>
        <w:rPr>
          <w:rFonts w:hint="eastAsia" w:ascii="方正仿宋_GBK" w:hAnsi="方正仿宋_GBK" w:eastAsia="方正仿宋_GBK" w:cs="方正仿宋_GBK"/>
          <w:color w:val="000000" w:themeColor="text1"/>
          <w:sz w:val="28"/>
          <w:szCs w:val="28"/>
        </w:rPr>
        <w:t xml:space="preserve">，同时受投标有效期约束的所有权利与义务均延长至新的有效期</w:t>
      </w:r>
      <w:r>
        <w:rPr>
          <w:rFonts w:hint="eastAsia" w:ascii="方正仿宋_GBK" w:hAnsi="方正仿宋_GBK" w:eastAsia="方正仿宋_GBK" w:cs="方正仿宋_GBK"/>
          <w:bCs/>
          <w:color w:val="000000" w:themeColor="text1"/>
          <w:sz w:val="28"/>
          <w:szCs w:val="28"/>
        </w:rPr>
        <w:t xml:space="preserve">。</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96" w:name="_Hlt26954739"/>
      <w:r/>
      <w:bookmarkStart w:id="97" w:name="_Hlt26954852"/>
      <w:r/>
      <w:bookmarkStart w:id="98" w:name="_Toc20823296"/>
      <w:r/>
      <w:bookmarkStart w:id="99" w:name="_Toc120614217"/>
      <w:r/>
      <w:bookmarkStart w:id="100" w:name="_Toc513029224"/>
      <w:r/>
      <w:bookmarkStart w:id="101" w:name="_Toc16938540"/>
      <w:r/>
      <w:bookmarkEnd w:id="96"/>
      <w:r/>
      <w:bookmarkEnd w:id="97"/>
      <w:r>
        <w:rPr>
          <w:rFonts w:hint="eastAsia" w:ascii="方正黑体_GBK" w:hAnsi="方正黑体_GBK" w:eastAsia="方正黑体_GBK" w:cs="方正黑体_GBK"/>
          <w:color w:val="000000" w:themeColor="text1"/>
          <w:sz w:val="28"/>
          <w:szCs w:val="28"/>
        </w:rPr>
        <w:t xml:space="preserve">四、投标文件的递交</w:t>
      </w:r>
      <w:bookmarkEnd w:id="98"/>
      <w:r/>
      <w:bookmarkEnd w:id="99"/>
      <w:r/>
      <w:bookmarkEnd w:id="100"/>
      <w:r/>
      <w:bookmarkEnd w:id="101"/>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102" w:name="_Toc16938541"/>
      <w:r/>
      <w:bookmarkStart w:id="103" w:name="_Toc513029225"/>
      <w:r/>
      <w:bookmarkStart w:id="104" w:name="_Toc20823297"/>
      <w:r/>
      <w:bookmarkStart w:id="105" w:name="_Toc462564084"/>
      <w:r>
        <w:rPr>
          <w:rFonts w:hint="eastAsia" w:ascii="方正仿宋_GBK" w:hAnsi="方正仿宋_GBK" w:eastAsia="方正仿宋_GBK" w:cs="方正仿宋_GBK"/>
          <w:b w:val="0"/>
          <w:bCs w:val="0"/>
          <w:color w:val="000000" w:themeColor="text1"/>
        </w:rPr>
        <w:t xml:space="preserve">16.投标文件</w:t>
      </w:r>
      <w:bookmarkEnd w:id="102"/>
      <w:r/>
      <w:bookmarkEnd w:id="103"/>
      <w:r/>
      <w:bookmarkEnd w:id="104"/>
      <w:r/>
      <w:bookmarkEnd w:id="105"/>
      <w:r>
        <w:rPr>
          <w:rFonts w:hint="eastAsia" w:ascii="方正仿宋_GBK" w:hAnsi="方正仿宋_GBK" w:eastAsia="方正仿宋_GBK" w:cs="方正仿宋_GBK"/>
          <w:b w:val="0"/>
          <w:bCs w:val="0"/>
          <w:color w:val="000000" w:themeColor="text1"/>
        </w:rPr>
        <w:t xml:space="preserve">的递交</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16.1</w:t>
      </w:r>
      <w:r>
        <w:rPr>
          <w:rFonts w:hint="eastAsia" w:ascii="方正仿宋_GBK" w:hAnsi="方正仿宋_GBK" w:eastAsia="方正仿宋_GBK" w:cs="方正仿宋_GBK"/>
          <w:bCs/>
          <w:color w:val="000000" w:themeColor="text1"/>
          <w:sz w:val="28"/>
          <w:szCs w:val="28"/>
        </w:rPr>
        <w:t xml:space="preserve"> 电子投标文件的递交</w:t>
      </w:r>
      <w:r/>
    </w:p>
    <w:p>
      <w:pPr>
        <w:pStyle w:val="843"/>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投标人应当按照《操作手册》规定，在投标截止时间前制作并上传电子投标文件。</w:t>
      </w:r>
      <w:bookmarkStart w:id="106" w:name="_Toc513029226"/>
      <w:r/>
      <w:bookmarkStart w:id="107" w:name="_Toc16938542"/>
      <w:r/>
      <w:bookmarkStart w:id="108" w:name="_Toc20823298"/>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17.投标截止</w:t>
      </w:r>
      <w:bookmarkEnd w:id="106"/>
      <w:r/>
      <w:bookmarkEnd w:id="107"/>
      <w:r/>
      <w:bookmarkEnd w:id="108"/>
      <w:r>
        <w:rPr>
          <w:rFonts w:hint="eastAsia" w:ascii="方正仿宋_GBK" w:hAnsi="方正仿宋_GBK" w:eastAsia="方正仿宋_GBK" w:cs="方正仿宋_GBK"/>
          <w:bCs/>
          <w:color w:val="000000" w:themeColor="text1"/>
          <w:sz w:val="28"/>
          <w:szCs w:val="28"/>
        </w:rPr>
        <w:t xml:space="preserve">时间</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17.1</w:t>
      </w:r>
      <w:r>
        <w:rPr>
          <w:rFonts w:hint="eastAsia" w:ascii="方正仿宋_GBK" w:hAnsi="方正仿宋_GBK" w:eastAsia="方正仿宋_GBK" w:cs="方正仿宋_GBK"/>
          <w:bCs/>
          <w:color w:val="000000" w:themeColor="text1"/>
          <w:sz w:val="28"/>
          <w:szCs w:val="28"/>
        </w:rPr>
        <w:t xml:space="preserve"> 投标人上传电子投标文件的时间不得迟于招标公告中规定的投标截止时间。</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17.2</w:t>
      </w:r>
      <w:r>
        <w:rPr>
          <w:rFonts w:hint="eastAsia" w:ascii="方正仿宋_GBK" w:hAnsi="方正仿宋_GBK" w:eastAsia="方正仿宋_GBK" w:cs="方正仿宋_GBK"/>
          <w:bCs/>
          <w:color w:val="000000" w:themeColor="text1"/>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109" w:name="_Toc20823299"/>
      <w:r/>
      <w:bookmarkStart w:id="110" w:name="_Toc513029227"/>
      <w:r/>
      <w:bookmarkStart w:id="111" w:name="_Toc16938543"/>
      <w:r>
        <w:rPr>
          <w:rFonts w:hint="eastAsia" w:ascii="方正仿宋_GBK" w:hAnsi="方正仿宋_GBK" w:eastAsia="方正仿宋_GBK" w:cs="方正仿宋_GBK"/>
          <w:b w:val="0"/>
          <w:bCs w:val="0"/>
          <w:color w:val="000000" w:themeColor="text1"/>
        </w:rPr>
        <w:t xml:space="preserve">18.投标文件</w:t>
      </w:r>
      <w:bookmarkEnd w:id="109"/>
      <w:r/>
      <w:bookmarkEnd w:id="110"/>
      <w:r/>
      <w:bookmarkEnd w:id="111"/>
      <w:r>
        <w:rPr>
          <w:rFonts w:hint="eastAsia" w:ascii="方正仿宋_GBK" w:hAnsi="方正仿宋_GBK" w:eastAsia="方正仿宋_GBK" w:cs="方正仿宋_GBK"/>
          <w:b w:val="0"/>
          <w:bCs w:val="0"/>
          <w:color w:val="000000" w:themeColor="text1"/>
        </w:rPr>
        <w:t xml:space="preserve">的拒收</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18.1</w:t>
      </w:r>
      <w:r>
        <w:rPr>
          <w:rFonts w:hint="eastAsia" w:ascii="方正仿宋_GBK" w:hAnsi="方正仿宋_GBK" w:eastAsia="方正仿宋_GBK" w:cs="方正仿宋_GBK"/>
          <w:bCs/>
          <w:color w:val="000000" w:themeColor="text1"/>
          <w:sz w:val="28"/>
          <w:szCs w:val="28"/>
        </w:rPr>
        <w:t xml:space="preserve">采购中心拒绝接收在其规定的投标截止时间后上传的任何投标文件。</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112" w:name="_Toc16938544"/>
      <w:r/>
      <w:bookmarkStart w:id="113" w:name="_Toc513029228"/>
      <w:r/>
      <w:bookmarkStart w:id="114" w:name="_Toc20823300"/>
      <w:r>
        <w:rPr>
          <w:rFonts w:hint="eastAsia" w:ascii="方正仿宋_GBK" w:hAnsi="方正仿宋_GBK" w:eastAsia="方正仿宋_GBK" w:cs="方正仿宋_GBK"/>
          <w:b w:val="0"/>
          <w:bCs w:val="0"/>
          <w:color w:val="000000" w:themeColor="text1"/>
        </w:rPr>
        <w:t xml:space="preserve">19.投标文件的撤回和修改</w:t>
      </w:r>
      <w:bookmarkEnd w:id="112"/>
      <w:r/>
      <w:bookmarkEnd w:id="113"/>
      <w:r/>
      <w:bookmarkEnd w:id="11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19.1 投标文件的撤回</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19.1.1 电子投标文件的撤回</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投标人可在投标截止时间前，撤回其电子投标文件，具体操作方法见《操作手册》。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19.1.2 投标人撤回电子投标文件，则认为其不再参与本项目投标活</w:t>
      </w:r>
      <w:r>
        <w:rPr>
          <w:rFonts w:hint="eastAsia" w:ascii="方正仿宋_GBK" w:hAnsi="方正仿宋_GBK" w:eastAsia="方正仿宋_GBK" w:cs="方正仿宋_GBK"/>
          <w:color w:val="000000" w:themeColor="text1"/>
          <w:sz w:val="28"/>
          <w:szCs w:val="28"/>
        </w:rPr>
        <w:t xml:space="preserve">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19.2 投标文件的修改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19.2.1投标人可在投标截止时间前，对其电子投标文件进行修改，具体操作方法见《操作手册》。</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19.2.2</w:t>
      </w:r>
      <w:r>
        <w:rPr>
          <w:rFonts w:hint="eastAsia" w:ascii="方正仿宋_GBK" w:hAnsi="方正仿宋_GBK" w:eastAsia="方正仿宋_GBK" w:cs="方正仿宋_GBK"/>
          <w:bCs/>
          <w:color w:val="000000" w:themeColor="text1"/>
          <w:sz w:val="28"/>
          <w:szCs w:val="28"/>
        </w:rPr>
        <w:t xml:space="preserve"> 在投标截止时间之后，投标人不得对其电子投标文件作任何修改。</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19.3</w:t>
      </w:r>
      <w:r>
        <w:rPr>
          <w:rFonts w:hint="eastAsia" w:ascii="方正仿宋_GBK" w:hAnsi="方正仿宋_GBK" w:eastAsia="方正仿宋_GBK" w:cs="方正仿宋_GBK"/>
          <w:bCs/>
          <w:color w:val="000000" w:themeColor="text1"/>
          <w:sz w:val="28"/>
          <w:szCs w:val="28"/>
        </w:rPr>
        <w:t xml:space="preserve"> 在投标截止时间至招标文件中规定的投标有效期满之间的这段时间内，投标人不得撤回其投标。</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115" w:name="_Toc20823301"/>
      <w:r/>
      <w:bookmarkStart w:id="116" w:name="_Toc513029229"/>
      <w:r/>
      <w:bookmarkStart w:id="117" w:name="_Toc120614218"/>
      <w:r/>
      <w:bookmarkStart w:id="118" w:name="_Toc16938545"/>
      <w:r>
        <w:rPr>
          <w:rFonts w:hint="eastAsia" w:ascii="方正黑体_GBK" w:hAnsi="方正黑体_GBK" w:eastAsia="方正黑体_GBK" w:cs="方正黑体_GBK"/>
          <w:color w:val="000000" w:themeColor="text1"/>
          <w:sz w:val="28"/>
          <w:szCs w:val="28"/>
        </w:rPr>
        <w:t xml:space="preserve">五、开标与评标</w:t>
      </w:r>
      <w:bookmarkEnd w:id="115"/>
      <w:r/>
      <w:bookmarkEnd w:id="116"/>
      <w:r/>
      <w:bookmarkEnd w:id="117"/>
      <w:r/>
      <w:bookmarkEnd w:id="118"/>
      <w:r/>
      <w:r/>
    </w:p>
    <w:p>
      <w:pPr>
        <w:ind w:firstLine="560"/>
        <w:spacing w:line="400" w:lineRule="exact"/>
        <w:rPr>
          <w:rFonts w:ascii="方正仿宋_GBK" w:hAnsi="方正仿宋_GBK" w:eastAsia="方正仿宋_GBK" w:cs="方正仿宋_GBK"/>
          <w:color w:val="000000" w:themeColor="text1"/>
          <w:sz w:val="28"/>
          <w:szCs w:val="28"/>
        </w:rPr>
      </w:pPr>
      <w:r/>
      <w:bookmarkStart w:id="119" w:name="_Toc20823302"/>
      <w:r/>
      <w:bookmarkStart w:id="120" w:name="_Toc513029230"/>
      <w:r/>
      <w:bookmarkStart w:id="121" w:name="_Toc16938546"/>
      <w:r>
        <w:rPr>
          <w:rFonts w:hint="eastAsia" w:ascii="方正仿宋_GBK" w:hAnsi="方正仿宋_GBK" w:eastAsia="方正仿宋_GBK" w:cs="方正仿宋_GBK"/>
          <w:color w:val="000000" w:themeColor="text1"/>
          <w:sz w:val="28"/>
          <w:szCs w:val="28"/>
        </w:rPr>
        <w:t xml:space="preserve">20.开标</w:t>
      </w:r>
      <w:bookmarkEnd w:id="119"/>
      <w:r/>
      <w:bookmarkEnd w:id="120"/>
      <w:r/>
      <w:bookmarkEnd w:id="121"/>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20.2开标仪式由采购中心组织。苏采云系统将自动对项目进行开标，并宣布各投标人名称和投标价格。</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20.3投标人在开标过程中涉及到的投标文件解密、开标结果确认等工作，应按照《操作手册》规定执行。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20.4投标人如果对开标过程和开标记录有疑义，应当根据《操作手册》规定提出，如苏采云系统中《开标记录表》宣布后5分钟内未提出的，视同认可开标结果。</w:t>
      </w:r>
      <w:r/>
    </w:p>
    <w:p>
      <w:pPr>
        <w:ind w:firstLine="560"/>
        <w:spacing w:line="400" w:lineRule="exact"/>
        <w:rPr>
          <w:rFonts w:ascii="方正仿宋_GBK" w:hAnsi="方正仿宋_GBK" w:eastAsia="方正仿宋_GBK" w:cs="方正仿宋_GBK"/>
          <w:color w:val="000000" w:themeColor="text1"/>
          <w:sz w:val="28"/>
          <w:szCs w:val="28"/>
        </w:rPr>
      </w:pPr>
      <w:r/>
      <w:bookmarkStart w:id="122" w:name="_Toc20823303"/>
      <w:r/>
      <w:bookmarkStart w:id="123" w:name="_Toc513029231"/>
      <w:r/>
      <w:bookmarkStart w:id="124" w:name="_Toc16938547"/>
      <w:r>
        <w:rPr>
          <w:rFonts w:hint="eastAsia" w:ascii="方正仿宋_GBK" w:hAnsi="方正仿宋_GBK" w:eastAsia="方正仿宋_GBK" w:cs="方正仿宋_GBK"/>
          <w:color w:val="000000" w:themeColor="text1"/>
          <w:sz w:val="28"/>
          <w:szCs w:val="28"/>
        </w:rPr>
        <w:t xml:space="preserve">21.评标委员会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21.1 开标后，采购中心将立即组织评标委员会进行评标。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21.2 评标委员会由采购人代表和有关技术、经济等方面的专家组成，且人员构成符合政府采购有关规定。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21.3评标委员会独立工作，负责评审所有投标文件并确定中标侯选人。</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22.评标过程的保密与公正</w:t>
      </w:r>
      <w:bookmarkEnd w:id="122"/>
      <w:r/>
      <w:bookmarkEnd w:id="123"/>
      <w:r/>
      <w:bookmarkEnd w:id="12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22.1凡是与审查、澄清、评价和比较投标的有关资料以及授标建议等，采购人、评委、采购中心均不得向投标人或与评标无关的其他人员透露。</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22.2在评标过程中，投标人不得以任何行为影响评标过程，否则其投标文件将被作为无效投标文件。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22.3 采购中心和评标委员会不向未中标的投标人解释未中标原因，也不公布评标过程中的相关细节。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22.4 采用综合评分法的项目，未中标的投标人可于中标结果公告期</w:t>
      </w:r>
      <w:r>
        <w:rPr>
          <w:rFonts w:hint="eastAsia" w:ascii="方正仿宋_GBK" w:hAnsi="方正仿宋_GBK" w:eastAsia="方正仿宋_GBK" w:cs="方正仿宋_GBK"/>
          <w:color w:val="000000" w:themeColor="text1"/>
          <w:sz w:val="28"/>
          <w:szCs w:val="28"/>
        </w:rPr>
        <w:t xml:space="preserve">限届满之日起通过苏采云系统查看自己的评审得分及排序情况。</w:t>
      </w:r>
      <w:r/>
    </w:p>
    <w:p>
      <w:pPr>
        <w:ind w:firstLine="560"/>
        <w:spacing w:line="400" w:lineRule="exact"/>
        <w:rPr>
          <w:rFonts w:ascii="方正仿宋_GBK" w:hAnsi="方正仿宋_GBK" w:eastAsia="方正仿宋_GBK" w:cs="方正仿宋_GBK"/>
          <w:color w:val="000000" w:themeColor="text1"/>
          <w:sz w:val="28"/>
          <w:szCs w:val="28"/>
        </w:rPr>
      </w:pPr>
      <w:r/>
      <w:bookmarkStart w:id="125" w:name="_Toc16938548"/>
      <w:r/>
      <w:bookmarkStart w:id="126" w:name="_Toc513029232"/>
      <w:r/>
      <w:bookmarkStart w:id="127" w:name="_Toc20823304"/>
      <w:r>
        <w:rPr>
          <w:rFonts w:hint="eastAsia" w:ascii="方正仿宋_GBK" w:hAnsi="方正仿宋_GBK" w:eastAsia="方正仿宋_GBK" w:cs="方正仿宋_GBK"/>
          <w:color w:val="000000" w:themeColor="text1"/>
          <w:sz w:val="28"/>
          <w:szCs w:val="28"/>
        </w:rPr>
        <w:t xml:space="preserve">23.投标文件的澄清</w:t>
      </w:r>
      <w:bookmarkEnd w:id="125"/>
      <w:r/>
      <w:bookmarkEnd w:id="126"/>
      <w:r/>
      <w:bookmarkEnd w:id="127"/>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23.1评标期间，评标委员会对投标文件中含义不明确、同类问题表述不一致或者有明显文字和计算错误的内容 ，有权要求投标人作出必要的澄清、说明或者补正。</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投标人的澄清、说明或者补正不得超出投标文件的范围或者改变投标文件的实质性内容。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评标委员会并非对每个投标人都做澄清要求。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23.3 接到评标委员会澄清、说明和补正要求的投标人如未按规定做出澄清、说明和补正，其风险由投标人自行承担。</w:t>
      </w:r>
      <w:r/>
    </w:p>
    <w:p>
      <w:pPr>
        <w:ind w:firstLine="560"/>
        <w:spacing w:line="400" w:lineRule="exact"/>
        <w:rPr>
          <w:rFonts w:ascii="方正仿宋_GBK" w:hAnsi="方正仿宋_GBK" w:eastAsia="方正仿宋_GBK" w:cs="方正仿宋_GBK"/>
          <w:color w:val="000000" w:themeColor="text1"/>
          <w:sz w:val="28"/>
          <w:szCs w:val="28"/>
        </w:rPr>
      </w:pPr>
      <w:r/>
      <w:bookmarkStart w:id="128" w:name="_Toc513029233"/>
      <w:r/>
      <w:bookmarkStart w:id="129" w:name="_Toc20823305"/>
      <w:r/>
      <w:bookmarkStart w:id="130" w:name="_Toc16938549"/>
      <w:r>
        <w:rPr>
          <w:rFonts w:hint="eastAsia" w:ascii="方正仿宋_GBK" w:hAnsi="方正仿宋_GBK" w:eastAsia="方正仿宋_GBK" w:cs="方正仿宋_GBK"/>
          <w:color w:val="000000" w:themeColor="text1"/>
          <w:sz w:val="28"/>
          <w:szCs w:val="28"/>
        </w:rPr>
        <w:t xml:space="preserve">24.对投标文件的初审</w:t>
      </w:r>
      <w:bookmarkEnd w:id="128"/>
      <w:r/>
      <w:bookmarkEnd w:id="129"/>
      <w:r/>
      <w:bookmarkEnd w:id="130"/>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24.1投标文件初审分为资格审查和符合性审查。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24.1.1 资格审查：依据法律法规和招标文件的规定，由采购人对投标文件中的资格证明文件进行审查。资格审查的结论，采购人以书面形式向评标委员会进行反馈。</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采购人在进行资格性审查的同时，将在“信用中国”网站（</w:t>
      </w:r>
      <w:r>
        <w:rPr>
          <w:rFonts w:hint="eastAsia" w:eastAsia="方正仿宋_GBK"/>
          <w:color w:val="000000" w:themeColor="text1"/>
          <w:sz w:val="28"/>
          <w:szCs w:val="28"/>
        </w:rPr>
        <w:t xml:space="preserve">www.creditchina.gov.cn</w:t>
      </w:r>
      <w:r>
        <w:rPr>
          <w:rFonts w:hint="eastAsia" w:ascii="方正仿宋_GBK" w:hAnsi="方正仿宋_GBK" w:eastAsia="方正仿宋_GBK" w:cs="方正仿宋_GBK"/>
          <w:color w:val="000000" w:themeColor="text1"/>
          <w:sz w:val="28"/>
          <w:szCs w:val="28"/>
        </w:rPr>
        <w:t xml:space="preserve">）查询投标人的信用记录，以确定投标人是否具备投标资格,查询结果留存并归档。</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24.1.2 符合性审查：依据招标文件的规定，由评标委员会从投标文件的有效性、完整性和对招标文件的响应程度进行审查，以确定是否对招标文件的实质性要求作出响应。</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24.3如果投标文件实质上没有响应招标文件的要求，评标委员会将予以拒绝，投标人不得通过修改或撤销不符合要求的偏离或保留而使其投标成为实质性响应的投标。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24.4评标委员会将对确定为实质性响应的投标进行进一步审核，确定其是否有计算上或累加上的算术错误，修正错误的原则如下：</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（1）投标文件中开标一览表内容与投标文件中相应内容不一致的，以开标一览表为准。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（2）大写金额和小写金额不一致的，以大写金额为准。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（3）单价金额小数点或者百分比有明显错位的，以开标一览表的总价为准，并修改单价。</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（4）总价金额与按单价汇总金额不一致的，以单价金额计算结果为准。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同时出现两种以上错误的，按照前款规定的顺序修正。</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rPr>
          <w:rFonts w:ascii="方正仿宋_GBK" w:hAnsi="方正仿宋_GBK" w:eastAsia="方正仿宋_GBK" w:cs="方正仿宋_GBK"/>
          <w:color w:val="000000" w:themeColor="text1"/>
          <w:sz w:val="28"/>
          <w:szCs w:val="28"/>
        </w:rPr>
      </w:pPr>
      <w:r/>
      <w:bookmarkStart w:id="131" w:name="_Toc16938550"/>
      <w:r/>
      <w:bookmarkStart w:id="132" w:name="_Toc513029234"/>
      <w:r/>
      <w:bookmarkStart w:id="133" w:name="_Toc20823306"/>
      <w:r>
        <w:rPr>
          <w:rFonts w:hint="eastAsia" w:ascii="方正仿宋_GBK" w:hAnsi="方正仿宋_GBK" w:eastAsia="方正仿宋_GBK" w:cs="方正仿宋_GBK"/>
          <w:color w:val="000000" w:themeColor="text1"/>
          <w:sz w:val="28"/>
          <w:szCs w:val="28"/>
        </w:rPr>
        <w:t xml:space="preserve">24.6投标人在开、评标全过程中应保持通讯畅通，及时登录苏采云系统查阅、答复相关信息，并安排专人与采购中心及评标委员会联系。</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24.7 异常低价投标审查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24.7.1 评标过程中出现下列情形之一的，评标委员会应当启动异常低价投标审查程序：</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（1）投标报价低于全部通过符合性审查供应商投标报价平均值50%的，即投标报价&lt;全部通过符合性审查供应商投标报价平均值×50%；</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（2）投标报价低于通过符合性审查的次低报价供应商投标报价50%的，即投标报价&lt;通过符合性审查的次低报价供应商投标报价×50%；</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（3）投标报价低于采购项目最高限价45%的，即投标报价&lt;采购项目最高限价×45%；</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（4）评标委员会基于专业判断，认为供应商报价过低，有可能影响产品质量或者不能诚信履约的其他情形。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w:t>
      </w:r>
      <w:bookmarkEnd w:id="131"/>
      <w:r/>
      <w:bookmarkEnd w:id="132"/>
      <w:r/>
      <w:bookmarkEnd w:id="133"/>
      <w:r>
        <w:rPr>
          <w:rFonts w:hint="eastAsia" w:ascii="方正仿宋_GBK" w:hAnsi="方正仿宋_GBK" w:eastAsia="方正仿宋_GBK" w:cs="方正仿宋_GBK"/>
          <w:color w:val="000000" w:themeColor="text1"/>
          <w:sz w:val="28"/>
          <w:szCs w:val="28"/>
        </w:rPr>
        <w:t xml:space="preserve">.无效投标条款和废标条款</w:t>
      </w:r>
      <w:r/>
    </w:p>
    <w:p>
      <w:pPr>
        <w:ind w:firstLine="560"/>
        <w:spacing w:line="400" w:lineRule="exact"/>
        <w:rPr>
          <w:rFonts w:ascii="方正仿宋_GBK" w:hAnsi="方正仿宋_GBK" w:eastAsia="方正仿宋_GBK" w:cs="方正仿宋_GBK"/>
          <w:color w:val="000000" w:themeColor="text1"/>
          <w:sz w:val="28"/>
          <w:szCs w:val="28"/>
        </w:rPr>
      </w:pPr>
      <w:r/>
      <w:bookmarkStart w:id="134" w:name="_Toc513029235"/>
      <w:r/>
      <w:bookmarkStart w:id="135" w:name="_Toc20823307"/>
      <w:r/>
      <w:bookmarkStart w:id="136" w:name="_Toc16938551"/>
      <w:r>
        <w:rPr>
          <w:rFonts w:hint="eastAsia" w:ascii="方正仿宋_GBK" w:hAnsi="方正仿宋_GBK" w:eastAsia="方正仿宋_GBK" w:cs="方正仿宋_GBK"/>
          <w:color w:val="000000" w:themeColor="text1"/>
          <w:sz w:val="28"/>
          <w:szCs w:val="28"/>
        </w:rPr>
        <w:t xml:space="preserve">25.1无效投标条款</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 投标人在苏采云系统规定的时间内未成功解密电子投标文件的。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25.1.2 投标人未按照招标文件要求上传电子投标文件的。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25.1.3 投标人同一采购包提交两个（含两个）以上不同的投标报价的。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25.1.4投标人不具备招标文件中规定资格要求的。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25.1.5投标人的报价超过了采购预算或最高限价的。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25.1.6未通过符合性审查的。</w:t>
      </w:r>
      <w:r/>
    </w:p>
    <w:p>
      <w:pPr>
        <w:ind w:firstLine="560"/>
        <w:spacing w:line="400" w:lineRule="exact"/>
        <w:rPr>
          <w:rFonts w:ascii="方正仿宋_GBK" w:hAnsi="方正仿宋_GBK" w:eastAsia="方正仿宋_GBK" w:cs="方正仿宋_GBK"/>
          <w:bCs/>
          <w:i/>
          <w:color w:val="000000" w:themeColor="text1"/>
          <w:sz w:val="28"/>
          <w:szCs w:val="28"/>
          <w:u w:val="single"/>
        </w:rPr>
      </w:pPr>
      <w:r>
        <w:rPr>
          <w:rFonts w:hint="eastAsia" w:ascii="方正仿宋_GBK" w:hAnsi="方正仿宋_GBK" w:eastAsia="方正仿宋_GBK" w:cs="方正仿宋_GBK"/>
          <w:bCs/>
          <w:color w:val="000000" w:themeColor="text1"/>
          <w:sz w:val="28"/>
          <w:szCs w:val="28"/>
        </w:rPr>
        <w:t xml:space="preserve">25.1.7不符合招标文件中规定的实质性要求的</w:t>
      </w:r>
      <w:r>
        <w:rPr>
          <w:rFonts w:hint="eastAsia" w:ascii="方正仿宋_GBK" w:hAnsi="方正仿宋_GBK" w:eastAsia="方正仿宋_GBK" w:cs="方正仿宋_GBK"/>
          <w:b/>
          <w:bCs/>
          <w:color w:val="000000" w:themeColor="text1"/>
          <w:sz w:val="28"/>
          <w:szCs w:val="28"/>
        </w:rPr>
        <w:t xml:space="preserve">（本招标文件中</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或加*号条款为实质性要求）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25.1.8 投标人被 “信用中国”网站（</w:t>
      </w:r>
      <w:r>
        <w:rPr>
          <w:rFonts w:hint="eastAsia" w:eastAsia="方正仿宋_GBK"/>
          <w:color w:val="000000" w:themeColor="text1"/>
          <w:sz w:val="28"/>
          <w:szCs w:val="28"/>
        </w:rPr>
        <w:t xml:space="preserve">www.creditchina.gov.cn</w:t>
      </w:r>
      <w:r>
        <w:rPr>
          <w:rFonts w:hint="eastAsia" w:ascii="方正仿宋_GBK" w:hAnsi="方正仿宋_GBK" w:eastAsia="方正仿宋_GBK" w:cs="方正仿宋_GBK"/>
          <w:color w:val="000000" w:themeColor="text1"/>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25.1.9 投标文件含有采购人不能接受的附加条件的。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25.1.10评标委员会按照本招标文件规定对投标人进行异常低价投标审查后，认为投标人不能证明其报价合理性的。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25.1.11 投标文件未按照招标文件要求加盖CA电子公章的。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25.1.12 投标人所提供的服务不符合招标文件中所列国家强制性标准的。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25.1.13其他法律、法规及本招标文件规定的属无效投标的情形。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25.2废标条款</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25.2.1符合专业条件的供应商或者对招标文件作实质响应的供应商不足三家的。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25.2.2出现影响采购公正的违法、违规行为的。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25.2.3因重大变故，采购任务取消的。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25.2.4评标委员会认定招标文件存在歧义、重大缺陷导致评审工作无法进行。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25.2.5 因苏采云系统故障原因造成开标不成功的。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25.3 投标截止时间结束后参加投标的供应商不足三家的处理：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137" w:name="_Toc120614219"/>
      <w:r>
        <w:rPr>
          <w:rFonts w:hint="eastAsia" w:ascii="方正黑体_GBK" w:hAnsi="方正黑体_GBK" w:eastAsia="方正黑体_GBK" w:cs="方正黑体_GBK"/>
          <w:color w:val="000000" w:themeColor="text1"/>
          <w:sz w:val="28"/>
          <w:szCs w:val="28"/>
        </w:rPr>
        <w:t xml:space="preserve">六、</w:t>
      </w:r>
      <w:bookmarkEnd w:id="134"/>
      <w:r/>
      <w:bookmarkEnd w:id="135"/>
      <w:r/>
      <w:bookmarkEnd w:id="136"/>
      <w:r>
        <w:rPr>
          <w:rFonts w:hint="eastAsia" w:ascii="方正黑体_GBK" w:hAnsi="方正黑体_GBK" w:eastAsia="方正黑体_GBK" w:cs="方正黑体_GBK"/>
          <w:color w:val="000000" w:themeColor="text1"/>
          <w:sz w:val="28"/>
          <w:szCs w:val="28"/>
        </w:rPr>
        <w:t xml:space="preserve">定标</w:t>
      </w:r>
      <w:bookmarkEnd w:id="137"/>
      <w:r/>
      <w:r/>
    </w:p>
    <w:p>
      <w:pPr>
        <w:ind w:firstLine="560"/>
        <w:spacing w:line="400" w:lineRule="exact"/>
        <w:rPr>
          <w:rFonts w:ascii="方正仿宋_GBK" w:hAnsi="方正仿宋_GBK" w:eastAsia="方正仿宋_GBK" w:cs="方正仿宋_GBK"/>
          <w:color w:val="000000" w:themeColor="text1"/>
          <w:sz w:val="28"/>
          <w:szCs w:val="28"/>
        </w:rPr>
      </w:pPr>
      <w:r/>
      <w:bookmarkStart w:id="138" w:name="_Toc513029238"/>
      <w:r/>
      <w:bookmarkStart w:id="139" w:name="_Toc16938554"/>
      <w:r/>
      <w:bookmarkStart w:id="140" w:name="_Toc20823310"/>
      <w:r>
        <w:rPr>
          <w:rFonts w:hint="eastAsia" w:ascii="方正仿宋_GBK" w:hAnsi="方正仿宋_GBK" w:eastAsia="方正仿宋_GBK" w:cs="方正仿宋_GBK"/>
          <w:color w:val="000000" w:themeColor="text1"/>
          <w:sz w:val="28"/>
          <w:szCs w:val="28"/>
        </w:rPr>
        <w:t xml:space="preserve">26</w:t>
      </w:r>
      <w:bookmarkEnd w:id="138"/>
      <w:r>
        <w:rPr>
          <w:rFonts w:hint="eastAsia" w:ascii="方正仿宋_GBK" w:hAnsi="方正仿宋_GBK" w:eastAsia="方正仿宋_GBK" w:cs="方正仿宋_GBK"/>
          <w:color w:val="000000" w:themeColor="text1"/>
          <w:sz w:val="28"/>
          <w:szCs w:val="28"/>
        </w:rPr>
        <w:t xml:space="preserve">.确定</w:t>
      </w:r>
      <w:bookmarkEnd w:id="139"/>
      <w:r/>
      <w:bookmarkEnd w:id="140"/>
      <w:r>
        <w:rPr>
          <w:rFonts w:hint="eastAsia" w:ascii="方正仿宋_GBK" w:hAnsi="方正仿宋_GBK" w:eastAsia="方正仿宋_GBK" w:cs="方正仿宋_GBK"/>
          <w:color w:val="000000" w:themeColor="text1"/>
          <w:sz w:val="28"/>
          <w:szCs w:val="28"/>
        </w:rPr>
        <w:t xml:space="preserve">中标单位</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26.1中标候选人的选取原则和数量见招标文件第五章规定。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26.2采购人应根据评标委员会推荐的中标候选人确定中标供应商。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26.3 采购中心将在“江苏政府采购网”发布中标公告，公告期限为1个工作日。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 若有充分证据证明，中标供应商出现下列情况之一的，一经查实，将被取消中标资格：</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26.4.1提供虚假材料谋取中标的。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26.4.2向采购人、采购中心行贿或者提供其他不正当利益的。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26.4.3属于本文件规定的无效条件，但在评标过程中又未被评标委员会发现的。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26.4.4与采购人或者其他供应商恶意串通的。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26.4.5采取不正当手段诋毁、排挤其他供应商的。</w:t>
      </w:r>
      <w:r/>
    </w:p>
    <w:p>
      <w:pPr>
        <w:ind w:firstLine="560"/>
        <w:spacing w:line="400" w:lineRule="exact"/>
        <w:rPr>
          <w:rFonts w:ascii="方正仿宋_GBK" w:hAnsi="方正仿宋_GBK" w:eastAsia="方正仿宋_GBK" w:cs="方正仿宋_GBK"/>
          <w:color w:val="000000" w:themeColor="text1"/>
          <w:sz w:val="28"/>
          <w:szCs w:val="28"/>
        </w:rPr>
      </w:pPr>
      <w:r/>
      <w:bookmarkStart w:id="141" w:name="_Toc200451960"/>
      <w:r>
        <w:rPr>
          <w:rFonts w:hint="eastAsia" w:ascii="方正仿宋_GBK" w:hAnsi="方正仿宋_GBK" w:eastAsia="方正仿宋_GBK" w:cs="方正仿宋_GBK"/>
          <w:color w:val="000000" w:themeColor="text1"/>
          <w:sz w:val="28"/>
          <w:szCs w:val="28"/>
        </w:rPr>
        <w:t xml:space="preserve">26.5有下列情形之一的，视为投标人串通投标，投标无效：</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26.5.1不同投标人的投标文件由同一单位或者个人编制。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26.5.2不同投标人委托同一单位或者个人办理投标事宜。</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26.5.3 不同投标人的投标文件载明的项目管理成员或者联系人员为同一人。</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26.5.4不同投标人的投标文件异常一致或者投标报价呈规律性差异。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27.质疑处理</w:t>
      </w:r>
      <w:bookmarkEnd w:id="141"/>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27.1 提出质疑的供应商应当是参与所质疑项目采购活动的供应商。潜在供应商依法获取其可质疑的采购文件的，可以对采购文件提出质疑。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27.2.1对可以质疑的采购文件提出质疑的，为收到采购文件之日或者采购文件公告期限届满之日；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27.2.2对采购过程提出质疑的，为各采购程序环节结束之日；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27.2.3对中标或者成交结果提出质疑的，为中标或者成交结果公告期限届满之日。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采购人质疑接收人及联系方式见招标文件第一章。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 以下情形的质疑不予受理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27.5.1 内容不符合《政府采购质疑和投诉办法》第十二条规定的质疑。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27.5.2 超出政府采购法定期限的质疑。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27.5.3 以传真、电子邮件等方式递交的非原件形式的质疑。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27.5.4 未参加投标活动的供应商或在投标活动中自身权益未受到损害的供应商所提出的质疑。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27.5.5供应商组成联合体参加投标，联合体中任何一方或多方未按要</w:t>
      </w:r>
      <w:r>
        <w:rPr>
          <w:rFonts w:hint="eastAsia" w:ascii="方正仿宋_GBK" w:hAnsi="方正仿宋_GBK" w:eastAsia="方正仿宋_GBK" w:cs="方正仿宋_GBK"/>
          <w:color w:val="000000" w:themeColor="text1"/>
          <w:sz w:val="28"/>
          <w:szCs w:val="28"/>
        </w:rPr>
        <w:t xml:space="preserve">求签字、盖章、加盖公章的质疑。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28.中标通知书</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142" w:name="_Toc120614220"/>
      <w:r/>
      <w:bookmarkStart w:id="143" w:name="_Toc16938552"/>
      <w:r/>
      <w:bookmarkStart w:id="144" w:name="_Toc20823308"/>
      <w:r/>
      <w:bookmarkStart w:id="145" w:name="_Toc513029236"/>
      <w:r>
        <w:rPr>
          <w:rFonts w:hint="eastAsia" w:ascii="方正黑体_GBK" w:hAnsi="方正黑体_GBK" w:eastAsia="方正黑体_GBK" w:cs="方正黑体_GBK"/>
          <w:color w:val="000000" w:themeColor="text1"/>
          <w:sz w:val="28"/>
          <w:szCs w:val="28"/>
        </w:rPr>
        <w:t xml:space="preserve">七、授予合同</w:t>
      </w:r>
      <w:bookmarkEnd w:id="142"/>
      <w:r/>
      <w:r/>
    </w:p>
    <w:p>
      <w:pPr>
        <w:ind w:firstLine="560"/>
        <w:spacing w:line="400" w:lineRule="exact"/>
        <w:rPr>
          <w:rFonts w:ascii="方正仿宋_GBK" w:hAnsi="方正仿宋_GBK" w:eastAsia="方正仿宋_GBK" w:cs="方正仿宋_GBK"/>
          <w:color w:val="000000" w:themeColor="text1"/>
          <w:sz w:val="28"/>
          <w:szCs w:val="28"/>
        </w:rPr>
      </w:pPr>
      <w:r/>
      <w:bookmarkStart w:id="146" w:name="_Toc513029237"/>
      <w:r/>
      <w:bookmarkStart w:id="147" w:name="_Toc20823309"/>
      <w:r/>
      <w:bookmarkStart w:id="148" w:name="_Toc16938553"/>
      <w:r/>
      <w:bookmarkEnd w:id="143"/>
      <w:r/>
      <w:bookmarkEnd w:id="144"/>
      <w:r/>
      <w:bookmarkEnd w:id="145"/>
      <w:r>
        <w:rPr>
          <w:rFonts w:hint="eastAsia" w:ascii="方正仿宋_GBK" w:hAnsi="方正仿宋_GBK" w:eastAsia="方正仿宋_GBK" w:cs="方正仿宋_GBK"/>
          <w:color w:val="000000" w:themeColor="text1"/>
          <w:sz w:val="28"/>
          <w:szCs w:val="28"/>
        </w:rPr>
        <w:t xml:space="preserve">29.签订合同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29.l中标供应商应当在中标通知书发出之日起三十日内，按照招标文件确定的事项与采购人签订政府采购合同。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29.2 招标文件、中标供应商的投标文件及招标过程中有关澄清、承诺文件均应作为合同附件。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30.服务（包含与服务相关的货物）的追加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firstLine="560"/>
        <w:spacing w:line="400" w:lineRule="exact"/>
        <w:rPr>
          <w:rFonts w:ascii="方正仿宋_GBK" w:hAnsi="方正仿宋_GBK" w:eastAsia="方正仿宋_GBK" w:cs="方正仿宋_GBK"/>
          <w:color w:val="000000" w:themeColor="text1"/>
          <w:sz w:val="28"/>
          <w:szCs w:val="28"/>
        </w:rPr>
      </w:pPr>
      <w:r/>
      <w:bookmarkStart w:id="149" w:name="_Toc479757207"/>
      <w:r/>
      <w:bookmarkStart w:id="150" w:name="_Toc20823314"/>
      <w:r/>
      <w:bookmarkStart w:id="151" w:name="_Toc513029242"/>
      <w:r/>
      <w:bookmarkStart w:id="152" w:name="_Toc16938558"/>
      <w:r/>
      <w:bookmarkStart w:id="153" w:name="_Toc120614221"/>
      <w:r/>
      <w:bookmarkEnd w:id="146"/>
      <w:r/>
      <w:bookmarkEnd w:id="147"/>
      <w:r/>
      <w:bookmarkEnd w:id="148"/>
      <w:r>
        <w:rPr>
          <w:rFonts w:hint="eastAsia" w:ascii="方正仿宋_GBK" w:hAnsi="方正仿宋_GBK" w:eastAsia="方正仿宋_GBK" w:cs="方正仿宋_GBK"/>
          <w:color w:val="000000" w:themeColor="text1"/>
          <w:sz w:val="28"/>
          <w:szCs w:val="28"/>
        </w:rPr>
        <w:t xml:space="preserve">31.政府采购履约资金扶持政策</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中标供应商可凭政府采购合同办理融资贷款，详情请见江苏政府采购网“政采贷”专栏。</w:t>
      </w:r>
      <w:r/>
    </w:p>
    <w:p>
      <w:pPr>
        <w:pStyle w:val="787"/>
        <w:ind w:firstLine="0"/>
        <w:spacing w:line="400" w:lineRule="exact"/>
        <w:rPr>
          <w:rFonts w:ascii="宋体" w:hAnsi="宋体"/>
          <w:bCs/>
          <w:color w:val="000000" w:themeColor="text1"/>
          <w:sz w:val="24"/>
        </w:rPr>
      </w:pPr>
      <w:r>
        <w:rPr>
          <w:rFonts w:ascii="宋体" w:hAnsi="宋体"/>
          <w:bCs/>
          <w:color w:val="000000" w:themeColor="text1"/>
          <w:sz w:val="24"/>
        </w:rPr>
      </w:r>
      <w:r/>
    </w:p>
    <w:p>
      <w:pPr>
        <w:ind w:right="839"/>
        <w:jc w:val="center"/>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第三章  合同</w:t>
      </w:r>
      <w:bookmarkEnd w:id="149"/>
      <w:r/>
      <w:bookmarkEnd w:id="150"/>
      <w:r/>
      <w:bookmarkEnd w:id="151"/>
      <w:r/>
      <w:bookmarkEnd w:id="152"/>
      <w:r/>
      <w:bookmarkEnd w:id="153"/>
      <w:r>
        <w:rPr>
          <w:rFonts w:hint="eastAsia" w:ascii="方正黑体_GBK" w:hAnsi="方正黑体_GBK" w:eastAsia="方正黑体_GBK" w:cs="方正黑体_GBK"/>
          <w:color w:val="000000" w:themeColor="text1"/>
          <w:sz w:val="28"/>
          <w:szCs w:val="28"/>
        </w:rPr>
        <w:t xml:space="preserve">文本</w:t>
      </w:r>
      <w:r/>
    </w:p>
    <w:p>
      <w:pPr>
        <w:ind w:firstLine="560"/>
        <w:spacing w:line="400" w:lineRule="exact"/>
        <w:rPr>
          <w:rFonts w:ascii="方正仿宋_GBK" w:hAnsi="方正仿宋_GBK" w:eastAsia="方正仿宋_GBK" w:cs="方正仿宋_GBK"/>
          <w:bCs/>
          <w:color w:val="000000" w:themeColor="text1"/>
          <w:sz w:val="28"/>
          <w:szCs w:val="28"/>
          <w:highlight w:val="yellow"/>
        </w:rPr>
      </w:pPr>
      <w:r/>
      <w:bookmarkStart w:id="154" w:name="_Toc16938559"/>
      <w:r/>
      <w:bookmarkStart w:id="155" w:name="_Toc20823315"/>
      <w:r/>
      <w:bookmarkStart w:id="156" w:name="_Toc513029243"/>
      <w:r/>
      <w:r/>
    </w:p>
    <w:p>
      <w:pPr>
        <w:pStyle w:val="794"/>
        <w:jc w:val="center"/>
        <w:spacing w:line="400" w:lineRule="exact"/>
        <w:rPr>
          <w:rFonts w:ascii="方正黑体_GBK" w:hAnsi="方正黑体_GBK" w:eastAsia="方正黑体_GBK" w:cs="方正黑体_GBK"/>
          <w:color w:val="000000" w:themeColor="text1"/>
          <w:spacing w:val="-20"/>
        </w:rPr>
      </w:pPr>
      <w:r>
        <w:rPr>
          <w:rFonts w:ascii="方正黑体_GBK" w:hAnsi="方正黑体_GBK" w:eastAsia="方正黑体_GBK" w:cs="方正黑体_GBK"/>
          <w:color w:val="000000" w:themeColor="text1"/>
          <w:spacing w:val="-20"/>
        </w:rPr>
      </w:r>
      <w:r/>
    </w:p>
    <w:p>
      <w:pPr>
        <w:pStyle w:val="794"/>
        <w:jc w:val="center"/>
        <w:spacing w:line="400" w:lineRule="exact"/>
        <w:rPr>
          <w:rFonts w:ascii="方正黑体_GBK" w:hAnsi="方正黑体_GBK" w:eastAsia="方正黑体_GBK" w:cs="方正黑体_GBK"/>
          <w:color w:val="000000" w:themeColor="text1"/>
          <w:spacing w:val="-20"/>
        </w:rPr>
      </w:pPr>
      <w:r>
        <w:rPr>
          <w:rFonts w:hint="eastAsia" w:ascii="方正黑体_GBK" w:hAnsi="方正黑体_GBK" w:eastAsia="方正黑体_GBK" w:cs="方正黑体_GBK"/>
          <w:color w:val="000000" w:themeColor="text1"/>
          <w:spacing w:val="-20"/>
        </w:rPr>
        <w:t xml:space="preserve">江苏省政府采购合同（服务）（合同编号）</w:t>
      </w:r>
      <w:r/>
    </w:p>
    <w:p>
      <w:pPr>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项目名称：</w:t>
      </w:r>
      <w:r>
        <w:rPr>
          <w:rFonts w:eastAsia="方正仿宋_GBK"/>
          <w:color w:val="000000" w:themeColor="text1"/>
          <w:sz w:val="28"/>
          <w:szCs w:val="28"/>
        </w:rPr>
        <w:t xml:space="preserve">XXXX </w:t>
      </w:r>
      <w:r>
        <w:rPr>
          <w:rFonts w:hint="eastAsia" w:ascii="方正仿宋_GBK" w:hAnsi="方正仿宋_GBK" w:eastAsia="方正仿宋_GBK" w:cs="方正仿宋_GBK"/>
          <w:color w:val="000000" w:themeColor="text1"/>
          <w:sz w:val="28"/>
          <w:szCs w:val="28"/>
        </w:rPr>
        <w:t xml:space="preserve">                  </w:t>
      </w:r>
      <w:r/>
    </w:p>
    <w:p>
      <w:pPr>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采购编号：</w:t>
      </w:r>
      <w:r>
        <w:rPr>
          <w:rFonts w:hint="eastAsia" w:eastAsia="方正仿宋_GBK"/>
          <w:color w:val="000000" w:themeColor="text1"/>
          <w:sz w:val="28"/>
          <w:szCs w:val="28"/>
        </w:rPr>
        <w:t xml:space="preserve">JSZC-320000-SCZX-G20XX-XXXX     </w:t>
      </w:r>
      <w:r>
        <w:rPr>
          <w:rFonts w:hint="eastAsia" w:ascii="方正仿宋_GBK" w:hAnsi="方正仿宋_GBK" w:eastAsia="方正仿宋_GBK" w:cs="方正仿宋_GBK"/>
          <w:color w:val="000000" w:themeColor="text1"/>
          <w:sz w:val="28"/>
          <w:szCs w:val="28"/>
        </w:rPr>
        <w:t xml:space="preserve">         </w:t>
      </w:r>
      <w:r/>
    </w:p>
    <w:p>
      <w:pPr>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rPr>
          <w:rFonts w:hint="eastAsia" w:eastAsia="方正仿宋_GBK"/>
          <w:color w:val="000000" w:themeColor="text1"/>
          <w:sz w:val="28"/>
          <w:szCs w:val="28"/>
        </w:rPr>
        <w:t xml:space="preserve">XX</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甲方：（买方/采购人）_________</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乙方：（卖方/中标供应商）_________</w:t>
      </w:r>
      <w:r/>
    </w:p>
    <w:p>
      <w:pPr>
        <w:pStyle w:val="800"/>
        <w:ind w:firstLine="560"/>
        <w:spacing w:before="120" w:after="120"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color w:val="000000" w:themeColor="text1"/>
          <w:sz w:val="28"/>
          <w:szCs w:val="28"/>
        </w:rPr>
        <w:t xml:space="preserve">甲、乙双方根据江苏省政府采购中心</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项目公开招标的结果，签署本合同。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一、合同内容</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 标的名称：</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1.2标的质量：</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1.3 标的数量（规模）：</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 履行时间（期限）：</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1.5 履行地点：</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1.6 履行方式：</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二、合同金额</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 本合同金额为（大写）：________圆（________元）人民币或其他币种。</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三、技术资料</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3.1乙方应按招标文件规定的时间向甲方提供服务（包含与服务相关的货物）的有关技术资料。</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四、知识产权</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五、产权担保</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5.1 乙方保证所交付的服务（包含与服务相关的货物）的所有权完全属于乙方且无任何抵押、查封等产权瑕疵。</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六、履约保证金</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6.1 乙方交纳人民币</w:t>
      </w:r>
      <w:r>
        <w:rPr>
          <w:rFonts w:hint="eastAsia" w:ascii="方正仿宋_GBK" w:hAnsi="方正仿宋_GBK" w:eastAsia="方正仿宋_GBK" w:cs="方正仿宋_GBK"/>
          <w:color w:val="000000" w:themeColor="text1"/>
          <w:sz w:val="28"/>
          <w:szCs w:val="28"/>
          <w:u w:val="single"/>
        </w:rPr>
        <w:t xml:space="preserve">20万元</w:t>
      </w:r>
      <w:r>
        <w:rPr>
          <w:rFonts w:hint="eastAsia" w:ascii="方正仿宋_GBK" w:hAnsi="方正仿宋_GBK" w:eastAsia="方正仿宋_GBK" w:cs="方正仿宋_GBK"/>
          <w:color w:val="000000" w:themeColor="text1"/>
          <w:sz w:val="28"/>
          <w:szCs w:val="28"/>
        </w:rPr>
        <w:t xml:space="preserve">作为本合同的履约保证金。（不得超过合同金额的10%）履约保证金应当以支票、汇票、本票或者金融机构出具的保函等非现金形式提交。</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6.2合同履行结束后，甲方应及时退还交纳的履约保证金。</w:t>
      </w:r>
      <w:r/>
    </w:p>
    <w:p>
      <w:pPr>
        <w:ind w:firstLine="840"/>
        <w:spacing w:line="400" w:lineRule="exact"/>
        <w:rPr>
          <w:rFonts w:ascii="方正仿宋_GBK" w:hAnsi="宋体" w:eastAsia="方正仿宋_GBK" w:cs="宋体"/>
          <w:color w:val="000000" w:themeColor="text1"/>
          <w:sz w:val="28"/>
          <w:szCs w:val="28"/>
        </w:rPr>
      </w:pPr>
      <w:r>
        <w:rPr>
          <w:rFonts w:hint="eastAsia" w:ascii="方正仿宋_GBK" w:hAnsi="宋体" w:eastAsia="方正仿宋_GBK" w:cs="宋体"/>
          <w:color w:val="000000" w:themeColor="text1"/>
          <w:sz w:val="28"/>
          <w:szCs w:val="28"/>
        </w:rPr>
        <w:t xml:space="preserve">本次委托管理服务结束时，中标人全部履约合同义务，并与接管企业完成交接手续后，采购人在验收合格后一次性不计息退还履约保证金；如因中标人管理不善而造成设施、设备损坏，可以修复的扣除维修费后其余保证金退还给中标人，无法修复的按其原价扣除后退还给中标人，以保证设施和设备的完好率。</w:t>
      </w:r>
      <w:r/>
    </w:p>
    <w:p>
      <w:pPr>
        <w:ind w:firstLine="840"/>
        <w:spacing w:line="400" w:lineRule="exact"/>
        <w:rPr>
          <w:rFonts w:ascii="方正仿宋_GBK" w:hAnsi="方正仿宋_GBK" w:eastAsia="方正仿宋_GBK" w:cs="方正仿宋_GBK"/>
          <w:color w:val="000000" w:themeColor="text1"/>
          <w:sz w:val="28"/>
          <w:szCs w:val="28"/>
        </w:rPr>
      </w:pPr>
      <w:r>
        <w:rPr>
          <w:rFonts w:hint="eastAsia" w:ascii="方正仿宋_GBK" w:hAnsi="宋体" w:eastAsia="方正仿宋_GBK" w:cs="宋体"/>
          <w:color w:val="000000" w:themeColor="text1"/>
          <w:sz w:val="28"/>
          <w:szCs w:val="28"/>
        </w:rPr>
        <w:t xml:space="preserve">由于中标人原因，在签订合同后出现不按合同履行的情况，采购人有权将履约保证金作为违约金，全额不予退还，同时采购人亦有权终止合同，中标人还须承担相应的法律赔偿责任。</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七、合同转包或分包</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7.1乙方不得将合同标的转包给他人履行。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7.2乙方不得将合同标的分包给他人履行。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7.3乙方如有转包或未经甲方同意的分包行为，甲方有权解除合同。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八、合同款项支付</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8.1合同款项的支付方式及进度安排</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仿宋_GBK" w:hAnsi="宋体" w:eastAsia="方正仿宋_GBK" w:cs="宋体"/>
          <w:color w:val="000000" w:themeColor="text1"/>
          <w:sz w:val="28"/>
          <w:szCs w:val="28"/>
        </w:rPr>
        <w:t xml:space="preserve">采购人根据对中标人的考核情况，每两个月向中标人支付合同费用。中标人收到采购人付款通知后，应开具税务部门认可的增值税普通发票，采购人在收到中标人开具的税务部门认可的增值税普通发票后，15个工作日内按发票金额支付费用给中标人，特殊情况除外。如中标人未按时提供税务部门认可的增值税普通发票，则采购人付款的时间可相应顺延。如因中标人提供的票据不符合相关要求，给采购人造成的一切损失由中</w:t>
      </w:r>
      <w:r>
        <w:rPr>
          <w:rFonts w:hint="eastAsia" w:ascii="方正仿宋_GBK" w:hAnsi="宋体" w:eastAsia="方正仿宋_GBK" w:cs="宋体"/>
          <w:color w:val="000000" w:themeColor="text1"/>
          <w:sz w:val="28"/>
          <w:szCs w:val="28"/>
        </w:rPr>
        <w:t xml:space="preserve">标人承担。</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九、税费</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9.1本合同执行中相关的一切税费均由乙方负担。</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十、项目验收</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10.1 甲方依法组织履约验收工作。</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10.3 对于实际使用人和甲方分离的项目，甲方邀请实际使用人参与验收。</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10.4 如有必要，甲方邀请参加本项目的其他供应商或第三方专业机构及专家参与验收，相关意见将作为验收书的参考资料。</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十一、违约责任</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11.1 甲方无正当理由拒绝接受乙方提供服务的，甲方向乙方偿付拒绝接受服务合同价款总值</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u w:val="single"/>
        </w:rPr>
        <w:t xml:space="preserve">%</w:t>
      </w:r>
      <w:r>
        <w:rPr>
          <w:rFonts w:hint="eastAsia" w:ascii="方正仿宋_GBK" w:hAnsi="方正仿宋_GBK" w:eastAsia="方正仿宋_GBK" w:cs="方正仿宋_GBK"/>
          <w:color w:val="000000" w:themeColor="text1"/>
          <w:sz w:val="28"/>
          <w:szCs w:val="28"/>
        </w:rPr>
        <w:t xml:space="preserve">的违约金。</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11.2 甲方无故逾期验收和办理合同款项支付手续的,甲方应按逾期付款总额</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u w:val="single"/>
        </w:rPr>
        <w:t xml:space="preserve">%</w:t>
      </w:r>
      <w:r>
        <w:rPr>
          <w:rFonts w:hint="eastAsia" w:ascii="方正仿宋_GBK" w:hAnsi="方正仿宋_GBK" w:eastAsia="方正仿宋_GBK" w:cs="方正仿宋_GBK"/>
          <w:color w:val="000000" w:themeColor="text1"/>
          <w:sz w:val="28"/>
          <w:szCs w:val="28"/>
        </w:rPr>
        <w:t xml:space="preserve">每日向乙方支付违约金。</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11.3 乙方逾期提供服务的，乙方应按逾期提供服务合同总额每日千分之六向甲方支付违约金，由甲方从待付合同款项中扣除。逾期超过约</w:t>
      </w:r>
      <w:r>
        <w:rPr>
          <w:rFonts w:hint="eastAsia" w:ascii="方正仿宋_GBK" w:hAnsi="方正仿宋_GBK" w:eastAsia="方正仿宋_GBK" w:cs="方正仿宋_GBK"/>
          <w:color w:val="000000" w:themeColor="text1"/>
          <w:sz w:val="28"/>
          <w:szCs w:val="28"/>
        </w:rPr>
        <w:t xml:space="preserve">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u w:val="single"/>
        </w:rPr>
        <w:t xml:space="preserve">%</w:t>
      </w:r>
      <w:r>
        <w:rPr>
          <w:rFonts w:hint="eastAsia" w:ascii="方正仿宋_GBK" w:hAnsi="方正仿宋_GBK" w:eastAsia="方正仿宋_GBK" w:cs="方正仿宋_GBK"/>
          <w:color w:val="000000" w:themeColor="text1"/>
          <w:sz w:val="28"/>
          <w:szCs w:val="28"/>
        </w:rPr>
        <w:t xml:space="preserve">的违约金，如造成甲方损失超过违约金的，超出部分由乙方继续承担赔偿责任。 </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11.4 乙方所提供服务的标准不符合合同规定及招标文件规定标准的，甲方有权拒绝接受服务，并可单方面解除合同。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十二、不可抗力事件处理</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12.1 在合同有效期内，任何一方因不可抗力事件导致不能履行合同，则合同履行期可延长，其延长期与不可抗力影响 期相同。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12.2 不可抗力事件发生后，应立即通知对方，并寄送有关权威机构出具的证明。</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12.3 不可抗力事件延续120天以上，双方应通过友好协商，确定是否继续履行合同。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十三、解决争议的方法</w:t>
      </w:r>
      <w:r/>
    </w:p>
    <w:p>
      <w:pPr>
        <w:pStyle w:val="800"/>
        <w:ind w:firstLine="560"/>
        <w:spacing w:before="120" w:after="120" w:line="400" w:lineRule="exact"/>
        <w:rPr>
          <w:rFonts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13.1双方在签订、履行合同中所发生的一切争议，应通过友好协商解决。如协商不成，由甲方住所地人民法院管辖。</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十四、合同生效及其它</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14.1 合同经双方法定代表人或授权委托代表人签字并加盖单位公章后生效。</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14.2本合同未尽事宜，遵照中华人民共和国现行法律法规有关条文执行。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14.3 本合同正本一式两份，具有同等法律效力，甲方、乙方各执一份。</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甲方：                        乙方： </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地址：                        地址： </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法定代表人或授权代表：        法定代表人或授权代表：</w:t>
      </w:r>
      <w:r/>
    </w:p>
    <w:p>
      <w:pPr>
        <w:pStyle w:val="800"/>
        <w:ind w:firstLine="560"/>
        <w:spacing w:before="120" w:after="120" w:line="400" w:lineRule="exact"/>
        <w:rPr>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联系电话：                    联系电话：    </w:t>
      </w:r>
      <w:r>
        <w:rPr>
          <w:rFonts w:hint="eastAsia" w:hAnsi="宋体"/>
          <w:color w:val="000000" w:themeColor="text1"/>
          <w:sz w:val="28"/>
          <w:szCs w:val="28"/>
        </w:rPr>
        <w:t xml:space="preserve">      </w:t>
      </w:r>
      <w:r/>
    </w:p>
    <w:p>
      <w:pPr>
        <w:pStyle w:val="800"/>
        <w:jc w:val="center"/>
        <w:spacing w:before="120" w:after="120" w:line="400" w:lineRule="exact"/>
        <w:rPr>
          <w:color w:val="000000" w:themeColor="text1"/>
          <w:sz w:val="28"/>
          <w:szCs w:val="28"/>
        </w:rPr>
      </w:pPr>
      <w:r>
        <w:rPr>
          <w:rFonts w:hint="eastAsia"/>
          <w:color w:val="000000" w:themeColor="text1"/>
          <w:sz w:val="28"/>
          <w:szCs w:val="28"/>
        </w:rPr>
        <w:t xml:space="preserve">                                         </w:t>
      </w:r>
      <w:r/>
    </w:p>
    <w:p>
      <w:pPr>
        <w:pStyle w:val="800"/>
        <w:jc w:val="center"/>
        <w:spacing w:before="120" w:after="120" w:line="400" w:lineRule="exact"/>
        <w:rPr>
          <w:color w:val="000000" w:themeColor="text1"/>
          <w:sz w:val="28"/>
          <w:szCs w:val="28"/>
        </w:rPr>
      </w:pPr>
      <w:r>
        <w:rPr>
          <w:rFonts w:hint="eastAsia" w:ascii="方正仿宋_GBK" w:hAnsi="方正仿宋_GBK" w:eastAsia="方正仿宋_GBK" w:cs="方正仿宋_GBK"/>
          <w:color w:val="000000" w:themeColor="text1"/>
          <w:sz w:val="28"/>
          <w:szCs w:val="28"/>
        </w:rPr>
        <w:t xml:space="preserve">                         </w:t>
      </w:r>
      <w:r>
        <w:rPr>
          <w:rFonts w:hint="eastAsia" w:ascii="方正仿宋_GBK" w:hAnsi="方正仿宋_GBK" w:eastAsia="方正仿宋_GBK" w:cs="方正仿宋_GBK"/>
          <w:color w:val="000000" w:themeColor="text1"/>
          <w:sz w:val="28"/>
          <w:szCs w:val="28"/>
        </w:rPr>
        <w:t xml:space="preserve">签订日期：</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年</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月</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日</w:t>
      </w:r>
      <w:bookmarkStart w:id="157" w:name="_Hlt16619369"/>
      <w:r/>
      <w:bookmarkStart w:id="158" w:name="_Hlt16619350"/>
      <w:r/>
      <w:bookmarkStart w:id="159" w:name="_Toc16938590"/>
      <w:r/>
      <w:bookmarkStart w:id="160" w:name="_Toc120614244"/>
      <w:r/>
      <w:bookmarkStart w:id="161" w:name="_Toc20823346"/>
      <w:r/>
      <w:bookmarkStart w:id="162" w:name="_Toc479757211"/>
      <w:r/>
      <w:bookmarkStart w:id="163" w:name="_Toc462564139"/>
      <w:r/>
      <w:bookmarkEnd w:id="154"/>
      <w:r/>
      <w:bookmarkEnd w:id="155"/>
      <w:r/>
      <w:bookmarkEnd w:id="156"/>
      <w:r/>
      <w:bookmarkEnd w:id="157"/>
      <w:r>
        <w:rPr>
          <w:rFonts w:ascii="黑体" w:eastAsia="黑体"/>
          <w:bCs/>
          <w:color w:val="000000" w:themeColor="text1"/>
          <w:sz w:val="28"/>
          <w:szCs w:val="28"/>
        </w:rPr>
        <w:br w:type="page" w:clear="all"/>
      </w:r>
      <w:r>
        <w:rPr>
          <w:rFonts w:hint="eastAsia" w:ascii="方正黑体_GBK" w:hAnsi="方正黑体_GBK" w:eastAsia="方正黑体_GBK" w:cs="方正黑体_GBK"/>
          <w:color w:val="000000" w:themeColor="text1"/>
          <w:sz w:val="28"/>
          <w:szCs w:val="28"/>
        </w:rPr>
        <w:t xml:space="preserve">第</w:t>
      </w:r>
      <w:bookmarkEnd w:id="158"/>
      <w:r>
        <w:rPr>
          <w:rFonts w:hint="eastAsia" w:ascii="方正黑体_GBK" w:hAnsi="方正黑体_GBK" w:eastAsia="方正黑体_GBK" w:cs="方正黑体_GBK"/>
          <w:color w:val="000000" w:themeColor="text1"/>
          <w:sz w:val="28"/>
          <w:szCs w:val="28"/>
        </w:rPr>
        <w:t xml:space="preserve">四章 采购需求</w:t>
      </w:r>
      <w:bookmarkEnd w:id="159"/>
      <w:r/>
      <w:bookmarkEnd w:id="160"/>
      <w:r/>
      <w:bookmarkEnd w:id="161"/>
      <w:r/>
      <w:r/>
    </w:p>
    <w:p>
      <w:pPr>
        <w:ind w:firstLine="562"/>
        <w:jc w:val="left"/>
        <w:spacing w:line="440" w:lineRule="exact"/>
        <w:rPr>
          <w:rFonts w:ascii="宋体" w:hAnsi="宋体"/>
          <w:b/>
          <w:bCs/>
          <w:color w:val="000000" w:themeColor="text1"/>
          <w:sz w:val="28"/>
          <w:szCs w:val="28"/>
        </w:rPr>
      </w:pPr>
      <w:r/>
      <w:bookmarkStart w:id="164" w:name="_Toc49090575"/>
      <w:r/>
      <w:bookmarkStart w:id="165" w:name="_Toc26554093"/>
      <w:r>
        <w:rPr>
          <w:rFonts w:hint="eastAsia" w:ascii="宋体" w:hAnsi="宋体" w:cs="宋体"/>
          <w:b/>
          <w:bCs/>
          <w:color w:val="000000" w:themeColor="text1"/>
          <w:sz w:val="28"/>
          <w:szCs w:val="28"/>
        </w:rPr>
        <w:t xml:space="preserve">一、采购项目概况</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（一）项目范围</w:t>
      </w: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江苏信息职业技术技术学院位于无锡市惠山区钱藕路1号，学院占地近</w:t>
      </w:r>
      <w:r>
        <w:rPr>
          <w:rFonts w:ascii="宋体" w:hAnsi="宋体" w:cs="宋体"/>
          <w:color w:val="000000" w:themeColor="text1"/>
          <w:sz w:val="28"/>
          <w:szCs w:val="28"/>
        </w:rPr>
        <w:t xml:space="preserve">1000</w:t>
      </w:r>
      <w:r>
        <w:rPr>
          <w:rFonts w:hint="eastAsia" w:ascii="宋体" w:hAnsi="宋体" w:cs="宋体"/>
          <w:color w:val="000000" w:themeColor="text1"/>
          <w:sz w:val="28"/>
          <w:szCs w:val="28"/>
        </w:rPr>
        <w:t xml:space="preserve">亩，建筑面积25万余平方米。</w:t>
      </w:r>
      <w:r/>
    </w:p>
    <w:p>
      <w:pPr>
        <w:ind w:firstLine="562"/>
        <w:jc w:val="left"/>
        <w:spacing w:line="440" w:lineRule="exact"/>
        <w:rPr>
          <w:rFonts w:ascii="宋体" w:hAnsi="宋体" w:cs="宋体"/>
          <w:color w:val="000000" w:themeColor="text1"/>
          <w:sz w:val="28"/>
          <w:szCs w:val="28"/>
        </w:rPr>
      </w:pPr>
      <w:r>
        <w:rPr>
          <w:rFonts w:hint="eastAsia" w:ascii="宋体" w:hAnsi="宋体" w:cs="宋体"/>
          <w:b/>
          <w:bCs/>
          <w:color w:val="000000" w:themeColor="text1"/>
          <w:sz w:val="28"/>
          <w:szCs w:val="28"/>
        </w:rPr>
        <w:t xml:space="preserve">（二）项目</w:t>
      </w:r>
      <w:r>
        <w:rPr>
          <w:rFonts w:hint="eastAsia" w:ascii="宋体" w:hAnsi="宋体" w:cs="宋体"/>
          <w:b/>
          <w:bCs/>
          <w:color w:val="000000" w:themeColor="text1"/>
          <w:sz w:val="28"/>
          <w:szCs w:val="28"/>
        </w:rPr>
        <w:t xml:space="preserve">简介</w:t>
      </w:r>
      <w:r>
        <w:rPr>
          <w:rFonts w:hint="eastAsia" w:ascii="宋体" w:hAnsi="宋体" w:cs="宋体"/>
          <w:b/>
          <w:bCs/>
          <w:color w:val="000000" w:themeColor="text1"/>
          <w:sz w:val="28"/>
          <w:szCs w:val="28"/>
        </w:rPr>
        <w:t xml:space="preserve">：</w:t>
      </w:r>
      <w:r>
        <w:rPr>
          <w:rFonts w:hint="eastAsia" w:ascii="宋体" w:hAnsi="宋体" w:cs="宋体"/>
          <w:bCs/>
          <w:color w:val="000000" w:themeColor="text1"/>
          <w:sz w:val="28"/>
          <w:szCs w:val="28"/>
        </w:rPr>
        <w:t xml:space="preserve"> </w:t>
      </w:r>
      <w:r/>
    </w:p>
    <w:p>
      <w:pPr>
        <w:ind w:firstLine="560"/>
        <w:jc w:val="left"/>
        <w:spacing w:line="440" w:lineRule="exact"/>
        <w:rPr>
          <w:rFonts w:ascii="宋体" w:hAnsi="宋体" w:cs="黑体"/>
          <w:color w:val="000000" w:themeColor="text1"/>
          <w:sz w:val="28"/>
          <w:szCs w:val="28"/>
          <w:lang w:val="zh-CN"/>
        </w:rPr>
      </w:pPr>
      <w:r>
        <w:rPr>
          <w:rFonts w:hint="eastAsia" w:ascii="宋体" w:hAnsi="宋体" w:cs="黑体"/>
          <w:color w:val="000000" w:themeColor="text1"/>
          <w:sz w:val="28"/>
          <w:szCs w:val="28"/>
          <w:lang w:val="zh-CN"/>
        </w:rPr>
        <w:t xml:space="preserve">学生公寓物业项目，主要包括学生公寓门厅管理、环境保洁及宿舍卫生检查等。</w:t>
      </w:r>
      <w:r/>
    </w:p>
    <w:p>
      <w:pPr>
        <w:pStyle w:val="800"/>
        <w:ind w:firstLine="562"/>
        <w:spacing w:before="120" w:after="120" w:line="400" w:lineRule="exact"/>
        <w:rPr>
          <w:rFonts w:ascii="方正黑体_GBK" w:hAnsi="方正黑体_GBK" w:eastAsia="方正黑体_GBK" w:cs="方正黑体_GBK"/>
          <w:bCs/>
          <w:color w:val="000000" w:themeColor="text1"/>
          <w:sz w:val="28"/>
          <w:szCs w:val="28"/>
        </w:rPr>
      </w:pPr>
      <w:r>
        <w:rPr>
          <w:rFonts w:hint="eastAsia" w:hAnsi="宋体" w:cs="宋体"/>
          <w:b/>
          <w:bCs/>
          <w:color w:val="000000" w:themeColor="text1"/>
          <w:sz w:val="28"/>
          <w:szCs w:val="28"/>
        </w:rPr>
        <w:t xml:space="preserve">（三）</w:t>
      </w:r>
      <w:r>
        <w:rPr>
          <w:rFonts w:hint="eastAsia" w:ascii="方正黑体_GBK" w:hAnsi="方正黑体_GBK" w:eastAsia="方正黑体_GBK" w:cs="方正黑体_GBK"/>
          <w:bCs/>
          <w:color w:val="000000" w:themeColor="text1"/>
          <w:sz w:val="28"/>
          <w:szCs w:val="28"/>
        </w:rPr>
        <w:t xml:space="preserve">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6"/>
        <w:gridCol w:w="4156"/>
        <w:gridCol w:w="2977"/>
      </w:tblGrid>
      <w:tr>
        <w:trPr>
          <w:cantSplit/>
          <w:jc w:val="center"/>
          <w:trHeight w:val="701"/>
        </w:trPr>
        <w:tc>
          <w:tcPr>
            <w:tcW w:w="101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p>
        </w:tc>
        <w:tc>
          <w:tcPr>
            <w:tcW w:w="415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采购标的</w:t>
            </w:r>
            <w:r/>
          </w:p>
        </w:tc>
        <w:tc>
          <w:tcPr>
            <w:tcW w:w="2977"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对应中小企业划分标准所属行业</w:t>
            </w:r>
            <w:r/>
          </w:p>
        </w:tc>
      </w:tr>
      <w:tr>
        <w:trPr>
          <w:cantSplit/>
          <w:jc w:val="center"/>
          <w:trHeight w:val="235"/>
        </w:trPr>
        <w:tc>
          <w:tcPr>
            <w:tcW w:w="101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4156" w:type="dxa"/>
            <w:textDirection w:val="lrTb"/>
            <w:noWrap w:val="false"/>
          </w:tcPr>
          <w:p>
            <w:pPr>
              <w:jc w:val="center"/>
              <w:spacing w:line="400" w:lineRule="exact"/>
              <w:tabs>
                <w:tab w:val="left" w:pos="202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r>
            <w:r>
              <w:rPr>
                <w:rFonts w:hint="eastAsia" w:eastAsia="方正仿宋_GBK"/>
                <w:color w:val="000000" w:themeColor="text1"/>
                <w:sz w:val="28"/>
                <w:szCs w:val="28"/>
              </w:rPr>
              <w:t xml:space="preserve">江苏信息职业技术学院物业托管服务</w:t>
            </w:r>
            <w:r>
              <w:rPr>
                <w:rFonts w:hint="eastAsia" w:eastAsia="方正仿宋_GBK"/>
                <w:color w:val="000000" w:themeColor="text1"/>
                <w:sz w:val="28"/>
                <w:szCs w:val="28"/>
              </w:rPr>
            </w:r>
            <w:r/>
          </w:p>
        </w:tc>
        <w:tc>
          <w:tcPr>
            <w:tcW w:w="2977" w:type="dxa"/>
            <w:textDirection w:val="lrTb"/>
            <w:noWrap w:val="false"/>
          </w:tcPr>
          <w:p>
            <w:pPr>
              <w:jc w:val="center"/>
              <w:spacing w:line="400" w:lineRule="exact"/>
              <w:tabs>
                <w:tab w:val="left" w:pos="2020" w:leader="none"/>
              </w:tabs>
              <w:rPr>
                <w:rFonts w:eastAsia="方正仿宋_GBK"/>
                <w:color w:val="000000" w:themeColor="text1"/>
                <w:sz w:val="28"/>
                <w:szCs w:val="28"/>
              </w:rPr>
            </w:pPr>
            <w:r>
              <w:rPr>
                <w:rFonts w:hint="eastAsia" w:eastAsia="方正仿宋_GBK"/>
                <w:color w:val="000000" w:themeColor="text1"/>
                <w:sz w:val="28"/>
                <w:szCs w:val="28"/>
              </w:rPr>
              <w:t xml:space="preserve">物业管理</w:t>
            </w:r>
            <w:r/>
          </w:p>
        </w:tc>
      </w:tr>
    </w:tbl>
    <w:p>
      <w:pPr>
        <w:pStyle w:val="800"/>
        <w:ind w:firstLine="560"/>
        <w:spacing w:line="44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项目属性：服务类项目</w:t>
      </w:r>
      <w:r/>
    </w:p>
    <w:p>
      <w:pPr>
        <w:pStyle w:val="800"/>
        <w:ind w:firstLine="560"/>
        <w:spacing w:line="440" w:lineRule="exact"/>
        <w:rPr>
          <w:rFonts w:hAnsi="宋体" w:cs="宋体"/>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本项目不接受进口产品投标。</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（四）项目服务期限</w:t>
      </w:r>
      <w:r/>
    </w:p>
    <w:p>
      <w:pPr>
        <w:ind w:firstLine="560"/>
        <w:jc w:val="left"/>
        <w:spacing w:line="440" w:lineRule="exact"/>
        <w:rPr>
          <w:rFonts w:ascii="宋体" w:hAnsi="宋体"/>
          <w:color w:val="000000" w:themeColor="text1"/>
          <w:sz w:val="28"/>
          <w:szCs w:val="28"/>
        </w:rPr>
      </w:pPr>
      <w:r>
        <w:rPr>
          <w:rFonts w:hint="eastAsia" w:ascii="宋体" w:hAnsi="宋体" w:cs="宋体"/>
          <w:color w:val="000000" w:themeColor="text1"/>
          <w:sz w:val="28"/>
          <w:szCs w:val="28"/>
        </w:rPr>
        <w:t xml:space="preserve">服务期限为叁年</w:t>
      </w:r>
      <w:r>
        <w:rPr>
          <w:rFonts w:ascii="宋体" w:hAnsi="宋体" w:cs="宋体"/>
          <w:color w:val="000000" w:themeColor="text1"/>
          <w:sz w:val="28"/>
          <w:szCs w:val="28"/>
        </w:rPr>
        <w:t xml:space="preserve">,</w:t>
      </w:r>
      <w:r>
        <w:rPr>
          <w:rFonts w:hint="eastAsia" w:ascii="宋体" w:hAnsi="宋体" w:cs="宋体"/>
          <w:color w:val="000000" w:themeColor="text1"/>
          <w:sz w:val="28"/>
          <w:szCs w:val="28"/>
        </w:rPr>
        <w:t xml:space="preserve">合同期内采购人进行年度考核，经年度考核合格后履行下一年度合同，年度考核不合格，采购人有权终止合同；若中标人服务范围内发生重大责任事故的，采购人有权立即终止合同。</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（五）结算时间及方式</w:t>
      </w:r>
      <w:r/>
    </w:p>
    <w:p>
      <w:pPr>
        <w:ind w:firstLine="560"/>
        <w:spacing w:line="440" w:lineRule="exact"/>
        <w:rPr>
          <w:rFonts w:ascii="宋体" w:hAnsi="宋体"/>
          <w:color w:val="000000" w:themeColor="text1"/>
          <w:sz w:val="28"/>
          <w:szCs w:val="28"/>
        </w:rPr>
      </w:pPr>
      <w:r>
        <w:rPr>
          <w:rFonts w:hint="eastAsia" w:ascii="宋体" w:hAnsi="宋体" w:cs="宋体"/>
          <w:color w:val="000000" w:themeColor="text1"/>
          <w:sz w:val="28"/>
          <w:szCs w:val="28"/>
        </w:rPr>
        <w:t xml:space="preserve">结算时间：每两个月结算一次。</w:t>
      </w: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结算方式：采购人根据对中标人的考核情况，</w:t>
      </w:r>
      <w:bookmarkStart w:id="166" w:name="OLE_LINK53"/>
      <w:r>
        <w:rPr>
          <w:rFonts w:hint="eastAsia" w:ascii="宋体" w:hAnsi="宋体" w:cs="宋体"/>
          <w:color w:val="000000" w:themeColor="text1"/>
          <w:sz w:val="28"/>
          <w:szCs w:val="28"/>
        </w:rPr>
        <w:t xml:space="preserve">每两个月向中标人支付合同费用。</w:t>
      </w:r>
      <w:bookmarkEnd w:id="166"/>
      <w:r>
        <w:rPr>
          <w:rFonts w:hint="eastAsia" w:ascii="宋体" w:hAnsi="宋体" w:cs="宋体"/>
          <w:color w:val="000000" w:themeColor="text1"/>
          <w:sz w:val="28"/>
          <w:szCs w:val="28"/>
        </w:rPr>
        <w:t xml:space="preserve">中标人收到采购人付款通知后，应开具税务部门认可的增值税普通发票，采购人在收到中标人开具的税务部门认可的增值税普通发票后，15个工作日内按发票金额支付费用给中标人，特殊情况除外。如中标人未按时提供税务部门认可的增值税普通发票，则采购人付款的时间可相应顺延。如因中标人提供的票据不符合相关要求，给采购人造成的一切损失由中标人承担。</w:t>
      </w:r>
      <w:r/>
    </w:p>
    <w:p>
      <w:pPr>
        <w:numPr>
          <w:ilvl w:val="0"/>
          <w:numId w:val="4"/>
        </w:numPr>
        <w:ind w:firstLine="480"/>
        <w:spacing w:line="440" w:lineRule="exact"/>
        <w:rPr>
          <w:rFonts w:ascii="宋体" w:hAnsi="宋体" w:cs="宋体"/>
          <w:color w:val="000000" w:themeColor="text1"/>
          <w:sz w:val="28"/>
          <w:szCs w:val="28"/>
        </w:rPr>
      </w:pPr>
      <w:r>
        <w:rPr>
          <w:rFonts w:hint="eastAsia" w:ascii="宋体" w:hAnsi="宋体" w:cs="宋体"/>
          <w:b/>
          <w:bCs/>
          <w:color w:val="000000" w:themeColor="text1"/>
          <w:sz w:val="28"/>
          <w:szCs w:val="28"/>
        </w:rPr>
        <w:t xml:space="preserve">履约保证金</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1.本项目中标后履约保证金为200000元</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2.中标人的履约保证金须在中标通知书发出5个工作日内办理完成，并将相关票具交学校财务，中标人凭中标通知书30日内与采购人签订合</w:t>
      </w:r>
      <w:r>
        <w:rPr>
          <w:rFonts w:hint="eastAsia" w:ascii="宋体" w:hAnsi="宋体" w:cs="宋体"/>
          <w:color w:val="000000" w:themeColor="text1"/>
          <w:sz w:val="28"/>
          <w:szCs w:val="28"/>
        </w:rPr>
        <w:t xml:space="preserve">同。</w:t>
      </w:r>
      <w:r/>
    </w:p>
    <w:p>
      <w:pPr>
        <w:ind w:firstLine="560"/>
        <w:spacing w:line="440" w:lineRule="exact"/>
        <w:rPr>
          <w:rFonts w:ascii="宋体" w:hAnsi="宋体" w:eastAsia="仿宋"/>
          <w:color w:val="000000" w:themeColor="text1"/>
          <w:sz w:val="28"/>
          <w:szCs w:val="28"/>
        </w:rPr>
      </w:pPr>
      <w:r>
        <w:rPr>
          <w:rFonts w:ascii="宋体" w:hAnsi="宋体" w:cs="宋体"/>
          <w:color w:val="000000" w:themeColor="text1"/>
          <w:sz w:val="28"/>
          <w:szCs w:val="28"/>
        </w:rPr>
        <w:t xml:space="preserve">3.</w:t>
      </w:r>
      <w:r>
        <w:rPr>
          <w:rFonts w:hint="eastAsia" w:ascii="宋体" w:hAnsi="宋体" w:cs="宋体"/>
          <w:color w:val="000000" w:themeColor="text1"/>
          <w:sz w:val="28"/>
          <w:szCs w:val="28"/>
        </w:rPr>
        <w:t xml:space="preserve">履约保证金应当以支票、汇票、本票或者金融机构出具的保函等非现金形式提交。</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本次委托管理服务结束时，中标人全部履约合同义务，并与接管企业完成交接手续后，采购人在验收合格后一次性不计息退还履约保证金；如因中标人管理不善而造成设施、设备损坏，可以修复的扣除维修费后其余保证金退还给中标人，无法修复的按其原价扣除后退还给中标人，以保证设施和设备的完好率。</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5.由于中标人原因，在签订合同后出现不按合同履行的情况，采购人有权将履约保证金作为违约金，全额不予退还，同时采购人亦有权终止合同，中标人还须承担相应的法律赔偿责任。</w:t>
      </w:r>
      <w:r/>
    </w:p>
    <w:p>
      <w:pPr>
        <w:ind w:firstLine="562"/>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（七）进退场交接要求</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做好物业服务开始及合同到期时的交接工作，保证交接工作的平稳过渡，确保校园秩序正常。</w:t>
      </w:r>
      <w:r/>
    </w:p>
    <w:p>
      <w:pPr>
        <w:ind w:firstLine="562"/>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（八）退出机制</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中标人在服务合同履行期间，出现包括但不限于以下情形之一，中标人在校方要求的期限内未整改到位，采购人有权中止合同。</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1、连续两次双月度考核未达到合格等级的；</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2、中标人在服务期间发生劳资纠纷、员工意外伤害事故等未及时处理，给学校正常教育教学秩序产生严重影响；</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3、中标人在服务期间发生安全生产事故，造成严重后果，未妥善处理；</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4、无不可抗力情况下，人员数量不足承诺人数的80%；</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5、法律法规规定的其他情形。</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（九）报价说明及原则</w:t>
      </w:r>
      <w:r/>
    </w:p>
    <w:p>
      <w:pPr>
        <w:ind w:firstLine="48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投标人应充分考虑项目承包期间劳务、相应的人身安全保险、赔偿及所需的全部费用的市场风险系数，并计入总报价。除非合同中另有规定，投标人的投标报价包括在承包期内服务需要的人员工资、社保、公积金、人员加班工资、高温费、春节慰问金、意外伤害保险费、人员体检费、劳保用品、工具费、人员服装费、考核以及在服务过程中发生的一切费用。报价中还包括</w:t>
      </w:r>
      <w:r>
        <w:rPr>
          <w:rFonts w:hint="eastAsia" w:cs="宋体"/>
          <w:color w:val="000000" w:themeColor="text1"/>
          <w:sz w:val="28"/>
          <w:szCs w:val="28"/>
        </w:rPr>
        <w:t xml:space="preserve">耗材</w:t>
      </w:r>
      <w:r>
        <w:rPr>
          <w:rFonts w:hint="eastAsia" w:ascii="宋体" w:hAnsi="宋体" w:cs="宋体"/>
          <w:color w:val="000000" w:themeColor="text1"/>
          <w:sz w:val="28"/>
          <w:szCs w:val="28"/>
        </w:rPr>
        <w:t xml:space="preserve">、管理费、各种税费及政策性文件规定</w:t>
      </w:r>
      <w:r>
        <w:rPr>
          <w:rFonts w:hint="eastAsia" w:ascii="宋体" w:hAnsi="宋体" w:cs="宋体"/>
          <w:color w:val="000000" w:themeColor="text1"/>
          <w:sz w:val="28"/>
          <w:szCs w:val="28"/>
        </w:rPr>
        <w:t xml:space="preserve">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投标人报价时应充分考虑服务期内所有可能影响到报价的因素（包括发包人所在地最低工资标准和社保基数的政策性调整），一旦投标结束最终中标，总价将包定，不予调整。如发生漏、缺、少项，都将被认为是中标人的报价让利行为，损失自负。</w:t>
      </w:r>
      <w:r/>
    </w:p>
    <w:p>
      <w:pPr>
        <w:spacing w:line="440" w:lineRule="exact"/>
        <w:rPr>
          <w:rFonts w:ascii="宋体" w:hAnsi="宋体" w:cs="宋体"/>
          <w:color w:val="000000" w:themeColor="text1"/>
          <w:sz w:val="28"/>
          <w:szCs w:val="28"/>
          <w:highlight w:val="yellow"/>
        </w:rPr>
      </w:pPr>
      <w:r>
        <w:rPr>
          <w:rFonts w:hint="eastAsia" w:ascii="宋体" w:hAnsi="宋体" w:cs="宋体"/>
          <w:color w:val="000000" w:themeColor="text1"/>
          <w:sz w:val="28"/>
          <w:szCs w:val="28"/>
        </w:rPr>
        <w:t xml:space="preserve">   3、投标人必须为所有人员购买保额充足的雇主责任险或人身意外伤害险。</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（十）政府采购中实施本国产品标准及相关政策</w:t>
      </w:r>
      <w:r/>
    </w:p>
    <w:p>
      <w:pPr>
        <w:ind w:firstLine="560"/>
        <w:jc w:val="left"/>
        <w:spacing w:line="400" w:lineRule="exact"/>
        <w:rPr>
          <w:rFonts w:ascii="宋体" w:hAnsi="宋体" w:cs="方正仿宋_GBK"/>
          <w:color w:val="000000" w:themeColor="text1"/>
          <w:sz w:val="28"/>
          <w:szCs w:val="28"/>
        </w:rPr>
      </w:pPr>
      <w:r>
        <w:rPr>
          <w:rFonts w:hint="eastAsia" w:ascii="宋体" w:hAnsi="宋体" w:cs="方正仿宋_GBK"/>
          <w:color w:val="000000" w:themeColor="text1"/>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spacing w:line="400" w:lineRule="exact"/>
        <w:rPr>
          <w:rFonts w:ascii="宋体" w:hAnsi="宋体" w:cs="方正仿宋_GBK"/>
          <w:color w:val="000000" w:themeColor="text1"/>
          <w:sz w:val="28"/>
          <w:szCs w:val="28"/>
        </w:rPr>
      </w:pPr>
      <w:r>
        <w:rPr>
          <w:rFonts w:hint="eastAsia" w:ascii="宋体" w:hAnsi="宋体" w:cs="方正仿宋_GBK"/>
          <w:color w:val="000000" w:themeColor="text1"/>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400" w:lineRule="exact"/>
        <w:rPr>
          <w:rFonts w:ascii="宋体" w:hAnsi="宋体" w:cs="方正仿宋_GBK"/>
          <w:color w:val="000000" w:themeColor="text1"/>
          <w:sz w:val="28"/>
          <w:szCs w:val="28"/>
        </w:rPr>
      </w:pPr>
      <w:r>
        <w:rPr>
          <w:rFonts w:hint="eastAsia" w:ascii="宋体" w:hAnsi="宋体" w:cs="方正仿宋_GBK"/>
          <w:color w:val="000000" w:themeColor="text1"/>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spacing w:line="400" w:lineRule="exact"/>
        <w:rPr>
          <w:rFonts w:ascii="宋体" w:hAnsi="宋体" w:cs="方正仿宋_GBK"/>
          <w:b/>
          <w:color w:val="000000" w:themeColor="text1"/>
          <w:sz w:val="28"/>
          <w:szCs w:val="28"/>
        </w:rPr>
      </w:pPr>
      <w:r>
        <w:rPr>
          <w:rFonts w:hint="eastAsia" w:ascii="宋体" w:hAnsi="宋体" w:cs="方正仿宋_GBK"/>
          <w:b/>
          <w:color w:val="000000" w:themeColor="text1"/>
          <w:sz w:val="28"/>
          <w:szCs w:val="28"/>
        </w:rPr>
        <w:t xml:space="preserve">（本服务项目不涉及货物，投标文件中无需提供《关于符合本国产品标准的声明函》。）</w:t>
      </w:r>
      <w:r/>
    </w:p>
    <w:p>
      <w:pPr>
        <w:ind w:firstLine="562"/>
        <w:jc w:val="left"/>
        <w:spacing w:line="400" w:lineRule="exact"/>
        <w:rPr>
          <w:rFonts w:ascii="宋体" w:hAnsi="宋体" w:cs="方正仿宋_GBK"/>
          <w:b/>
          <w:color w:val="000000" w:themeColor="text1"/>
          <w:sz w:val="28"/>
          <w:szCs w:val="28"/>
        </w:rPr>
      </w:pPr>
      <w:r>
        <w:rPr>
          <w:rFonts w:ascii="宋体" w:hAnsi="宋体" w:cs="方正仿宋_GBK"/>
          <w:b/>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二、项目要求</w:t>
      </w:r>
      <w:r/>
    </w:p>
    <w:p>
      <w:pPr>
        <w:ind w:firstLine="560"/>
        <w:spacing w:line="360" w:lineRule="auto"/>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三、技术要求</w:t>
      </w:r>
      <w:r/>
    </w:p>
    <w:p>
      <w:pPr>
        <w:ind w:firstLine="562"/>
        <w:spacing w:line="360" w:lineRule="auto"/>
        <w:widowControl/>
        <w:rPr>
          <w:rFonts w:ascii="仿宋" w:hAnsi="仿宋" w:eastAsia="仿宋" w:cs="仿宋"/>
          <w:b/>
          <w:i/>
          <w:color w:val="000000" w:themeColor="text1"/>
          <w:sz w:val="28"/>
          <w:szCs w:val="28"/>
          <w:u w:val="single"/>
        </w:rPr>
      </w:pPr>
      <w:r/>
      <w:bookmarkStart w:id="167" w:name="OLE_LINK9"/>
      <w:r/>
      <w:bookmarkStart w:id="168" w:name="OLE_LINK10"/>
      <w:r>
        <w:rPr>
          <w:rFonts w:hint="eastAsia" w:ascii="仿宋" w:hAnsi="仿宋" w:eastAsia="仿宋" w:cs="仿宋"/>
          <w:b/>
          <w:i/>
          <w:color w:val="000000" w:themeColor="text1"/>
          <w:sz w:val="28"/>
          <w:szCs w:val="28"/>
          <w:u w:val="single"/>
        </w:rPr>
        <w:t xml:space="preserve">1.采购人在合同期内可以根据实际启用的区域情况及合同签订的实际期限按实结算物业费。</w:t>
      </w:r>
      <w:bookmarkEnd w:id="167"/>
      <w:r/>
      <w:bookmarkEnd w:id="168"/>
      <w:r/>
      <w:r/>
    </w:p>
    <w:p>
      <w:pPr>
        <w:ind w:firstLine="562"/>
        <w:spacing w:line="360" w:lineRule="auto"/>
        <w:widowControl/>
        <w:rPr>
          <w:rFonts w:ascii="仿宋" w:hAnsi="仿宋" w:eastAsia="仿宋" w:cs="仿宋"/>
          <w:b/>
          <w:i/>
          <w:color w:val="000000" w:themeColor="text1"/>
          <w:sz w:val="28"/>
          <w:szCs w:val="28"/>
          <w:u w:val="single"/>
        </w:rPr>
      </w:pPr>
      <w:r>
        <w:rPr>
          <w:rFonts w:hint="eastAsia" w:ascii="仿宋" w:hAnsi="仿宋" w:eastAsia="仿宋" w:cs="仿宋"/>
          <w:b/>
          <w:i/>
          <w:color w:val="000000" w:themeColor="text1"/>
          <w:sz w:val="28"/>
          <w:szCs w:val="28"/>
          <w:u w:val="single"/>
        </w:rPr>
        <w:t xml:space="preserve">2.供应商在投标（响应）文件中响应的拟投入本项目的服务人员不得是全日制在校学生。各岗位人员配置人数不得低于规定的人员配备，</w:t>
      </w:r>
      <w:r>
        <w:rPr>
          <w:rFonts w:hint="eastAsia" w:ascii="仿宋" w:hAnsi="仿宋" w:eastAsia="仿宋" w:cs="仿宋"/>
          <w:b/>
          <w:bCs/>
          <w:i/>
          <w:iCs/>
          <w:color w:val="000000" w:themeColor="text1"/>
          <w:sz w:val="28"/>
          <w:szCs w:val="28"/>
          <w:u w:val="single"/>
        </w:rPr>
        <w:t xml:space="preserve">所有人员必须全部缴纳社保和公积金。</w:t>
      </w:r>
      <w:r>
        <w:rPr>
          <w:rFonts w:hint="eastAsia" w:ascii="仿宋" w:hAnsi="仿宋" w:eastAsia="仿宋" w:cs="仿宋"/>
          <w:b/>
          <w:i/>
          <w:color w:val="000000" w:themeColor="text1"/>
          <w:sz w:val="28"/>
          <w:szCs w:val="28"/>
          <w:u w:val="single"/>
        </w:rPr>
        <w:t xml:space="preserve">投标人在其投标文件列出的所有配置人员的工资、社保等待遇不得低于无锡市市工资、社保等最低缴纳标准。</w:t>
      </w:r>
      <w:r/>
    </w:p>
    <w:p>
      <w:pPr>
        <w:ind w:firstLine="560"/>
        <w:spacing w:line="360" w:lineRule="auto"/>
        <w:rPr>
          <w:rFonts w:ascii="仿宋" w:hAnsi="仿宋" w:eastAsia="仿宋" w:cs="仿宋"/>
          <w:color w:val="000000" w:themeColor="text1"/>
          <w:sz w:val="28"/>
          <w:szCs w:val="28"/>
        </w:rPr>
        <w:outlineLvl w:val="0"/>
      </w:pPr>
      <w:r/>
      <w:bookmarkStart w:id="171" w:name="_Toc12397"/>
      <w:r>
        <w:rPr>
          <w:rFonts w:hint="eastAsia" w:ascii="仿宋" w:hAnsi="仿宋" w:eastAsia="仿宋" w:cs="仿宋"/>
          <w:color w:val="000000" w:themeColor="text1"/>
          <w:sz w:val="28"/>
          <w:szCs w:val="28"/>
        </w:rPr>
        <w:t xml:space="preserve">四、招标范围及服务清单</w:t>
      </w:r>
      <w:bookmarkEnd w:id="171"/>
      <w:r/>
      <w:r/>
    </w:p>
    <w:p>
      <w:pPr>
        <w:ind w:firstLine="560"/>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1.基本情况</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学校生活区所有楼宇（1#、2#、3#、4#、5#、6#、7#、8#、9#、9D、9E学生宿舍楼、大学生活动中心、三栋教职工周转房、大学生创业园、综合服务中心一楼）物业管理服务。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2.项目清单</w:t>
      </w:r>
      <w:r/>
    </w:p>
    <w:p>
      <w:pPr>
        <w:ind w:firstLine="560"/>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本次招标为江苏信息职业技术学院的学生宿舍、大学生活动中心、教职工周转房、大学生创业园、综合服务中心一楼及周边道路等环境保洁物业管理服务项目。</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1、生活区所有楼宇及外场保洁服务；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2、所有宿舍与后勤相关的宿舍管理服务；</w:t>
      </w:r>
      <w:r/>
    </w:p>
    <w:p>
      <w:pPr>
        <w:pStyle w:val="794"/>
        <w:numPr>
          <w:ilvl w:val="0"/>
          <w:numId w:val="5"/>
        </w:numPr>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生活区所有楼宇小型维修服务；</w:t>
      </w:r>
      <w:r/>
    </w:p>
    <w:p>
      <w:pPr>
        <w:pStyle w:val="800"/>
        <w:ind w:firstLine="560"/>
        <w:spacing w:line="480" w:lineRule="exact"/>
        <w:rPr>
          <w:rFonts w:hAnsi="宋体"/>
          <w:color w:val="000000" w:themeColor="text1"/>
          <w:sz w:val="24"/>
          <w:szCs w:val="24"/>
        </w:rPr>
      </w:pPr>
      <w:r>
        <w:rPr>
          <w:rFonts w:hint="eastAsia" w:ascii="仿宋" w:hAnsi="仿宋" w:eastAsia="仿宋" w:cs="仿宋"/>
          <w:color w:val="000000" w:themeColor="text1"/>
          <w:sz w:val="28"/>
          <w:szCs w:val="28"/>
        </w:rPr>
        <w:t xml:space="preserve">4、全校所有区域垃圾清运服务；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5、生活区水电值班服务；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6、配合学校做好各项活动的后勤保障服务。</w:t>
      </w:r>
      <w:r/>
    </w:p>
    <w:p>
      <w:pPr>
        <w:spacing w:line="360" w:lineRule="auto"/>
        <w:tabs>
          <w:tab w:val="left" w:pos="420" w:leader="none"/>
        </w:tabs>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3、人员要求清单</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3"/>
        <w:gridCol w:w="1499"/>
        <w:gridCol w:w="1216"/>
        <w:gridCol w:w="3611"/>
        <w:gridCol w:w="1216"/>
      </w:tblGrid>
      <w:tr>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序号</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岗位名称</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人数</w:t>
            </w:r>
            <w:r/>
          </w:p>
        </w:tc>
        <w:tc>
          <w:tcPr>
            <w:tcW w:w="3611"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要  求</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备注</w:t>
            </w:r>
            <w:r/>
          </w:p>
        </w:tc>
      </w:tr>
      <w:tr>
        <w:trPr>
          <w:trHeight w:val="2067"/>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1</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项目主管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1</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本科及以上学历，能熟练运用办公系统，有丰富的学生宿舍管理经验，有一定的高校学生管理及思想政治工作的经验，具有物业管理项目经理岗位证书。</w:t>
            </w:r>
            <w:r/>
          </w:p>
        </w:tc>
        <w:tc>
          <w:tcPr>
            <w:tcW w:w="1216"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ascii="仿宋" w:hAnsi="仿宋" w:eastAsia="仿宋" w:cs="仿宋"/>
                <w:b/>
                <w:bCs/>
                <w:color w:val="000000" w:themeColor="text1"/>
                <w:sz w:val="28"/>
                <w:szCs w:val="28"/>
                <w:lang w:eastAsia="zh-CN"/>
              </w:rPr>
            </w:r>
            <w:r/>
          </w:p>
        </w:tc>
      </w:tr>
      <w:tr>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2</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宿舍管理员（含班组长）</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26</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班组长具有高中以上学历，熟悉办公软件，具有相应的管理能力。其他管理员具有初中及以上学历，具有健康证，具备信息化管理能力，热心为学生服务。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门卫岗24小时在岗</w:t>
            </w:r>
            <w:r/>
          </w:p>
        </w:tc>
      </w:tr>
      <w:tr>
        <w:trPr>
          <w:trHeight w:val="1235"/>
        </w:trPr>
        <w:tc>
          <w:tcPr>
            <w:tcW w:w="1213"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ascii="仿宋" w:hAnsi="仿宋" w:eastAsia="仿宋" w:cs="仿宋"/>
                <w:b/>
                <w:bCs/>
                <w:color w:val="000000" w:themeColor="text1"/>
                <w:sz w:val="28"/>
                <w:szCs w:val="28"/>
              </w:rPr>
            </w:r>
            <w:r/>
          </w:p>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3</w:t>
            </w:r>
            <w:r/>
          </w:p>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ascii="仿宋" w:hAnsi="仿宋" w:eastAsia="仿宋" w:cs="仿宋"/>
                <w:b/>
                <w:bCs/>
                <w:color w:val="000000" w:themeColor="text1"/>
                <w:sz w:val="28"/>
                <w:szCs w:val="28"/>
              </w:rPr>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保洁员</w:t>
            </w:r>
            <w:r/>
          </w:p>
        </w:tc>
        <w:tc>
          <w:tcPr>
            <w:tcW w:w="1216" w:type="dxa"/>
            <w:textDirection w:val="lrTb"/>
            <w:noWrap w:val="false"/>
          </w:tcPr>
          <w:p>
            <w:pPr>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25</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小学及以上学历，具有健康证，热心为师生服务。</w:t>
            </w:r>
            <w:r/>
          </w:p>
        </w:tc>
        <w:tc>
          <w:tcPr>
            <w:tcW w:w="1216"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ascii="仿宋" w:hAnsi="仿宋" w:eastAsia="仿宋" w:cs="仿宋"/>
                <w:b/>
                <w:bCs/>
                <w:color w:val="000000" w:themeColor="text1"/>
                <w:sz w:val="28"/>
                <w:szCs w:val="28"/>
                <w:lang w:eastAsia="zh-CN"/>
              </w:rPr>
            </w:r>
            <w:r/>
          </w:p>
        </w:tc>
      </w:tr>
      <w:tr>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4</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维修工</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6</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初中及以上学历，持有高低压运维证，能完成电工、管道、电焊、泥瓦等综合类日常修缮任务，能热心为师生服务。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含晚间住校值班</w:t>
            </w:r>
            <w:r/>
          </w:p>
        </w:tc>
      </w:tr>
      <w:tr>
        <w:trPr/>
        <w:tc>
          <w:tcPr>
            <w:gridSpan w:val="2"/>
            <w:tcW w:w="2712"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合计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58</w:t>
            </w:r>
            <w:r/>
          </w:p>
        </w:tc>
        <w:tc>
          <w:tcPr>
            <w:gridSpan w:val="2"/>
            <w:tcW w:w="4827"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注：每工作日在岗人员不少于45人，以学校实际岗位要求核定人数。</w:t>
            </w:r>
            <w:r/>
          </w:p>
        </w:tc>
      </w:tr>
    </w:tbl>
    <w:p>
      <w:pPr>
        <w:spacing w:line="360" w:lineRule="auto"/>
        <w:tabs>
          <w:tab w:val="left" w:pos="420" w:leader="none"/>
        </w:tabs>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注：以上人员配置为项目满负荷运行情况下最低人员配置标准，岗位人</w:t>
      </w:r>
      <w:r>
        <w:rPr>
          <w:rFonts w:hint="eastAsia" w:ascii="仿宋" w:hAnsi="仿宋" w:eastAsia="仿宋" w:cs="仿宋"/>
          <w:color w:val="000000" w:themeColor="text1"/>
          <w:sz w:val="28"/>
          <w:szCs w:val="28"/>
        </w:rPr>
        <w:t xml:space="preserve">数须满足以上要求，并提供承诺书，如不提供，按无效投标处理。</w:t>
      </w:r>
      <w:r/>
    </w:p>
    <w:p>
      <w:pPr>
        <w:spacing w:line="360" w:lineRule="auto"/>
        <w:tabs>
          <w:tab w:val="left" w:pos="420" w:leader="none"/>
        </w:tabs>
        <w:rPr>
          <w:rFonts w:ascii="仿宋" w:hAnsi="仿宋" w:eastAsia="仿宋" w:cs="仿宋"/>
          <w:color w:val="000000" w:themeColor="text1"/>
          <w:sz w:val="28"/>
          <w:szCs w:val="28"/>
        </w:rPr>
        <w:outlineLvl w:val="0"/>
      </w:pPr>
      <w:r>
        <w:rPr>
          <w:rFonts w:ascii="仿宋" w:hAnsi="仿宋" w:eastAsia="仿宋" w:cs="仿宋"/>
          <w:color w:val="000000" w:themeColor="text1"/>
          <w:sz w:val="28"/>
          <w:szCs w:val="28"/>
        </w:rPr>
      </w:r>
      <w:r/>
    </w:p>
    <w:p>
      <w:pPr>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4.报价说明</w:t>
      </w:r>
      <w:r/>
    </w:p>
    <w:p>
      <w:pPr>
        <w:pStyle w:val="842"/>
        <w:numPr>
          <w:ilvl w:val="0"/>
          <w:numId w:val="6"/>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投标人报价时应充分考虑服务期内所有可能影响到报价的因素（包括最低工资标准和社保基数的政策性调整），一旦投标结束最终中标，总价将包定，中间不予调整。如发生漏、缺、少项，都将被认为是中标人的报价让利行为，损失自负。</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2、员工工资、社保费用、税金法定费用为不可让利部分（不可竞争费用），须按规定计算并报出，投标总报价不可低于上述相关费用合计， 否则作无效投标处理。</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3、投标人中标后不得层层转包，如果发现转包，学校将按法律程序进行处理，所产生的后果由中标人负责。</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4、中标人聘用的员工，需按国家规定支付相应的工资、福利及按规定交金。否则，中标人需承担相应后果。</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5、投标人一旦中标，必须服从学校相关部门的管理。</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6、工作人员严格按照安全操作规程开展工作，工作中发生意外事故由投标人自负，与学校无关。</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7、投标人须确保学校新生接待、毕业生离校及临时性应急保障工作。</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8、未尽事宜，在双方协议中进行明确。</w:t>
      </w:r>
      <w:r/>
    </w:p>
    <w:p>
      <w:pPr>
        <w:ind w:firstLine="560"/>
        <w:spacing w:line="360" w:lineRule="auto"/>
        <w:widowControl/>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五、物业委托期限</w:t>
      </w:r>
      <w:r/>
    </w:p>
    <w:p>
      <w:pPr>
        <w:ind w:firstLine="560"/>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三年（采用“1+1+1”模式，一年一签，年度考核合格后续签下一年度合同）。</w:t>
      </w:r>
      <w:r/>
    </w:p>
    <w:p>
      <w:pPr>
        <w:ind w:firstLine="560"/>
        <w:spacing w:line="360" w:lineRule="auto"/>
        <w:widowControl/>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六、委托服务的要求及内容</w:t>
      </w:r>
      <w:r/>
    </w:p>
    <w:p>
      <w:pPr>
        <w:pStyle w:val="794"/>
        <w:spacing w:line="360" w:lineRule="auto"/>
        <w:rPr>
          <w:rFonts w:ascii="仿宋" w:hAnsi="仿宋" w:eastAsia="仿宋" w:cs="仿宋"/>
          <w:b/>
          <w:color w:val="000000" w:themeColor="text1"/>
        </w:rPr>
      </w:pPr>
      <w:r>
        <w:rPr>
          <w:rFonts w:hint="eastAsia" w:ascii="仿宋" w:hAnsi="仿宋" w:eastAsia="仿宋" w:cs="仿宋"/>
          <w:b/>
          <w:bCs/>
          <w:color w:val="000000" w:themeColor="text1"/>
        </w:rPr>
        <w:t xml:space="preserve">（一）项目运行</w:t>
      </w:r>
      <w:r>
        <w:rPr>
          <w:rFonts w:hint="eastAsia" w:ascii="仿宋" w:hAnsi="仿宋" w:eastAsia="仿宋" w:cs="仿宋"/>
          <w:b/>
          <w:bCs/>
          <w:color w:val="000000" w:themeColor="text1"/>
        </w:rPr>
        <w:t xml:space="preserve">基本要求</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1、物业公司所聘人员不能有不良记录，年龄、精神状况等应符合国家用工要求和学校相关部门的用工要求，物业公司负责员工的安全法制</w:t>
      </w:r>
      <w:r>
        <w:rPr>
          <w:rFonts w:hint="eastAsia" w:ascii="仿宋" w:hAnsi="仿宋" w:eastAsia="仿宋" w:cs="仿宋"/>
          <w:color w:val="000000" w:themeColor="text1"/>
          <w:sz w:val="28"/>
          <w:szCs w:val="28"/>
          <w:lang w:eastAsia="zh-CN"/>
        </w:rPr>
        <w:t xml:space="preserve">教育，负责给所聘员工投相应保险，在为本院服务期间，出现伤亡事故等各种意外，均由物业公司负责。</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服务期限内物业管理服务费包括物业公司提供服务所需的人员工资、加班、福利、保险费；行政办公费、值班场所的电话费（具体电话号码由双方签字确认）、服装费、劳保用品费；卫生清洁、消毒所用工具材料费；维修工具费用；税金、利润和所有的风险、责任、义务等一切费用的总和。</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物业公司要严格遵守学校的有关规定，并对员工进行上岗培训，使之熟悉校区规章制度、礼貌用语和岗位、服务场所等情况，以便为学生提供帮助和服务。定期对员工进行职业道德、法律法规、技能素质、质量标准、规范服务和安全工作等方面的培训教育，物业公司派入的服务人员，如有违反法律法规、社会公德及学校的相关规章制度和服务规范行为的，招标人有权要求更换相关人员，中标人应在一周内及时更换。</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4、根据任务量和工种不同，须配备数量足够的、相关工种对应的技术工人和管理人员，且业务水平足够高。派入的员工必须符合校方的要求，并提供身份证件审核同意后方可进入校区工作。</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5、物业公司要节约用水、用电，做好宿舍区水表抄表记录，并对用水用电情况作分析判断。提供节能指标、物业管理制度、用人计划及实际用人情况并报给校方，校方对物业公司进行审查、监督，根据《考核办法》实施目标考核。</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6、对检查考核结果双方签字确认。若对检查考核结果有异议，双方可复查确定考核结果。如果检查考核事实情况清楚，结果正确，物业公司方仍不签字，三日后校方可单方签字确认，结果有效。</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（二）</w:t>
      </w:r>
      <w:r>
        <w:rPr>
          <w:rFonts w:hint="eastAsia" w:ascii="仿宋" w:hAnsi="仿宋" w:eastAsia="仿宋" w:cs="仿宋"/>
          <w:b/>
          <w:color w:val="000000" w:themeColor="text1"/>
          <w:sz w:val="28"/>
          <w:szCs w:val="28"/>
          <w:lang w:eastAsia="zh-CN"/>
        </w:rPr>
        <w:t xml:space="preserve">学生宿舍管理服务要求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1、执行学校学生宿舍管理规定，熟知学校各项学生宿舍管理制度，认真履行岗位职责。实行24小时值班，坚守工作岗位，不得擅离职守或做私活。</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2、掌握宿舍楼住宿学生基本情况，禁止无关人员、异性出入宿舍楼。外请维修等出入者必须查验证件并登记。</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依据学校相关管理规定，做好学生入住接待、退房登记管理工作。宿舍入住前物品配置齐全完好，设施设备完好，钥匙、遥控器发放正常，卫生整洁，记录完整；退房交接时检查是否有损坏和异常情况，钥匙、遥控器收回，记录完整。不得出现在学生未走完退宿流程情况下，直接按清退宿舍处理，因此发生的后果由物业公司具体负责。</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4、禁止任何人在未经许可的情况下将宿舍物品、学生物品携带出宿舍楼。学生携带电脑、行李等大件物品出入宿舍楼时，必须做好登记。</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5、维护公共秩序，保障通道畅通。严禁自行车进入学生宿舍，大厅内的物品摆放整齐。</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6、配合相关管理部门做好学生宿舍文化建设，协助处理学生宿舍内发生的矛盾纠纷，参与学生宿舍内务检查评比，维持良好的秩序和优美环境。</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7、熟知智能电控系统，严禁使用违章电器（大功率电器），协助学生处及相关部门做好学生违规教育处理工作和学生宿舍的卫生、用电、用水等情况检查工作。对违反学校学生宿舍管理制度的人和事要敢抓敢管，不徇私情。</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8、定期报告学生宿舍管理情况，对学生违规违纪现象及时制止、规劝，并向后勤服务中心报告。</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9、值班人员主动、热情、耐心做好学生的咨询、报修等服务工作。关心学生，提供力所能及的各项免费服务（例：针线包、打气筒、小五金等），做好失物招领工作。</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10、要熟悉所在学生宿舍的学生住宿情况，发现可疑的人、事或可疑物品，要认真检查并及时向学校保卫处和后勤服务中心报告。</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11、严格遵守作息时间表，按时开启、关闭宿舍楼门（早上6：30开门，晚上10：00关门）。对晚间关门后（非上述时间段进出）进出的人员须询问晚归原因和查看有效证件并登记，如学生不配合并有异常情况的联系值班辅导员老师，并认真做好登记。夜间熄灯并关闭学生宿舍大门后，要上楼巡视检查有无学生违规行为或安全隐患。加强夜间防火、防盗、防漏水巡查并填写巡查记录，巡查人员及其主管人员应当在巡查记录上签名。</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12、保管好宿舍楼各寝室的钥匙，做到定位存放。学生需要使用钥匙时由值班员查看学生证或身份证核对住宿信息后借用并做好记录。严禁学生私自取走钥匙开门。各学院检查学生宿舍时，凭学院开具的证明借用钥匙（必须2人以上），并做好登记。疏散通道的钥匙必须固定存放，随时可取，定期进行开锁实验，确保门锁完好，并作好记录。</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13、 严禁闲杂人员、小商、小贩入内，任何人不得在学生宿舍内兜售物品；学生不得随意进入异性学生宿舍，如确有需要，需凭学院开具的证明进入；异性家长进入学生宿舍须由学生本人陪同并征得管理员（站长）同意，管理员（站长）要认真核对证件、办理登记手续；晚上8点以后，任何人员不得进入异性学生宿舍，特殊情况除外。</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14、保持值班室及值班室周边干净整洁有序，认真做好交班记录，对重要事情或处理的问题要和下一班交接清楚。不擅自使用宿舍楼内的空房间，不私自安排外人或学生使用空房间。雨天在大门口放置告示牌和防滑垫，提示小心滑倒，并用干布及时拖干地面。</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15、听取学生和相关部门意见，不断改进工作。完成学工处、后勤处等部门交办的其他临时性紧急任务。</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（三）</w:t>
      </w:r>
      <w:r>
        <w:rPr>
          <w:rFonts w:hint="eastAsia" w:ascii="仿宋" w:hAnsi="仿宋" w:eastAsia="仿宋" w:cs="仿宋"/>
          <w:b/>
          <w:color w:val="000000" w:themeColor="text1"/>
          <w:sz w:val="28"/>
          <w:szCs w:val="28"/>
          <w:lang w:eastAsia="zh-CN"/>
        </w:rPr>
        <w:t xml:space="preserve">日常保洁服务要求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保洁范围为学校生活区所有楼宇（1#、2#、3#、4#、5#、6#、7#、8#、9#、9D、9E学生宿舍楼、大学生活动中心、三栋教职工周转房、大学生创业园、综合服务中心一楼）内场公共区域及外场保洁服务，具体区域以现场为准。</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2、公共部位包含：走廊、楼梯、栏杆、公共卫生间、下沉广场、人行步道、花台、雨棚、露台、屋面、强弱电间、走道、门厅、消防设施、绿化带等。</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宿舍内部打扫：学生宿舍调整、毕业生离校、新生入住期间及寒暑假外部单位装修完毕后必须对宿舍阳台、房间、家具、盥洗室、卫生间、墙面等进行全面清洗保洁。每学期对学生宿舍阳台（杂草）、下水口等进行全面清扫2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4、保洁要求：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4.1、地面光洁无杂物，墙顶无蜘蛛网，楼梯扶手、栏杆、消防栓等无积灰，厕所便槽无积垢和异味，洗手池内无赃物，垃圾桶、手纸篓无堆积。</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4.2、定期对玻璃门、玻璃窗、过道门、消防栓等进行一次全面擦洗。做好雨棚、屋面、天沟等处的清扫，确保下水口畅通。</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4.3、根据医务所要求做好季节性的消杀工作。对垃圾桶、沟、井、草地、角落等进行消杀，无蚊、蝇、蟑螂、鼠害。</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4.4、学校生活区所有楼宇（1#、2#、3#、4#、5#、6#、7#、8#、9#、9D、9E学生宿舍楼、大学生活动中心、三栋教职工周转房、大学生创业园、综合服务中心一楼）内场公共区域及外场的垃圾箱、道路、绿化内无杂物、无纸屑、无烟头、无白色垃圾等。</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4.5、清扫与保洁相结合，加强流动保洁，节约用水、用电，杜绝长流水、长明灯。发现门窗、灯、开关、水管、水龙头、冲便器等公共设施有损坏的，保洁员及时报修，维修工及时维修完好。</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（四）</w:t>
      </w:r>
      <w:r>
        <w:rPr>
          <w:rFonts w:hint="eastAsia" w:ascii="仿宋" w:hAnsi="仿宋" w:eastAsia="仿宋" w:cs="仿宋"/>
          <w:b/>
          <w:color w:val="000000" w:themeColor="text1"/>
          <w:spacing w:val="4"/>
          <w:sz w:val="28"/>
          <w:szCs w:val="28"/>
          <w:lang w:eastAsia="zh-CN"/>
        </w:rPr>
        <w:t xml:space="preserve">维修保养修缮服务</w:t>
      </w:r>
      <w:r/>
    </w:p>
    <w:p>
      <w:pPr>
        <w:pStyle w:val="842"/>
        <w:ind w:left="420"/>
        <w:spacing w:line="360" w:lineRule="auto"/>
        <w:rPr>
          <w:rFonts w:ascii="仿宋" w:hAnsi="仿宋" w:eastAsia="仿宋" w:cs="仿宋"/>
          <w:b/>
          <w:color w:val="000000" w:themeColor="text1"/>
          <w:sz w:val="28"/>
          <w:szCs w:val="28"/>
          <w:lang w:eastAsia="zh-CN"/>
        </w:rPr>
      </w:pPr>
      <w:r>
        <w:rPr>
          <w:rFonts w:hint="eastAsia" w:ascii="仿宋" w:hAnsi="仿宋" w:eastAsia="仿宋" w:cs="仿宋"/>
          <w:b/>
          <w:color w:val="000000" w:themeColor="text1"/>
          <w:sz w:val="28"/>
          <w:szCs w:val="28"/>
          <w:lang w:eastAsia="zh-CN"/>
        </w:rPr>
        <w:t xml:space="preserve">1、维修服务内容：</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1.1、管辖范围内的照明系统、水电设施、给排水系统、排污系统、消防系统的安全运行服务，走廊、门厅、公共卫生间、强弱电间、宿舍等的家具、门、窗、锁、玻璃、拉手、窗帘、吊顶、电扇、排风扇、开关、插座、灯具、水龙头、踏脚阀、毛巾架、水池、蹲坑等的维护修缮服务，各类管道发生渗漏或堵塞等情况时要立即维修和疏通到位，确保正常使用。</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1.2、做好室内外露明铁件和消防栓、路灯等的防锈处理，应急灯、疏散指示灯及其线路维修更换。</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1.3、落实消防安全巡查人，定期消防巡查，填写检查记录，对灭火器和消火栓进行保洁，消火栓箱框架和玻璃进行维修更换。遇到突发事情，要根据消防强制性规范进行处理，任务和责任落实到人。发现其他问题及时上报。</w:t>
      </w:r>
      <w:r/>
    </w:p>
    <w:p>
      <w:pPr>
        <w:pStyle w:val="842"/>
        <w:ind w:left="420"/>
        <w:spacing w:line="360" w:lineRule="auto"/>
        <w:rPr>
          <w:rFonts w:ascii="仿宋" w:hAnsi="仿宋" w:eastAsia="仿宋" w:cs="仿宋"/>
          <w:b/>
          <w:color w:val="000000" w:themeColor="text1"/>
          <w:sz w:val="28"/>
          <w:szCs w:val="28"/>
          <w:lang w:eastAsia="zh-CN"/>
        </w:rPr>
      </w:pPr>
      <w:r>
        <w:rPr>
          <w:rFonts w:hint="eastAsia" w:ascii="仿宋" w:hAnsi="仿宋" w:eastAsia="仿宋" w:cs="仿宋"/>
          <w:b/>
          <w:color w:val="000000" w:themeColor="text1"/>
          <w:sz w:val="28"/>
          <w:szCs w:val="28"/>
          <w:lang w:eastAsia="zh-CN"/>
        </w:rPr>
        <w:t xml:space="preserve">2、维修服务要求：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2.1、维修人员维修应持派工单，挂牌上岗。实行24小时值班制度，维修台账记录完整。</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2.2、小修：接到通知后30分钟内到达现场，一般维修实行“小修不过夜，大修连续干”，维修合格率达98%以上。急修：接到通知后15分钟内到达现场，维修合格率达98%以上。</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2.3、承担单件、单价、单项500元以下的非房屋基建及配套设施类的小项目维修，</w:t>
      </w:r>
      <w:r>
        <w:rPr>
          <w:rFonts w:hint="eastAsia" w:ascii="仿宋" w:hAnsi="仿宋" w:eastAsia="仿宋" w:cs="仿宋"/>
          <w:bCs/>
          <w:color w:val="000000" w:themeColor="text1"/>
          <w:sz w:val="28"/>
          <w:szCs w:val="28"/>
          <w:lang w:eastAsia="zh-CN"/>
        </w:rPr>
        <w:t xml:space="preserve">维修主要物料由校方购置,维修附件（螺丝、生料带、电工胶布、胶水等）自行购置，维修工具自行配置。</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2.4、严格按照操作规程操作，确保设施设备正常运行，保障电控系统、照明系统、给排水系统、排污系统、消防系统等安全可靠、畅通运行。</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2.5、经常巡查、询问，发现门、窗、框松动、开关不灵活、照明不亮、家具损坏等应及时修复；对照明系统定期检查维护，电线无外露，线接口无松动；对供水设备系统进行常规性检查和保养；做好雨水井、道板砖、瓷砖、锁具、拉手等公共部位设施的检查维修；做好各类水管水表的防冻保暖工作；无跑、冒、漏、滴现象，并有记录。</w:t>
      </w:r>
      <w:r/>
    </w:p>
    <w:p>
      <w:pPr>
        <w:pStyle w:val="842"/>
        <w:ind w:left="420"/>
        <w:spacing w:line="360" w:lineRule="auto"/>
        <w:rPr>
          <w:rFonts w:ascii="仿宋" w:hAnsi="仿宋" w:eastAsia="仿宋" w:cs="仿宋"/>
          <w:bCs/>
          <w:color w:val="000000" w:themeColor="text1"/>
          <w:sz w:val="28"/>
          <w:szCs w:val="28"/>
          <w:lang w:eastAsia="zh-CN"/>
        </w:rPr>
      </w:pPr>
      <w:r>
        <w:rPr>
          <w:rFonts w:hint="eastAsia" w:ascii="仿宋" w:hAnsi="仿宋" w:eastAsia="仿宋" w:cs="仿宋"/>
          <w:bCs/>
          <w:color w:val="000000" w:themeColor="text1"/>
          <w:sz w:val="28"/>
          <w:szCs w:val="28"/>
          <w:lang w:eastAsia="zh-CN"/>
        </w:rPr>
        <w:t xml:space="preserve">2.6、对于超出维修责任范围的事项及时报告，并做好对学生的解释工作。</w:t>
      </w:r>
      <w:r/>
    </w:p>
    <w:p>
      <w:pPr>
        <w:pStyle w:val="842"/>
        <w:ind w:left="420"/>
        <w:spacing w:line="360" w:lineRule="auto"/>
        <w:rPr>
          <w:rFonts w:ascii="仿宋" w:hAnsi="仿宋" w:eastAsia="仿宋" w:cs="仿宋"/>
          <w:color w:val="000000" w:themeColor="text1"/>
          <w:sz w:val="28"/>
          <w:szCs w:val="28"/>
          <w:lang w:eastAsia="zh-CN"/>
        </w:rPr>
      </w:pPr>
      <w:r>
        <w:rPr>
          <w:rFonts w:ascii="仿宋" w:hAnsi="仿宋" w:eastAsia="仿宋" w:cs="仿宋"/>
          <w:color w:val="000000" w:themeColor="text1"/>
          <w:sz w:val="28"/>
          <w:szCs w:val="28"/>
          <w:lang w:eastAsia="zh-CN"/>
        </w:rPr>
        <w:t xml:space="preserve">（五）校园生活垃圾清运要求</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1每天早中晚按时间及各区域不同要求做好垃圾清运工作，做到及时、到位。</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2做好垃圾站点周边卫生保洁工作。</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3垃圾清运沿途无滴、撒、漏，垃圾车清运过程中盖好垃圾桶盖，做好防护。</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4定期清洗垃圾桶、定期按要求做好垃圾桶及垃圾清运站点的消杀工作。</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5做好现有垃圾桶的维护工作，垃圾桶出现损坏，要按整个校区需求做好添置，确保垃圾桶数量及完好。</w:t>
      </w:r>
      <w:r/>
    </w:p>
    <w:p>
      <w:pPr>
        <w:ind w:firstLine="560"/>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w:t>
      </w:r>
      <w:r>
        <w:rPr>
          <w:rFonts w:ascii="仿宋" w:hAnsi="仿宋" w:eastAsia="仿宋" w:cs="仿宋"/>
          <w:color w:val="000000" w:themeColor="text1"/>
          <w:sz w:val="28"/>
          <w:szCs w:val="28"/>
        </w:rPr>
        <w:t xml:space="preserve">.做好现有垃圾清运车辆维护工作，垃圾清运车辆如出现损坏，按照整个校区需求做好添置和维修，确保校内生活垃圾及时清运至校内生活垃圾分拣站。</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（六）</w:t>
      </w:r>
      <w:r>
        <w:rPr>
          <w:rFonts w:hint="eastAsia" w:ascii="仿宋" w:hAnsi="仿宋" w:eastAsia="仿宋" w:cs="仿宋"/>
          <w:b/>
          <w:color w:val="000000" w:themeColor="text1"/>
          <w:spacing w:val="4"/>
          <w:sz w:val="28"/>
          <w:szCs w:val="28"/>
          <w:lang w:eastAsia="zh-CN"/>
        </w:rPr>
        <w:t xml:space="preserve">其他服务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1、按照招标人的要求，对公共区域内的设施、设备或其他物品等提供搬运服务。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2、对招标人校内举办的活动，物业公司须提供搬运、搭台、布线等人工服务。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3、对招标人新生开学报到、评估检查、大型会议、大型活动及领导视察等提供必须的人工服务。</w:t>
      </w:r>
      <w:r/>
    </w:p>
    <w:p>
      <w:pPr>
        <w:ind w:firstLine="560"/>
        <w:spacing w:line="360" w:lineRule="auto"/>
        <w:tabs>
          <w:tab w:val="left" w:pos="420" w:leader="none"/>
        </w:tabs>
        <w:rPr>
          <w:rFonts w:ascii="仿宋" w:hAnsi="仿宋" w:eastAsia="仿宋" w:cs="仿宋"/>
          <w:color w:val="000000" w:themeColor="text1"/>
          <w:sz w:val="28"/>
          <w:szCs w:val="28"/>
        </w:rPr>
        <w:outlineLvl w:val="0"/>
      </w:pPr>
      <w:r/>
      <w:bookmarkStart w:id="172" w:name="_Toc13968"/>
      <w:r>
        <w:rPr>
          <w:rFonts w:hint="eastAsia" w:ascii="仿宋" w:hAnsi="仿宋" w:eastAsia="仿宋" w:cs="仿宋"/>
          <w:color w:val="000000" w:themeColor="text1"/>
          <w:sz w:val="28"/>
          <w:szCs w:val="28"/>
        </w:rPr>
        <w:t xml:space="preserve">七、</w:t>
      </w:r>
      <w:r>
        <w:rPr>
          <w:rFonts w:hint="eastAsia" w:ascii="仿宋" w:hAnsi="仿宋" w:eastAsia="仿宋" w:cs="仿宋"/>
          <w:b/>
          <w:bCs/>
          <w:color w:val="000000" w:themeColor="text1"/>
          <w:sz w:val="28"/>
          <w:szCs w:val="28"/>
        </w:rPr>
        <w:t xml:space="preserve">服务方案要求</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物业管理总体服务规划与设想方案：投标人结合项目采购需求的整体情况，综合考虑物业服务管理的普遍特征和项目的实际情况，提供针对本项目的总体服务设想、目标定位、服务理念、重点难点分析以及思路创新等角度进行详细阐述；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保洁方案：投标人结合本项目日常保洁服务需求，提供包括但不限于所有建筑内外（包含地面、楼道、走廊、扶手、卫生间、退宿学生寝室、门前三包等）的卫生保洁与环境维护；垃圾清理、收集与定点回收；下水道疏通；以及四害消杀防疫等工作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3.楼宇服务方案：投标人结合本项目楼宇服务需求，提供包括但不限于楼宇安全隐患排查服务等工作方案；提供的方案应细致完整、针对性强、措施有力。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4.公寓服务方案:投标人结合本项目住宿师生日常的生活内容和需求，提供包括但不限于公寓安全隐患排查、公寓床位管理及温馨服务等工作服务方案；提供的方案应细致完整、针对性强、措施有力。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设施设备维护、维修、报修方案:投标人结合本项目服务特点，提供包含但不局限于水电设备、各类照明灯具、配电间、水泵房及楼顶重点机房区域、地下管网等设施设备的日常巡检、维护监管、报修、维修及验收等工作的服务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校园环境管理服务方案:投标人结合本项目校园环境整体情况，提供包括但不限于校园道路环境维护保洁、校园景观建筑维护保洁、绿地清理及水系清洁等工作的服务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人员职责要求方案:投标人结合本项目人员需求，进行组织架构设计和人员配置管理，提供包括但不限于本项目的岗位设置、部门职责、工作流程、规章制度以及人员的配置、管理、培训等工作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8.物资设备配置方案:投标人结合本项目的整体情况，提供包括但不限于为提升劳动效率和工作效果就本项目拟投入的设备、机械、工具等等物资配置方案；如办公设备、保洁设备、日用耗材、会务物资以及汛物资配备等</w:t>
      </w:r>
      <w:bookmarkStart w:id="173" w:name="OLE_LINK4"/>
      <w:r>
        <w:rPr>
          <w:rFonts w:hint="eastAsia" w:ascii="仿宋" w:hAnsi="仿宋" w:eastAsia="仿宋" w:cs="仿宋"/>
          <w:color w:val="000000" w:themeColor="text1"/>
          <w:sz w:val="28"/>
          <w:szCs w:val="28"/>
        </w:rPr>
        <w:t xml:space="preserve">；鼓励中标人</w:t>
      </w:r>
      <w:bookmarkEnd w:id="173"/>
      <w:r>
        <w:rPr>
          <w:rFonts w:hint="eastAsia" w:ascii="仿宋" w:hAnsi="仿宋" w:eastAsia="仿宋" w:cs="仿宋"/>
          <w:color w:val="000000" w:themeColor="text1"/>
          <w:sz w:val="28"/>
          <w:szCs w:val="28"/>
        </w:rPr>
        <w:t xml:space="preserve">提供和使用智能化工具，以提高工作质量和效率。</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文化建设方案:投标人结合本项目服务特点，提供包括但不限于育人特色工作、党建活动、学生劳动实践基地建设、环境育人策划、学生公寓文化活动及重大活动、节假日氛围营造等工作服务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10.应急预案：投标人结合本项目安全工作重点、难点的情况，提供包括但不局限于消防、治安、恶劣天气、公共卫生事件、设施设备突发故障等情况的应急预案等：提供的方案应细致完整、针对性强、措施有力。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节能环保服务方案：投标人结合本项目情况，提供包括但不限于对所辖范围内常明灯、常流水、未按学校规定开启空调等现象进行管控；楼内节能宣传等工作的方案；提供的方案应细致完整、针对性强、措施有力。</w:t>
      </w:r>
      <w:r/>
    </w:p>
    <w:p>
      <w:pPr>
        <w:pStyle w:val="800"/>
        <w:ind w:firstLine="560"/>
        <w:spacing w:line="480" w:lineRule="exact"/>
        <w:rPr>
          <w:rFonts w:hAnsi="宋体"/>
          <w:color w:val="000000" w:themeColor="text1"/>
          <w:sz w:val="24"/>
          <w:szCs w:val="24"/>
        </w:rPr>
      </w:pPr>
      <w:r>
        <w:rPr>
          <w:rFonts w:hint="eastAsia" w:ascii="仿宋" w:hAnsi="仿宋" w:eastAsia="仿宋" w:cs="仿宋"/>
          <w:color w:val="000000" w:themeColor="text1"/>
          <w:sz w:val="28"/>
          <w:szCs w:val="28"/>
        </w:rPr>
        <w:t xml:space="preserve">12.项目交接方案：投标人结合本项目情况，提供物业服务开始及合同到期时的交接方案，包括但不限于交接准备、交流流程、固定资产清查、各类台账的编制整理等工作的方案；方案详实可行，确保交接工作的平稳过渡，确保员工、学生稳定等。交接方案</w:t>
      </w:r>
      <w:r>
        <w:rPr>
          <w:rFonts w:hint="eastAsia" w:ascii="仿宋" w:hAnsi="仿宋" w:eastAsia="仿宋"/>
          <w:color w:val="000000" w:themeColor="text1"/>
          <w:sz w:val="28"/>
          <w:szCs w:val="28"/>
        </w:rPr>
        <w:t xml:space="preserve">应明确包含对学校现聘用的工作人员在同等条件下作出优先安排，制定包含岗位匹配、待遇保</w:t>
      </w:r>
      <w:r>
        <w:rPr>
          <w:rFonts w:hint="eastAsia" w:ascii="仿宋" w:hAnsi="仿宋" w:eastAsia="仿宋"/>
          <w:color w:val="000000" w:themeColor="text1"/>
          <w:sz w:val="28"/>
          <w:szCs w:val="28"/>
        </w:rPr>
        <w:t xml:space="preserve">障、合同签订、思想引导、技能衔接等内容的人员接收与稳定性方案。方案须体现人文关怀与平稳过渡原则，明确新老员工融合管理措施、职业培训计划及薪酬激励办法，确保人员队伍稳定、工作顺利交接、服务质量持续提升。</w:t>
      </w:r>
      <w:r/>
    </w:p>
    <w:p>
      <w:pPr>
        <w:ind w:firstLine="560"/>
        <w:spacing w:line="360" w:lineRule="auto"/>
        <w:tabs>
          <w:tab w:val="left" w:pos="420" w:leader="none"/>
        </w:tabs>
        <w:rPr>
          <w:rFonts w:ascii="仿宋" w:hAnsi="仿宋" w:eastAsia="仿宋" w:cs="仿宋"/>
          <w:b/>
          <w:bCs/>
          <w:color w:val="000000" w:themeColor="text1"/>
          <w:sz w:val="28"/>
          <w:szCs w:val="28"/>
        </w:rPr>
        <w:outlineLvl w:val="0"/>
      </w:pPr>
      <w:r>
        <w:rPr>
          <w:rFonts w:hint="eastAsia" w:ascii="仿宋" w:hAnsi="仿宋" w:eastAsia="仿宋" w:cs="仿宋"/>
          <w:b/>
          <w:bCs/>
          <w:color w:val="000000" w:themeColor="text1"/>
          <w:sz w:val="28"/>
          <w:szCs w:val="28"/>
        </w:rPr>
        <w:t xml:space="preserve">八、履约能力要求</w:t>
      </w:r>
      <w:r/>
    </w:p>
    <w:p>
      <w:pPr>
        <w:ind w:firstLine="56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人员配备符合采购人提出的具体要求。服务人员必须具备良好素养和上岗资质，政治清白，无犯罪记录及不良嗜好，爱岗敬业、身体健康（无传染性疾病)，进场前需提供身份证件复印件、三个月内的体检报告及肝功能检查正常检验单。所有服务人员每年体检一次由投标人负责。配全物业管理服务所需服装、保洁耗材、设备、工具、用具、日常耗材等，分列完整，详细合理，详尽说明齐全程度和来源，符合本项目需求。全体服务人员，自觉遵守保密管理相关法规制度，严格履行保密义务。</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为确保本项目高质量实施，体现项目负责人的责任意识和担当意识，配合甲方做好各项物业管理工作，投标人拟派驻项目主管具有本科以上学历、五年以上类似物业项目管理工作经验；具有类似项目后勤全流程（报修/安保/保洁/应急）处理经验，并能妥善处理类似项目服务客户群体诉求 。</w:t>
      </w:r>
      <w:r/>
    </w:p>
    <w:p>
      <w:pPr>
        <w:ind w:firstLine="56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为确保本项目高质量实施，投标人拟派驻留学生公寓管理员（门值）人员具有相应工作经验，且需可以和留学生交流。</w:t>
      </w:r>
      <w:r/>
    </w:p>
    <w:p>
      <w:pPr>
        <w:ind w:firstLine="56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九、付款方式</w:t>
      </w:r>
      <w:r/>
    </w:p>
    <w:p>
      <w:pPr>
        <w:pStyle w:val="842"/>
        <w:numPr>
          <w:ilvl w:val="0"/>
          <w:numId w:val="7"/>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投标人总报价应包括常规服务费、国家法定节假日、非法定节假日加班费等所有费用，学校不再额外付费，但中标单位必须根据采购方实际需求保质保量完成加班任务。</w:t>
      </w:r>
      <w:r>
        <w:rPr>
          <w:rFonts w:hint="eastAsia" w:ascii="仿宋" w:hAnsi="仿宋" w:eastAsia="仿宋" w:cs="仿宋"/>
          <w:color w:val="000000" w:themeColor="text1"/>
          <w:sz w:val="28"/>
          <w:szCs w:val="28"/>
        </w:rPr>
        <w:t xml:space="preserve">投标人应考虑到这一因素。</w:t>
      </w:r>
      <w:r/>
    </w:p>
    <w:p>
      <w:pPr>
        <w:pStyle w:val="842"/>
        <w:numPr>
          <w:ilvl w:val="0"/>
          <w:numId w:val="7"/>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物业管理服务费的支付方式：合同签字生效后按月后支付方式支付，考核达到90分以上，每次支付月费用的90%，</w:t>
      </w:r>
      <w:r>
        <w:rPr>
          <w:rFonts w:hint="eastAsia" w:ascii="仿宋" w:hAnsi="仿宋" w:eastAsia="仿宋" w:cs="仿宋"/>
          <w:color w:val="000000" w:themeColor="text1"/>
          <w:sz w:val="28"/>
          <w:szCs w:val="28"/>
          <w:lang w:eastAsia="zh-CN"/>
        </w:rPr>
        <w:t xml:space="preserve">低于90分的，每</w:t>
      </w:r>
      <w:r>
        <w:rPr>
          <w:rFonts w:hint="eastAsia" w:ascii="仿宋" w:hAnsi="仿宋" w:eastAsia="仿宋" w:cs="仿宋"/>
          <w:color w:val="000000" w:themeColor="text1"/>
          <w:sz w:val="28"/>
          <w:szCs w:val="28"/>
          <w:lang w:eastAsia="zh-CN"/>
        </w:rPr>
        <w:t xml:space="preserve">低1分扣除月费用的1%，以此类推</w:t>
      </w:r>
      <w:r>
        <w:rPr>
          <w:rFonts w:hint="eastAsia" w:ascii="仿宋" w:hAnsi="仿宋" w:eastAsia="仿宋" w:cs="仿宋"/>
          <w:color w:val="000000" w:themeColor="text1"/>
          <w:sz w:val="28"/>
          <w:szCs w:val="28"/>
          <w:lang w:eastAsia="zh-CN"/>
        </w:rPr>
        <w:t xml:space="preserve">，余款于一年期满后按考核结果按实一次性支付。</w:t>
      </w:r>
      <w:r/>
    </w:p>
    <w:p>
      <w:pPr>
        <w:ind w:firstLine="560"/>
        <w:jc w:val="left"/>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十、物业服务考核办法</w:t>
      </w:r>
      <w:bookmarkEnd w:id="172"/>
      <w:r/>
      <w:r/>
    </w:p>
    <w:p>
      <w:pPr>
        <w:ind w:firstLine="560"/>
        <w:jc w:val="center"/>
        <w:spacing w:line="360" w:lineRule="auto"/>
        <w:rPr>
          <w:rFonts w:ascii="仿宋" w:hAnsi="仿宋" w:eastAsia="仿宋" w:cs="仿宋"/>
          <w:b/>
          <w:color w:val="000000" w:themeColor="text1"/>
          <w:sz w:val="28"/>
          <w:szCs w:val="28"/>
        </w:rPr>
      </w:pPr>
      <w:r>
        <w:rPr>
          <w:rFonts w:hint="eastAsia" w:ascii="仿宋" w:hAnsi="仿宋" w:eastAsia="仿宋" w:cs="仿宋"/>
          <w:color w:val="000000" w:themeColor="text1"/>
          <w:sz w:val="28"/>
          <w:szCs w:val="28"/>
        </w:rPr>
        <w:t xml:space="preserve"> </w:t>
      </w:r>
      <w:r>
        <w:rPr>
          <w:rFonts w:hint="eastAsia" w:ascii="仿宋" w:hAnsi="仿宋" w:eastAsia="仿宋" w:cs="仿宋"/>
          <w:b/>
          <w:color w:val="000000" w:themeColor="text1"/>
          <w:sz w:val="28"/>
          <w:szCs w:val="28"/>
        </w:rPr>
        <w:t xml:space="preserve">学校生活区物业管理考核办法</w:t>
      </w:r>
      <w:r/>
    </w:p>
    <w:p>
      <w:pPr>
        <w:ind w:firstLine="495"/>
        <w:jc w:val="left"/>
        <w:spacing w:after="5"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为进一步提高</w:t>
      </w:r>
      <w:r>
        <w:rPr>
          <w:rFonts w:hint="eastAsia" w:ascii="仿宋" w:hAnsi="仿宋" w:eastAsia="仿宋" w:cs="仿宋"/>
          <w:color w:val="000000" w:themeColor="text1"/>
          <w:sz w:val="28"/>
          <w:szCs w:val="28"/>
        </w:rPr>
        <w:t xml:space="preserve">学校生活区</w:t>
      </w:r>
      <w:r>
        <w:rPr>
          <w:rFonts w:hint="eastAsia" w:ascii="仿宋" w:hAnsi="仿宋" w:eastAsia="仿宋" w:cs="仿宋"/>
          <w:color w:val="000000" w:themeColor="text1"/>
          <w:sz w:val="28"/>
          <w:szCs w:val="28"/>
        </w:rPr>
        <w:t xml:space="preserve">物业管理服务水平，建立科学、规范的岗位管理和考核体系，贯彻学生宿舍“双区协同、三全育人”的目标和要求，特制定以下管理考核办法：</w:t>
      </w:r>
      <w:r/>
    </w:p>
    <w:p>
      <w:pPr>
        <w:jc w:val="left"/>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（一）、常规管理（20分）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人员配备齐全，符合年龄要求，不频繁更换（员工岗位稳定率保持在85%以上，低于85%做相应扣分，每5%核算成考核分1分），统一着装，不缺勤、不随意脱岗、调岗、离岗。</w:t>
      </w:r>
      <w:r>
        <w:rPr>
          <w:rFonts w:hint="eastAsia" w:ascii="仿宋" w:hAnsi="仿宋" w:eastAsia="仿宋" w:cs="仿宋"/>
          <w:color w:val="000000" w:themeColor="text1"/>
          <w:sz w:val="28"/>
          <w:szCs w:val="28"/>
        </w:rPr>
        <w:t xml:space="preserve">（4分）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遵章守纪，在岗在状态，上班期间不做与工作无关的事（例：聊天、玩游戏、争吵打闹、干私事等），严禁空岗、串岗、睡岗。</w:t>
      </w:r>
      <w:r>
        <w:rPr>
          <w:rFonts w:hint="eastAsia" w:ascii="仿宋" w:hAnsi="仿宋" w:eastAsia="仿宋" w:cs="仿宋"/>
          <w:color w:val="000000" w:themeColor="text1"/>
          <w:sz w:val="28"/>
          <w:szCs w:val="28"/>
        </w:rPr>
        <w:t xml:space="preserve">（3分）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办公室、值班室环境优美，物品摆放有序，各项规章制度齐全。杂物间、休息室物品摆放整齐，无安全隐患，干净整洁。公共区域无杂物、无自行车等，通道畅通，消防箱统一位置存放。</w:t>
      </w:r>
      <w:r>
        <w:rPr>
          <w:rFonts w:hint="eastAsia" w:ascii="仿宋" w:hAnsi="仿宋" w:eastAsia="仿宋" w:cs="仿宋"/>
          <w:color w:val="000000" w:themeColor="text1"/>
          <w:sz w:val="28"/>
          <w:szCs w:val="28"/>
        </w:rPr>
        <w:t xml:space="preserve">（3分）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定期开展业务培训，每学期至少一次，并有详细的培训记录。积极参加校方组织的会议，并按要求上交有关工作材料或数据。</w:t>
      </w:r>
      <w:r>
        <w:rPr>
          <w:rFonts w:hint="eastAsia" w:ascii="仿宋" w:hAnsi="仿宋" w:eastAsia="仿宋" w:cs="仿宋"/>
          <w:color w:val="000000" w:themeColor="text1"/>
          <w:sz w:val="28"/>
          <w:szCs w:val="28"/>
        </w:rPr>
        <w:t xml:space="preserve">（4分）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勤俭办公，按规定使用空调，节约用水、用电，无长明灯、长流水，杜绝一切浪费。</w:t>
      </w:r>
      <w:r>
        <w:rPr>
          <w:rFonts w:hint="eastAsia" w:ascii="仿宋" w:hAnsi="仿宋" w:eastAsia="仿宋" w:cs="仿宋"/>
          <w:color w:val="000000" w:themeColor="text1"/>
          <w:sz w:val="28"/>
          <w:szCs w:val="28"/>
        </w:rPr>
        <w:t xml:space="preserve">（3分）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接待师生主动、热情、耐心，师生员工之间无冲突，无师生投诉。关心学生，提供力所能及的各项免费服务。</w:t>
      </w:r>
      <w:r>
        <w:rPr>
          <w:rFonts w:hint="eastAsia" w:ascii="仿宋" w:hAnsi="仿宋" w:eastAsia="仿宋" w:cs="仿宋"/>
          <w:color w:val="000000" w:themeColor="text1"/>
          <w:sz w:val="28"/>
          <w:szCs w:val="28"/>
        </w:rPr>
        <w:t xml:space="preserve">（3分）</w:t>
      </w:r>
      <w:r/>
    </w:p>
    <w:p>
      <w:pPr>
        <w:pStyle w:val="842"/>
        <w:ind w:left="0"/>
        <w:spacing w:after="5" w:line="360" w:lineRule="auto"/>
        <w:rPr>
          <w:rFonts w:ascii="仿宋" w:hAnsi="仿宋" w:eastAsia="仿宋" w:cs="仿宋"/>
          <w:b/>
          <w:color w:val="000000" w:themeColor="text1"/>
          <w:sz w:val="28"/>
          <w:szCs w:val="28"/>
          <w:lang w:eastAsia="zh-CN"/>
        </w:rPr>
      </w:pPr>
      <w:r>
        <w:rPr>
          <w:rFonts w:hint="eastAsia" w:ascii="仿宋" w:hAnsi="仿宋" w:eastAsia="仿宋" w:cs="仿宋"/>
          <w:b/>
          <w:color w:val="000000" w:themeColor="text1"/>
          <w:sz w:val="28"/>
          <w:szCs w:val="28"/>
          <w:lang w:eastAsia="zh-CN"/>
        </w:rPr>
        <w:t xml:space="preserve">（二）、工作质量（40分）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学生宿舍实行24小时值班制度，按时开启关闭。值班记录完整，交接班规范，无缝对接。</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台账记录齐全，条目清晰，规范整齐，有账可查。钥匙存放有序，随时可取，借用规范。大件物品进出逐一登记，记录完整。晚归学生规范登记，异常情况及时汇报。</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对楼内学生熟知率达80%以上。学生不得随意进入异性宿舍。做好</w:t>
      </w:r>
      <w:r>
        <w:rPr>
          <w:rFonts w:hint="eastAsia" w:ascii="仿宋" w:hAnsi="仿宋" w:eastAsia="仿宋" w:cs="仿宋"/>
          <w:color w:val="000000" w:themeColor="text1"/>
          <w:sz w:val="28"/>
          <w:szCs w:val="28"/>
          <w:lang w:eastAsia="zh-CN"/>
        </w:rPr>
        <w:t xml:space="preserve">外来人员的核实、盘查、登记、劝阻工作，对不符合要求的外来人员（装修工人、业务人员、其他闲杂人员）均不得进入宿舍楼内部，</w:t>
      </w:r>
      <w:r>
        <w:rPr>
          <w:rFonts w:hint="eastAsia" w:ascii="仿宋" w:hAnsi="仿宋" w:eastAsia="仿宋" w:cs="仿宋"/>
          <w:color w:val="000000" w:themeColor="text1"/>
          <w:sz w:val="28"/>
          <w:szCs w:val="28"/>
          <w:lang w:eastAsia="zh-CN"/>
        </w:rPr>
        <w:t xml:space="preserve">外来人员进出学生宿舍，必须证件齐全，符合要求，记录完整。无闲杂人员、小商、小贩入内。任何人不得在学生宿舍内兜售物品。</w:t>
      </w:r>
      <w:r>
        <w:rPr>
          <w:rFonts w:hint="eastAsia" w:ascii="仿宋" w:hAnsi="仿宋" w:eastAsia="仿宋" w:cs="仿宋"/>
          <w:color w:val="000000" w:themeColor="text1"/>
          <w:sz w:val="28"/>
          <w:szCs w:val="28"/>
        </w:rPr>
        <w:t xml:space="preserve">（5分）</w:t>
      </w:r>
      <w:r/>
    </w:p>
    <w:p>
      <w:pPr>
        <w:pStyle w:val="842"/>
        <w:numPr>
          <w:ilvl w:val="0"/>
          <w:numId w:val="9"/>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认真耐心接待学生报修、咨询等门卫业务范畴内的工作内容，做到首问负责制。及时处理并跟踪督促解决，不能解决的上报部门负责人，负责人协助处理，部门负责人不能处理的上报校方监管部门，由校方监管部门进行处理，及时跟踪事情处理完成进度及做好工作记录。无学生报修等业务投诉及未按时处理事项。（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学生宿舍调整、毕业生离校、新生入住等，退房（入住）管理规范，交接检查详细完整。及时收集、整理学生入住、退宿信息，确保信息的真实性。不发生学生未退宿，直接按清退宿舍处理，将学生物品占为己有等情况。</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责任区域内每天定时清扫并保持全天整洁。目视无杂物、无积灰、无蜘蛛网、无异味、无污迹、无烟头、无乱涂乱写乱张贴。天棚、下水口等处畅通。垃圾桶清理及时，摆放整齐。宿舍楼前无乱停乱放车辆现象。按要求做好环境消杀，</w:t>
      </w:r>
      <w:r>
        <w:rPr>
          <w:rFonts w:hint="eastAsia" w:ascii="仿宋" w:hAnsi="仿宋" w:eastAsia="仿宋" w:cs="仿宋"/>
          <w:color w:val="000000" w:themeColor="text1"/>
          <w:sz w:val="28"/>
          <w:szCs w:val="28"/>
          <w:lang w:eastAsia="zh-CN"/>
        </w:rPr>
        <w:t xml:space="preserve">卫生工具摆放整齐。</w:t>
      </w:r>
      <w:r>
        <w:rPr>
          <w:rFonts w:hint="eastAsia" w:ascii="仿宋" w:hAnsi="仿宋" w:eastAsia="仿宋" w:cs="仿宋"/>
          <w:color w:val="000000" w:themeColor="text1"/>
          <w:sz w:val="28"/>
          <w:szCs w:val="28"/>
          <w:lang w:eastAsia="zh-CN"/>
        </w:rPr>
        <w:t xml:space="preserve">（5分）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维修人员持证上岗，实行24小时值班制度，维修流程规范，巡查定时，维修及时，服务态度好，记录完整。熟知电控系统，水表记录齐全，并有水电使用情况分析。未经学校同意，不得有乱收费或未按标准收费现象。</w:t>
      </w:r>
      <w:r>
        <w:rPr>
          <w:rFonts w:hint="eastAsia" w:ascii="仿宋" w:hAnsi="仿宋" w:eastAsia="仿宋" w:cs="仿宋"/>
          <w:color w:val="000000" w:themeColor="text1"/>
          <w:sz w:val="28"/>
          <w:szCs w:val="28"/>
        </w:rPr>
        <w:t xml:space="preserve">（5分）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管理好所辖区域内的所有固定资产。严禁将学生宿舍内的物品、固定资产随意搬出、外借或外租，公共区域及连廊内物资按位置存放，不出现遗失、破损等情况。</w:t>
      </w:r>
      <w:r>
        <w:rPr>
          <w:rFonts w:hint="eastAsia" w:ascii="仿宋" w:hAnsi="仿宋" w:eastAsia="仿宋" w:cs="仿宋"/>
          <w:color w:val="000000" w:themeColor="text1"/>
          <w:sz w:val="28"/>
          <w:szCs w:val="28"/>
        </w:rPr>
        <w:t xml:space="preserve">（3分）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提供各项免费服务（缝补、打气筒、小五金等），提供天气预报，做好失物招领、友情提醒等服务并有记录。</w:t>
      </w:r>
      <w:r>
        <w:rPr>
          <w:rFonts w:hint="eastAsia" w:ascii="仿宋" w:hAnsi="仿宋" w:eastAsia="仿宋" w:cs="仿宋"/>
          <w:color w:val="000000" w:themeColor="text1"/>
          <w:sz w:val="28"/>
          <w:szCs w:val="28"/>
        </w:rPr>
        <w:t xml:space="preserve">（2分）</w:t>
      </w:r>
      <w:r/>
    </w:p>
    <w:p>
      <w:pPr>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（三）、寒暑假主要工作管理（10分）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寒暑假期间根据校方需求做好值班安排，保障所辖范围内的服务保障及校方的其他相关值班工作安排。</w:t>
      </w:r>
      <w:r>
        <w:rPr>
          <w:rFonts w:hint="eastAsia" w:ascii="仿宋" w:hAnsi="仿宋" w:eastAsia="仿宋" w:cs="仿宋"/>
          <w:color w:val="000000" w:themeColor="text1"/>
          <w:sz w:val="28"/>
          <w:szCs w:val="28"/>
        </w:rPr>
        <w:t xml:space="preserve">（1分）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暑假期间负责对所有调整宿舍、毕业班宿舍做好退宿管理，退宿后宿舍的全面打扫、维修、物品配置等工作。</w:t>
      </w:r>
      <w:r>
        <w:rPr>
          <w:rFonts w:hint="eastAsia" w:ascii="仿宋" w:hAnsi="仿宋" w:eastAsia="仿宋" w:cs="仿宋"/>
          <w:color w:val="000000" w:themeColor="text1"/>
          <w:sz w:val="28"/>
          <w:szCs w:val="28"/>
        </w:rPr>
        <w:t xml:space="preserve">（4分）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新生宿舍入住前准备工作：室内卫生，钥匙、空调遥控器、卫生工具配置，家具、窗帘、维修情况的检查、反馈、整改。</w:t>
      </w:r>
      <w:r>
        <w:rPr>
          <w:rFonts w:hint="eastAsia" w:ascii="仿宋" w:hAnsi="仿宋" w:eastAsia="仿宋" w:cs="仿宋"/>
          <w:color w:val="000000" w:themeColor="text1"/>
          <w:sz w:val="28"/>
          <w:szCs w:val="28"/>
        </w:rPr>
        <w:t xml:space="preserve">（1分）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调整宿舍、毕业生宿舍内的纸篓、簸箕等保洁清扫工具，做好回收清洗和再利用工作，不得将完好物品当废品处理。</w:t>
      </w:r>
      <w:r>
        <w:rPr>
          <w:rFonts w:hint="eastAsia" w:ascii="仿宋" w:hAnsi="仿宋" w:eastAsia="仿宋" w:cs="仿宋"/>
          <w:color w:val="000000" w:themeColor="text1"/>
          <w:sz w:val="28"/>
          <w:szCs w:val="28"/>
        </w:rPr>
        <w:t xml:space="preserve">（2分）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调整宿舍、毕业生宿舍内学生废弃的棉被、衣服、鞋子、工具箱、画板、旧毛巾、书籍等统一回收管理。不得出现员工私自占为己有。</w:t>
      </w:r>
      <w:r>
        <w:rPr>
          <w:rFonts w:hint="eastAsia" w:ascii="仿宋" w:hAnsi="仿宋" w:eastAsia="仿宋" w:cs="仿宋"/>
          <w:color w:val="000000" w:themeColor="text1"/>
          <w:sz w:val="28"/>
          <w:szCs w:val="28"/>
        </w:rPr>
        <w:t xml:space="preserve">（2分）</w:t>
      </w:r>
      <w:r/>
    </w:p>
    <w:p>
      <w:pPr>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（四）、学生满意度测评（30分）</w:t>
      </w:r>
      <w:r/>
    </w:p>
    <w:p>
      <w:pPr>
        <w:ind w:firstLine="560"/>
        <w:spacing w:after="5"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由校方组织定期通过宿舍物业服务满意度</w:t>
      </w:r>
      <w:r>
        <w:rPr>
          <w:rFonts w:hint="eastAsia" w:ascii="仿宋" w:hAnsi="仿宋" w:eastAsia="仿宋" w:cs="仿宋"/>
          <w:color w:val="000000" w:themeColor="text1"/>
          <w:sz w:val="28"/>
          <w:szCs w:val="28"/>
        </w:rPr>
        <w:t xml:space="preserve">问卷调查等形式进行</w:t>
      </w:r>
      <w:r>
        <w:rPr>
          <w:rFonts w:hint="eastAsia" w:ascii="仿宋" w:hAnsi="仿宋" w:eastAsia="仿宋" w:cs="仿宋"/>
          <w:color w:val="000000" w:themeColor="text1"/>
          <w:sz w:val="28"/>
          <w:szCs w:val="28"/>
        </w:rPr>
        <w:t xml:space="preserve">，对履职情况、日常服务等进行无记名打分测评。</w:t>
      </w:r>
      <w:r/>
    </w:p>
    <w:p>
      <w:pPr>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（五）、附则</w:t>
      </w:r>
      <w:r/>
    </w:p>
    <w:p>
      <w:pPr>
        <w:pStyle w:val="842"/>
        <w:numPr>
          <w:ilvl w:val="0"/>
          <w:numId w:val="11"/>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校方将按照考核办法对物业管理的质量进行检查、考核。通过日查、周查、月查等形式进行，同时结合相关部门测评，进行汇总打分，按照百分比计算得分。</w:t>
      </w:r>
      <w:r/>
    </w:p>
    <w:p>
      <w:pPr>
        <w:pStyle w:val="842"/>
        <w:numPr>
          <w:ilvl w:val="0"/>
          <w:numId w:val="11"/>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学生正常上课期间主要参照“常规管理”和“工作质量”进行考核。寒暑假期间主要参照“寒暑假主要工作管理”进行考核。考核方式为过程考核，每月测评未达到等级，学校对服务外包单位进行约谈。</w:t>
      </w:r>
      <w:r/>
    </w:p>
    <w:p>
      <w:pPr>
        <w:numPr>
          <w:ilvl w:val="0"/>
          <w:numId w:val="11"/>
        </w:num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考核定等</w:t>
      </w:r>
      <w:r>
        <w:rPr>
          <w:rFonts w:hint="eastAsia" w:ascii="仿宋" w:hAnsi="仿宋" w:eastAsia="仿宋" w:cs="仿宋"/>
          <w:color w:val="000000" w:themeColor="text1"/>
          <w:sz w:val="28"/>
          <w:szCs w:val="28"/>
        </w:rPr>
        <w:t xml:space="preserve">。90分以上为合格，89分以下为不合格。月考核达到合格以上，按月支付月物业费，低于90分，每低1分扣除月费用的1%，以此类推；年平均测评达到90分以上，学校一次性结清余款，低于90分的，每低1分扣除余款费用的1%；对学校提出合理化建议并被采纳或其他显著成效的设施设备技能改建等，学校将根据贡献度进行奖励。检查考核中如发现有本考核办法中未涉及的违规行为，由考核人员根据招标书、合同及附件中的有关约定处理；如因受托物业管理公司违规而引发其他问题则根据学校的管理规定处理，责任重大的将按有关法律程序由相关执法部门处理。</w:t>
      </w:r>
      <w:r/>
    </w:p>
    <w:p>
      <w:pPr>
        <w:pStyle w:val="842"/>
        <w:numPr>
          <w:ilvl w:val="0"/>
          <w:numId w:val="11"/>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bCs/>
          <w:color w:val="000000" w:themeColor="text1"/>
          <w:sz w:val="28"/>
          <w:szCs w:val="28"/>
          <w:lang w:eastAsia="zh-CN"/>
        </w:rPr>
        <w:t xml:space="preserve">本办法解释权归后勤处。</w:t>
      </w:r>
      <w:r/>
    </w:p>
    <w:p>
      <w:pPr>
        <w:spacing w:line="360" w:lineRule="auto"/>
        <w:widowControl/>
        <w:tabs>
          <w:tab w:val="left" w:pos="90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十、踏勘现场：</w:t>
      </w:r>
      <w:r/>
    </w:p>
    <w:p>
      <w:pPr>
        <w:ind w:left="426"/>
        <w:spacing w:line="360" w:lineRule="auto"/>
        <w:widowControl/>
        <w:tabs>
          <w:tab w:val="left" w:pos="840" w:leader="none"/>
        </w:tabs>
        <w:rPr>
          <w:rFonts w:ascii="仿宋" w:hAnsi="仿宋" w:eastAsia="仿宋" w:cs="仿宋"/>
          <w:color w:val="000000" w:themeColor="text1"/>
          <w:sz w:val="28"/>
          <w:szCs w:val="28"/>
          <w:highlight w:val="white"/>
        </w:rPr>
      </w:pPr>
      <w:r>
        <w:rPr>
          <w:rFonts w:hint="eastAsia" w:ascii="仿宋" w:hAnsi="仿宋" w:eastAsia="仿宋" w:cs="仿宋"/>
          <w:color w:val="000000" w:themeColor="text1"/>
          <w:sz w:val="28"/>
          <w:szCs w:val="28"/>
          <w:highlight w:val="white"/>
        </w:rPr>
        <w:t xml:space="preserve">9.1本项目</w:t>
      </w:r>
      <w:r>
        <w:rPr>
          <w:rFonts w:hint="eastAsia" w:ascii="仿宋" w:hAnsi="仿宋" w:eastAsia="仿宋" w:cs="仿宋"/>
          <w:bCs/>
          <w:color w:val="000000" w:themeColor="text1"/>
          <w:sz w:val="28"/>
          <w:szCs w:val="28"/>
          <w:highlight w:val="white"/>
        </w:rPr>
        <w:t xml:space="preserve">将组织</w:t>
      </w:r>
      <w:r>
        <w:rPr>
          <w:rFonts w:hint="eastAsia" w:ascii="仿宋" w:hAnsi="仿宋" w:eastAsia="仿宋" w:cs="仿宋"/>
          <w:color w:val="000000" w:themeColor="text1"/>
          <w:sz w:val="28"/>
          <w:szCs w:val="28"/>
          <w:highlight w:val="white"/>
        </w:rPr>
        <w:t xml:space="preserve">集中踏勘现场</w:t>
      </w:r>
      <w:r>
        <w:rPr>
          <w:rFonts w:hint="eastAsia" w:ascii="仿宋" w:hAnsi="仿宋" w:eastAsia="仿宋" w:cs="仿宋"/>
          <w:bCs/>
          <w:color w:val="000000" w:themeColor="text1"/>
          <w:sz w:val="28"/>
          <w:szCs w:val="28"/>
          <w:highlight w:val="white"/>
        </w:rPr>
        <w:t xml:space="preserve">。</w:t>
      </w:r>
      <w:r/>
    </w:p>
    <w:p>
      <w:pPr>
        <w:ind w:left="426"/>
        <w:spacing w:line="360" w:lineRule="auto"/>
        <w:widowControl/>
        <w:tabs>
          <w:tab w:val="left" w:pos="840" w:leader="none"/>
        </w:tabs>
        <w:rPr>
          <w:rFonts w:ascii="仿宋" w:hAnsi="仿宋" w:eastAsia="仿宋" w:cs="仿宋"/>
          <w:color w:val="000000" w:themeColor="text1"/>
          <w:sz w:val="28"/>
          <w:szCs w:val="28"/>
          <w:highlight w:val="white"/>
        </w:rPr>
      </w:pPr>
      <w:r>
        <w:rPr>
          <w:rFonts w:hint="eastAsia" w:ascii="仿宋" w:hAnsi="仿宋" w:eastAsia="仿宋" w:cs="仿宋"/>
          <w:color w:val="000000" w:themeColor="text1"/>
          <w:sz w:val="28"/>
          <w:szCs w:val="28"/>
          <w:highlight w:val="white"/>
        </w:rPr>
        <w:t xml:space="preserve">9.2踏勘集合时间：</w:t>
      </w:r>
      <w:r>
        <w:rPr>
          <w:rFonts w:hint="eastAsia" w:ascii="仿宋" w:hAnsi="仿宋" w:eastAsia="仿宋" w:cs="仿宋"/>
          <w:color w:val="000000" w:themeColor="text1"/>
          <w:sz w:val="28"/>
          <w:szCs w:val="28"/>
          <w:highlight w:val="none"/>
        </w:rPr>
        <w:t xml:space="preserve">2026年8月18日</w:t>
      </w:r>
      <w:r>
        <w:rPr>
          <w:rFonts w:hint="eastAsia" w:ascii="仿宋" w:hAnsi="仿宋" w:eastAsia="仿宋" w:cs="仿宋"/>
          <w:color w:val="000000" w:themeColor="text1"/>
          <w:sz w:val="28"/>
          <w:szCs w:val="28"/>
          <w:highlight w:val="none"/>
        </w:rPr>
        <w:t xml:space="preserve">9点30分</w:t>
      </w:r>
      <w:r>
        <w:rPr>
          <w:rFonts w:hint="eastAsia" w:ascii="仿宋" w:hAnsi="仿宋" w:eastAsia="仿宋" w:cs="仿宋"/>
          <w:color w:val="000000" w:themeColor="text1"/>
          <w:sz w:val="28"/>
          <w:szCs w:val="28"/>
          <w:highlight w:val="none"/>
        </w:rPr>
        <w:t xml:space="preserve"> </w:t>
      </w:r>
      <w:r/>
    </w:p>
    <w:p>
      <w:pPr>
        <w:ind w:left="426"/>
        <w:spacing w:line="360" w:lineRule="auto"/>
        <w:widowControl/>
        <w:tabs>
          <w:tab w:val="left" w:pos="840" w:leader="none"/>
        </w:tabs>
        <w:rPr>
          <w:rFonts w:ascii="仿宋" w:hAnsi="仿宋" w:eastAsia="仿宋" w:cs="仿宋"/>
          <w:color w:val="000000" w:themeColor="text1"/>
          <w:sz w:val="28"/>
          <w:szCs w:val="28"/>
          <w:highlight w:val="white"/>
        </w:rPr>
      </w:pPr>
      <w:r>
        <w:rPr>
          <w:rFonts w:hint="eastAsia" w:ascii="仿宋" w:hAnsi="仿宋" w:eastAsia="仿宋" w:cs="仿宋"/>
          <w:color w:val="000000" w:themeColor="text1"/>
          <w:sz w:val="28"/>
          <w:szCs w:val="28"/>
          <w:highlight w:val="white"/>
        </w:rPr>
        <w:t xml:space="preserve"> 9.3踏勘集合地点：</w:t>
      </w:r>
      <w:r>
        <w:rPr>
          <w:rFonts w:hint="eastAsia" w:ascii="仿宋" w:hAnsi="仿宋" w:eastAsia="仿宋" w:cs="仿宋"/>
          <w:color w:val="000000" w:themeColor="text1"/>
          <w:sz w:val="28"/>
          <w:szCs w:val="28"/>
          <w:highlight w:val="white"/>
        </w:rPr>
        <w:t xml:space="preserve">江苏省无锡市惠山区钱藕路1号</w:t>
      </w:r>
      <w:r>
        <w:rPr>
          <w:rFonts w:hint="eastAsia" w:ascii="仿宋" w:hAnsi="仿宋" w:eastAsia="仿宋" w:cs="仿宋"/>
          <w:color w:val="000000" w:themeColor="text1"/>
          <w:sz w:val="28"/>
          <w:szCs w:val="28"/>
          <w:highlight w:val="white"/>
        </w:rPr>
      </w:r>
      <w:r/>
    </w:p>
    <w:p>
      <w:pPr>
        <w:ind w:left="426"/>
        <w:spacing w:line="360" w:lineRule="auto"/>
        <w:widowControl/>
        <w:tabs>
          <w:tab w:val="left" w:pos="840" w:leader="none"/>
        </w:tabs>
        <w:rPr>
          <w:rFonts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highlight w:val="white"/>
        </w:rPr>
        <w:t xml:space="preserve"> 9.4踏勘联系人：</w:t>
      </w:r>
      <w:r>
        <w:rPr>
          <w:rFonts w:hint="eastAsia" w:ascii="仿宋" w:hAnsi="仿宋" w:eastAsia="仿宋" w:cs="仿宋"/>
          <w:color w:val="000000" w:themeColor="text1"/>
          <w:sz w:val="28"/>
          <w:szCs w:val="28"/>
          <w:highlight w:val="white"/>
        </w:rPr>
        <w:t xml:space="preserve">黄继超15956515156</w:t>
      </w:r>
      <w:r>
        <w:rPr>
          <w:rFonts w:hint="eastAsia" w:ascii="仿宋" w:hAnsi="仿宋" w:eastAsia="仿宋" w:cs="仿宋"/>
          <w:color w:val="000000" w:themeColor="text1"/>
          <w:sz w:val="28"/>
          <w:szCs w:val="28"/>
          <w:highlight w:val="white"/>
        </w:rPr>
      </w: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请投标人授权代表持身份证原件、企业法人营业执照复印件加盖公章、法人授权委托书，前往勘察并现场签到。请务必对项目现场和周围环境进行仔细、认真地查勘，在随后的采购中，对现场资料和数据所作出的推论、解释和结论及由此造成的后果由投标人负责。</w:t>
      </w:r>
      <w:r/>
    </w:p>
    <w:p>
      <w:pPr>
        <w:jc w:val="center"/>
        <w:spacing w:line="360" w:lineRule="auto"/>
        <w:widowControl/>
        <w:rPr>
          <w:rFonts w:ascii="宋体" w:hAnsi="宋体" w:cs="宋体"/>
          <w:b/>
          <w:color w:val="000000" w:themeColor="text1"/>
          <w:sz w:val="24"/>
          <w:szCs w:val="24"/>
        </w:rPr>
      </w:pPr>
      <w:r>
        <w:rPr>
          <w:rFonts w:ascii="宋体" w:hAnsi="宋体" w:cs="宋体"/>
          <w:b/>
          <w:bCs/>
          <w:color w:val="000000" w:themeColor="text1"/>
          <w:sz w:val="24"/>
          <w:szCs w:val="24"/>
        </w:rPr>
        <w:br w:type="page" w:clear="all"/>
      </w:r>
      <w:bookmarkStart w:id="174" w:name="_Toc10539784"/>
      <w:r/>
      <w:bookmarkEnd w:id="174"/>
      <w:r/>
      <w:r/>
    </w:p>
    <w:tbl>
      <w:tblPr>
        <w:tblW w:w="9360" w:type="dxa"/>
        <w:tblInd w:w="93" w:type="dxa"/>
        <w:tblLook w:val="04A0" w:firstRow="1" w:lastRow="0" w:firstColumn="1" w:lastColumn="0" w:noHBand="0" w:noVBand="1"/>
      </w:tblPr>
      <w:tblGrid>
        <w:gridCol w:w="812"/>
        <w:gridCol w:w="4686"/>
        <w:gridCol w:w="1041"/>
        <w:gridCol w:w="1041"/>
        <w:gridCol w:w="2507"/>
      </w:tblGrid>
      <w:tr>
        <w:trPr>
          <w:trHeight w:val="510"/>
        </w:trPr>
        <w:tc>
          <w:tcPr>
            <w:gridSpan w:val="5"/>
            <w:shd w:val="clear" w:color="auto" w:fill="auto"/>
            <w:tcBorders>
              <w:top w:val="none" w:color="000000" w:sz="4" w:space="0"/>
              <w:left w:val="none" w:color="000000" w:sz="4" w:space="0"/>
              <w:bottom w:val="none" w:color="000000" w:sz="4" w:space="0"/>
              <w:right w:val="none" w:color="000000" w:sz="4" w:space="0"/>
            </w:tcBorders>
            <w:tcW w:w="9360" w:type="dxa"/>
            <w:vAlign w:val="bottom"/>
            <w:textDirection w:val="lrTb"/>
            <w:noWrap w:val="false"/>
          </w:tcPr>
          <w:p>
            <w:pPr>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附一：</w:t>
            </w:r>
            <w:r/>
          </w:p>
          <w:p>
            <w:pPr>
              <w:jc w:val="center"/>
              <w:widowControl/>
              <w:rPr>
                <w:rFonts w:ascii="宋体" w:hAnsi="宋体" w:cs="宋体"/>
                <w:color w:val="000000" w:themeColor="text1"/>
                <w:sz w:val="40"/>
                <w:szCs w:val="40"/>
              </w:rPr>
            </w:pPr>
            <w:r>
              <w:rPr>
                <w:rFonts w:hint="eastAsia" w:ascii="宋体" w:hAnsi="宋体" w:cs="宋体"/>
                <w:color w:val="000000" w:themeColor="text1"/>
                <w:sz w:val="40"/>
                <w:szCs w:val="40"/>
              </w:rPr>
              <w:t xml:space="preserve">寒  假 考 核 评 分 表</w:t>
            </w:r>
            <w:r/>
          </w:p>
        </w:tc>
      </w:tr>
      <w:tr>
        <w:trPr>
          <w:trHeight w:val="285"/>
        </w:trPr>
        <w:tc>
          <w:tcPr>
            <w:gridSpan w:val="5"/>
            <w:shd w:val="clear" w:color="auto" w:fill="auto"/>
            <w:tcBorders>
              <w:top w:val="none" w:color="000000" w:sz="4" w:space="0"/>
              <w:left w:val="none" w:color="000000" w:sz="4" w:space="0"/>
              <w:bottom w:val="none" w:color="000000" w:sz="4" w:space="0"/>
              <w:right w:val="none" w:color="000000" w:sz="4" w:space="0"/>
            </w:tcBorders>
            <w:tcW w:w="9360" w:type="dxa"/>
            <w:vAlign w:val="bottom"/>
            <w:textDirection w:val="lrTb"/>
            <w:noWrap w:val="false"/>
          </w:tcPr>
          <w:p>
            <w:pPr>
              <w:jc w:val="righ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考核期：   年   月    日至   月   日</w:t>
            </w:r>
            <w:r/>
          </w:p>
        </w:tc>
      </w:tr>
      <w:tr>
        <w:trPr>
          <w:trHeight w:val="540"/>
        </w:trPr>
        <w:tc>
          <w:tcPr>
            <w:gridSpan w:val="5"/>
            <w:shd w:val="clear" w:color="auto" w:fill="auto"/>
            <w:tcBorders>
              <w:top w:val="none" w:color="000000" w:sz="4" w:space="0"/>
              <w:left w:val="none" w:color="000000" w:sz="4" w:space="0"/>
              <w:bottom w:val="single" w:color="000000" w:sz="4" w:space="0"/>
              <w:right w:val="none" w:color="000000" w:sz="4" w:space="0"/>
            </w:tcBorders>
            <w:tcW w:w="9360" w:type="dxa"/>
            <w:vAlign w:val="bottom"/>
            <w:textDirection w:val="lrTb"/>
            <w:noWrap w:val="false"/>
          </w:tcPr>
          <w:p>
            <w:pPr>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检查人员：</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扣分内容</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寒假期间，值班人员配备齐全，符合工作要求，不缺勤、不随意脱岗、调岗、离岗。遵章守纪，在岗在状态，上班期间不做与工作无关的事。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寒假期间，对楼内学生熟知率达98%以上。学生不得随意进入异性宿舍。接待师生主动、热情、耐心，师生员工之间无冲突，无师生投诉。关心寒假留校学生，提供力所能及的各项免费服务。做好寒假期间施工人员的进出管理，证件齐全，记录完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寒假期间清点所有钥匙，无人的公共区域门窗关闭、上锁。水管、水表做好防冻保暖工作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楼公共区域的卫生保洁工作全面到位。门、家具、地面、卫生间等干净整洁无异味，墙面、柜门等处无乱涂乱写、阳台下水口、天沟、雨棚等处无杂物，下水畅通。做好公共部位、垃圾桶等的清洗及消杀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退宿宿舍做好做好清洗、修整工作。宿舍内废弃的棉被、衣服、鞋子、工具箱、画板、书籍等统一回收处理，不出现员工私自占为己有的情况。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无人的学生公寓内水、电、门窗关闭，阳台上的物品（衣物、凳子等）收回室内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85"/>
        </w:trPr>
        <w:tc>
          <w:tcPr>
            <w:gridSpan w:val="2"/>
            <w:shd w:val="clear" w:color="auto" w:fill="auto"/>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r>
      <w:tr>
        <w:trPr>
          <w:trHeight w:val="480"/>
        </w:trPr>
        <w:tc>
          <w:tcPr>
            <w:gridSpan w:val="5"/>
            <w:shd w:val="clear" w:color="auto" w:fill="auto"/>
            <w:tcBorders>
              <w:top w:val="single" w:color="000000" w:sz="4" w:space="0"/>
              <w:left w:val="none" w:color="000000" w:sz="4" w:space="0"/>
              <w:bottom w:val="single" w:color="000000" w:sz="4" w:space="0"/>
              <w:right w:val="none" w:color="000000" w:sz="4" w:space="0"/>
            </w:tcBorders>
            <w:tcW w:w="9360" w:type="dxa"/>
            <w:vAlign w:val="bottom"/>
            <w:textDirection w:val="lrTb"/>
            <w:noWrap w:val="false"/>
          </w:tcPr>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tc>
      </w:tr>
      <w:tr>
        <w:trPr>
          <w:trHeight w:val="480"/>
        </w:trPr>
        <w:tc>
          <w:tcPr>
            <w:gridSpan w:val="5"/>
            <w:shd w:val="clear" w:color="auto" w:fill="auto"/>
            <w:tcBorders>
              <w:top w:val="single" w:color="000000" w:sz="4" w:space="0"/>
              <w:left w:val="none" w:color="000000" w:sz="4" w:space="0"/>
              <w:bottom w:val="none" w:color="000000" w:sz="4" w:space="0"/>
              <w:right w:val="none" w:color="000000" w:sz="4" w:space="0"/>
            </w:tcBorders>
            <w:tcW w:w="9360" w:type="dxa"/>
            <w:vAlign w:val="bottom"/>
            <w:textDirection w:val="lrTb"/>
            <w:noWrap w:val="false"/>
          </w:tcPr>
          <w:p>
            <w:pPr>
              <w:jc w:val="lef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附二：</w:t>
            </w:r>
            <w:r/>
          </w:p>
          <w:tbl>
            <w:tblPr>
              <w:tblW w:w="9870" w:type="dxa"/>
              <w:tblLook w:val="04A0" w:firstRow="1" w:lastRow="0" w:firstColumn="1" w:lastColumn="0" w:noHBand="0" w:noVBand="1"/>
            </w:tblPr>
            <w:tblGrid>
              <w:gridCol w:w="1301"/>
              <w:gridCol w:w="5544"/>
              <w:gridCol w:w="656"/>
              <w:gridCol w:w="656"/>
              <w:gridCol w:w="1713"/>
            </w:tblGrid>
            <w:tr>
              <w:trPr>
                <w:gridAfter w:val="1"/>
                <w:trHeight w:val="540"/>
              </w:trPr>
              <w:tc>
                <w:tcPr>
                  <w:gridSpan w:val="4"/>
                  <w:shd w:val="clear" w:color="auto" w:fill="auto"/>
                  <w:tcBorders>
                    <w:top w:val="none" w:color="000000" w:sz="4" w:space="0"/>
                    <w:left w:val="none" w:color="000000" w:sz="4" w:space="0"/>
                    <w:bottom w:val="none" w:color="000000" w:sz="4" w:space="0"/>
                    <w:right w:val="none" w:color="000000" w:sz="4" w:space="0"/>
                  </w:tcBorders>
                  <w:tcW w:w="9870" w:type="dxa"/>
                  <w:vAlign w:val="bottom"/>
                  <w:textDirection w:val="lrTb"/>
                  <w:noWrap w:val="false"/>
                </w:tcPr>
                <w:p>
                  <w:pPr>
                    <w:jc w:val="center"/>
                    <w:widowControl/>
                    <w:rPr>
                      <w:rFonts w:ascii="宋体" w:hAnsi="宋体" w:cs="宋体"/>
                      <w:color w:val="000000" w:themeColor="text1"/>
                      <w:sz w:val="40"/>
                      <w:szCs w:val="40"/>
                    </w:rPr>
                  </w:pPr>
                  <w:r>
                    <w:rPr>
                      <w:rFonts w:hint="eastAsia" w:ascii="宋体" w:hAnsi="宋体" w:cs="宋体"/>
                      <w:color w:val="000000" w:themeColor="text1"/>
                      <w:sz w:val="40"/>
                      <w:szCs w:val="40"/>
                    </w:rPr>
                    <w:t xml:space="preserve">暑 期 考 核 评 分 表</w:t>
                  </w:r>
                  <w:r/>
                </w:p>
              </w:tc>
            </w:tr>
            <w:tr>
              <w:trPr>
                <w:gridAfter w:val="1"/>
                <w:trHeight w:val="420"/>
              </w:trPr>
              <w:tc>
                <w:tcPr>
                  <w:gridSpan w:val="4"/>
                  <w:shd w:val="clear" w:color="auto" w:fill="auto"/>
                  <w:tcBorders>
                    <w:top w:val="none" w:color="000000" w:sz="4" w:space="0"/>
                    <w:left w:val="none" w:color="000000" w:sz="4" w:space="0"/>
                    <w:bottom w:val="none" w:color="000000" w:sz="4" w:space="0"/>
                    <w:right w:val="none" w:color="000000" w:sz="4" w:space="0"/>
                  </w:tcBorders>
                  <w:tcW w:w="9870" w:type="dxa"/>
                  <w:vAlign w:val="bottom"/>
                  <w:textDirection w:val="lrTb"/>
                  <w:noWrap w:val="false"/>
                </w:tcPr>
                <w:p>
                  <w:pPr>
                    <w:jc w:val="righ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考核期：    年    月     日至    月    日</w:t>
                  </w:r>
                  <w:r/>
                </w:p>
              </w:tc>
            </w:tr>
            <w:tr>
              <w:trPr>
                <w:gridAfter w:val="1"/>
                <w:trHeight w:val="450"/>
              </w:trPr>
              <w:tc>
                <w:tcPr>
                  <w:gridSpan w:val="4"/>
                  <w:shd w:val="clear" w:color="auto" w:fill="auto"/>
                  <w:tcBorders>
                    <w:top w:val="none" w:color="000000" w:sz="4" w:space="0"/>
                    <w:left w:val="none" w:color="000000" w:sz="4" w:space="0"/>
                    <w:bottom w:val="single" w:color="000000" w:sz="4" w:space="0"/>
                    <w:right w:val="none" w:color="000000" w:sz="4" w:space="0"/>
                  </w:tcBorders>
                  <w:tcW w:w="9870" w:type="dxa"/>
                  <w:vAlign w:val="bottom"/>
                  <w:textDirection w:val="lrTb"/>
                  <w:noWrap w:val="false"/>
                </w:tcPr>
                <w:p>
                  <w:pPr>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检查人员：</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扣分内容</w:t>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暑假期间，值班人员配备齐全，符合工作要求，不缺勤、不随意脱岗、调岗、离岗。遵章守纪，在岗在状态，上班期间不做与工作无关的事。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41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暑假期间，对楼内学生熟知率达98%以上。学生不得随意进入异性宿舍。接待师生主动、热情、耐心，师生员工之间无冲突，无师生投诉。关心暑期留校学生，提供力所能及的各项免费服务。做好暑期施工人员的进出管理，证件齐全，记录完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负责区域内所有调整宿舍、毕业生宿舍的退宿管理，不出差错，无安全事故。钥匙、遥控收回(发放），记录清楚完整。、及时收集、整理学生调宿信息，确保信息的真实性。不发生学生未退宿，直接按清退宿舍处理，将学生物品占为己有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宿舍的维修出新按要求及时完成，无返工等不到位情况。维修中节约耗材，严格按照修旧利费的原则，做好宿舍的全面检修电扇全面清洗维修、空调滤网清洗干净。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4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的卫生保洁工作全面到位。门、家具、地面、卫生间等干净整洁无异味，墙面、柜门等处无乱涂乱写、阳台下水口、天沟、雨棚等处无杂物，下水畅通。做好所有宿舍的灭蟑螂清除工作，公共部位、垃圾桶等的清洗及消杀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宿舍物品配置完好，无缺失情况。凳子齐全并有编号，蚊帐杆齐全，柜内挂衣杆无缺失，窗帘完好等。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回收废弃的旧纸篓、旧簸箕等保洁工具，做好清洗、修整等再利用。宿舍内废弃的棉被、衣服、鞋子、工具箱、画板、书籍等统一回收处理，不出现员工私自占为己有的情况。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勤俭办公，按规定使用空调，节约用水、用电，无长明灯、长流水，杜绝一切浪费。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管理好所辖区域内的所有固定资产。严禁将学生宿舍内的物品、固定资产随意搬出、外借或外租，公共区域及连廊内物资按位置存放，不出现遗失、破损等情况。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70"/>
              </w:trPr>
              <w:tc>
                <w:tcPr>
                  <w:gridSpan w:val="2"/>
                  <w:shd w:val="clear" w:color="auto" w:fill="auto"/>
                  <w:tcBorders>
                    <w:top w:val="single" w:color="000000" w:sz="4" w:space="0"/>
                    <w:left w:val="single" w:color="000000" w:sz="4" w:space="0"/>
                    <w:bottom w:val="single" w:color="000000" w:sz="4" w:space="0"/>
                    <w:right w:val="single" w:color="000000" w:sz="4" w:space="0"/>
                  </w:tcBorders>
                  <w:tcW w:w="586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r>
            <w:tr>
              <w:trPr>
                <w:gridAfter w:val="1"/>
                <w:trHeight w:val="555"/>
              </w:trPr>
              <w:tc>
                <w:tcPr>
                  <w:gridSpan w:val="4"/>
                  <w:shd w:val="clear" w:color="auto" w:fill="auto"/>
                  <w:tcBorders>
                    <w:top w:val="single" w:color="000000" w:sz="4" w:space="0"/>
                    <w:left w:val="none" w:color="000000" w:sz="4" w:space="0"/>
                    <w:bottom w:val="none" w:color="000000" w:sz="4" w:space="0"/>
                    <w:right w:val="none" w:color="000000" w:sz="4" w:space="0"/>
                  </w:tcBorders>
                  <w:tcW w:w="9870" w:type="dxa"/>
                  <w:vAlign w:val="bottom"/>
                  <w:textDirection w:val="lrTb"/>
                  <w:noWrap w:val="false"/>
                </w:tcPr>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tc>
            </w:tr>
          </w:tbl>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tc>
      </w:tr>
    </w:tbl>
    <w:p>
      <w:pPr>
        <w:widowControl/>
        <w:rPr>
          <w:rFonts w:ascii="宋体" w:hAnsi="宋体" w:cs="宋体"/>
          <w:color w:val="000000" w:themeColor="text1"/>
          <w:sz w:val="32"/>
          <w:szCs w:val="32"/>
        </w:rPr>
      </w:pPr>
      <w:r>
        <w:rPr>
          <w:rFonts w:ascii="宋体" w:hAnsi="宋体" w:cs="宋体"/>
          <w:color w:val="000000" w:themeColor="text1"/>
          <w:sz w:val="32"/>
          <w:szCs w:val="32"/>
        </w:rPr>
      </w:r>
      <w:r/>
    </w:p>
    <w:tbl>
      <w:tblPr>
        <w:tblW w:w="10125" w:type="dxa"/>
        <w:tblInd w:w="93" w:type="dxa"/>
        <w:tblLook w:val="04A0" w:firstRow="1" w:lastRow="0" w:firstColumn="1" w:lastColumn="0" w:noHBand="0" w:noVBand="1"/>
      </w:tblPr>
      <w:tblGrid>
        <w:gridCol w:w="539"/>
        <w:gridCol w:w="6509"/>
        <w:gridCol w:w="656"/>
        <w:gridCol w:w="656"/>
        <w:gridCol w:w="1765"/>
      </w:tblGrid>
      <w:tr>
        <w:trPr>
          <w:trHeight w:val="540"/>
        </w:trPr>
        <w:tc>
          <w:tcPr>
            <w:gridSpan w:val="5"/>
            <w:shd w:val="clear" w:color="auto" w:fill="auto"/>
            <w:tcBorders>
              <w:top w:val="none" w:color="000000" w:sz="4" w:space="0"/>
              <w:left w:val="none" w:color="000000" w:sz="4" w:space="0"/>
              <w:bottom w:val="none" w:color="000000" w:sz="4" w:space="0"/>
              <w:right w:val="none" w:color="000000" w:sz="4" w:space="0"/>
            </w:tcBorders>
            <w:tcW w:w="10125" w:type="dxa"/>
            <w:vAlign w:val="bottom"/>
            <w:textDirection w:val="lrTb"/>
            <w:noWrap w:val="false"/>
          </w:tcPr>
          <w:p>
            <w:pPr>
              <w:jc w:val="lef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附三：</w:t>
            </w:r>
            <w:r/>
          </w:p>
          <w:p>
            <w:pPr>
              <w:jc w:val="center"/>
              <w:widowControl/>
              <w:rPr>
                <w:rFonts w:ascii="宋体" w:hAnsi="宋体" w:cs="宋体"/>
                <w:color w:val="000000" w:themeColor="text1"/>
                <w:sz w:val="40"/>
                <w:szCs w:val="40"/>
              </w:rPr>
            </w:pPr>
            <w:r>
              <w:rPr>
                <w:rFonts w:hint="eastAsia" w:ascii="宋体" w:hAnsi="宋体" w:cs="宋体"/>
                <w:color w:val="000000" w:themeColor="text1"/>
                <w:sz w:val="40"/>
                <w:szCs w:val="40"/>
              </w:rPr>
              <w:t xml:space="preserve">月考核评分表</w:t>
            </w:r>
            <w:r/>
          </w:p>
        </w:tc>
      </w:tr>
      <w:tr>
        <w:trPr>
          <w:trHeight w:val="420"/>
        </w:trPr>
        <w:tc>
          <w:tcPr>
            <w:gridSpan w:val="5"/>
            <w:shd w:val="clear" w:color="auto" w:fill="auto"/>
            <w:tcBorders>
              <w:top w:val="none" w:color="000000" w:sz="4" w:space="0"/>
              <w:left w:val="none" w:color="000000" w:sz="4" w:space="0"/>
              <w:bottom w:val="none" w:color="000000" w:sz="4" w:space="0"/>
              <w:right w:val="none" w:color="000000" w:sz="4" w:space="0"/>
            </w:tcBorders>
            <w:tcW w:w="10125" w:type="dxa"/>
            <w:vAlign w:val="bottom"/>
            <w:textDirection w:val="lrTb"/>
            <w:noWrap w:val="false"/>
          </w:tcPr>
          <w:p>
            <w:pPr>
              <w:jc w:val="righ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考核期：    年    月   日至    月    日</w:t>
            </w:r>
            <w:r/>
          </w:p>
        </w:tc>
      </w:tr>
      <w:tr>
        <w:trPr>
          <w:trHeight w:val="450"/>
        </w:trPr>
        <w:tc>
          <w:tcPr>
            <w:gridSpan w:val="5"/>
            <w:shd w:val="clear" w:color="auto" w:fill="auto"/>
            <w:tcBorders>
              <w:top w:val="none" w:color="000000" w:sz="4" w:space="0"/>
              <w:left w:val="none" w:color="000000" w:sz="4" w:space="0"/>
              <w:bottom w:val="single" w:color="000000" w:sz="4" w:space="0"/>
              <w:right w:val="none" w:color="000000" w:sz="4" w:space="0"/>
            </w:tcBorders>
            <w:tcW w:w="10125" w:type="dxa"/>
            <w:vAlign w:val="bottom"/>
            <w:textDirection w:val="lrTb"/>
            <w:noWrap w:val="false"/>
          </w:tcPr>
          <w:p>
            <w:pPr>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检查人员：</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扣分内容</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常规管理    40分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人员配备齐全，符合年龄要求，不频繁更换；统一着装，不缺勤、不随意脱岗、调岗、离岗。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遵章守纪，在岗在状态，上班期间不做与工作无关的事（例：聊天、玩游戏、争吵打闹、干私事等），严禁空岗、串岗、睡岗。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办公室、值班室环境优美，物品摆放有序，各项规章制度齐全。杂物间、休息室物品摆放整齐，无安全隐患，干净整洁。公共区域无杂物、无自行车等，通道畅通，消防箱统一位置存放。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定期开展业务培训，每学期至少一次，并有详细的培训记录。积极参加校方组织的会议，并按要求上交有关工作材料或数据。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勤俭办公，按规定使用空调，节约用水、用电，无长明灯、长流水，杜绝一切浪费。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接待师生主动、热情、耐心，师生员工之间无冲突，无师生投诉。关心学生，提供力所能及的各项免费服务。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工作质量   60分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学生宿舍实行24小时值班制度，按时开启关闭。值班记录完整，交接班规范，无缝对接。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台账记录齐全，条目清晰，规范整齐，有账可查。钥匙存放有序，随时可取，借用规范。大件物品进出逐一登记，记录完整。晚归学生规范登记，异常情况及时汇报。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对楼内学生熟知率达80%以上。学生不得随意进入异性宿舍。做好外来人员的核实、盘查、登记、劝阻工作，对不符合要求的外来人员（装修工人、业务人员、其他闲杂人员）均不得进入宿舍楼内部，外来人员进出学生宿舍，必须证件齐全，符合要求，记录完整。无闲杂人员、小商、小贩入内。任何人不得在学生宿舍内兜售物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认真耐心接待学生报修、咨询等门卫业务范畴内的工作内容，做到首问负责制。及时处理并跟踪督促解决，不能解决的上报部门负责人，负责人协助处理，部门负责人不能处理的上报校方监管部门，由校方监管部门进行处理，及时跟踪事情处理完成进度及做好工作记录。无学生报修等业务投诉及未按时处理事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Style w:val="1081"/>
                <w:rFonts w:hint="default"/>
                <w:color w:val="000000" w:themeColor="text1"/>
              </w:rPr>
              <w:t xml:space="preserve">学生宿舍调整、毕业生离校、新生入住等，退房（入住）管理规范，交接检查详细完整</w:t>
            </w:r>
            <w:r>
              <w:rPr>
                <w:rStyle w:val="1082"/>
                <w:rFonts w:hint="default"/>
                <w:color w:val="000000" w:themeColor="text1"/>
              </w:rPr>
              <w:t xml:space="preserve">。</w:t>
            </w:r>
            <w:r>
              <w:rPr>
                <w:rStyle w:val="1081"/>
                <w:rFonts w:hint="default"/>
                <w:color w:val="000000" w:themeColor="text1"/>
              </w:rPr>
              <w:t xml:space="preserve">及时收集、整理学生入住、退宿信息，确保信息的真实性。不发生学生未退宿，直接按清退宿舍处理，将学生物品占为己有等情况。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责任区域内每天定时清扫并保持全天整洁。目视无杂物、无积灰、无蜘蛛网、无异味、无污迹、无烟头、无乱涂乱写乱张贴。天棚、下水口等处畅通。普通垃圾桶清理及时，摆放整齐。智能垃圾箱清理及时、复核准确，卫生整洁干净。宿舍楼前无乱停乱放车辆现象。按要求做好环境消杀，卫生工具摆放整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维修人员持证上岗，实行24小时值班制度，维修流程规范，巡查定时，维修及时，服务态度好，记录完整。熟知电控系统，水表记录齐全，并有水电使用情况分析。未经学校同意，不得有乱收费或未按标准收费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管理好所辖区域内的所有固定资产。严禁将学生宿舍内的物品、固定资产随意搬出、外借或外租，公共区域及连廊内物资按位置存放，不出现遗失、破损等情况。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提供各项免费服务（缝补、打气筒、小五金等），提供天气预报，做好失物招领、友情提醒等服务并有记录。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704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r>
    </w:tbl>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pStyle w:val="776"/>
        <w:jc w:val="left"/>
        <w:spacing w:line="400" w:lineRule="exact"/>
        <w:rPr>
          <w:rFonts w:ascii="黑体" w:hAnsi="黑体" w:eastAsia="黑体"/>
          <w:color w:val="000000" w:themeColor="text1"/>
          <w:sz w:val="28"/>
          <w:szCs w:val="28"/>
        </w:rPr>
      </w:pPr>
      <w:r/>
      <w:bookmarkStart w:id="175" w:name="_Toc120614281"/>
      <w:r/>
      <w:r/>
    </w:p>
    <w:p>
      <w:pPr>
        <w:pStyle w:val="776"/>
        <w:spacing w:line="400" w:lineRule="exact"/>
        <w:rPr>
          <w:rFonts w:ascii="黑体" w:hAnsi="黑体" w:eastAsia="黑体"/>
          <w:color w:val="000000" w:themeColor="text1"/>
          <w:sz w:val="28"/>
          <w:szCs w:val="28"/>
        </w:rPr>
      </w:pPr>
      <w:r>
        <w:rPr>
          <w:rFonts w:hint="eastAsia" w:ascii="黑体" w:hAnsi="黑体" w:eastAsia="黑体"/>
          <w:color w:val="000000" w:themeColor="text1"/>
          <w:sz w:val="28"/>
          <w:szCs w:val="28"/>
        </w:rPr>
        <w:t xml:space="preserve">第五章  评标方法与评标标准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采用综合评分法的，评标结果按评审后得分由高到低顺序排列。得分相同的，按投标报价由低到高顺序排列。得分且投标报价相同的并列。</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3"/>
        <w:gridCol w:w="1701"/>
        <w:gridCol w:w="6375"/>
      </w:tblGrid>
      <w:tr>
        <w:trPr/>
        <w:tc>
          <w:tcPr>
            <w:tcW w:w="99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p>
        </w:tc>
        <w:tc>
          <w:tcPr>
            <w:tcW w:w="170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选取中标候选人数量</w:t>
            </w:r>
            <w:r/>
          </w:p>
        </w:tc>
        <w:tc>
          <w:tcPr>
            <w:tcW w:w="637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选取中标候选人的原则</w:t>
            </w:r>
            <w:r/>
          </w:p>
        </w:tc>
      </w:tr>
      <w:tr>
        <w:trPr>
          <w:cantSplit/>
          <w:trHeight w:val="991"/>
        </w:trPr>
        <w:tc>
          <w:tcPr>
            <w:tcW w:w="99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170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6375" w:type="dxa"/>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满足招标文件全部实质性要求，且按照评审因素的量化指标评审得分最高的投标人为中标候选人。</w:t>
            </w:r>
            <w:r>
              <w:rPr>
                <w:rFonts w:ascii="方正仿宋_GBK" w:hAnsi="方正仿宋_GBK" w:eastAsia="方正仿宋_GBK" w:cs="方正仿宋_GBK"/>
                <w:color w:val="000000" w:themeColor="text1"/>
                <w:sz w:val="28"/>
                <w:szCs w:val="28"/>
              </w:rPr>
            </w:r>
            <w:r/>
          </w:p>
        </w:tc>
      </w:tr>
    </w:tbl>
    <w:p>
      <w:pPr>
        <w:pStyle w:val="897"/>
        <w:ind w:firstLine="562"/>
        <w:spacing w:line="400" w:lineRule="exact"/>
        <w:rPr>
          <w:rFonts w:ascii="方正仿宋_GBK" w:hAnsi="方正仿宋_GBK" w:eastAsia="方正仿宋_GBK" w:cs="方正仿宋_GBK"/>
          <w:b/>
          <w:color w:val="000000" w:themeColor="text1"/>
          <w:sz w:val="28"/>
          <w:szCs w:val="28"/>
          <w:highlight w:val="yellow"/>
        </w:rPr>
      </w:pPr>
      <w:r>
        <w:rPr>
          <w:rFonts w:hint="eastAsia" w:ascii="方正仿宋_GBK" w:hAnsi="方正仿宋_GBK" w:eastAsia="方正仿宋_GBK" w:cs="方正仿宋_GBK"/>
          <w:b/>
          <w:color w:val="000000" w:themeColor="text1"/>
          <w:sz w:val="28"/>
          <w:szCs w:val="28"/>
        </w:rPr>
        <w:t xml:space="preserve">政府采购政策功能落实</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1.小微型企业价格扣除</w:t>
      </w:r>
      <w:r/>
    </w:p>
    <w:p>
      <w:pPr>
        <w:pStyle w:val="897"/>
        <w:ind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（1）本项目对小型和微型企业提供的服务给予10%的扣除价格，用扣除后的价格参与评审。</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（2）供应商需按照采购文件的要求提供相应的《中小微企业声明函》。</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2.残疾人福利单位价格扣除</w:t>
      </w:r>
      <w:r/>
    </w:p>
    <w:p>
      <w:pPr>
        <w:pStyle w:val="897"/>
        <w:ind w:left="120"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（1）本项目对残疾人福利性单位视同小型、微型企业，给予10%的价格扣除，用扣除后的价格参与评审。</w:t>
      </w:r>
      <w:r/>
    </w:p>
    <w:p>
      <w:pPr>
        <w:pStyle w:val="897"/>
        <w:ind w:left="120"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（2）残疾人福利单位需按照采购文件的要求提供《残疾人福利性单位声明函》。</w:t>
      </w:r>
      <w:r/>
    </w:p>
    <w:p>
      <w:pPr>
        <w:pStyle w:val="897"/>
        <w:ind w:left="120"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（3）残疾人福利单位标准请参照《关于促进残疾人就业政府采购政策的通知》（财库〔2017〕141号）。</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3.监狱和戒毒企业价格扣除</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（1）本项目对监狱和戒毒企业（简称监狱企业）视同小型、微型企业，给予10%的价格扣除，用扣除后的价格参与评审。</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（3）监狱企业标准请参照《关于政府采购支持监狱企业发展有关问</w:t>
      </w:r>
      <w:r>
        <w:rPr>
          <w:rFonts w:hint="eastAsia" w:ascii="方正仿宋_GBK" w:hAnsi="方正仿宋_GBK" w:eastAsia="方正仿宋_GBK" w:cs="方正仿宋_GBK"/>
          <w:color w:val="000000" w:themeColor="text1"/>
          <w:sz w:val="28"/>
          <w:szCs w:val="28"/>
        </w:rPr>
        <w:t xml:space="preserve">题的通知》（财库〔2014〕68号）。</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4.残疾人福利单位、监狱企业属于小型、微型企业的，不重复享受政策。</w:t>
      </w:r>
      <w:r/>
    </w:p>
    <w:p>
      <w:pPr>
        <w:pStyle w:val="897"/>
        <w:ind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897"/>
        <w:ind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6.联合体各方均为小型、微型企业（残疾人福利单位、监狱企业）的，联合体享受10%价格扣除，用扣除后的价格参与评审。</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7.采购本国产品的支持政策</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color w:val="000000" w:themeColor="text1"/>
          <w:sz w:val="28"/>
          <w:szCs w:val="28"/>
          <w:u w:val="single"/>
        </w:rPr>
        <w:t xml:space="preserve">80%</w:t>
      </w:r>
      <w:r>
        <w:rPr>
          <w:rFonts w:hint="eastAsia" w:ascii="方正仿宋_GBK" w:hAnsi="方正仿宋_GBK" w:eastAsia="方正仿宋_GBK" w:cs="方正仿宋_GBK"/>
          <w:color w:val="000000" w:themeColor="text1"/>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color w:val="000000" w:themeColor="text1"/>
          <w:sz w:val="28"/>
          <w:szCs w:val="28"/>
          <w:u w:val="single"/>
        </w:rPr>
        <w:t xml:space="preserve">20%</w:t>
      </w:r>
      <w:r>
        <w:rPr>
          <w:rFonts w:hint="eastAsia" w:ascii="方正仿宋_GBK" w:hAnsi="方正仿宋_GBK" w:eastAsia="方正仿宋_GBK" w:cs="方正仿宋_GBK"/>
          <w:color w:val="000000" w:themeColor="text1"/>
          <w:sz w:val="28"/>
          <w:szCs w:val="28"/>
        </w:rPr>
        <w:t xml:space="preserve">的价格扣除，用扣除后的价格参与评审。供应商未填写比例数值，或比例数值不足</w:t>
      </w:r>
      <w:r>
        <w:rPr>
          <w:rFonts w:hint="eastAsia" w:ascii="方正仿宋_GBK" w:hAnsi="方正仿宋_GBK" w:eastAsia="方正仿宋_GBK" w:cs="方正仿宋_GBK"/>
          <w:color w:val="000000" w:themeColor="text1"/>
          <w:sz w:val="28"/>
          <w:szCs w:val="28"/>
          <w:u w:val="single"/>
        </w:rPr>
        <w:t xml:space="preserve">80%</w:t>
      </w:r>
      <w:r>
        <w:rPr>
          <w:rFonts w:hint="eastAsia" w:ascii="方正仿宋_GBK" w:hAnsi="方正仿宋_GBK" w:eastAsia="方正仿宋_GBK" w:cs="方正仿宋_GBK"/>
          <w:color w:val="000000" w:themeColor="text1"/>
          <w:sz w:val="28"/>
          <w:szCs w:val="28"/>
        </w:rPr>
        <w:t xml:space="preserve">的，将不享受本国产品价格评审优惠。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7.2 供应商需按照招标文件的要求提供《关于符合本国产品标准的声明函》（以下简称《声明函》），如不提供将不享受本国产品价格评审优惠。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color w:val="000000" w:themeColor="text1"/>
          <w:sz w:val="28"/>
          <w:szCs w:val="28"/>
          <w:u w:val="single"/>
        </w:rPr>
        <w:t xml:space="preserve">“  /  ”</w:t>
      </w:r>
      <w:r>
        <w:rPr>
          <w:rFonts w:hint="eastAsia" w:ascii="方正仿宋_GBK" w:hAnsi="方正仿宋_GBK" w:eastAsia="方正仿宋_GBK" w:cs="方正仿宋_GBK"/>
          <w:color w:val="000000" w:themeColor="text1"/>
          <w:sz w:val="28"/>
          <w:szCs w:val="28"/>
        </w:rPr>
        <w:t xml:space="preserve">的地方无需填写），三项信息中任意一项未填写的视为该项产品不符合本国产品标准，不享受本国产品价格评审优惠。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before="120" w:after="120" w:line="400" w:lineRule="exact"/>
        <w:rPr>
          <w:rFonts w:ascii="方正仿宋_GBK" w:hAnsi="方正仿宋_GBK" w:eastAsia="方正仿宋_GBK" w:cs="方正仿宋_GBK"/>
          <w:b/>
          <w:color w:val="000000" w:themeColor="text1"/>
          <w:sz w:val="28"/>
          <w:szCs w:val="28"/>
        </w:rPr>
      </w:pPr>
      <w:r>
        <w:rPr>
          <w:rFonts w:ascii="方正仿宋_GBK" w:hAnsi="方正仿宋_GBK" w:eastAsia="方正仿宋_GBK" w:cs="方正仿宋_GBK"/>
          <w:b/>
          <w:color w:val="000000" w:themeColor="text1"/>
          <w:sz w:val="28"/>
          <w:szCs w:val="28"/>
        </w:rPr>
        <w:br w:type="page" w:clear="all"/>
      </w:r>
      <w:r>
        <w:rPr>
          <w:rFonts w:hint="eastAsia" w:ascii="方正仿宋_GBK" w:hAnsi="方正仿宋_GBK" w:eastAsia="方正仿宋_GBK" w:cs="方正仿宋_GBK"/>
          <w:b/>
          <w:color w:val="000000" w:themeColor="text1"/>
          <w:sz w:val="28"/>
          <w:szCs w:val="28"/>
        </w:rPr>
        <w:t xml:space="preserve">评标方法与评标标准</w:t>
      </w:r>
      <w:r/>
    </w:p>
    <w:p>
      <w:pPr>
        <w:jc w:val="left"/>
        <w:widowControl/>
        <w:rPr>
          <w:rFonts w:ascii="宋体" w:hAnsi="宋体"/>
          <w:color w:val="000000" w:themeColor="text1"/>
          <w:sz w:val="28"/>
          <w:szCs w:val="28"/>
        </w:rPr>
      </w:pPr>
      <w:r>
        <w:rPr>
          <w:rFonts w:ascii="宋体" w:hAnsi="宋体"/>
          <w:color w:val="000000" w:themeColor="text1"/>
          <w:sz w:val="28"/>
          <w:szCs w:val="28"/>
        </w:rPr>
      </w:r>
      <w:r/>
    </w:p>
    <w:tbl>
      <w:tblPr>
        <w:tblW w:w="4997" w:type="pct"/>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73"/>
        <w:gridCol w:w="1347"/>
        <w:gridCol w:w="764"/>
        <w:gridCol w:w="5699"/>
      </w:tblGrid>
      <w:tr>
        <w:trPr>
          <w:tblCellSpacing w:w="0" w:type="dxa"/>
          <w:trHeight w:val="113"/>
        </w:trPr>
        <w:tc>
          <w:tcPr>
            <w:gridSpan w:val="2"/>
            <w:tcW w:w="1480"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项目</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满分</w:t>
            </w:r>
            <w:r/>
          </w:p>
        </w:tc>
        <w:tc>
          <w:tcPr>
            <w:tcW w:w="3102"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评分标准</w:t>
            </w:r>
            <w:r/>
          </w:p>
        </w:tc>
      </w:tr>
      <w:tr>
        <w:trPr>
          <w:tblCellSpacing w:w="0" w:type="dxa"/>
          <w:trHeight w:val="113"/>
        </w:trPr>
        <w:tc>
          <w:tcPr>
            <w:gridSpan w:val="2"/>
            <w:tcW w:w="1480"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一、报价得分</w:t>
            </w:r>
            <w:r/>
          </w:p>
        </w:tc>
        <w:tc>
          <w:tcPr>
            <w:tcW w:w="416" w:type="pct"/>
            <w:vAlign w:val="center"/>
            <w:textDirection w:val="lrTb"/>
            <w:noWrap w:val="false"/>
          </w:tcPr>
          <w:p>
            <w:pPr>
              <w:pStyle w:val="1077"/>
              <w:jc w:val="center"/>
              <w:spacing w:before="0" w:beforeAutospacing="0" w:after="0" w:afterAutospacing="0" w:line="400" w:lineRule="exact"/>
              <w:widowControl/>
              <w:tabs>
                <w:tab w:val="left" w:pos="371" w:leader="none"/>
              </w:tabs>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30</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价格分采用低价优先法计算，即满足招标文件要求且报价最低的投标人报价为评标基准价</w:t>
            </w:r>
            <w:bookmarkStart w:id="176" w:name="_GoBack"/>
            <w:r>
              <w:rPr>
                <w:rFonts w:hint="eastAsia" w:ascii="宋体" w:hAnsi="宋体" w:cs="宋体"/>
                <w:color w:val="000000" w:themeColor="text1"/>
              </w:rPr>
              <w:t xml:space="preserve">，其价格</w:t>
            </w:r>
            <w:bookmarkEnd w:id="176"/>
            <w:r>
              <w:rPr>
                <w:rFonts w:hint="eastAsia" w:ascii="宋体" w:hAnsi="宋体" w:cs="宋体"/>
                <w:color w:val="000000" w:themeColor="text1"/>
              </w:rPr>
              <w:t xml:space="preserve">分为满分30分，其他投标人的价格分统一按照以下公式计算：</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投标报价得分=(最低报价/该投标人的投标报价)×30分。（小数点保留两位）</w:t>
            </w:r>
            <w:r/>
          </w:p>
        </w:tc>
      </w:tr>
      <w:tr>
        <w:trPr>
          <w:tblCellSpacing w:w="0" w:type="dxa"/>
          <w:trHeight w:val="113"/>
        </w:trPr>
        <w:tc>
          <w:tcPr>
            <w:tcW w:w="747" w:type="pct"/>
            <w:vAlign w:val="center"/>
            <w:vMerge w:val="restart"/>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二、企业实力</w:t>
            </w:r>
            <w:r>
              <w:rPr>
                <w:rFonts w:hint="eastAsia" w:cs="宋体"/>
                <w:b/>
                <w:bCs/>
                <w:color w:val="000000" w:themeColor="text1"/>
                <w:shd w:val="clear" w:color="auto" w:fill="ffffff"/>
              </w:rPr>
              <w:t xml:space="preserve">（</w:t>
            </w:r>
            <w:r>
              <w:rPr>
                <w:rFonts w:hint="eastAsia" w:cs="宋体"/>
                <w:b/>
                <w:bCs/>
                <w:color w:val="000000" w:themeColor="text1"/>
                <w:shd w:val="clear" w:color="auto" w:fill="ffffff"/>
              </w:rPr>
              <w:t xml:space="preserve">6</w:t>
            </w:r>
            <w:r>
              <w:rPr>
                <w:rFonts w:hint="eastAsia" w:cs="宋体"/>
                <w:b/>
                <w:bCs/>
                <w:color w:val="000000" w:themeColor="text1"/>
                <w:shd w:val="clear" w:color="auto" w:fill="ffffff"/>
              </w:rPr>
              <w:t xml:space="preserve">）</w:t>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企业业绩</w:t>
            </w:r>
            <w:r/>
          </w:p>
        </w:tc>
        <w:tc>
          <w:tcPr>
            <w:tcW w:w="416" w:type="pct"/>
            <w:vAlign w:val="center"/>
            <w:textDirection w:val="lrTb"/>
            <w:noWrap w:val="false"/>
          </w:tcPr>
          <w:p>
            <w:pPr>
              <w:pStyle w:val="1077"/>
              <w:jc w:val="center"/>
              <w:spacing w:before="0" w:beforeAutospacing="0" w:after="0" w:afterAutospacing="0" w:line="400" w:lineRule="exact"/>
              <w:widowControl/>
              <w:tabs>
                <w:tab w:val="left" w:pos="371" w:leader="none"/>
              </w:tabs>
              <w:rPr>
                <w:rFonts w:ascii="宋体" w:hAnsi="宋体" w:cs="宋体"/>
                <w:color w:val="000000" w:themeColor="text1"/>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3</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2.1投标人提供自2023年1月1日（以合同签订日期为准）以来承接的类似非住宅类物业管理项目【服务内容需包含保洁服务、维修服务</w:t>
            </w:r>
            <w:r>
              <w:rPr>
                <w:rFonts w:hint="eastAsia" w:ascii="宋体" w:hAnsi="宋体" w:cs="宋体"/>
                <w:color w:val="000000" w:themeColor="text1"/>
              </w:rPr>
              <w:t xml:space="preserve">等</w:t>
            </w:r>
            <w:r>
              <w:rPr>
                <w:rFonts w:hint="eastAsia" w:ascii="宋体" w:hAnsi="宋体" w:cs="宋体"/>
                <w:color w:val="000000" w:themeColor="text1"/>
              </w:rPr>
              <w:t xml:space="preserve">类似</w:t>
            </w:r>
            <w:r>
              <w:rPr>
                <w:rFonts w:hint="eastAsia" w:ascii="宋体" w:hAnsi="宋体" w:cs="宋体"/>
                <w:color w:val="000000" w:themeColor="text1"/>
              </w:rPr>
              <w:t xml:space="preserve">的</w:t>
            </w:r>
            <w:r>
              <w:rPr>
                <w:rFonts w:hint="eastAsia" w:ascii="宋体" w:hAnsi="宋体" w:cs="宋体"/>
                <w:color w:val="000000" w:themeColor="text1"/>
              </w:rPr>
              <w:t xml:space="preserve">服务</w:t>
            </w:r>
            <w:r>
              <w:rPr>
                <w:rFonts w:hint="eastAsia" w:ascii="宋体" w:hAnsi="宋体" w:cs="宋体"/>
                <w:color w:val="000000" w:themeColor="text1"/>
              </w:rPr>
              <w:t xml:space="preserve">】。以上服务内容以合同体现内容为准，服务内容相同，表述不同视为相同。每提供一个满足要求的项目业绩的得1分，累计最多计3分。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注：须提供相应有效合同或复印件并加盖投标人公章，合同日期以签订日期为准，未按要求提供的不得分。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企业管理体系认证</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3</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2.2投标人通过ISO9001质量管理体系认证，通过ISO14001环境管理体系认证，通过ISO45001职业健康体系认证上述认证证书每提供一个得1分，满分3分（须提供有效期内的证书扫描件及证书在国家认监委官方网站的查验截图并加盖投标人公章）。</w:t>
            </w:r>
            <w:r/>
          </w:p>
        </w:tc>
      </w:tr>
      <w:tr>
        <w:trPr>
          <w:tblCellSpacing w:w="0" w:type="dxa"/>
          <w:trHeight w:val="113"/>
        </w:trPr>
        <w:tc>
          <w:tcPr>
            <w:tcW w:w="747" w:type="pct"/>
            <w:vAlign w:val="center"/>
            <w:textDirection w:val="lrTb"/>
            <w:noWrap w:val="false"/>
          </w:tcPr>
          <w:p>
            <w:pPr>
              <w:pStyle w:val="1077"/>
              <w:jc w:val="both"/>
              <w:spacing w:before="0" w:beforeAutospacing="0" w:after="0" w:afterAutospacing="0" w:line="400" w:lineRule="exact"/>
              <w:widowControl/>
              <w:rPr>
                <w:rFonts w:ascii="宋体" w:hAnsi="宋体" w:cs="宋体"/>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三、服务团队实力</w:t>
            </w:r>
            <w:r/>
          </w:p>
        </w:tc>
        <w:tc>
          <w:tcPr>
            <w:tcW w:w="732" w:type="pct"/>
            <w:vAlign w:val="center"/>
            <w:textDirection w:val="lrTb"/>
            <w:noWrap w:val="false"/>
          </w:tcPr>
          <w:p>
            <w:pPr>
              <w:pStyle w:val="1077"/>
              <w:jc w:val="both"/>
              <w:spacing w:before="0" w:beforeAutospacing="0" w:after="0" w:afterAutospacing="0" w:line="400" w:lineRule="exact"/>
              <w:widowControl/>
              <w:rPr>
                <w:rFonts w:ascii="宋体" w:hAnsi="宋体" w:cs="宋体"/>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项目团队</w:t>
            </w:r>
            <w:r/>
          </w:p>
        </w:tc>
        <w:tc>
          <w:tcPr>
            <w:tcW w:w="416" w:type="pct"/>
            <w:vAlign w:val="center"/>
            <w:textDirection w:val="lrTb"/>
            <w:noWrap w:val="false"/>
          </w:tcPr>
          <w:p>
            <w:pPr>
              <w:pStyle w:val="1077"/>
              <w:jc w:val="center"/>
              <w:spacing w:before="0" w:beforeAutospacing="0" w:after="0" w:afterAutospacing="0" w:line="400" w:lineRule="exact"/>
              <w:widowControl/>
              <w:rPr>
                <w:rFonts w:ascii="宋体" w:hAnsi="宋体" w:cs="宋体"/>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14</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3.1（3分）项目主管（限评1人）</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①具有本科或以上学历的得1分；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②具有人社部门（或人社部门认可的第三方证书颁发机构）颁发的物业管理师职业技能等级证书（三级/高级工）的得1分；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③具有五年或以上类似物业管理工作经验的得1分（提供业主单位或业主单位下设管理部门盖章证明材料，需体现聘用时间和职务）。</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3.2（2分）宿舍主管（限评1人）</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①具有专科或以上学历的得1分；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②具有五年或以上类似物业管理工作经验的得1分（提供业主单位或业主单位下设管理部门盖章证明材料，需体现聘用时间和职务）。</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3.3（2分）保洁主管（限评1人）</w:t>
            </w:r>
            <w:r/>
          </w:p>
          <w:p>
            <w:pPr>
              <w:ind w:left="425" w:hanging="425"/>
              <w:jc w:val="left"/>
              <w:spacing w:line="400" w:lineRule="exact"/>
              <w:rPr>
                <w:rFonts w:ascii="宋体" w:hAnsi="宋体" w:cs="宋体"/>
                <w:color w:val="000000" w:themeColor="text1"/>
              </w:rPr>
            </w:pPr>
            <w:r>
              <w:rPr>
                <w:rFonts w:hint="eastAsia" w:ascii="宋体" w:hAnsi="宋体" w:cs="宋体"/>
                <w:color w:val="000000" w:themeColor="text1"/>
              </w:rPr>
              <w:t xml:space="preserve">①具有专科或以上学历的得1分；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②具有人社部门（或人社部门认可的第三方证书颁发机构）颁发的保洁员职业技能等级（三级/高级工）证书的得1分；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3.4（2分）维修主管（限评1人）</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①具有高中或以上学历的得1分；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②具有应急管理厅颁发的低压电工作业的得1分。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3.5（5分）其他项目人员：</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w:t>
            </w:r>
            <w:r>
              <w:rPr>
                <w:rFonts w:ascii="宋体" w:hAnsi="宋体" w:cs="宋体"/>
                <w:color w:val="000000" w:themeColor="text1"/>
              </w:rPr>
              <w:t xml:space="preserve">维修工</w:t>
            </w:r>
            <w:r>
              <w:rPr>
                <w:rFonts w:hint="eastAsia" w:ascii="宋体" w:hAnsi="宋体" w:cs="宋体"/>
                <w:color w:val="000000" w:themeColor="text1"/>
              </w:rPr>
              <w:t xml:space="preserve">中具有低压或高压电工作业证的，有1个得1分，满分2分；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②项目团队中具有特种设备安全管理和作业人员证（项目代号：A）的，得1分；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③项目团队中</w:t>
            </w:r>
            <w:r>
              <w:rPr>
                <w:rFonts w:hint="eastAsia" w:ascii="宋体" w:hAnsi="宋体" w:cs="宋体"/>
                <w:color w:val="000000" w:themeColor="text1"/>
              </w:rPr>
              <w:t xml:space="preserve">具有人社部门（或人社部门认可的第三方证书颁发机构）颁发的保洁员职业技能等级（三级/高级工）证书</w:t>
            </w:r>
            <w:r>
              <w:rPr>
                <w:rFonts w:hint="eastAsia" w:ascii="宋体" w:hAnsi="宋体" w:cs="宋体"/>
                <w:color w:val="000000" w:themeColor="text1"/>
              </w:rPr>
              <w:t xml:space="preserve">，有1个得1分，最高得2分。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备注：</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1、提供证书、证明材料等复印件或扫描件并加盖投标人公章。</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2、提供由相关部门出具的投标前近半年内任意一个月的投标人为其</w:t>
            </w:r>
            <w:r>
              <w:rPr>
                <w:rFonts w:ascii="宋体" w:hAnsi="宋体" w:cs="宋体"/>
                <w:color w:val="000000" w:themeColor="text1"/>
              </w:rPr>
              <w:t xml:space="preserve">缴纳社会保险</w:t>
            </w:r>
            <w:r>
              <w:rPr>
                <w:rFonts w:hint="eastAsia" w:ascii="宋体" w:hAnsi="宋体" w:cs="宋体"/>
                <w:color w:val="000000" w:themeColor="text1"/>
              </w:rPr>
              <w:t xml:space="preserve">证明材料复印件加盖公章，否则对应项人员均不得分。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3、上述人员均不重复计取。</w:t>
            </w:r>
            <w:r/>
          </w:p>
        </w:tc>
      </w:tr>
      <w:tr>
        <w:trPr>
          <w:tblCellSpacing w:w="0" w:type="dxa"/>
          <w:trHeight w:val="113"/>
        </w:trPr>
        <w:tc>
          <w:tcPr>
            <w:tcW w:w="747" w:type="pct"/>
            <w:vAlign w:val="center"/>
            <w:vMerge w:val="restart"/>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四、项目方案（50）</w:t>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物业管理总体服务规划与设想方案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4.1</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中总体服务设想，贴合</w:t>
            </w:r>
            <w:r>
              <w:rPr>
                <w:rFonts w:hint="eastAsia"/>
                <w:color w:val="000000" w:themeColor="text1"/>
              </w:rPr>
              <w:t xml:space="preserve">学生宿舍物业</w:t>
            </w:r>
            <w:r>
              <w:rPr>
                <w:color w:val="000000" w:themeColor="text1"/>
              </w:rPr>
              <w:t xml:space="preserve">管理需求，构建全方位、精细化的物业服务框架内容优于招标文件要求的，本项得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rFonts w:ascii="宋体" w:hAnsi="宋体" w:cs="宋体"/>
                <w:b/>
                <w:bCs/>
                <w:color w:val="000000" w:themeColor="text1"/>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保洁方案</w:t>
            </w:r>
            <w:r/>
          </w:p>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color w:val="000000" w:themeColor="text1"/>
              </w:rPr>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4.2</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保洁方案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保洁服务方案</w:t>
            </w:r>
            <w:r>
              <w:rPr>
                <w:color w:val="000000" w:themeColor="text1"/>
              </w:rPr>
              <w:t xml:space="preserve">”</w:t>
            </w:r>
            <w:r>
              <w:rPr>
                <w:color w:val="000000" w:themeColor="text1"/>
              </w:rPr>
              <w:t xml:space="preserve">中全部条款要求的，</w:t>
            </w:r>
            <w:r>
              <w:rPr>
                <w:color w:val="000000" w:themeColor="text1"/>
              </w:rPr>
              <w:t xml:space="preserve">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保洁服务方案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保洁服务方案</w:t>
            </w:r>
            <w:r>
              <w:rPr>
                <w:color w:val="000000" w:themeColor="text1"/>
              </w:rPr>
              <w:t xml:space="preserve">”</w:t>
            </w:r>
            <w:r>
              <w:rPr>
                <w:color w:val="000000" w:themeColor="text1"/>
              </w:rPr>
              <w:t xml:space="preserve">中地面、楼道、走廊、扶手、</w:t>
            </w:r>
            <w:r>
              <w:rPr>
                <w:rFonts w:hint="eastAsia"/>
                <w:color w:val="000000" w:themeColor="text1"/>
              </w:rPr>
              <w:t xml:space="preserve">公共</w:t>
            </w:r>
            <w:r>
              <w:rPr>
                <w:color w:val="000000" w:themeColor="text1"/>
              </w:rPr>
              <w:t xml:space="preserve">卫生间、退宿学生寝室</w:t>
            </w:r>
            <w:r>
              <w:rPr>
                <w:rFonts w:hint="eastAsia"/>
                <w:color w:val="000000" w:themeColor="text1"/>
              </w:rPr>
              <w:t xml:space="preserve">等</w:t>
            </w:r>
            <w:r>
              <w:rPr>
                <w:color w:val="000000" w:themeColor="text1"/>
              </w:rPr>
              <w:t xml:space="preserve">清洁方案内容优于招标文件要求的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themeColor="text1"/>
                <w:shd w:val="clear" w:color="auto" w:fill="ffffff"/>
              </w:rPr>
              <w:t xml:space="preserve">宿舍管理</w:t>
            </w:r>
            <w:r>
              <w:rPr>
                <w:rFonts w:hint="eastAsia" w:ascii="宋体" w:hAnsi="宋体" w:cs="宋体"/>
                <w:b/>
                <w:bCs/>
                <w:color w:val="000000" w:themeColor="text1"/>
                <w:shd w:val="clear" w:color="auto" w:fill="ffffff"/>
              </w:rPr>
              <w:t xml:space="preserve">服务方案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4.3</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楼宇和公寓服务方案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宿舍服务</w:t>
            </w:r>
            <w:r>
              <w:rPr>
                <w:color w:val="000000" w:themeColor="text1"/>
              </w:rPr>
              <w:t xml:space="preserve">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宿舍服务</w:t>
            </w:r>
            <w:r>
              <w:rPr>
                <w:color w:val="000000" w:themeColor="text1"/>
              </w:rPr>
              <w:t xml:space="preserve">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宿舍服务</w:t>
            </w:r>
            <w:r>
              <w:rPr>
                <w:color w:val="000000" w:themeColor="text1"/>
              </w:rPr>
              <w:t xml:space="preserve">方案</w:t>
            </w:r>
            <w:r>
              <w:rPr>
                <w:color w:val="000000" w:themeColor="text1"/>
              </w:rPr>
              <w:t xml:space="preserve">”</w:t>
            </w:r>
            <w:r>
              <w:rPr>
                <w:color w:val="000000" w:themeColor="text1"/>
              </w:rPr>
              <w:t xml:space="preserve">中</w:t>
            </w:r>
            <w:r>
              <w:rPr>
                <w:rFonts w:hint="eastAsia"/>
                <w:color w:val="000000" w:themeColor="text1"/>
              </w:rPr>
              <w:t xml:space="preserve">宿舍</w:t>
            </w:r>
            <w:r>
              <w:rPr>
                <w:color w:val="000000" w:themeColor="text1"/>
              </w:rPr>
              <w:t xml:space="preserve">安全隐患排查、</w:t>
            </w:r>
            <w:r>
              <w:rPr>
                <w:rFonts w:hint="eastAsia"/>
                <w:color w:val="000000" w:themeColor="text1"/>
              </w:rPr>
              <w:t xml:space="preserve">宿舍</w:t>
            </w:r>
            <w:r>
              <w:rPr>
                <w:color w:val="000000" w:themeColor="text1"/>
              </w:rPr>
              <w:t xml:space="preserve">床位管理及温馨服务等工作内容优于招标文件要求的，本项得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设施设备维护、维修、报修方案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4.4</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设施设备维护、维修、报修方案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设施设备维护报修及零星维修方案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设施设备维护报修及零星维修方案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设施设备维护报修及零星维修方案</w:t>
            </w:r>
            <w:r>
              <w:rPr>
                <w:color w:val="000000" w:themeColor="text1"/>
              </w:rPr>
              <w:t xml:space="preserve">”</w:t>
            </w:r>
            <w:r>
              <w:rPr>
                <w:color w:val="000000" w:themeColor="text1"/>
              </w:rPr>
              <w:t xml:space="preserve">中设施设备的日常巡检、维护监管、报修、验收及零星维修等工作内容优于招标文件要求的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themeColor="text1"/>
              </w:rPr>
              <w:t xml:space="preserve">生活垃圾清运方案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4.5</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中</w:t>
            </w:r>
            <w:r>
              <w:rPr>
                <w:rFonts w:hint="eastAsia"/>
                <w:color w:val="000000" w:themeColor="text1"/>
              </w:rPr>
              <w:t xml:space="preserve">生活垃圾分类、垃圾清运、处理</w:t>
            </w:r>
            <w:r>
              <w:rPr>
                <w:color w:val="000000" w:themeColor="text1"/>
              </w:rPr>
              <w:t xml:space="preserve">等工作的服务内容优于招标文件</w:t>
            </w:r>
            <w:r>
              <w:rPr>
                <w:color w:val="000000" w:themeColor="text1"/>
              </w:rPr>
              <w:t xml:space="preserve">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b/>
                <w:bCs/>
                <w:color w:val="000000" w:themeColor="text1"/>
              </w:rPr>
              <w:t xml:space="preserve">人员职责</w:t>
            </w:r>
            <w:r>
              <w:rPr>
                <w:rFonts w:hint="eastAsia"/>
                <w:b/>
                <w:bCs/>
                <w:color w:val="000000" w:themeColor="text1"/>
              </w:rPr>
              <w:t xml:space="preserve">要求</w:t>
            </w:r>
            <w:r>
              <w:rPr>
                <w:b/>
                <w:bCs/>
                <w:color w:val="000000" w:themeColor="text1"/>
              </w:rPr>
              <w:t xml:space="preserve">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4.6</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人员职责</w:t>
            </w:r>
            <w:r>
              <w:rPr>
                <w:rFonts w:hint="eastAsia"/>
                <w:color w:val="000000" w:themeColor="text1"/>
              </w:rPr>
              <w:t xml:space="preserve">要求</w:t>
            </w:r>
            <w:r>
              <w:rPr>
                <w:color w:val="000000" w:themeColor="text1"/>
              </w:rPr>
              <w:t xml:space="preserve">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人员职责及培训方案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人员职责及培训方案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人员职责及培训方案</w:t>
            </w:r>
            <w:r>
              <w:rPr>
                <w:color w:val="000000" w:themeColor="text1"/>
              </w:rPr>
              <w:t xml:space="preserve">”</w:t>
            </w:r>
            <w:r>
              <w:rPr>
                <w:color w:val="000000" w:themeColor="text1"/>
              </w:rPr>
              <w:t xml:space="preserve">中岗位设置、部门职责、工作流程、规章制度、管理、培训等工作</w:t>
            </w:r>
            <w:r>
              <w:rPr>
                <w:rFonts w:hint="eastAsia"/>
                <w:color w:val="000000" w:themeColor="text1"/>
              </w:rPr>
              <w:t xml:space="preserve">等</w:t>
            </w:r>
            <w:r>
              <w:rPr>
                <w:color w:val="000000" w:themeColor="text1"/>
              </w:rPr>
              <w:t xml:space="preserve">内容优于招标文件要求的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物资设备配置方案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4.7</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中为提升劳动效率和工作效果拟投入的设备、工具等物资配置方案内容优于招标文件要求的，本项得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文化建设方案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4.8</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中物业服务开始及合同到期时的交接方案内容优于招标文件要求的，本项得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应急预案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4.9</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中消防、恶劣天气、公共卫生事件、设施设备突发故障等情况的应急预案内容优于招标文件要求的，本项得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rFonts w:ascii="宋体" w:hAnsi="宋体" w:cs="宋体"/>
                <w:b/>
                <w:bCs/>
                <w:color w:val="000000" w:themeColor="text1"/>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节能环保服务方案</w:t>
            </w:r>
            <w:r/>
          </w:p>
        </w:tc>
        <w:tc>
          <w:tcPr>
            <w:tcW w:w="416" w:type="pct"/>
            <w:vAlign w:val="center"/>
            <w:textDirection w:val="lrTb"/>
            <w:noWrap w:val="false"/>
          </w:tcPr>
          <w:p>
            <w:pPr>
              <w:pStyle w:val="1077"/>
              <w:jc w:val="center"/>
              <w:spacing w:before="0" w:beforeAutospacing="0" w:after="0" w:afterAutospacing="0" w:line="400" w:lineRule="exact"/>
              <w:widowControl/>
              <w:rPr>
                <w:rFonts w:cs="宋体"/>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4.10</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节能环保服务方案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中物业服务开始及合同到期时的交接方案内容优于招标文件要求的，本项得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项目交接方案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4.11</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中物业服务开始及合同到期时的交接方案内容优于招标文件要求的，本项得</w:t>
            </w:r>
            <w:r>
              <w:rPr>
                <w:rFonts w:hint="eastAsia"/>
                <w:color w:val="000000" w:themeColor="text1"/>
              </w:rPr>
              <w:t xml:space="preserve">5</w:t>
            </w:r>
            <w:r>
              <w:rPr>
                <w:color w:val="000000" w:themeColor="text1"/>
              </w:rPr>
              <w:t xml:space="preserve">分。</w:t>
            </w:r>
            <w:r/>
          </w:p>
        </w:tc>
      </w:tr>
    </w:tbl>
    <w:p>
      <w:pPr>
        <w:spacing w:line="420" w:lineRule="exact"/>
        <w:rPr>
          <w:rFonts w:ascii="宋体" w:hAnsi="宋体" w:cs="宋体"/>
          <w:b/>
          <w:bCs/>
          <w:color w:val="000000" w:themeColor="text1"/>
          <w:sz w:val="28"/>
          <w:szCs w:val="28"/>
        </w:rPr>
      </w:pPr>
      <w:r>
        <w:rPr>
          <w:rFonts w:ascii="方正黑体_GBK" w:hAnsi="方正黑体_GBK" w:eastAsia="方正黑体_GBK" w:cs="方正黑体_GBK"/>
          <w:color w:val="000000" w:themeColor="text1"/>
          <w:sz w:val="32"/>
          <w:szCs w:val="32"/>
        </w:rPr>
        <w:br w:type="page" w:clear="all"/>
      </w:r>
      <w:r/>
    </w:p>
    <w:p>
      <w:pPr>
        <w:ind w:right="839"/>
        <w:jc w:val="center"/>
        <w:spacing w:line="660" w:lineRule="exact"/>
        <w:rPr>
          <w:rFonts w:hint="eastAsia"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r>
      <w:r/>
    </w:p>
    <w:p>
      <w:pPr>
        <w:ind w:right="839"/>
        <w:jc w:val="center"/>
        <w:spacing w:line="660" w:lineRule="exact"/>
        <w:rPr>
          <w:rFonts w:hint="eastAsia"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r>
      <w:r/>
    </w:p>
    <w:p>
      <w:pPr>
        <w:ind w:right="839"/>
        <w:jc w:val="center"/>
        <w:spacing w:line="660" w:lineRule="exact"/>
        <w:rPr>
          <w:rFonts w:hint="eastAsia"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r>
      <w:r/>
    </w:p>
    <w:p>
      <w:pPr>
        <w:ind w:right="839"/>
        <w:jc w:val="center"/>
        <w:spacing w:line="66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第六章  投标</w:t>
      </w:r>
      <w:bookmarkEnd w:id="164"/>
      <w:r/>
      <w:bookmarkEnd w:id="165"/>
      <w:r/>
      <w:bookmarkEnd w:id="175"/>
      <w:r>
        <w:rPr>
          <w:rFonts w:hint="eastAsia" w:ascii="方正黑体_GBK" w:hAnsi="方正黑体_GBK" w:eastAsia="方正黑体_GBK" w:cs="方正黑体_GBK"/>
          <w:color w:val="000000" w:themeColor="text1"/>
          <w:sz w:val="28"/>
          <w:szCs w:val="28"/>
        </w:rPr>
        <w:t xml:space="preserve">文件格式 </w:t>
      </w:r>
      <w:r/>
    </w:p>
    <w:p>
      <w:pPr>
        <w:jc w:val="center"/>
        <w:rPr>
          <w:rFonts w:ascii="宋体" w:hAnsi="宋体"/>
          <w:b/>
          <w:color w:val="000000" w:themeColor="text1"/>
          <w:sz w:val="28"/>
          <w:szCs w:val="28"/>
        </w:rPr>
      </w:pPr>
      <w:r/>
      <w:bookmarkStart w:id="177" w:name="_Hlt26955039"/>
      <w:r/>
      <w:bookmarkStart w:id="178" w:name="_Hlt26671244"/>
      <w:r/>
      <w:bookmarkStart w:id="179" w:name="_Toc120614282"/>
      <w:r/>
      <w:bookmarkStart w:id="180" w:name="_Toc49090576"/>
      <w:r/>
      <w:bookmarkStart w:id="181" w:name="_Toc26554094"/>
      <w:r/>
      <w:bookmarkEnd w:id="177"/>
      <w:r/>
      <w:bookmarkEnd w:id="178"/>
      <w:r/>
      <w:r/>
    </w:p>
    <w:p>
      <w:pPr>
        <w:jc w:val="center"/>
        <w:rPr>
          <w:rFonts w:ascii="方正小标宋_GBK" w:hAnsi="方正小标宋_GBK" w:eastAsia="方正小标宋_GBK" w:cs="方正小标宋_GBK"/>
          <w:bCs/>
          <w:color w:val="000000" w:themeColor="text1"/>
          <w:sz w:val="44"/>
          <w:szCs w:val="44"/>
        </w:rPr>
      </w:pPr>
      <w:r>
        <w:rPr>
          <w:rFonts w:ascii="方正小标宋_GBK" w:hAnsi="方正小标宋_GBK" w:eastAsia="方正小标宋_GBK" w:cs="方正小标宋_GBK"/>
          <w:bCs/>
          <w:color w:val="000000" w:themeColor="text1"/>
          <w:sz w:val="44"/>
          <w:szCs w:val="44"/>
        </w:rPr>
      </w:r>
      <w:r/>
    </w:p>
    <w:p>
      <w:pPr>
        <w:jc w:val="center"/>
        <w:rPr>
          <w:rFonts w:ascii="方正小标宋_GBK" w:hAnsi="方正小标宋_GBK" w:eastAsia="方正小标宋_GBK" w:cs="方正小标宋_GBK"/>
          <w:bCs/>
          <w:color w:val="000000" w:themeColor="text1"/>
          <w:sz w:val="32"/>
          <w:szCs w:val="32"/>
        </w:rPr>
      </w:pPr>
      <w:r>
        <w:rPr>
          <w:rFonts w:hint="eastAsia" w:ascii="方正小标宋_GBK" w:hAnsi="方正小标宋_GBK" w:eastAsia="方正小标宋_GBK" w:cs="方正小标宋_GBK"/>
          <w:bCs/>
          <w:color w:val="000000" w:themeColor="text1"/>
          <w:sz w:val="32"/>
          <w:szCs w:val="32"/>
        </w:rPr>
        <w:t xml:space="preserve">投  标  文  件</w:t>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ind w:firstLine="840"/>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项 目 名 称：</w:t>
      </w:r>
      <w:r>
        <w:rPr>
          <w:rFonts w:hint="eastAsia" w:ascii="方正黑体_GBK" w:hAnsi="方正黑体_GBK" w:eastAsia="方正黑体_GBK" w:cs="方正黑体_GBK"/>
          <w:bCs/>
          <w:color w:val="000000" w:themeColor="text1"/>
          <w:sz w:val="28"/>
          <w:szCs w:val="28"/>
          <w:u w:val="single"/>
        </w:rPr>
        <w:t xml:space="preserve">               </w:t>
      </w:r>
      <w:r/>
    </w:p>
    <w:p>
      <w:pPr>
        <w:ind w:firstLine="840"/>
        <w:spacing w:line="400" w:lineRule="exact"/>
        <w:rPr>
          <w:rFonts w:ascii="方正黑体_GBK" w:hAnsi="方正黑体_GBK" w:eastAsia="方正黑体_GBK" w:cs="方正黑体_GBK"/>
          <w:bCs/>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采 购 编 号：</w:t>
      </w:r>
      <w:r>
        <w:rPr>
          <w:rFonts w:hint="eastAsia" w:ascii="方正黑体_GBK" w:hAnsi="方正黑体_GBK" w:eastAsia="方正黑体_GBK" w:cs="方正黑体_GBK"/>
          <w:bCs/>
          <w:color w:val="000000" w:themeColor="text1"/>
          <w:sz w:val="28"/>
          <w:szCs w:val="28"/>
          <w:u w:val="single"/>
        </w:rPr>
        <w:t xml:space="preserve">               </w:t>
      </w:r>
      <w:r/>
    </w:p>
    <w:p>
      <w:pPr>
        <w:spacing w:line="400" w:lineRule="exact"/>
        <w:rPr>
          <w:rFonts w:ascii="方正黑体_GBK" w:hAnsi="方正黑体_GBK" w:eastAsia="方正黑体_GBK" w:cs="方正黑体_GBK"/>
          <w:bCs/>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      投标人名称 ：</w:t>
      </w:r>
      <w:r>
        <w:rPr>
          <w:rFonts w:hint="eastAsia" w:ascii="方正黑体_GBK" w:hAnsi="方正黑体_GBK" w:eastAsia="方正黑体_GBK" w:cs="方正黑体_GBK"/>
          <w:bCs/>
          <w:color w:val="000000" w:themeColor="text1"/>
          <w:sz w:val="28"/>
          <w:szCs w:val="28"/>
          <w:u w:val="single"/>
        </w:rPr>
        <w:t xml:space="preserve">（加盖CA电子公章）</w:t>
      </w:r>
      <w:r/>
    </w:p>
    <w:p>
      <w:pPr>
        <w:spacing w:line="400" w:lineRule="exact"/>
        <w:rPr>
          <w:rFonts w:ascii="方正黑体_GBK" w:hAnsi="方正黑体_GBK" w:eastAsia="方正黑体_GBK" w:cs="方正黑体_GBK"/>
          <w:bCs/>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      日      期 ：</w:t>
      </w:r>
      <w:r>
        <w:rPr>
          <w:rFonts w:hint="eastAsia" w:ascii="方正黑体_GBK" w:hAnsi="方正黑体_GBK" w:eastAsia="方正黑体_GBK" w:cs="方正黑体_GBK"/>
          <w:bCs/>
          <w:color w:val="000000" w:themeColor="text1"/>
          <w:sz w:val="28"/>
          <w:szCs w:val="28"/>
          <w:u w:val="single"/>
        </w:rPr>
        <w:t xml:space="preserve">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highlight w:val="none"/>
        </w:rPr>
      </w:r>
      <w:r>
        <w:rPr>
          <w:rFonts w:hint="eastAsia" w:ascii="方正黑体_GBK" w:hAnsi="方正黑体_GBK" w:eastAsia="方正黑体_GBK" w:cs="方正黑体_GBK"/>
          <w:color w:val="000000" w:themeColor="text1"/>
          <w:sz w:val="28"/>
          <w:szCs w:val="28"/>
          <w:highlight w:val="none"/>
        </w:rPr>
      </w:r>
      <w:r/>
    </w:p>
    <w:p>
      <w:pPr>
        <w:jc w:val="center"/>
        <w:spacing w:line="400" w:lineRule="exact"/>
        <w:rPr>
          <w:rFonts w:hint="eastAsia" w:ascii="方正黑体_GBK" w:hAnsi="方正黑体_GBK" w:eastAsia="方正黑体_GBK" w:cs="方正黑体_GBK"/>
          <w:color w:val="000000" w:themeColor="text1"/>
          <w:sz w:val="28"/>
          <w:szCs w:val="28"/>
          <w:highlight w:val="none"/>
        </w:rPr>
      </w:pPr>
      <w:r>
        <w:rPr>
          <w:rFonts w:hint="eastAsia" w:ascii="方正黑体_GBK" w:hAnsi="方正黑体_GBK" w:eastAsia="方正黑体_GBK" w:cs="方正黑体_GBK"/>
          <w:color w:val="000000" w:themeColor="text1"/>
          <w:sz w:val="28"/>
          <w:szCs w:val="28"/>
        </w:rPr>
        <w:t xml:space="preserve">投标文件的组成</w:t>
      </w:r>
      <w:r/>
    </w:p>
    <w:p>
      <w:pPr>
        <w:jc w:val="center"/>
        <w:spacing w:line="400" w:lineRule="exact"/>
        <w:rPr>
          <w:rFonts w:ascii="宋体" w:hAnsi="宋体"/>
          <w:b/>
          <w:bCs/>
          <w:color w:val="000000" w:themeColor="text1"/>
          <w:sz w:val="28"/>
          <w:szCs w:val="28"/>
        </w:rPr>
      </w:pPr>
      <w:r>
        <w:rPr>
          <w:rFonts w:ascii="宋体" w:hAnsi="宋体"/>
          <w:b/>
          <w:bCs/>
          <w:color w:val="000000" w:themeColor="text1"/>
          <w:sz w:val="28"/>
          <w:szCs w:val="28"/>
        </w:rPr>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一、基本目录</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1.开标一览表（格式见附件1）</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2.投标分项报价表（格式见附件2）</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3.技术要求响应及偏离表（格式见附件3）</w:t>
      </w:r>
      <w:r/>
    </w:p>
    <w:p>
      <w:pPr>
        <w:ind w:firstLine="560"/>
        <w:spacing w:line="400" w:lineRule="exact"/>
        <w:rPr>
          <w:rFonts w:ascii="方正仿宋_GBK" w:hAnsi="方正仿宋_GBK" w:eastAsia="方正仿宋_GBK" w:cs="方正仿宋_GBK"/>
          <w:color w:val="000000" w:themeColor="text1"/>
          <w:sz w:val="28"/>
          <w:szCs w:val="28"/>
          <w:highlight w:val="yellow"/>
        </w:rPr>
      </w:pPr>
      <w:r>
        <w:rPr>
          <w:rFonts w:hint="eastAsia" w:ascii="方正仿宋_GBK" w:hAnsi="方正仿宋_GBK" w:eastAsia="方正仿宋_GBK" w:cs="方正仿宋_GBK"/>
          <w:color w:val="000000" w:themeColor="text1"/>
          <w:sz w:val="28"/>
          <w:szCs w:val="28"/>
        </w:rPr>
        <w:t xml:space="preserve">4.商务要求响应及偏离表（格式见附件4）</w:t>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二、资格审查内容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1.法人或者其他组织的营业执照等证明文件，自然人的身份证明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2.上一年度的财务状况报告（投标人成立不满一年无需提供）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4.具备履行合同所必需的设备和专业技术能力的书面声明（格式见附件5）</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5.参加政府采购活动前 3 年内在经营活动中没有重大违法记录的书面声明（格式见附件6）</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6.特定资格要求的证明文件（如果本项目对投标人做出特定资格要求的，必须提供）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7.在“信用中国”网站（</w:t>
      </w:r>
      <w:r>
        <w:rPr>
          <w:rFonts w:hint="eastAsia" w:eastAsia="方正仿宋_GBK"/>
          <w:color w:val="000000" w:themeColor="text1"/>
          <w:sz w:val="28"/>
          <w:szCs w:val="28"/>
        </w:rPr>
        <w:t xml:space="preserve">www.creditchina.gov.cn</w:t>
      </w:r>
      <w:r>
        <w:rPr>
          <w:rFonts w:hint="eastAsia" w:ascii="方正仿宋_GBK" w:hAnsi="方正仿宋_GBK" w:eastAsia="方正仿宋_GBK" w:cs="方正仿宋_GBK"/>
          <w:color w:val="000000" w:themeColor="text1"/>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8.法人授权书（格式见附件7）</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9.投标函（格式见附件8）</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总备注：上述“资格审查内容”中1-5条、8、9条投标人必须在投标文件中提供相关材料，否则作无效投标处理。</w:t>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三、符合性审查内容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投标人必须对招标文件（含技术要求和商务要求）中</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w:t>
      </w:r>
      <w:r>
        <w:rPr>
          <w:rFonts w:hint="eastAsia" w:ascii="方正仿宋_GBK" w:hAnsi="方正仿宋_GBK" w:eastAsia="方正仿宋_GBK" w:cs="方正仿宋_GBK"/>
          <w:color w:val="000000" w:themeColor="text1"/>
          <w:sz w:val="28"/>
          <w:szCs w:val="28"/>
        </w:rPr>
        <w:t xml:space="preserve">的实质性要求逐条做出响应，并按照招标文件要求提供证明材料，否则作无效投标处理。（格式见附件11）</w:t>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四、价格扣除证明文件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1.中小微企业声明函（格式见附件9）</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2.残疾人福利性单位声明函（格式见附件10）</w:t>
      </w:r>
      <w:r/>
    </w:p>
    <w:p>
      <w:pPr>
        <w:spacing w:line="400" w:lineRule="exact"/>
        <w:rPr>
          <w:rFonts w:ascii="宋体" w:hAnsi="宋体"/>
          <w:b/>
          <w:color w:val="000000" w:themeColor="text1"/>
          <w:sz w:val="28"/>
          <w:szCs w:val="28"/>
        </w:rPr>
      </w:pPr>
      <w:r>
        <w:rPr>
          <w:rFonts w:hint="eastAsia" w:ascii="方正仿宋_GBK" w:hAnsi="方正仿宋_GBK" w:eastAsia="方正仿宋_GBK" w:cs="方正仿宋_GBK"/>
          <w:color w:val="000000" w:themeColor="text1"/>
          <w:sz w:val="28"/>
          <w:szCs w:val="28"/>
        </w:rPr>
        <w:t xml:space="preserve">3.关于符合本国产品标准的声明函（格式见附件12）</w:t>
      </w:r>
      <w:r/>
    </w:p>
    <w:p>
      <w:pPr>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 开标一览表</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投标人全称（加盖CA电子签章）：</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项目名称：</w:t>
      </w:r>
      <w:r>
        <w:rPr>
          <w:rFonts w:hint="eastAsia" w:eastAsia="方正仿宋_GBK"/>
          <w:color w:val="000000" w:themeColor="text1"/>
          <w:sz w:val="28"/>
          <w:szCs w:val="28"/>
        </w:rPr>
        <w:t xml:space="preserve">XXXX</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采购编号：</w:t>
      </w:r>
      <w:r>
        <w:rPr>
          <w:rFonts w:hint="eastAsia" w:eastAsia="方正仿宋_GBK"/>
          <w:color w:val="000000" w:themeColor="text1"/>
          <w:sz w:val="28"/>
          <w:szCs w:val="28"/>
        </w:rPr>
        <w:t xml:space="preserve">JSZC-320000-SCZX-G20XX-XXXX    </w:t>
      </w:r>
      <w:r>
        <w:rPr>
          <w:rFonts w:hint="eastAsia" w:ascii="方正仿宋_GBK" w:hAnsi="方正仿宋_GBK" w:eastAsia="方正仿宋_GBK" w:cs="方正仿宋_GBK"/>
          <w:color w:val="000000" w:themeColor="text1"/>
          <w:sz w:val="28"/>
          <w:szCs w:val="28"/>
        </w:rPr>
        <w:t xml:space="preserve">                                  </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rPr>
          <w:rFonts w:hint="eastAsia" w:eastAsia="方正仿宋_GBK"/>
          <w:color w:val="000000" w:themeColor="text1"/>
          <w:sz w:val="28"/>
          <w:szCs w:val="28"/>
        </w:rPr>
        <w:t xml:space="preserve">XX</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投标总报价（三年）</w:t>
            </w:r>
            <w:r/>
          </w:p>
        </w:tc>
      </w:tr>
      <w:tr>
        <w:trPr>
          <w:cantSplit/>
          <w:trHeight w:val="612"/>
        </w:trPr>
        <w:tc>
          <w:tcPr>
            <w:tcW w:w="8934" w:type="dxa"/>
            <w:vAlign w:val="center"/>
            <w:textDirection w:val="lrTb"/>
            <w:noWrap w:val="false"/>
          </w:tcPr>
          <w:p>
            <w:pPr>
              <w:pStyle w:val="897"/>
              <w:ind w:firstLine="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小写：                             （人民币：元）</w:t>
            </w:r>
            <w:r/>
          </w:p>
        </w:tc>
      </w:tr>
    </w:tbl>
    <w:p>
      <w:pPr>
        <w:spacing w:line="400" w:lineRule="exact"/>
        <w:rPr>
          <w:rFonts w:ascii="宋体" w:hAnsi="宋体"/>
          <w:color w:val="000000" w:themeColor="text1"/>
          <w:sz w:val="28"/>
          <w:szCs w:val="28"/>
        </w:rPr>
      </w:pPr>
      <w:r>
        <w:rPr>
          <w:rFonts w:ascii="宋体" w:hAnsi="宋体"/>
          <w:color w:val="000000" w:themeColor="text1"/>
          <w:sz w:val="28"/>
          <w:szCs w:val="28"/>
        </w:rPr>
      </w:r>
      <w:r/>
    </w:p>
    <w:p>
      <w:pPr>
        <w:spacing w:line="400" w:lineRule="exact"/>
        <w:rPr>
          <w:rFonts w:ascii="宋体" w:hAnsi="宋体"/>
          <w:color w:val="000000" w:themeColor="text1"/>
          <w:sz w:val="28"/>
          <w:szCs w:val="28"/>
        </w:rPr>
      </w:pPr>
      <w:r>
        <w:t xml:space="preserve">          </w:t>
      </w:r>
      <w:r>
        <w:rPr>
          <w:rFonts w:hint="eastAsia" w:ascii="方正黑体_GBK" w:hAnsi="方正黑体_GBK" w:eastAsia="方正黑体_GBK" w:cs="方正黑体_GBK"/>
          <w:bCs/>
          <w:color w:val="000000" w:themeColor="text1"/>
          <w:sz w:val="28"/>
          <w:szCs w:val="28"/>
        </w:rPr>
        <w:t xml:space="preserve">附件2 投标分项报价表（采购包号：</w:t>
      </w:r>
      <w:r>
        <w:rPr>
          <w:rFonts w:hint="eastAsia" w:eastAsia="方正仿宋_GBK"/>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rPr>
          <w:rFonts w:ascii="宋体" w:hAnsi="宋体"/>
          <w:color w:val="000000" w:themeColor="text1"/>
          <w:sz w:val="28"/>
          <w:szCs w:val="28"/>
        </w:rPr>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w:t>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w:t>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w:t>
            </w:r>
            <w:r/>
          </w:p>
        </w:tc>
        <w:tc>
          <w:tcPr>
            <w:tcW w:w="104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w:t>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w:t>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8</w:t>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w:t>
            </w:r>
            <w:r/>
          </w:p>
        </w:tc>
      </w:tr>
      <w:tr>
        <w:trPr>
          <w:cantSplit/>
          <w:trHeight w:val="294"/>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1106" w:type="dxa"/>
            <w:vAlign w:val="center"/>
            <w:textDirection w:val="lrTb"/>
            <w:noWrap w:val="false"/>
          </w:tcPr>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分项服务名称/货物名称</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品牌</w:t>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规格</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型号</w:t>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制造商名称</w:t>
            </w:r>
            <w:r/>
          </w:p>
        </w:tc>
        <w:tc>
          <w:tcPr>
            <w:tcW w:w="104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产地</w:t>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交付期/服务期</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数量</w:t>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分项</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单价</w:t>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分项</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总价</w:t>
            </w:r>
            <w:r/>
          </w:p>
        </w:tc>
      </w:tr>
      <w:tr>
        <w:trPr>
          <w:cantSplit/>
          <w:trHeight w:val="696"/>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highlight w:val="cyan"/>
              </w:rPr>
            </w:pPr>
            <w:r>
              <w:rPr>
                <w:rFonts w:ascii="方正仿宋_GBK" w:hAnsi="方正仿宋_GBK" w:eastAsia="方正仿宋_GBK" w:cs="方正仿宋_GBK"/>
                <w:color w:val="000000" w:themeColor="text1"/>
                <w:sz w:val="28"/>
                <w:szCs w:val="28"/>
                <w:highlight w:val="cyan"/>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合同签订后</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日</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724"/>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580"/>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434"/>
        </w:trPr>
        <w:tc>
          <w:tcPr>
            <w:gridSpan w:val="10"/>
            <w:tcW w:w="9861" w:type="dxa"/>
            <w:textDirection w:val="lrTb"/>
            <w:noWrap w:val="false"/>
          </w:tcPr>
          <w:p>
            <w:pPr>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投标总报价（人民币：元）</w:t>
            </w:r>
            <w:r>
              <w:rPr>
                <w:rFonts w:hint="eastAsia" w:ascii="方正仿宋_GBK" w:hAnsi="方正仿宋_GBK" w:eastAsia="方正仿宋_GBK" w:cs="方正仿宋_GBK"/>
                <w:color w:val="000000" w:themeColor="text1"/>
                <w:sz w:val="28"/>
                <w:szCs w:val="28"/>
                <w:u w:val="single"/>
              </w:rPr>
              <w:t xml:space="preserve">                             </w:t>
            </w:r>
            <w:r/>
          </w:p>
        </w:tc>
      </w:tr>
      <w:tr>
        <w:trPr>
          <w:cantSplit/>
          <w:trHeight w:val="757"/>
        </w:trPr>
        <w:tc>
          <w:tcPr>
            <w:gridSpan w:val="10"/>
            <w:tcW w:w="9861" w:type="dxa"/>
            <w:textDirection w:val="lrTb"/>
            <w:noWrap w:val="false"/>
          </w:tcPr>
          <w:p>
            <w:pPr>
              <w:pStyle w:val="819"/>
              <w:spacing w:before="0" w:beforeAutospacing="0" w:after="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%。（本项目不包含货物）</w:t>
            </w:r>
            <w:r/>
          </w:p>
        </w:tc>
      </w:tr>
    </w:tbl>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2.“投标分项报价表”中“投标总报价”数额应当与“开标一览表”中“投标总报价”数额一致。</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3.分项服务不需填写品牌、规格型号、制造商、产地。</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color w:val="000000" w:themeColor="text1"/>
          <w:sz w:val="28"/>
          <w:szCs w:val="28"/>
          <w:u w:val="single"/>
        </w:rPr>
        <w:t xml:space="preserve">80%</w:t>
      </w:r>
      <w:r>
        <w:rPr>
          <w:rFonts w:hint="eastAsia" w:ascii="方正仿宋_GBK" w:hAnsi="方正仿宋_GBK" w:eastAsia="方正仿宋_GBK" w:cs="方正仿宋_GBK"/>
          <w:color w:val="000000" w:themeColor="text1"/>
          <w:sz w:val="28"/>
          <w:szCs w:val="28"/>
        </w:rPr>
        <w:t xml:space="preserve">的，将不享受本国产品价格评审优惠。</w:t>
      </w:r>
      <w:r/>
    </w:p>
    <w:p>
      <w:pPr>
        <w:ind w:firstLine="560"/>
        <w:spacing w:line="400" w:lineRule="exact"/>
        <w:rPr>
          <w:rFonts w:ascii="宋体" w:hAnsi="宋体"/>
          <w:color w:val="000000" w:themeColor="text1"/>
          <w:sz w:val="28"/>
          <w:szCs w:val="28"/>
        </w:rPr>
      </w:pPr>
      <w:r>
        <w:rPr>
          <w:rFonts w:hint="eastAsia" w:ascii="方正黑体_GBK" w:hAnsi="方正黑体_GBK" w:eastAsia="方正黑体_GBK" w:cs="方正黑体_GBK"/>
          <w:bCs/>
          <w:color w:val="000000" w:themeColor="text1"/>
          <w:sz w:val="28"/>
          <w:szCs w:val="28"/>
          <w:highlight w:val="none"/>
        </w:rPr>
      </w:r>
      <w:r>
        <w:rPr>
          <w:rFonts w:hint="eastAsia" w:ascii="方正黑体_GBK" w:hAnsi="方正黑体_GBK" w:eastAsia="方正黑体_GBK" w:cs="方正黑体_GBK"/>
          <w:bCs/>
          <w:color w:val="000000" w:themeColor="text1"/>
          <w:sz w:val="28"/>
          <w:szCs w:val="28"/>
          <w:highlight w:val="none"/>
        </w:rPr>
      </w:r>
      <w:r/>
    </w:p>
    <w:p>
      <w:pPr>
        <w:ind w:firstLine="560"/>
        <w:spacing w:line="400" w:lineRule="exact"/>
        <w:rPr>
          <w:rFonts w:hint="eastAsia" w:ascii="方正黑体_GBK" w:hAnsi="方正黑体_GBK" w:eastAsia="方正黑体_GBK" w:cs="方正黑体_GBK"/>
          <w:color w:val="000000" w:themeColor="text1"/>
          <w:sz w:val="28"/>
          <w:szCs w:val="28"/>
          <w:highlight w:val="none"/>
        </w:rPr>
      </w:pPr>
      <w:r>
        <w:t xml:space="preserve">   </w:t>
      </w:r>
      <w:r>
        <w:rPr>
          <w:rFonts w:hint="eastAsia" w:ascii="方正黑体_GBK" w:hAnsi="方正黑体_GBK" w:eastAsia="方正黑体_GBK" w:cs="方正黑体_GBK"/>
          <w:bCs/>
          <w:color w:val="000000" w:themeColor="text1"/>
          <w:sz w:val="28"/>
          <w:szCs w:val="28"/>
        </w:rPr>
        <w:t xml:space="preserve">人员工资、社会保险和公积金三项费用报价表（采购包号：</w:t>
      </w:r>
      <w:r>
        <w:rPr>
          <w:rFonts w:eastAsia="方正黑体_GBK"/>
          <w:bCs/>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rPr>
          <w:rFonts w:ascii="宋体" w:hAnsi="宋体"/>
          <w:color w:val="000000" w:themeColor="text1"/>
          <w:sz w:val="28"/>
          <w:szCs w:val="28"/>
        </w:rPr>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5"/>
        <w:gridCol w:w="1519"/>
        <w:gridCol w:w="722"/>
        <w:gridCol w:w="965"/>
        <w:gridCol w:w="1122"/>
        <w:gridCol w:w="1134"/>
        <w:gridCol w:w="3042"/>
      </w:tblGrid>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总价1</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要求说明</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人员工资</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人数</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w:t>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岗位1（如：保洁员1）</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rPr>
            </w:pPr>
            <w:r>
              <w:rPr>
                <w:rFonts w:ascii="方正仿宋_GBK" w:hAnsi="方正仿宋_GBK" w:eastAsia="方正仿宋_GBK" w:cs="方正仿宋_GBK"/>
                <w:bCs/>
                <w:color w:val="000000" w:themeColor="text1"/>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36</w:t>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岗位2（如：保洁员2）</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rPr>
            </w:pPr>
            <w:r>
              <w:rPr>
                <w:rFonts w:ascii="方正仿宋_GBK" w:hAnsi="方正仿宋_GBK" w:eastAsia="方正仿宋_GBK" w:cs="方正仿宋_GBK"/>
                <w:bCs/>
                <w:color w:val="000000" w:themeColor="text1"/>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1.3</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rPr>
            </w:pPr>
            <w:r>
              <w:rPr>
                <w:rFonts w:ascii="方正仿宋_GBK" w:hAnsi="方正仿宋_GBK" w:eastAsia="方正仿宋_GBK" w:cs="方正仿宋_GBK"/>
                <w:bCs/>
                <w:color w:val="000000" w:themeColor="text1"/>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gridSpan w:val="7"/>
            <w:tcW w:w="5000" w:type="pct"/>
            <w:vAlign w:val="center"/>
            <w:textDirection w:val="lrTb"/>
            <w:noWrap w:val="false"/>
          </w:tcPr>
          <w:p>
            <w:pPr>
              <w:jc w:val="left"/>
              <w:spacing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分项总价1 合计：</w:t>
            </w:r>
            <w:r>
              <w:rPr>
                <w:rFonts w:hint="eastAsia" w:ascii="方正仿宋_GBK" w:hAnsi="方正仿宋_GBK" w:eastAsia="方正仿宋_GBK" w:cs="方正仿宋_GBK"/>
                <w:b/>
                <w:color w:val="000000" w:themeColor="text1"/>
                <w:sz w:val="28"/>
                <w:szCs w:val="28"/>
                <w:u w:val="single"/>
              </w:rPr>
              <w:t xml:space="preserve">         </w:t>
            </w:r>
            <w:r>
              <w:rPr>
                <w:rFonts w:hint="eastAsia" w:ascii="方正仿宋_GBK" w:hAnsi="方正仿宋_GBK" w:eastAsia="方正仿宋_GBK" w:cs="方正仿宋_GBK"/>
                <w:b/>
                <w:color w:val="000000" w:themeColor="text1"/>
                <w:sz w:val="28"/>
                <w:szCs w:val="28"/>
              </w:rPr>
              <w:t xml:space="preserve">人民币（元）</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 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总价2</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要求说明</w:t>
            </w:r>
            <w:r/>
          </w:p>
        </w:tc>
      </w:tr>
      <w:tr>
        <w:trPr>
          <w:cantSplit/>
          <w:trHeight w:val="628"/>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社会保险</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费用</w:t>
            </w:r>
            <w:r/>
          </w:p>
        </w:tc>
        <w:tc>
          <w:tcPr>
            <w:tcW w:w="396"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人数</w:t>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w:t>
            </w:r>
            <w:r/>
          </w:p>
        </w:tc>
        <w:tc>
          <w:tcPr>
            <w:tcW w:w="1663" w:type="pct"/>
            <w:vAlign w:val="center"/>
            <w:vMerge w:val="continue"/>
            <w:textDirection w:val="lrTb"/>
            <w:noWrap w:val="false"/>
          </w:tcPr>
          <w:p>
            <w:pPr>
              <w:jc w:val="left"/>
              <w:spacing w:line="400" w:lineRule="exact"/>
              <w:rPr>
                <w:rFonts w:ascii="方正仿宋_GBK" w:hAnsi="方正仿宋_GBK" w:eastAsia="方正仿宋_GBK" w:cs="方正仿宋_GBK"/>
                <w:i/>
                <w:color w:val="000000" w:themeColor="text1"/>
                <w:sz w:val="28"/>
                <w:szCs w:val="28"/>
                <w:u w:val="single"/>
              </w:rPr>
            </w:pPr>
            <w:r>
              <w:rPr>
                <w:rFonts w:ascii="方正仿宋_GBK" w:hAnsi="方正仿宋_GBK" w:eastAsia="方正仿宋_GBK" w:cs="方正仿宋_GBK"/>
                <w:i/>
                <w:color w:val="000000" w:themeColor="text1"/>
                <w:sz w:val="28"/>
                <w:szCs w:val="28"/>
                <w:u w:val="single"/>
              </w:rPr>
            </w:r>
            <w:r/>
          </w:p>
        </w:tc>
      </w:tr>
      <w:tr>
        <w:trPr>
          <w:cantSplit/>
          <w:trHeight w:val="563"/>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岗位1（如：保洁员1）</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该人员正常缴纳社会保</w:t>
            </w:r>
            <w:r/>
          </w:p>
          <w:p>
            <w:pP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险/</w:t>
            </w:r>
            <w:r>
              <w:rPr>
                <w:rFonts w:hint="eastAsia" w:ascii="方正仿宋_GBK" w:hAnsi="方正仿宋_GBK" w:eastAsia="方正仿宋_GBK" w:cs="方正仿宋_GBK"/>
                <w:iCs/>
                <w:color w:val="000000" w:themeColor="text1"/>
                <w:sz w:val="28"/>
                <w:szCs w:val="28"/>
              </w:rPr>
              <w:t xml:space="preserve">如该人员依法享受社会保险费用缴纳减免政策，请在此框内进行说明</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岗位2（如：保洁员2）</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i/>
                <w:color w:val="000000" w:themeColor="text1"/>
                <w:sz w:val="28"/>
                <w:szCs w:val="28"/>
                <w:u w:val="single"/>
              </w:rPr>
            </w:pPr>
            <w:r>
              <w:rPr>
                <w:rFonts w:ascii="方正仿宋_GBK" w:hAnsi="方正仿宋_GBK" w:eastAsia="方正仿宋_GBK" w:cs="方正仿宋_GBK"/>
                <w:i/>
                <w:color w:val="000000" w:themeColor="text1"/>
                <w:sz w:val="28"/>
                <w:szCs w:val="28"/>
                <w:u w:val="single"/>
              </w:rPr>
            </w:r>
            <w:r/>
          </w:p>
        </w:tc>
      </w:tr>
      <w:tr>
        <w:trPr>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261"/>
        </w:trPr>
        <w:tc>
          <w:tcPr>
            <w:gridSpan w:val="7"/>
            <w:tcW w:w="5000" w:type="pct"/>
            <w:vAlign w:val="center"/>
            <w:textDirection w:val="lrTb"/>
            <w:noWrap w:val="false"/>
          </w:tcPr>
          <w:p>
            <w:pPr>
              <w:jc w:val="left"/>
              <w:spacing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分项总价2 合计：</w:t>
            </w:r>
            <w:r>
              <w:rPr>
                <w:rFonts w:hint="eastAsia" w:ascii="方正仿宋_GBK" w:hAnsi="方正仿宋_GBK" w:eastAsia="方正仿宋_GBK" w:cs="方正仿宋_GBK"/>
                <w:b/>
                <w:color w:val="000000" w:themeColor="text1"/>
                <w:sz w:val="28"/>
                <w:szCs w:val="28"/>
                <w:u w:val="single"/>
              </w:rPr>
              <w:t xml:space="preserve">         </w:t>
            </w:r>
            <w:r>
              <w:rPr>
                <w:rFonts w:hint="eastAsia" w:ascii="方正仿宋_GBK" w:hAnsi="方正仿宋_GBK" w:eastAsia="方正仿宋_GBK" w:cs="方正仿宋_GBK"/>
                <w:b/>
                <w:color w:val="000000" w:themeColor="text1"/>
                <w:sz w:val="28"/>
                <w:szCs w:val="28"/>
              </w:rPr>
              <w:t xml:space="preserve">人民币（元）</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总价3</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要求说明</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3</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住房公积金</w:t>
            </w:r>
            <w:r/>
          </w:p>
        </w:tc>
        <w:tc>
          <w:tcPr>
            <w:tcW w:w="396"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人数</w:t>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w:t>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i/>
                <w:color w:val="000000" w:themeColor="text1"/>
                <w:sz w:val="28"/>
                <w:szCs w:val="28"/>
                <w:u w:val="single"/>
              </w:rPr>
            </w:pPr>
            <w:r>
              <w:rPr>
                <w:rFonts w:ascii="方正仿宋_GBK" w:hAnsi="方正仿宋_GBK" w:eastAsia="方正仿宋_GBK" w:cs="方正仿宋_GBK"/>
                <w:i/>
                <w:color w:val="000000" w:themeColor="text1"/>
                <w:sz w:val="28"/>
                <w:szCs w:val="28"/>
                <w:u w:val="single"/>
              </w:rPr>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岗位1（如：保洁员1）</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该人员正常缴存住房公</w:t>
            </w:r>
            <w:r/>
          </w:p>
          <w:p>
            <w:pPr>
              <w:spacing w:line="400" w:lineRule="exact"/>
              <w:widowControl/>
              <w:rPr>
                <w:rFonts w:ascii="方正仿宋_GBK" w:hAnsi="方正仿宋_GBK" w:eastAsia="方正仿宋_GBK" w:cs="方正仿宋_GBK"/>
                <w:i/>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积金/</w:t>
            </w:r>
            <w:r>
              <w:rPr>
                <w:rFonts w:hint="eastAsia" w:ascii="方正仿宋_GBK" w:hAnsi="方正仿宋_GBK" w:eastAsia="方正仿宋_GBK" w:cs="方正仿宋_GBK"/>
                <w:iCs/>
                <w:color w:val="000000" w:themeColor="text1"/>
                <w:sz w:val="28"/>
                <w:szCs w:val="28"/>
              </w:rPr>
              <w:t xml:space="preserve">如该人员依法享受住房公积金缴存减免政策，请在此框内进行说明</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岗位2（如：保洁员2）</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gridSpan w:val="7"/>
            <w:tcW w:w="5000" w:type="pct"/>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
                <w:color w:val="000000" w:themeColor="text1"/>
                <w:sz w:val="28"/>
                <w:szCs w:val="28"/>
              </w:rPr>
              <w:t xml:space="preserve">分项总价3 合计：</w:t>
            </w:r>
            <w:r>
              <w:rPr>
                <w:rFonts w:hint="eastAsia" w:ascii="方正仿宋_GBK" w:hAnsi="方正仿宋_GBK" w:eastAsia="方正仿宋_GBK" w:cs="方正仿宋_GBK"/>
                <w:b/>
                <w:color w:val="000000" w:themeColor="text1"/>
                <w:sz w:val="28"/>
                <w:szCs w:val="28"/>
                <w:u w:val="single"/>
              </w:rPr>
              <w:t xml:space="preserve">         </w:t>
            </w:r>
            <w:r>
              <w:rPr>
                <w:rFonts w:hint="eastAsia" w:ascii="方正仿宋_GBK" w:hAnsi="方正仿宋_GBK" w:eastAsia="方正仿宋_GBK" w:cs="方正仿宋_GBK"/>
                <w:b/>
                <w:color w:val="000000" w:themeColor="text1"/>
                <w:sz w:val="28"/>
                <w:szCs w:val="28"/>
              </w:rPr>
              <w:t xml:space="preserve">人民币（元）</w:t>
            </w:r>
            <w:r/>
          </w:p>
        </w:tc>
      </w:tr>
    </w:tbl>
    <w:p>
      <w:pP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spacing w:line="400" w:lineRule="exact"/>
        <w:rPr>
          <w:rFonts w:ascii="方正仿宋_GBK" w:hAnsi="方正仿宋_GBK" w:eastAsia="方正仿宋_GBK" w:cs="方正仿宋_GBK"/>
          <w:iCs/>
          <w:color w:val="000000" w:themeColor="text1"/>
          <w:sz w:val="28"/>
          <w:szCs w:val="28"/>
        </w:rPr>
      </w:pPr>
      <w:r>
        <w:rPr>
          <w:rFonts w:hint="eastAsia" w:ascii="方正仿宋_GBK" w:hAnsi="方正仿宋_GBK" w:eastAsia="方正仿宋_GBK" w:cs="方正仿宋_GBK"/>
          <w:iCs/>
          <w:color w:val="000000" w:themeColor="text1"/>
          <w:sz w:val="28"/>
          <w:szCs w:val="28"/>
        </w:rPr>
        <w:t xml:space="preserve">1.本表仅适用物业管理服务品目政府采购项目，供应商需在投标（响应）文件中填报此表。</w:t>
      </w:r>
      <w:r/>
    </w:p>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000000" w:themeColor="text1"/>
          <w:sz w:val="28"/>
          <w:szCs w:val="28"/>
        </w:rPr>
      </w:pPr>
      <w:r>
        <w:rPr>
          <w:rFonts w:ascii="方正魏碑_GBK" w:hAnsi="方正魏碑_GBK" w:eastAsia="方正魏碑_GBK" w:cs="方正魏碑_GBK"/>
          <w:b/>
          <w:bCs/>
          <w:color w:val="000000" w:themeColor="text1"/>
          <w:sz w:val="28"/>
          <w:szCs w:val="28"/>
        </w:rPr>
      </w:r>
      <w:r/>
    </w:p>
    <w:p>
      <w:pPr>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                         </w:t>
      </w:r>
      <w:r/>
    </w:p>
    <w:p>
      <w:pPr>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附件3 技术要求响应及偏离表（采购包号：XX）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技术要求</w:t>
            </w:r>
            <w:r/>
          </w:p>
        </w:tc>
        <w:tc>
          <w:tcPr>
            <w:tcW w:w="319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投标响应情况</w:t>
            </w:r>
            <w:r/>
          </w:p>
        </w:tc>
        <w:tc>
          <w:tcPr>
            <w:tcW w:w="2128"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bl>
    <w:p>
      <w:pPr>
        <w:jc w:val="left"/>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附件3-1  证明材料1，证明材料2，……</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1.投标人需对招标文件技术要求中非实质性要求（</w:t>
      </w:r>
      <w:r>
        <w:rPr>
          <w:rFonts w:hint="eastAsia" w:ascii="方正仿宋_GBK" w:hAnsi="方正仿宋_GBK" w:eastAsia="方正仿宋_GBK" w:cs="方正仿宋_GBK"/>
          <w:b/>
          <w:color w:val="000000" w:themeColor="text1"/>
          <w:sz w:val="28"/>
          <w:szCs w:val="28"/>
        </w:rPr>
        <w:t xml:space="preserve">未加</w:t>
      </w:r>
      <w:r>
        <w:rPr>
          <w:rFonts w:hint="eastAsia" w:ascii="方正仿宋_GBK" w:hAnsi="方正仿宋_GBK" w:eastAsia="方正仿宋_GBK" w:cs="方正仿宋_GBK"/>
          <w:b/>
          <w:i/>
          <w:color w:val="000000" w:themeColor="text1"/>
          <w:sz w:val="28"/>
          <w:szCs w:val="28"/>
          <w:u w:val="single"/>
        </w:rPr>
        <w:t xml:space="preserve">斜体下划线</w:t>
      </w:r>
      <w:r>
        <w:rPr>
          <w:rFonts w:hint="eastAsia" w:ascii="方正仿宋_GBK" w:hAnsi="方正仿宋_GBK" w:eastAsia="方正仿宋_GBK" w:cs="方正仿宋_GBK"/>
          <w:b/>
          <w:iCs/>
          <w:color w:val="000000" w:themeColor="text1"/>
          <w:sz w:val="28"/>
          <w:szCs w:val="28"/>
        </w:rPr>
        <w:t xml:space="preserve">部分</w:t>
      </w:r>
      <w:r>
        <w:rPr>
          <w:rFonts w:hint="eastAsia" w:ascii="方正仿宋_GBK" w:hAnsi="方正仿宋_GBK" w:eastAsia="方正仿宋_GBK" w:cs="方正仿宋_GBK"/>
          <w:b/>
          <w:color w:val="000000" w:themeColor="text1"/>
          <w:sz w:val="28"/>
          <w:szCs w:val="28"/>
        </w:rPr>
        <w:t xml:space="preserve">或未加*号条款</w:t>
      </w:r>
      <w:r>
        <w:rPr>
          <w:rFonts w:hint="eastAsia" w:ascii="方正仿宋_GBK" w:hAnsi="方正仿宋_GBK" w:eastAsia="方正仿宋_GBK" w:cs="方正仿宋_GBK"/>
          <w:color w:val="000000" w:themeColor="text1"/>
          <w:sz w:val="28"/>
          <w:szCs w:val="28"/>
        </w:rPr>
        <w:t xml:space="preserve">）逐条做出明确响应。</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2.如果招标文件要求提供证明材料，投标人需将证明材料列于该表之下。</w:t>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附件4 商务要求响应及偏离表（采购包号：XX）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商务要求 </w:t>
            </w:r>
            <w:r/>
          </w:p>
        </w:tc>
        <w:tc>
          <w:tcPr>
            <w:tcW w:w="319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投标响应情况</w:t>
            </w:r>
            <w:r/>
          </w:p>
        </w:tc>
        <w:tc>
          <w:tcPr>
            <w:tcW w:w="229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29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29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bl>
    <w:p>
      <w:pPr>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附件4-1  证明材料1，证明材料2，……</w:t>
      </w:r>
      <w:r/>
    </w:p>
    <w:p>
      <w:pPr>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1.投标人需对招标文件商务要求中非实质性要求（</w:t>
      </w:r>
      <w:r>
        <w:rPr>
          <w:rFonts w:hint="eastAsia" w:ascii="方正仿宋_GBK" w:hAnsi="方正仿宋_GBK" w:eastAsia="方正仿宋_GBK" w:cs="方正仿宋_GBK"/>
          <w:b/>
          <w:color w:val="000000" w:themeColor="text1"/>
          <w:sz w:val="28"/>
          <w:szCs w:val="28"/>
        </w:rPr>
        <w:t xml:space="preserve">未加</w:t>
      </w:r>
      <w:r>
        <w:rPr>
          <w:rFonts w:hint="eastAsia" w:ascii="方正仿宋_GBK" w:hAnsi="方正仿宋_GBK" w:eastAsia="方正仿宋_GBK" w:cs="方正仿宋_GBK"/>
          <w:b/>
          <w:i/>
          <w:color w:val="000000" w:themeColor="text1"/>
          <w:sz w:val="28"/>
          <w:szCs w:val="28"/>
          <w:u w:val="single"/>
        </w:rPr>
        <w:t xml:space="preserve">斜体下划线</w:t>
      </w:r>
      <w:r>
        <w:rPr>
          <w:rFonts w:hint="eastAsia" w:ascii="方正仿宋_GBK" w:hAnsi="方正仿宋_GBK" w:eastAsia="方正仿宋_GBK" w:cs="方正仿宋_GBK"/>
          <w:b/>
          <w:iCs/>
          <w:color w:val="000000" w:themeColor="text1"/>
          <w:sz w:val="28"/>
          <w:szCs w:val="28"/>
        </w:rPr>
        <w:t xml:space="preserve">部分</w:t>
      </w:r>
      <w:r>
        <w:rPr>
          <w:rFonts w:hint="eastAsia" w:ascii="方正仿宋_GBK" w:hAnsi="方正仿宋_GBK" w:eastAsia="方正仿宋_GBK" w:cs="方正仿宋_GBK"/>
          <w:b/>
          <w:color w:val="000000" w:themeColor="text1"/>
          <w:sz w:val="28"/>
          <w:szCs w:val="28"/>
        </w:rPr>
        <w:t xml:space="preserve">或未加*号条款</w:t>
      </w:r>
      <w:r>
        <w:rPr>
          <w:rFonts w:hint="eastAsia" w:ascii="方正仿宋_GBK" w:hAnsi="方正仿宋_GBK" w:eastAsia="方正仿宋_GBK" w:cs="方正仿宋_GBK"/>
          <w:color w:val="000000" w:themeColor="text1"/>
          <w:sz w:val="28"/>
          <w:szCs w:val="28"/>
        </w:rPr>
        <w:t xml:space="preserve">）逐条做出明确响应。</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2.如果招标文件要求提供证明材料，投标人需将证明材料列于该表之下。</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2"/>
        <w:spacing w:line="400" w:lineRule="exact"/>
        <w:rPr>
          <w:rFonts w:ascii="宋体" w:hAnsi="宋体"/>
          <w:b/>
          <w:color w:val="000000" w:themeColor="text1"/>
          <w:sz w:val="28"/>
          <w:szCs w:val="28"/>
        </w:rPr>
      </w:pPr>
      <w:r>
        <w:rPr>
          <w:rFonts w:ascii="宋体" w:hAnsi="宋体"/>
          <w:b/>
          <w:color w:val="000000" w:themeColor="text1"/>
          <w:sz w:val="28"/>
          <w:szCs w:val="28"/>
        </w:rPr>
      </w:r>
      <w:r/>
    </w:p>
    <w:p>
      <w:pP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附件5  具备履行合同所必需的设备和专业技术能力的书面声明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主要设备有：</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主要专业技术能力有：</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w:t>
      </w:r>
      <w:r/>
    </w:p>
    <w:p>
      <w:pPr>
        <w:spacing w:line="400" w:lineRule="exact"/>
        <w:rPr>
          <w:rFonts w:ascii="宋体" w:hAnsi="宋体"/>
          <w:b/>
          <w:color w:val="000000" w:themeColor="text1"/>
          <w:sz w:val="28"/>
          <w:szCs w:val="28"/>
        </w:rPr>
      </w:pPr>
      <w:r>
        <w:rPr>
          <w:rFonts w:hint="eastAsia" w:ascii="宋体" w:hAnsi="宋体"/>
          <w:bCs/>
          <w:color w:val="000000" w:themeColor="text1"/>
          <w:sz w:val="28"/>
          <w:szCs w:val="28"/>
        </w:rPr>
        <w:t xml:space="preserve">                                     </w:t>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宋体" w:hAnsi="宋体"/>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附件6   参加政府采购活动前 3 年内在经营活动中没有重大违法记录的书面声明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附件7         法人授权书</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本授权书声明：</w:t>
      </w:r>
      <w:r>
        <w:rPr>
          <w:rFonts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（投标人名称）授权</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（被授权人的姓名）为我方就采购编号为</w:t>
      </w:r>
      <w:r>
        <w:rPr>
          <w:rFonts w:eastAsia="方正仿宋_GBK"/>
          <w:color w:val="000000" w:themeColor="text1"/>
          <w:sz w:val="28"/>
          <w:szCs w:val="28"/>
        </w:rPr>
        <w:t xml:space="preserve">JSZC-320000-SCZX-G20XX-XXXX</w:t>
      </w:r>
      <w:r>
        <w:rPr>
          <w:rFonts w:hint="eastAsia" w:ascii="方正仿宋_GBK" w:hAnsi="方正仿宋_GBK" w:eastAsia="方正仿宋_GBK" w:cs="方正仿宋_GBK"/>
          <w:color w:val="000000" w:themeColor="text1"/>
          <w:sz w:val="28"/>
          <w:szCs w:val="28"/>
        </w:rPr>
        <w:t xml:space="preserve">，</w:t>
      </w:r>
      <w:r>
        <w:rPr>
          <w:rFonts w:hint="eastAsia"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本授权书于</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年</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月</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日起生效，特此声明。</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被授权人身份证号码：</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被授权人联系电话：（手机）</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被授权人电子邮箱：</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授权单位名称：</w:t>
      </w:r>
      <w:r>
        <w:rPr>
          <w:rFonts w:hint="eastAsia" w:ascii="方正仿宋_GBK" w:hAnsi="方正仿宋_GBK" w:eastAsia="方正仿宋_GBK" w:cs="方正仿宋_GBK"/>
          <w:color w:val="000000" w:themeColor="text1"/>
          <w:sz w:val="28"/>
          <w:szCs w:val="28"/>
          <w:u w:val="single"/>
        </w:rPr>
        <w:t xml:space="preserve">（加盖CA电子公章）</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单位地址：</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日    期：</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highlight w:val="yellow"/>
        </w:rPr>
      </w:pPr>
      <w:r>
        <w:rPr>
          <w:rFonts w:ascii="方正仿宋_GBK" w:hAnsi="方正仿宋_GBK" w:eastAsia="方正仿宋_GBK" w:cs="方正仿宋_GBK"/>
          <w:color w:val="000000" w:themeColor="text1"/>
          <w:sz w:val="28"/>
          <w:szCs w:val="28"/>
          <w:highlight w:val="yellow"/>
        </w:rPr>
      </w:r>
      <w:r/>
    </w:p>
    <w:p>
      <w:pPr>
        <w:jc w:val="center"/>
        <w:spacing w:line="400" w:lineRule="exact"/>
        <w:rPr>
          <w:rFonts w:hint="eastAsia" w:ascii="宋体" w:hAnsi="宋体" w:eastAsia="幼圆" w:cs="Arial"/>
          <w:b/>
          <w:color w:val="000000" w:themeColor="text1"/>
          <w:sz w:val="28"/>
          <w:szCs w:val="28"/>
        </w:rPr>
      </w:pPr>
      <w:r>
        <w:rPr>
          <w:rFonts w:hint="eastAsia" w:ascii="宋体" w:hAnsi="宋体" w:eastAsia="幼圆" w:cs="Arial"/>
          <w:b/>
          <w:color w:val="000000" w:themeColor="text1"/>
          <w:sz w:val="28"/>
          <w:szCs w:val="28"/>
        </w:rPr>
      </w:r>
      <w:r/>
    </w:p>
    <w:p>
      <w:pPr>
        <w:jc w:val="center"/>
        <w:spacing w:line="400" w:lineRule="exact"/>
        <w:rPr>
          <w:rFonts w:hint="eastAsia" w:ascii="宋体" w:hAnsi="宋体" w:eastAsia="幼圆" w:cs="Arial"/>
          <w:b/>
          <w:color w:val="000000" w:themeColor="text1"/>
          <w:sz w:val="28"/>
          <w:szCs w:val="28"/>
        </w:rPr>
      </w:pPr>
      <w:r>
        <w:rPr>
          <w:rFonts w:hint="eastAsia" w:ascii="宋体" w:hAnsi="宋体" w:eastAsia="幼圆" w:cs="Arial"/>
          <w:b/>
          <w:color w:val="000000" w:themeColor="text1"/>
          <w:sz w:val="28"/>
          <w:szCs w:val="28"/>
        </w:rPr>
      </w:r>
      <w:r/>
    </w:p>
    <w:p>
      <w:pPr>
        <w:jc w:val="center"/>
        <w:spacing w:line="400" w:lineRule="exact"/>
        <w:rPr>
          <w:rFonts w:ascii="黑体" w:hAnsi="黑体" w:eastAsia="黑体"/>
          <w:b/>
          <w:i/>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附件8              投标函</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致：江苏省政府采购中心</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根据贵方采购编号为</w:t>
      </w:r>
      <w:r>
        <w:rPr>
          <w:rFonts w:ascii="Times New Roman" w:hAnsi="Times New Roman" w:eastAsia="方正仿宋_GBK"/>
          <w:color w:val="000000" w:themeColor="text1"/>
          <w:sz w:val="28"/>
          <w:szCs w:val="28"/>
        </w:rPr>
        <w:t xml:space="preserve">JSZC-320000-SCZX-G20XX-XXXX</w:t>
      </w:r>
      <w:r>
        <w:rPr>
          <w:rFonts w:ascii="Times New Roman" w:hAnsi="Times New Roman" w:eastAsia="方正仿宋_GBK"/>
          <w:color w:val="000000" w:themeColor="text1"/>
          <w:sz w:val="28"/>
          <w:szCs w:val="28"/>
        </w:rPr>
        <w:t xml:space="preserve">，</w:t>
      </w:r>
      <w:r>
        <w:rPr>
          <w:rFonts w:ascii="Times New Roman" w:hAnsi="Times New Roman"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项目（项目名称）的招标文件，正式授权下述签字人</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(姓名)代表我方</w:t>
      </w:r>
      <w:r>
        <w:rPr>
          <w:rFonts w:hint="eastAsia" w:ascii="Times New Roman" w:hAnsi="Times New Roman"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（投标人的名称），全权处理本次项目投标的有关事宜。</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据此函，</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签字人兹宣布同意如下：</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1.按招标文件规定的各项要求，向买方提供所需服务（包含与服务相关的货物）。</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2.我们完全理解贵方不一定将合同授予最低报价的投标人。</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3.我们已详细审核全部招标文件及其有效补充文件。</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4.我们同意从规定的开标日期起遵循本投标文件，并在规定的投标有效期期满之前均具有约束力。</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5.同意向贵方提供贵方可能另外要求的与投标有关的任何证据或资料，并保证我方已提供和将要提供的文件是真实的、准确的。</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6.一旦我方中标,我方将根据招标文件的规定，严格履行合同的责任和义务,并保证在招标文件规定的时间内完成项目，交付买方验收、使用。</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7.与本投标有关的正式通讯地址为：</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          址：</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邮          编：</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电          话：</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传          真：</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投标人开户行：</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账        号： </w:t>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jc w:val="righ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供应商全称（加盖CA电子公章）：</w:t>
      </w:r>
      <w:r/>
    </w:p>
    <w:p>
      <w:pPr>
        <w:pStyle w:val="897"/>
        <w:jc w:val="center"/>
        <w:spacing w:before="0" w:after="0"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                            日      期：___年____月____日</w:t>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bookmarkStart w:id="182" w:name="_Toc120614284"/>
      <w:r/>
      <w:bookmarkEnd w:id="179"/>
      <w:r/>
      <w:bookmarkEnd w:id="180"/>
      <w:r/>
      <w:bookmarkEnd w:id="181"/>
      <w:r>
        <w:rPr>
          <w:rFonts w:hint="eastAsia" w:ascii="方正黑体_GBK" w:hAnsi="方正黑体_GBK" w:eastAsia="方正黑体_GBK" w:cs="方正黑体_GBK"/>
          <w:bCs/>
          <w:color w:val="000000" w:themeColor="text1"/>
          <w:sz w:val="28"/>
          <w:szCs w:val="28"/>
        </w:rPr>
        <w:t xml:space="preserve">附件9 中小微企业声明函（服务类项目）（采购包号：</w:t>
      </w:r>
      <w:r>
        <w:rPr>
          <w:rFonts w:eastAsia="方正黑体_GBK"/>
          <w:bCs/>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（单位名称）采购编号为</w:t>
      </w:r>
      <w:r>
        <w:rPr>
          <w:rFonts w:hint="eastAsia" w:eastAsia="方正黑体_GBK"/>
          <w:bCs/>
          <w:color w:val="000000" w:themeColor="text1"/>
          <w:sz w:val="28"/>
          <w:szCs w:val="28"/>
        </w:rPr>
        <w:t xml:space="preserve">JSZC-320000-SCZX-G20XX-XXXX</w:t>
      </w:r>
      <w:r>
        <w:rPr>
          <w:rFonts w:hint="eastAsia" w:ascii="方正仿宋_GBK" w:hAnsi="方正仿宋_GBK" w:eastAsia="方正仿宋_GBK" w:cs="方正仿宋_GBK"/>
          <w:color w:val="000000" w:themeColor="text1"/>
          <w:sz w:val="28"/>
          <w:szCs w:val="28"/>
        </w:rPr>
        <w:t xml:space="preserve">，</w:t>
      </w:r>
      <w:r>
        <w:rPr>
          <w:rFonts w:hint="eastAsia"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ascii="方正仿宋_GBK" w:hAnsi="方正仿宋_GBK" w:eastAsia="方正仿宋_GBK" w:cs="方正仿宋_GBK"/>
          <w:i/>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1.</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（标的名称）</w:t>
      </w:r>
      <w:r>
        <w:rPr>
          <w:rFonts w:hint="eastAsia" w:ascii="方正仿宋_GBK" w:hAnsi="方正仿宋_GBK" w:eastAsia="方正仿宋_GBK" w:cs="方正仿宋_GBK"/>
          <w:i/>
          <w:color w:val="000000" w:themeColor="text1"/>
          <w:sz w:val="28"/>
          <w:szCs w:val="28"/>
        </w:rPr>
        <w:t xml:space="preserve">，</w:t>
      </w:r>
      <w:r>
        <w:rPr>
          <w:rFonts w:hint="eastAsia" w:ascii="方正仿宋_GBK" w:hAnsi="方正仿宋_GBK" w:eastAsia="方正仿宋_GBK" w:cs="方正仿宋_GBK"/>
          <w:color w:val="000000" w:themeColor="text1"/>
          <w:sz w:val="28"/>
          <w:szCs w:val="28"/>
        </w:rPr>
        <w:t xml:space="preserve">属于</w:t>
      </w:r>
      <w:r>
        <w:rPr>
          <w:rFonts w:hint="eastAsia" w:eastAsia="方正仿宋_GBK"/>
          <w:color w:val="000000" w:themeColor="text1"/>
          <w:sz w:val="28"/>
          <w:szCs w:val="28"/>
          <w:u w:val="single"/>
        </w:rPr>
        <w:t xml:space="preserve">XX</w:t>
      </w:r>
      <w:r>
        <w:rPr>
          <w:rFonts w:hint="eastAsia" w:eastAsia="方正仿宋_GBK"/>
          <w:color w:val="000000" w:themeColor="text1"/>
          <w:sz w:val="28"/>
          <w:szCs w:val="28"/>
        </w:rPr>
        <w:t xml:space="preserve">（</w:t>
      </w:r>
      <w:r>
        <w:rPr>
          <w:rFonts w:hint="eastAsia" w:ascii="方正仿宋_GBK" w:hAnsi="方正仿宋_GBK" w:eastAsia="方正仿宋_GBK" w:cs="方正仿宋_GBK"/>
          <w:color w:val="000000" w:themeColor="text1"/>
          <w:sz w:val="28"/>
          <w:szCs w:val="28"/>
        </w:rPr>
        <w:t xml:space="preserve">供应商填写招标文件中明确的所属行业）行业；承接企业为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（企业名称），从业人员</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人，营业收入为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万元，资产总额为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w:t>
      </w:r>
      <w:r>
        <w:rPr>
          <w:rFonts w:hint="eastAsia" w:ascii="方正仿宋_GBK" w:hAnsi="方正仿宋_GBK" w:eastAsia="方正仿宋_GBK" w:cs="方正仿宋_GBK"/>
          <w:color w:val="000000" w:themeColor="text1"/>
          <w:sz w:val="28"/>
          <w:szCs w:val="28"/>
          <w:vertAlign w:val="superscript"/>
        </w:rPr>
        <w:t xml:space="preserve">1</w:t>
      </w:r>
      <w:r>
        <w:rPr>
          <w:rFonts w:hint="eastAsia" w:ascii="方正仿宋_GBK" w:hAnsi="方正仿宋_GBK" w:eastAsia="方正仿宋_GBK" w:cs="方正仿宋_GBK"/>
          <w:color w:val="000000" w:themeColor="text1"/>
          <w:sz w:val="28"/>
          <w:szCs w:val="28"/>
        </w:rPr>
        <w:t xml:space="preserve">，属于</w:t>
      </w:r>
      <w:r>
        <w:rPr>
          <w:rFonts w:hint="eastAsia" w:ascii="方正仿宋_GBK" w:hAnsi="方正仿宋_GBK" w:eastAsia="方正仿宋_GBK" w:cs="方正仿宋_GBK"/>
          <w:color w:val="000000" w:themeColor="text1"/>
          <w:sz w:val="28"/>
          <w:szCs w:val="28"/>
          <w:u w:val="single"/>
        </w:rPr>
        <w:t xml:space="preserve">（□中型企业 □小型企业 □微型企业）；</w:t>
      </w:r>
      <w:r/>
    </w:p>
    <w:p>
      <w:pPr>
        <w:ind w:firstLine="560"/>
        <w:spacing w:line="400" w:lineRule="exact"/>
        <w:rPr>
          <w:rFonts w:ascii="方正仿宋_GBK" w:hAnsi="方正仿宋_GBK" w:eastAsia="方正仿宋_GBK" w:cs="方正仿宋_GBK"/>
          <w:i/>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2.</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（标的名称）</w:t>
      </w:r>
      <w:r>
        <w:rPr>
          <w:rFonts w:hint="eastAsia" w:ascii="方正仿宋_GBK" w:hAnsi="方正仿宋_GBK" w:eastAsia="方正仿宋_GBK" w:cs="方正仿宋_GBK"/>
          <w:i/>
          <w:color w:val="000000" w:themeColor="text1"/>
          <w:sz w:val="28"/>
          <w:szCs w:val="28"/>
        </w:rPr>
        <w:t xml:space="preserve">，</w:t>
      </w:r>
      <w:r>
        <w:rPr>
          <w:rFonts w:hint="eastAsia" w:ascii="方正仿宋_GBK" w:hAnsi="方正仿宋_GBK" w:eastAsia="方正仿宋_GBK" w:cs="方正仿宋_GBK"/>
          <w:color w:val="000000" w:themeColor="text1"/>
          <w:sz w:val="28"/>
          <w:szCs w:val="28"/>
        </w:rPr>
        <w:t xml:space="preserve">属于</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（供应商填写招标文件中明确的所属行业）行业；承接企业为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（企业名称），从业人员</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人，营业收入为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万元，资产总额为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w:t>
      </w:r>
      <w:r>
        <w:rPr>
          <w:rFonts w:hint="eastAsia" w:ascii="方正仿宋_GBK" w:hAnsi="方正仿宋_GBK" w:eastAsia="方正仿宋_GBK" w:cs="方正仿宋_GBK"/>
          <w:color w:val="000000" w:themeColor="text1"/>
          <w:sz w:val="28"/>
          <w:szCs w:val="28"/>
          <w:vertAlign w:val="superscript"/>
        </w:rPr>
        <w:t xml:space="preserve">1</w:t>
      </w:r>
      <w:r>
        <w:rPr>
          <w:rFonts w:hint="eastAsia" w:ascii="方正仿宋_GBK" w:hAnsi="方正仿宋_GBK" w:eastAsia="方正仿宋_GBK" w:cs="方正仿宋_GBK"/>
          <w:color w:val="000000" w:themeColor="text1"/>
          <w:sz w:val="28"/>
          <w:szCs w:val="28"/>
        </w:rPr>
        <w:t xml:space="preserve">，属于</w:t>
      </w:r>
      <w:r>
        <w:rPr>
          <w:rFonts w:hint="eastAsia" w:ascii="方正仿宋_GBK" w:hAnsi="方正仿宋_GBK" w:eastAsia="方正仿宋_GBK" w:cs="方正仿宋_GBK"/>
          <w:color w:val="000000" w:themeColor="text1"/>
          <w:sz w:val="28"/>
          <w:szCs w:val="28"/>
          <w:u w:val="single"/>
        </w:rPr>
        <w:t xml:space="preserve">（□中型企业 □小型企业 □微型企业）；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以上企业，不属于大企业的分支机构，不存在控股股东为大企业的情形，也不存在与大企业的负责人为同一人的情形。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本企业对上述声明内容的真实性负责。如有虚假，将依法承担相应责任</w:t>
      </w:r>
      <w:r/>
    </w:p>
    <w:p>
      <w:pPr>
        <w:ind w:right="720"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right="180" w:firstLine="560"/>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企业名称（加盖CA电子公章）：</w:t>
      </w:r>
      <w:r/>
    </w:p>
    <w:p>
      <w:pPr>
        <w:ind w:right="180" w:firstLine="560"/>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                    日     期：___年___月___日 </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1.从业人员、营业收入、资产总额填报上一年度数据，无上一年度数</w:t>
      </w:r>
      <w:r>
        <w:rPr>
          <w:rFonts w:hint="eastAsia" w:ascii="方正仿宋_GBK" w:hAnsi="方正仿宋_GBK" w:eastAsia="方正仿宋_GBK" w:cs="方正仿宋_GBK"/>
          <w:color w:val="000000" w:themeColor="text1"/>
          <w:sz w:val="28"/>
          <w:szCs w:val="28"/>
        </w:rPr>
        <w:t xml:space="preserve">据的新成立企业可不填报。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color w:val="000000" w:themeColor="text1"/>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ascii="宋体" w:hAnsi="宋体"/>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附件10 残疾人福利性单位声明函（服务类项目）（采购包号：</w:t>
      </w:r>
      <w:r>
        <w:rPr>
          <w:rFonts w:hint="eastAsia" w:eastAsia="方正黑体_GBK"/>
          <w:bCs/>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单位采购编号为</w:t>
      </w:r>
      <w:r>
        <w:rPr>
          <w:rFonts w:hint="eastAsia" w:eastAsia="方正黑体_GBK"/>
          <w:bCs/>
          <w:color w:val="000000" w:themeColor="text1"/>
          <w:sz w:val="28"/>
          <w:szCs w:val="28"/>
        </w:rPr>
        <w:t xml:space="preserve">JSZC-320000-SCZX-G20XX-XXXX</w:t>
      </w:r>
      <w:r>
        <w:rPr>
          <w:rFonts w:hint="eastAsia" w:ascii="方正仿宋_GBK" w:hAnsi="方正仿宋_GBK" w:eastAsia="方正仿宋_GBK" w:cs="方正仿宋_GBK"/>
          <w:color w:val="000000" w:themeColor="text1"/>
          <w:sz w:val="28"/>
          <w:szCs w:val="28"/>
        </w:rPr>
        <w:t xml:space="preserve">， </w:t>
      </w:r>
      <w:r>
        <w:rPr>
          <w:rFonts w:hint="eastAsia" w:ascii="方正仿宋_GBK" w:hAnsi="方正仿宋_GBK" w:eastAsia="方正仿宋_GBK" w:cs="方正仿宋_GBK"/>
          <w:color w:val="000000" w:themeColor="text1"/>
          <w:sz w:val="28"/>
          <w:szCs w:val="28"/>
          <w:u w:val="single"/>
        </w:rPr>
        <w:t xml:space="preserve">    </w:t>
      </w:r>
      <w:r>
        <w:rPr>
          <w:rFonts w:hint="eastAsia"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项目（项目名称）（采购包号：</w:t>
      </w:r>
      <w:r>
        <w:rPr>
          <w:rFonts w:hint="eastAsia" w:eastAsia="方正黑体_GBK"/>
          <w:bCs/>
          <w:color w:val="000000" w:themeColor="text1"/>
          <w:sz w:val="28"/>
          <w:szCs w:val="28"/>
        </w:rPr>
        <w:t xml:space="preserve">XX</w:t>
      </w:r>
      <w:r>
        <w:rPr>
          <w:rFonts w:hint="eastAsia" w:ascii="方正仿宋_GBK" w:hAnsi="方正仿宋_GBK" w:eastAsia="方正仿宋_GBK" w:cs="方正仿宋_GBK"/>
          <w:color w:val="000000" w:themeColor="text1"/>
          <w:sz w:val="28"/>
          <w:szCs w:val="28"/>
        </w:rPr>
        <w:t xml:space="preserve">）采购活动由本单位提供服务。</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本单位对上述声明的真实性负责。如有虚假，将依法承担相应责任。</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1.专门面向中小微型企业采购的项目，供应商为残疾人福利性单位并提供服务的必须提供此声明函，否则将不能通过资格审查。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3.中标/成交供应商为残疾人福利性单位的，此声明函将随中标/成交结果同时公告，接受社会监督</w:t>
      </w:r>
      <w:r/>
    </w:p>
    <w:p>
      <w:pPr>
        <w:ind w:firstLine="584"/>
        <w:spacing w:line="400" w:lineRule="exact"/>
        <w:rPr>
          <w:rFonts w:ascii="方正仿宋_GBK" w:hAnsi="方正仿宋_GBK" w:eastAsia="方正仿宋_GBK" w:cs="方正仿宋_GBK"/>
          <w:color w:val="000000" w:themeColor="text1"/>
          <w:spacing w:val="6"/>
          <w:sz w:val="28"/>
          <w:szCs w:val="28"/>
        </w:rPr>
      </w:pPr>
      <w:r>
        <w:rPr>
          <w:rFonts w:ascii="方正仿宋_GBK" w:hAnsi="方正仿宋_GBK" w:eastAsia="方正仿宋_GBK" w:cs="方正仿宋_GBK"/>
          <w:color w:val="000000" w:themeColor="text1"/>
          <w:spacing w:val="6"/>
          <w:sz w:val="28"/>
          <w:szCs w:val="28"/>
        </w:rPr>
      </w:r>
      <w:r/>
    </w:p>
    <w:p>
      <w:pPr>
        <w:ind w:right="1559" w:firstLine="584"/>
        <w:jc w:val="center"/>
        <w:spacing w:line="400" w:lineRule="exact"/>
        <w:tabs>
          <w:tab w:val="left" w:pos="48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pacing w:val="6"/>
          <w:sz w:val="28"/>
          <w:szCs w:val="28"/>
        </w:rPr>
        <w:t xml:space="preserve">             </w:t>
      </w:r>
      <w:r>
        <w:rPr>
          <w:rFonts w:hint="eastAsia" w:ascii="方正仿宋_GBK" w:hAnsi="方正仿宋_GBK" w:eastAsia="方正仿宋_GBK" w:cs="方正仿宋_GBK"/>
          <w:color w:val="000000" w:themeColor="text1"/>
          <w:sz w:val="28"/>
          <w:szCs w:val="28"/>
        </w:rPr>
        <w:t xml:space="preserve">供应商全称（加盖CA电子公章）：</w:t>
      </w:r>
      <w:r/>
    </w:p>
    <w:p>
      <w:pPr>
        <w:ind w:right="1559" w:firstLine="560"/>
        <w:jc w:val="center"/>
        <w:spacing w:line="400" w:lineRule="exact"/>
        <w:tabs>
          <w:tab w:val="left" w:pos="48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w:t>
      </w:r>
      <w:r>
        <w:rPr>
          <w:rFonts w:hint="eastAsia" w:ascii="方正仿宋_GBK" w:hAnsi="方正仿宋_GBK" w:eastAsia="方正仿宋_GBK" w:cs="方正仿宋_GBK"/>
          <w:color w:val="000000" w:themeColor="text1"/>
          <w:sz w:val="28"/>
          <w:szCs w:val="28"/>
          <w:shd w:val="clear" w:color="auto" w:fill="ffffff"/>
        </w:rPr>
        <w:t xml:space="preserve">日     期：___年____月____日   </w:t>
      </w:r>
      <w:r/>
    </w:p>
    <w:p>
      <w:pPr>
        <w:jc w:val="center"/>
        <w:spacing w:line="400" w:lineRule="exact"/>
        <w:rPr>
          <w:rFonts w:ascii="黑体" w:hAnsi="黑体" w:eastAsia="黑体"/>
          <w:b/>
          <w:color w:val="000000" w:themeColor="text1"/>
          <w:sz w:val="28"/>
          <w:szCs w:val="28"/>
        </w:rPr>
      </w:pPr>
      <w:r>
        <w:rPr>
          <w:rFonts w:ascii="黑体" w:hAnsi="黑体" w:eastAsia="黑体"/>
          <w:b/>
          <w:color w:val="000000" w:themeColor="text1"/>
          <w:sz w:val="28"/>
          <w:szCs w:val="28"/>
        </w:rPr>
      </w:r>
      <w:r/>
    </w:p>
    <w:p>
      <w:pPr>
        <w:jc w:val="center"/>
        <w:spacing w:line="400" w:lineRule="exact"/>
        <w:rPr>
          <w:rFonts w:ascii="黑体" w:hAnsi="黑体" w:eastAsia="黑体"/>
          <w:b/>
          <w:color w:val="000000" w:themeColor="text1"/>
          <w:sz w:val="28"/>
          <w:szCs w:val="28"/>
        </w:rPr>
      </w:pPr>
      <w:r>
        <w:rPr>
          <w:rFonts w:ascii="黑体" w:hAnsi="黑体" w:eastAsia="黑体"/>
          <w:b/>
          <w:color w:val="000000" w:themeColor="text1"/>
          <w:sz w:val="28"/>
          <w:szCs w:val="28"/>
        </w:rPr>
      </w:r>
      <w:r/>
    </w:p>
    <w:p>
      <w:pPr>
        <w:spacing w:line="400" w:lineRule="exact"/>
        <w:rPr>
          <w:rFonts w:ascii="黑体" w:hAnsi="黑体" w:eastAsia="黑体"/>
          <w:b/>
          <w:color w:val="000000" w:themeColor="text1"/>
          <w:sz w:val="28"/>
          <w:szCs w:val="28"/>
        </w:rPr>
      </w:pPr>
      <w:r>
        <w:rPr>
          <w:rFonts w:ascii="黑体" w:hAnsi="黑体" w:eastAsia="黑体"/>
          <w:b/>
          <w:color w:val="000000" w:themeColor="text1"/>
          <w:sz w:val="28"/>
          <w:szCs w:val="28"/>
        </w:rPr>
      </w:r>
      <w:r/>
    </w:p>
    <w:p>
      <w:pPr>
        <w:ind w:firstLine="560"/>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附件11   实质性要求响应及偏离表（采购包号：XX）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招标文件（含技术要求和商务要求）中的实质性要求</w:t>
            </w:r>
            <w:r>
              <w:rPr>
                <w:rFonts w:hint="eastAsia" w:ascii="方正仿宋_GBK" w:hAnsi="方正仿宋_GBK" w:eastAsia="方正仿宋_GBK" w:cs="方正仿宋_GBK"/>
                <w:b/>
                <w:bCs/>
                <w:color w:val="000000" w:themeColor="text1"/>
                <w:sz w:val="28"/>
                <w:szCs w:val="28"/>
              </w:rPr>
              <w:t xml:space="preserve">（</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w:t>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bl>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附件12-1 证明材料1，证明材料2，……</w:t>
      </w:r>
      <w:r/>
    </w:p>
    <w:p>
      <w:pP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themeColor="text1"/>
          <w:sz w:val="28"/>
          <w:szCs w:val="28"/>
        </w:rPr>
        <w:t xml:space="preserve">（</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或加*号条款为实质性要求）</w:t>
      </w:r>
      <w:r>
        <w:rPr>
          <w:rFonts w:hint="eastAsia" w:ascii="方正仿宋_GBK" w:hAnsi="方正仿宋_GBK" w:eastAsia="方正仿宋_GBK" w:cs="方正仿宋_GBK"/>
          <w:color w:val="000000" w:themeColor="text1"/>
          <w:sz w:val="28"/>
          <w:szCs w:val="28"/>
        </w:rPr>
        <w:t xml:space="preserve">逐条做出明确响应，否则作无效投标处理。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2.如果招标文件要求提供证明材料，投标人必须将证明材料列于该表之下。</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3.投标人未对实质性要求逐条作出明确响应的，或未按招标文件要求提供证明材料的，该采购包作无效投标处理。</w:t>
      </w:r>
      <w:r/>
    </w:p>
    <w:p>
      <w:pPr>
        <w:spacing w:line="400" w:lineRule="exact"/>
        <w:rPr>
          <w:rFonts w:ascii="宋体" w:hAnsi="宋体"/>
          <w:color w:val="000000" w:themeColor="text1"/>
          <w:sz w:val="28"/>
          <w:szCs w:val="28"/>
        </w:rPr>
      </w:pPr>
      <w:r>
        <w:rPr>
          <w:rFonts w:ascii="宋体" w:hAnsi="宋体"/>
          <w:color w:val="000000" w:themeColor="text1"/>
          <w:sz w:val="28"/>
          <w:szCs w:val="28"/>
        </w:rPr>
      </w:r>
      <w:r>
        <w:rPr>
          <w:rFonts w:ascii="宋体" w:hAnsi="宋体"/>
          <w:color w:val="000000" w:themeColor="text1"/>
          <w:sz w:val="28"/>
          <w:szCs w:val="28"/>
        </w:rPr>
      </w:r>
      <w:r/>
    </w:p>
    <w:p>
      <w:pPr>
        <w:spacing w:line="400" w:lineRule="exact"/>
        <w:rPr>
          <w:rFonts w:ascii="宋体" w:hAnsi="宋体"/>
          <w:color w:val="000000" w:themeColor="text1"/>
          <w:sz w:val="28"/>
          <w:szCs w:val="28"/>
        </w:rPr>
      </w:pPr>
      <w:r>
        <w:rPr>
          <w:rFonts w:ascii="宋体" w:hAnsi="宋体"/>
          <w:color w:val="000000" w:themeColor="text1"/>
          <w:sz w:val="28"/>
          <w:szCs w:val="28"/>
        </w:rPr>
      </w:r>
      <w:r>
        <w:rPr>
          <w:rFonts w:ascii="宋体" w:hAnsi="宋体"/>
          <w:color w:val="000000" w:themeColor="text1"/>
          <w:sz w:val="28"/>
          <w:szCs w:val="28"/>
        </w:rPr>
      </w:r>
      <w:r/>
    </w:p>
    <w:p>
      <w:pPr>
        <w:spacing w:line="400" w:lineRule="exact"/>
        <w:rPr>
          <w:rFonts w:ascii="宋体" w:hAnsi="宋体"/>
          <w:color w:val="000000" w:themeColor="text1"/>
          <w:sz w:val="28"/>
          <w:szCs w:val="28"/>
        </w:rPr>
      </w:pPr>
      <w:r>
        <w:rPr>
          <w:rFonts w:ascii="宋体" w:hAnsi="宋体"/>
          <w:color w:val="000000" w:themeColor="text1"/>
          <w:sz w:val="28"/>
          <w:szCs w:val="28"/>
        </w:rPr>
      </w:r>
      <w:r/>
    </w:p>
    <w:p>
      <w:pPr>
        <w:jc w:val="center"/>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jc w:val="center"/>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ind w:firstLine="560"/>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附件12  关于符合本国产品标准的声明函（采购包号：XX）</w:t>
      </w:r>
      <w:r/>
    </w:p>
    <w:p>
      <w:pPr>
        <w:pStyle w:val="819"/>
        <w:ind w:firstLine="560"/>
        <w:spacing w:before="0" w:beforeAutospacing="0" w:after="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1.</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（产品名称1）</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1</w:t>
      </w:r>
      <w:r>
        <w:rPr>
          <w:rFonts w:hint="eastAsia" w:ascii="方正仿宋_GBK" w:hAnsi="方正仿宋_GBK" w:eastAsia="方正仿宋_GBK" w:cs="方正仿宋_GBK"/>
          <w:color w:val="000000" w:themeColor="text1"/>
          <w:sz w:val="28"/>
          <w:szCs w:val="28"/>
          <w:shd w:val="clear" w:color="auto" w:fill="ffffff"/>
        </w:rPr>
        <w:t xml:space="preserve">，生产厂为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（厂名）</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2</w:t>
      </w:r>
      <w:r>
        <w:rPr>
          <w:rFonts w:hint="eastAsia" w:ascii="方正仿宋_GBK" w:hAnsi="方正仿宋_GBK" w:eastAsia="方正仿宋_GBK" w:cs="方正仿宋_GBK"/>
          <w:color w:val="000000" w:themeColor="text1"/>
          <w:sz w:val="28"/>
          <w:szCs w:val="28"/>
          <w:shd w:val="clear" w:color="auto" w:fill="ffffff"/>
        </w:rPr>
        <w:t xml:space="preserve">，厂址为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（生产厂址）</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的中国境内生产的组件成本占比≥</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3</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4</w:t>
      </w:r>
      <w:r>
        <w:rPr>
          <w:rFonts w:hint="eastAsia" w:ascii="方正仿宋_GBK" w:hAnsi="方正仿宋_GBK" w:eastAsia="方正仿宋_GBK" w:cs="方正仿宋_GBK"/>
          <w:color w:val="000000" w:themeColor="text1"/>
          <w:sz w:val="28"/>
          <w:szCs w:val="28"/>
          <w:shd w:val="clear" w:color="auto" w:fill="ffffff"/>
        </w:rPr>
        <w:t xml:space="preserve">在中国境内生产。</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5</w:t>
      </w:r>
      <w:r>
        <w:rPr>
          <w:rFonts w:hint="eastAsia" w:ascii="方正仿宋_GBK" w:hAnsi="方正仿宋_GBK" w:eastAsia="方正仿宋_GBK" w:cs="方正仿宋_GBK"/>
          <w:color w:val="000000" w:themeColor="text1"/>
          <w:sz w:val="28"/>
          <w:szCs w:val="28"/>
          <w:shd w:val="clear" w:color="auto" w:fill="ffffff"/>
        </w:rPr>
        <w:t xml:space="preserve">在中国境内完成。</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2.</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（产品名称2）</w:t>
      </w:r>
      <w:r>
        <w:rPr>
          <w:rFonts w:hint="eastAsia" w:ascii="方正仿宋_GBK" w:hAnsi="方正仿宋_GBK" w:eastAsia="方正仿宋_GBK" w:cs="方正仿宋_GBK"/>
          <w:color w:val="000000" w:themeColor="text1"/>
          <w:sz w:val="28"/>
          <w:szCs w:val="28"/>
          <w:shd w:val="clear" w:color="auto" w:fill="ffffff"/>
        </w:rPr>
        <w:t xml:space="preserve">，生产厂为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（厂名）</w:t>
      </w:r>
      <w:r>
        <w:rPr>
          <w:rFonts w:hint="eastAsia" w:ascii="方正仿宋_GBK" w:hAnsi="方正仿宋_GBK" w:eastAsia="方正仿宋_GBK" w:cs="方正仿宋_GBK"/>
          <w:color w:val="000000" w:themeColor="text1"/>
          <w:sz w:val="28"/>
          <w:szCs w:val="28"/>
          <w:shd w:val="clear" w:color="auto" w:fill="ffffff"/>
        </w:rPr>
        <w:t xml:space="preserve">，厂址为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（生产厂址）</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的中国境内生产的组件成本占比≥</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在中国境内生产。</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在中国境内完成。</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本公司（单位）对上述声明内容的真实性负责。如有虚假，愿承担相应法律责任。</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pStyle w:val="819"/>
        <w:ind w:firstLine="560"/>
        <w:jc w:val="right"/>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    公司（单位）名称（加盖CA电子公章）：　        </w:t>
      </w:r>
      <w:r/>
    </w:p>
    <w:p>
      <w:pPr>
        <w:pStyle w:val="819"/>
        <w:ind w:firstLine="560"/>
        <w:jc w:val="center"/>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          日期：</w:t>
      </w:r>
      <w:r>
        <w:rPr>
          <w:rFonts w:hint="eastAsia" w:ascii="方正仿宋_GBK" w:hAnsi="方正仿宋_GBK" w:eastAsia="方正仿宋_GBK" w:cs="方正仿宋_GBK"/>
          <w:color w:val="000000" w:themeColor="text1"/>
          <w:sz w:val="28"/>
          <w:szCs w:val="28"/>
        </w:rPr>
        <w:t xml:space="preserve">___年____月____日</w:t>
      </w:r>
      <w:r>
        <w:rPr>
          <w:rFonts w:hint="eastAsia" w:ascii="方正仿宋_GBK" w:hAnsi="方正仿宋_GBK" w:eastAsia="方正仿宋_GBK" w:cs="方正仿宋_GBK"/>
          <w:color w:val="000000" w:themeColor="text1"/>
          <w:sz w:val="28"/>
          <w:szCs w:val="28"/>
          <w:shd w:val="clear" w:color="auto" w:fill="ffffff"/>
        </w:rPr>
        <w:t xml:space="preserve">        </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__________________</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1.产品如有型号，请在“产品名称”栏一并填写。</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2.生产厂名与厂址应与生产厂营业执照载明的相关信息保持一致。</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3.该产品的中国境内生产的组件成本占比相关要求实施前，“规定比例”栏可不填，下同。</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4.该产品的关键组件要求实施前，“关键组件”栏可不填，下同。</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shd w:val="clear" w:color="auto" w:fill="ffffff"/>
        </w:rPr>
      </w:pPr>
      <w:r>
        <w:rPr>
          <w:rFonts w:hint="eastAsia" w:ascii="方正仿宋_GBK" w:hAnsi="方正仿宋_GBK" w:eastAsia="方正仿宋_GBK" w:cs="方正仿宋_GBK"/>
          <w:color w:val="000000" w:themeColor="text1"/>
          <w:sz w:val="28"/>
          <w:szCs w:val="28"/>
          <w:shd w:val="clear" w:color="auto" w:fill="ffffff"/>
        </w:rPr>
        <w:t xml:space="preserve">5.该产品的关键工序要求实施前，“关键工序”栏可不填，下同。</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shd w:val="clear" w:color="auto" w:fill="ffffff"/>
        </w:rPr>
      </w:pPr>
      <w:r>
        <w:rPr>
          <w:rFonts w:hint="eastAsia" w:ascii="方正仿宋_GBK" w:hAnsi="方正仿宋_GBK" w:eastAsia="方正仿宋_GBK" w:cs="方正仿宋_GBK"/>
          <w:color w:val="000000" w:themeColor="text1"/>
          <w:sz w:val="28"/>
          <w:szCs w:val="28"/>
          <w:shd w:val="clear" w:color="auto" w:fill="ffffff"/>
        </w:rPr>
        <w:t xml:space="preserve">6.《声明函》中标注“</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”的地方无需填写。</w:t>
      </w:r>
      <w:bookmarkEnd w:id="162"/>
      <w:r/>
      <w:bookmarkEnd w:id="163"/>
      <w:r/>
      <w:bookmarkEnd w:id="182"/>
      <w:r/>
      <w:r/>
    </w:p>
    <w:p>
      <w:pPr>
        <w:ind w:firstLine="560"/>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质疑函范本</w:t>
      </w:r>
      <w:r/>
    </w:p>
    <w:p>
      <w:pPr>
        <w:ind w:firstLine="560"/>
        <w:spacing w:before="290"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一、质疑供应商基本信息</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质疑供应商：</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地址：</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邮编：</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联系人：</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联系电话：</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授权代表：</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联系电话：</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地址： </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邮编：</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二、质疑项目基本情况</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质疑项目的名称：</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质疑项目的编号：</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包号：</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采购人名称：</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采购文件获取日期：</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三、质疑事项具体内容</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质疑事项1：</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事实依据：</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法律依据：</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质疑事项2</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四、与质疑事项相关的质疑请求</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请求：</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签字(签章)：                   公章：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日期：    </w:t>
      </w:r>
      <w:r/>
    </w:p>
    <w:p>
      <w:pPr>
        <w:ind w:firstLine="562"/>
        <w:spacing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质疑函制作说明：</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1.供应商提出质疑时，应提交质疑函和必要的证明材料。</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3.质疑供应商若对项目的某一采购包进行质疑，质疑函中应列明具体采购包号。</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4.质疑函的质疑事项应具体、明确，并有必要的事实依据和法律依据。</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5.质疑函的质疑请求应与质疑事项相关。</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87"/>
        <w:spacing w:line="400" w:lineRule="exact"/>
        <w:rPr>
          <w:color w:val="000000" w:themeColor="text1"/>
          <w:sz w:val="28"/>
          <w:szCs w:val="28"/>
        </w:rPr>
      </w:pPr>
      <w:r>
        <w:rPr>
          <w:color w:val="000000" w:themeColor="text1"/>
          <w:sz w:val="28"/>
          <w:szCs w:val="28"/>
        </w:rPr>
      </w:r>
      <w:r/>
    </w:p>
    <w:p>
      <w:pPr>
        <w:pStyle w:val="787"/>
        <w:rPr>
          <w:color w:val="000000" w:themeColor="text1"/>
          <w:sz w:val="24"/>
          <w:szCs w:val="24"/>
        </w:rPr>
      </w:pPr>
      <w:r>
        <w:rPr>
          <w:color w:val="000000" w:themeColor="text1"/>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59</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59</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Style w:val="828"/>
      </w:rPr>
      <w:framePr w:wrap="around" w:vAnchor="text" w:hAnchor="margin" w:xAlign="center" w:y="1"/>
    </w:pPr>
    <w:r>
      <w:fldChar w:fldCharType="begin"/>
    </w:r>
    <w:r>
      <w:rPr>
        <w:rStyle w:val="828"/>
      </w:rPr>
      <w:instrText xml:space="preserve">PAGE  </w:instrText>
    </w:r>
    <w:r>
      <w:fldChar w:fldCharType="separate"/>
    </w:r>
    <w:r>
      <w:rPr>
        <w:rStyle w:val="828"/>
      </w:rPr>
      <w:t xml:space="preserve">1</w:t>
    </w:r>
    <w:r>
      <w:fldChar w:fldCharType="end"/>
    </w:r>
    <w:r/>
  </w:p>
  <w:p>
    <w:pPr>
      <w:pStyle w:val="8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square" lIns="0" tIns="0" rIns="0" bIns="0" upright="1"/>
                  </wps:wsp>
                </a:graphicData>
              </a:graphic>
            </wp:anchor>
          </w:drawing>
        </mc:Choice>
        <mc:Fallback>
          <w:pict>
            <v:shape id="shape 1" o:spid="_x0000_s1" o:spt="202" type="#_x0000_t202" style="position:absolute;z-index:502791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8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80"/>
      <w:isLgl w:val="false"/>
      <w:suff w:val="nothing"/>
      <w:lvlText w:val=""/>
      <w:lvlJc w:val="left"/>
      <w:pPr>
        <w:ind w:left="0" w:firstLine="0"/>
      </w:pPr>
      <w:rPr>
        <w:rFonts w:hint="eastAsia"/>
      </w:rPr>
    </w:lvl>
    <w:lvl w:ilvl="6">
      <w:start w:val="1"/>
      <w:numFmt w:val="decimal"/>
      <w:pStyle w:val="781"/>
      <w:isLgl w:val="false"/>
      <w:suff w:val="nothing"/>
      <w:lvlText w:val=""/>
      <w:lvlJc w:val="left"/>
      <w:pPr>
        <w:ind w:left="0" w:firstLine="0"/>
      </w:pPr>
      <w:rPr>
        <w:rFonts w:hint="eastAsia"/>
      </w:rPr>
    </w:lvl>
    <w:lvl w:ilvl="7">
      <w:start w:val="1"/>
      <w:numFmt w:val="decimal"/>
      <w:pStyle w:val="782"/>
      <w:isLgl w:val="false"/>
      <w:suff w:val="nothing"/>
      <w:lvlText w:val=""/>
      <w:lvlJc w:val="left"/>
      <w:pPr>
        <w:ind w:left="0" w:firstLine="0"/>
      </w:pPr>
      <w:rPr>
        <w:rFonts w:hint="eastAsia"/>
      </w:rPr>
    </w:lvl>
    <w:lvl w:ilvl="8">
      <w:start w:val="1"/>
      <w:numFmt w:val="decimal"/>
      <w:pStyle w:val="783"/>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3"/>
      <w:numFmt w:val="decimal"/>
      <w:isLgl w:val="false"/>
      <w:suff w:val="tab"/>
      <w:lvlText w:val="%1、"/>
      <w:lvlJc w:val="left"/>
      <w:pPr>
        <w:ind w:left="995" w:hanging="435"/>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upperLetter"/>
      <w:pStyle w:val="8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0"/>
  </w:num>
  <w:num w:numId="4">
    <w:abstractNumId w:val="5"/>
  </w:num>
  <w:num w:numId="5">
    <w:abstractNumId w:val="4"/>
  </w:num>
  <w:num w:numId="6">
    <w:abstractNumId w:val="8"/>
  </w:num>
  <w:num w:numId="7">
    <w:abstractNumId w:val="3"/>
  </w:num>
  <w:num w:numId="8">
    <w:abstractNumId w:val="7"/>
  </w:num>
  <w:num w:numId="9">
    <w:abstractNumId w:val="6"/>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TOC Heading"/>
    <w:uiPriority w:val="39"/>
    <w:unhideWhenUsed/>
  </w:style>
  <w:style w:type="paragraph" w:styleId="774" w:default="1">
    <w:name w:val="Normal"/>
    <w:qFormat/>
    <w:pPr>
      <w:jc w:val="both"/>
      <w:widowControl w:val="off"/>
    </w:pPr>
    <w:rPr>
      <w:rFonts w:ascii="Times New Roman" w:hAnsi="Times New Roman"/>
      <w:sz w:val="21"/>
      <w:szCs w:val="21"/>
    </w:rPr>
  </w:style>
  <w:style w:type="paragraph" w:styleId="775">
    <w:name w:val="Heading 1"/>
    <w:basedOn w:val="774"/>
    <w:next w:val="774"/>
    <w:link w:val="856"/>
    <w:uiPriority w:val="99"/>
    <w:qFormat/>
    <w:pPr>
      <w:jc w:val="center"/>
      <w:keepNext/>
      <w:outlineLvl w:val="0"/>
    </w:pPr>
    <w:rPr>
      <w:rFonts w:ascii="楷体_GB2312" w:eastAsia="楷体_GB2312"/>
      <w:sz w:val="28"/>
      <w:szCs w:val="28"/>
    </w:rPr>
  </w:style>
  <w:style w:type="paragraph" w:styleId="776">
    <w:name w:val="Heading 2"/>
    <w:basedOn w:val="774"/>
    <w:next w:val="787"/>
    <w:link w:val="857"/>
    <w:qFormat/>
    <w:pPr>
      <w:jc w:val="center"/>
      <w:keepLines/>
      <w:keepNext/>
      <w:spacing w:before="260" w:after="260" w:line="416" w:lineRule="auto"/>
      <w:outlineLvl w:val="1"/>
    </w:pPr>
    <w:rPr>
      <w:rFonts w:ascii="Arial" w:hAnsi="Arial" w:eastAsia="幼圆"/>
      <w:b/>
      <w:bCs/>
      <w:sz w:val="44"/>
      <w:szCs w:val="44"/>
    </w:rPr>
  </w:style>
  <w:style w:type="paragraph" w:styleId="777">
    <w:name w:val="Heading 3"/>
    <w:basedOn w:val="774"/>
    <w:next w:val="787"/>
    <w:link w:val="859"/>
    <w:uiPriority w:val="99"/>
    <w:qFormat/>
    <w:pPr>
      <w:keepLines/>
      <w:keepNext/>
      <w:spacing w:before="260" w:after="260" w:line="416" w:lineRule="auto"/>
      <w:outlineLvl w:val="2"/>
    </w:pPr>
    <w:rPr>
      <w:b/>
      <w:bCs/>
      <w:sz w:val="32"/>
      <w:szCs w:val="32"/>
    </w:rPr>
  </w:style>
  <w:style w:type="paragraph" w:styleId="778">
    <w:name w:val="Heading 4"/>
    <w:basedOn w:val="774"/>
    <w:next w:val="787"/>
    <w:link w:val="860"/>
    <w:uiPriority w:val="99"/>
    <w:qFormat/>
    <w:pPr>
      <w:keepLines/>
      <w:keepNext/>
      <w:spacing w:before="280" w:after="290" w:line="376" w:lineRule="auto"/>
      <w:outlineLvl w:val="3"/>
    </w:pPr>
    <w:rPr>
      <w:rFonts w:ascii="Arial" w:hAnsi="Arial" w:eastAsia="黑体"/>
      <w:b/>
      <w:bCs/>
      <w:sz w:val="28"/>
      <w:szCs w:val="28"/>
    </w:rPr>
  </w:style>
  <w:style w:type="paragraph" w:styleId="779">
    <w:name w:val="Heading 5"/>
    <w:basedOn w:val="774"/>
    <w:next w:val="787"/>
    <w:link w:val="861"/>
    <w:qFormat/>
    <w:pPr>
      <w:keepNext/>
      <w:outlineLvl w:val="4"/>
    </w:pPr>
    <w:rPr>
      <w:rFonts w:ascii="宋体"/>
      <w:color w:val="000000"/>
      <w:sz w:val="28"/>
      <w:szCs w:val="28"/>
    </w:rPr>
  </w:style>
  <w:style w:type="paragraph" w:styleId="780">
    <w:name w:val="Heading 6"/>
    <w:basedOn w:val="774"/>
    <w:next w:val="774"/>
    <w:link w:val="862"/>
    <w:qFormat/>
    <w:pPr>
      <w:numPr>
        <w:ilvl w:val="5"/>
        <w:numId w:val="1"/>
      </w:numPr>
      <w:keepLines/>
      <w:keepNext/>
      <w:spacing w:before="240" w:after="64" w:line="320" w:lineRule="auto"/>
      <w:outlineLvl w:val="5"/>
    </w:pPr>
    <w:rPr>
      <w:rFonts w:ascii="Arial" w:hAnsi="Arial" w:eastAsia="黑体"/>
      <w:b/>
      <w:bCs/>
      <w:sz w:val="24"/>
      <w:szCs w:val="24"/>
    </w:rPr>
  </w:style>
  <w:style w:type="paragraph" w:styleId="781">
    <w:name w:val="Heading 7"/>
    <w:basedOn w:val="774"/>
    <w:next w:val="774"/>
    <w:link w:val="863"/>
    <w:qFormat/>
    <w:pPr>
      <w:numPr>
        <w:ilvl w:val="6"/>
        <w:numId w:val="1"/>
      </w:numPr>
      <w:keepLines/>
      <w:keepNext/>
      <w:spacing w:before="240" w:after="64" w:line="320" w:lineRule="auto"/>
      <w:outlineLvl w:val="6"/>
    </w:pPr>
    <w:rPr>
      <w:b/>
      <w:bCs/>
      <w:sz w:val="24"/>
      <w:szCs w:val="24"/>
    </w:rPr>
  </w:style>
  <w:style w:type="paragraph" w:styleId="782">
    <w:name w:val="Heading 8"/>
    <w:basedOn w:val="774"/>
    <w:next w:val="774"/>
    <w:link w:val="864"/>
    <w:qFormat/>
    <w:pPr>
      <w:numPr>
        <w:ilvl w:val="7"/>
        <w:numId w:val="1"/>
      </w:numPr>
      <w:keepLines/>
      <w:keepNext/>
      <w:spacing w:before="240" w:after="64" w:line="320" w:lineRule="auto"/>
      <w:outlineLvl w:val="7"/>
    </w:pPr>
    <w:rPr>
      <w:rFonts w:ascii="Arial" w:hAnsi="Arial" w:eastAsia="黑体"/>
      <w:sz w:val="24"/>
      <w:szCs w:val="24"/>
    </w:rPr>
  </w:style>
  <w:style w:type="paragraph" w:styleId="783">
    <w:name w:val="Heading 9"/>
    <w:basedOn w:val="774"/>
    <w:next w:val="774"/>
    <w:link w:val="865"/>
    <w:qFormat/>
    <w:pPr>
      <w:numPr>
        <w:ilvl w:val="8"/>
        <w:numId w:val="1"/>
      </w:numPr>
      <w:keepLines/>
      <w:keepNext/>
      <w:spacing w:before="240" w:after="64" w:line="320" w:lineRule="auto"/>
      <w:outlineLvl w:val="8"/>
    </w:pPr>
    <w:rPr>
      <w:rFonts w:ascii="Arial" w:hAnsi="Arial" w:eastAsia="黑体"/>
      <w:sz w:val="20"/>
    </w:rPr>
  </w:style>
  <w:style w:type="character" w:styleId="784" w:default="1">
    <w:name w:val="Default Paragraph Font"/>
    <w:uiPriority w:val="1"/>
    <w:semiHidden/>
    <w:unhideWhenUsed/>
  </w:style>
  <w:style w:type="table" w:styleId="785" w:default="1">
    <w:name w:val="Normal Table"/>
    <w:uiPriority w:val="99"/>
    <w:semiHidden/>
    <w:unhideWhenUsed/>
    <w:qFormat/>
    <w:tblPr>
      <w:tblInd w:w="0" w:type="dxa"/>
      <w:tblCellMar>
        <w:left w:w="108" w:type="dxa"/>
        <w:top w:w="0" w:type="dxa"/>
        <w:right w:w="108" w:type="dxa"/>
        <w:bottom w:w="0" w:type="dxa"/>
      </w:tblCellMar>
    </w:tblPr>
  </w:style>
  <w:style w:type="numbering" w:styleId="786" w:default="1">
    <w:name w:val="No List"/>
    <w:uiPriority w:val="99"/>
    <w:semiHidden/>
    <w:unhideWhenUsed/>
  </w:style>
  <w:style w:type="paragraph" w:styleId="787">
    <w:name w:val="Normal Indent"/>
    <w:basedOn w:val="774"/>
    <w:link w:val="858"/>
    <w:qFormat/>
    <w:pPr>
      <w:ind w:firstLine="420"/>
    </w:pPr>
    <w:rPr>
      <w:sz w:val="20"/>
    </w:rPr>
  </w:style>
  <w:style w:type="paragraph" w:styleId="788">
    <w:name w:val="List 3"/>
    <w:basedOn w:val="774"/>
    <w:qFormat/>
    <w:pPr>
      <w:ind w:left="100" w:hanging="200"/>
    </w:pPr>
  </w:style>
  <w:style w:type="paragraph" w:styleId="789">
    <w:name w:val="toc 7"/>
    <w:basedOn w:val="774"/>
    <w:next w:val="774"/>
    <w:semiHidden/>
    <w:qFormat/>
    <w:pPr>
      <w:ind w:left="1260"/>
      <w:jc w:val="left"/>
    </w:pPr>
  </w:style>
  <w:style w:type="paragraph" w:styleId="790">
    <w:name w:val="Caption"/>
    <w:basedOn w:val="774"/>
    <w:next w:val="774"/>
    <w:uiPriority w:val="35"/>
    <w:qFormat/>
    <w:pPr>
      <w:spacing w:line="276" w:lineRule="auto"/>
    </w:pPr>
    <w:rPr>
      <w:b/>
      <w:bCs/>
      <w:color w:val="4f81bd"/>
      <w:sz w:val="18"/>
      <w:szCs w:val="18"/>
    </w:rPr>
  </w:style>
  <w:style w:type="paragraph" w:styleId="791">
    <w:name w:val="Document Map"/>
    <w:basedOn w:val="774"/>
    <w:link w:val="866"/>
    <w:semiHidden/>
    <w:qFormat/>
    <w:pPr>
      <w:shd w:val="clear" w:color="auto" w:fill="000080"/>
    </w:pPr>
    <w:rPr>
      <w:sz w:val="20"/>
    </w:rPr>
  </w:style>
  <w:style w:type="paragraph" w:styleId="792">
    <w:name w:val="annotation text"/>
    <w:basedOn w:val="774"/>
    <w:link w:val="867"/>
    <w:qFormat/>
    <w:pPr>
      <w:jc w:val="left"/>
    </w:pPr>
    <w:rPr>
      <w:sz w:val="20"/>
    </w:rPr>
  </w:style>
  <w:style w:type="paragraph" w:styleId="793">
    <w:name w:val="Body Text 3"/>
    <w:basedOn w:val="774"/>
    <w:link w:val="868"/>
    <w:qFormat/>
    <w:rPr>
      <w:rFonts w:ascii="仿宋_GB2312" w:hAnsi="Arial" w:eastAsia="仿宋_GB2312"/>
      <w:sz w:val="32"/>
      <w:szCs w:val="32"/>
    </w:rPr>
  </w:style>
  <w:style w:type="paragraph" w:styleId="794">
    <w:name w:val="Body Text"/>
    <w:basedOn w:val="774"/>
    <w:link w:val="869"/>
    <w:qFormat/>
    <w:rPr>
      <w:rFonts w:ascii="楷体_GB2312" w:hAnsi="Arial" w:eastAsia="楷体_GB2312"/>
      <w:sz w:val="28"/>
      <w:szCs w:val="28"/>
    </w:rPr>
  </w:style>
  <w:style w:type="paragraph" w:styleId="795">
    <w:name w:val="Body Text Indent"/>
    <w:basedOn w:val="774"/>
    <w:link w:val="870"/>
    <w:uiPriority w:val="99"/>
    <w:qFormat/>
    <w:pPr>
      <w:ind w:firstLine="645"/>
    </w:pPr>
    <w:rPr>
      <w:rFonts w:ascii="楷体_GB2312" w:eastAsia="楷体_GB2312"/>
      <w:sz w:val="32"/>
      <w:szCs w:val="32"/>
    </w:rPr>
  </w:style>
  <w:style w:type="paragraph" w:styleId="796">
    <w:name w:val="List 2"/>
    <w:basedOn w:val="774"/>
    <w:qFormat/>
    <w:pPr>
      <w:ind w:left="100" w:hanging="200"/>
    </w:pPr>
  </w:style>
  <w:style w:type="paragraph" w:styleId="797">
    <w:name w:val="List Bullet 2"/>
    <w:basedOn w:val="774"/>
    <w:uiPriority w:val="99"/>
    <w:qFormat/>
    <w:pPr>
      <w:ind w:left="780" w:firstLine="200"/>
      <w:tabs>
        <w:tab w:val="left" w:pos="780" w:leader="none"/>
      </w:tabs>
    </w:pPr>
    <w:rPr>
      <w:rFonts w:hAnsi="宋体"/>
      <w:color w:val="000000"/>
      <w:spacing w:val="-8"/>
    </w:rPr>
  </w:style>
  <w:style w:type="paragraph" w:styleId="798">
    <w:name w:val="toc 5"/>
    <w:basedOn w:val="774"/>
    <w:next w:val="774"/>
    <w:semiHidden/>
    <w:qFormat/>
    <w:pPr>
      <w:ind w:left="840"/>
      <w:jc w:val="left"/>
    </w:pPr>
  </w:style>
  <w:style w:type="paragraph" w:styleId="799">
    <w:name w:val="toc 3"/>
    <w:basedOn w:val="774"/>
    <w:next w:val="774"/>
    <w:semiHidden/>
    <w:qFormat/>
    <w:pPr>
      <w:ind w:left="420"/>
      <w:jc w:val="left"/>
    </w:pPr>
    <w:rPr>
      <w:i/>
      <w:iCs/>
      <w:szCs w:val="24"/>
    </w:rPr>
  </w:style>
  <w:style w:type="paragraph" w:styleId="800">
    <w:name w:val="Plain Text"/>
    <w:basedOn w:val="774"/>
    <w:link w:val="871"/>
    <w:qFormat/>
    <w:rPr>
      <w:rFonts w:ascii="宋体" w:hAnsi="Courier New"/>
      <w:sz w:val="20"/>
    </w:rPr>
  </w:style>
  <w:style w:type="paragraph" w:styleId="801">
    <w:name w:val="toc 8"/>
    <w:basedOn w:val="774"/>
    <w:next w:val="774"/>
    <w:semiHidden/>
    <w:qFormat/>
    <w:pPr>
      <w:ind w:left="1470"/>
      <w:jc w:val="left"/>
    </w:pPr>
  </w:style>
  <w:style w:type="paragraph" w:styleId="802">
    <w:name w:val="Date"/>
    <w:basedOn w:val="774"/>
    <w:next w:val="774"/>
    <w:link w:val="872"/>
    <w:qFormat/>
    <w:rPr>
      <w:sz w:val="24"/>
      <w:szCs w:val="24"/>
    </w:rPr>
  </w:style>
  <w:style w:type="paragraph" w:styleId="803">
    <w:name w:val="Body Text Indent 2"/>
    <w:basedOn w:val="774"/>
    <w:link w:val="873"/>
    <w:qFormat/>
    <w:pPr>
      <w:ind w:left="630" w:firstLine="645"/>
    </w:pPr>
    <w:rPr>
      <w:rFonts w:ascii="Arial" w:hAnsi="Arial" w:eastAsia="仿宋_GB2312"/>
      <w:sz w:val="32"/>
      <w:szCs w:val="32"/>
    </w:rPr>
  </w:style>
  <w:style w:type="paragraph" w:styleId="804">
    <w:name w:val="endnote text"/>
    <w:basedOn w:val="774"/>
    <w:link w:val="874"/>
    <w:uiPriority w:val="99"/>
    <w:unhideWhenUsed/>
    <w:qFormat/>
    <w:rPr>
      <w:rFonts w:ascii="Calibri" w:hAnsi="Calibri"/>
      <w:sz w:val="20"/>
      <w:szCs w:val="20"/>
    </w:rPr>
  </w:style>
  <w:style w:type="paragraph" w:styleId="805">
    <w:name w:val="Balloon Text"/>
    <w:basedOn w:val="774"/>
    <w:link w:val="875"/>
    <w:uiPriority w:val="99"/>
    <w:semiHidden/>
    <w:qFormat/>
    <w:rPr>
      <w:sz w:val="18"/>
      <w:szCs w:val="18"/>
    </w:rPr>
  </w:style>
  <w:style w:type="paragraph" w:styleId="806">
    <w:name w:val="Footer"/>
    <w:basedOn w:val="774"/>
    <w:link w:val="876"/>
    <w:uiPriority w:val="99"/>
    <w:qFormat/>
    <w:pPr>
      <w:jc w:val="left"/>
      <w:tabs>
        <w:tab w:val="center" w:pos="4153" w:leader="none"/>
        <w:tab w:val="right" w:pos="8306" w:leader="none"/>
      </w:tabs>
    </w:pPr>
    <w:rPr>
      <w:sz w:val="18"/>
      <w:szCs w:val="18"/>
    </w:rPr>
  </w:style>
  <w:style w:type="paragraph" w:styleId="807">
    <w:name w:val="Header"/>
    <w:basedOn w:val="774"/>
    <w:link w:val="877"/>
    <w:uiPriority w:val="99"/>
    <w:qFormat/>
    <w:pPr>
      <w:jc w:val="center"/>
      <w:tabs>
        <w:tab w:val="center" w:pos="4153" w:leader="none"/>
        <w:tab w:val="right" w:pos="8306" w:leader="none"/>
      </w:tabs>
      <w:pBdr>
        <w:bottom w:val="single" w:color="000000" w:sz="6" w:space="1"/>
      </w:pBdr>
    </w:pPr>
    <w:rPr>
      <w:sz w:val="18"/>
      <w:szCs w:val="18"/>
    </w:rPr>
  </w:style>
  <w:style w:type="paragraph" w:styleId="808">
    <w:name w:val="toc 1"/>
    <w:basedOn w:val="774"/>
    <w:next w:val="774"/>
    <w:semiHidden/>
    <w:qFormat/>
    <w:pPr>
      <w:jc w:val="left"/>
      <w:spacing w:before="120" w:after="120" w:line="400" w:lineRule="exact"/>
      <w:tabs>
        <w:tab w:val="right" w:pos="8720" w:leader="dot"/>
      </w:tabs>
    </w:pPr>
    <w:rPr>
      <w:rFonts w:ascii="宋体" w:hAnsi="宋体"/>
      <w:caps/>
      <w:sz w:val="24"/>
      <w:szCs w:val="24"/>
    </w:rPr>
  </w:style>
  <w:style w:type="paragraph" w:styleId="809">
    <w:name w:val="toc 4"/>
    <w:basedOn w:val="774"/>
    <w:next w:val="774"/>
    <w:semiHidden/>
    <w:qFormat/>
    <w:pPr>
      <w:ind w:left="630"/>
      <w:jc w:val="left"/>
    </w:pPr>
  </w:style>
  <w:style w:type="paragraph" w:styleId="810">
    <w:name w:val="Subtitle"/>
    <w:basedOn w:val="774"/>
    <w:next w:val="774"/>
    <w:link w:val="878"/>
    <w:uiPriority w:val="11"/>
    <w:qFormat/>
    <w:pPr>
      <w:spacing w:before="200" w:after="200"/>
    </w:pPr>
    <w:rPr>
      <w:rFonts w:ascii="Calibri" w:hAnsi="Calibri"/>
      <w:sz w:val="24"/>
      <w:szCs w:val="24"/>
    </w:rPr>
  </w:style>
  <w:style w:type="paragraph" w:styleId="811">
    <w:name w:val="List"/>
    <w:basedOn w:val="774"/>
    <w:qFormat/>
    <w:pPr>
      <w:ind w:left="200" w:hanging="200"/>
    </w:pPr>
  </w:style>
  <w:style w:type="paragraph" w:styleId="812">
    <w:name w:val="footnote text"/>
    <w:basedOn w:val="774"/>
    <w:link w:val="879"/>
    <w:uiPriority w:val="99"/>
    <w:unhideWhenUsed/>
    <w:qFormat/>
    <w:pPr>
      <w:spacing w:after="40"/>
    </w:pPr>
    <w:rPr>
      <w:rFonts w:ascii="Calibri" w:hAnsi="Calibri"/>
      <w:sz w:val="18"/>
      <w:szCs w:val="20"/>
    </w:rPr>
  </w:style>
  <w:style w:type="paragraph" w:styleId="813">
    <w:name w:val="toc 6"/>
    <w:basedOn w:val="774"/>
    <w:next w:val="774"/>
    <w:semiHidden/>
    <w:qFormat/>
    <w:pPr>
      <w:ind w:left="1050"/>
      <w:jc w:val="left"/>
    </w:pPr>
  </w:style>
  <w:style w:type="paragraph" w:styleId="814">
    <w:name w:val="Body Text Indent 3"/>
    <w:basedOn w:val="774"/>
    <w:link w:val="880"/>
    <w:qFormat/>
    <w:pPr>
      <w:ind w:left="645" w:firstLine="645"/>
    </w:pPr>
    <w:rPr>
      <w:rFonts w:ascii="Arial" w:hAnsi="Arial" w:eastAsia="仿宋_GB2312"/>
      <w:color w:val="ffff00"/>
      <w:sz w:val="32"/>
      <w:szCs w:val="32"/>
    </w:rPr>
  </w:style>
  <w:style w:type="paragraph" w:styleId="815">
    <w:name w:val="table of figures"/>
    <w:basedOn w:val="774"/>
    <w:next w:val="774"/>
    <w:semiHidden/>
    <w:qFormat/>
    <w:pPr>
      <w:ind w:left="840" w:hanging="420"/>
    </w:pPr>
  </w:style>
  <w:style w:type="paragraph" w:styleId="816">
    <w:name w:val="toc 2"/>
    <w:basedOn w:val="774"/>
    <w:next w:val="774"/>
    <w:semiHidden/>
    <w:qFormat/>
    <w:pPr>
      <w:ind w:left="210"/>
      <w:jc w:val="left"/>
    </w:pPr>
    <w:rPr>
      <w:smallCaps/>
      <w:szCs w:val="24"/>
    </w:rPr>
  </w:style>
  <w:style w:type="paragraph" w:styleId="817">
    <w:name w:val="toc 9"/>
    <w:basedOn w:val="774"/>
    <w:next w:val="774"/>
    <w:semiHidden/>
    <w:qFormat/>
    <w:pPr>
      <w:ind w:left="1680"/>
      <w:jc w:val="left"/>
    </w:pPr>
  </w:style>
  <w:style w:type="paragraph" w:styleId="818">
    <w:name w:val="Body Text 2"/>
    <w:basedOn w:val="774"/>
    <w:link w:val="881"/>
    <w:qFormat/>
    <w:pPr>
      <w:jc w:val="center"/>
      <w:widowControl/>
    </w:pPr>
    <w:rPr>
      <w:rFonts w:ascii="楷体_GB2312" w:eastAsia="楷体_GB2312"/>
      <w:sz w:val="28"/>
      <w:szCs w:val="28"/>
    </w:rPr>
  </w:style>
  <w:style w:type="paragraph" w:styleId="819">
    <w:name w:val="Normal (Web)"/>
    <w:basedOn w:val="774"/>
    <w:uiPriority w:val="99"/>
    <w:qFormat/>
    <w:pPr>
      <w:jc w:val="left"/>
      <w:spacing w:before="100" w:beforeAutospacing="1" w:after="100" w:afterAutospacing="1"/>
      <w:widowControl/>
    </w:pPr>
    <w:rPr>
      <w:rFonts w:ascii="宋体" w:hAnsi="宋体" w:cs="宋体"/>
      <w:sz w:val="24"/>
      <w:szCs w:val="24"/>
    </w:rPr>
  </w:style>
  <w:style w:type="paragraph" w:styleId="820">
    <w:name w:val="index 1"/>
    <w:basedOn w:val="774"/>
    <w:next w:val="774"/>
    <w:semiHidden/>
    <w:qFormat/>
    <w:pPr>
      <w:spacing w:line="240" w:lineRule="atLeast"/>
    </w:pPr>
    <w:rPr>
      <w:b/>
      <w:bCs/>
    </w:rPr>
  </w:style>
  <w:style w:type="paragraph" w:styleId="821">
    <w:name w:val="Title"/>
    <w:basedOn w:val="774"/>
    <w:next w:val="774"/>
    <w:link w:val="882"/>
    <w:uiPriority w:val="10"/>
    <w:qFormat/>
    <w:pPr>
      <w:contextualSpacing/>
      <w:spacing w:before="300" w:after="200"/>
    </w:pPr>
    <w:rPr>
      <w:rFonts w:ascii="Calibri" w:hAnsi="Calibri"/>
      <w:sz w:val="48"/>
      <w:szCs w:val="48"/>
    </w:rPr>
  </w:style>
  <w:style w:type="paragraph" w:styleId="822">
    <w:name w:val="annotation subject"/>
    <w:basedOn w:val="792"/>
    <w:next w:val="792"/>
    <w:link w:val="883"/>
    <w:semiHidden/>
    <w:qFormat/>
    <w:rPr>
      <w:b/>
      <w:bCs/>
    </w:rPr>
  </w:style>
  <w:style w:type="paragraph" w:styleId="823">
    <w:name w:val="Body Text First Indent"/>
    <w:basedOn w:val="774"/>
    <w:link w:val="884"/>
    <w:qFormat/>
    <w:pPr>
      <w:ind w:firstLine="200"/>
      <w:spacing w:line="360" w:lineRule="auto"/>
    </w:pPr>
    <w:rPr>
      <w:rFonts w:ascii="仿宋_GB2312" w:eastAsia="仿宋_GB2312"/>
      <w:sz w:val="30"/>
      <w:szCs w:val="30"/>
    </w:rPr>
  </w:style>
  <w:style w:type="paragraph" w:styleId="824">
    <w:name w:val="Body Text First Indent 2"/>
    <w:basedOn w:val="795"/>
    <w:link w:val="885"/>
    <w:uiPriority w:val="99"/>
    <w:qFormat/>
    <w:pPr>
      <w:ind w:firstLine="420"/>
      <w:spacing w:line="360" w:lineRule="auto"/>
    </w:pPr>
    <w:rPr>
      <w:rFonts w:ascii="宋体" w:hAnsi="宋体" w:eastAsia="宋体"/>
      <w:szCs w:val="20"/>
    </w:rPr>
  </w:style>
  <w:style w:type="table" w:styleId="825">
    <w:name w:val="Table Grid"/>
    <w:basedOn w:val="785"/>
    <w:qFormat/>
    <w:pPr>
      <w:jc w:val="both"/>
      <w:widowControl w:val="off"/>
    </w:pPr>
    <w:rPr>
      <w:rFonts w:ascii="Times New Roman" w:hAnsi="Times New Roman"/>
    </w:rPr>
    <w:tblPr>
      <w:tblInd w:w="0" w:type="dxa"/>
      <w:tblCellMar>
        <w:left w:w="108" w:type="dxa"/>
        <w:top w:w="0" w:type="dxa"/>
        <w:right w:w="108" w:type="dxa"/>
        <w:bottom w:w="0" w:type="dxa"/>
      </w:tblCellMar>
    </w:tblPr>
  </w:style>
  <w:style w:type="character" w:styleId="826">
    <w:name w:val="Strong"/>
    <w:qFormat/>
    <w:rPr>
      <w:b/>
      <w:bCs/>
    </w:rPr>
  </w:style>
  <w:style w:type="character" w:styleId="827">
    <w:name w:val="endnote reference"/>
    <w:uiPriority w:val="99"/>
    <w:unhideWhenUsed/>
    <w:qFormat/>
    <w:rPr>
      <w:vertAlign w:val="superscript"/>
    </w:rPr>
  </w:style>
  <w:style w:type="character" w:styleId="828">
    <w:name w:val="page number"/>
    <w:qFormat/>
  </w:style>
  <w:style w:type="character" w:styleId="829">
    <w:name w:val="Emphasis"/>
    <w:uiPriority w:val="20"/>
    <w:qFormat/>
    <w:rPr>
      <w:i/>
    </w:rPr>
  </w:style>
  <w:style w:type="character" w:styleId="830">
    <w:name w:val="Hyperlink"/>
    <w:qFormat/>
    <w:rPr>
      <w:color w:val="0000ff"/>
      <w:u w:val="single"/>
    </w:rPr>
  </w:style>
  <w:style w:type="character" w:styleId="831">
    <w:name w:val="annotation reference"/>
    <w:uiPriority w:val="99"/>
    <w:semiHidden/>
    <w:qFormat/>
    <w:rPr>
      <w:sz w:val="21"/>
      <w:szCs w:val="21"/>
    </w:rPr>
  </w:style>
  <w:style w:type="character" w:styleId="832">
    <w:name w:val="footnote reference"/>
    <w:uiPriority w:val="99"/>
    <w:unhideWhenUsed/>
    <w:qFormat/>
    <w:rPr>
      <w:vertAlign w:val="superscript"/>
    </w:rPr>
  </w:style>
  <w:style w:type="paragraph" w:styleId="833" w:customStyle="1">
    <w:name w:val="Heading 1"/>
    <w:basedOn w:val="774"/>
    <w:next w:val="774"/>
    <w:link w:val="923"/>
    <w:uiPriority w:val="9"/>
    <w:qFormat/>
    <w:pPr>
      <w:keepLines/>
      <w:keepNext/>
      <w:spacing w:before="480" w:after="200"/>
      <w:outlineLvl w:val="0"/>
    </w:pPr>
    <w:rPr>
      <w:rFonts w:ascii="Arial" w:hAnsi="Arial" w:eastAsia="Arial"/>
      <w:sz w:val="40"/>
      <w:szCs w:val="40"/>
    </w:rPr>
  </w:style>
  <w:style w:type="paragraph" w:styleId="834" w:customStyle="1">
    <w:name w:val="Heading 2"/>
    <w:basedOn w:val="774"/>
    <w:next w:val="774"/>
    <w:link w:val="924"/>
    <w:uiPriority w:val="9"/>
    <w:unhideWhenUsed/>
    <w:qFormat/>
    <w:pPr>
      <w:keepLines/>
      <w:keepNext/>
      <w:spacing w:before="360" w:after="200"/>
      <w:outlineLvl w:val="1"/>
    </w:pPr>
    <w:rPr>
      <w:rFonts w:ascii="Arial" w:hAnsi="Arial" w:eastAsia="Arial"/>
      <w:sz w:val="34"/>
      <w:szCs w:val="20"/>
    </w:rPr>
  </w:style>
  <w:style w:type="paragraph" w:styleId="835" w:customStyle="1">
    <w:name w:val="Heading 3"/>
    <w:basedOn w:val="774"/>
    <w:next w:val="774"/>
    <w:link w:val="925"/>
    <w:uiPriority w:val="9"/>
    <w:unhideWhenUsed/>
    <w:qFormat/>
    <w:pPr>
      <w:keepLines/>
      <w:keepNext/>
      <w:spacing w:before="320" w:after="200"/>
      <w:outlineLvl w:val="2"/>
    </w:pPr>
    <w:rPr>
      <w:rFonts w:ascii="Arial" w:hAnsi="Arial" w:eastAsia="Arial"/>
      <w:sz w:val="30"/>
      <w:szCs w:val="30"/>
    </w:rPr>
  </w:style>
  <w:style w:type="paragraph" w:styleId="836" w:customStyle="1">
    <w:name w:val="Heading 4"/>
    <w:basedOn w:val="774"/>
    <w:next w:val="774"/>
    <w:link w:val="926"/>
    <w:uiPriority w:val="9"/>
    <w:unhideWhenUsed/>
    <w:qFormat/>
    <w:pPr>
      <w:keepLines/>
      <w:keepNext/>
      <w:spacing w:before="320" w:after="200"/>
      <w:outlineLvl w:val="3"/>
    </w:pPr>
    <w:rPr>
      <w:rFonts w:ascii="Arial" w:hAnsi="Arial" w:eastAsia="Arial"/>
      <w:b/>
      <w:bCs/>
      <w:sz w:val="26"/>
      <w:szCs w:val="26"/>
    </w:rPr>
  </w:style>
  <w:style w:type="paragraph" w:styleId="837" w:customStyle="1">
    <w:name w:val="Heading 5"/>
    <w:basedOn w:val="774"/>
    <w:next w:val="774"/>
    <w:link w:val="927"/>
    <w:uiPriority w:val="9"/>
    <w:unhideWhenUsed/>
    <w:qFormat/>
    <w:pPr>
      <w:keepLines/>
      <w:keepNext/>
      <w:spacing w:before="320" w:after="200"/>
      <w:outlineLvl w:val="4"/>
    </w:pPr>
    <w:rPr>
      <w:rFonts w:ascii="Arial" w:hAnsi="Arial" w:eastAsia="Arial"/>
      <w:b/>
      <w:bCs/>
      <w:sz w:val="24"/>
      <w:szCs w:val="24"/>
    </w:rPr>
  </w:style>
  <w:style w:type="paragraph" w:styleId="838" w:customStyle="1">
    <w:name w:val="Heading 6"/>
    <w:basedOn w:val="774"/>
    <w:next w:val="774"/>
    <w:link w:val="928"/>
    <w:uiPriority w:val="9"/>
    <w:unhideWhenUsed/>
    <w:qFormat/>
    <w:pPr>
      <w:keepLines/>
      <w:keepNext/>
      <w:spacing w:before="320" w:after="200"/>
      <w:outlineLvl w:val="5"/>
    </w:pPr>
    <w:rPr>
      <w:rFonts w:ascii="Arial" w:hAnsi="Arial" w:eastAsia="Arial"/>
      <w:b/>
      <w:bCs/>
      <w:sz w:val="22"/>
      <w:szCs w:val="22"/>
    </w:rPr>
  </w:style>
  <w:style w:type="paragraph" w:styleId="839" w:customStyle="1">
    <w:name w:val="Heading 7"/>
    <w:basedOn w:val="774"/>
    <w:next w:val="774"/>
    <w:link w:val="929"/>
    <w:uiPriority w:val="9"/>
    <w:unhideWhenUsed/>
    <w:qFormat/>
    <w:pPr>
      <w:keepLines/>
      <w:keepNext/>
      <w:spacing w:before="320" w:after="200"/>
      <w:outlineLvl w:val="6"/>
    </w:pPr>
    <w:rPr>
      <w:rFonts w:ascii="Arial" w:hAnsi="Arial" w:eastAsia="Arial"/>
      <w:b/>
      <w:bCs/>
      <w:i/>
      <w:iCs/>
      <w:sz w:val="22"/>
      <w:szCs w:val="22"/>
    </w:rPr>
  </w:style>
  <w:style w:type="paragraph" w:styleId="840" w:customStyle="1">
    <w:name w:val="Heading 8"/>
    <w:basedOn w:val="774"/>
    <w:next w:val="774"/>
    <w:link w:val="930"/>
    <w:uiPriority w:val="9"/>
    <w:unhideWhenUsed/>
    <w:qFormat/>
    <w:pPr>
      <w:keepLines/>
      <w:keepNext/>
      <w:spacing w:before="320" w:after="200"/>
      <w:outlineLvl w:val="7"/>
    </w:pPr>
    <w:rPr>
      <w:rFonts w:ascii="Arial" w:hAnsi="Arial" w:eastAsia="Arial"/>
      <w:i/>
      <w:iCs/>
      <w:sz w:val="22"/>
      <w:szCs w:val="22"/>
    </w:rPr>
  </w:style>
  <w:style w:type="paragraph" w:styleId="841" w:customStyle="1">
    <w:name w:val="Heading 9"/>
    <w:basedOn w:val="774"/>
    <w:next w:val="774"/>
    <w:link w:val="931"/>
    <w:uiPriority w:val="9"/>
    <w:unhideWhenUsed/>
    <w:qFormat/>
    <w:pPr>
      <w:keepLines/>
      <w:keepNext/>
      <w:spacing w:before="320" w:after="200"/>
      <w:outlineLvl w:val="8"/>
    </w:pPr>
    <w:rPr>
      <w:rFonts w:ascii="Arial" w:hAnsi="Arial" w:eastAsia="Arial"/>
      <w:i/>
      <w:iCs/>
    </w:rPr>
  </w:style>
  <w:style w:type="paragraph" w:styleId="842">
    <w:name w:val="List Paragraph"/>
    <w:basedOn w:val="774"/>
    <w:qFormat/>
    <w:pPr>
      <w:contextualSpacing/>
      <w:ind w:left="720"/>
      <w:jc w:val="left"/>
      <w:widowControl/>
    </w:pPr>
    <w:rPr>
      <w:rFonts w:ascii="Calibri" w:hAnsi="Calibri"/>
      <w:sz w:val="24"/>
      <w:szCs w:val="24"/>
      <w:lang w:eastAsia="en-US" w:bidi="en-US"/>
    </w:rPr>
  </w:style>
  <w:style w:type="paragraph" w:styleId="843">
    <w:name w:val="No Spacing"/>
    <w:uiPriority w:val="99"/>
    <w:qFormat/>
    <w:pPr>
      <w:jc w:val="both"/>
      <w:widowControl w:val="off"/>
    </w:pPr>
    <w:rPr>
      <w:rFonts w:ascii="Times New Roman" w:hAnsi="Times New Roman"/>
      <w:sz w:val="21"/>
      <w:szCs w:val="21"/>
    </w:rPr>
  </w:style>
  <w:style w:type="character" w:styleId="844" w:customStyle="1">
    <w:name w:val="Title Char"/>
    <w:uiPriority w:val="10"/>
    <w:qFormat/>
    <w:rPr>
      <w:sz w:val="48"/>
      <w:szCs w:val="48"/>
    </w:rPr>
  </w:style>
  <w:style w:type="character" w:styleId="845" w:customStyle="1">
    <w:name w:val="Subtitle Char"/>
    <w:uiPriority w:val="11"/>
    <w:qFormat/>
    <w:rPr>
      <w:sz w:val="24"/>
      <w:szCs w:val="24"/>
    </w:rPr>
  </w:style>
  <w:style w:type="paragraph" w:styleId="846">
    <w:name w:val="Quote"/>
    <w:basedOn w:val="774"/>
    <w:next w:val="774"/>
    <w:link w:val="932"/>
    <w:uiPriority w:val="29"/>
    <w:qFormat/>
    <w:pPr>
      <w:ind w:left="720" w:right="720"/>
    </w:pPr>
    <w:rPr>
      <w:rFonts w:ascii="Calibri" w:hAnsi="Calibri"/>
      <w:i/>
      <w:sz w:val="20"/>
      <w:szCs w:val="20"/>
    </w:rPr>
  </w:style>
  <w:style w:type="character" w:styleId="847" w:customStyle="1">
    <w:name w:val="Quote Char"/>
    <w:uiPriority w:val="29"/>
    <w:qFormat/>
    <w:rPr>
      <w:i/>
    </w:rPr>
  </w:style>
  <w:style w:type="paragraph" w:styleId="848">
    <w:name w:val="Intense Quote"/>
    <w:basedOn w:val="774"/>
    <w:next w:val="774"/>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 w:val="20"/>
      <w:szCs w:val="20"/>
    </w:rPr>
  </w:style>
  <w:style w:type="character" w:styleId="849" w:customStyle="1">
    <w:name w:val="Intense Quote Char"/>
    <w:uiPriority w:val="30"/>
    <w:qFormat/>
    <w:rPr>
      <w:i/>
    </w:rPr>
  </w:style>
  <w:style w:type="paragraph" w:styleId="850" w:customStyle="1">
    <w:name w:val="Header"/>
    <w:basedOn w:val="774"/>
    <w:link w:val="934"/>
    <w:uiPriority w:val="99"/>
    <w:unhideWhenUsed/>
    <w:qFormat/>
    <w:pPr>
      <w:tabs>
        <w:tab w:val="center" w:pos="7143" w:leader="none"/>
        <w:tab w:val="right" w:pos="14287" w:leader="none"/>
      </w:tabs>
    </w:pPr>
  </w:style>
  <w:style w:type="paragraph" w:styleId="851" w:customStyle="1">
    <w:name w:val="Footer"/>
    <w:basedOn w:val="774"/>
    <w:link w:val="936"/>
    <w:uiPriority w:val="99"/>
    <w:unhideWhenUsed/>
    <w:qFormat/>
    <w:pPr>
      <w:tabs>
        <w:tab w:val="center" w:pos="7143" w:leader="none"/>
        <w:tab w:val="right" w:pos="14287" w:leader="none"/>
      </w:tabs>
    </w:pPr>
  </w:style>
  <w:style w:type="paragraph" w:styleId="852" w:customStyle="1">
    <w:name w:val="Caption"/>
    <w:basedOn w:val="774"/>
    <w:next w:val="774"/>
    <w:uiPriority w:val="35"/>
    <w:semiHidden/>
    <w:unhideWhenUsed/>
    <w:qFormat/>
    <w:pPr>
      <w:spacing w:line="276" w:lineRule="auto"/>
    </w:pPr>
    <w:rPr>
      <w:b/>
      <w:bCs/>
      <w:color w:val="4f81bd"/>
      <w:sz w:val="18"/>
      <w:szCs w:val="18"/>
    </w:rPr>
  </w:style>
  <w:style w:type="character" w:styleId="853" w:customStyle="1">
    <w:name w:val="Footnote Text Char"/>
    <w:uiPriority w:val="99"/>
    <w:qFormat/>
    <w:rPr>
      <w:sz w:val="18"/>
    </w:rPr>
  </w:style>
  <w:style w:type="character" w:styleId="854" w:customStyle="1">
    <w:name w:val="Endnote Text Char"/>
    <w:uiPriority w:val="99"/>
    <w:qFormat/>
    <w:rPr>
      <w:sz w:val="20"/>
    </w:rPr>
  </w:style>
  <w:style w:type="paragraph" w:styleId="855" w:customStyle="1">
    <w:name w:val="TOC 标题1"/>
    <w:uiPriority w:val="39"/>
    <w:unhideWhenUsed/>
    <w:qFormat/>
  </w:style>
  <w:style w:type="character" w:styleId="856" w:customStyle="1">
    <w:name w:val="标题 1 Char"/>
    <w:link w:val="775"/>
    <w:uiPriority w:val="99"/>
    <w:qFormat/>
    <w:rPr>
      <w:rFonts w:ascii="楷体_GB2312" w:hAnsi="Times New Roman" w:eastAsia="楷体_GB2312" w:cs="Times New Roman"/>
      <w:sz w:val="28"/>
      <w:szCs w:val="28"/>
    </w:rPr>
  </w:style>
  <w:style w:type="character" w:styleId="857" w:customStyle="1">
    <w:name w:val="标题 2 Char"/>
    <w:link w:val="776"/>
    <w:qFormat/>
    <w:rPr>
      <w:rFonts w:ascii="Arial" w:hAnsi="Arial" w:eastAsia="幼圆" w:cs="Arial"/>
      <w:b/>
      <w:bCs/>
      <w:sz w:val="44"/>
      <w:szCs w:val="44"/>
    </w:rPr>
  </w:style>
  <w:style w:type="character" w:styleId="858" w:customStyle="1">
    <w:name w:val="正文缩进 Char"/>
    <w:link w:val="787"/>
    <w:qFormat/>
    <w:rPr>
      <w:rFonts w:ascii="Times New Roman" w:hAnsi="Times New Roman" w:eastAsia="宋体" w:cs="Times New Roman"/>
      <w:szCs w:val="21"/>
    </w:rPr>
  </w:style>
  <w:style w:type="character" w:styleId="859" w:customStyle="1">
    <w:name w:val="标题 3 Char"/>
    <w:link w:val="777"/>
    <w:uiPriority w:val="99"/>
    <w:qFormat/>
    <w:rPr>
      <w:rFonts w:ascii="Times New Roman" w:hAnsi="Times New Roman" w:eastAsia="宋体" w:cs="Times New Roman"/>
      <w:b/>
      <w:bCs/>
      <w:sz w:val="32"/>
      <w:szCs w:val="32"/>
    </w:rPr>
  </w:style>
  <w:style w:type="character" w:styleId="860" w:customStyle="1">
    <w:name w:val="标题 4 Char"/>
    <w:link w:val="778"/>
    <w:uiPriority w:val="99"/>
    <w:qFormat/>
    <w:rPr>
      <w:rFonts w:ascii="Arial" w:hAnsi="Arial" w:eastAsia="黑体" w:cs="Arial"/>
      <w:b/>
      <w:bCs/>
      <w:sz w:val="28"/>
      <w:szCs w:val="28"/>
    </w:rPr>
  </w:style>
  <w:style w:type="character" w:styleId="861" w:customStyle="1">
    <w:name w:val="标题 5 Char"/>
    <w:link w:val="779"/>
    <w:qFormat/>
    <w:rPr>
      <w:rFonts w:ascii="宋体" w:hAnsi="Times New Roman" w:eastAsia="宋体" w:cs="Times New Roman"/>
      <w:color w:val="000000"/>
      <w:sz w:val="28"/>
      <w:szCs w:val="28"/>
    </w:rPr>
  </w:style>
  <w:style w:type="character" w:styleId="862" w:customStyle="1">
    <w:name w:val="标题 6 Char"/>
    <w:link w:val="780"/>
    <w:qFormat/>
    <w:rPr>
      <w:rFonts w:ascii="Arial" w:hAnsi="Arial" w:eastAsia="黑体" w:cs="Times New Roman"/>
      <w:b/>
      <w:bCs/>
      <w:sz w:val="24"/>
      <w:szCs w:val="24"/>
    </w:rPr>
  </w:style>
  <w:style w:type="character" w:styleId="863" w:customStyle="1">
    <w:name w:val="标题 7 Char"/>
    <w:link w:val="781"/>
    <w:qFormat/>
    <w:rPr>
      <w:rFonts w:ascii="Times New Roman" w:hAnsi="Times New Roman" w:eastAsia="宋体" w:cs="Times New Roman"/>
      <w:b/>
      <w:bCs/>
      <w:sz w:val="24"/>
      <w:szCs w:val="24"/>
    </w:rPr>
  </w:style>
  <w:style w:type="character" w:styleId="864" w:customStyle="1">
    <w:name w:val="标题 8 Char"/>
    <w:link w:val="782"/>
    <w:qFormat/>
    <w:rPr>
      <w:rFonts w:ascii="Arial" w:hAnsi="Arial" w:eastAsia="黑体" w:cs="Times New Roman"/>
      <w:sz w:val="24"/>
      <w:szCs w:val="24"/>
    </w:rPr>
  </w:style>
  <w:style w:type="character" w:styleId="865" w:customStyle="1">
    <w:name w:val="标题 9 Char"/>
    <w:link w:val="783"/>
    <w:qFormat/>
    <w:rPr>
      <w:rFonts w:ascii="Arial" w:hAnsi="Arial" w:eastAsia="黑体" w:cs="Times New Roman"/>
      <w:szCs w:val="21"/>
    </w:rPr>
  </w:style>
  <w:style w:type="character" w:styleId="866" w:customStyle="1">
    <w:name w:val="文档结构图 Char"/>
    <w:link w:val="791"/>
    <w:semiHidden/>
    <w:qFormat/>
    <w:rPr>
      <w:rFonts w:ascii="Times New Roman" w:hAnsi="Times New Roman" w:eastAsia="宋体" w:cs="Times New Roman"/>
      <w:szCs w:val="21"/>
      <w:shd w:val="clear" w:color="auto" w:fill="000080"/>
    </w:rPr>
  </w:style>
  <w:style w:type="character" w:styleId="867" w:customStyle="1">
    <w:name w:val="批注文字 Char"/>
    <w:link w:val="792"/>
    <w:qFormat/>
    <w:rPr>
      <w:rFonts w:ascii="Times New Roman" w:hAnsi="Times New Roman" w:eastAsia="宋体" w:cs="Times New Roman"/>
      <w:szCs w:val="21"/>
    </w:rPr>
  </w:style>
  <w:style w:type="character" w:styleId="868" w:customStyle="1">
    <w:name w:val="正文文本 3 Char"/>
    <w:link w:val="793"/>
    <w:qFormat/>
    <w:rPr>
      <w:rFonts w:ascii="仿宋_GB2312" w:hAnsi="Arial" w:eastAsia="仿宋_GB2312" w:cs="Times New Roman"/>
      <w:sz w:val="32"/>
      <w:szCs w:val="32"/>
    </w:rPr>
  </w:style>
  <w:style w:type="character" w:styleId="869" w:customStyle="1">
    <w:name w:val="正文文本 Char"/>
    <w:link w:val="794"/>
    <w:qFormat/>
    <w:rPr>
      <w:rFonts w:ascii="楷体_GB2312" w:hAnsi="Arial" w:eastAsia="楷体_GB2312" w:cs="Times New Roman"/>
      <w:sz w:val="28"/>
      <w:szCs w:val="28"/>
    </w:rPr>
  </w:style>
  <w:style w:type="character" w:styleId="870" w:customStyle="1">
    <w:name w:val="正文文本缩进 Char"/>
    <w:link w:val="795"/>
    <w:uiPriority w:val="99"/>
    <w:qFormat/>
    <w:rPr>
      <w:rFonts w:ascii="楷体_GB2312" w:hAnsi="Times New Roman" w:eastAsia="楷体_GB2312" w:cs="Times New Roman"/>
      <w:sz w:val="32"/>
      <w:szCs w:val="32"/>
    </w:rPr>
  </w:style>
  <w:style w:type="character" w:styleId="871" w:customStyle="1">
    <w:name w:val="纯文本 Char"/>
    <w:link w:val="800"/>
    <w:qFormat/>
    <w:rPr>
      <w:rFonts w:ascii="宋体" w:hAnsi="Courier New" w:eastAsia="宋体" w:cs="Courier New"/>
      <w:szCs w:val="21"/>
    </w:rPr>
  </w:style>
  <w:style w:type="character" w:styleId="872" w:customStyle="1">
    <w:name w:val="日期 Char"/>
    <w:link w:val="802"/>
    <w:qFormat/>
    <w:rPr>
      <w:rFonts w:ascii="Times New Roman" w:hAnsi="Times New Roman" w:eastAsia="宋体" w:cs="Times New Roman"/>
      <w:sz w:val="24"/>
      <w:szCs w:val="24"/>
    </w:rPr>
  </w:style>
  <w:style w:type="character" w:styleId="873" w:customStyle="1">
    <w:name w:val="正文文本缩进 2 Char"/>
    <w:link w:val="803"/>
    <w:qFormat/>
    <w:rPr>
      <w:rFonts w:ascii="Arial" w:hAnsi="Arial" w:eastAsia="仿宋_GB2312" w:cs="Arial"/>
      <w:sz w:val="32"/>
      <w:szCs w:val="32"/>
    </w:rPr>
  </w:style>
  <w:style w:type="character" w:styleId="874" w:customStyle="1">
    <w:name w:val="尾注文本 Char"/>
    <w:link w:val="804"/>
    <w:uiPriority w:val="99"/>
    <w:qFormat/>
    <w:rPr>
      <w:rFonts w:ascii="Times New Roman" w:hAnsi="Times New Roman"/>
      <w:szCs w:val="21"/>
    </w:rPr>
  </w:style>
  <w:style w:type="character" w:styleId="875" w:customStyle="1">
    <w:name w:val="批注框文本 Char"/>
    <w:link w:val="805"/>
    <w:uiPriority w:val="99"/>
    <w:semiHidden/>
    <w:qFormat/>
    <w:rPr>
      <w:rFonts w:ascii="Times New Roman" w:hAnsi="Times New Roman" w:eastAsia="宋体" w:cs="Times New Roman"/>
      <w:sz w:val="18"/>
      <w:szCs w:val="18"/>
    </w:rPr>
  </w:style>
  <w:style w:type="character" w:styleId="876" w:customStyle="1">
    <w:name w:val="页脚 Char"/>
    <w:link w:val="806"/>
    <w:uiPriority w:val="99"/>
    <w:qFormat/>
    <w:rPr>
      <w:rFonts w:ascii="Times New Roman" w:hAnsi="Times New Roman" w:eastAsia="宋体" w:cs="Times New Roman"/>
      <w:sz w:val="18"/>
      <w:szCs w:val="18"/>
    </w:rPr>
  </w:style>
  <w:style w:type="character" w:styleId="877" w:customStyle="1">
    <w:name w:val="页眉 Char"/>
    <w:link w:val="807"/>
    <w:uiPriority w:val="99"/>
    <w:qFormat/>
    <w:rPr>
      <w:rFonts w:ascii="Times New Roman" w:hAnsi="Times New Roman" w:eastAsia="宋体" w:cs="Times New Roman"/>
      <w:sz w:val="18"/>
      <w:szCs w:val="18"/>
    </w:rPr>
  </w:style>
  <w:style w:type="character" w:styleId="878" w:customStyle="1">
    <w:name w:val="副标题 Char"/>
    <w:link w:val="810"/>
    <w:uiPriority w:val="11"/>
    <w:qFormat/>
    <w:rPr>
      <w:rFonts w:ascii="Times New Roman" w:hAnsi="Times New Roman"/>
      <w:sz w:val="24"/>
      <w:szCs w:val="24"/>
    </w:rPr>
  </w:style>
  <w:style w:type="character" w:styleId="879" w:customStyle="1">
    <w:name w:val="脚注文本 Char"/>
    <w:link w:val="812"/>
    <w:uiPriority w:val="99"/>
    <w:qFormat/>
    <w:rPr>
      <w:rFonts w:ascii="Times New Roman" w:hAnsi="Times New Roman"/>
      <w:sz w:val="18"/>
      <w:szCs w:val="21"/>
    </w:rPr>
  </w:style>
  <w:style w:type="character" w:styleId="880" w:customStyle="1">
    <w:name w:val="正文文本缩进 3 Char"/>
    <w:link w:val="814"/>
    <w:qFormat/>
    <w:rPr>
      <w:rFonts w:ascii="Arial" w:hAnsi="Arial" w:eastAsia="仿宋_GB2312" w:cs="Arial"/>
      <w:color w:val="ffff00"/>
      <w:sz w:val="32"/>
      <w:szCs w:val="32"/>
    </w:rPr>
  </w:style>
  <w:style w:type="character" w:styleId="881" w:customStyle="1">
    <w:name w:val="正文文本 2 Char"/>
    <w:link w:val="818"/>
    <w:qFormat/>
    <w:rPr>
      <w:rFonts w:ascii="楷体_GB2312" w:hAnsi="Times New Roman" w:eastAsia="楷体_GB2312" w:cs="Times New Roman"/>
      <w:sz w:val="28"/>
      <w:szCs w:val="28"/>
    </w:rPr>
  </w:style>
  <w:style w:type="character" w:styleId="882" w:customStyle="1">
    <w:name w:val="标题 Char"/>
    <w:link w:val="821"/>
    <w:uiPriority w:val="10"/>
    <w:qFormat/>
    <w:rPr>
      <w:rFonts w:ascii="Times New Roman" w:hAnsi="Times New Roman"/>
      <w:sz w:val="48"/>
      <w:szCs w:val="48"/>
    </w:rPr>
  </w:style>
  <w:style w:type="character" w:styleId="883" w:customStyle="1">
    <w:name w:val="批注主题 Char"/>
    <w:link w:val="822"/>
    <w:semiHidden/>
    <w:qFormat/>
    <w:rPr>
      <w:rFonts w:ascii="Times New Roman" w:hAnsi="Times New Roman" w:eastAsia="宋体" w:cs="Times New Roman"/>
      <w:b/>
      <w:bCs/>
      <w:szCs w:val="21"/>
    </w:rPr>
  </w:style>
  <w:style w:type="character" w:styleId="884" w:customStyle="1">
    <w:name w:val="正文首行缩进 Char"/>
    <w:link w:val="823"/>
    <w:qFormat/>
    <w:rPr>
      <w:rFonts w:ascii="仿宋_GB2312" w:hAnsi="Times New Roman" w:eastAsia="仿宋_GB2312" w:cs="Times New Roman"/>
      <w:sz w:val="30"/>
      <w:szCs w:val="30"/>
    </w:rPr>
  </w:style>
  <w:style w:type="character" w:styleId="885" w:customStyle="1">
    <w:name w:val="正文首行缩进 2 Char"/>
    <w:link w:val="824"/>
    <w:uiPriority w:val="99"/>
    <w:qFormat/>
    <w:rPr>
      <w:rFonts w:ascii="宋体" w:hAnsi="宋体" w:eastAsia="宋体" w:cs="Times New Roman"/>
      <w:sz w:val="32"/>
      <w:szCs w:val="20"/>
    </w:rPr>
  </w:style>
  <w:style w:type="character" w:styleId="886" w:customStyle="1">
    <w:name w:val="访问过的超链接"/>
    <w:qFormat/>
    <w:rPr>
      <w:color w:val="800080"/>
      <w:u w:val="single"/>
    </w:rPr>
  </w:style>
  <w:style w:type="character" w:styleId="887" w:customStyle="1">
    <w:name w:val="font5 Char"/>
    <w:qFormat/>
    <w:rPr>
      <w:rFonts w:ascii="宋体" w:hAnsi="宋体" w:eastAsia="宋体"/>
      <w:sz w:val="28"/>
      <w:szCs w:val="28"/>
      <w:lang w:val="en-US" w:eastAsia="zh-CN" w:bidi="ar-SA"/>
    </w:rPr>
  </w:style>
  <w:style w:type="character" w:styleId="888" w:customStyle="1">
    <w:name w:val="二级目录 Char"/>
    <w:link w:val="889"/>
    <w:qFormat/>
    <w:rPr>
      <w:b/>
      <w:sz w:val="30"/>
      <w:szCs w:val="28"/>
      <w:lang w:val="en-US" w:eastAsia="zh-CN" w:bidi="ar-SA"/>
    </w:rPr>
  </w:style>
  <w:style w:type="paragraph" w:styleId="889" w:customStyle="1">
    <w:name w:val="二级目录"/>
    <w:next w:val="774"/>
    <w:link w:val="888"/>
    <w:qFormat/>
    <w:pPr>
      <w:numPr>
        <w:numId w:val="2"/>
      </w:numPr>
      <w:tabs>
        <w:tab w:val="left" w:pos="1145" w:leader="none"/>
      </w:tabs>
      <w:outlineLvl w:val="1"/>
    </w:pPr>
    <w:rPr>
      <w:b/>
      <w:sz w:val="30"/>
      <w:szCs w:val="28"/>
    </w:rPr>
  </w:style>
  <w:style w:type="character" w:styleId="890" w:customStyle="1">
    <w:name w:val="列出段落 Char"/>
    <w:link w:val="891"/>
    <w:qFormat/>
    <w:rPr>
      <w:rFonts w:ascii="Calibri" w:hAnsi="Calibri"/>
      <w:sz w:val="24"/>
      <w:szCs w:val="24"/>
      <w:lang w:eastAsia="en-US" w:bidi="en-US"/>
    </w:rPr>
  </w:style>
  <w:style w:type="paragraph" w:styleId="891" w:customStyle="1">
    <w:name w:val="列出段落1"/>
    <w:basedOn w:val="774"/>
    <w:link w:val="890"/>
    <w:qFormat/>
    <w:pPr>
      <w:contextualSpacing/>
      <w:ind w:left="720"/>
      <w:jc w:val="left"/>
      <w:widowControl/>
    </w:pPr>
    <w:rPr>
      <w:rFonts w:ascii="Calibri" w:hAnsi="Calibri"/>
      <w:sz w:val="24"/>
      <w:szCs w:val="24"/>
      <w:lang w:eastAsia="en-US" w:bidi="en-US"/>
    </w:rPr>
  </w:style>
  <w:style w:type="paragraph" w:styleId="892" w:customStyle="1">
    <w:name w:val="Body Text(ch)"/>
    <w:basedOn w:val="774"/>
    <w:next w:val="794"/>
    <w:qFormat/>
    <w:pPr>
      <w:spacing w:after="120"/>
    </w:pPr>
    <w:rPr>
      <w:rFonts w:ascii="宋体" w:hAnsi="Arial"/>
      <w:bCs/>
      <w:iCs/>
      <w:szCs w:val="24"/>
    </w:rPr>
  </w:style>
  <w:style w:type="paragraph" w:styleId="893" w:customStyle="1">
    <w:name w:val="xl27"/>
    <w:basedOn w:val="7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4" w:customStyle="1">
    <w:name w:val="xl26"/>
    <w:basedOn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5" w:customStyle="1">
    <w:name w:val="Char"/>
    <w:basedOn w:val="774"/>
    <w:qFormat/>
    <w:pPr>
      <w:ind w:firstLine="200"/>
      <w:tabs>
        <w:tab w:val="left" w:pos="360" w:leader="none"/>
      </w:tabs>
    </w:pPr>
    <w:rPr>
      <w:sz w:val="28"/>
      <w:szCs w:val="30"/>
    </w:rPr>
  </w:style>
  <w:style w:type="paragraph" w:styleId="896" w:customStyle="1">
    <w:name w:val="Char11"/>
    <w:basedOn w:val="791"/>
    <w:qFormat/>
    <w:rPr>
      <w:rFonts w:ascii="Tahoma" w:hAnsi="Tahoma"/>
      <w:sz w:val="24"/>
      <w:szCs w:val="24"/>
    </w:rPr>
  </w:style>
  <w:style w:type="paragraph" w:styleId="897" w:customStyle="1">
    <w:name w:val="普通正文"/>
    <w:basedOn w:val="774"/>
    <w:link w:val="898"/>
    <w:uiPriority w:val="99"/>
    <w:qFormat/>
    <w:pPr>
      <w:ind w:firstLine="480"/>
      <w:jc w:val="left"/>
      <w:spacing w:before="120" w:after="120" w:line="360" w:lineRule="auto"/>
    </w:pPr>
    <w:rPr>
      <w:rFonts w:ascii="Arial" w:hAnsi="Arial"/>
      <w:sz w:val="24"/>
      <w:szCs w:val="24"/>
    </w:rPr>
  </w:style>
  <w:style w:type="character" w:styleId="898" w:customStyle="1">
    <w:name w:val="普通正文 Char"/>
    <w:link w:val="897"/>
    <w:uiPriority w:val="99"/>
    <w:qFormat/>
    <w:rPr>
      <w:rFonts w:ascii="Arial" w:hAnsi="Arial"/>
      <w:sz w:val="24"/>
      <w:szCs w:val="24"/>
    </w:rPr>
  </w:style>
  <w:style w:type="paragraph" w:styleId="899" w:customStyle="1">
    <w:name w:val="table_lines"/>
    <w:basedOn w:val="774"/>
    <w:qFormat/>
    <w:pPr>
      <w:jc w:val="left"/>
      <w:widowControl/>
    </w:pPr>
    <w:rPr>
      <w:sz w:val="20"/>
      <w:szCs w:val="20"/>
      <w:lang w:val="de-DE" w:eastAsia="de-DE"/>
    </w:rPr>
  </w:style>
  <w:style w:type="paragraph" w:styleId="900"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01" w:customStyle="1">
    <w:name w:val="font7"/>
    <w:basedOn w:val="774"/>
    <w:qFormat/>
    <w:pPr>
      <w:jc w:val="left"/>
      <w:spacing w:before="100" w:beforeAutospacing="1" w:after="100" w:afterAutospacing="1"/>
      <w:widowControl/>
    </w:pPr>
    <w:rPr>
      <w:rFonts w:hint="eastAsia" w:ascii="宋体" w:hAnsi="宋体"/>
      <w:sz w:val="18"/>
      <w:szCs w:val="18"/>
    </w:rPr>
  </w:style>
  <w:style w:type="paragraph" w:styleId="902" w:customStyle="1">
    <w:name w:val="Char Char Char Char"/>
    <w:basedOn w:val="791"/>
    <w:qFormat/>
    <w:pPr>
      <w:spacing w:line="360" w:lineRule="auto"/>
    </w:pPr>
    <w:rPr>
      <w:rFonts w:ascii="Tahoma" w:hAnsi="Tahoma"/>
      <w:sz w:val="24"/>
      <w:szCs w:val="24"/>
    </w:rPr>
  </w:style>
  <w:style w:type="paragraph" w:styleId="903" w:customStyle="1">
    <w:name w:val="4"/>
    <w:basedOn w:val="774"/>
    <w:next w:val="814"/>
    <w:qFormat/>
    <w:pPr>
      <w:ind w:firstLine="420"/>
      <w:spacing w:line="360" w:lineRule="auto"/>
    </w:pPr>
    <w:rPr>
      <w:color w:val="ff0000"/>
      <w:sz w:val="24"/>
      <w:szCs w:val="24"/>
    </w:rPr>
  </w:style>
  <w:style w:type="paragraph" w:styleId="904" w:customStyle="1">
    <w:name w:val="普通 (Web)"/>
    <w:basedOn w:val="774"/>
    <w:qFormat/>
    <w:pPr>
      <w:jc w:val="left"/>
      <w:spacing w:before="100" w:beforeAutospacing="1" w:after="100" w:afterAutospacing="1"/>
      <w:widowControl/>
    </w:pPr>
    <w:rPr>
      <w:rFonts w:ascii="宋体" w:hAnsi="宋体"/>
      <w:sz w:val="24"/>
      <w:szCs w:val="24"/>
    </w:rPr>
  </w:style>
  <w:style w:type="paragraph" w:styleId="905" w:customStyle="1">
    <w:name w:val="Char Char Char Char Char Char Char Char Char Char"/>
    <w:basedOn w:val="774"/>
    <w:qFormat/>
    <w:pPr>
      <w:spacing w:line="360" w:lineRule="auto"/>
    </w:pPr>
    <w:rPr>
      <w:sz w:val="24"/>
      <w:szCs w:val="20"/>
    </w:rPr>
  </w:style>
  <w:style w:type="paragraph" w:styleId="906" w:customStyle="1">
    <w:name w:val="样式1"/>
    <w:basedOn w:val="774"/>
    <w:qFormat/>
    <w:pPr>
      <w:numPr>
        <w:numId w:val="3"/>
      </w:numPr>
    </w:pPr>
    <w:rPr>
      <w:rFonts w:ascii="宋体" w:hAnsi="宋体"/>
    </w:rPr>
  </w:style>
  <w:style w:type="paragraph" w:styleId="907" w:customStyle="1">
    <w:name w:val="font6"/>
    <w:basedOn w:val="774"/>
    <w:qFormat/>
    <w:pPr>
      <w:jc w:val="left"/>
      <w:spacing w:before="100" w:beforeAutospacing="1" w:after="100" w:afterAutospacing="1"/>
      <w:widowControl/>
    </w:pPr>
    <w:rPr>
      <w:rFonts w:hint="eastAsia" w:ascii="宋体" w:hAnsi="宋体"/>
      <w:sz w:val="28"/>
      <w:szCs w:val="28"/>
      <w:u w:val="single"/>
    </w:rPr>
  </w:style>
  <w:style w:type="paragraph" w:styleId="908" w:customStyle="1">
    <w:name w:val="xl25"/>
    <w:basedOn w:val="77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9" w:customStyle="1">
    <w:name w:val="图标"/>
    <w:basedOn w:val="774"/>
    <w:next w:val="77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0" w:customStyle="1">
    <w:name w:val="标题3"/>
    <w:basedOn w:val="774"/>
    <w:next w:val="774"/>
    <w:qFormat/>
    <w:pPr>
      <w:ind w:firstLine="624"/>
      <w:spacing w:line="590" w:lineRule="atLeast"/>
    </w:pPr>
    <w:rPr>
      <w:rFonts w:ascii="方正黑体_GBK" w:eastAsia="方正黑体_GBK"/>
      <w:sz w:val="32"/>
      <w:szCs w:val="32"/>
    </w:rPr>
  </w:style>
  <w:style w:type="paragraph" w:styleId="911" w:customStyle="1">
    <w:name w:val="xl24"/>
    <w:basedOn w:val="7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2" w:customStyle="1">
    <w:name w:val="xl29"/>
    <w:basedOn w:val="77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3" w:customStyle="1">
    <w:name w:val="Char Char Char Char Char Char Char Char"/>
    <w:basedOn w:val="774"/>
    <w:qFormat/>
    <w:pPr>
      <w:jc w:val="left"/>
      <w:spacing w:after="160" w:line="240" w:lineRule="exact"/>
      <w:widowControl/>
    </w:pPr>
    <w:rPr>
      <w:rFonts w:ascii="Verdana" w:hAnsi="Verdana"/>
      <w:sz w:val="20"/>
      <w:szCs w:val="20"/>
      <w:lang w:eastAsia="en-US"/>
    </w:rPr>
  </w:style>
  <w:style w:type="paragraph" w:styleId="914" w:customStyle="1">
    <w:name w:val="xl28"/>
    <w:basedOn w:val="77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5" w:customStyle="1">
    <w:name w:val="Char Char Char Char Char Char Char Char11"/>
    <w:basedOn w:val="774"/>
    <w:qFormat/>
    <w:pPr>
      <w:jc w:val="left"/>
      <w:spacing w:after="160" w:line="240" w:lineRule="exact"/>
      <w:widowControl/>
    </w:pPr>
    <w:rPr>
      <w:rFonts w:ascii="Verdana" w:hAnsi="Verdana"/>
      <w:sz w:val="20"/>
      <w:szCs w:val="20"/>
      <w:lang w:eastAsia="en-US"/>
    </w:rPr>
  </w:style>
  <w:style w:type="paragraph" w:styleId="916" w:customStyle="1">
    <w:name w:val="xl30"/>
    <w:basedOn w:val="774"/>
    <w:qFormat/>
    <w:pPr>
      <w:jc w:val="center"/>
      <w:spacing w:before="100" w:beforeAutospacing="1" w:after="100" w:afterAutospacing="1"/>
      <w:widowControl/>
    </w:pPr>
    <w:rPr>
      <w:rFonts w:ascii="宋体" w:hAnsi="宋体"/>
      <w:b/>
      <w:bCs/>
      <w:sz w:val="36"/>
      <w:szCs w:val="36"/>
    </w:rPr>
  </w:style>
  <w:style w:type="paragraph" w:styleId="917" w:customStyle="1">
    <w:name w:val="Char Char Char Char11"/>
    <w:basedOn w:val="791"/>
    <w:qFormat/>
    <w:pPr>
      <w:spacing w:line="360" w:lineRule="auto"/>
    </w:pPr>
    <w:rPr>
      <w:rFonts w:ascii="Tahoma" w:hAnsi="Tahoma"/>
      <w:sz w:val="24"/>
      <w:szCs w:val="24"/>
    </w:rPr>
  </w:style>
  <w:style w:type="paragraph" w:styleId="918" w:customStyle="1">
    <w:name w:val="table_1stline"/>
    <w:basedOn w:val="774"/>
    <w:qFormat/>
    <w:pPr>
      <w:jc w:val="left"/>
      <w:spacing w:before="120"/>
      <w:widowControl/>
    </w:pPr>
    <w:rPr>
      <w:bCs/>
      <w:sz w:val="20"/>
      <w:szCs w:val="20"/>
      <w:lang w:val="de-DE" w:eastAsia="de-DE"/>
    </w:rPr>
  </w:style>
  <w:style w:type="paragraph" w:styleId="919" w:customStyle="1">
    <w:name w:val="font5"/>
    <w:basedOn w:val="774"/>
    <w:qFormat/>
    <w:pPr>
      <w:jc w:val="left"/>
      <w:spacing w:before="100" w:beforeAutospacing="1" w:after="100" w:afterAutospacing="1"/>
      <w:widowControl/>
    </w:pPr>
    <w:rPr>
      <w:rFonts w:hint="eastAsia" w:ascii="宋体" w:hAnsi="宋体"/>
      <w:sz w:val="28"/>
      <w:szCs w:val="28"/>
    </w:rPr>
  </w:style>
  <w:style w:type="paragraph" w:styleId="920" w:customStyle="1">
    <w:name w:val="标题1"/>
    <w:basedOn w:val="774"/>
    <w:next w:val="77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1" w:customStyle="1">
    <w:name w:val="修订1"/>
    <w:uiPriority w:val="99"/>
    <w:semiHidden/>
    <w:qFormat/>
    <w:rPr>
      <w:rFonts w:ascii="Times New Roman" w:hAnsi="Times New Roman"/>
      <w:sz w:val="21"/>
      <w:szCs w:val="21"/>
    </w:rPr>
  </w:style>
  <w:style w:type="paragraph" w:styleId="922" w:customStyle="1">
    <w:name w:val="索引 41"/>
    <w:basedOn w:val="774"/>
    <w:next w:val="774"/>
    <w:semiHidden/>
    <w:qFormat/>
    <w:pPr>
      <w:ind w:left="1260"/>
    </w:pPr>
    <w:rPr>
      <w:rFonts w:ascii="Calibri" w:hAnsi="Calibri" w:eastAsia="Calibri" w:cs="宋体"/>
      <w:sz w:val="20"/>
      <w:lang w:val="zh-CN"/>
    </w:rPr>
  </w:style>
  <w:style w:type="character" w:styleId="923" w:customStyle="1">
    <w:name w:val="Heading 1 Char"/>
    <w:link w:val="833"/>
    <w:uiPriority w:val="9"/>
    <w:qFormat/>
    <w:rPr>
      <w:rFonts w:ascii="Arial" w:hAnsi="Arial" w:eastAsia="Arial" w:cs="Arial"/>
      <w:sz w:val="40"/>
      <w:szCs w:val="40"/>
    </w:rPr>
  </w:style>
  <w:style w:type="character" w:styleId="924" w:customStyle="1">
    <w:name w:val="Heading 2 Char"/>
    <w:link w:val="834"/>
    <w:uiPriority w:val="9"/>
    <w:qFormat/>
    <w:rPr>
      <w:rFonts w:ascii="Arial" w:hAnsi="Arial" w:eastAsia="Arial" w:cs="Arial"/>
      <w:sz w:val="34"/>
    </w:rPr>
  </w:style>
  <w:style w:type="character" w:styleId="925" w:customStyle="1">
    <w:name w:val="Heading 3 Char"/>
    <w:link w:val="835"/>
    <w:uiPriority w:val="9"/>
    <w:qFormat/>
    <w:rPr>
      <w:rFonts w:ascii="Arial" w:hAnsi="Arial" w:eastAsia="Arial" w:cs="Arial"/>
      <w:sz w:val="30"/>
      <w:szCs w:val="30"/>
    </w:rPr>
  </w:style>
  <w:style w:type="character" w:styleId="926" w:customStyle="1">
    <w:name w:val="Heading 4 Char"/>
    <w:link w:val="836"/>
    <w:uiPriority w:val="9"/>
    <w:qFormat/>
    <w:rPr>
      <w:rFonts w:ascii="Arial" w:hAnsi="Arial" w:eastAsia="Arial" w:cs="Arial"/>
      <w:b/>
      <w:bCs/>
      <w:sz w:val="26"/>
      <w:szCs w:val="26"/>
    </w:rPr>
  </w:style>
  <w:style w:type="character" w:styleId="927" w:customStyle="1">
    <w:name w:val="Heading 5 Char"/>
    <w:link w:val="837"/>
    <w:uiPriority w:val="9"/>
    <w:qFormat/>
    <w:rPr>
      <w:rFonts w:ascii="Arial" w:hAnsi="Arial" w:eastAsia="Arial" w:cs="Arial"/>
      <w:b/>
      <w:bCs/>
      <w:sz w:val="24"/>
      <w:szCs w:val="24"/>
    </w:rPr>
  </w:style>
  <w:style w:type="character" w:styleId="928" w:customStyle="1">
    <w:name w:val="Heading 6 Char"/>
    <w:link w:val="838"/>
    <w:uiPriority w:val="9"/>
    <w:qFormat/>
    <w:rPr>
      <w:rFonts w:ascii="Arial" w:hAnsi="Arial" w:eastAsia="Arial" w:cs="Arial"/>
      <w:b/>
      <w:bCs/>
      <w:sz w:val="22"/>
      <w:szCs w:val="22"/>
    </w:rPr>
  </w:style>
  <w:style w:type="character" w:styleId="929" w:customStyle="1">
    <w:name w:val="Heading 7 Char"/>
    <w:link w:val="839"/>
    <w:uiPriority w:val="9"/>
    <w:qFormat/>
    <w:rPr>
      <w:rFonts w:ascii="Arial" w:hAnsi="Arial" w:eastAsia="Arial" w:cs="Arial"/>
      <w:b/>
      <w:bCs/>
      <w:i/>
      <w:iCs/>
      <w:sz w:val="22"/>
      <w:szCs w:val="22"/>
    </w:rPr>
  </w:style>
  <w:style w:type="character" w:styleId="930" w:customStyle="1">
    <w:name w:val="Heading 8 Char"/>
    <w:link w:val="840"/>
    <w:uiPriority w:val="9"/>
    <w:qFormat/>
    <w:rPr>
      <w:rFonts w:ascii="Arial" w:hAnsi="Arial" w:eastAsia="Arial" w:cs="Arial"/>
      <w:i/>
      <w:iCs/>
      <w:sz w:val="22"/>
      <w:szCs w:val="22"/>
    </w:rPr>
  </w:style>
  <w:style w:type="character" w:styleId="931" w:customStyle="1">
    <w:name w:val="Heading 9 Char"/>
    <w:link w:val="841"/>
    <w:uiPriority w:val="9"/>
    <w:qFormat/>
    <w:rPr>
      <w:rFonts w:ascii="Arial" w:hAnsi="Arial" w:eastAsia="Arial" w:cs="Arial"/>
      <w:i/>
      <w:iCs/>
      <w:sz w:val="21"/>
      <w:szCs w:val="21"/>
    </w:rPr>
  </w:style>
  <w:style w:type="character" w:styleId="932" w:customStyle="1">
    <w:name w:val="引用 Char"/>
    <w:link w:val="846"/>
    <w:uiPriority w:val="29"/>
    <w:qFormat/>
    <w:rPr>
      <w:rFonts w:ascii="Times New Roman" w:hAnsi="Times New Roman"/>
      <w:i/>
      <w:sz w:val="21"/>
      <w:szCs w:val="21"/>
    </w:rPr>
  </w:style>
  <w:style w:type="character" w:styleId="933" w:customStyle="1">
    <w:name w:val="明显引用 Char"/>
    <w:link w:val="848"/>
    <w:uiPriority w:val="30"/>
    <w:qFormat/>
    <w:rPr>
      <w:rFonts w:ascii="Times New Roman" w:hAnsi="Times New Roman"/>
      <w:i/>
      <w:sz w:val="21"/>
      <w:szCs w:val="21"/>
      <w:shd w:val="clear" w:color="auto" w:fill="f2f2f2"/>
    </w:rPr>
  </w:style>
  <w:style w:type="character" w:styleId="934" w:customStyle="1">
    <w:name w:val="Header Char"/>
    <w:link w:val="850"/>
    <w:uiPriority w:val="99"/>
    <w:qFormat/>
  </w:style>
  <w:style w:type="character" w:styleId="935" w:customStyle="1">
    <w:name w:val="Footer Char"/>
    <w:uiPriority w:val="99"/>
    <w:qFormat/>
  </w:style>
  <w:style w:type="character" w:styleId="936" w:customStyle="1">
    <w:name w:val="Caption Char"/>
    <w:link w:val="851"/>
    <w:uiPriority w:val="99"/>
    <w:qFormat/>
  </w:style>
  <w:style w:type="table" w:styleId="937" w:customStyle="1">
    <w:name w:val="Table Grid Light"/>
    <w:uiPriority w:val="59"/>
    <w:qFormat/>
    <w:rPr>
      <w:rFonts w:ascii="Times New Roman" w:hAnsi="Times New Roman"/>
    </w:rPr>
    <w:tblPr>
      <w:tblCellMar>
        <w:left w:w="0" w:type="dxa"/>
        <w:top w:w="0" w:type="dxa"/>
        <w:right w:w="0" w:type="dxa"/>
        <w:bottom w:w="0" w:type="dxa"/>
      </w:tblCellMar>
    </w:tblPr>
  </w:style>
  <w:style w:type="table" w:styleId="938" w:customStyle="1">
    <w:name w:val="Plain Table 1"/>
    <w:uiPriority w:val="59"/>
    <w:qFormat/>
    <w:rPr>
      <w:rFonts w:ascii="Times New Roman" w:hAnsi="Times New Roman"/>
    </w:rPr>
    <w:tblPr>
      <w:tblCellMar>
        <w:left w:w="0" w:type="dxa"/>
        <w:top w:w="0" w:type="dxa"/>
        <w:right w:w="0" w:type="dxa"/>
        <w:bottom w:w="0" w:type="dxa"/>
      </w:tblCellMar>
    </w:tblPr>
  </w:style>
  <w:style w:type="table" w:styleId="939" w:customStyle="1">
    <w:name w:val="Plain Table 2"/>
    <w:uiPriority w:val="59"/>
    <w:qFormat/>
    <w:rPr>
      <w:rFonts w:ascii="Times New Roman" w:hAnsi="Times New Roman"/>
    </w:rPr>
    <w:tblPr>
      <w:tblCellMar>
        <w:left w:w="0" w:type="dxa"/>
        <w:top w:w="0" w:type="dxa"/>
        <w:right w:w="0" w:type="dxa"/>
        <w:bottom w:w="0" w:type="dxa"/>
      </w:tblCellMar>
    </w:tblPr>
  </w:style>
  <w:style w:type="table" w:styleId="940" w:customStyle="1">
    <w:name w:val="Plain Table 3"/>
    <w:uiPriority w:val="99"/>
    <w:qFormat/>
    <w:rPr>
      <w:rFonts w:ascii="Times New Roman" w:hAnsi="Times New Roman"/>
    </w:rPr>
    <w:tblPr>
      <w:tblCellMar>
        <w:left w:w="0" w:type="dxa"/>
        <w:top w:w="0" w:type="dxa"/>
        <w:right w:w="0" w:type="dxa"/>
        <w:bottom w:w="0" w:type="dxa"/>
      </w:tblCellMar>
    </w:tblPr>
  </w:style>
  <w:style w:type="table" w:styleId="941" w:customStyle="1">
    <w:name w:val="Plain Table 4"/>
    <w:uiPriority w:val="99"/>
    <w:qFormat/>
    <w:rPr>
      <w:rFonts w:ascii="Times New Roman" w:hAnsi="Times New Roman"/>
    </w:rPr>
    <w:tblPr>
      <w:tblCellMar>
        <w:left w:w="0" w:type="dxa"/>
        <w:top w:w="0" w:type="dxa"/>
        <w:right w:w="0" w:type="dxa"/>
        <w:bottom w:w="0" w:type="dxa"/>
      </w:tblCellMar>
    </w:tblPr>
  </w:style>
  <w:style w:type="table" w:styleId="942" w:customStyle="1">
    <w:name w:val="Plain Table 5"/>
    <w:uiPriority w:val="99"/>
    <w:qFormat/>
    <w:rPr>
      <w:rFonts w:ascii="Times New Roman" w:hAnsi="Times New Roman"/>
    </w:rPr>
    <w:tblPr>
      <w:tblCellMar>
        <w:left w:w="0" w:type="dxa"/>
        <w:top w:w="0" w:type="dxa"/>
        <w:right w:w="0" w:type="dxa"/>
        <w:bottom w:w="0" w:type="dxa"/>
      </w:tblCellMar>
    </w:tblPr>
  </w:style>
  <w:style w:type="table" w:styleId="943" w:customStyle="1">
    <w:name w:val="Grid Table 1 Light"/>
    <w:uiPriority w:val="99"/>
    <w:qFormat/>
    <w:rPr>
      <w:rFonts w:ascii="Times New Roman" w:hAnsi="Times New Roman"/>
    </w:rPr>
    <w:tblPr>
      <w:tblCellMar>
        <w:left w:w="0" w:type="dxa"/>
        <w:top w:w="0" w:type="dxa"/>
        <w:right w:w="0" w:type="dxa"/>
        <w:bottom w:w="0" w:type="dxa"/>
      </w:tblCellMar>
    </w:tblPr>
  </w:style>
  <w:style w:type="table" w:styleId="944" w:customStyle="1">
    <w:name w:val="Grid Table 1 Light - Accent 1"/>
    <w:uiPriority w:val="99"/>
    <w:qFormat/>
    <w:rPr>
      <w:rFonts w:ascii="Times New Roman" w:hAnsi="Times New Roman"/>
    </w:rPr>
    <w:tblPr>
      <w:tblCellMar>
        <w:left w:w="0" w:type="dxa"/>
        <w:top w:w="0" w:type="dxa"/>
        <w:right w:w="0" w:type="dxa"/>
        <w:bottom w:w="0" w:type="dxa"/>
      </w:tblCellMar>
    </w:tblPr>
  </w:style>
  <w:style w:type="table" w:styleId="945" w:customStyle="1">
    <w:name w:val="Grid Table 1 Light - Accent 2"/>
    <w:uiPriority w:val="99"/>
    <w:qFormat/>
    <w:rPr>
      <w:rFonts w:ascii="Times New Roman" w:hAnsi="Times New Roman"/>
    </w:rPr>
    <w:tblPr>
      <w:tblCellMar>
        <w:left w:w="0" w:type="dxa"/>
        <w:top w:w="0" w:type="dxa"/>
        <w:right w:w="0" w:type="dxa"/>
        <w:bottom w:w="0" w:type="dxa"/>
      </w:tblCellMar>
    </w:tblPr>
  </w:style>
  <w:style w:type="table" w:styleId="946" w:customStyle="1">
    <w:name w:val="Grid Table 1 Light - Accent 3"/>
    <w:uiPriority w:val="99"/>
    <w:qFormat/>
    <w:rPr>
      <w:rFonts w:ascii="Times New Roman" w:hAnsi="Times New Roman"/>
    </w:rPr>
    <w:tblPr>
      <w:tblCellMar>
        <w:left w:w="0" w:type="dxa"/>
        <w:top w:w="0" w:type="dxa"/>
        <w:right w:w="0" w:type="dxa"/>
        <w:bottom w:w="0" w:type="dxa"/>
      </w:tblCellMar>
    </w:tblPr>
  </w:style>
  <w:style w:type="table" w:styleId="947" w:customStyle="1">
    <w:name w:val="Grid Table 1 Light - Accent 4"/>
    <w:uiPriority w:val="99"/>
    <w:qFormat/>
    <w:rPr>
      <w:rFonts w:ascii="Times New Roman" w:hAnsi="Times New Roman"/>
    </w:rPr>
    <w:tblPr>
      <w:tblCellMar>
        <w:left w:w="0" w:type="dxa"/>
        <w:top w:w="0" w:type="dxa"/>
        <w:right w:w="0" w:type="dxa"/>
        <w:bottom w:w="0" w:type="dxa"/>
      </w:tblCellMar>
    </w:tblPr>
  </w:style>
  <w:style w:type="table" w:styleId="948" w:customStyle="1">
    <w:name w:val="Grid Table 1 Light - Accent 5"/>
    <w:uiPriority w:val="99"/>
    <w:qFormat/>
    <w:rPr>
      <w:rFonts w:ascii="Times New Roman" w:hAnsi="Times New Roman"/>
    </w:rPr>
    <w:tblPr>
      <w:tblCellMar>
        <w:left w:w="0" w:type="dxa"/>
        <w:top w:w="0" w:type="dxa"/>
        <w:right w:w="0" w:type="dxa"/>
        <w:bottom w:w="0" w:type="dxa"/>
      </w:tblCellMar>
    </w:tblPr>
  </w:style>
  <w:style w:type="table" w:styleId="949" w:customStyle="1">
    <w:name w:val="Grid Table 1 Light - Accent 6"/>
    <w:uiPriority w:val="99"/>
    <w:qFormat/>
    <w:rPr>
      <w:rFonts w:ascii="Times New Roman" w:hAnsi="Times New Roman"/>
    </w:rPr>
    <w:tblPr>
      <w:tblCellMar>
        <w:left w:w="0" w:type="dxa"/>
        <w:top w:w="0" w:type="dxa"/>
        <w:right w:w="0" w:type="dxa"/>
        <w:bottom w:w="0" w:type="dxa"/>
      </w:tblCellMar>
    </w:tblPr>
  </w:style>
  <w:style w:type="table" w:styleId="950" w:customStyle="1">
    <w:name w:val="Grid Table 2"/>
    <w:uiPriority w:val="99"/>
    <w:qFormat/>
    <w:rPr>
      <w:rFonts w:ascii="Times New Roman" w:hAnsi="Times New Roman"/>
    </w:rPr>
    <w:tblPr>
      <w:tblCellMar>
        <w:left w:w="0" w:type="dxa"/>
        <w:top w:w="0" w:type="dxa"/>
        <w:right w:w="0" w:type="dxa"/>
        <w:bottom w:w="0" w:type="dxa"/>
      </w:tblCellMar>
    </w:tblPr>
  </w:style>
  <w:style w:type="table" w:styleId="951" w:customStyle="1">
    <w:name w:val="Grid Table 2 - Accent 1"/>
    <w:uiPriority w:val="99"/>
    <w:qFormat/>
    <w:rPr>
      <w:rFonts w:ascii="Times New Roman" w:hAnsi="Times New Roman"/>
    </w:rPr>
    <w:tblPr>
      <w:tblCellMar>
        <w:left w:w="0" w:type="dxa"/>
        <w:top w:w="0" w:type="dxa"/>
        <w:right w:w="0" w:type="dxa"/>
        <w:bottom w:w="0" w:type="dxa"/>
      </w:tblCellMar>
    </w:tblPr>
  </w:style>
  <w:style w:type="table" w:styleId="952" w:customStyle="1">
    <w:name w:val="Grid Table 2 - Accent 2"/>
    <w:uiPriority w:val="99"/>
    <w:qFormat/>
    <w:rPr>
      <w:rFonts w:ascii="Times New Roman" w:hAnsi="Times New Roman"/>
    </w:rPr>
    <w:tblPr>
      <w:tblCellMar>
        <w:left w:w="0" w:type="dxa"/>
        <w:top w:w="0" w:type="dxa"/>
        <w:right w:w="0" w:type="dxa"/>
        <w:bottom w:w="0" w:type="dxa"/>
      </w:tblCellMar>
    </w:tblPr>
  </w:style>
  <w:style w:type="table" w:styleId="953" w:customStyle="1">
    <w:name w:val="Grid Table 2 - Accent 3"/>
    <w:uiPriority w:val="99"/>
    <w:qFormat/>
    <w:rPr>
      <w:rFonts w:ascii="Times New Roman" w:hAnsi="Times New Roman"/>
    </w:rPr>
    <w:tblPr>
      <w:tblCellMar>
        <w:left w:w="0" w:type="dxa"/>
        <w:top w:w="0" w:type="dxa"/>
        <w:right w:w="0" w:type="dxa"/>
        <w:bottom w:w="0" w:type="dxa"/>
      </w:tblCellMar>
    </w:tblPr>
  </w:style>
  <w:style w:type="table" w:styleId="954" w:customStyle="1">
    <w:name w:val="Grid Table 2 - Accent 4"/>
    <w:uiPriority w:val="99"/>
    <w:qFormat/>
    <w:rPr>
      <w:rFonts w:ascii="Times New Roman" w:hAnsi="Times New Roman"/>
    </w:rPr>
    <w:tblPr>
      <w:tblCellMar>
        <w:left w:w="0" w:type="dxa"/>
        <w:top w:w="0" w:type="dxa"/>
        <w:right w:w="0" w:type="dxa"/>
        <w:bottom w:w="0" w:type="dxa"/>
      </w:tblCellMar>
    </w:tblPr>
  </w:style>
  <w:style w:type="table" w:styleId="955" w:customStyle="1">
    <w:name w:val="Grid Table 2 - Accent 5"/>
    <w:uiPriority w:val="99"/>
    <w:qFormat/>
    <w:rPr>
      <w:rFonts w:ascii="Times New Roman" w:hAnsi="Times New Roman"/>
    </w:rPr>
    <w:tblPr>
      <w:tblCellMar>
        <w:left w:w="0" w:type="dxa"/>
        <w:top w:w="0" w:type="dxa"/>
        <w:right w:w="0" w:type="dxa"/>
        <w:bottom w:w="0" w:type="dxa"/>
      </w:tblCellMar>
    </w:tblPr>
  </w:style>
  <w:style w:type="table" w:styleId="956" w:customStyle="1">
    <w:name w:val="Grid Table 2 - Accent 6"/>
    <w:uiPriority w:val="99"/>
    <w:qFormat/>
    <w:rPr>
      <w:rFonts w:ascii="Times New Roman" w:hAnsi="Times New Roman"/>
    </w:rPr>
    <w:tblPr>
      <w:tblCellMar>
        <w:left w:w="0" w:type="dxa"/>
        <w:top w:w="0" w:type="dxa"/>
        <w:right w:w="0" w:type="dxa"/>
        <w:bottom w:w="0" w:type="dxa"/>
      </w:tblCellMar>
    </w:tblPr>
  </w:style>
  <w:style w:type="table" w:styleId="957" w:customStyle="1">
    <w:name w:val="Grid Table 3"/>
    <w:uiPriority w:val="99"/>
    <w:qFormat/>
    <w:rPr>
      <w:rFonts w:ascii="Times New Roman" w:hAnsi="Times New Roman"/>
    </w:rPr>
    <w:tblPr>
      <w:tblCellMar>
        <w:left w:w="0" w:type="dxa"/>
        <w:top w:w="0" w:type="dxa"/>
        <w:right w:w="0" w:type="dxa"/>
        <w:bottom w:w="0" w:type="dxa"/>
      </w:tblCellMar>
    </w:tblPr>
  </w:style>
  <w:style w:type="table" w:styleId="958" w:customStyle="1">
    <w:name w:val="Grid Table 3 - Accent 1"/>
    <w:uiPriority w:val="99"/>
    <w:qFormat/>
    <w:rPr>
      <w:rFonts w:ascii="Times New Roman" w:hAnsi="Times New Roman"/>
    </w:rPr>
    <w:tblPr>
      <w:tblCellMar>
        <w:left w:w="0" w:type="dxa"/>
        <w:top w:w="0" w:type="dxa"/>
        <w:right w:w="0" w:type="dxa"/>
        <w:bottom w:w="0" w:type="dxa"/>
      </w:tblCellMar>
    </w:tblPr>
  </w:style>
  <w:style w:type="table" w:styleId="959" w:customStyle="1">
    <w:name w:val="Grid Table 3 - Accent 2"/>
    <w:uiPriority w:val="99"/>
    <w:qFormat/>
    <w:rPr>
      <w:rFonts w:ascii="Times New Roman" w:hAnsi="Times New Roman"/>
    </w:rPr>
    <w:tblPr>
      <w:tblCellMar>
        <w:left w:w="0" w:type="dxa"/>
        <w:top w:w="0" w:type="dxa"/>
        <w:right w:w="0" w:type="dxa"/>
        <w:bottom w:w="0" w:type="dxa"/>
      </w:tblCellMar>
    </w:tblPr>
  </w:style>
  <w:style w:type="table" w:styleId="960" w:customStyle="1">
    <w:name w:val="Grid Table 3 - Accent 3"/>
    <w:uiPriority w:val="99"/>
    <w:qFormat/>
    <w:rPr>
      <w:rFonts w:ascii="Times New Roman" w:hAnsi="Times New Roman"/>
    </w:rPr>
    <w:tblPr>
      <w:tblCellMar>
        <w:left w:w="0" w:type="dxa"/>
        <w:top w:w="0" w:type="dxa"/>
        <w:right w:w="0" w:type="dxa"/>
        <w:bottom w:w="0" w:type="dxa"/>
      </w:tblCellMar>
    </w:tblPr>
  </w:style>
  <w:style w:type="table" w:styleId="961" w:customStyle="1">
    <w:name w:val="Grid Table 3 - Accent 4"/>
    <w:uiPriority w:val="99"/>
    <w:qFormat/>
    <w:rPr>
      <w:rFonts w:ascii="Times New Roman" w:hAnsi="Times New Roman"/>
    </w:rPr>
    <w:tblPr>
      <w:tblCellMar>
        <w:left w:w="0" w:type="dxa"/>
        <w:top w:w="0" w:type="dxa"/>
        <w:right w:w="0" w:type="dxa"/>
        <w:bottom w:w="0" w:type="dxa"/>
      </w:tblCellMar>
    </w:tblPr>
  </w:style>
  <w:style w:type="table" w:styleId="962" w:customStyle="1">
    <w:name w:val="Grid Table 3 - Accent 5"/>
    <w:uiPriority w:val="99"/>
    <w:qFormat/>
    <w:rPr>
      <w:rFonts w:ascii="Times New Roman" w:hAnsi="Times New Roman"/>
    </w:rPr>
    <w:tblPr>
      <w:tblCellMar>
        <w:left w:w="0" w:type="dxa"/>
        <w:top w:w="0" w:type="dxa"/>
        <w:right w:w="0" w:type="dxa"/>
        <w:bottom w:w="0" w:type="dxa"/>
      </w:tblCellMar>
    </w:tblPr>
  </w:style>
  <w:style w:type="table" w:styleId="963" w:customStyle="1">
    <w:name w:val="Grid Table 3 - Accent 6"/>
    <w:uiPriority w:val="99"/>
    <w:qFormat/>
    <w:rPr>
      <w:rFonts w:ascii="Times New Roman" w:hAnsi="Times New Roman"/>
    </w:rPr>
    <w:tblPr>
      <w:tblCellMar>
        <w:left w:w="0" w:type="dxa"/>
        <w:top w:w="0" w:type="dxa"/>
        <w:right w:w="0" w:type="dxa"/>
        <w:bottom w:w="0" w:type="dxa"/>
      </w:tblCellMar>
    </w:tblPr>
  </w:style>
  <w:style w:type="table" w:styleId="964" w:customStyle="1">
    <w:name w:val="Grid Table 4"/>
    <w:uiPriority w:val="59"/>
    <w:qFormat/>
    <w:rPr>
      <w:rFonts w:ascii="Times New Roman" w:hAnsi="Times New Roman"/>
    </w:rPr>
    <w:tblPr>
      <w:tblCellMar>
        <w:left w:w="0" w:type="dxa"/>
        <w:top w:w="0" w:type="dxa"/>
        <w:right w:w="0" w:type="dxa"/>
        <w:bottom w:w="0" w:type="dxa"/>
      </w:tblCellMar>
    </w:tblPr>
  </w:style>
  <w:style w:type="table" w:styleId="965" w:customStyle="1">
    <w:name w:val="Grid Table 4 - Accent 1"/>
    <w:uiPriority w:val="59"/>
    <w:qFormat/>
    <w:rPr>
      <w:rFonts w:ascii="Times New Roman" w:hAnsi="Times New Roman"/>
    </w:rPr>
    <w:tblPr>
      <w:tblCellMar>
        <w:left w:w="0" w:type="dxa"/>
        <w:top w:w="0" w:type="dxa"/>
        <w:right w:w="0" w:type="dxa"/>
        <w:bottom w:w="0" w:type="dxa"/>
      </w:tblCellMar>
    </w:tblPr>
  </w:style>
  <w:style w:type="table" w:styleId="966" w:customStyle="1">
    <w:name w:val="Grid Table 4 - Accent 2"/>
    <w:uiPriority w:val="59"/>
    <w:qFormat/>
    <w:rPr>
      <w:rFonts w:ascii="Times New Roman" w:hAnsi="Times New Roman"/>
    </w:rPr>
    <w:tblPr>
      <w:tblCellMar>
        <w:left w:w="0" w:type="dxa"/>
        <w:top w:w="0" w:type="dxa"/>
        <w:right w:w="0" w:type="dxa"/>
        <w:bottom w:w="0" w:type="dxa"/>
      </w:tblCellMar>
    </w:tblPr>
  </w:style>
  <w:style w:type="table" w:styleId="967" w:customStyle="1">
    <w:name w:val="Grid Table 4 - Accent 3"/>
    <w:uiPriority w:val="59"/>
    <w:qFormat/>
    <w:rPr>
      <w:rFonts w:ascii="Times New Roman" w:hAnsi="Times New Roman"/>
    </w:rPr>
    <w:tblPr>
      <w:tblCellMar>
        <w:left w:w="0" w:type="dxa"/>
        <w:top w:w="0" w:type="dxa"/>
        <w:right w:w="0" w:type="dxa"/>
        <w:bottom w:w="0" w:type="dxa"/>
      </w:tblCellMar>
    </w:tblPr>
  </w:style>
  <w:style w:type="table" w:styleId="968" w:customStyle="1">
    <w:name w:val="Grid Table 4 - Accent 4"/>
    <w:uiPriority w:val="59"/>
    <w:qFormat/>
    <w:rPr>
      <w:rFonts w:ascii="Times New Roman" w:hAnsi="Times New Roman"/>
    </w:rPr>
    <w:tblPr>
      <w:tblCellMar>
        <w:left w:w="0" w:type="dxa"/>
        <w:top w:w="0" w:type="dxa"/>
        <w:right w:w="0" w:type="dxa"/>
        <w:bottom w:w="0" w:type="dxa"/>
      </w:tblCellMar>
    </w:tblPr>
  </w:style>
  <w:style w:type="table" w:styleId="969" w:customStyle="1">
    <w:name w:val="Grid Table 4 - Accent 5"/>
    <w:uiPriority w:val="59"/>
    <w:qFormat/>
    <w:rPr>
      <w:rFonts w:ascii="Times New Roman" w:hAnsi="Times New Roman"/>
    </w:rPr>
    <w:tblPr>
      <w:tblCellMar>
        <w:left w:w="0" w:type="dxa"/>
        <w:top w:w="0" w:type="dxa"/>
        <w:right w:w="0" w:type="dxa"/>
        <w:bottom w:w="0" w:type="dxa"/>
      </w:tblCellMar>
    </w:tblPr>
  </w:style>
  <w:style w:type="table" w:styleId="970" w:customStyle="1">
    <w:name w:val="Grid Table 4 - Accent 6"/>
    <w:uiPriority w:val="59"/>
    <w:qFormat/>
    <w:rPr>
      <w:rFonts w:ascii="Times New Roman" w:hAnsi="Times New Roman"/>
    </w:rPr>
    <w:tblPr>
      <w:tblCellMar>
        <w:left w:w="0" w:type="dxa"/>
        <w:top w:w="0" w:type="dxa"/>
        <w:right w:w="0" w:type="dxa"/>
        <w:bottom w:w="0" w:type="dxa"/>
      </w:tblCellMar>
    </w:tblPr>
  </w:style>
  <w:style w:type="table" w:styleId="971" w:customStyle="1">
    <w:name w:val="Grid Table 5 Dark"/>
    <w:uiPriority w:val="99"/>
    <w:qFormat/>
    <w:rPr>
      <w:rFonts w:ascii="Times New Roman" w:hAnsi="Times New Roman"/>
    </w:rPr>
    <w:tblPr>
      <w:tblCellMar>
        <w:left w:w="0" w:type="dxa"/>
        <w:top w:w="0" w:type="dxa"/>
        <w:right w:w="0" w:type="dxa"/>
        <w:bottom w:w="0" w:type="dxa"/>
      </w:tblCellMar>
    </w:tblPr>
  </w:style>
  <w:style w:type="table" w:styleId="972" w:customStyle="1">
    <w:name w:val="Grid Table 5 Dark- Accent 1"/>
    <w:uiPriority w:val="99"/>
    <w:qFormat/>
    <w:rPr>
      <w:rFonts w:ascii="Times New Roman" w:hAnsi="Times New Roman"/>
    </w:rPr>
    <w:tblPr>
      <w:tblCellMar>
        <w:left w:w="0" w:type="dxa"/>
        <w:top w:w="0" w:type="dxa"/>
        <w:right w:w="0" w:type="dxa"/>
        <w:bottom w:w="0" w:type="dxa"/>
      </w:tblCellMar>
    </w:tblPr>
  </w:style>
  <w:style w:type="table" w:styleId="973" w:customStyle="1">
    <w:name w:val="Grid Table 5 Dark - Accent 2"/>
    <w:uiPriority w:val="99"/>
    <w:qFormat/>
    <w:rPr>
      <w:rFonts w:ascii="Times New Roman" w:hAnsi="Times New Roman"/>
    </w:rPr>
    <w:tblPr>
      <w:tblCellMar>
        <w:left w:w="0" w:type="dxa"/>
        <w:top w:w="0" w:type="dxa"/>
        <w:right w:w="0" w:type="dxa"/>
        <w:bottom w:w="0" w:type="dxa"/>
      </w:tblCellMar>
    </w:tblPr>
  </w:style>
  <w:style w:type="table" w:styleId="974" w:customStyle="1">
    <w:name w:val="Grid Table 5 Dark - Accent 3"/>
    <w:uiPriority w:val="99"/>
    <w:qFormat/>
    <w:rPr>
      <w:rFonts w:ascii="Times New Roman" w:hAnsi="Times New Roman"/>
    </w:rPr>
    <w:tblPr>
      <w:tblCellMar>
        <w:left w:w="0" w:type="dxa"/>
        <w:top w:w="0" w:type="dxa"/>
        <w:right w:w="0" w:type="dxa"/>
        <w:bottom w:w="0" w:type="dxa"/>
      </w:tblCellMar>
    </w:tblPr>
  </w:style>
  <w:style w:type="table" w:styleId="975" w:customStyle="1">
    <w:name w:val="Grid Table 5 Dark- Accent 4"/>
    <w:uiPriority w:val="99"/>
    <w:qFormat/>
    <w:rPr>
      <w:rFonts w:ascii="Times New Roman" w:hAnsi="Times New Roman"/>
    </w:rPr>
    <w:tblPr>
      <w:tblCellMar>
        <w:left w:w="0" w:type="dxa"/>
        <w:top w:w="0" w:type="dxa"/>
        <w:right w:w="0" w:type="dxa"/>
        <w:bottom w:w="0" w:type="dxa"/>
      </w:tblCellMar>
    </w:tblPr>
  </w:style>
  <w:style w:type="table" w:styleId="976" w:customStyle="1">
    <w:name w:val="Grid Table 5 Dark - Accent 5"/>
    <w:uiPriority w:val="99"/>
    <w:qFormat/>
    <w:rPr>
      <w:rFonts w:ascii="Times New Roman" w:hAnsi="Times New Roman"/>
    </w:rPr>
    <w:tblPr>
      <w:tblCellMar>
        <w:left w:w="0" w:type="dxa"/>
        <w:top w:w="0" w:type="dxa"/>
        <w:right w:w="0" w:type="dxa"/>
        <w:bottom w:w="0" w:type="dxa"/>
      </w:tblCellMar>
    </w:tblPr>
  </w:style>
  <w:style w:type="table" w:styleId="977" w:customStyle="1">
    <w:name w:val="Grid Table 5 Dark - Accent 6"/>
    <w:uiPriority w:val="99"/>
    <w:qFormat/>
    <w:rPr>
      <w:rFonts w:ascii="Times New Roman" w:hAnsi="Times New Roman"/>
    </w:rPr>
    <w:tblPr>
      <w:tblCellMar>
        <w:left w:w="0" w:type="dxa"/>
        <w:top w:w="0" w:type="dxa"/>
        <w:right w:w="0" w:type="dxa"/>
        <w:bottom w:w="0" w:type="dxa"/>
      </w:tblCellMar>
    </w:tblPr>
  </w:style>
  <w:style w:type="table" w:styleId="978" w:customStyle="1">
    <w:name w:val="Grid Table 6 Colorful"/>
    <w:uiPriority w:val="99"/>
    <w:qFormat/>
    <w:rPr>
      <w:rFonts w:ascii="Times New Roman" w:hAnsi="Times New Roman"/>
    </w:rPr>
    <w:tblPr>
      <w:tblCellMar>
        <w:left w:w="0" w:type="dxa"/>
        <w:top w:w="0" w:type="dxa"/>
        <w:right w:w="0" w:type="dxa"/>
        <w:bottom w:w="0" w:type="dxa"/>
      </w:tblCellMar>
    </w:tblPr>
  </w:style>
  <w:style w:type="table" w:styleId="979" w:customStyle="1">
    <w:name w:val="Grid Table 6 Colorful - Accent 1"/>
    <w:uiPriority w:val="99"/>
    <w:qFormat/>
    <w:rPr>
      <w:rFonts w:ascii="Times New Roman" w:hAnsi="Times New Roman"/>
    </w:rPr>
    <w:tblPr>
      <w:tblCellMar>
        <w:left w:w="0" w:type="dxa"/>
        <w:top w:w="0" w:type="dxa"/>
        <w:right w:w="0" w:type="dxa"/>
        <w:bottom w:w="0" w:type="dxa"/>
      </w:tblCellMar>
    </w:tblPr>
  </w:style>
  <w:style w:type="table" w:styleId="980" w:customStyle="1">
    <w:name w:val="Grid Table 6 Colorful - Accent 2"/>
    <w:uiPriority w:val="99"/>
    <w:qFormat/>
    <w:rPr>
      <w:rFonts w:ascii="Times New Roman" w:hAnsi="Times New Roman"/>
    </w:rPr>
    <w:tblPr>
      <w:tblCellMar>
        <w:left w:w="0" w:type="dxa"/>
        <w:top w:w="0" w:type="dxa"/>
        <w:right w:w="0" w:type="dxa"/>
        <w:bottom w:w="0" w:type="dxa"/>
      </w:tblCellMar>
    </w:tblPr>
  </w:style>
  <w:style w:type="table" w:styleId="981" w:customStyle="1">
    <w:name w:val="Grid Table 6 Colorful - Accent 3"/>
    <w:uiPriority w:val="99"/>
    <w:qFormat/>
    <w:rPr>
      <w:rFonts w:ascii="Times New Roman" w:hAnsi="Times New Roman"/>
    </w:rPr>
    <w:tblPr>
      <w:tblCellMar>
        <w:left w:w="0" w:type="dxa"/>
        <w:top w:w="0" w:type="dxa"/>
        <w:right w:w="0" w:type="dxa"/>
        <w:bottom w:w="0" w:type="dxa"/>
      </w:tblCellMar>
    </w:tblPr>
  </w:style>
  <w:style w:type="table" w:styleId="982" w:customStyle="1">
    <w:name w:val="Grid Table 6 Colorful - Accent 4"/>
    <w:uiPriority w:val="99"/>
    <w:qFormat/>
    <w:rPr>
      <w:rFonts w:ascii="Times New Roman" w:hAnsi="Times New Roman"/>
    </w:rPr>
    <w:tblPr>
      <w:tblCellMar>
        <w:left w:w="0" w:type="dxa"/>
        <w:top w:w="0" w:type="dxa"/>
        <w:right w:w="0" w:type="dxa"/>
        <w:bottom w:w="0" w:type="dxa"/>
      </w:tblCellMar>
    </w:tblPr>
  </w:style>
  <w:style w:type="table" w:styleId="983" w:customStyle="1">
    <w:name w:val="Grid Table 6 Colorful - Accent 5"/>
    <w:uiPriority w:val="99"/>
    <w:qFormat/>
    <w:rPr>
      <w:rFonts w:ascii="Times New Roman" w:hAnsi="Times New Roman"/>
    </w:rPr>
    <w:tblPr>
      <w:tblCellMar>
        <w:left w:w="0" w:type="dxa"/>
        <w:top w:w="0" w:type="dxa"/>
        <w:right w:w="0" w:type="dxa"/>
        <w:bottom w:w="0" w:type="dxa"/>
      </w:tblCellMar>
    </w:tblPr>
  </w:style>
  <w:style w:type="table" w:styleId="984" w:customStyle="1">
    <w:name w:val="Grid Table 6 Colorful - Accent 6"/>
    <w:uiPriority w:val="99"/>
    <w:qFormat/>
    <w:rPr>
      <w:rFonts w:ascii="Times New Roman" w:hAnsi="Times New Roman"/>
    </w:rPr>
    <w:tblPr>
      <w:tblCellMar>
        <w:left w:w="0" w:type="dxa"/>
        <w:top w:w="0" w:type="dxa"/>
        <w:right w:w="0" w:type="dxa"/>
        <w:bottom w:w="0" w:type="dxa"/>
      </w:tblCellMar>
    </w:tblPr>
  </w:style>
  <w:style w:type="table" w:styleId="985" w:customStyle="1">
    <w:name w:val="Grid Table 7 Colorful"/>
    <w:uiPriority w:val="99"/>
    <w:qFormat/>
    <w:rPr>
      <w:rFonts w:ascii="Times New Roman" w:hAnsi="Times New Roman"/>
    </w:rPr>
    <w:tblPr>
      <w:tblCellMar>
        <w:left w:w="0" w:type="dxa"/>
        <w:top w:w="0" w:type="dxa"/>
        <w:right w:w="0" w:type="dxa"/>
        <w:bottom w:w="0" w:type="dxa"/>
      </w:tblCellMar>
    </w:tblPr>
  </w:style>
  <w:style w:type="table" w:styleId="986" w:customStyle="1">
    <w:name w:val="Grid Table 7 Colorful - Accent 1"/>
    <w:uiPriority w:val="99"/>
    <w:qFormat/>
    <w:rPr>
      <w:rFonts w:ascii="Times New Roman" w:hAnsi="Times New Roman"/>
    </w:rPr>
    <w:tblPr>
      <w:tblCellMar>
        <w:left w:w="0" w:type="dxa"/>
        <w:top w:w="0" w:type="dxa"/>
        <w:right w:w="0" w:type="dxa"/>
        <w:bottom w:w="0" w:type="dxa"/>
      </w:tblCellMar>
    </w:tblPr>
  </w:style>
  <w:style w:type="table" w:styleId="987" w:customStyle="1">
    <w:name w:val="Grid Table 7 Colorful - Accent 2"/>
    <w:uiPriority w:val="99"/>
    <w:qFormat/>
    <w:rPr>
      <w:rFonts w:ascii="Times New Roman" w:hAnsi="Times New Roman"/>
    </w:rPr>
    <w:tblPr>
      <w:tblCellMar>
        <w:left w:w="0" w:type="dxa"/>
        <w:top w:w="0" w:type="dxa"/>
        <w:right w:w="0" w:type="dxa"/>
        <w:bottom w:w="0" w:type="dxa"/>
      </w:tblCellMar>
    </w:tblPr>
  </w:style>
  <w:style w:type="table" w:styleId="988" w:customStyle="1">
    <w:name w:val="Grid Table 7 Colorful - Accent 3"/>
    <w:uiPriority w:val="99"/>
    <w:qFormat/>
    <w:rPr>
      <w:rFonts w:ascii="Times New Roman" w:hAnsi="Times New Roman"/>
    </w:rPr>
    <w:tblPr>
      <w:tblCellMar>
        <w:left w:w="0" w:type="dxa"/>
        <w:top w:w="0" w:type="dxa"/>
        <w:right w:w="0" w:type="dxa"/>
        <w:bottom w:w="0" w:type="dxa"/>
      </w:tblCellMar>
    </w:tblPr>
  </w:style>
  <w:style w:type="table" w:styleId="989" w:customStyle="1">
    <w:name w:val="Grid Table 7 Colorful - Accent 4"/>
    <w:uiPriority w:val="99"/>
    <w:qFormat/>
    <w:rPr>
      <w:rFonts w:ascii="Times New Roman" w:hAnsi="Times New Roman"/>
    </w:rPr>
    <w:tblPr>
      <w:tblCellMar>
        <w:left w:w="0" w:type="dxa"/>
        <w:top w:w="0" w:type="dxa"/>
        <w:right w:w="0" w:type="dxa"/>
        <w:bottom w:w="0" w:type="dxa"/>
      </w:tblCellMar>
    </w:tblPr>
  </w:style>
  <w:style w:type="table" w:styleId="990" w:customStyle="1">
    <w:name w:val="Grid Table 7 Colorful - Accent 5"/>
    <w:uiPriority w:val="99"/>
    <w:qFormat/>
    <w:rPr>
      <w:rFonts w:ascii="Times New Roman" w:hAnsi="Times New Roman"/>
    </w:rPr>
    <w:tblPr>
      <w:tblCellMar>
        <w:left w:w="0" w:type="dxa"/>
        <w:top w:w="0" w:type="dxa"/>
        <w:right w:w="0" w:type="dxa"/>
        <w:bottom w:w="0" w:type="dxa"/>
      </w:tblCellMar>
    </w:tblPr>
  </w:style>
  <w:style w:type="table" w:styleId="991" w:customStyle="1">
    <w:name w:val="Grid Table 7 Colorful - Accent 6"/>
    <w:uiPriority w:val="99"/>
    <w:qFormat/>
    <w:rPr>
      <w:rFonts w:ascii="Times New Roman" w:hAnsi="Times New Roman"/>
    </w:rPr>
    <w:tblPr>
      <w:tblCellMar>
        <w:left w:w="0" w:type="dxa"/>
        <w:top w:w="0" w:type="dxa"/>
        <w:right w:w="0" w:type="dxa"/>
        <w:bottom w:w="0" w:type="dxa"/>
      </w:tblCellMar>
    </w:tblPr>
  </w:style>
  <w:style w:type="table" w:styleId="992" w:customStyle="1">
    <w:name w:val="List Table 1 Light"/>
    <w:uiPriority w:val="99"/>
    <w:qFormat/>
    <w:rPr>
      <w:rFonts w:ascii="Times New Roman" w:hAnsi="Times New Roman"/>
    </w:rPr>
    <w:tblPr>
      <w:tblCellMar>
        <w:left w:w="0" w:type="dxa"/>
        <w:top w:w="0" w:type="dxa"/>
        <w:right w:w="0" w:type="dxa"/>
        <w:bottom w:w="0" w:type="dxa"/>
      </w:tblCellMar>
    </w:tblPr>
  </w:style>
  <w:style w:type="table" w:styleId="993" w:customStyle="1">
    <w:name w:val="List Table 1 Light - Accent 1"/>
    <w:uiPriority w:val="99"/>
    <w:qFormat/>
    <w:rPr>
      <w:rFonts w:ascii="Times New Roman" w:hAnsi="Times New Roman"/>
    </w:rPr>
    <w:tblPr>
      <w:tblCellMar>
        <w:left w:w="0" w:type="dxa"/>
        <w:top w:w="0" w:type="dxa"/>
        <w:right w:w="0" w:type="dxa"/>
        <w:bottom w:w="0" w:type="dxa"/>
      </w:tblCellMar>
    </w:tblPr>
  </w:style>
  <w:style w:type="table" w:styleId="994" w:customStyle="1">
    <w:name w:val="List Table 1 Light - Accent 2"/>
    <w:uiPriority w:val="99"/>
    <w:qFormat/>
    <w:rPr>
      <w:rFonts w:ascii="Times New Roman" w:hAnsi="Times New Roman"/>
    </w:rPr>
    <w:tblPr>
      <w:tblCellMar>
        <w:left w:w="0" w:type="dxa"/>
        <w:top w:w="0" w:type="dxa"/>
        <w:right w:w="0" w:type="dxa"/>
        <w:bottom w:w="0" w:type="dxa"/>
      </w:tblCellMar>
    </w:tblPr>
  </w:style>
  <w:style w:type="table" w:styleId="995" w:customStyle="1">
    <w:name w:val="List Table 1 Light - Accent 3"/>
    <w:uiPriority w:val="99"/>
    <w:qFormat/>
    <w:rPr>
      <w:rFonts w:ascii="Times New Roman" w:hAnsi="Times New Roman"/>
    </w:rPr>
    <w:tblPr>
      <w:tblCellMar>
        <w:left w:w="0" w:type="dxa"/>
        <w:top w:w="0" w:type="dxa"/>
        <w:right w:w="0" w:type="dxa"/>
        <w:bottom w:w="0" w:type="dxa"/>
      </w:tblCellMar>
    </w:tblPr>
  </w:style>
  <w:style w:type="table" w:styleId="996" w:customStyle="1">
    <w:name w:val="List Table 1 Light - Accent 4"/>
    <w:uiPriority w:val="99"/>
    <w:qFormat/>
    <w:rPr>
      <w:rFonts w:ascii="Times New Roman" w:hAnsi="Times New Roman"/>
    </w:rPr>
    <w:tblPr>
      <w:tblCellMar>
        <w:left w:w="0" w:type="dxa"/>
        <w:top w:w="0" w:type="dxa"/>
        <w:right w:w="0" w:type="dxa"/>
        <w:bottom w:w="0" w:type="dxa"/>
      </w:tblCellMar>
    </w:tblPr>
  </w:style>
  <w:style w:type="table" w:styleId="997" w:customStyle="1">
    <w:name w:val="List Table 1 Light - Accent 5"/>
    <w:uiPriority w:val="99"/>
    <w:qFormat/>
    <w:rPr>
      <w:rFonts w:ascii="Times New Roman" w:hAnsi="Times New Roman"/>
    </w:rPr>
    <w:tblPr>
      <w:tblCellMar>
        <w:left w:w="0" w:type="dxa"/>
        <w:top w:w="0" w:type="dxa"/>
        <w:right w:w="0" w:type="dxa"/>
        <w:bottom w:w="0" w:type="dxa"/>
      </w:tblCellMar>
    </w:tblPr>
  </w:style>
  <w:style w:type="table" w:styleId="998" w:customStyle="1">
    <w:name w:val="List Table 1 Light - Accent 6"/>
    <w:uiPriority w:val="99"/>
    <w:qFormat/>
    <w:rPr>
      <w:rFonts w:ascii="Times New Roman" w:hAnsi="Times New Roman"/>
    </w:rPr>
    <w:tblPr>
      <w:tblCellMar>
        <w:left w:w="0" w:type="dxa"/>
        <w:top w:w="0" w:type="dxa"/>
        <w:right w:w="0" w:type="dxa"/>
        <w:bottom w:w="0" w:type="dxa"/>
      </w:tblCellMar>
    </w:tblPr>
  </w:style>
  <w:style w:type="table" w:styleId="999" w:customStyle="1">
    <w:name w:val="List Table 2"/>
    <w:uiPriority w:val="99"/>
    <w:qFormat/>
    <w:rPr>
      <w:rFonts w:ascii="Times New Roman" w:hAnsi="Times New Roman"/>
    </w:rPr>
    <w:tblPr>
      <w:tblCellMar>
        <w:left w:w="0" w:type="dxa"/>
        <w:top w:w="0" w:type="dxa"/>
        <w:right w:w="0" w:type="dxa"/>
        <w:bottom w:w="0" w:type="dxa"/>
      </w:tblCellMar>
    </w:tblPr>
  </w:style>
  <w:style w:type="table" w:styleId="1000" w:customStyle="1">
    <w:name w:val="List Table 2 - Accent 1"/>
    <w:uiPriority w:val="99"/>
    <w:qFormat/>
    <w:rPr>
      <w:rFonts w:ascii="Times New Roman" w:hAnsi="Times New Roman"/>
    </w:rPr>
    <w:tblPr>
      <w:tblCellMar>
        <w:left w:w="0" w:type="dxa"/>
        <w:top w:w="0" w:type="dxa"/>
        <w:right w:w="0" w:type="dxa"/>
        <w:bottom w:w="0" w:type="dxa"/>
      </w:tblCellMar>
    </w:tblPr>
  </w:style>
  <w:style w:type="table" w:styleId="1001" w:customStyle="1">
    <w:name w:val="List Table 2 - Accent 2"/>
    <w:uiPriority w:val="99"/>
    <w:qFormat/>
    <w:rPr>
      <w:rFonts w:ascii="Times New Roman" w:hAnsi="Times New Roman"/>
    </w:rPr>
    <w:tblPr>
      <w:tblCellMar>
        <w:left w:w="0" w:type="dxa"/>
        <w:top w:w="0" w:type="dxa"/>
        <w:right w:w="0" w:type="dxa"/>
        <w:bottom w:w="0" w:type="dxa"/>
      </w:tblCellMar>
    </w:tblPr>
  </w:style>
  <w:style w:type="table" w:styleId="1002" w:customStyle="1">
    <w:name w:val="List Table 2 - Accent 3"/>
    <w:uiPriority w:val="99"/>
    <w:qFormat/>
    <w:rPr>
      <w:rFonts w:ascii="Times New Roman" w:hAnsi="Times New Roman"/>
    </w:rPr>
    <w:tblPr>
      <w:tblCellMar>
        <w:left w:w="0" w:type="dxa"/>
        <w:top w:w="0" w:type="dxa"/>
        <w:right w:w="0" w:type="dxa"/>
        <w:bottom w:w="0" w:type="dxa"/>
      </w:tblCellMar>
    </w:tblPr>
  </w:style>
  <w:style w:type="table" w:styleId="1003" w:customStyle="1">
    <w:name w:val="List Table 2 - Accent 4"/>
    <w:uiPriority w:val="99"/>
    <w:qFormat/>
    <w:rPr>
      <w:rFonts w:ascii="Times New Roman" w:hAnsi="Times New Roman"/>
    </w:rPr>
    <w:tblPr>
      <w:tblCellMar>
        <w:left w:w="0" w:type="dxa"/>
        <w:top w:w="0" w:type="dxa"/>
        <w:right w:w="0" w:type="dxa"/>
        <w:bottom w:w="0" w:type="dxa"/>
      </w:tblCellMar>
    </w:tblPr>
  </w:style>
  <w:style w:type="table" w:styleId="1004" w:customStyle="1">
    <w:name w:val="List Table 2 - Accent 5"/>
    <w:uiPriority w:val="99"/>
    <w:qFormat/>
    <w:rPr>
      <w:rFonts w:ascii="Times New Roman" w:hAnsi="Times New Roman"/>
    </w:rPr>
    <w:tblPr>
      <w:tblCellMar>
        <w:left w:w="0" w:type="dxa"/>
        <w:top w:w="0" w:type="dxa"/>
        <w:right w:w="0" w:type="dxa"/>
        <w:bottom w:w="0" w:type="dxa"/>
      </w:tblCellMar>
    </w:tblPr>
  </w:style>
  <w:style w:type="table" w:styleId="1005" w:customStyle="1">
    <w:name w:val="List Table 2 - Accent 6"/>
    <w:uiPriority w:val="99"/>
    <w:qFormat/>
    <w:rPr>
      <w:rFonts w:ascii="Times New Roman" w:hAnsi="Times New Roman"/>
    </w:rPr>
    <w:tblPr>
      <w:tblCellMar>
        <w:left w:w="0" w:type="dxa"/>
        <w:top w:w="0" w:type="dxa"/>
        <w:right w:w="0" w:type="dxa"/>
        <w:bottom w:w="0" w:type="dxa"/>
      </w:tblCellMar>
    </w:tblPr>
  </w:style>
  <w:style w:type="table" w:styleId="1006" w:customStyle="1">
    <w:name w:val="List Table 3"/>
    <w:uiPriority w:val="99"/>
    <w:qFormat/>
    <w:rPr>
      <w:rFonts w:ascii="Times New Roman" w:hAnsi="Times New Roman"/>
    </w:rPr>
    <w:tblPr>
      <w:tblCellMar>
        <w:left w:w="0" w:type="dxa"/>
        <w:top w:w="0" w:type="dxa"/>
        <w:right w:w="0" w:type="dxa"/>
        <w:bottom w:w="0" w:type="dxa"/>
      </w:tblCellMar>
    </w:tblPr>
  </w:style>
  <w:style w:type="table" w:styleId="1007" w:customStyle="1">
    <w:name w:val="List Table 3 - Accent 1"/>
    <w:uiPriority w:val="99"/>
    <w:qFormat/>
    <w:rPr>
      <w:rFonts w:ascii="Times New Roman" w:hAnsi="Times New Roman"/>
    </w:rPr>
    <w:tblPr>
      <w:tblCellMar>
        <w:left w:w="0" w:type="dxa"/>
        <w:top w:w="0" w:type="dxa"/>
        <w:right w:w="0" w:type="dxa"/>
        <w:bottom w:w="0" w:type="dxa"/>
      </w:tblCellMar>
    </w:tblPr>
  </w:style>
  <w:style w:type="table" w:styleId="1008" w:customStyle="1">
    <w:name w:val="List Table 3 - Accent 2"/>
    <w:uiPriority w:val="99"/>
    <w:qFormat/>
    <w:rPr>
      <w:rFonts w:ascii="Times New Roman" w:hAnsi="Times New Roman"/>
    </w:rPr>
    <w:tblPr>
      <w:tblCellMar>
        <w:left w:w="0" w:type="dxa"/>
        <w:top w:w="0" w:type="dxa"/>
        <w:right w:w="0" w:type="dxa"/>
        <w:bottom w:w="0" w:type="dxa"/>
      </w:tblCellMar>
    </w:tblPr>
  </w:style>
  <w:style w:type="table" w:styleId="1009" w:customStyle="1">
    <w:name w:val="List Table 3 - Accent 3"/>
    <w:uiPriority w:val="99"/>
    <w:qFormat/>
    <w:rPr>
      <w:rFonts w:ascii="Times New Roman" w:hAnsi="Times New Roman"/>
    </w:rPr>
    <w:tblPr>
      <w:tblCellMar>
        <w:left w:w="0" w:type="dxa"/>
        <w:top w:w="0" w:type="dxa"/>
        <w:right w:w="0" w:type="dxa"/>
        <w:bottom w:w="0" w:type="dxa"/>
      </w:tblCellMar>
    </w:tblPr>
  </w:style>
  <w:style w:type="table" w:styleId="1010" w:customStyle="1">
    <w:name w:val="List Table 3 - Accent 4"/>
    <w:uiPriority w:val="99"/>
    <w:qFormat/>
    <w:rPr>
      <w:rFonts w:ascii="Times New Roman" w:hAnsi="Times New Roman"/>
    </w:rPr>
    <w:tblPr>
      <w:tblCellMar>
        <w:left w:w="0" w:type="dxa"/>
        <w:top w:w="0" w:type="dxa"/>
        <w:right w:w="0" w:type="dxa"/>
        <w:bottom w:w="0" w:type="dxa"/>
      </w:tblCellMar>
    </w:tblPr>
  </w:style>
  <w:style w:type="table" w:styleId="1011" w:customStyle="1">
    <w:name w:val="List Table 3 - Accent 5"/>
    <w:uiPriority w:val="99"/>
    <w:qFormat/>
    <w:rPr>
      <w:rFonts w:ascii="Times New Roman" w:hAnsi="Times New Roman"/>
    </w:rPr>
    <w:tblPr>
      <w:tblCellMar>
        <w:left w:w="0" w:type="dxa"/>
        <w:top w:w="0" w:type="dxa"/>
        <w:right w:w="0" w:type="dxa"/>
        <w:bottom w:w="0" w:type="dxa"/>
      </w:tblCellMar>
    </w:tblPr>
  </w:style>
  <w:style w:type="table" w:styleId="1012" w:customStyle="1">
    <w:name w:val="List Table 3 - Accent 6"/>
    <w:uiPriority w:val="99"/>
    <w:qFormat/>
    <w:rPr>
      <w:rFonts w:ascii="Times New Roman" w:hAnsi="Times New Roman"/>
    </w:rPr>
    <w:tblPr>
      <w:tblCellMar>
        <w:left w:w="0" w:type="dxa"/>
        <w:top w:w="0" w:type="dxa"/>
        <w:right w:w="0" w:type="dxa"/>
        <w:bottom w:w="0" w:type="dxa"/>
      </w:tblCellMar>
    </w:tblPr>
  </w:style>
  <w:style w:type="table" w:styleId="1013" w:customStyle="1">
    <w:name w:val="List Table 4"/>
    <w:uiPriority w:val="99"/>
    <w:qFormat/>
    <w:rPr>
      <w:rFonts w:ascii="Times New Roman" w:hAnsi="Times New Roman"/>
    </w:rPr>
    <w:tblPr>
      <w:tblCellMar>
        <w:left w:w="0" w:type="dxa"/>
        <w:top w:w="0" w:type="dxa"/>
        <w:right w:w="0" w:type="dxa"/>
        <w:bottom w:w="0" w:type="dxa"/>
      </w:tblCellMar>
    </w:tblPr>
  </w:style>
  <w:style w:type="table" w:styleId="1014" w:customStyle="1">
    <w:name w:val="List Table 4 - Accent 1"/>
    <w:uiPriority w:val="99"/>
    <w:qFormat/>
    <w:rPr>
      <w:rFonts w:ascii="Times New Roman" w:hAnsi="Times New Roman"/>
    </w:rPr>
    <w:tblPr>
      <w:tblCellMar>
        <w:left w:w="0" w:type="dxa"/>
        <w:top w:w="0" w:type="dxa"/>
        <w:right w:w="0" w:type="dxa"/>
        <w:bottom w:w="0" w:type="dxa"/>
      </w:tblCellMar>
    </w:tblPr>
  </w:style>
  <w:style w:type="table" w:styleId="1015" w:customStyle="1">
    <w:name w:val="List Table 4 - Accent 2"/>
    <w:uiPriority w:val="99"/>
    <w:qFormat/>
    <w:rPr>
      <w:rFonts w:ascii="Times New Roman" w:hAnsi="Times New Roman"/>
    </w:rPr>
    <w:tblPr>
      <w:tblCellMar>
        <w:left w:w="0" w:type="dxa"/>
        <w:top w:w="0" w:type="dxa"/>
        <w:right w:w="0" w:type="dxa"/>
        <w:bottom w:w="0" w:type="dxa"/>
      </w:tblCellMar>
    </w:tblPr>
  </w:style>
  <w:style w:type="table" w:styleId="1016" w:customStyle="1">
    <w:name w:val="List Table 4 - Accent 3"/>
    <w:uiPriority w:val="99"/>
    <w:qFormat/>
    <w:rPr>
      <w:rFonts w:ascii="Times New Roman" w:hAnsi="Times New Roman"/>
    </w:rPr>
    <w:tblPr>
      <w:tblCellMar>
        <w:left w:w="0" w:type="dxa"/>
        <w:top w:w="0" w:type="dxa"/>
        <w:right w:w="0" w:type="dxa"/>
        <w:bottom w:w="0" w:type="dxa"/>
      </w:tblCellMar>
    </w:tblPr>
  </w:style>
  <w:style w:type="table" w:styleId="1017" w:customStyle="1">
    <w:name w:val="List Table 4 - Accent 4"/>
    <w:uiPriority w:val="99"/>
    <w:qFormat/>
    <w:rPr>
      <w:rFonts w:ascii="Times New Roman" w:hAnsi="Times New Roman"/>
    </w:rPr>
    <w:tblPr>
      <w:tblCellMar>
        <w:left w:w="0" w:type="dxa"/>
        <w:top w:w="0" w:type="dxa"/>
        <w:right w:w="0" w:type="dxa"/>
        <w:bottom w:w="0" w:type="dxa"/>
      </w:tblCellMar>
    </w:tblPr>
  </w:style>
  <w:style w:type="table" w:styleId="1018" w:customStyle="1">
    <w:name w:val="List Table 4 - Accent 5"/>
    <w:uiPriority w:val="99"/>
    <w:qFormat/>
    <w:rPr>
      <w:rFonts w:ascii="Times New Roman" w:hAnsi="Times New Roman"/>
    </w:rPr>
    <w:tblPr>
      <w:tblCellMar>
        <w:left w:w="0" w:type="dxa"/>
        <w:top w:w="0" w:type="dxa"/>
        <w:right w:w="0" w:type="dxa"/>
        <w:bottom w:w="0" w:type="dxa"/>
      </w:tblCellMar>
    </w:tblPr>
  </w:style>
  <w:style w:type="table" w:styleId="1019" w:customStyle="1">
    <w:name w:val="List Table 4 - Accent 6"/>
    <w:uiPriority w:val="99"/>
    <w:qFormat/>
    <w:rPr>
      <w:rFonts w:ascii="Times New Roman" w:hAnsi="Times New Roman"/>
    </w:rPr>
    <w:tblPr>
      <w:tblCellMar>
        <w:left w:w="0" w:type="dxa"/>
        <w:top w:w="0" w:type="dxa"/>
        <w:right w:w="0" w:type="dxa"/>
        <w:bottom w:w="0" w:type="dxa"/>
      </w:tblCellMar>
    </w:tblPr>
  </w:style>
  <w:style w:type="table" w:styleId="1020" w:customStyle="1">
    <w:name w:val="List Table 5 Dark"/>
    <w:uiPriority w:val="99"/>
    <w:qFormat/>
    <w:rPr>
      <w:rFonts w:ascii="Times New Roman" w:hAnsi="Times New Roman"/>
    </w:rPr>
    <w:tblPr>
      <w:tblCellMar>
        <w:left w:w="0" w:type="dxa"/>
        <w:top w:w="0" w:type="dxa"/>
        <w:right w:w="0" w:type="dxa"/>
        <w:bottom w:w="0" w:type="dxa"/>
      </w:tblCellMar>
    </w:tblPr>
  </w:style>
  <w:style w:type="table" w:styleId="1021" w:customStyle="1">
    <w:name w:val="List Table 5 Dark - Accent 1"/>
    <w:uiPriority w:val="99"/>
    <w:qFormat/>
    <w:rPr>
      <w:rFonts w:ascii="Times New Roman" w:hAnsi="Times New Roman"/>
    </w:rPr>
    <w:tblPr>
      <w:tblCellMar>
        <w:left w:w="0" w:type="dxa"/>
        <w:top w:w="0" w:type="dxa"/>
        <w:right w:w="0" w:type="dxa"/>
        <w:bottom w:w="0" w:type="dxa"/>
      </w:tblCellMar>
    </w:tblPr>
  </w:style>
  <w:style w:type="table" w:styleId="1022" w:customStyle="1">
    <w:name w:val="List Table 5 Dark - Accent 2"/>
    <w:uiPriority w:val="99"/>
    <w:qFormat/>
    <w:rPr>
      <w:rFonts w:ascii="Times New Roman" w:hAnsi="Times New Roman"/>
    </w:rPr>
    <w:tblPr>
      <w:tblCellMar>
        <w:left w:w="0" w:type="dxa"/>
        <w:top w:w="0" w:type="dxa"/>
        <w:right w:w="0" w:type="dxa"/>
        <w:bottom w:w="0" w:type="dxa"/>
      </w:tblCellMar>
    </w:tblPr>
  </w:style>
  <w:style w:type="table" w:styleId="1023" w:customStyle="1">
    <w:name w:val="List Table 5 Dark - Accent 3"/>
    <w:uiPriority w:val="99"/>
    <w:qFormat/>
    <w:rPr>
      <w:rFonts w:ascii="Times New Roman" w:hAnsi="Times New Roman"/>
    </w:rPr>
    <w:tblPr>
      <w:tblCellMar>
        <w:left w:w="0" w:type="dxa"/>
        <w:top w:w="0" w:type="dxa"/>
        <w:right w:w="0" w:type="dxa"/>
        <w:bottom w:w="0" w:type="dxa"/>
      </w:tblCellMar>
    </w:tblPr>
  </w:style>
  <w:style w:type="table" w:styleId="1024" w:customStyle="1">
    <w:name w:val="List Table 5 Dark - Accent 4"/>
    <w:uiPriority w:val="99"/>
    <w:qFormat/>
    <w:rPr>
      <w:rFonts w:ascii="Times New Roman" w:hAnsi="Times New Roman"/>
    </w:rPr>
    <w:tblPr>
      <w:tblCellMar>
        <w:left w:w="0" w:type="dxa"/>
        <w:top w:w="0" w:type="dxa"/>
        <w:right w:w="0" w:type="dxa"/>
        <w:bottom w:w="0" w:type="dxa"/>
      </w:tblCellMar>
    </w:tblPr>
  </w:style>
  <w:style w:type="table" w:styleId="1025" w:customStyle="1">
    <w:name w:val="List Table 5 Dark - Accent 5"/>
    <w:uiPriority w:val="99"/>
    <w:qFormat/>
    <w:rPr>
      <w:rFonts w:ascii="Times New Roman" w:hAnsi="Times New Roman"/>
    </w:rPr>
    <w:tblPr>
      <w:tblCellMar>
        <w:left w:w="0" w:type="dxa"/>
        <w:top w:w="0" w:type="dxa"/>
        <w:right w:w="0" w:type="dxa"/>
        <w:bottom w:w="0" w:type="dxa"/>
      </w:tblCellMar>
    </w:tblPr>
  </w:style>
  <w:style w:type="table" w:styleId="1026" w:customStyle="1">
    <w:name w:val="List Table 5 Dark - Accent 6"/>
    <w:uiPriority w:val="99"/>
    <w:qFormat/>
    <w:rPr>
      <w:rFonts w:ascii="Times New Roman" w:hAnsi="Times New Roman"/>
    </w:rPr>
    <w:tblPr>
      <w:tblCellMar>
        <w:left w:w="0" w:type="dxa"/>
        <w:top w:w="0" w:type="dxa"/>
        <w:right w:w="0" w:type="dxa"/>
        <w:bottom w:w="0" w:type="dxa"/>
      </w:tblCellMar>
    </w:tblPr>
  </w:style>
  <w:style w:type="table" w:styleId="1027" w:customStyle="1">
    <w:name w:val="List Table 6 Colorful"/>
    <w:uiPriority w:val="99"/>
    <w:qFormat/>
    <w:rPr>
      <w:rFonts w:ascii="Times New Roman" w:hAnsi="Times New Roman"/>
    </w:rPr>
    <w:tblPr>
      <w:tblCellMar>
        <w:left w:w="0" w:type="dxa"/>
        <w:top w:w="0" w:type="dxa"/>
        <w:right w:w="0" w:type="dxa"/>
        <w:bottom w:w="0" w:type="dxa"/>
      </w:tblCellMar>
    </w:tblPr>
  </w:style>
  <w:style w:type="table" w:styleId="1028" w:customStyle="1">
    <w:name w:val="List Table 6 Colorful - Accent 1"/>
    <w:uiPriority w:val="99"/>
    <w:qFormat/>
    <w:rPr>
      <w:rFonts w:ascii="Times New Roman" w:hAnsi="Times New Roman"/>
    </w:rPr>
    <w:tblPr>
      <w:tblCellMar>
        <w:left w:w="0" w:type="dxa"/>
        <w:top w:w="0" w:type="dxa"/>
        <w:right w:w="0" w:type="dxa"/>
        <w:bottom w:w="0" w:type="dxa"/>
      </w:tblCellMar>
    </w:tblPr>
  </w:style>
  <w:style w:type="table" w:styleId="1029" w:customStyle="1">
    <w:name w:val="List Table 6 Colorful - Accent 2"/>
    <w:uiPriority w:val="99"/>
    <w:qFormat/>
    <w:rPr>
      <w:rFonts w:ascii="Times New Roman" w:hAnsi="Times New Roman"/>
    </w:rPr>
    <w:tblPr>
      <w:tblCellMar>
        <w:left w:w="0" w:type="dxa"/>
        <w:top w:w="0" w:type="dxa"/>
        <w:right w:w="0" w:type="dxa"/>
        <w:bottom w:w="0" w:type="dxa"/>
      </w:tblCellMar>
    </w:tblPr>
  </w:style>
  <w:style w:type="table" w:styleId="1030" w:customStyle="1">
    <w:name w:val="List Table 6 Colorful - Accent 3"/>
    <w:uiPriority w:val="99"/>
    <w:qFormat/>
    <w:rPr>
      <w:rFonts w:ascii="Times New Roman" w:hAnsi="Times New Roman"/>
    </w:rPr>
    <w:tblPr>
      <w:tblCellMar>
        <w:left w:w="0" w:type="dxa"/>
        <w:top w:w="0" w:type="dxa"/>
        <w:right w:w="0" w:type="dxa"/>
        <w:bottom w:w="0" w:type="dxa"/>
      </w:tblCellMar>
    </w:tblPr>
  </w:style>
  <w:style w:type="table" w:styleId="1031" w:customStyle="1">
    <w:name w:val="List Table 6 Colorful - Accent 4"/>
    <w:uiPriority w:val="99"/>
    <w:qFormat/>
    <w:rPr>
      <w:rFonts w:ascii="Times New Roman" w:hAnsi="Times New Roman"/>
    </w:rPr>
    <w:tblPr>
      <w:tblCellMar>
        <w:left w:w="0" w:type="dxa"/>
        <w:top w:w="0" w:type="dxa"/>
        <w:right w:w="0" w:type="dxa"/>
        <w:bottom w:w="0" w:type="dxa"/>
      </w:tblCellMar>
    </w:tblPr>
  </w:style>
  <w:style w:type="table" w:styleId="1032" w:customStyle="1">
    <w:name w:val="List Table 6 Colorful - Accent 5"/>
    <w:uiPriority w:val="99"/>
    <w:qFormat/>
    <w:rPr>
      <w:rFonts w:ascii="Times New Roman" w:hAnsi="Times New Roman"/>
    </w:rPr>
    <w:tblPr>
      <w:tblCellMar>
        <w:left w:w="0" w:type="dxa"/>
        <w:top w:w="0" w:type="dxa"/>
        <w:right w:w="0" w:type="dxa"/>
        <w:bottom w:w="0" w:type="dxa"/>
      </w:tblCellMar>
    </w:tblPr>
  </w:style>
  <w:style w:type="table" w:styleId="1033" w:customStyle="1">
    <w:name w:val="List Table 6 Colorful - Accent 6"/>
    <w:uiPriority w:val="99"/>
    <w:qFormat/>
    <w:rPr>
      <w:rFonts w:ascii="Times New Roman" w:hAnsi="Times New Roman"/>
    </w:rPr>
    <w:tblPr>
      <w:tblCellMar>
        <w:left w:w="0" w:type="dxa"/>
        <w:top w:w="0" w:type="dxa"/>
        <w:right w:w="0" w:type="dxa"/>
        <w:bottom w:w="0" w:type="dxa"/>
      </w:tblCellMar>
    </w:tblPr>
  </w:style>
  <w:style w:type="table" w:styleId="1034" w:customStyle="1">
    <w:name w:val="List Table 7 Colorful"/>
    <w:uiPriority w:val="99"/>
    <w:qFormat/>
    <w:rPr>
      <w:rFonts w:ascii="Times New Roman" w:hAnsi="Times New Roman"/>
    </w:rPr>
    <w:tblPr>
      <w:tblCellMar>
        <w:left w:w="0" w:type="dxa"/>
        <w:top w:w="0" w:type="dxa"/>
        <w:right w:w="0" w:type="dxa"/>
        <w:bottom w:w="0" w:type="dxa"/>
      </w:tblCellMar>
    </w:tblPr>
  </w:style>
  <w:style w:type="table" w:styleId="1035" w:customStyle="1">
    <w:name w:val="List Table 7 Colorful - Accent 1"/>
    <w:uiPriority w:val="99"/>
    <w:qFormat/>
    <w:rPr>
      <w:rFonts w:ascii="Times New Roman" w:hAnsi="Times New Roman"/>
    </w:rPr>
    <w:tblPr>
      <w:tblCellMar>
        <w:left w:w="0" w:type="dxa"/>
        <w:top w:w="0" w:type="dxa"/>
        <w:right w:w="0" w:type="dxa"/>
        <w:bottom w:w="0" w:type="dxa"/>
      </w:tblCellMar>
    </w:tblPr>
  </w:style>
  <w:style w:type="table" w:styleId="1036" w:customStyle="1">
    <w:name w:val="List Table 7 Colorful - Accent 2"/>
    <w:uiPriority w:val="99"/>
    <w:qFormat/>
    <w:rPr>
      <w:rFonts w:ascii="Times New Roman" w:hAnsi="Times New Roman"/>
    </w:rPr>
    <w:tblPr>
      <w:tblCellMar>
        <w:left w:w="0" w:type="dxa"/>
        <w:top w:w="0" w:type="dxa"/>
        <w:right w:w="0" w:type="dxa"/>
        <w:bottom w:w="0" w:type="dxa"/>
      </w:tblCellMar>
    </w:tblPr>
  </w:style>
  <w:style w:type="table" w:styleId="1037" w:customStyle="1">
    <w:name w:val="List Table 7 Colorful - Accent 3"/>
    <w:uiPriority w:val="99"/>
    <w:qFormat/>
    <w:rPr>
      <w:rFonts w:ascii="Times New Roman" w:hAnsi="Times New Roman"/>
    </w:rPr>
    <w:tblPr>
      <w:tblCellMar>
        <w:left w:w="0" w:type="dxa"/>
        <w:top w:w="0" w:type="dxa"/>
        <w:right w:w="0" w:type="dxa"/>
        <w:bottom w:w="0" w:type="dxa"/>
      </w:tblCellMar>
    </w:tblPr>
  </w:style>
  <w:style w:type="table" w:styleId="1038" w:customStyle="1">
    <w:name w:val="List Table 7 Colorful - Accent 4"/>
    <w:uiPriority w:val="99"/>
    <w:qFormat/>
    <w:rPr>
      <w:rFonts w:ascii="Times New Roman" w:hAnsi="Times New Roman"/>
    </w:rPr>
    <w:tblPr>
      <w:tblCellMar>
        <w:left w:w="0" w:type="dxa"/>
        <w:top w:w="0" w:type="dxa"/>
        <w:right w:w="0" w:type="dxa"/>
        <w:bottom w:w="0" w:type="dxa"/>
      </w:tblCellMar>
    </w:tblPr>
  </w:style>
  <w:style w:type="table" w:styleId="1039" w:customStyle="1">
    <w:name w:val="List Table 7 Colorful - Accent 5"/>
    <w:uiPriority w:val="99"/>
    <w:qFormat/>
    <w:rPr>
      <w:rFonts w:ascii="Times New Roman" w:hAnsi="Times New Roman"/>
    </w:rPr>
    <w:tblPr>
      <w:tblCellMar>
        <w:left w:w="0" w:type="dxa"/>
        <w:top w:w="0" w:type="dxa"/>
        <w:right w:w="0" w:type="dxa"/>
        <w:bottom w:w="0" w:type="dxa"/>
      </w:tblCellMar>
    </w:tblPr>
  </w:style>
  <w:style w:type="table" w:styleId="1040" w:customStyle="1">
    <w:name w:val="List Table 7 Colorful - Accent 6"/>
    <w:uiPriority w:val="99"/>
    <w:qFormat/>
    <w:rPr>
      <w:rFonts w:ascii="Times New Roman" w:hAnsi="Times New Roman"/>
    </w:rPr>
    <w:tblPr>
      <w:tblCellMar>
        <w:left w:w="0" w:type="dxa"/>
        <w:top w:w="0" w:type="dxa"/>
        <w:right w:w="0" w:type="dxa"/>
        <w:bottom w:w="0" w:type="dxa"/>
      </w:tblCellMar>
    </w:tblPr>
  </w:style>
  <w:style w:type="table" w:styleId="1041" w:customStyle="1">
    <w:name w:val="Lined - Accent"/>
    <w:uiPriority w:val="99"/>
    <w:qFormat/>
    <w:rPr>
      <w:rFonts w:ascii="Times New Roman" w:hAnsi="Times New Roman"/>
      <w:color w:val="404040"/>
    </w:rPr>
    <w:tblPr>
      <w:tblCellMar>
        <w:left w:w="0" w:type="dxa"/>
        <w:top w:w="0" w:type="dxa"/>
        <w:right w:w="0" w:type="dxa"/>
        <w:bottom w:w="0" w:type="dxa"/>
      </w:tblCellMar>
    </w:tblPr>
  </w:style>
  <w:style w:type="table" w:styleId="1042" w:customStyle="1">
    <w:name w:val="Lined - Accent 1"/>
    <w:uiPriority w:val="99"/>
    <w:qFormat/>
    <w:rPr>
      <w:rFonts w:ascii="Times New Roman" w:hAnsi="Times New Roman"/>
      <w:color w:val="404040"/>
    </w:rPr>
    <w:tblPr>
      <w:tblCellMar>
        <w:left w:w="0" w:type="dxa"/>
        <w:top w:w="0" w:type="dxa"/>
        <w:right w:w="0" w:type="dxa"/>
        <w:bottom w:w="0" w:type="dxa"/>
      </w:tblCellMar>
    </w:tblPr>
  </w:style>
  <w:style w:type="table" w:styleId="1043" w:customStyle="1">
    <w:name w:val="Lined - Accent 2"/>
    <w:uiPriority w:val="99"/>
    <w:qFormat/>
    <w:rPr>
      <w:rFonts w:ascii="Times New Roman" w:hAnsi="Times New Roman"/>
      <w:color w:val="404040"/>
    </w:rPr>
    <w:tblPr>
      <w:tblCellMar>
        <w:left w:w="0" w:type="dxa"/>
        <w:top w:w="0" w:type="dxa"/>
        <w:right w:w="0" w:type="dxa"/>
        <w:bottom w:w="0" w:type="dxa"/>
      </w:tblCellMar>
    </w:tblPr>
  </w:style>
  <w:style w:type="table" w:styleId="1044" w:customStyle="1">
    <w:name w:val="Lined - Accent 3"/>
    <w:uiPriority w:val="99"/>
    <w:qFormat/>
    <w:rPr>
      <w:rFonts w:ascii="Times New Roman" w:hAnsi="Times New Roman"/>
      <w:color w:val="404040"/>
    </w:rPr>
    <w:tblPr>
      <w:tblCellMar>
        <w:left w:w="0" w:type="dxa"/>
        <w:top w:w="0" w:type="dxa"/>
        <w:right w:w="0" w:type="dxa"/>
        <w:bottom w:w="0" w:type="dxa"/>
      </w:tblCellMar>
    </w:tblPr>
  </w:style>
  <w:style w:type="table" w:styleId="1045" w:customStyle="1">
    <w:name w:val="Lined - Accent 4"/>
    <w:uiPriority w:val="99"/>
    <w:qFormat/>
    <w:rPr>
      <w:rFonts w:ascii="Times New Roman" w:hAnsi="Times New Roman"/>
      <w:color w:val="404040"/>
    </w:rPr>
    <w:tblPr>
      <w:tblCellMar>
        <w:left w:w="0" w:type="dxa"/>
        <w:top w:w="0" w:type="dxa"/>
        <w:right w:w="0" w:type="dxa"/>
        <w:bottom w:w="0" w:type="dxa"/>
      </w:tblCellMar>
    </w:tblPr>
  </w:style>
  <w:style w:type="table" w:styleId="1046" w:customStyle="1">
    <w:name w:val="Lined - Accent 5"/>
    <w:uiPriority w:val="99"/>
    <w:qFormat/>
    <w:rPr>
      <w:rFonts w:ascii="Times New Roman" w:hAnsi="Times New Roman"/>
      <w:color w:val="404040"/>
    </w:rPr>
    <w:tblPr>
      <w:tblCellMar>
        <w:left w:w="0" w:type="dxa"/>
        <w:top w:w="0" w:type="dxa"/>
        <w:right w:w="0" w:type="dxa"/>
        <w:bottom w:w="0" w:type="dxa"/>
      </w:tblCellMar>
    </w:tblPr>
  </w:style>
  <w:style w:type="table" w:styleId="1047" w:customStyle="1">
    <w:name w:val="Lined - Accent 6"/>
    <w:uiPriority w:val="99"/>
    <w:qFormat/>
    <w:rPr>
      <w:rFonts w:ascii="Times New Roman" w:hAnsi="Times New Roman"/>
      <w:color w:val="404040"/>
    </w:rPr>
    <w:tblPr>
      <w:tblCellMar>
        <w:left w:w="0" w:type="dxa"/>
        <w:top w:w="0" w:type="dxa"/>
        <w:right w:w="0" w:type="dxa"/>
        <w:bottom w:w="0" w:type="dxa"/>
      </w:tblCellMar>
    </w:tblPr>
  </w:style>
  <w:style w:type="table" w:styleId="1048" w:customStyle="1">
    <w:name w:val="Bordered &amp; Lined - Accent"/>
    <w:uiPriority w:val="99"/>
    <w:qFormat/>
    <w:rPr>
      <w:rFonts w:ascii="Times New Roman" w:hAnsi="Times New Roman"/>
      <w:color w:val="404040"/>
    </w:rPr>
    <w:tblPr>
      <w:tblCellMar>
        <w:left w:w="0" w:type="dxa"/>
        <w:top w:w="0" w:type="dxa"/>
        <w:right w:w="0" w:type="dxa"/>
        <w:bottom w:w="0" w:type="dxa"/>
      </w:tblCellMar>
    </w:tblPr>
  </w:style>
  <w:style w:type="table" w:styleId="1049" w:customStyle="1">
    <w:name w:val="Bordered &amp; Lined - Accent 1"/>
    <w:uiPriority w:val="99"/>
    <w:qFormat/>
    <w:rPr>
      <w:rFonts w:ascii="Times New Roman" w:hAnsi="Times New Roman"/>
      <w:color w:val="404040"/>
    </w:rPr>
    <w:tblPr>
      <w:tblCellMar>
        <w:left w:w="0" w:type="dxa"/>
        <w:top w:w="0" w:type="dxa"/>
        <w:right w:w="0" w:type="dxa"/>
        <w:bottom w:w="0" w:type="dxa"/>
      </w:tblCellMar>
    </w:tblPr>
  </w:style>
  <w:style w:type="table" w:styleId="1050" w:customStyle="1">
    <w:name w:val="Bordered &amp; Lined - Accent 2"/>
    <w:uiPriority w:val="99"/>
    <w:qFormat/>
    <w:rPr>
      <w:rFonts w:ascii="Times New Roman" w:hAnsi="Times New Roman"/>
      <w:color w:val="404040"/>
    </w:rPr>
    <w:tblPr>
      <w:tblCellMar>
        <w:left w:w="0" w:type="dxa"/>
        <w:top w:w="0" w:type="dxa"/>
        <w:right w:w="0" w:type="dxa"/>
        <w:bottom w:w="0" w:type="dxa"/>
      </w:tblCellMar>
    </w:tblPr>
  </w:style>
  <w:style w:type="table" w:styleId="1051" w:customStyle="1">
    <w:name w:val="Bordered &amp; Lined - Accent 3"/>
    <w:uiPriority w:val="99"/>
    <w:qFormat/>
    <w:rPr>
      <w:rFonts w:ascii="Times New Roman" w:hAnsi="Times New Roman"/>
      <w:color w:val="404040"/>
    </w:rPr>
    <w:tblPr>
      <w:tblCellMar>
        <w:left w:w="0" w:type="dxa"/>
        <w:top w:w="0" w:type="dxa"/>
        <w:right w:w="0" w:type="dxa"/>
        <w:bottom w:w="0" w:type="dxa"/>
      </w:tblCellMar>
    </w:tblPr>
  </w:style>
  <w:style w:type="table" w:styleId="1052" w:customStyle="1">
    <w:name w:val="Bordered &amp; Lined - Accent 4"/>
    <w:uiPriority w:val="99"/>
    <w:qFormat/>
    <w:rPr>
      <w:rFonts w:ascii="Times New Roman" w:hAnsi="Times New Roman"/>
      <w:color w:val="404040"/>
    </w:rPr>
    <w:tblPr>
      <w:tblCellMar>
        <w:left w:w="0" w:type="dxa"/>
        <w:top w:w="0" w:type="dxa"/>
        <w:right w:w="0" w:type="dxa"/>
        <w:bottom w:w="0" w:type="dxa"/>
      </w:tblCellMar>
    </w:tblPr>
  </w:style>
  <w:style w:type="table" w:styleId="1053" w:customStyle="1">
    <w:name w:val="Bordered &amp; Lined - Accent 5"/>
    <w:uiPriority w:val="99"/>
    <w:qFormat/>
    <w:rPr>
      <w:rFonts w:ascii="Times New Roman" w:hAnsi="Times New Roman"/>
      <w:color w:val="404040"/>
    </w:rPr>
    <w:tblPr>
      <w:tblCellMar>
        <w:left w:w="0" w:type="dxa"/>
        <w:top w:w="0" w:type="dxa"/>
        <w:right w:w="0" w:type="dxa"/>
        <w:bottom w:w="0" w:type="dxa"/>
      </w:tblCellMar>
    </w:tblPr>
  </w:style>
  <w:style w:type="table" w:styleId="1054" w:customStyle="1">
    <w:name w:val="Bordered &amp; Lined - Accent 6"/>
    <w:uiPriority w:val="99"/>
    <w:qFormat/>
    <w:rPr>
      <w:rFonts w:ascii="Times New Roman" w:hAnsi="Times New Roman"/>
      <w:color w:val="404040"/>
    </w:rPr>
    <w:tblPr>
      <w:tblCellMar>
        <w:left w:w="0" w:type="dxa"/>
        <w:top w:w="0" w:type="dxa"/>
        <w:right w:w="0" w:type="dxa"/>
        <w:bottom w:w="0" w:type="dxa"/>
      </w:tblCellMar>
    </w:tblPr>
  </w:style>
  <w:style w:type="table" w:styleId="1055" w:customStyle="1">
    <w:name w:val="Bordered"/>
    <w:uiPriority w:val="99"/>
    <w:qFormat/>
    <w:rPr>
      <w:rFonts w:ascii="Times New Roman" w:hAnsi="Times New Roman"/>
    </w:rPr>
    <w:tblPr>
      <w:tblCellMar>
        <w:left w:w="0" w:type="dxa"/>
        <w:top w:w="0" w:type="dxa"/>
        <w:right w:w="0" w:type="dxa"/>
        <w:bottom w:w="0" w:type="dxa"/>
      </w:tblCellMar>
    </w:tblPr>
  </w:style>
  <w:style w:type="table" w:styleId="1056" w:customStyle="1">
    <w:name w:val="Bordered - Accent 1"/>
    <w:uiPriority w:val="99"/>
    <w:qFormat/>
    <w:rPr>
      <w:rFonts w:ascii="Times New Roman" w:hAnsi="Times New Roman"/>
    </w:rPr>
    <w:tblPr>
      <w:tblCellMar>
        <w:left w:w="0" w:type="dxa"/>
        <w:top w:w="0" w:type="dxa"/>
        <w:right w:w="0" w:type="dxa"/>
        <w:bottom w:w="0" w:type="dxa"/>
      </w:tblCellMar>
    </w:tblPr>
  </w:style>
  <w:style w:type="table" w:styleId="1057" w:customStyle="1">
    <w:name w:val="Bordered - Accent 2"/>
    <w:uiPriority w:val="99"/>
    <w:qFormat/>
    <w:rPr>
      <w:rFonts w:ascii="Times New Roman" w:hAnsi="Times New Roman"/>
    </w:rPr>
    <w:tblPr>
      <w:tblCellMar>
        <w:left w:w="0" w:type="dxa"/>
        <w:top w:w="0" w:type="dxa"/>
        <w:right w:w="0" w:type="dxa"/>
        <w:bottom w:w="0" w:type="dxa"/>
      </w:tblCellMar>
    </w:tblPr>
  </w:style>
  <w:style w:type="table" w:styleId="1058" w:customStyle="1">
    <w:name w:val="Bordered - Accent 3"/>
    <w:uiPriority w:val="99"/>
    <w:qFormat/>
    <w:rPr>
      <w:rFonts w:ascii="Times New Roman" w:hAnsi="Times New Roman"/>
    </w:rPr>
    <w:tblPr>
      <w:tblCellMar>
        <w:left w:w="0" w:type="dxa"/>
        <w:top w:w="0" w:type="dxa"/>
        <w:right w:w="0" w:type="dxa"/>
        <w:bottom w:w="0" w:type="dxa"/>
      </w:tblCellMar>
    </w:tblPr>
  </w:style>
  <w:style w:type="table" w:styleId="1059" w:customStyle="1">
    <w:name w:val="Bordered - Accent 4"/>
    <w:uiPriority w:val="99"/>
    <w:qFormat/>
    <w:rPr>
      <w:rFonts w:ascii="Times New Roman" w:hAnsi="Times New Roman"/>
    </w:rPr>
    <w:tblPr>
      <w:tblCellMar>
        <w:left w:w="0" w:type="dxa"/>
        <w:top w:w="0" w:type="dxa"/>
        <w:right w:w="0" w:type="dxa"/>
        <w:bottom w:w="0" w:type="dxa"/>
      </w:tblCellMar>
    </w:tblPr>
  </w:style>
  <w:style w:type="table" w:styleId="1060" w:customStyle="1">
    <w:name w:val="Bordered - Accent 5"/>
    <w:uiPriority w:val="99"/>
    <w:qFormat/>
    <w:rPr>
      <w:rFonts w:ascii="Times New Roman" w:hAnsi="Times New Roman"/>
    </w:rPr>
    <w:tblPr>
      <w:tblCellMar>
        <w:left w:w="0" w:type="dxa"/>
        <w:top w:w="0" w:type="dxa"/>
        <w:right w:w="0" w:type="dxa"/>
        <w:bottom w:w="0" w:type="dxa"/>
      </w:tblCellMar>
    </w:tblPr>
  </w:style>
  <w:style w:type="table" w:styleId="1061" w:customStyle="1">
    <w:name w:val="Bordered - Accent 6"/>
    <w:uiPriority w:val="99"/>
    <w:qFormat/>
    <w:rPr>
      <w:rFonts w:ascii="Times New Roman" w:hAnsi="Times New Roman"/>
    </w:rPr>
    <w:tblPr>
      <w:tblCellMar>
        <w:left w:w="0" w:type="dxa"/>
        <w:top w:w="0" w:type="dxa"/>
        <w:right w:w="0" w:type="dxa"/>
        <w:bottom w:w="0" w:type="dxa"/>
      </w:tblCellMar>
    </w:tblPr>
  </w:style>
  <w:style w:type="paragraph" w:styleId="1062" w:customStyle="1">
    <w:name w:val="TOC 标题1"/>
    <w:uiPriority w:val="39"/>
    <w:unhideWhenUsed/>
    <w:qFormat/>
    <w:rPr>
      <w:rFonts w:ascii="Times New Roman" w:hAnsi="Times New Roman"/>
    </w:rPr>
  </w:style>
  <w:style w:type="character" w:styleId="1063" w:customStyle="1">
    <w:name w:val="已访问的超链接1"/>
    <w:qFormat/>
    <w:rPr>
      <w:color w:val="800080"/>
      <w:u w:val="single"/>
    </w:rPr>
  </w:style>
  <w:style w:type="paragraph" w:styleId="1064" w:customStyle="1">
    <w:name w:val="Char1"/>
    <w:basedOn w:val="791"/>
    <w:qFormat/>
    <w:rPr>
      <w:rFonts w:ascii="Tahoma" w:hAnsi="Tahoma"/>
      <w:sz w:val="24"/>
      <w:szCs w:val="24"/>
    </w:rPr>
  </w:style>
  <w:style w:type="paragraph" w:styleId="1065" w:customStyle="1">
    <w:name w:val="Char Char Char Char Char Char Char Char Char Char1"/>
    <w:basedOn w:val="774"/>
    <w:qFormat/>
    <w:pPr>
      <w:spacing w:line="360" w:lineRule="auto"/>
    </w:pPr>
    <w:rPr>
      <w:sz w:val="24"/>
      <w:szCs w:val="20"/>
    </w:rPr>
  </w:style>
  <w:style w:type="paragraph" w:styleId="1066" w:customStyle="1">
    <w:name w:val="Char Char Char Char Char Char Char Char1"/>
    <w:basedOn w:val="774"/>
    <w:qFormat/>
    <w:pPr>
      <w:jc w:val="left"/>
      <w:spacing w:after="160" w:line="240" w:lineRule="exact"/>
      <w:widowControl/>
    </w:pPr>
    <w:rPr>
      <w:rFonts w:ascii="Verdana" w:hAnsi="Verdana"/>
      <w:sz w:val="20"/>
      <w:szCs w:val="20"/>
      <w:lang w:eastAsia="en-US"/>
    </w:rPr>
  </w:style>
  <w:style w:type="paragraph" w:styleId="1067" w:customStyle="1">
    <w:name w:val="Char Char Char Char1"/>
    <w:basedOn w:val="791"/>
    <w:qFormat/>
    <w:pPr>
      <w:spacing w:line="360" w:lineRule="auto"/>
    </w:pPr>
    <w:rPr>
      <w:rFonts w:ascii="Tahoma" w:hAnsi="Tahoma"/>
      <w:sz w:val="24"/>
      <w:szCs w:val="24"/>
    </w:rPr>
  </w:style>
  <w:style w:type="paragraph" w:styleId="1068" w:customStyle="1">
    <w:name w:val="修订1"/>
    <w:uiPriority w:val="99"/>
    <w:semiHidden/>
    <w:qFormat/>
    <w:rPr>
      <w:rFonts w:ascii="Times New Roman" w:hAnsi="Times New Roman"/>
      <w:sz w:val="21"/>
      <w:szCs w:val="21"/>
    </w:rPr>
  </w:style>
  <w:style w:type="paragraph" w:styleId="1069" w:customStyle="1">
    <w:name w:val="列出段落2"/>
    <w:basedOn w:val="774"/>
    <w:uiPriority w:val="99"/>
    <w:unhideWhenUsed/>
    <w:qFormat/>
    <w:pPr>
      <w:ind w:firstLine="420"/>
    </w:pPr>
    <w:rPr>
      <w:szCs w:val="24"/>
    </w:rPr>
  </w:style>
  <w:style w:type="paragraph" w:styleId="1070" w:customStyle="1">
    <w:name w:val="纯文本1"/>
    <w:basedOn w:val="774"/>
    <w:uiPriority w:val="99"/>
    <w:qFormat/>
    <w:rPr>
      <w:rFonts w:ascii="宋体" w:hAnsi="Courier New" w:eastAsia="楷体_GB2312" w:cs="宋体"/>
      <w:sz w:val="26"/>
      <w:szCs w:val="26"/>
    </w:rPr>
  </w:style>
  <w:style w:type="paragraph" w:styleId="1071" w:customStyle="1">
    <w:name w:val="二级标题"/>
    <w:basedOn w:val="774"/>
    <w:uiPriority w:val="99"/>
    <w:qFormat/>
    <w:pPr>
      <w:ind w:firstLine="420"/>
      <w:spacing w:line="560" w:lineRule="exact"/>
    </w:pPr>
    <w:rPr>
      <w:rFonts w:eastAsia="仿宋_GB2312"/>
      <w:b/>
      <w:bCs/>
      <w:color w:val="000000"/>
      <w:sz w:val="28"/>
      <w:szCs w:val="28"/>
    </w:rPr>
  </w:style>
  <w:style w:type="paragraph" w:styleId="1072" w:customStyle="1">
    <w:name w:val="Default"/>
    <w:uiPriority w:val="99"/>
    <w:qFormat/>
    <w:pPr>
      <w:widowControl w:val="off"/>
    </w:pPr>
    <w:rPr>
      <w:rFonts w:ascii="宋体" w:hAnsi="Times New Roman" w:cs="宋体"/>
      <w:color w:val="000000"/>
      <w:sz w:val="24"/>
      <w:szCs w:val="24"/>
    </w:rPr>
  </w:style>
  <w:style w:type="paragraph" w:styleId="1073" w:customStyle="1">
    <w:name w:val="Normal_45"/>
    <w:uiPriority w:val="99"/>
    <w:qFormat/>
    <w:pPr>
      <w:jc w:val="both"/>
      <w:spacing w:before="120" w:after="240"/>
    </w:pPr>
    <w:rPr>
      <w:rFonts w:ascii="Times New Roman" w:hAnsi="Times New Roman"/>
      <w:sz w:val="22"/>
      <w:szCs w:val="22"/>
      <w:lang w:eastAsia="en-US"/>
    </w:rPr>
  </w:style>
  <w:style w:type="paragraph" w:styleId="1074" w:customStyle="1">
    <w:name w:val="Normal_48"/>
    <w:uiPriority w:val="99"/>
    <w:qFormat/>
    <w:pPr>
      <w:jc w:val="both"/>
      <w:spacing w:before="120" w:after="240"/>
    </w:pPr>
    <w:rPr>
      <w:rFonts w:ascii="Times New Roman" w:hAnsi="Times New Roman"/>
      <w:sz w:val="22"/>
      <w:szCs w:val="22"/>
      <w:lang w:eastAsia="en-US"/>
    </w:rPr>
  </w:style>
  <w:style w:type="paragraph" w:styleId="1075" w:customStyle="1">
    <w:name w:val="Table Paragraph"/>
    <w:basedOn w:val="774"/>
    <w:uiPriority w:val="99"/>
    <w:qFormat/>
    <w:rPr>
      <w:rFonts w:ascii="宋体" w:hAnsi="宋体" w:cs="宋体"/>
      <w:lang w:val="zh-CN"/>
    </w:rPr>
  </w:style>
  <w:style w:type="character" w:styleId="1076" w:customStyle="1">
    <w:name w:val="正文文本 字符1"/>
    <w:uiPriority w:val="99"/>
    <w:qFormat/>
    <w:rPr>
      <w:rFonts w:ascii="楷体_GB2312" w:hAnsi="Arial" w:eastAsia="楷体_GB2312" w:cs="Times New Roman"/>
      <w:sz w:val="28"/>
      <w:szCs w:val="28"/>
      <w:lang w:val="zh-CN"/>
    </w:rPr>
  </w:style>
  <w:style w:type="paragraph" w:styleId="1077" w:customStyle="1">
    <w:name w:val="普通(网站)1"/>
    <w:basedOn w:val="774"/>
    <w:qFormat/>
    <w:pPr>
      <w:jc w:val="left"/>
      <w:spacing w:before="100" w:beforeAutospacing="1" w:after="100" w:afterAutospacing="1"/>
    </w:pPr>
    <w:rPr>
      <w:rFonts w:ascii="Calibri" w:hAnsi="Calibri"/>
      <w:sz w:val="24"/>
      <w:szCs w:val="24"/>
    </w:rPr>
  </w:style>
  <w:style w:type="paragraph" w:styleId="1078" w:customStyle="1">
    <w:name w:val="无间隔1"/>
    <w:uiPriority w:val="99"/>
    <w:qFormat/>
    <w:pPr>
      <w:jc w:val="both"/>
      <w:widowControl w:val="off"/>
    </w:pPr>
    <w:rPr>
      <w:rFonts w:ascii="Times New Roman" w:hAnsi="Times New Roman"/>
      <w:sz w:val="21"/>
      <w:szCs w:val="21"/>
    </w:rPr>
  </w:style>
  <w:style w:type="paragraph" w:styleId="1079" w:customStyle="1">
    <w:name w:val="biaoge"/>
    <w:basedOn w:val="774"/>
    <w:qFormat/>
  </w:style>
  <w:style w:type="character" w:styleId="1080" w:customStyle="1">
    <w:name w:val="qk-md-text"/>
    <w:qFormat/>
  </w:style>
  <w:style w:type="character" w:styleId="1081" w:customStyle="1">
    <w:name w:val="font51"/>
    <w:basedOn w:val="784"/>
    <w:qFormat/>
    <w:rPr>
      <w:rFonts w:hint="eastAsia" w:ascii="宋体" w:hAnsi="宋体" w:eastAsia="宋体" w:cs="宋体"/>
      <w:color w:val="000000"/>
      <w:sz w:val="16"/>
      <w:szCs w:val="16"/>
      <w:u w:val="none"/>
    </w:rPr>
  </w:style>
  <w:style w:type="character" w:styleId="1082" w:customStyle="1">
    <w:name w:val="font71"/>
    <w:basedOn w:val="784"/>
    <w:qFormat/>
    <w:rPr>
      <w:rFonts w:hint="eastAsia" w:ascii="宋体" w:hAnsi="宋体" w:eastAsia="宋体" w:cs="宋体"/>
      <w:color w:val="e36c0a"/>
      <w:sz w:val="16"/>
      <w:szCs w:val="16"/>
      <w:u w:val="none"/>
    </w:rPr>
  </w:style>
  <w:style w:type="paragraph" w:styleId="1083" w:customStyle="1">
    <w:name w:val="批注文字1"/>
    <w:basedOn w:val="774"/>
    <w:semiHidden/>
    <w:qFormat/>
    <w:pPr>
      <w:jc w:val="left"/>
      <w:spacing w:line="440" w:lineRule="exact"/>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张倩</cp:lastModifiedBy>
  <cp:revision>68</cp:revision>
  <dcterms:created xsi:type="dcterms:W3CDTF">2026-06-29T02:00:00Z</dcterms:created>
  <dcterms:modified xsi:type="dcterms:W3CDTF">2026-08-13T09:46:33Z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eyJoZGlkIjoiYjExNTYwNDVlZDFiZThiNzdiYzQwZmZjZDdiNGUwMmYiLCJ1c2VySWQiOiIzMTY5MjM1NDIifQ==</vt:lpwstr>
  </property>
  <property fmtid="{D5CDD505-2E9C-101B-9397-08002B2CF9AE}" pid="3" name="KSOProductBuildVer">
    <vt:lpwstr>2052-12.1.0.28043</vt:lpwstr>
  </property>
  <property fmtid="{D5CDD505-2E9C-101B-9397-08002B2CF9AE}" pid="4" name="ICV">
    <vt:lpwstr>3F144BEE545E40A4B25B0BD0FDF79B2F_13</vt:lpwstr>
  </property>
</Properties>
</file>