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_GB2312" w:hAnsi="仿宋_GB2312" w:eastAsia="仿宋_GB2312" w:cs="仿宋_GB2312"/>
          <w:b/>
          <w:color w:val="auto"/>
          <w:spacing w:val="76"/>
          <w:sz w:val="24"/>
        </w:rPr>
      </w:pPr>
      <w:r>
        <w:rPr>
          <w:rFonts w:hint="eastAsia" w:ascii="仿宋_GB2312" w:hAnsi="仿宋_GB2312" w:eastAsia="仿宋_GB2312" w:cs="仿宋_GB2312"/>
          <w:b/>
          <w:color w:val="auto"/>
          <w:spacing w:val="76"/>
          <w:sz w:val="24"/>
        </w:rPr>
      </w:r>
      <w:r/>
    </w:p>
    <w:p>
      <w:pPr>
        <w:pStyle w:val="784"/>
        <w:jc w:val="center"/>
        <w:spacing w:line="920" w:lineRule="exact"/>
        <w:rPr>
          <w:rFonts w:hint="eastAsia" w:ascii="仿宋_GB2312" w:hAnsi="仿宋_GB2312" w:eastAsia="仿宋_GB2312" w:cs="仿宋_GB2312"/>
          <w:b/>
          <w:color w:val="auto"/>
          <w:sz w:val="72"/>
          <w:szCs w:val="72"/>
          <w:highlight w:val="none"/>
        </w:rPr>
      </w:pPr>
      <w:r>
        <w:rPr>
          <w:rFonts w:hint="eastAsia" w:ascii="仿宋_GB2312" w:hAnsi="仿宋_GB2312" w:eastAsia="仿宋_GB2312" w:cs="仿宋_GB2312"/>
          <w:b/>
          <w:color w:val="auto"/>
          <w:sz w:val="72"/>
          <w:szCs w:val="72"/>
          <w:highlight w:val="none"/>
        </w:rPr>
      </w:r>
      <w:r/>
    </w:p>
    <w:p>
      <w:pPr>
        <w:pStyle w:val="784"/>
        <w:jc w:val="center"/>
        <w:spacing w:line="920" w:lineRule="exact"/>
        <w:rPr>
          <w:rFonts w:hint="eastAsia" w:ascii="仿宋_GB2312" w:hAnsi="仿宋_GB2312" w:eastAsia="仿宋_GB2312" w:cs="仿宋_GB2312"/>
          <w:b/>
          <w:color w:val="auto"/>
          <w:spacing w:val="-20"/>
          <w:sz w:val="72"/>
          <w:szCs w:val="72"/>
          <w:highlight w:val="none"/>
        </w:rPr>
      </w:pPr>
      <w:r>
        <w:rPr>
          <w:rFonts w:hint="eastAsia" w:ascii="仿宋_GB2312" w:hAnsi="仿宋_GB2312" w:eastAsia="仿宋_GB2312" w:cs="仿宋_GB2312"/>
          <w:b/>
          <w:color w:val="auto"/>
          <w:sz w:val="72"/>
          <w:szCs w:val="72"/>
          <w:highlight w:val="none"/>
        </w:rPr>
        <w:t xml:space="preserve">竞争性磋商文件</w:t>
      </w:r>
      <w:r>
        <w:rPr>
          <w:rFonts w:hint="eastAsia" w:ascii="仿宋_GB2312" w:hAnsi="仿宋_GB2312" w:eastAsia="仿宋_GB2312" w:cs="仿宋_GB2312"/>
          <w:b/>
          <w:color w:val="auto"/>
          <w:spacing w:val="-20"/>
          <w:sz w:val="72"/>
          <w:szCs w:val="72"/>
          <w:highlight w:val="none"/>
        </w:rPr>
        <w:t xml:space="preserve"> </w:t>
      </w:r>
      <w:r/>
    </w:p>
    <w:p>
      <w:pPr>
        <w:pStyle w:val="784"/>
        <w:jc w:val="left"/>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796"/>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w:t>
      </w:r>
      <w:r/>
    </w:p>
    <w:p>
      <w:pPr>
        <w:pStyle w:val="784"/>
        <w:jc w:val="left"/>
        <w:spacing w:line="9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1337310</wp:posOffset>
                </wp:positionH>
                <wp:positionV relativeFrom="paragraph">
                  <wp:posOffset>110490</wp:posOffset>
                </wp:positionV>
                <wp:extent cx="2657475" cy="2209800"/>
                <wp:effectExtent l="0" t="0" r="9525" b="0"/>
                <wp:wrapTopAndBottom/>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16"/>
                        <a:stretch/>
                      </pic:blipFill>
                      <pic:spPr bwMode="auto">
                        <a:xfrm>
                          <a:off x="0" y="0"/>
                          <a:ext cx="2657475" cy="2209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105.3pt;mso-position-horizontal:absolute;mso-position-vertical-relative:text;margin-top:8.7pt;mso-position-vertical:absolute;width:209.2pt;height:174.0pt;mso-wrap-distance-left:9.0pt;mso-wrap-distance-top:0.0pt;mso-wrap-distance-right:9.0pt;mso-wrap-distance-bottom:0.0pt;" stroked="f">
                <v:path textboxrect="0,0,0,0"/>
                <w10:wrap type="topAndBottom"/>
                <v:imagedata r:id="rId16" o:title=""/>
              </v:shape>
            </w:pict>
          </mc:Fallback>
        </mc:AlternateContent>
      </w:r>
      <w:r/>
    </w:p>
    <w:p>
      <w:pPr>
        <w:pStyle w:val="796"/>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r>
      <w:r/>
    </w:p>
    <w:p>
      <w:pPr>
        <w:pStyle w:val="784"/>
        <w:ind w:firstLine="2380"/>
        <w:spacing w:line="960" w:lineRule="exact"/>
        <w:rPr>
          <w:rFonts w:hint="eastAsia" w:ascii="仿宋_GB2312" w:hAnsi="仿宋_GB2312" w:eastAsia="仿宋_GB2312" w:cs="仿宋_GB2312"/>
          <w:color w:val="auto"/>
          <w:sz w:val="24"/>
        </w:rPr>
      </w:pPr>
      <w:r>
        <w:rPr>
          <w:rFonts w:hint="eastAsia" w:ascii="仿宋_GB2312" w:hAnsi="仿宋_GB2312" w:eastAsia="仿宋_GB2312" w:cs="仿宋_GB2312"/>
          <w:bCs/>
          <w:color w:val="auto"/>
          <w:sz w:val="32"/>
          <w:szCs w:val="32"/>
          <w:highlight w:val="none"/>
          <w:lang w:val="en-US" w:eastAsia="zh-CN"/>
        </w:rPr>
        <w:t xml:space="preserve"> </w:t>
      </w:r>
      <w:r/>
    </w:p>
    <w:p>
      <w:pPr>
        <w:pStyle w:val="966"/>
        <w:ind w:firstLine="48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966"/>
        <w:ind w:firstLine="48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1205"/>
        <w:jc w:val="left"/>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项目编号：</w:t>
      </w:r>
      <w:bookmarkStart w:id="0" w:name="OLE_LINK1"/>
      <w:r>
        <w:rPr>
          <w:rFonts w:hint="eastAsia" w:ascii="仿宋_GB2312" w:hAnsi="仿宋_GB2312" w:eastAsia="仿宋_GB2312" w:cs="仿宋_GB2312"/>
          <w:b/>
          <w:bCs/>
          <w:color w:val="auto"/>
          <w:sz w:val="30"/>
          <w:szCs w:val="30"/>
          <w:lang w:val="en-US" w:eastAsia="zh-CN"/>
        </w:rPr>
        <w:t xml:space="preserve">JSZC-320381-TYDL-C2026-0003</w:t>
      </w:r>
      <w:bookmarkEnd w:id="0"/>
      <w:r/>
    </w:p>
    <w:p>
      <w:pPr>
        <w:ind w:firstLine="1205"/>
        <w:jc w:val="left"/>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30"/>
          <w:szCs w:val="30"/>
          <w:lang w:val="en-US" w:eastAsia="zh-CN"/>
        </w:rPr>
        <w:t xml:space="preserve">项目名称：</w:t>
      </w:r>
      <w:bookmarkStart w:id="1" w:name="OLE_LINK8"/>
      <w:r>
        <w:rPr>
          <w:rFonts w:hint="eastAsia" w:ascii="仿宋_GB2312" w:hAnsi="仿宋_GB2312" w:eastAsia="仿宋_GB2312" w:cs="仿宋_GB2312"/>
          <w:b/>
          <w:bCs/>
          <w:color w:val="auto"/>
          <w:sz w:val="30"/>
          <w:szCs w:val="30"/>
          <w:lang w:val="en-US" w:eastAsia="zh-CN"/>
        </w:rPr>
        <w:t xml:space="preserve">新沂市环境空气质量提升技术服务项目</w:t>
      </w:r>
      <w:bookmarkEnd w:id="1"/>
      <w:r/>
      <w:r/>
    </w:p>
    <w:p>
      <w:pPr>
        <w:ind w:firstLine="1205"/>
        <w:jc w:val="left"/>
        <w:spacing w:line="360" w:lineRule="auto"/>
        <w:rPr>
          <w:rFonts w:hint="eastAsia" w:ascii="仿宋_GB2312" w:hAnsi="仿宋_GB2312" w:eastAsia="仿宋_GB2312" w:cs="仿宋_GB2312"/>
          <w:b/>
          <w:bCs/>
          <w:color w:val="auto"/>
          <w:sz w:val="30"/>
          <w:szCs w:val="30"/>
          <w:lang w:eastAsia="zh-CN"/>
        </w:rPr>
      </w:pPr>
      <w:r>
        <w:rPr>
          <w:rFonts w:hint="eastAsia" w:ascii="仿宋_GB2312" w:hAnsi="仿宋_GB2312" w:eastAsia="仿宋_GB2312" w:cs="仿宋_GB2312"/>
          <w:b/>
          <w:bCs/>
          <w:color w:val="auto"/>
          <w:sz w:val="30"/>
          <w:szCs w:val="30"/>
        </w:rPr>
        <w:t xml:space="preserve">采 购 人：</w:t>
      </w:r>
      <w:r>
        <w:rPr>
          <w:rFonts w:hint="eastAsia" w:ascii="仿宋_GB2312" w:hAnsi="仿宋_GB2312" w:eastAsia="仿宋_GB2312" w:cs="仿宋_GB2312"/>
          <w:b/>
          <w:bCs/>
          <w:color w:val="auto"/>
          <w:sz w:val="30"/>
          <w:szCs w:val="30"/>
          <w:lang w:eastAsia="zh-CN"/>
        </w:rPr>
        <w:t xml:space="preserve">徐州市新沂生态环境局</w:t>
      </w:r>
      <w:r/>
    </w:p>
    <w:p>
      <w:pPr>
        <w:ind w:firstLine="1205"/>
        <w:jc w:val="left"/>
        <w:spacing w:line="360" w:lineRule="auto"/>
        <w:rPr>
          <w:rFonts w:hint="eastAsia" w:ascii="仿宋_GB2312" w:hAnsi="仿宋_GB2312" w:eastAsia="仿宋_GB2312" w:cs="仿宋_GB2312"/>
          <w:b/>
          <w:bCs/>
          <w:color w:val="auto"/>
          <w:sz w:val="30"/>
          <w:szCs w:val="30"/>
          <w:lang w:eastAsia="zh-CN"/>
        </w:rPr>
      </w:pPr>
      <w:r>
        <w:rPr>
          <w:rFonts w:hint="eastAsia" w:ascii="仿宋_GB2312" w:hAnsi="仿宋_GB2312" w:eastAsia="仿宋_GB2312" w:cs="仿宋_GB2312"/>
          <w:b/>
          <w:bCs/>
          <w:color w:val="auto"/>
          <w:sz w:val="30"/>
          <w:szCs w:val="30"/>
        </w:rPr>
        <w:t xml:space="preserve">代理机构：</w:t>
      </w:r>
      <w:r>
        <w:rPr>
          <w:rFonts w:hint="eastAsia" w:ascii="仿宋_GB2312" w:hAnsi="仿宋_GB2312" w:eastAsia="仿宋_GB2312" w:cs="仿宋_GB2312"/>
          <w:b/>
          <w:bCs/>
          <w:color w:val="auto"/>
          <w:sz w:val="30"/>
          <w:szCs w:val="30"/>
          <w:lang w:eastAsia="zh-CN"/>
        </w:rPr>
        <w:t xml:space="preserve">江苏天元房地产评估造价集团有限公司</w:t>
      </w:r>
      <w:r/>
    </w:p>
    <w:p>
      <w:pPr>
        <w:ind w:firstLine="1205"/>
        <w:jc w:val="left"/>
        <w:spacing w:line="360" w:lineRule="auto"/>
        <w:rPr>
          <w:rFonts w:hint="eastAsia" w:ascii="仿宋_GB2312" w:hAnsi="仿宋_GB2312" w:eastAsia="仿宋_GB2312" w:cs="仿宋_GB2312"/>
          <w:color w:val="auto"/>
        </w:rPr>
        <w:sectPr>
          <w:headerReference w:type="first" r:id="rId9"/>
          <w:footnotePr/>
          <w:endnotePr/>
          <w:type w:val="nextColumn"/>
          <w:pgSz w:w="11906" w:h="16838" w:orient="portrait"/>
          <w:pgMar w:top="1440" w:right="1588" w:bottom="1440" w:left="1588" w:header="624" w:footer="992" w:gutter="0"/>
          <w:pgNumType w:start="1"/>
          <w:cols w:num="1" w:sep="0" w:space="1701" w:equalWidth="1"/>
          <w:docGrid w:linePitch="360"/>
        </w:sectPr>
      </w:pPr>
      <w:r>
        <w:rPr>
          <w:rFonts w:hint="eastAsia" w:ascii="仿宋_GB2312" w:hAnsi="仿宋_GB2312" w:eastAsia="仿宋_GB2312" w:cs="仿宋_GB2312"/>
          <w:b/>
          <w:bCs/>
          <w:color w:val="auto"/>
          <w:sz w:val="30"/>
          <w:szCs w:val="30"/>
        </w:rPr>
        <w:t xml:space="preserve">编制时间：</w:t>
      </w:r>
      <w:r>
        <w:rPr>
          <w:rFonts w:hint="eastAsia" w:ascii="仿宋_GB2312" w:hAnsi="仿宋_GB2312" w:eastAsia="仿宋_GB2312" w:cs="仿宋_GB2312"/>
          <w:b/>
          <w:bCs/>
          <w:color w:val="auto"/>
          <w:sz w:val="30"/>
          <w:szCs w:val="30"/>
          <w:lang w:val="en-US" w:eastAsia="zh-CN"/>
        </w:rPr>
        <w:t xml:space="preserve">二零二六年七月</w:t>
      </w:r>
      <w:r>
        <w:rPr>
          <w:rFonts w:hint="eastAsia" w:ascii="仿宋_GB2312" w:hAnsi="仿宋_GB2312" w:eastAsia="仿宋_GB2312" w:cs="仿宋_GB2312"/>
          <w:color w:val="auto"/>
        </w:rPr>
        <w:br w:type="page" w:clear="all"/>
      </w:r>
      <w:r/>
    </w:p>
    <w:p>
      <w:pPr>
        <w:pStyle w:val="80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44"/>
          <w:szCs w:val="44"/>
        </w:rPr>
        <w:t xml:space="preserve">竞争性磋商文件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按照《中华人民共和国政府采购法》、《中华人民共和国政府采购法实施条例》及《政府采购非招标采购方式管理办法》的规定,受</w:t>
      </w:r>
      <w:r>
        <w:rPr>
          <w:rFonts w:hint="eastAsia" w:ascii="仿宋_GB2312" w:hAnsi="仿宋_GB2312" w:eastAsia="仿宋_GB2312" w:cs="仿宋_GB2312"/>
          <w:color w:val="auto"/>
          <w:sz w:val="24"/>
          <w:lang w:eastAsia="zh-CN"/>
        </w:rPr>
        <w:t xml:space="preserve">徐州市新沂生态环境局</w:t>
      </w:r>
      <w:r>
        <w:rPr>
          <w:rFonts w:hint="eastAsia" w:ascii="仿宋_GB2312" w:hAnsi="仿宋_GB2312" w:eastAsia="仿宋_GB2312" w:cs="仿宋_GB2312"/>
          <w:color w:val="auto"/>
          <w:sz w:val="24"/>
        </w:rPr>
        <w:t xml:space="preserve">委托，</w:t>
      </w:r>
      <w:r>
        <w:rPr>
          <w:rFonts w:hint="eastAsia" w:ascii="仿宋_GB2312" w:hAnsi="仿宋_GB2312" w:eastAsia="仿宋_GB2312" w:cs="仿宋_GB2312"/>
          <w:color w:val="auto"/>
          <w:sz w:val="24"/>
          <w:lang w:eastAsia="zh-CN"/>
        </w:rPr>
        <w:t xml:space="preserve">江苏天元房地产评估造价集团有限公司</w:t>
      </w:r>
      <w:r>
        <w:rPr>
          <w:rFonts w:hint="eastAsia" w:ascii="仿宋_GB2312" w:hAnsi="仿宋_GB2312" w:eastAsia="仿宋_GB2312" w:cs="仿宋_GB2312"/>
          <w:color w:val="auto"/>
          <w:sz w:val="24"/>
        </w:rPr>
        <w:t xml:space="preserve">对</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eastAsia="zh-CN"/>
        </w:rPr>
        <w:t xml:space="preserve">新沂市环境空气质量提升技术服务项目</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采取竞争性磋商发布公告方式进行采购。如贵单位有意与本单位合作，请按以下要求参加磋商。</w:t>
      </w:r>
      <w:r/>
    </w:p>
    <w:p>
      <w:pPr>
        <w:pStyle w:val="8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第一章 项目说明</w:t>
      </w:r>
      <w:r/>
    </w:p>
    <w:p>
      <w:pPr>
        <w:ind w:firstLine="472"/>
        <w:spacing w:line="360" w:lineRule="auto"/>
        <w:rPr>
          <w:rFonts w:hint="eastAsia" w:ascii="仿宋_GB2312" w:hAnsi="仿宋_GB2312" w:eastAsia="仿宋_GB2312" w:cs="仿宋_GB2312"/>
          <w:b/>
          <w:color w:val="auto"/>
          <w:sz w:val="24"/>
          <w:lang w:eastAsia="zh-CN"/>
        </w:rPr>
      </w:pPr>
      <w:r>
        <w:rPr>
          <w:rFonts w:hint="eastAsia" w:ascii="仿宋_GB2312" w:hAnsi="仿宋_GB2312" w:eastAsia="仿宋_GB2312" w:cs="仿宋_GB2312"/>
          <w:b/>
          <w:color w:val="auto"/>
          <w:sz w:val="24"/>
        </w:rPr>
        <w:t xml:space="preserve">一、采购人：</w:t>
      </w:r>
      <w:r>
        <w:rPr>
          <w:rFonts w:hint="eastAsia" w:ascii="仿宋_GB2312" w:hAnsi="仿宋_GB2312" w:eastAsia="仿宋_GB2312" w:cs="仿宋_GB2312"/>
          <w:b/>
          <w:color w:val="auto"/>
          <w:sz w:val="24"/>
          <w:lang w:eastAsia="zh-CN"/>
        </w:rPr>
        <w:t xml:space="preserve">徐州市新沂生态环境局</w:t>
      </w:r>
      <w:r/>
    </w:p>
    <w:p>
      <w:pPr>
        <w:ind w:firstLine="472"/>
        <w:spacing w:line="360" w:lineRule="auto"/>
        <w:rPr>
          <w:rFonts w:hint="eastAsia" w:ascii="仿宋_GB2312" w:hAnsi="仿宋_GB2312" w:eastAsia="仿宋_GB2312" w:cs="仿宋_GB2312"/>
          <w:b/>
          <w:color w:val="auto"/>
          <w:sz w:val="24"/>
          <w:lang w:eastAsia="zh-CN"/>
        </w:rPr>
      </w:pPr>
      <w:r>
        <w:rPr>
          <w:rFonts w:hint="eastAsia" w:ascii="仿宋_GB2312" w:hAnsi="仿宋_GB2312" w:eastAsia="仿宋_GB2312" w:cs="仿宋_GB2312"/>
          <w:b/>
          <w:color w:val="auto"/>
          <w:sz w:val="24"/>
        </w:rPr>
        <w:t xml:space="preserve">二、项目名称：</w:t>
      </w:r>
      <w:r>
        <w:rPr>
          <w:rFonts w:hint="eastAsia" w:ascii="仿宋_GB2312" w:hAnsi="仿宋_GB2312" w:eastAsia="仿宋_GB2312" w:cs="仿宋_GB2312"/>
          <w:b/>
          <w:color w:val="auto"/>
          <w:sz w:val="24"/>
          <w:lang w:eastAsia="zh-CN"/>
        </w:rPr>
        <w:t xml:space="preserve">新沂市环境空气质量提升技术服务项目</w:t>
      </w:r>
      <w:r/>
    </w:p>
    <w:p>
      <w:pPr>
        <w:ind w:firstLine="472"/>
        <w:spacing w:line="360" w:lineRule="auto"/>
        <w:rPr>
          <w:rFonts w:hint="eastAsia" w:ascii="仿宋_GB2312" w:hAnsi="仿宋_GB2312" w:eastAsia="仿宋_GB2312" w:cs="仿宋_GB2312"/>
          <w:b/>
          <w:color w:val="auto"/>
          <w:sz w:val="24"/>
          <w:highlight w:val="yellow"/>
          <w:lang w:eastAsia="zh-CN"/>
        </w:rPr>
      </w:pPr>
      <w:r>
        <w:rPr>
          <w:rFonts w:hint="eastAsia" w:ascii="仿宋_GB2312" w:hAnsi="仿宋_GB2312" w:eastAsia="仿宋_GB2312" w:cs="仿宋_GB2312"/>
          <w:b/>
          <w:color w:val="auto"/>
          <w:sz w:val="24"/>
        </w:rPr>
        <w:t xml:space="preserve">三、项目编号：</w:t>
      </w:r>
      <w:r>
        <w:rPr>
          <w:rFonts w:hint="eastAsia" w:ascii="仿宋_GB2312" w:hAnsi="仿宋_GB2312" w:eastAsia="仿宋_GB2312" w:cs="仿宋_GB2312"/>
          <w:b/>
          <w:color w:val="auto"/>
          <w:sz w:val="24"/>
          <w:lang w:eastAsia="zh-CN"/>
        </w:rPr>
        <w:t xml:space="preserve">JSZC-320381-TYDL-C2026-0003</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四、采购方式：本项目采用竞争性磋商采购。</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五、供应商资格条件：</w:t>
      </w:r>
      <w:r/>
    </w:p>
    <w:p>
      <w:pPr>
        <w:pStyle w:val="967"/>
        <w:ind w:firstLine="472"/>
        <w:spacing w:line="460" w:lineRule="exact"/>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rPr>
        <w:t xml:space="preserve">5.1符合《中华人民共和国政府采购法》第二十二条的规定</w:t>
      </w:r>
      <w:r>
        <w:rPr>
          <w:rFonts w:hint="eastAsia" w:ascii="仿宋_GB2312" w:hAnsi="仿宋_GB2312" w:eastAsia="仿宋_GB2312" w:cs="仿宋_GB2312"/>
          <w:color w:val="auto"/>
          <w:sz w:val="24"/>
          <w:szCs w:val="24"/>
          <w:lang w:eastAsia="zh-CN"/>
        </w:rPr>
        <w:t xml:space="preserve">。</w:t>
      </w:r>
      <w:r/>
    </w:p>
    <w:p>
      <w:pPr>
        <w:pStyle w:val="967"/>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5.2 采购项目需要落实的政府采购政策：此项目属于专门面向中小微企业采购的项目</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color w:val="auto"/>
          <w:sz w:val="24"/>
          <w:szCs w:val="24"/>
        </w:rPr>
        <w:t xml:space="preserve">供应商应为中小微企业、监狱企业、残疾人福利性单位。</w:t>
      </w:r>
      <w:r/>
    </w:p>
    <w:p>
      <w:pPr>
        <w:pStyle w:val="967"/>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5.3（一）投标人基本条件</w:t>
      </w:r>
      <w:r/>
    </w:p>
    <w:p>
      <w:pPr>
        <w:pStyle w:val="967"/>
        <w:numPr>
          <w:ilvl w:val="0"/>
          <w:numId w:val="0"/>
        </w:numPr>
        <w:ind w:firstLine="480"/>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 xml:space="preserve">1.</w:t>
      </w:r>
      <w:r>
        <w:rPr>
          <w:rFonts w:hint="eastAsia" w:ascii="仿宋_GB2312" w:hAnsi="仿宋_GB2312" w:eastAsia="仿宋_GB2312" w:cs="仿宋_GB2312"/>
          <w:color w:val="auto"/>
          <w:sz w:val="24"/>
          <w:szCs w:val="24"/>
        </w:rPr>
        <w:t xml:space="preserve">具有独立承担民事责任的能力；</w:t>
      </w:r>
      <w:r/>
    </w:p>
    <w:p>
      <w:pPr>
        <w:pStyle w:val="967"/>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2.具有良好的商业信誉和健全的财务会计制度；</w:t>
      </w:r>
      <w:r/>
    </w:p>
    <w:p>
      <w:pPr>
        <w:pStyle w:val="967"/>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3.具有履行合同所必需的设备和专业技术能力；</w:t>
      </w:r>
      <w:r/>
    </w:p>
    <w:p>
      <w:pPr>
        <w:pStyle w:val="967"/>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4.有依法缴纳税收和社会保障资金的良好记录；</w:t>
      </w:r>
      <w:r/>
    </w:p>
    <w:p>
      <w:pPr>
        <w:pStyle w:val="967"/>
        <w:ind w:firstLine="472"/>
        <w:spacing w:line="46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5.参加投标活动前三年内，在经营活动中没有重大违法记录；</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6.法律、行政法规规定的其他条件。</w:t>
      </w:r>
      <w:r/>
    </w:p>
    <w:p>
      <w:pPr>
        <w:ind w:firstLine="480"/>
        <w:jc w:val="left"/>
        <w:keepLines w:val="0"/>
        <w:keepNext w:val="0"/>
        <w:pageBreakBefore w:val="0"/>
        <w:spacing w:line="400" w:lineRule="exact"/>
        <w:widowControl/>
        <w:rPr>
          <w:rFonts w:hint="default" w:ascii="仿宋_GB2312" w:hAnsi="仿宋_GB2312" w:eastAsia="仿宋_GB2312" w:cs="仿宋_GB2312"/>
          <w:b/>
          <w:color w:val="auto"/>
          <w:sz w:val="24"/>
          <w:lang w:val="en-US" w:eastAsia="zh-CN"/>
        </w:rPr>
        <w:outlineLvl w:val="9"/>
      </w:pPr>
      <w:r>
        <w:rPr>
          <w:rFonts w:hint="eastAsia" w:ascii="仿宋_GB2312" w:hAnsi="仿宋_GB2312" w:eastAsia="仿宋_GB2312" w:cs="仿宋_GB2312"/>
          <w:color w:val="auto"/>
          <w:sz w:val="24"/>
        </w:rPr>
        <w:t xml:space="preserve">（二）项目要求投标人具备的特定条件</w:t>
      </w:r>
      <w:r>
        <w:rPr>
          <w:rFonts w:hint="eastAsia" w:ascii="仿宋_GB2312" w:hAnsi="仿宋_GB2312" w:eastAsia="仿宋_GB2312" w:cs="仿宋_GB2312"/>
          <w:color w:val="auto"/>
          <w:sz w:val="24"/>
          <w:lang w:eastAsia="zh-CN"/>
        </w:rPr>
        <w:t xml:space="preserve">：</w:t>
      </w:r>
      <w:r>
        <w:rPr>
          <w:rFonts w:hint="eastAsia" w:ascii="仿宋_GB2312" w:hAnsi="仿宋_GB2312" w:eastAsia="仿宋_GB2312" w:cs="仿宋_GB2312"/>
          <w:color w:val="auto"/>
          <w:sz w:val="24"/>
          <w:lang w:val="en-US" w:eastAsia="zh-CN"/>
        </w:rPr>
        <w:t xml:space="preserve">无</w:t>
      </w:r>
      <w:r/>
    </w:p>
    <w:p>
      <w:pPr>
        <w:contextualSpacing/>
        <w:ind w:firstLine="472"/>
        <w:jc w:val="left"/>
        <w:spacing w:line="440" w:lineRule="exact"/>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eastAsia="zh-CN"/>
        </w:rPr>
        <w:t xml:space="preserve">（</w:t>
      </w:r>
      <w:r>
        <w:rPr>
          <w:rFonts w:hint="eastAsia" w:ascii="仿宋_GB2312" w:hAnsi="仿宋_GB2312" w:eastAsia="仿宋_GB2312" w:cs="仿宋_GB2312"/>
          <w:color w:val="auto"/>
          <w:sz w:val="24"/>
          <w:lang w:val="en-US" w:eastAsia="zh-CN"/>
        </w:rPr>
        <w:t xml:space="preserve">三</w:t>
      </w:r>
      <w:r>
        <w:rPr>
          <w:rFonts w:hint="eastAsia" w:ascii="仿宋_GB2312" w:hAnsi="仿宋_GB2312" w:eastAsia="仿宋_GB2312" w:cs="仿宋_GB2312"/>
          <w:color w:val="auto"/>
          <w:sz w:val="24"/>
          <w:lang w:eastAsia="zh-CN"/>
        </w:rPr>
        <w:t xml:space="preserve">）</w:t>
      </w:r>
      <w:r>
        <w:rPr>
          <w:rFonts w:hint="eastAsia" w:ascii="仿宋_GB2312" w:hAnsi="仿宋_GB2312" w:eastAsia="仿宋_GB2312" w:cs="仿宋_GB2312"/>
          <w:color w:val="auto"/>
          <w:sz w:val="24"/>
        </w:rPr>
        <w:t xml:space="preserve">本项目不接受联合体投标。</w:t>
      </w:r>
      <w:r/>
    </w:p>
    <w:p>
      <w:pPr>
        <w:contextualSpacing/>
        <w:ind w:firstLine="480"/>
        <w:jc w:val="left"/>
        <w:spacing w:line="440" w:lineRule="exact"/>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5.4.查询及使用供应商信用记录：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（1）由采购人查询信用信息；</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（2）查询渠道包括：</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①“信用中国”网（www.creditchina.gov.cn）；</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②“中国政府采购”网（www.ccgp.gov.cn）；</w:t>
      </w:r>
      <w:r/>
    </w:p>
    <w:p>
      <w:pPr>
        <w:ind w:firstLine="472"/>
        <w:spacing w:line="360" w:lineRule="auto"/>
        <w:rPr>
          <w:rFonts w:hint="eastAsia" w:ascii="仿宋_GB2312" w:hAnsi="仿宋_GB2312" w:eastAsia="仿宋_GB2312" w:cs="仿宋_GB2312"/>
          <w:color w:val="auto"/>
          <w:sz w:val="24"/>
          <w:highlight w:val="red"/>
        </w:rPr>
      </w:pPr>
      <w:r>
        <w:rPr>
          <w:rFonts w:hint="eastAsia" w:ascii="仿宋_GB2312" w:hAnsi="仿宋_GB2312" w:eastAsia="仿宋_GB2312" w:cs="仿宋_GB2312"/>
          <w:color w:val="auto"/>
          <w:sz w:val="24"/>
        </w:rPr>
        <w:t xml:space="preserve">③“信用江苏”网（http://credit.jiangsu.gov.cn/）；</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④“信用中国(江苏徐州)”网（</w:t>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"http://www.xuzhoucredit.gov.cn"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sz w:val="24"/>
        </w:rPr>
        <w:t xml:space="preserve">http://www.xuzhoucredit.gov.cn</w:t>
      </w:r>
      <w:r>
        <w:rPr>
          <w:rFonts w:hint="eastAsia" w:ascii="仿宋_GB2312" w:hAnsi="仿宋_GB2312" w:eastAsia="仿宋_GB2312" w:cs="仿宋_GB2312"/>
          <w:color w:val="auto"/>
          <w:sz w:val="24"/>
        </w:rPr>
        <w:fldChar w:fldCharType="end"/>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（3）截止时点（查询环节）：磋商结束前；</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（4）信用信息查询记录和证据留存方式：网页截屏打印，与其他采购文件一并保存；</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（5）信用信息的使用规则：</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六、项目预算金额：</w:t>
      </w:r>
      <w:r>
        <w:rPr>
          <w:rFonts w:hint="eastAsia" w:ascii="仿宋_GB2312" w:hAnsi="仿宋_GB2312" w:eastAsia="仿宋_GB2312" w:cs="仿宋_GB2312"/>
          <w:b/>
          <w:color w:val="auto"/>
          <w:sz w:val="24"/>
          <w:lang w:val="en-US" w:eastAsia="zh-CN"/>
        </w:rPr>
        <w:t xml:space="preserve">210</w:t>
      </w:r>
      <w:r>
        <w:rPr>
          <w:rFonts w:hint="eastAsia" w:ascii="仿宋_GB2312" w:hAnsi="仿宋_GB2312" w:eastAsia="仿宋_GB2312" w:cs="仿宋_GB2312"/>
          <w:b/>
          <w:color w:val="auto"/>
          <w:sz w:val="24"/>
        </w:rPr>
        <w:t xml:space="preserve">万元，本项目不接受超过</w:t>
      </w:r>
      <w:r>
        <w:rPr>
          <w:rFonts w:hint="eastAsia" w:ascii="仿宋_GB2312" w:hAnsi="仿宋_GB2312" w:eastAsia="仿宋_GB2312" w:cs="仿宋_GB2312"/>
          <w:b/>
          <w:color w:val="auto"/>
          <w:sz w:val="24"/>
          <w:lang w:val="en-US" w:eastAsia="zh-CN"/>
        </w:rPr>
        <w:t xml:space="preserve">210</w:t>
      </w:r>
      <w:r>
        <w:rPr>
          <w:rFonts w:hint="eastAsia" w:ascii="仿宋_GB2312" w:hAnsi="仿宋_GB2312" w:eastAsia="仿宋_GB2312" w:cs="仿宋_GB2312"/>
          <w:b/>
          <w:color w:val="auto"/>
          <w:sz w:val="24"/>
        </w:rPr>
        <w:t xml:space="preserve">万元以上报价。</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七、采购需求：详见《磋商文件》第八章附件《采购需求》，采购人确定的采购项目属性为服务。</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八、合同草案条款：详见《磋商文件》第八章附件《合同草案条款》。</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九、报价要求：</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1、供应商报价为要约，采购人无承诺表示时视为未成交，采购人认为必要时可重新进行竞争性磋商采购或采取其它方式采购。</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2、按照《磋商报价表》要求填写首次报价：详见《磋商文件》第八章附件《磋商报价表》。</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3、报价包含本项目范围内的全部费用。供应商有漏报或不报的，采购人将视为有关费用已包括在本项目的报价中而不予支付。采购人不支付报价以外的任何费用。</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lang w:val="en-US" w:eastAsia="zh-CN"/>
        </w:rPr>
        <w:t xml:space="preserve">    </w:t>
      </w:r>
      <w:r>
        <w:rPr>
          <w:rFonts w:hint="eastAsia" w:ascii="仿宋_GB2312" w:hAnsi="仿宋_GB2312" w:eastAsia="仿宋_GB2312" w:cs="仿宋_GB2312"/>
          <w:b/>
          <w:color w:val="auto"/>
          <w:sz w:val="24"/>
        </w:rPr>
        <w:t xml:space="preserve">第二章 招标代理服务费</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十、成交供应商在领取成交通知书前，缴纳招标代理服务费，收取标准见附件。</w:t>
      </w:r>
      <w:r/>
    </w:p>
    <w:p>
      <w:pPr>
        <w:pStyle w:val="8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第三章 响应文件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color w:val="auto"/>
          <w:sz w:val="24"/>
        </w:rPr>
        <w:t xml:space="preserve">十一、响应文件编制要求</w:t>
      </w:r>
      <w:r/>
    </w:p>
    <w:p>
      <w:pPr>
        <w:pStyle w:val="8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第一部分 基本要求</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1、供应商应当按照《磋商文件》的要求编制响应文件，并对其提交的响应文件的真实性、合法性承担法律责任。</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2、电子响应文件要求</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（1）供应商应由其法定代表人或法定代表人授权代表在规定的网上响应时间，使用“政府采购客户端”编制电子响应文件，并在提交响应文件截止时间之前上传响应文件。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（2）供应商应对 CA 证书妥善保管，如被他人盗用投标，因此带来的结果均由供应商自行承担。</w:t>
      </w:r>
      <w:r/>
    </w:p>
    <w:p>
      <w:pPr>
        <w:ind w:firstLine="472"/>
        <w:spacing w:line="360" w:lineRule="auto"/>
        <w:rPr>
          <w:rFonts w:hint="eastAsia" w:ascii="仿宋_GB2312" w:hAnsi="仿宋_GB2312" w:eastAsia="仿宋_GB2312" w:cs="仿宋_GB2312"/>
          <w:b/>
          <w:bCs/>
          <w:color w:val="auto"/>
          <w:sz w:val="24"/>
          <w:highlight w:val="none"/>
        </w:rPr>
      </w:pPr>
      <w:r>
        <w:rPr>
          <w:rFonts w:hint="eastAsia" w:ascii="仿宋_GB2312" w:hAnsi="仿宋_GB2312" w:eastAsia="仿宋_GB2312" w:cs="仿宋_GB2312"/>
          <w:color w:val="auto"/>
          <w:sz w:val="24"/>
        </w:rPr>
        <w:t xml:space="preserve">（3）投标人应凭CA数字证书以及自备的能够登录“苏采云”系统的笔记本电脑，在达到开标时间</w:t>
      </w:r>
      <w:r>
        <w:rPr>
          <w:rFonts w:hint="eastAsia" w:ascii="仿宋_GB2312" w:hAnsi="仿宋_GB2312" w:eastAsia="仿宋_GB2312" w:cs="仿宋_GB2312"/>
          <w:color w:val="auto"/>
          <w:sz w:val="24"/>
          <w:highlight w:val="none"/>
        </w:rPr>
        <w:t xml:space="preserve">后，使用CA数字证书解密各自投标文件。因此带来的结果均由供应商自行承担。</w:t>
      </w:r>
      <w:r>
        <w:rPr>
          <w:rFonts w:hint="eastAsia" w:ascii="仿宋_GB2312" w:hAnsi="仿宋_GB2312" w:eastAsia="仿宋_GB2312" w:cs="仿宋_GB2312"/>
          <w:b/>
          <w:bCs/>
          <w:color w:val="auto"/>
          <w:sz w:val="24"/>
          <w:highlight w:val="none"/>
        </w:rPr>
        <w:t xml:space="preserve">本项目开标时间为：</w:t>
      </w:r>
      <w:r>
        <w:rPr>
          <w:rFonts w:hint="eastAsia" w:ascii="仿宋_GB2312" w:hAnsi="仿宋_GB2312" w:eastAsia="仿宋_GB2312" w:cs="仿宋_GB2312"/>
          <w:b/>
          <w:bCs/>
          <w:color w:val="auto"/>
          <w:sz w:val="24"/>
          <w:highlight w:val="none"/>
          <w:lang w:eastAsia="zh-CN"/>
        </w:rPr>
        <w:t xml:space="preserve">202</w:t>
      </w:r>
      <w:r>
        <w:rPr>
          <w:rFonts w:hint="eastAsia" w:ascii="仿宋_GB2312" w:hAnsi="仿宋_GB2312" w:eastAsia="仿宋_GB2312" w:cs="仿宋_GB2312"/>
          <w:b/>
          <w:bCs/>
          <w:color w:val="auto"/>
          <w:sz w:val="24"/>
          <w:highlight w:val="none"/>
          <w:lang w:val="en-US" w:eastAsia="zh-CN"/>
        </w:rPr>
        <w:t xml:space="preserve">6</w:t>
      </w:r>
      <w:r>
        <w:rPr>
          <w:rFonts w:hint="eastAsia" w:ascii="仿宋_GB2312" w:hAnsi="仿宋_GB2312" w:eastAsia="仿宋_GB2312" w:cs="仿宋_GB2312"/>
          <w:b/>
          <w:bCs/>
          <w:color w:val="auto"/>
          <w:sz w:val="24"/>
          <w:highlight w:val="none"/>
          <w:lang w:eastAsia="zh-CN"/>
        </w:rPr>
        <w:t xml:space="preserve">年</w:t>
      </w:r>
      <w:bookmarkStart w:id="2" w:name="OLE_LINK2"/>
      <w:r>
        <w:rPr>
          <w:rFonts w:hint="eastAsia" w:ascii="仿宋_GB2312" w:hAnsi="仿宋_GB2312" w:eastAsia="仿宋_GB2312" w:cs="仿宋_GB2312"/>
          <w:b/>
          <w:bCs/>
          <w:color w:val="auto"/>
          <w:sz w:val="24"/>
          <w:highlight w:val="none"/>
          <w:lang w:val="en-US" w:eastAsia="zh-CN"/>
        </w:rPr>
        <w:t xml:space="preserve">08</w:t>
      </w:r>
      <w:r>
        <w:rPr>
          <w:rFonts w:hint="eastAsia" w:ascii="仿宋_GB2312" w:hAnsi="仿宋_GB2312" w:eastAsia="仿宋_GB2312" w:cs="仿宋_GB2312"/>
          <w:b/>
          <w:bCs/>
          <w:color w:val="auto"/>
          <w:sz w:val="24"/>
          <w:highlight w:val="none"/>
          <w:lang w:eastAsia="zh-CN"/>
        </w:rPr>
        <w:t xml:space="preserve">月</w:t>
      </w:r>
      <w:r>
        <w:rPr>
          <w:rFonts w:hint="eastAsia" w:ascii="仿宋_GB2312" w:hAnsi="仿宋_GB2312" w:eastAsia="仿宋_GB2312" w:cs="仿宋_GB2312"/>
          <w:b/>
          <w:bCs/>
          <w:color w:val="auto"/>
          <w:sz w:val="24"/>
          <w:highlight w:val="none"/>
          <w:lang w:val="en-US" w:eastAsia="zh-CN"/>
        </w:rPr>
        <w:t xml:space="preserve">10</w:t>
      </w:r>
      <w:r>
        <w:rPr>
          <w:rFonts w:hint="eastAsia" w:ascii="仿宋_GB2312" w:hAnsi="仿宋_GB2312" w:eastAsia="仿宋_GB2312" w:cs="仿宋_GB2312"/>
          <w:b/>
          <w:bCs/>
          <w:color w:val="auto"/>
          <w:sz w:val="24"/>
          <w:highlight w:val="none"/>
          <w:lang w:eastAsia="zh-CN"/>
        </w:rPr>
        <w:t xml:space="preserve">日</w:t>
      </w:r>
      <w:bookmarkEnd w:id="2"/>
      <w:r>
        <w:rPr>
          <w:rFonts w:hint="eastAsia" w:ascii="仿宋_GB2312" w:hAnsi="仿宋_GB2312" w:eastAsia="仿宋_GB2312" w:cs="仿宋_GB2312"/>
          <w:b/>
          <w:bCs/>
          <w:color w:val="auto"/>
          <w:sz w:val="24"/>
          <w:highlight w:val="none"/>
        </w:rPr>
        <w:t xml:space="preserve">北京时间上午09：30分。 </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（4）供应商应当对《磋商文件》提出的要求和条件作出实质性响应，并在电子投标系统逐条应答。</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（5）供应商应对要求提供的资格证明文件（如资质证书、资格证书）、技术资料（如白皮书、彩页、手册、检测报告等）原件扫描上传。</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3、获取竞争性磋商文件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（1）潜在供应商访问电子招标投标交易平台的网络地址和方法：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①登录 http://jszfcg.jsczt.cn/ ，或进入徐州政府采购网--业务工作--用户登录，点击“苏采云”进入系统。</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w:t>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"http://218.3.177.171:8088/Home/HomeDetails?type=13&amp;articleid=48474397-614b-4e09-ba87-56241d82e743" \t "http://218.3.177.171:8088/Home/_blank" \o "“苏采云”系统政务CA办理材料、操作手册及控件下载"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sz w:val="24"/>
        </w:rPr>
        <w:t xml:space="preserve">“苏采云”系统政务CA办理材料、操作手册及控件下载</w:t>
      </w:r>
      <w:r>
        <w:rPr>
          <w:rFonts w:hint="eastAsia" w:ascii="仿宋_GB2312" w:hAnsi="仿宋_GB2312" w:eastAsia="仿宋_GB2312" w:cs="仿宋_GB2312"/>
          <w:color w:val="auto"/>
          <w:sz w:val="24"/>
        </w:rPr>
        <w:fldChar w:fldCharType="end"/>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投标客户端工具及供应商操作手册可访问徐州市政府采购网，选中“业务工作”，“下载专区”进行下载《江苏省政府采购管理交易系统（苏采云）供应商操作手册及政府采购客户端》。</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（2）采购代理机构将数据电文形式的采购文件加载至电子招标投标交易平台，供潜在供应商下载或者查阅。</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（3）售价：免费。</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（4）技术支持</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如有疑问，请联系客服人员。（工作时间：法定工作日9:00-17:00）</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进入政府采购交易系统，遇到任何问题，请联系</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电话：0516-67669051 、0516-67669158</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附：</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① 江苏省政府采购管理交易系统（苏采云）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4、有下列情形之一的，其投标无效：</w:t>
      </w:r>
      <w:r/>
    </w:p>
    <w:p>
      <w:pPr>
        <w:ind w:left="0" w:firstLine="480"/>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w:t>
      </w:r>
      <w:r>
        <w:rPr>
          <w:rFonts w:hint="eastAsia" w:ascii="仿宋_GB2312" w:hAnsi="仿宋_GB2312" w:eastAsia="仿宋_GB2312" w:cs="仿宋_GB2312"/>
          <w:color w:val="auto"/>
          <w:sz w:val="24"/>
          <w:lang w:val="en-US" w:eastAsia="zh-CN"/>
        </w:rPr>
        <w:t xml:space="preserve">1</w:t>
      </w:r>
      <w:r>
        <w:rPr>
          <w:rFonts w:hint="eastAsia" w:ascii="仿宋_GB2312" w:hAnsi="仿宋_GB2312" w:eastAsia="仿宋_GB2312" w:cs="仿宋_GB2312"/>
          <w:color w:val="auto"/>
          <w:sz w:val="24"/>
        </w:rPr>
        <w:t xml:space="preserve">)电子响应文件未按规定期限投标的；</w:t>
      </w:r>
      <w:r/>
    </w:p>
    <w:p>
      <w:pPr>
        <w:ind w:left="0" w:firstLine="480"/>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(2)电子响应文件未按磋商文件要求签章的； </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(3)供应商未在规定时间内解密电子响应文件的；</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(4)不同供应商响应文件内容存在非正常一致、项目组成员出现同一人、响应文件中错误（或异常）一致或雷同、电子文档信息一致或雷同的、报价呈规律性差异的。</w:t>
      </w:r>
      <w:r/>
    </w:p>
    <w:p>
      <w:pPr>
        <w:pStyle w:val="8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第二部分 响应文件的组成</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（一）《承诺书》（加盖</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（二）《磋商报价表》（加盖</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（三）其他文件，包括：</w:t>
      </w:r>
      <w:r/>
    </w:p>
    <w:p>
      <w:pPr>
        <w:ind w:firstLine="472"/>
        <w:spacing w:line="360" w:lineRule="auto"/>
        <w:rPr>
          <w:rFonts w:hint="eastAsia" w:ascii="仿宋_GB2312" w:hAnsi="仿宋_GB2312" w:eastAsia="仿宋_GB2312" w:cs="仿宋_GB2312"/>
          <w:b/>
          <w:bCs/>
          <w:color w:val="auto"/>
          <w:sz w:val="24"/>
        </w:rPr>
      </w:pPr>
      <w:r>
        <w:rPr>
          <w:rFonts w:hint="eastAsia" w:ascii="仿宋_GB2312" w:hAnsi="仿宋_GB2312" w:eastAsia="仿宋_GB2312" w:cs="仿宋_GB2312"/>
          <w:b/>
          <w:bCs/>
          <w:color w:val="auto"/>
          <w:sz w:val="24"/>
        </w:rPr>
        <w:t xml:space="preserve">1、供应商的资格证明文件（必须提供，否则投标将被拒绝）</w:t>
      </w:r>
      <w:r/>
    </w:p>
    <w:p>
      <w:pPr>
        <w:ind w:firstLine="472"/>
        <w:spacing w:line="360" w:lineRule="auto"/>
        <w:rPr>
          <w:rFonts w:hint="eastAsia" w:ascii="仿宋_GB2312" w:hAnsi="仿宋_GB2312" w:eastAsia="仿宋_GB2312" w:cs="仿宋_GB2312"/>
          <w:b w:val="0"/>
          <w:bCs w:val="0"/>
          <w:color w:val="auto"/>
          <w:sz w:val="24"/>
        </w:rPr>
      </w:pPr>
      <w:r/>
      <w:bookmarkStart w:id="3" w:name="OLE_LINK7"/>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1</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具有独立承担民事责任的能力，提供投标人合法有效的法人的营业执照或其他组织应提供合法证明文件的原件扫描件(加盖电子签章)。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2</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财务状况报告，至少提供：即提供投标人的本项目开标时间前6个月内任何1月（不含开标当月）的资产负债表原件的扫描件1份；投标人的本项目开标时间前6个月内任何1月（不含开标当月）利润表月报表原件的扫描件1份(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3</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4</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具备履行合同所必需的设备和专业技术能力的证明材料提供具备履行合同所必需的设备和专业技术能力的书面声明（加盖电子签章，格式见《磋商文件》附件）；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5</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投标人参加政府采购活动前3年内在经营活动中没有重大违法记录的书面声明（加盖电子签章，格式见《磋商文件》附件）。</w:t>
      </w:r>
      <w:r/>
    </w:p>
    <w:p>
      <w:pPr>
        <w:ind w:firstLine="472"/>
        <w:spacing w:line="360" w:lineRule="auto"/>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lang w:val="en-US" w:eastAsia="zh-CN"/>
        </w:rPr>
        <w:t xml:space="preserve">6</w:t>
      </w:r>
      <w:r>
        <w:rPr>
          <w:rFonts w:hint="eastAsia" w:ascii="仿宋_GB2312" w:hAnsi="仿宋_GB2312" w:eastAsia="仿宋_GB2312" w:cs="仿宋_GB2312"/>
          <w:b w:val="0"/>
          <w:bCs w:val="0"/>
          <w:color w:val="auto"/>
          <w:sz w:val="24"/>
          <w:lang w:eastAsia="zh-CN"/>
        </w:rPr>
        <w:t xml:space="preserve">）</w:t>
      </w:r>
      <w:r>
        <w:rPr>
          <w:rFonts w:hint="eastAsia" w:ascii="仿宋_GB2312" w:hAnsi="仿宋_GB2312" w:eastAsia="仿宋_GB2312" w:cs="仿宋_GB2312"/>
          <w:b w:val="0"/>
          <w:bCs w:val="0"/>
          <w:color w:val="auto"/>
          <w:sz w:val="24"/>
        </w:rPr>
        <w:t xml:space="preserve">此项目属于专门面向中小微企业采购的项目，供应商应为中小微企业、监狱企业、残疾人福利性单位。提供《中小企业声明函》（必须提供，填写完整，加盖电子签章，如不填写完整，视为无效，格式见《磋商文件》附件）。</w:t>
      </w:r>
      <w:bookmarkEnd w:id="3"/>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2、授权委托书</w:t>
      </w:r>
      <w:r>
        <w:rPr>
          <w:rFonts w:hint="eastAsia" w:ascii="仿宋_GB2312" w:hAnsi="仿宋_GB2312" w:eastAsia="仿宋_GB2312" w:cs="仿宋_GB2312"/>
          <w:color w:val="auto"/>
          <w:sz w:val="24"/>
        </w:rPr>
        <w:t xml:space="preserve">（原件扫描上传并加盖电子签章，格式见《磋商文件》附件）；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3、偏离表</w:t>
      </w:r>
      <w:r>
        <w:rPr>
          <w:rFonts w:hint="eastAsia" w:ascii="仿宋_GB2312" w:hAnsi="仿宋_GB2312" w:eastAsia="仿宋_GB2312" w:cs="仿宋_GB2312"/>
          <w:color w:val="auto"/>
          <w:sz w:val="24"/>
        </w:rPr>
        <w:t xml:space="preserve">（上传并加盖电子签章，格式见《磋商文件》附件）；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4、投标所要求的其他证明材料等（如有）</w:t>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5、供应商为监狱企业的，提供省级以上监狱管理局、戒毒管理局（含新疆生产建设兵团）出具的属于监狱企业的证明文件原件扫描上传并加盖电子签章。</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注：具体以《财政部 司法部关于政府采购支持监狱企业发展有关问题的通知》（财库〔2014〕68号）的规定为准(非必须提供）。</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6、供应商如为中小企业（含中型、小型、微型企业，下同）的，需提供《中小企业声明函》（上传并加盖电子签章，填写完整。格式见《磋商文件》附件）。《中小企业声明函》查询渠道参考工业和信息化部发布的中小企业规模自测小程序。</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注：中小微企业，应当符合以下条件：</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投标人为残疾人福利性单位的，视同小微企业，提供《残疾人福利性单位声明函》（原件扫描并加盖电子签章，格式见《磋商文件》附件）。具体以《关于促进残疾人就业政府采购政策的通知》（财库〔2017〕141号）的规定为准。</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投标人为监狱企业的，视同小微企业，提供省级以上监狱管理局、戒毒管理局（含新疆生产建设兵团）出具的属于监狱企业的证明文件原件扫描上传并加盖电子签章。具体以《财政部 司法部关于政府采购支持监狱企业发展有关问题的通知》（财库〔2014〕68号）的规定为准。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7、供应商为享受政府采购支持政策的残疾人福利性单位的，提供《残疾人福利性单位声明函》（上传并加盖电子签章，格式见《磋商文件》附件，非必须提供）。</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享受政府采购支持政策的残疾人福利性单位应当同时满足以下条件：</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（一）安置的残疾人占本单位在职职工人数的比例不低于25%（含25%），并且安置的残疾人人数不少于10人（含10人）；</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（二）依法与安置的每位残疾人签订了一年以上（含一年）的劳动合同或服务协议；</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（三）为安置的每位残疾人按月足额缴纳了基本养老保险、基本医疗保险、失业保险、工伤保险和生育保险等社会保险费；</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（四）通过银行等金融机构向安置的每位残疾人，按月支付了不低于单位所在区县适用的经省级人民政府批准的月最低工资标准的工资；</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（五）提供本单位制造的货物、承担的工程或者服务（以下简称产品），或者提供其他残疾人福利性单位制造的货物（不包括使用非残疾人福利性单位注册商标的货物）。</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具体以《三部门联合发布关于促进残疾人就业政府采购政策的通知》（财库〔2017〕141号）规定为准。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8、“环境标志产品” 有关证明材料（如有）。</w:t>
      </w:r>
      <w:r/>
    </w:p>
    <w:p>
      <w:pPr>
        <w:ind w:firstLine="708"/>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所选用的产品列入中华人民共和国财政部、中华人民共和国环境保护部发布的“环境标志产品政府采购清单”，且在有效时间内（即“首次响应文件开启时间”当天在“认证证书有效截止日期”内）的，提供环境标志产品” 有关证明材料原件扫描上传并加盖电子签章。</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9、“节能产品” 有关证明材料（如有）。</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所选用的产品列入中华人民共和国财政部、中华人民共和国国家发展和改革委员会发布的“节能产品政府采购清单”，且在有效时间内（即首次响应文件开启时间”当天在“认证证书有效截止日期”内）的，提供“节能产品” 有关证明材料原件扫描上传并加盖电子签章。</w:t>
      </w:r>
      <w:r/>
    </w:p>
    <w:p>
      <w:pPr>
        <w:pStyle w:val="8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第四章 磋商相关说明</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十二、评审程序：</w:t>
      </w:r>
      <w:r/>
    </w:p>
    <w:p>
      <w:pPr>
        <w:ind w:firstLine="472"/>
        <w:spacing w:line="360" w:lineRule="auto"/>
        <w:rPr>
          <w:rFonts w:hint="eastAsia" w:ascii="仿宋_GB2312" w:hAnsi="仿宋_GB2312" w:eastAsia="仿宋_GB2312" w:cs="仿宋_GB2312"/>
          <w:b/>
          <w:bCs/>
          <w:color w:val="auto"/>
          <w:sz w:val="24"/>
        </w:rPr>
      </w:pPr>
      <w:r>
        <w:rPr>
          <w:rFonts w:hint="eastAsia" w:ascii="仿宋_GB2312" w:hAnsi="仿宋_GB2312" w:eastAsia="仿宋_GB2312" w:cs="仿宋_GB2312"/>
          <w:color w:val="auto"/>
          <w:sz w:val="24"/>
        </w:rPr>
        <w:t xml:space="preserve">磋商方式：</w:t>
      </w:r>
      <w:r>
        <w:rPr>
          <w:rFonts w:hint="eastAsia" w:ascii="仿宋" w:hAnsi="仿宋" w:eastAsia="仿宋" w:cs="仿宋"/>
          <w:bCs/>
          <w:color w:val="auto"/>
          <w:sz w:val="24"/>
          <w:szCs w:val="24"/>
          <w:highlight w:val="none"/>
        </w:rPr>
        <w:t xml:space="preserve">磋商方式：</w:t>
      </w:r>
      <w:r>
        <w:rPr>
          <w:rFonts w:hint="eastAsia" w:ascii="仿宋" w:hAnsi="仿宋" w:eastAsia="仿宋" w:cs="仿宋"/>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b/>
          <w:color w:val="auto"/>
          <w:sz w:val="24"/>
          <w:szCs w:val="24"/>
          <w:highlight w:val="none"/>
          <w:lang w:eastAsia="zh-CN"/>
        </w:rPr>
        <w:t xml:space="preserve">，磋商结束后，请及时对磋商进行磋商函响应，未响应的视同放弃</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w:t>
      </w:r>
      <w:r>
        <w:rPr>
          <w:rFonts w:hint="eastAsia" w:ascii="仿宋_GB2312" w:hAnsi="仿宋_GB2312" w:eastAsia="仿宋_GB2312" w:cs="仿宋_GB2312"/>
          <w:b/>
          <w:bCs/>
          <w:color w:val="auto"/>
          <w:sz w:val="24"/>
        </w:rPr>
        <w:t xml:space="preserve">本项目报价采用二轮报价，投标人应凭CA数字证书以及自备的能够登录“苏采云”系统的电脑在规定时间内进行二轮报价，如未报价，视为响应无效，将不参与后续评标。</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经磋商确定最终采购需求和提交最后报价的供应商后，由磋商小组采用综合评分法对提交最后报价的供应商的响应文件和最后报价进行综合评分。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按响应无效处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注：评审过程中出现下列情形之一的，评审委员会应当启动异常低价投标（响应）审查程序：</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①投标（响应）报价低于采购项目预算50%的，即投标（响应）报价&lt;采购项目预算×50%；</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②投标（响应）报价低于最高限价45%的，即投标（响应）报价&lt;采购项目预算×45%；</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③评审委员会认定的供应商报价过低、有可能影响产品质量或者不能诚信履约的其他情形。</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在评审过程中，磋商小组应当要求其在评审现场合理的时间内提供成本构成书面说明，并递交相关证明材料。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响应处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十三、评审方法和评审标准：</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1、评审方法：综合评分法</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评审标准：本项目选用综合评分法，即竞争性磋商响应文件满足竞争性磋商文件全部实质性要求，且按照评审因素的量化指标评审得分最高的供应商为成交候选人。综合评分的主要因素是：报价、技术、综合实力、实施方案、售后服务，以及相应的比重或者权值等。详见《磋商文件》第八章附件《评分细则》。</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十四、磋商过程中可能实质性变动的内容：</w:t>
      </w:r>
      <w:r/>
    </w:p>
    <w:p>
      <w:pPr>
        <w:ind w:firstLine="472"/>
        <w:spacing w:line="360" w:lineRule="auto"/>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在磋商过程中，磋商小组可以根据《磋商文件》和磋商情况实质性变动采购需求中的技术、服务要求以及合同草案条款。</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 xml:space="preserve">十五、</w:t>
      </w:r>
      <w:r>
        <w:rPr>
          <w:rFonts w:hint="eastAsia" w:ascii="仿宋_GB2312" w:hAnsi="仿宋_GB2312" w:eastAsia="仿宋_GB2312" w:cs="仿宋_GB2312"/>
          <w:color w:val="auto"/>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0"/>
        <w:rPr>
          <w:rFonts w:hint="eastAsia" w:ascii="仿宋_GB2312" w:hAnsi="仿宋_GB2312" w:eastAsia="仿宋_GB2312" w:cs="仿宋_GB2312"/>
          <w:bCs w:val="0"/>
          <w:color w:val="auto"/>
          <w:sz w:val="24"/>
          <w:szCs w:val="24"/>
        </w:rPr>
      </w:pPr>
      <w:r>
        <w:rPr>
          <w:rFonts w:hint="eastAsia" w:ascii="仿宋_GB2312" w:hAnsi="仿宋_GB2312" w:eastAsia="仿宋_GB2312" w:cs="仿宋_GB2312"/>
          <w:color w:val="auto"/>
          <w:sz w:val="24"/>
          <w:szCs w:val="24"/>
        </w:rPr>
        <w:t xml:space="preserve">第五章 确定成交供应商及合同签订等</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十六、成交结果确认：</w:t>
      </w:r>
      <w:r/>
    </w:p>
    <w:p>
      <w:pPr>
        <w:ind w:firstLine="472"/>
        <w:spacing w:line="360" w:lineRule="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72"/>
        <w:spacing w:line="360" w:lineRule="auto"/>
        <w:rPr>
          <w:rFonts w:hint="eastAsia" w:ascii="仿宋_GB2312" w:hAnsi="仿宋_GB2312" w:eastAsia="仿宋_GB2312" w:cs="仿宋_GB2312"/>
          <w:bCs/>
          <w:color w:val="auto"/>
          <w:sz w:val="24"/>
        </w:rPr>
      </w:pPr>
      <w:r>
        <w:rPr>
          <w:rFonts w:hint="eastAsia" w:ascii="仿宋_GB2312" w:hAnsi="仿宋_GB2312" w:eastAsia="仿宋_GB2312" w:cs="仿宋_GB2312"/>
          <w:b/>
          <w:color w:val="auto"/>
          <w:sz w:val="24"/>
        </w:rPr>
        <w:t xml:space="preserve">十七、</w:t>
      </w:r>
      <w:r>
        <w:rPr>
          <w:rFonts w:hint="eastAsia" w:ascii="仿宋_GB2312" w:hAnsi="仿宋_GB2312" w:eastAsia="仿宋_GB2312" w:cs="仿宋_GB2312"/>
          <w:bCs/>
          <w:color w:val="auto"/>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72"/>
        <w:spacing w:line="360" w:lineRule="auto"/>
        <w:rPr>
          <w:rFonts w:hint="eastAsia" w:ascii="仿宋_GB2312" w:hAnsi="仿宋_GB2312" w:eastAsia="仿宋_GB2312" w:cs="仿宋_GB2312"/>
          <w:bCs/>
          <w:color w:val="auto"/>
          <w:sz w:val="24"/>
        </w:rPr>
      </w:pPr>
      <w:r>
        <w:rPr>
          <w:rFonts w:hint="eastAsia" w:ascii="仿宋_GB2312" w:hAnsi="仿宋_GB2312" w:eastAsia="仿宋_GB2312" w:cs="仿宋_GB2312"/>
          <w:b/>
          <w:color w:val="auto"/>
          <w:sz w:val="24"/>
        </w:rPr>
        <w:t xml:space="preserve">十八、</w:t>
      </w:r>
      <w:r>
        <w:rPr>
          <w:rFonts w:hint="eastAsia" w:ascii="仿宋_GB2312" w:hAnsi="仿宋_GB2312" w:eastAsia="仿宋_GB2312" w:cs="仿宋_GB2312"/>
          <w:bCs/>
          <w:color w:val="auto"/>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十九、成交结果公告</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自在采购结果确认后，采购代理机构将在法定网站发布成交公告，将采购结果告知采购当事人，成交结果在</w:t>
      </w:r>
      <w:r>
        <w:rPr>
          <w:rFonts w:hint="eastAsia" w:ascii="仿宋_GB2312" w:hAnsi="仿宋_GB2312" w:eastAsia="仿宋_GB2312" w:cs="仿宋_GB2312"/>
          <w:b/>
          <w:color w:val="auto"/>
          <w:sz w:val="24"/>
        </w:rPr>
        <w:t xml:space="preserve">徐州政府采购网https://czj.xz.gov.cn/zfcg/index.html</w:t>
      </w:r>
      <w:r>
        <w:rPr>
          <w:rFonts w:hint="eastAsia" w:ascii="仿宋_GB2312" w:hAnsi="仿宋_GB2312" w:eastAsia="仿宋_GB2312" w:cs="仿宋_GB2312"/>
          <w:color w:val="auto"/>
          <w:sz w:val="24"/>
        </w:rPr>
        <w:t xml:space="preserve">上公布。</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采购人：</w:t>
      </w:r>
      <w:r>
        <w:rPr>
          <w:rFonts w:hint="eastAsia" w:ascii="仿宋_GB2312" w:hAnsi="仿宋_GB2312" w:eastAsia="仿宋_GB2312" w:cs="仿宋_GB2312"/>
          <w:color w:val="auto"/>
          <w:sz w:val="24"/>
          <w:lang w:eastAsia="zh-CN"/>
        </w:rPr>
        <w:t xml:space="preserve">徐州市新沂生态环境局</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联系人：</w:t>
      </w:r>
      <w:r>
        <w:rPr>
          <w:rFonts w:ascii="仿宋" w:hAnsi="仿宋" w:eastAsia="仿宋" w:cs="仿宋"/>
          <w:i w:val="0"/>
          <w:caps w:val="0"/>
          <w:color w:val="auto"/>
          <w:spacing w:val="0"/>
          <w:sz w:val="24"/>
          <w:szCs w:val="24"/>
          <w:shd w:val="clear" w:color="auto" w:fill="ffffff"/>
        </w:rPr>
        <w:t xml:space="preserve">王可</w:t>
      </w:r>
      <w:r/>
    </w:p>
    <w:p>
      <w:pPr>
        <w:ind w:firstLine="472"/>
        <w:spacing w:line="360"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eastAsia="zh-CN"/>
        </w:rPr>
        <w:t xml:space="preserve">联系电话：</w:t>
      </w:r>
      <w:r>
        <w:rPr>
          <w:rFonts w:ascii="仿宋" w:hAnsi="仿宋" w:eastAsia="仿宋" w:cs="仿宋"/>
          <w:i w:val="0"/>
          <w:caps w:val="0"/>
          <w:color w:val="auto"/>
          <w:spacing w:val="0"/>
          <w:sz w:val="24"/>
          <w:szCs w:val="24"/>
          <w:shd w:val="clear" w:color="auto" w:fill="ffffff"/>
        </w:rPr>
        <w:t xml:space="preserve">15852291330</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采购代理公司：江苏天元房地产评估造价集团有限公司</w:t>
      </w:r>
      <w:r/>
    </w:p>
    <w:p>
      <w:pPr>
        <w:ind w:firstLine="472"/>
        <w:spacing w:line="360" w:lineRule="auto"/>
        <w:rPr>
          <w:rFonts w:hint="eastAsia" w:ascii="仿宋_GB2312" w:hAnsi="仿宋_GB2312" w:eastAsia="仿宋_GB2312" w:cs="仿宋_GB2312"/>
          <w:color w:val="auto"/>
          <w:sz w:val="24"/>
          <w:lang w:val="en-US" w:eastAsia="zh-CN"/>
        </w:rPr>
      </w:pPr>
      <w:r/>
      <w:bookmarkStart w:id="4" w:name="OLE_LINK3"/>
      <w:r>
        <w:rPr>
          <w:rFonts w:hint="eastAsia" w:ascii="仿宋_GB2312" w:hAnsi="仿宋_GB2312" w:eastAsia="仿宋_GB2312" w:cs="仿宋_GB2312"/>
          <w:color w:val="auto"/>
          <w:sz w:val="24"/>
          <w:lang w:eastAsia="zh-CN"/>
        </w:rPr>
        <w:t xml:space="preserve">联系人：</w:t>
      </w:r>
      <w:bookmarkStart w:id="5" w:name="OLE_LINK4"/>
      <w:r>
        <w:rPr>
          <w:rFonts w:hint="eastAsia" w:ascii="仿宋_GB2312" w:hAnsi="仿宋_GB2312" w:eastAsia="仿宋_GB2312" w:cs="仿宋_GB2312"/>
          <w:color w:val="auto"/>
          <w:sz w:val="24"/>
          <w:lang w:val="en-US" w:eastAsia="zh-CN"/>
        </w:rPr>
        <w:t xml:space="preserve">张楚涵</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电  话：</w:t>
      </w:r>
      <w:bookmarkEnd w:id="4"/>
      <w:r>
        <w:rPr>
          <w:rFonts w:hint="eastAsia" w:ascii="仿宋_GB2312" w:hAnsi="仿宋_GB2312" w:eastAsia="仿宋_GB2312" w:cs="仿宋_GB2312"/>
          <w:color w:val="auto"/>
          <w:sz w:val="24"/>
          <w:lang w:val="en-US" w:eastAsia="zh-CN"/>
        </w:rPr>
        <w:t xml:space="preserve">18020559535</w:t>
      </w:r>
      <w:bookmarkEnd w:id="5"/>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联系地址：</w:t>
      </w:r>
      <w:r>
        <w:rPr>
          <w:rFonts w:hint="eastAsia" w:ascii="仿宋_GB2312" w:hAnsi="仿宋_GB2312" w:eastAsia="仿宋_GB2312" w:cs="仿宋_GB2312"/>
          <w:color w:val="auto"/>
          <w:sz w:val="24"/>
          <w:lang w:val="en-US" w:eastAsia="zh-CN"/>
        </w:rPr>
        <w:t xml:space="preserve">新沂市公园路天元咨询</w:t>
      </w:r>
      <w:r/>
    </w:p>
    <w:p>
      <w:p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br w:type="page" w:clear="all"/>
      </w:r>
      <w:r/>
    </w:p>
    <w:p>
      <w:pPr>
        <w:pStyle w:val="80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第六章 磋商文件的澄清或者修改</w:t>
      </w:r>
      <w:r/>
    </w:p>
    <w:p>
      <w:pPr>
        <w:ind w:firstLine="472"/>
        <w:spacing w:line="360" w:lineRule="auto"/>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二十、《磋商文件》的澄清或者修改：</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第七章 询问和质疑</w:t>
      </w:r>
      <w:r/>
    </w:p>
    <w:p>
      <w:pPr>
        <w:ind w:firstLine="472"/>
        <w:spacing w:line="360" w:lineRule="auto"/>
        <w:widowControl/>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二十一、询问和质疑：</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72"/>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72"/>
        <w:spacing w:line="360"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 xml:space="preserve">质疑接收人：</w:t>
      </w:r>
      <w:r>
        <w:rPr>
          <w:rFonts w:hint="eastAsia" w:ascii="仿宋_GB2312" w:hAnsi="仿宋_GB2312" w:eastAsia="仿宋_GB2312" w:cs="仿宋_GB2312"/>
          <w:color w:val="auto"/>
          <w:sz w:val="24"/>
          <w:lang w:val="en-US" w:eastAsia="zh-CN"/>
        </w:rPr>
        <w:t xml:space="preserve">张楚涵</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电  话：</w:t>
      </w:r>
      <w:r>
        <w:rPr>
          <w:rFonts w:hint="eastAsia" w:ascii="仿宋_GB2312" w:hAnsi="仿宋_GB2312" w:eastAsia="仿宋_GB2312" w:cs="仿宋_GB2312"/>
          <w:color w:val="auto"/>
          <w:sz w:val="24"/>
          <w:lang w:val="en-US" w:eastAsia="zh-CN"/>
        </w:rPr>
        <w:t xml:space="preserve">18020559535</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地址：</w:t>
      </w:r>
      <w:r>
        <w:rPr>
          <w:rFonts w:hint="eastAsia" w:ascii="仿宋_GB2312" w:hAnsi="仿宋_GB2312" w:eastAsia="仿宋_GB2312" w:cs="仿宋_GB2312"/>
          <w:color w:val="auto"/>
          <w:sz w:val="24"/>
          <w:lang w:val="en-US" w:eastAsia="zh-CN"/>
        </w:rPr>
        <w:t xml:space="preserve">新沂市公园路天元咨询</w:t>
      </w:r>
      <w:r/>
    </w:p>
    <w:p>
      <w:pPr>
        <w:pStyle w:val="800"/>
        <w:numPr>
          <w:ilvl w:val="0"/>
          <w:numId w:val="1"/>
        </w:num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br w:type="page" w:clear="all"/>
      </w:r>
      <w:r>
        <w:rPr>
          <w:rFonts w:hint="eastAsia" w:ascii="仿宋_GB2312" w:hAnsi="仿宋_GB2312" w:eastAsia="仿宋_GB2312" w:cs="仿宋_GB2312"/>
          <w:color w:val="auto"/>
          <w:sz w:val="24"/>
          <w:szCs w:val="24"/>
        </w:rPr>
        <w:t xml:space="preserve">附  件</w:t>
      </w:r>
      <w:r/>
    </w:p>
    <w:p>
      <w:pPr>
        <w:ind w:firstLine="472"/>
        <w:spacing w:line="360" w:lineRule="auto"/>
        <w:widowControl/>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二十二、附件：附后</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1、《评分细则》</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2、《采购需求》</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3、《磋商报价表》</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4、《偏离表》</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5、《承诺书》</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6、《法人授权委托书》</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7、《供应商参加政府采购活动前3年内在经营活动中没有重大违法记录的书面声明》</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8、《中小企业声明函》</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9、《残疾人福利性单位声明函》</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10、《方案》</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11、《合同草案条款》</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12、《具备履行合同所必需的设备和专业技术能力的书面声明》</w:t>
      </w:r>
      <w:r/>
    </w:p>
    <w:p>
      <w:pPr>
        <w:ind w:firstLine="472"/>
        <w:spacing w:line="360" w:lineRule="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13、《招标代理服务收费标准》</w:t>
      </w:r>
      <w:r/>
    </w:p>
    <w:p>
      <w:pPr>
        <w:pStyle w:val="96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78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78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78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78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78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br w:type="page" w:clear="all"/>
      </w:r>
      <w:r/>
    </w:p>
    <w:p>
      <w:pPr>
        <w:ind w:firstLine="480"/>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1、评分细则</w:t>
      </w:r>
      <w:bookmarkStart w:id="6" w:name="第六章__采购需求"/>
      <w:r/>
      <w:bookmarkEnd w:id="6"/>
      <w:r/>
      <w:r/>
    </w:p>
    <w:p>
      <w:pPr>
        <w:rPr>
          <w:rStyle w:val="961"/>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tbl>
      <w:tblPr>
        <w:tblStyle w:val="714"/>
        <w:tblW w:w="93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275"/>
        <w:gridCol w:w="7052"/>
      </w:tblGrid>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0"/>
              <w:jc w:val="center"/>
              <w:keepLines w:val="0"/>
              <w:keepNext w:val="0"/>
              <w:pageBreakBefore w:val="0"/>
              <w:spacing w:before="93" w:line="240" w:lineRule="auto"/>
              <w:rPr>
                <w:rFonts w:hint="eastAsia" w:ascii="仿宋" w:hAnsi="仿宋" w:eastAsia="仿宋" w:cs="仿宋"/>
                <w:b/>
                <w:bCs/>
                <w:color w:val="auto"/>
                <w:sz w:val="24"/>
              </w:rPr>
              <w:outlineLvl w:val="9"/>
            </w:pPr>
            <w:r>
              <w:rPr>
                <w:rFonts w:hint="eastAsia" w:ascii="仿宋" w:hAnsi="仿宋" w:eastAsia="仿宋" w:cs="仿宋"/>
                <w:b/>
                <w:bCs/>
                <w:color w:val="auto"/>
                <w:sz w:val="24"/>
              </w:rPr>
              <w:t xml:space="preserve">项目</w:t>
            </w:r>
            <w:r/>
          </w:p>
        </w:tc>
        <w:tc>
          <w:tcPr>
            <w:gridSpan w:val="2"/>
            <w:tcBorders>
              <w:top w:val="single" w:color="000000" w:sz="4" w:space="0"/>
              <w:left w:val="single" w:color="000000" w:sz="4" w:space="0"/>
              <w:bottom w:val="single" w:color="000000" w:sz="4" w:space="0"/>
              <w:right w:val="single" w:color="000000" w:sz="4" w:space="0"/>
            </w:tcBorders>
            <w:tcW w:w="8327" w:type="dxa"/>
            <w:vAlign w:val="center"/>
            <w:textDirection w:val="lrTb"/>
            <w:noWrap w:val="false"/>
          </w:tcPr>
          <w:p>
            <w:pPr>
              <w:ind w:firstLine="0"/>
              <w:jc w:val="center"/>
              <w:keepLines w:val="0"/>
              <w:keepNext w:val="0"/>
              <w:pageBreakBefore w:val="0"/>
              <w:spacing w:before="93" w:line="240" w:lineRule="auto"/>
              <w:rPr>
                <w:rFonts w:hint="eastAsia" w:ascii="仿宋" w:hAnsi="仿宋" w:eastAsia="仿宋" w:cs="仿宋"/>
                <w:b/>
                <w:bCs/>
                <w:color w:val="auto"/>
                <w:sz w:val="24"/>
              </w:rPr>
              <w:outlineLvl w:val="9"/>
            </w:pPr>
            <w:r>
              <w:rPr>
                <w:rFonts w:hint="eastAsia" w:ascii="仿宋" w:hAnsi="仿宋" w:eastAsia="仿宋" w:cs="仿宋"/>
                <w:b/>
                <w:bCs/>
                <w:color w:val="auto"/>
                <w:sz w:val="24"/>
              </w:rPr>
              <w:t xml:space="preserve">评分办法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b/>
                <w:bCs/>
                <w:color w:val="auto"/>
                <w:sz w:val="24"/>
              </w:rPr>
              <w:outlineLvl w:val="9"/>
            </w:pPr>
            <w:r>
              <w:rPr>
                <w:rFonts w:hint="eastAsia" w:ascii="仿宋" w:hAnsi="仿宋" w:eastAsia="仿宋" w:cs="仿宋"/>
                <w:color w:val="auto"/>
                <w:sz w:val="24"/>
              </w:rPr>
              <w:t xml:space="preserve">价格（</w:t>
            </w:r>
            <w:r>
              <w:rPr>
                <w:rFonts w:hint="eastAsia" w:ascii="仿宋" w:hAnsi="仿宋" w:eastAsia="仿宋" w:cs="仿宋"/>
                <w:color w:val="auto"/>
                <w:sz w:val="24"/>
                <w:lang w:val="zh-CN"/>
              </w:rPr>
              <w:t xml:space="preserve">1</w:t>
            </w:r>
            <w:r>
              <w:rPr>
                <w:rFonts w:hint="eastAsia" w:ascii="仿宋" w:hAnsi="仿宋" w:eastAsia="仿宋" w:cs="仿宋"/>
                <w:color w:val="auto"/>
                <w:sz w:val="24"/>
              </w:rPr>
              <w:t xml:space="preserve">0</w:t>
            </w:r>
            <w:r>
              <w:rPr>
                <w:rFonts w:hint="eastAsia" w:ascii="仿宋" w:hAnsi="仿宋" w:eastAsia="仿宋" w:cs="仿宋"/>
                <w:color w:val="auto"/>
                <w:sz w:val="24"/>
                <w:lang w:val="zh-CN"/>
              </w:rPr>
              <w:t xml:space="preserve">分</w:t>
            </w:r>
            <w:r>
              <w:rPr>
                <w:rFonts w:hint="eastAsia" w:ascii="仿宋" w:hAnsi="仿宋" w:eastAsia="仿宋" w:cs="仿宋"/>
                <w:color w:val="auto"/>
                <w:sz w:val="24"/>
              </w:rPr>
              <w:t xml:space="preserve">）</w:t>
            </w:r>
            <w:r/>
          </w:p>
        </w:tc>
        <w:tc>
          <w:tcPr>
            <w:gridSpan w:val="2"/>
            <w:tcBorders>
              <w:top w:val="single" w:color="000000" w:sz="4" w:space="0"/>
              <w:left w:val="single" w:color="000000" w:sz="4" w:space="0"/>
              <w:bottom w:val="single" w:color="000000" w:sz="4" w:space="0"/>
              <w:right w:val="single" w:color="000000" w:sz="4" w:space="0"/>
            </w:tcBorders>
            <w:tcW w:w="8327"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bookmarkStart w:id="7" w:name="OLE_LINK13"/>
            <w:r>
              <w:rPr>
                <w:rFonts w:hint="eastAsia" w:ascii="仿宋" w:hAnsi="仿宋" w:eastAsia="仿宋" w:cs="仿宋"/>
                <w:color w:val="auto"/>
                <w:sz w:val="24"/>
              </w:rPr>
              <w:t xml:space="preserve">采用低价优先法计算，即满足磋商文件要求且最后报价最低的供应商的价格为磋商基准价，其价格分为满分。其他供应商的价格分统一按照下列公式计算：磋商报价得分=（磋商基准价/最后磋商报价）×10。</w:t>
            </w:r>
            <w:bookmarkEnd w:id="7"/>
            <w:r/>
            <w:r/>
          </w:p>
        </w:tc>
      </w:tr>
      <w:tr>
        <w:trPr>
          <w:jc w:val="center"/>
          <w:trHeight w:val="1656"/>
        </w:trPr>
        <w:tc>
          <w:tcPr>
            <w:tcBorders>
              <w:top w:val="single" w:color="000000" w:sz="4" w:space="0"/>
              <w:left w:val="single" w:color="000000" w:sz="4" w:space="0"/>
              <w:right w:val="single" w:color="000000" w:sz="4" w:space="0"/>
            </w:tcBorders>
            <w:tcW w:w="988" w:type="dxa"/>
            <w:vAlign w:val="center"/>
            <w:vMerge w:val="restart"/>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lang w:val="en-US" w:eastAsia="zh-CN"/>
              </w:rPr>
              <w:outlineLvl w:val="9"/>
            </w:pPr>
            <w:r>
              <w:rPr>
                <w:rFonts w:hint="eastAsia" w:ascii="仿宋" w:hAnsi="仿宋" w:eastAsia="仿宋" w:cs="仿宋"/>
                <w:color w:val="auto"/>
                <w:sz w:val="24"/>
                <w:lang w:val="en-US" w:eastAsia="zh-CN"/>
              </w:rPr>
              <w:t xml:space="preserve">商务部分（36分）</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center"/>
              <w:keepLines w:val="0"/>
              <w:keepNext w:val="0"/>
              <w:pageBreakBefore w:val="0"/>
              <w:spacing w:line="240" w:lineRule="auto"/>
              <w:rPr>
                <w:rFonts w:hint="eastAsia" w:ascii="仿宋" w:hAnsi="仿宋" w:eastAsia="仿宋" w:cs="仿宋"/>
                <w:color w:val="auto"/>
                <w:sz w:val="24"/>
                <w:highlight w:val="none"/>
              </w:rPr>
              <w:outlineLvl w:val="9"/>
            </w:pPr>
            <w:r/>
            <w:bookmarkStart w:id="8" w:name="OLE_LINK21"/>
            <w:r>
              <w:rPr>
                <w:rFonts w:hint="eastAsia" w:ascii="仿宋" w:hAnsi="仿宋" w:eastAsia="仿宋" w:cs="仿宋"/>
                <w:color w:val="auto"/>
                <w:sz w:val="24"/>
                <w:highlight w:val="none"/>
              </w:rPr>
              <w:t xml:space="preserve">业绩</w:t>
            </w:r>
            <w:bookmarkEnd w:id="8"/>
            <w:r/>
          </w:p>
          <w:p>
            <w:pPr>
              <w:ind w:firstLine="0"/>
              <w:jc w:val="center"/>
              <w:keepLines w:val="0"/>
              <w:keepNext w:val="0"/>
              <w:pageBreakBefore w:val="0"/>
              <w:spacing w:line="24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highlight w:val="none"/>
                <w:lang w:val="en-US" w:eastAsia="zh-CN"/>
              </w:rPr>
              <w:outlineLvl w:val="9"/>
            </w:pPr>
            <w:r/>
            <w:bookmarkStart w:id="9" w:name="OLE_LINK22"/>
            <w:r>
              <w:rPr>
                <w:rFonts w:hint="eastAsia" w:ascii="仿宋" w:hAnsi="仿宋" w:eastAsia="仿宋" w:cs="仿宋"/>
                <w:color w:val="auto"/>
                <w:sz w:val="24"/>
                <w:highlight w:val="none"/>
              </w:rPr>
              <w:t xml:space="preserve">投标人具备大气污染精准排查溯源及整治能力，自202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年0</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月01日以来，投标人承担过类似</w:t>
            </w:r>
            <w:r>
              <w:rPr>
                <w:rFonts w:hint="eastAsia" w:ascii="仿宋" w:hAnsi="仿宋" w:eastAsia="仿宋" w:cs="仿宋"/>
                <w:color w:val="auto"/>
                <w:sz w:val="24"/>
                <w:highlight w:val="none"/>
                <w:lang w:val="en-US" w:eastAsia="zh-CN"/>
              </w:rPr>
              <w:t xml:space="preserve">区域空气环境质量提升服务项目的，每有一项得1分，最高得4分。</w:t>
            </w:r>
            <w:r>
              <w:rPr>
                <w:rFonts w:hint="eastAsia" w:ascii="仿宋" w:hAnsi="仿宋" w:eastAsia="仿宋" w:cs="仿宋"/>
                <w:color w:val="auto"/>
                <w:sz w:val="24"/>
                <w:highlight w:val="none"/>
              </w:rPr>
              <w:t xml:space="preserve">以合同签订时间为准。</w:t>
            </w:r>
            <w:r/>
          </w:p>
          <w:p>
            <w:pPr>
              <w:ind w:firstLine="0"/>
              <w:keepLines w:val="0"/>
              <w:keepNext w:val="0"/>
              <w:pageBreakBefore w:val="0"/>
              <w:spacing w:line="240" w:lineRule="auto"/>
              <w:rPr>
                <w:rFonts w:hint="eastAsia" w:ascii="仿宋" w:hAnsi="仿宋" w:eastAsia="仿宋" w:cs="仿宋"/>
                <w:color w:val="auto"/>
                <w:sz w:val="24"/>
                <w:highlight w:val="none"/>
                <w:lang w:eastAsia="zh-CN"/>
              </w:rPr>
              <w:outlineLvl w:val="9"/>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提供合同原件扫描件</w:t>
            </w:r>
            <w:r>
              <w:rPr>
                <w:rFonts w:hint="eastAsia" w:ascii="仿宋" w:hAnsi="仿宋" w:eastAsia="仿宋" w:cs="仿宋"/>
                <w:b/>
                <w:bCs/>
                <w:color w:val="auto"/>
                <w:sz w:val="24"/>
                <w:highlight w:val="none"/>
                <w:lang w:val="en-US" w:eastAsia="zh-CN"/>
              </w:rPr>
              <w:t xml:space="preserve">并加盖电子签章</w:t>
            </w:r>
            <w:r>
              <w:rPr>
                <w:rFonts w:hint="eastAsia" w:ascii="仿宋" w:hAnsi="仿宋" w:eastAsia="仿宋" w:cs="仿宋"/>
                <w:b/>
                <w:bCs/>
                <w:color w:val="auto"/>
                <w:sz w:val="24"/>
                <w:highlight w:val="none"/>
              </w:rPr>
              <w:t xml:space="preserve">，未提供或提供不全不得分</w:t>
            </w:r>
            <w:r>
              <w:rPr>
                <w:rFonts w:hint="eastAsia" w:ascii="仿宋" w:hAnsi="仿宋" w:eastAsia="仿宋" w:cs="仿宋"/>
                <w:b/>
                <w:bCs/>
                <w:color w:val="auto"/>
                <w:sz w:val="24"/>
                <w:highlight w:val="none"/>
                <w:lang w:eastAsia="zh-CN"/>
              </w:rPr>
              <w:t xml:space="preserve">。</w:t>
            </w:r>
            <w:bookmarkEnd w:id="9"/>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rPr>
              <w:outlineLvl w:val="9"/>
            </w:pPr>
            <w:r/>
            <w:bookmarkStart w:id="10" w:name="OLE_LINK23"/>
            <w:r>
              <w:rPr>
                <w:rFonts w:hint="eastAsia" w:ascii="仿宋" w:hAnsi="仿宋" w:eastAsia="仿宋" w:cs="仿宋"/>
                <w:color w:val="auto"/>
                <w:sz w:val="24"/>
                <w:lang w:val="en-US" w:eastAsia="zh-CN"/>
              </w:rPr>
              <w:t xml:space="preserve">仪器设备</w:t>
            </w:r>
            <w:bookmarkEnd w:id="10"/>
            <w:r>
              <w:rPr>
                <w:rFonts w:hint="eastAsia" w:ascii="仿宋" w:hAnsi="仿宋" w:eastAsia="仿宋" w:cs="仿宋"/>
                <w:color w:val="auto"/>
                <w:sz w:val="24"/>
              </w:rPr>
              <w:t xml:space="preserve">（21分）</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highlight w:val="none"/>
                <w:shd w:val="clear" w:color="auto" w:fill="ffff00"/>
              </w:rPr>
              <w:outlineLvl w:val="9"/>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投标人提供的走航监测设备指标</w:t>
            </w:r>
            <w:r>
              <w:rPr>
                <w:rFonts w:hint="eastAsia" w:ascii="仿宋" w:hAnsi="仿宋" w:eastAsia="仿宋" w:cs="仿宋"/>
                <w:color w:val="auto"/>
                <w:sz w:val="24"/>
                <w:highlight w:val="none"/>
                <w:lang w:val="en-US" w:eastAsia="zh-CN"/>
              </w:rPr>
              <w:t xml:space="preserve">满足</w:t>
            </w:r>
            <w:r>
              <w:rPr>
                <w:rFonts w:hint="eastAsia" w:ascii="仿宋" w:hAnsi="仿宋" w:eastAsia="仿宋" w:cs="仿宋"/>
                <w:color w:val="auto"/>
                <w:sz w:val="24"/>
                <w:highlight w:val="none"/>
              </w:rPr>
              <w:t xml:space="preserve">带“▲”项每有一项</w:t>
            </w:r>
            <w:r>
              <w:rPr>
                <w:rFonts w:hint="eastAsia" w:ascii="仿宋" w:hAnsi="仿宋" w:eastAsia="仿宋" w:cs="仿宋"/>
                <w:color w:val="auto"/>
                <w:sz w:val="24"/>
                <w:highlight w:val="none"/>
                <w:lang w:val="en-US" w:eastAsia="zh-CN"/>
              </w:rPr>
              <w:t xml:space="preserve">得</w:t>
            </w:r>
            <w:r>
              <w:rPr>
                <w:rFonts w:hint="eastAsia" w:ascii="仿宋" w:hAnsi="仿宋" w:eastAsia="仿宋" w:cs="仿宋"/>
                <w:color w:val="auto"/>
                <w:sz w:val="24"/>
                <w:highlight w:val="none"/>
              </w:rPr>
              <w:t xml:space="preserve">2分，</w:t>
            </w:r>
            <w:r>
              <w:rPr>
                <w:rFonts w:hint="eastAsia" w:ascii="仿宋" w:hAnsi="仿宋" w:eastAsia="仿宋" w:cs="仿宋"/>
                <w:color w:val="auto"/>
                <w:sz w:val="24"/>
                <w:highlight w:val="none"/>
                <w:lang w:val="en-US" w:eastAsia="zh-CN"/>
              </w:rPr>
              <w:t xml:space="preserve">最高</w:t>
            </w:r>
            <w:bookmarkStart w:id="33" w:name="_GoBack"/>
            <w:r/>
            <w:bookmarkEnd w:id="33"/>
            <w:r>
              <w:rPr>
                <w:rFonts w:hint="eastAsia" w:ascii="仿宋" w:hAnsi="仿宋" w:eastAsia="仿宋" w:cs="仿宋"/>
                <w:color w:val="auto"/>
                <w:sz w:val="24"/>
                <w:highlight w:val="none"/>
                <w:lang w:val="en-US" w:eastAsia="zh-CN"/>
              </w:rPr>
              <w:t xml:space="preserve">得18分</w:t>
            </w:r>
            <w:r>
              <w:rPr>
                <w:rFonts w:hint="eastAsia" w:ascii="仿宋" w:hAnsi="仿宋" w:eastAsia="仿宋" w:cs="仿宋"/>
                <w:color w:val="auto"/>
                <w:sz w:val="24"/>
                <w:highlight w:val="none"/>
              </w:rPr>
              <w:t xml:space="preserve">。</w:t>
            </w:r>
            <w:r/>
          </w:p>
          <w:p>
            <w:pPr>
              <w:ind w:firstLine="0"/>
              <w:keepLines w:val="0"/>
              <w:keepNext w:val="0"/>
              <w:pageBreakBefore w:val="0"/>
              <w:spacing w:line="240" w:lineRule="auto"/>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带“▲”参数要求提供相关技术支撑材料，包括权威机构出具的认证证书或第三方检测机构出具的监测报告或相关软件功能截图等，否则不得分。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highlight w:val="none"/>
              </w:rPr>
              <w:outlineLvl w:val="9"/>
            </w:pPr>
            <w:r/>
            <w:bookmarkStart w:id="11" w:name="OLE_LINK24"/>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供应商自身具备现场采样或核查能力，拥有VOCs、PM</w:t>
            </w:r>
            <w:r>
              <w:rPr>
                <w:rFonts w:hint="eastAsia" w:ascii="仿宋" w:hAnsi="仿宋" w:eastAsia="仿宋" w:cs="仿宋"/>
                <w:color w:val="auto"/>
                <w:sz w:val="24"/>
                <w:highlight w:val="none"/>
                <w:vertAlign w:val="subscript"/>
              </w:rPr>
              <w:t xml:space="preserve">2.5</w:t>
            </w:r>
            <w:r>
              <w:rPr>
                <w:rFonts w:hint="eastAsia" w:ascii="仿宋" w:hAnsi="仿宋" w:eastAsia="仿宋" w:cs="仿宋"/>
                <w:color w:val="auto"/>
                <w:sz w:val="24"/>
                <w:highlight w:val="none"/>
              </w:rPr>
              <w:t xml:space="preserve">便携式监测设备，有1套（VOCs</w:t>
            </w:r>
            <w:r>
              <w:rPr>
                <w:rFonts w:hint="eastAsia" w:ascii="仿宋" w:hAnsi="仿宋" w:eastAsia="仿宋" w:cs="仿宋"/>
                <w:color w:val="auto"/>
                <w:sz w:val="24"/>
                <w:highlight w:val="none"/>
                <w:lang w:val="en-US" w:eastAsia="zh-CN"/>
              </w:rPr>
              <w:t xml:space="preserve">或</w:t>
            </w:r>
            <w:r>
              <w:rPr>
                <w:rFonts w:hint="eastAsia" w:ascii="仿宋" w:hAnsi="仿宋" w:eastAsia="仿宋" w:cs="仿宋"/>
                <w:color w:val="auto"/>
                <w:sz w:val="24"/>
                <w:highlight w:val="none"/>
              </w:rPr>
              <w:t xml:space="preserve">PM</w:t>
            </w:r>
            <w:r>
              <w:rPr>
                <w:rFonts w:hint="eastAsia" w:ascii="仿宋" w:hAnsi="仿宋" w:eastAsia="仿宋" w:cs="仿宋"/>
                <w:color w:val="auto"/>
                <w:sz w:val="24"/>
                <w:highlight w:val="none"/>
                <w:vertAlign w:val="subscript"/>
              </w:rPr>
              <w:t xml:space="preserve">2.5</w:t>
            </w:r>
            <w:r>
              <w:rPr>
                <w:rFonts w:hint="eastAsia" w:ascii="仿宋" w:hAnsi="仿宋" w:eastAsia="仿宋" w:cs="仿宋"/>
                <w:color w:val="auto"/>
                <w:sz w:val="24"/>
                <w:highlight w:val="none"/>
              </w:rPr>
              <w:t xml:space="preserve">便携式监测设备）得1分，最高得3分</w:t>
            </w:r>
            <w:r/>
          </w:p>
          <w:p>
            <w:pPr>
              <w:ind w:firstLine="0"/>
              <w:keepLines w:val="0"/>
              <w:keepNext w:val="0"/>
              <w:pageBreakBefore w:val="0"/>
              <w:spacing w:line="240" w:lineRule="auto"/>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注：须提供设备购买合同、发票或其他相关证明材料，不提供不得分。</w:t>
            </w:r>
            <w:bookmarkEnd w:id="11"/>
            <w:r/>
            <w:r/>
          </w:p>
        </w:tc>
      </w:tr>
      <w:tr>
        <w:trPr>
          <w:jc w:val="center"/>
          <w:trHeight w:val="3995"/>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bookmarkStart w:id="12" w:name="OLE_LINK25"/>
            <w:r>
              <w:rPr>
                <w:rFonts w:hint="eastAsia" w:ascii="仿宋" w:hAnsi="仿宋" w:eastAsia="仿宋" w:cs="仿宋"/>
                <w:color w:val="auto"/>
                <w:sz w:val="24"/>
              </w:rPr>
              <w:t xml:space="preserve">人员配置</w:t>
            </w:r>
            <w:bookmarkEnd w:id="12"/>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11</w:t>
            </w:r>
            <w:r>
              <w:rPr>
                <w:rFonts w:hint="eastAsia" w:ascii="仿宋" w:hAnsi="仿宋" w:eastAsia="仿宋" w:cs="仿宋"/>
                <w:color w:val="auto"/>
                <w:sz w:val="24"/>
              </w:rPr>
              <w:t xml:space="preserve">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highlight w:val="none"/>
              </w:rPr>
              <w:outlineLvl w:val="9"/>
            </w:pPr>
            <w:r/>
            <w:bookmarkStart w:id="13" w:name="OLE_LINK26"/>
            <w:r>
              <w:rPr>
                <w:rFonts w:hint="eastAsia" w:ascii="仿宋" w:hAnsi="仿宋" w:eastAsia="仿宋" w:cs="仿宋"/>
                <w:color w:val="auto"/>
                <w:sz w:val="24"/>
                <w:highlight w:val="none"/>
              </w:rPr>
              <w:t xml:space="preserve">项目负责人：</w:t>
            </w:r>
            <w:r/>
          </w:p>
          <w:p>
            <w:pPr>
              <w:ind w:firstLine="0"/>
              <w:jc w:val="left"/>
              <w:keepLines w:val="0"/>
              <w:keepNext w:val="0"/>
              <w:pageBreakBefore w:val="0"/>
              <w:spacing w:line="24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1、具备环保类正高级职称（研究员级高级工程师）的得2分，本项最高得2分</w:t>
            </w:r>
            <w:r/>
          </w:p>
          <w:p>
            <w:pPr>
              <w:ind w:firstLine="0"/>
              <w:jc w:val="left"/>
              <w:keepLines w:val="0"/>
              <w:keepNext w:val="0"/>
              <w:pageBreakBefore w:val="0"/>
              <w:spacing w:line="24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2、具备注册环保工程师证书得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分，具备注册环境影响评价工程师证书得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分，本项最高得4分。</w:t>
            </w:r>
            <w:r/>
          </w:p>
          <w:p>
            <w:pPr>
              <w:ind w:firstLine="0"/>
              <w:jc w:val="left"/>
              <w:keepLines w:val="0"/>
              <w:keepNext w:val="0"/>
              <w:pageBreakBefore w:val="0"/>
              <w:spacing w:line="24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团队人员（项目负责人除外）：</w:t>
            </w:r>
            <w:r/>
          </w:p>
          <w:p>
            <w:pPr>
              <w:ind w:firstLine="0"/>
              <w:jc w:val="left"/>
              <w:keepLines w:val="0"/>
              <w:keepNext w:val="0"/>
              <w:pageBreakBefore w:val="0"/>
              <w:spacing w:line="24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1、具备环保类高级及以上职称证书的，每人1分；具有环保类中级职称证书的，每人得0.5分。本项最高得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ind w:firstLine="0"/>
              <w:jc w:val="left"/>
              <w:keepLines w:val="0"/>
              <w:keepNext w:val="0"/>
              <w:pageBreakBefore w:val="0"/>
              <w:spacing w:line="24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2、具备环境监测总站颁发的环境监测人员培训合格证书的每人得0.5分，本项最高</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p>
            <w:pPr>
              <w:ind w:firstLine="0"/>
              <w:jc w:val="left"/>
              <w:keepLines w:val="0"/>
              <w:keepNext w:val="0"/>
              <w:pageBreakBefore w:val="0"/>
              <w:spacing w:line="24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注：根据得分要求提供学历证书、职称证书或相关证明材料原件的扫描件并加盖电子签章，提供</w:t>
            </w:r>
            <w:r>
              <w:rPr>
                <w:rFonts w:hint="eastAsia" w:ascii="仿宋" w:hAnsi="仿宋" w:eastAsia="仿宋" w:cs="仿宋"/>
                <w:color w:val="auto"/>
                <w:sz w:val="24"/>
                <w:highlight w:val="none"/>
                <w:lang w:val="en-US" w:eastAsia="zh-CN"/>
              </w:rPr>
              <w:t xml:space="preserve">相关</w:t>
            </w:r>
            <w:r>
              <w:rPr>
                <w:rFonts w:hint="eastAsia" w:ascii="仿宋" w:hAnsi="仿宋" w:eastAsia="仿宋" w:cs="仿宋"/>
                <w:color w:val="auto"/>
                <w:sz w:val="24"/>
                <w:highlight w:val="none"/>
              </w:rPr>
              <w:t xml:space="preserve">证明材料，否则不得分。</w:t>
            </w:r>
            <w:bookmarkEnd w:id="13"/>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技术部分</w:t>
            </w:r>
            <w:r/>
          </w:p>
          <w:p>
            <w:pPr>
              <w:ind w:firstLine="0"/>
              <w:jc w:val="center"/>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54</w:t>
            </w:r>
            <w:r>
              <w:rPr>
                <w:rFonts w:hint="eastAsia" w:ascii="仿宋" w:hAnsi="仿宋" w:eastAsia="仿宋" w:cs="仿宋"/>
                <w:color w:val="auto"/>
                <w:sz w:val="24"/>
                <w:lang w:val="zh-CN"/>
              </w:rPr>
              <w:t xml:space="preserve">分</w:t>
            </w:r>
            <w:r>
              <w:rPr>
                <w:rFonts w:hint="eastAsia" w:ascii="仿宋" w:hAnsi="仿宋" w:eastAsia="仿宋" w:cs="仿宋"/>
                <w:color w:val="auto"/>
                <w:sz w:val="24"/>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rPr>
              <w:outlineLvl w:val="9"/>
            </w:pPr>
            <w:r/>
            <w:bookmarkStart w:id="14" w:name="OLE_LINK14"/>
            <w:r>
              <w:rPr>
                <w:rFonts w:hint="eastAsia" w:ascii="仿宋" w:hAnsi="仿宋" w:eastAsia="仿宋" w:cs="仿宋"/>
                <w:color w:val="auto"/>
                <w:sz w:val="24"/>
              </w:rPr>
              <w:t xml:space="preserve">大气精准管控综合驻场服务方案：（1</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w:t>
            </w:r>
            <w:bookmarkEnd w:id="14"/>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lang w:val="zh-CN"/>
              </w:rPr>
              <w:outlineLvl w:val="9"/>
            </w:pPr>
            <w:r>
              <w:rPr>
                <w:rFonts w:hint="eastAsia" w:ascii="仿宋" w:hAnsi="仿宋" w:eastAsia="仿宋" w:cs="仿宋"/>
                <w:color w:val="auto"/>
                <w:sz w:val="24"/>
                <w:lang w:val="zh-CN"/>
              </w:rPr>
              <w:t xml:space="preserve">根据供应商针对本项目的技术制定详细的设计方案、服务方案进行综合评分：设计方案能够结合国家、省市以及本地大气污染防治需求综合考量，结合问题难点进行梳理并形成技术路线；服务方案结合本地实际理清服务思路，制定工作机制，阐明驻场人员污染源巡查服务、数据分析服务等详细内容。</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（1）以上内容不存在瑕疵：1</w:t>
            </w:r>
            <w:r>
              <w:rPr>
                <w:rFonts w:hint="eastAsia" w:ascii="仿宋" w:hAnsi="仿宋" w:eastAsia="仿宋" w:cs="仿宋"/>
                <w:sz w:val="24"/>
              </w:rPr>
              <w:t xml:space="preserve">5</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（2）以上内容存在1处瑕疵：1</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（3）以上内容存在2处瑕疵：</w:t>
            </w:r>
            <w:r>
              <w:rPr>
                <w:rFonts w:hint="eastAsia" w:ascii="仿宋" w:hAnsi="仿宋" w:eastAsia="仿宋" w:cs="仿宋"/>
                <w:sz w:val="24"/>
                <w:lang w:val="en-US" w:eastAsia="zh-CN"/>
              </w:rPr>
              <w:t xml:space="preserve">11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（4）以上内容存在3处瑕疵：</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（5）以上内容存在4处瑕疵：</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bookmarkStart w:id="15" w:name="OLE_LINK16"/>
            <w:r>
              <w:rPr>
                <w:rFonts w:hint="eastAsia" w:ascii="仿宋" w:hAnsi="仿宋" w:eastAsia="仿宋" w:cs="仿宋"/>
                <w:sz w:val="24"/>
                <w:lang w:val="zh-CN"/>
              </w:rPr>
              <w:t xml:space="preserve">（6）以上内容存在5处瑕疵：</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分；</w:t>
            </w:r>
            <w:bookmarkEnd w:id="15"/>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）未提供方案或不满足服务要求或内容存在</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处及以上瑕疵：0分。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sz w:val="24"/>
              </w:rPr>
              <w:t xml:space="preserve">注：</w:t>
            </w:r>
            <w:r>
              <w:rPr>
                <w:rFonts w:hint="eastAsia" w:ascii="仿宋" w:hAnsi="仿宋" w:eastAsia="仿宋" w:cs="仿宋"/>
                <w:b/>
                <w:bCs/>
                <w:sz w:val="24"/>
                <w:lang w:val="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lang w:val="zh-CN"/>
              </w:rPr>
              <w:t xml:space="preserve">VOCs和颗粒物走航监测服务方案：（</w:t>
            </w: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w:t>
            </w:r>
            <w:r>
              <w:rPr>
                <w:rFonts w:hint="eastAsia" w:ascii="仿宋" w:hAnsi="仿宋" w:eastAsia="仿宋" w:cs="仿宋"/>
                <w:color w:val="auto"/>
                <w:sz w:val="24"/>
                <w:lang w:val="zh-CN"/>
              </w:rPr>
              <w:t xml:space="preserve">）</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lang w:val="zh-CN"/>
              </w:rPr>
              <w:outlineLvl w:val="9"/>
            </w:pPr>
            <w:r>
              <w:rPr>
                <w:rFonts w:hint="eastAsia" w:ascii="仿宋" w:hAnsi="仿宋" w:eastAsia="仿宋" w:cs="仿宋"/>
                <w:color w:val="auto"/>
                <w:sz w:val="24"/>
                <w:lang w:val="zh-CN"/>
              </w:rPr>
              <w:t xml:space="preserve">根据供应商针对本项目需求提供VOCs、颗粒物走航服务方案的合理性、可行性等情况进行综合评审。</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（1）以上内容不存在瑕疵：</w:t>
            </w:r>
            <w:r>
              <w:rPr>
                <w:rFonts w:hint="eastAsia" w:ascii="仿宋" w:hAnsi="仿宋" w:eastAsia="仿宋" w:cs="仿宋"/>
                <w:sz w:val="24"/>
                <w:lang w:val="en-US" w:eastAsia="zh-CN"/>
              </w:rPr>
              <w:t xml:space="preserve">13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（2）以上内容存在1处瑕疵：</w:t>
            </w:r>
            <w:r>
              <w:rPr>
                <w:rFonts w:hint="eastAsia" w:ascii="仿宋" w:hAnsi="仿宋" w:eastAsia="仿宋" w:cs="仿宋"/>
                <w:sz w:val="24"/>
              </w:rPr>
              <w:t xml:space="preserve">11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（3）以上内容存在2处瑕疵：</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（4）以上内容存在3处瑕疵：</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（5）以上内容存在4处瑕疵：</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bookmarkStart w:id="16" w:name="OLE_LINK15"/>
            <w:r>
              <w:rPr>
                <w:rFonts w:hint="eastAsia" w:ascii="仿宋" w:hAnsi="仿宋" w:eastAsia="仿宋" w:cs="仿宋"/>
                <w:sz w:val="24"/>
                <w:lang w:val="zh-CN"/>
              </w:rPr>
              <w:t xml:space="preserve">（6）以上内容存在5处瑕疵：</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bookmarkEnd w:id="16"/>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）未提供方案或不满足服务要求或内容存在</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处及以上瑕疵：0分。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sz w:val="24"/>
              </w:rPr>
              <w:t xml:space="preserve">注：</w:t>
            </w:r>
            <w:r>
              <w:rPr>
                <w:rFonts w:hint="eastAsia" w:ascii="仿宋" w:hAnsi="仿宋" w:eastAsia="仿宋" w:cs="仿宋"/>
                <w:b/>
                <w:bCs/>
                <w:sz w:val="24"/>
                <w:lang w:val="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bookmarkStart w:id="17" w:name="OLE_LINK17"/>
            <w:r>
              <w:rPr>
                <w:rFonts w:hint="eastAsia" w:ascii="仿宋" w:hAnsi="仿宋" w:eastAsia="仿宋" w:cs="仿宋"/>
                <w:color w:val="auto"/>
                <w:sz w:val="24"/>
              </w:rPr>
              <w:t xml:space="preserve">VOCs</w:t>
            </w:r>
            <w:bookmarkEnd w:id="17"/>
            <w:r>
              <w:rPr>
                <w:rFonts w:hint="eastAsia" w:ascii="仿宋" w:hAnsi="仿宋" w:eastAsia="仿宋" w:cs="仿宋"/>
                <w:color w:val="auto"/>
                <w:sz w:val="24"/>
              </w:rPr>
              <w:t xml:space="preserve">废气排放企业专项核查：（1</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lang w:val="zh-CN"/>
              </w:rPr>
              <w:outlineLvl w:val="9"/>
            </w:pPr>
            <w:r>
              <w:rPr>
                <w:rFonts w:hint="eastAsia" w:ascii="仿宋" w:hAnsi="仿宋" w:eastAsia="仿宋" w:cs="仿宋"/>
                <w:color w:val="auto"/>
                <w:sz w:val="24"/>
                <w:lang w:val="zh-CN"/>
              </w:rPr>
              <w:t xml:space="preserve">根据</w:t>
            </w:r>
            <w:r>
              <w:rPr>
                <w:rFonts w:hint="eastAsia" w:ascii="仿宋" w:hAnsi="仿宋" w:eastAsia="仿宋" w:cs="仿宋"/>
                <w:color w:val="auto"/>
                <w:sz w:val="24"/>
              </w:rPr>
              <w:t xml:space="preserve">供应商</w:t>
            </w:r>
            <w:r>
              <w:rPr>
                <w:rFonts w:hint="eastAsia" w:ascii="仿宋" w:hAnsi="仿宋" w:eastAsia="仿宋" w:cs="仿宋"/>
                <w:color w:val="auto"/>
                <w:sz w:val="24"/>
                <w:lang w:val="zh-CN"/>
              </w:rPr>
              <w:t xml:space="preserve">针对本项目需求提供</w:t>
            </w:r>
            <w:r>
              <w:rPr>
                <w:rFonts w:hint="eastAsia" w:ascii="仿宋" w:hAnsi="仿宋" w:eastAsia="仿宋" w:cs="仿宋"/>
                <w:color w:val="auto"/>
                <w:sz w:val="24"/>
              </w:rPr>
              <w:t xml:space="preserve">VOCs</w:t>
            </w:r>
            <w:r>
              <w:rPr>
                <w:rFonts w:hint="eastAsia" w:ascii="仿宋" w:hAnsi="仿宋" w:eastAsia="仿宋" w:cs="仿宋"/>
                <w:color w:val="auto"/>
                <w:sz w:val="24"/>
                <w:lang w:val="zh-CN"/>
              </w:rPr>
              <w:t xml:space="preserve">废气排放企业排查方案的合理性、可行性等情况进行综合评审。</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（1）以上内容不存在瑕疵：</w:t>
            </w:r>
            <w:r>
              <w:rPr>
                <w:rFonts w:hint="eastAsia" w:ascii="仿宋" w:hAnsi="仿宋" w:eastAsia="仿宋" w:cs="仿宋"/>
                <w:sz w:val="24"/>
                <w:lang w:val="en-US" w:eastAsia="zh-CN"/>
              </w:rPr>
              <w:t xml:space="preserve">13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（2）以上内容存在1处瑕疵：</w:t>
            </w:r>
            <w:r>
              <w:rPr>
                <w:rFonts w:hint="eastAsia" w:ascii="仿宋" w:hAnsi="仿宋" w:eastAsia="仿宋" w:cs="仿宋"/>
                <w:sz w:val="24"/>
              </w:rPr>
              <w:t xml:space="preserve">11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（3）以上内容存在2处瑕疵：</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（4）以上内容存在3处瑕疵：</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（5）以上内容存在4处瑕疵：</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（6）以上内容存在5处瑕疵：</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）未提供方案或不满足服务要求或内容存在</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处及以上瑕疵：0分。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sz w:val="24"/>
              </w:rPr>
              <w:t xml:space="preserve">注：</w:t>
            </w:r>
            <w:r>
              <w:rPr>
                <w:rFonts w:hint="eastAsia" w:ascii="仿宋" w:hAnsi="仿宋" w:eastAsia="仿宋" w:cs="仿宋"/>
                <w:b/>
                <w:bCs/>
                <w:sz w:val="24"/>
                <w:lang w:val="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服务保障措施：（1</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w:t>
            </w:r>
            <w:r/>
          </w:p>
        </w:tc>
        <w:tc>
          <w:tcPr>
            <w:tcBorders>
              <w:top w:val="single" w:color="000000" w:sz="4" w:space="0"/>
              <w:left w:val="single" w:color="000000" w:sz="4" w:space="0"/>
              <w:bottom w:val="single" w:color="000000" w:sz="4" w:space="0"/>
              <w:right w:val="single" w:color="000000" w:sz="4" w:space="0"/>
            </w:tcBorders>
            <w:tcW w:w="7052"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rPr>
              <w:outlineLvl w:val="9"/>
            </w:pPr>
            <w:r>
              <w:rPr>
                <w:rFonts w:hint="eastAsia" w:ascii="仿宋" w:hAnsi="仿宋" w:eastAsia="仿宋" w:cs="仿宋"/>
                <w:color w:val="auto"/>
                <w:sz w:val="24"/>
              </w:rPr>
              <w:t xml:space="preserve">根据供应商对质量、进度、安全相关保障措施进行综合评审。</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（1）以上内容不存在瑕疵：</w:t>
            </w:r>
            <w:r>
              <w:rPr>
                <w:rFonts w:hint="eastAsia" w:ascii="仿宋" w:hAnsi="仿宋" w:eastAsia="仿宋" w:cs="仿宋"/>
                <w:sz w:val="24"/>
                <w:lang w:val="en-US" w:eastAsia="zh-CN"/>
              </w:rPr>
              <w:t xml:space="preserve">13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（2）以上内容存在1处瑕疵：</w:t>
            </w:r>
            <w:r>
              <w:rPr>
                <w:rFonts w:hint="eastAsia" w:ascii="仿宋" w:hAnsi="仿宋" w:eastAsia="仿宋" w:cs="仿宋"/>
                <w:sz w:val="24"/>
              </w:rPr>
              <w:t xml:space="preserve">11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（3）以上内容存在2处瑕疵：</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（4）以上内容存在3处瑕疵：</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（5）以上内容存在4处瑕疵：</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（6）以上内容存在5处瑕疵：</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）以上内容存在</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处瑕疵：</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分；</w:t>
            </w:r>
            <w:r/>
          </w:p>
          <w:p>
            <w:pPr>
              <w:ind w:firstLine="0"/>
              <w:keepLines w:val="0"/>
              <w:keepNext w:val="0"/>
              <w:pageBreakBefore w:val="0"/>
              <w:spacing w:line="240" w:lineRule="auto"/>
              <w:rPr>
                <w:rFonts w:hint="eastAsia" w:ascii="仿宋" w:hAnsi="仿宋" w:eastAsia="仿宋" w:cs="仿宋"/>
                <w:sz w:val="24"/>
                <w:lang w:val="zh-CN"/>
              </w:rPr>
              <w:outlineLvl w:val="9"/>
            </w:pP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）未提供方案或不满足服务要求或内容存在</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处及以上瑕疵：0分。</w:t>
            </w:r>
            <w:r/>
          </w:p>
          <w:p>
            <w:pPr>
              <w:ind w:firstLine="0"/>
              <w:keepLines w:val="0"/>
              <w:keepNext w:val="0"/>
              <w:pageBreakBefore w:val="0"/>
              <w:spacing w:line="240" w:lineRule="auto"/>
              <w:rPr>
                <w:rFonts w:hint="eastAsia" w:ascii="仿宋" w:hAnsi="仿宋" w:eastAsia="仿宋" w:cs="仿宋"/>
                <w:color w:val="auto"/>
                <w:sz w:val="24"/>
              </w:rPr>
              <w:outlineLvl w:val="9"/>
            </w:pPr>
            <w:r>
              <w:rPr>
                <w:rFonts w:hint="eastAsia" w:ascii="仿宋" w:hAnsi="仿宋" w:eastAsia="仿宋" w:cs="仿宋"/>
                <w:b/>
                <w:bCs/>
                <w:sz w:val="24"/>
              </w:rPr>
              <w:t xml:space="preserve">注：</w:t>
            </w:r>
            <w:r>
              <w:rPr>
                <w:rFonts w:hint="eastAsia" w:ascii="仿宋" w:hAnsi="仿宋" w:eastAsia="仿宋" w:cs="仿宋"/>
                <w:b/>
                <w:bCs/>
                <w:sz w:val="24"/>
                <w:lang w:val="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722"/>
        <w:rPr>
          <w:rStyle w:val="961"/>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2、采购需求</w:t>
      </w:r>
      <w:r/>
    </w:p>
    <w:p>
      <w:pPr>
        <w:spacing w:line="360" w:lineRule="auto"/>
        <w:rPr>
          <w:rFonts w:hint="eastAsia" w:ascii="仿宋" w:hAnsi="仿宋" w:eastAsia="仿宋" w:cs="仿宋"/>
          <w:b/>
          <w:bCs/>
          <w:color w:val="auto"/>
          <w:sz w:val="24"/>
        </w:rPr>
      </w:pPr>
      <w:r/>
      <w:bookmarkStart w:id="18" w:name="OLE_LINK20"/>
      <w:r>
        <w:rPr>
          <w:rFonts w:hint="eastAsia" w:ascii="仿宋" w:hAnsi="仿宋" w:eastAsia="仿宋" w:cs="仿宋"/>
          <w:b/>
          <w:bCs/>
          <w:color w:val="auto"/>
          <w:sz w:val="24"/>
        </w:rPr>
        <w:t xml:space="preserve">一、项目名称：</w:t>
      </w:r>
      <w:bookmarkStart w:id="19" w:name="OLE_LINK11"/>
      <w:r>
        <w:rPr>
          <w:rFonts w:hint="eastAsia" w:ascii="仿宋" w:hAnsi="仿宋" w:eastAsia="仿宋" w:cs="仿宋"/>
          <w:b/>
          <w:bCs/>
          <w:color w:val="auto"/>
          <w:sz w:val="24"/>
          <w:lang w:eastAsia="zh-CN"/>
        </w:rPr>
        <w:t xml:space="preserve">新沂市环境空气质量提升技术服务项目</w:t>
      </w:r>
      <w:bookmarkEnd w:id="19"/>
      <w:r>
        <w:rPr>
          <w:rFonts w:hint="eastAsia" w:ascii="仿宋" w:hAnsi="仿宋" w:eastAsia="仿宋" w:cs="仿宋"/>
          <w:b/>
          <w:bCs/>
          <w:color w:val="auto"/>
          <w:sz w:val="24"/>
        </w:rPr>
        <w:t xml:space="preserve"> </w:t>
      </w:r>
      <w:r/>
    </w:p>
    <w:p>
      <w:pPr>
        <w:spacing w:line="360" w:lineRule="auto"/>
        <w:rPr>
          <w:rFonts w:hint="eastAsia" w:ascii="仿宋" w:hAnsi="仿宋" w:eastAsia="仿宋" w:cs="仿宋"/>
          <w:color w:val="auto"/>
          <w:sz w:val="24"/>
        </w:rPr>
      </w:pPr>
      <w:r>
        <w:rPr>
          <w:rFonts w:hint="eastAsia" w:ascii="仿宋" w:hAnsi="仿宋" w:eastAsia="仿宋" w:cs="仿宋"/>
          <w:b/>
          <w:bCs/>
          <w:color w:val="auto"/>
          <w:sz w:val="24"/>
        </w:rPr>
        <w:t xml:space="preserve">二、项目预算：</w:t>
      </w:r>
      <w:r>
        <w:rPr>
          <w:rFonts w:hint="eastAsia" w:ascii="仿宋" w:hAnsi="仿宋" w:eastAsia="仿宋" w:cs="仿宋"/>
          <w:bCs/>
          <w:color w:val="auto"/>
          <w:sz w:val="24"/>
        </w:rPr>
        <w:t xml:space="preserve">本项目</w:t>
      </w:r>
      <w:r>
        <w:rPr>
          <w:rFonts w:hint="eastAsia" w:ascii="仿宋" w:hAnsi="仿宋" w:eastAsia="仿宋" w:cs="仿宋"/>
          <w:color w:val="auto"/>
          <w:sz w:val="24"/>
        </w:rPr>
        <w:t xml:space="preserve">不接受超过</w:t>
      </w:r>
      <w:r>
        <w:rPr>
          <w:rFonts w:hint="eastAsia" w:ascii="仿宋" w:hAnsi="仿宋" w:eastAsia="仿宋" w:cs="仿宋"/>
          <w:b/>
          <w:bCs/>
          <w:color w:val="auto"/>
          <w:sz w:val="24"/>
          <w:lang w:val="en-US" w:eastAsia="zh-CN"/>
        </w:rPr>
        <w:t xml:space="preserve">210</w:t>
      </w:r>
      <w:r>
        <w:rPr>
          <w:rFonts w:hint="eastAsia" w:ascii="仿宋" w:hAnsi="仿宋" w:eastAsia="仿宋" w:cs="仿宋"/>
          <w:color w:val="auto"/>
          <w:sz w:val="24"/>
        </w:rPr>
        <w:t xml:space="preserve">万元的投标报价</w:t>
      </w:r>
      <w:r>
        <w:rPr>
          <w:rFonts w:hint="eastAsia" w:ascii="仿宋" w:hAnsi="仿宋" w:eastAsia="仿宋" w:cs="仿宋"/>
          <w:bCs/>
          <w:color w:val="auto"/>
          <w:sz w:val="24"/>
        </w:rPr>
        <w:t xml:space="preserve">。</w:t>
      </w:r>
      <w:r/>
    </w:p>
    <w:p>
      <w:pPr>
        <w:pStyle w:val="977"/>
        <w:ind w:firstLine="480"/>
        <w:keepLines w:val="0"/>
        <w:keepNext w:val="0"/>
        <w:pageBreakBefore w:val="0"/>
        <w:spacing w:before="0" w:beforeAutospacing="0" w:after="0" w:afterAutospacing="0" w:line="360" w:lineRule="auto"/>
        <w:widowControl/>
        <w:rPr>
          <w:rFonts w:hint="eastAsia" w:ascii="仿宋" w:hAnsi="仿宋" w:eastAsia="仿宋" w:cs="仿宋"/>
          <w:b/>
          <w:bCs/>
          <w:color w:val="auto"/>
        </w:rPr>
        <w:outlineLvl w:val="9"/>
      </w:pPr>
      <w:r>
        <w:rPr>
          <w:rFonts w:hint="eastAsia" w:ascii="仿宋" w:hAnsi="仿宋" w:eastAsia="仿宋" w:cs="仿宋"/>
          <w:color w:val="auto"/>
        </w:rPr>
        <w:t xml:space="preserve">服务周期：合同</w:t>
      </w:r>
      <w:r>
        <w:rPr>
          <w:rFonts w:hint="eastAsia" w:ascii="仿宋" w:hAnsi="仿宋" w:eastAsia="仿宋" w:cs="仿宋"/>
          <w:color w:val="auto"/>
          <w:highlight w:val="none"/>
        </w:rPr>
        <w:t xml:space="preserve">签订后</w:t>
      </w:r>
      <w:r>
        <w:rPr>
          <w:rFonts w:hint="eastAsia" w:ascii="仿宋" w:hAnsi="仿宋" w:eastAsia="仿宋" w:cs="仿宋"/>
          <w:color w:val="auto"/>
          <w:highlight w:val="none"/>
          <w:lang w:val="en-US" w:eastAsia="zh-CN"/>
        </w:rPr>
        <w:t xml:space="preserve">210</w:t>
      </w:r>
      <w:r>
        <w:rPr>
          <w:rFonts w:hint="eastAsia" w:ascii="仿宋" w:hAnsi="仿宋" w:eastAsia="仿宋" w:cs="仿宋"/>
          <w:color w:val="auto"/>
          <w:highlight w:val="none"/>
        </w:rPr>
        <w:t xml:space="preserve">个自</w:t>
      </w:r>
      <w:r>
        <w:rPr>
          <w:rFonts w:hint="eastAsia" w:ascii="仿宋" w:hAnsi="仿宋" w:eastAsia="仿宋" w:cs="仿宋"/>
          <w:color w:val="auto"/>
        </w:rPr>
        <w:t xml:space="preserve">然日</w:t>
      </w:r>
      <w:r>
        <w:rPr>
          <w:rFonts w:hint="eastAsia" w:ascii="仿宋" w:hAnsi="仿宋" w:eastAsia="仿宋" w:cs="仿宋"/>
          <w:b/>
          <w:bCs/>
          <w:color w:val="auto"/>
        </w:rPr>
        <w:t xml:space="preserve">。</w:t>
      </w:r>
      <w:r/>
    </w:p>
    <w:p>
      <w:pPr>
        <w:ind w:right="359"/>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三、</w:t>
      </w:r>
      <w:r>
        <w:rPr>
          <w:rFonts w:hint="eastAsia" w:ascii="仿宋" w:hAnsi="仿宋" w:eastAsia="仿宋" w:cs="仿宋"/>
          <w:b/>
          <w:color w:val="auto"/>
          <w:sz w:val="24"/>
        </w:rPr>
        <w:t xml:space="preserve">项目概况</w:t>
      </w:r>
      <w:r/>
    </w:p>
    <w:p>
      <w:pPr>
        <w:ind w:right="359"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本项目通过引入专业驻场团队，深入一线，结合科学解析结果和大气污染防治工作要求，提出切实可行的管控措施，溯源分析、群众身边突出环境问题，为大气污染防治工作提供科学有效的技术指导和可靠的基础保障。 </w:t>
      </w:r>
      <w:r/>
    </w:p>
    <w:p>
      <w:pPr>
        <w:ind w:right="359"/>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四、服务内容及要求</w:t>
      </w:r>
      <w:bookmarkEnd w:id="18"/>
      <w:r/>
    </w:p>
    <w:p>
      <w:pPr>
        <w:ind w:right="359" w:firstLine="480"/>
        <w:spacing w:line="360" w:lineRule="auto"/>
        <w:rPr>
          <w:rFonts w:hint="default" w:ascii="仿宋" w:hAnsi="仿宋" w:eastAsia="仿宋" w:cs="仿宋"/>
          <w:bCs/>
          <w:color w:val="auto"/>
          <w:sz w:val="24"/>
        </w:rPr>
      </w:pPr>
      <w:r/>
      <w:bookmarkStart w:id="20" w:name="OLE_LINK12"/>
      <w:r>
        <w:rPr>
          <w:rFonts w:hint="default" w:ascii="仿宋" w:hAnsi="仿宋" w:eastAsia="仿宋" w:cs="仿宋"/>
          <w:bCs/>
          <w:color w:val="auto"/>
          <w:sz w:val="24"/>
        </w:rPr>
        <w:t xml:space="preserve">新沂市环境空气质量提升技术服务项目，服务包括大气精准管控综合驻场服务、VOCs和颗粒物走航监测、涉VOCs废气排放企业专项核查服务等。</w:t>
      </w:r>
      <w:bookmarkEnd w:id="20"/>
      <w:r/>
      <w:r/>
    </w:p>
    <w:p>
      <w:pPr>
        <w:ind w:right="359" w:firstLine="480"/>
        <w:spacing w:line="360" w:lineRule="auto"/>
        <w:rPr>
          <w:rFonts w:hint="default" w:ascii="仿宋" w:hAnsi="仿宋" w:eastAsia="仿宋" w:cs="仿宋"/>
          <w:bCs/>
          <w:color w:val="auto"/>
          <w:sz w:val="24"/>
        </w:rPr>
      </w:pPr>
      <w:r>
        <w:rPr>
          <w:rFonts w:hint="default" w:ascii="仿宋" w:hAnsi="仿宋" w:eastAsia="仿宋" w:cs="仿宋"/>
          <w:bCs/>
          <w:color w:val="auto"/>
          <w:sz w:val="24"/>
        </w:rPr>
        <w:t xml:space="preserve">1、服务内容清单</w:t>
      </w:r>
      <w:r/>
    </w:p>
    <w:tbl>
      <w:tblPr>
        <w:tblStyle w:val="714"/>
        <w:tblW w:w="8972"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82"/>
        <w:gridCol w:w="1039"/>
        <w:gridCol w:w="1817"/>
        <w:gridCol w:w="934"/>
        <w:gridCol w:w="4500"/>
      </w:tblGrid>
      <w:tr>
        <w:trPr>
          <w:jc w:val="center"/>
          <w:trHeight w:val="567"/>
        </w:trPr>
        <w:tc>
          <w:tcPr>
            <w:tcW w:w="682" w:type="dxa"/>
            <w:vAlign w:val="center"/>
            <w:textDirection w:val="lrTb"/>
            <w:noWrap w:val="false"/>
          </w:tcPr>
          <w:p>
            <w:pPr>
              <w:jc w:val="center"/>
              <w:rPr>
                <w:rFonts w:hint="eastAsia" w:ascii="仿宋" w:hAnsi="仿宋" w:eastAsia="仿宋" w:cs="仿宋"/>
                <w:b/>
                <w:bCs/>
                <w:color w:val="auto"/>
                <w:szCs w:val="21"/>
              </w:rPr>
            </w:pPr>
            <w:r/>
            <w:bookmarkStart w:id="21" w:name="_Hlk141342734"/>
            <w:r>
              <w:rPr>
                <w:rFonts w:hint="eastAsia" w:ascii="仿宋" w:hAnsi="仿宋" w:eastAsia="仿宋" w:cs="仿宋"/>
                <w:b/>
                <w:bCs/>
                <w:color w:val="auto"/>
                <w:szCs w:val="21"/>
              </w:rPr>
              <w:t xml:space="preserve">序号</w:t>
            </w:r>
            <w:r/>
          </w:p>
        </w:tc>
        <w:tc>
          <w:tcPr>
            <w:gridSpan w:val="2"/>
            <w:tcW w:w="2856" w:type="dxa"/>
            <w:vAlign w:val="center"/>
            <w:textDirection w:val="lrTb"/>
            <w:noWrap w:val="false"/>
          </w:tcPr>
          <w:p>
            <w:pPr>
              <w:jc w:val="center"/>
              <w:rPr>
                <w:rFonts w:hint="eastAsia" w:ascii="仿宋" w:hAnsi="仿宋" w:eastAsia="仿宋" w:cs="仿宋"/>
                <w:b/>
                <w:bCs/>
                <w:color w:val="auto"/>
                <w:szCs w:val="21"/>
                <w:lang w:eastAsia="zh-CN"/>
              </w:rPr>
            </w:pPr>
            <w:r>
              <w:rPr>
                <w:rFonts w:hint="eastAsia" w:ascii="仿宋" w:hAnsi="仿宋" w:eastAsia="仿宋" w:cs="仿宋"/>
                <w:b/>
                <w:bCs/>
                <w:color w:val="auto"/>
                <w:szCs w:val="21"/>
              </w:rPr>
              <w:t xml:space="preserve">服务</w:t>
            </w:r>
            <w:r>
              <w:rPr>
                <w:rFonts w:hint="eastAsia" w:ascii="仿宋" w:hAnsi="仿宋" w:eastAsia="仿宋" w:cs="仿宋"/>
                <w:b/>
                <w:bCs/>
                <w:color w:val="auto"/>
                <w:szCs w:val="21"/>
                <w:lang w:val="en-US" w:eastAsia="zh-CN"/>
              </w:rPr>
              <w:t xml:space="preserve">名称</w:t>
            </w:r>
            <w:r/>
          </w:p>
        </w:tc>
        <w:tc>
          <w:tcPr>
            <w:tcW w:w="934" w:type="dxa"/>
            <w:vAlign w:val="center"/>
            <w:textDirection w:val="lrTb"/>
            <w:noWrap w:val="false"/>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 xml:space="preserve">数量</w:t>
            </w:r>
            <w:r/>
          </w:p>
        </w:tc>
        <w:tc>
          <w:tcPr>
            <w:tcW w:w="4500" w:type="dxa"/>
            <w:vAlign w:val="center"/>
            <w:textDirection w:val="lrTb"/>
            <w:noWrap w:val="false"/>
          </w:tcPr>
          <w:p>
            <w:pPr>
              <w:jc w:val="center"/>
              <w:rPr>
                <w:rFonts w:hint="eastAsia" w:ascii="仿宋" w:hAnsi="仿宋" w:eastAsia="仿宋" w:cs="仿宋"/>
                <w:b/>
                <w:bCs/>
                <w:color w:val="auto"/>
                <w:szCs w:val="21"/>
                <w:lang w:val="en-US" w:eastAsia="zh-CN"/>
              </w:rPr>
            </w:pPr>
            <w:r>
              <w:rPr>
                <w:rFonts w:hint="eastAsia" w:ascii="仿宋" w:hAnsi="仿宋" w:eastAsia="仿宋" w:cs="仿宋"/>
                <w:b/>
                <w:bCs/>
                <w:color w:val="auto"/>
                <w:szCs w:val="21"/>
                <w:lang w:val="en-US" w:eastAsia="zh-CN"/>
              </w:rPr>
              <w:t xml:space="preserve">服务内容</w:t>
            </w:r>
            <w:r/>
          </w:p>
        </w:tc>
      </w:tr>
      <w:tr>
        <w:trPr>
          <w:jc w:val="center"/>
          <w:trHeight w:val="567"/>
        </w:trPr>
        <w:tc>
          <w:tcPr>
            <w:tcW w:w="682"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1</w:t>
            </w:r>
            <w:r/>
          </w:p>
        </w:tc>
        <w:tc>
          <w:tcPr>
            <w:tcW w:w="1039"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大气污染源现场巡查服务</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驻场分析服务</w:t>
            </w:r>
            <w:r/>
          </w:p>
        </w:tc>
        <w:tc>
          <w:tcPr>
            <w:tcW w:w="934"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210</w:t>
            </w:r>
            <w:r>
              <w:rPr>
                <w:rFonts w:hint="eastAsia" w:ascii="仿宋" w:hAnsi="仿宋" w:eastAsia="仿宋" w:cs="仿宋"/>
                <w:color w:val="auto"/>
                <w:szCs w:val="21"/>
              </w:rPr>
              <w:t xml:space="preserve">天</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提供驻场巡查</w:t>
            </w:r>
            <w:r>
              <w:rPr>
                <w:rFonts w:hint="eastAsia" w:ascii="仿宋" w:hAnsi="仿宋" w:eastAsia="仿宋" w:cs="仿宋"/>
                <w:color w:val="auto"/>
                <w:szCs w:val="21"/>
                <w:highlight w:val="none"/>
              </w:rPr>
              <w:t xml:space="preserve">人员</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名（</w:t>
            </w:r>
            <w:r>
              <w:rPr>
                <w:rFonts w:hint="eastAsia" w:ascii="仿宋" w:hAnsi="仿宋" w:eastAsia="仿宋" w:cs="仿宋"/>
                <w:color w:val="auto"/>
                <w:szCs w:val="21"/>
              </w:rPr>
              <w:t xml:space="preserve">至少</w:t>
            </w:r>
            <w:r>
              <w:rPr>
                <w:rFonts w:hint="eastAsia" w:ascii="仿宋" w:hAnsi="仿宋" w:eastAsia="仿宋" w:cs="仿宋"/>
                <w:color w:val="auto"/>
                <w:szCs w:val="21"/>
                <w:lang w:val="en-US" w:eastAsia="zh-CN"/>
              </w:rPr>
              <w:t xml:space="preserve">具有</w:t>
            </w:r>
            <w:r>
              <w:rPr>
                <w:rFonts w:hint="eastAsia" w:ascii="仿宋" w:hAnsi="仿宋" w:eastAsia="仿宋" w:cs="仿宋"/>
                <w:color w:val="auto"/>
                <w:szCs w:val="21"/>
              </w:rPr>
              <w:t xml:space="preserve">一名环保类副高</w:t>
            </w:r>
            <w:r>
              <w:rPr>
                <w:rFonts w:hint="eastAsia" w:ascii="仿宋" w:hAnsi="仿宋" w:eastAsia="仿宋" w:cs="仿宋"/>
                <w:color w:val="auto"/>
                <w:szCs w:val="21"/>
                <w:lang w:val="en-US" w:eastAsia="zh-CN"/>
              </w:rPr>
              <w:t xml:space="preserve">及以上</w:t>
            </w:r>
            <w:r>
              <w:rPr>
                <w:rFonts w:hint="eastAsia" w:ascii="仿宋" w:hAnsi="仿宋" w:eastAsia="仿宋" w:cs="仿宋"/>
                <w:color w:val="auto"/>
                <w:szCs w:val="21"/>
              </w:rPr>
              <w:t xml:space="preserve">职称）、1台便携式颗粒物监测仪、1台便携式PID、1台无人机、1辆巡查车辆（含车载灵嗅），现场驻厂人员每天按照工作要求提供空气质量预报预警和数据分析服务，监测数据异常时段组织人员进行排查分析。</w:t>
            </w:r>
            <w:r/>
          </w:p>
        </w:tc>
      </w:tr>
      <w:tr>
        <w:trPr>
          <w:jc w:val="center"/>
          <w:trHeight w:val="567"/>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大气污染物精准监测服务</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激光雷达立体扫描服务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30天</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使用颗粒物雷达扫描设备在站点周边监测，分析颗粒物高值区的污染排放，形成报告。</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移动式超级监测站（方舱）应急与专题监测服务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20天</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现场手工采样检测及移动监测方舱开展连续驻点监测相结合，开展精准溯源，形成专题报告，为环境执法与治理效果评估提供铁证。</w:t>
            </w:r>
            <w:r/>
          </w:p>
        </w:tc>
      </w:tr>
      <w:tr>
        <w:trPr>
          <w:jc w:val="center"/>
          <w:trHeight w:val="567"/>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精准走航与动态巡查管控服务体系</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VOCs走航监测与前体物精细化溯源</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30天</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利用VOCs走航监测车对重点区域开展网格化走航监测，支撑VOCs精细化管控。</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颗粒物激光雷达走航监测</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利用颗粒物雷达走航监测系统，按照要求开展各类走航监测，结合不同工作模式获得污染因子污染强度分布地图，掌握区域污染排放特征和排放规律，对区域污染源进行精准溯源。</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臭氧分析管控服务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臭氧污染期间，定性定量分析出新沂市臭氧污染主要污染源，并提出管控建议。</w:t>
            </w:r>
            <w:r/>
          </w:p>
        </w:tc>
      </w:tr>
      <w:tr>
        <w:trPr>
          <w:jc w:val="center"/>
          <w:trHeight w:val="567"/>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4</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颗粒物和臭氧源解析服务</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颗粒物与常规气态污染物解析</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2次</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通过近地面空气质量走航监测，判断污染来源类型如工业排放、机动车尾气、扬尘等，为现场执法与应急管控提供即时、精确的靶向指引。对监测站和城南站分别出具源解析报告，明确工业、生活、交通、农业、扬尘等行业污染占比，分析本地污染源和输入性污染源占比，并提出针对性管理建议。</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臭氧前体物解析</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1次</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通过走航，绘制出</w:t>
            </w:r>
            <w:bookmarkStart w:id="22" w:name="OLE_LINK18"/>
            <w:r>
              <w:rPr>
                <w:rFonts w:hint="eastAsia" w:ascii="仿宋" w:hAnsi="仿宋" w:eastAsia="仿宋" w:cs="仿宋"/>
                <w:color w:val="auto"/>
                <w:szCs w:val="21"/>
              </w:rPr>
              <w:t xml:space="preserve">VOCs</w:t>
            </w:r>
            <w:bookmarkEnd w:id="22"/>
            <w:r>
              <w:rPr>
                <w:rFonts w:hint="eastAsia" w:ascii="仿宋" w:hAnsi="仿宋" w:eastAsia="仿宋" w:cs="仿宋"/>
                <w:color w:val="auto"/>
                <w:szCs w:val="21"/>
              </w:rPr>
              <w:t xml:space="preserve">物种谱系空间分布图、臭氧生成潜势（OFP）热点图以及VOCs/NOx比值空间分布图。</w:t>
            </w:r>
            <w:r/>
          </w:p>
          <w:p>
            <w:pPr>
              <w:rPr>
                <w:rFonts w:hint="eastAsia" w:ascii="仿宋" w:hAnsi="仿宋" w:eastAsia="仿宋" w:cs="仿宋"/>
                <w:color w:val="auto"/>
                <w:szCs w:val="21"/>
              </w:rPr>
            </w:pPr>
            <w:r>
              <w:rPr>
                <w:rFonts w:hint="eastAsia" w:ascii="仿宋" w:hAnsi="仿宋" w:eastAsia="仿宋" w:cs="仿宋"/>
                <w:color w:val="auto"/>
                <w:szCs w:val="21"/>
              </w:rPr>
              <w:t xml:space="preserve">VOCs来源解析，臭氧生成潜势分析，优控组分来源解析，确定首要管控VOCs物种以及来源，指导管控方案的制定。</w:t>
            </w:r>
            <w:r/>
          </w:p>
        </w:tc>
      </w:tr>
      <w:tr>
        <w:trPr>
          <w:jc w:val="center"/>
          <w:trHeight w:val="875"/>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5</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涉VOCs废气排放企业专项核查服务</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工业企业大气污染治理提升服务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30家</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开展30家重点放企业专项核查行动，推进大气污染防治提升。</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储罐呼吸阀排查服务</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1次</w:t>
            </w:r>
            <w:r/>
          </w:p>
        </w:tc>
        <w:tc>
          <w:tcPr>
            <w:tcW w:w="4500" w:type="dxa"/>
            <w:vAlign w:val="center"/>
            <w:textDirection w:val="lrTb"/>
            <w:noWrap w:val="false"/>
          </w:tcPr>
          <w:p>
            <w:pPr>
              <w:rPr>
                <w:rFonts w:hint="eastAsia" w:ascii="仿宋" w:hAnsi="仿宋" w:eastAsia="仿宋" w:cs="仿宋"/>
                <w:color w:val="auto"/>
                <w:szCs w:val="21"/>
                <w:lang w:eastAsia="zh-CN"/>
              </w:rPr>
            </w:pPr>
            <w:r>
              <w:rPr>
                <w:rFonts w:hint="eastAsia" w:ascii="仿宋" w:hAnsi="仿宋" w:eastAsia="仿宋" w:cs="仿宋"/>
                <w:color w:val="auto"/>
                <w:szCs w:val="21"/>
              </w:rPr>
              <w:t xml:space="preserve">对新沂市30家涉呼吸阀企业专项核查，提出整治意见</w:t>
            </w:r>
            <w:r>
              <w:rPr>
                <w:rFonts w:hint="eastAsia" w:ascii="仿宋" w:hAnsi="仿宋" w:eastAsia="仿宋" w:cs="仿宋"/>
                <w:color w:val="auto"/>
                <w:szCs w:val="21"/>
                <w:lang w:eastAsia="zh-CN"/>
              </w:rPr>
              <w:t xml:space="preserve">。</w:t>
            </w:r>
            <w:r/>
          </w:p>
        </w:tc>
      </w:tr>
      <w:tr>
        <w:trPr>
          <w:jc w:val="center"/>
          <w:trHeight w:val="567"/>
        </w:trPr>
        <w:tc>
          <w:tcPr>
            <w:tcW w:w="682"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6</w:t>
            </w:r>
            <w:r/>
          </w:p>
        </w:tc>
        <w:tc>
          <w:tcPr>
            <w:tcW w:w="1039"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大气污染治理方案</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新沂市大气污染提升工作方案</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1份</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根据前期排查分析以及后期源解析等工作，从产业结构、能源结构、交通运输结构、用地结构以及污染物源解析等层面分析新沂市大气污染主要原因，制定出一份新沂市大气污染提升工作方案。</w:t>
            </w:r>
            <w:r/>
          </w:p>
        </w:tc>
      </w:tr>
      <w:tr>
        <w:trPr>
          <w:jc w:val="center"/>
          <w:trHeight w:val="567"/>
        </w:trPr>
        <w:tc>
          <w:tcPr>
            <w:tcW w:w="682"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w:t>
            </w:r>
            <w:r/>
          </w:p>
        </w:tc>
        <w:tc>
          <w:tcPr>
            <w:tcW w:w="1039" w:type="dxa"/>
            <w:vAlign w:val="center"/>
            <w:vMerge w:val="restart"/>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生态环境问题排查</w:t>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城南异味问题核查</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1次</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rPr>
              <w:t xml:space="preserve">针对新沂市城南异味突出生态环境问题，建立新沂市化工企业特征污染物图谱，排查分析出新沂市城南异味突出问题原因。2.城区恶臭溯源排查，监测分析城区污染源原因（如有）。</w:t>
            </w:r>
            <w:r/>
          </w:p>
        </w:tc>
      </w:tr>
      <w:tr>
        <w:trPr>
          <w:jc w:val="center"/>
          <w:trHeight w:val="567"/>
        </w:trPr>
        <w:tc>
          <w:tcPr>
            <w:tcW w:w="682"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039" w:type="dxa"/>
            <w:vAlign w:val="center"/>
            <w:vMerge w:val="continue"/>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tcW w:w="1817"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突出生态环境问题排查</w:t>
            </w:r>
            <w:r/>
          </w:p>
        </w:tc>
        <w:tc>
          <w:tcPr>
            <w:tcW w:w="934" w:type="dxa"/>
            <w:vAlign w:val="center"/>
            <w:textDirection w:val="lrTb"/>
            <w:noWrap w:val="false"/>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1次</w:t>
            </w:r>
            <w:r/>
          </w:p>
        </w:tc>
        <w:tc>
          <w:tcPr>
            <w:tcW w:w="4500" w:type="dxa"/>
            <w:vAlign w:val="center"/>
            <w:textDirection w:val="lrTb"/>
            <w:noWrap w:val="false"/>
          </w:tcPr>
          <w:p>
            <w:pP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次应急事故专家指导（如有），</w:t>
            </w: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次固体废物治理方案，</w:t>
            </w: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次生态环境损害评估鉴定服务。</w:t>
            </w:r>
            <w:bookmarkEnd w:id="21"/>
            <w:r/>
          </w:p>
        </w:tc>
      </w:tr>
    </w:tbl>
    <w:p>
      <w:pPr>
        <w:pStyle w:val="816"/>
        <w:ind w:firstLine="0"/>
        <w:spacing w:line="360" w:lineRule="auto"/>
        <w:rPr>
          <w:rFonts w:hint="default" w:ascii="Times New Roman" w:hAnsi="Times New Roman" w:cs="Times New Roman"/>
          <w:bCs/>
          <w:color w:val="auto"/>
          <w:sz w:val="24"/>
        </w:rPr>
      </w:pPr>
      <w:r>
        <w:rPr>
          <w:rFonts w:hint="default" w:ascii="Times New Roman" w:hAnsi="Times New Roman" w:cs="Times New Roman"/>
          <w:bCs/>
          <w:color w:val="auto"/>
          <w:sz w:val="24"/>
        </w:rPr>
      </w:r>
      <w:r/>
    </w:p>
    <w:p>
      <w:pPr>
        <w:pStyle w:val="816"/>
        <w:ind w:left="0" w:firstLine="0"/>
        <w:spacing w:line="360" w:lineRule="auto"/>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2、项目人员配置要求</w:t>
      </w:r>
      <w:r/>
    </w:p>
    <w:tbl>
      <w:tblPr>
        <w:tblStyle w:val="714"/>
        <w:tblW w:w="8967" w:type="dxa"/>
        <w:tblInd w:w="10" w:type="dxa"/>
        <w:tblLayout w:type="fixed"/>
        <w:tblCellMar>
          <w:left w:w="108" w:type="dxa"/>
          <w:top w:w="15" w:type="dxa"/>
          <w:right w:w="108" w:type="dxa"/>
          <w:bottom w:w="0" w:type="dxa"/>
        </w:tblCellMar>
        <w:tblLook w:val="04A0" w:firstRow="1" w:lastRow="0" w:firstColumn="1" w:lastColumn="0" w:noHBand="0" w:noVBand="1"/>
      </w:tblPr>
      <w:tblGrid>
        <w:gridCol w:w="1550"/>
        <w:gridCol w:w="850"/>
        <w:gridCol w:w="6331"/>
        <w:gridCol w:w="236"/>
      </w:tblGrid>
      <w:tr>
        <w:trPr>
          <w:gridAfter w:val="1"/>
          <w:trHeight w:val="340"/>
        </w:trPr>
        <w:tc>
          <w:tcPr>
            <w:tcBorders>
              <w:top w:val="single" w:color="000000" w:sz="8" w:space="0"/>
              <w:left w:val="single" w:color="000000" w:sz="8" w:space="0"/>
              <w:bottom w:val="single" w:color="000000" w:sz="8" w:space="0"/>
              <w:right w:val="single" w:color="000000" w:sz="8" w:space="0"/>
            </w:tcBorders>
            <w:tcW w:w="1550" w:type="dxa"/>
            <w:vAlign w:val="center"/>
            <w:textDirection w:val="lrTb"/>
            <w:noWrap w:val="false"/>
          </w:tcPr>
          <w:p>
            <w:pPr>
              <w:jc w:val="left"/>
              <w:rPr>
                <w:rFonts w:hint="eastAsia" w:ascii="仿宋" w:hAnsi="仿宋" w:eastAsia="仿宋" w:cs="仿宋"/>
                <w:b/>
                <w:bCs/>
                <w:color w:val="auto"/>
                <w:szCs w:val="21"/>
              </w:rPr>
            </w:pPr>
            <w:r>
              <w:rPr>
                <w:rFonts w:hint="eastAsia" w:ascii="仿宋" w:hAnsi="仿宋" w:eastAsia="仿宋" w:cs="仿宋"/>
                <w:b/>
                <w:bCs/>
                <w:color w:val="auto"/>
                <w:szCs w:val="21"/>
              </w:rPr>
              <w:t xml:space="preserve">角色</w:t>
            </w:r>
            <w:r/>
          </w:p>
        </w:tc>
        <w:tc>
          <w:tcPr>
            <w:tcBorders>
              <w:top w:val="single" w:color="000000" w:sz="8" w:space="0"/>
              <w:bottom w:val="single" w:color="000000" w:sz="8" w:space="0"/>
              <w:right w:val="single" w:color="000000" w:sz="8" w:space="0"/>
            </w:tcBorders>
            <w:tcW w:w="850" w:type="dxa"/>
            <w:vAlign w:val="center"/>
            <w:textDirection w:val="lrTb"/>
            <w:noWrap w:val="false"/>
          </w:tcPr>
          <w:p>
            <w:pPr>
              <w:jc w:val="left"/>
              <w:rPr>
                <w:rFonts w:hint="eastAsia" w:ascii="仿宋" w:hAnsi="仿宋" w:eastAsia="仿宋" w:cs="仿宋"/>
                <w:b/>
                <w:bCs/>
                <w:color w:val="auto"/>
                <w:szCs w:val="21"/>
              </w:rPr>
            </w:pPr>
            <w:r>
              <w:rPr>
                <w:rFonts w:hint="eastAsia" w:ascii="仿宋" w:hAnsi="仿宋" w:eastAsia="仿宋" w:cs="仿宋"/>
                <w:b/>
                <w:bCs/>
                <w:color w:val="auto"/>
                <w:szCs w:val="21"/>
              </w:rPr>
              <w:t xml:space="preserve">数量</w:t>
            </w:r>
            <w:r/>
          </w:p>
        </w:tc>
        <w:tc>
          <w:tcPr>
            <w:tcBorders>
              <w:top w:val="single" w:color="000000" w:sz="8" w:space="0"/>
              <w:bottom w:val="single" w:color="000000" w:sz="8" w:space="0"/>
              <w:right w:val="single" w:color="000000" w:sz="8" w:space="0"/>
            </w:tcBorders>
            <w:tcW w:w="6331" w:type="dxa"/>
            <w:vAlign w:val="center"/>
            <w:textDirection w:val="lrTb"/>
            <w:noWrap w:val="false"/>
          </w:tcPr>
          <w:p>
            <w:pPr>
              <w:jc w:val="center"/>
              <w:rPr>
                <w:rFonts w:hint="eastAsia" w:ascii="仿宋" w:hAnsi="仿宋" w:eastAsia="仿宋" w:cs="仿宋"/>
                <w:b/>
                <w:bCs/>
                <w:color w:val="auto"/>
                <w:szCs w:val="21"/>
              </w:rPr>
            </w:pPr>
            <w:r>
              <w:rPr>
                <w:rFonts w:hint="eastAsia" w:ascii="仿宋" w:hAnsi="仿宋" w:eastAsia="仿宋" w:cs="仿宋"/>
                <w:b/>
                <w:bCs/>
                <w:color w:val="auto"/>
                <w:szCs w:val="21"/>
              </w:rPr>
              <w:t xml:space="preserve">岗位职责</w:t>
            </w:r>
            <w:r/>
          </w:p>
        </w:tc>
      </w:tr>
      <w:tr>
        <w:trPr>
          <w:gridAfter w:val="1"/>
          <w:trHeight w:val="1201"/>
        </w:trPr>
        <w:tc>
          <w:tcPr>
            <w:tcBorders>
              <w:left w:val="single" w:color="000000" w:sz="8" w:space="0"/>
              <w:bottom w:val="single" w:color="000000" w:sz="8" w:space="0"/>
              <w:right w:val="single" w:color="000000" w:sz="8" w:space="0"/>
            </w:tcBorders>
            <w:tcW w:w="15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项目经理</w:t>
            </w:r>
            <w:r/>
          </w:p>
        </w:tc>
        <w:tc>
          <w:tcPr>
            <w:tcBorders>
              <w:bottom w:val="single" w:color="000000" w:sz="8" w:space="0"/>
              <w:right w:val="single" w:color="000000" w:sz="8" w:space="0"/>
            </w:tcBorders>
            <w:tcW w:w="8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1人</w:t>
            </w:r>
            <w:r/>
          </w:p>
        </w:tc>
        <w:tc>
          <w:tcPr>
            <w:tcBorders>
              <w:bottom w:val="single" w:color="000000" w:sz="8" w:space="0"/>
              <w:right w:val="single" w:color="000000" w:sz="8" w:space="0"/>
            </w:tcBorders>
            <w:tcW w:w="6331"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t xml:space="preserve">主要负责项目日常管理，配合政府组织并参加大气污染防治研判及专家讨论等会议，并调度公司相关资源提供技术支持，开展重点污染源日常巡查工作。</w:t>
            </w:r>
            <w:r>
              <w:rPr>
                <w:rFonts w:hint="eastAsia" w:ascii="仿宋" w:hAnsi="仿宋" w:eastAsia="仿宋" w:cs="仿宋"/>
                <w:color w:val="auto"/>
                <w:szCs w:val="21"/>
                <w:lang w:val="en-US" w:eastAsia="zh-CN"/>
              </w:rPr>
              <w:t xml:space="preserve">按需驻场</w:t>
            </w:r>
            <w:r>
              <w:rPr>
                <w:rFonts w:hint="eastAsia" w:ascii="仿宋" w:hAnsi="仿宋" w:eastAsia="仿宋" w:cs="仿宋"/>
                <w:color w:val="auto"/>
                <w:szCs w:val="21"/>
              </w:rPr>
              <w:t xml:space="preserve">现场。</w:t>
            </w:r>
            <w:r/>
          </w:p>
        </w:tc>
      </w:tr>
      <w:tr>
        <w:trPr>
          <w:gridAfter w:val="1"/>
          <w:trHeight w:val="1164"/>
        </w:trPr>
        <w:tc>
          <w:tcPr>
            <w:tcBorders>
              <w:left w:val="single" w:color="000000" w:sz="8" w:space="0"/>
              <w:bottom w:val="single" w:color="000000" w:sz="8" w:space="0"/>
              <w:right w:val="single" w:color="000000" w:sz="8" w:space="0"/>
            </w:tcBorders>
            <w:tcW w:w="15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环境分析驻场人员</w:t>
            </w:r>
            <w:r/>
          </w:p>
        </w:tc>
        <w:tc>
          <w:tcPr>
            <w:tcBorders>
              <w:bottom w:val="single" w:color="000000" w:sz="8" w:space="0"/>
              <w:right w:val="single" w:color="000000" w:sz="8" w:space="0"/>
            </w:tcBorders>
            <w:tcW w:w="8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1人</w:t>
            </w:r>
            <w:r/>
          </w:p>
        </w:tc>
        <w:tc>
          <w:tcPr>
            <w:tcBorders>
              <w:bottom w:val="single" w:color="000000" w:sz="8" w:space="0"/>
              <w:right w:val="single" w:color="000000" w:sz="8" w:space="0"/>
            </w:tcBorders>
            <w:tcW w:w="6331"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t xml:space="preserve">结合省/市空气站、在线污染源、网格化监测、气象等数据进行综合分析，对城市空气质量进行分析及研判，提出环境管控建议并提供相应专用报告。常驻现场。</w:t>
            </w:r>
            <w:r/>
          </w:p>
        </w:tc>
      </w:tr>
      <w:tr>
        <w:trPr>
          <w:gridAfter w:val="1"/>
          <w:trHeight w:val="854"/>
        </w:trPr>
        <w:tc>
          <w:tcPr>
            <w:tcBorders>
              <w:left w:val="single" w:color="000000" w:sz="8" w:space="0"/>
              <w:bottom w:val="single" w:color="000000" w:sz="8" w:space="0"/>
              <w:right w:val="single" w:color="000000" w:sz="8" w:space="0"/>
            </w:tcBorders>
            <w:tcW w:w="15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巡查人员</w:t>
            </w:r>
            <w:r/>
          </w:p>
        </w:tc>
        <w:tc>
          <w:tcPr>
            <w:tcBorders>
              <w:bottom w:val="single" w:color="000000" w:sz="8" w:space="0"/>
              <w:right w:val="single" w:color="000000" w:sz="8" w:space="0"/>
            </w:tcBorders>
            <w:tcW w:w="85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2人</w:t>
            </w:r>
            <w:r/>
          </w:p>
        </w:tc>
        <w:tc>
          <w:tcPr>
            <w:tcBorders>
              <w:bottom w:val="single" w:color="000000" w:sz="8" w:space="0"/>
              <w:right w:val="single" w:color="000000" w:sz="8" w:space="0"/>
            </w:tcBorders>
            <w:tcW w:w="6331"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t xml:space="preserve">完成日常及特殊污染事件巡查任务，对现场进行拍照取证并提交巡查报告。常驻现场。</w:t>
            </w:r>
            <w:r/>
          </w:p>
        </w:tc>
      </w:tr>
      <w:tr>
        <w:trPr>
          <w:gridAfter w:val="1"/>
          <w:trHeight w:val="960"/>
        </w:trPr>
        <w:tc>
          <w:tcPr>
            <w:tcBorders>
              <w:left w:val="single" w:color="000000" w:sz="8" w:space="0"/>
              <w:bottom w:val="single" w:color="000000" w:sz="8" w:space="0"/>
              <w:right w:val="single" w:color="000000" w:sz="8" w:space="0"/>
            </w:tcBorders>
            <w:tcW w:w="1550" w:type="dxa"/>
            <w:vAlign w:val="center"/>
            <w:vMerge w:val="restart"/>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其他人员</w:t>
            </w:r>
            <w:r/>
          </w:p>
        </w:tc>
        <w:tc>
          <w:tcPr>
            <w:tcBorders>
              <w:left w:val="single" w:color="000000" w:sz="8" w:space="0"/>
              <w:bottom w:val="single" w:color="000000" w:sz="8" w:space="0"/>
              <w:right w:val="single" w:color="000000" w:sz="8" w:space="0"/>
            </w:tcBorders>
            <w:tcW w:w="850" w:type="dxa"/>
            <w:vAlign w:val="center"/>
            <w:vMerge w:val="restart"/>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按需提供</w:t>
            </w:r>
            <w:r/>
          </w:p>
        </w:tc>
        <w:tc>
          <w:tcPr>
            <w:tcBorders>
              <w:left w:val="single" w:color="000000" w:sz="8" w:space="0"/>
              <w:bottom w:val="single" w:color="000000" w:sz="8" w:space="0"/>
              <w:right w:val="single" w:color="000000" w:sz="8" w:space="0"/>
            </w:tcBorders>
            <w:tcW w:w="6331" w:type="dxa"/>
            <w:vAlign w:val="center"/>
            <w:vMerge w:val="restart"/>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t xml:space="preserve">根据项目需要，随时安排专业技术人员及驾驶员进行移动监测、排查、分析相关工作并</w:t>
            </w:r>
            <w:r>
              <w:rPr>
                <w:rFonts w:hint="eastAsia" w:ascii="仿宋" w:hAnsi="仿宋" w:eastAsia="仿宋" w:cs="仿宋"/>
                <w:color w:val="auto"/>
                <w:szCs w:val="21"/>
                <w:highlight w:val="none"/>
              </w:rPr>
              <w:t xml:space="preserve">出具报告</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 xml:space="preserve">。</w:t>
            </w:r>
            <w:r>
              <w:rPr>
                <w:rFonts w:hint="eastAsia" w:ascii="仿宋" w:hAnsi="仿宋" w:eastAsia="仿宋" w:cs="仿宋"/>
                <w:color w:val="auto"/>
                <w:szCs w:val="21"/>
              </w:rPr>
              <w:t xml:space="preserve"> </w:t>
            </w:r>
            <w:r/>
          </w:p>
        </w:tc>
      </w:tr>
      <w:tr>
        <w:trPr>
          <w:trHeight w:val="320"/>
        </w:trPr>
        <w:tc>
          <w:tcPr>
            <w:tcBorders>
              <w:left w:val="single" w:color="000000" w:sz="8" w:space="0"/>
              <w:bottom w:val="single" w:color="000000" w:sz="8" w:space="0"/>
              <w:right w:val="single" w:color="000000" w:sz="8" w:space="0"/>
            </w:tcBorders>
            <w:tcW w:w="1550"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Borders>
              <w:left w:val="single" w:color="000000" w:sz="8" w:space="0"/>
              <w:bottom w:val="single" w:color="000000" w:sz="8" w:space="0"/>
              <w:right w:val="single" w:color="000000" w:sz="8" w:space="0"/>
            </w:tcBorders>
            <w:tcW w:w="850"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Borders>
              <w:left w:val="single" w:color="000000" w:sz="8" w:space="0"/>
              <w:bottom w:val="single" w:color="000000" w:sz="8" w:space="0"/>
              <w:right w:val="single" w:color="000000" w:sz="8" w:space="0"/>
            </w:tcBorders>
            <w:tcW w:w="6331"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W w:w="236"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r>
      <w:tr>
        <w:trPr>
          <w:trHeight w:val="90"/>
        </w:trPr>
        <w:tc>
          <w:tcPr>
            <w:tcBorders>
              <w:left w:val="single" w:color="000000" w:sz="8" w:space="0"/>
              <w:bottom w:val="single" w:color="000000" w:sz="8" w:space="0"/>
              <w:right w:val="single" w:color="000000" w:sz="8" w:space="0"/>
            </w:tcBorders>
            <w:tcW w:w="1550"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Borders>
              <w:left w:val="single" w:color="000000" w:sz="8" w:space="0"/>
              <w:bottom w:val="single" w:color="000000" w:sz="8" w:space="0"/>
              <w:right w:val="single" w:color="000000" w:sz="8" w:space="0"/>
            </w:tcBorders>
            <w:tcW w:w="850"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Borders>
              <w:left w:val="single" w:color="000000" w:sz="8" w:space="0"/>
              <w:bottom w:val="single" w:color="000000" w:sz="8" w:space="0"/>
              <w:right w:val="single" w:color="000000" w:sz="8" w:space="0"/>
            </w:tcBorders>
            <w:tcW w:w="6331" w:type="dxa"/>
            <w:vAlign w:val="center"/>
            <w:vMerge w:val="continue"/>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c>
          <w:tcPr>
            <w:tcW w:w="236" w:type="dxa"/>
            <w:vAlign w:val="center"/>
            <w:textDirection w:val="lrTb"/>
            <w:noWrap w:val="false"/>
          </w:tcPr>
          <w:p>
            <w:pPr>
              <w:jc w:val="left"/>
              <w:rPr>
                <w:rFonts w:hint="eastAsia" w:ascii="仿宋" w:hAnsi="仿宋" w:eastAsia="仿宋" w:cs="仿宋"/>
                <w:color w:val="auto"/>
                <w:szCs w:val="21"/>
              </w:rPr>
            </w:pPr>
            <w:r>
              <w:rPr>
                <w:rFonts w:hint="eastAsia" w:ascii="仿宋" w:hAnsi="仿宋" w:eastAsia="仿宋" w:cs="仿宋"/>
                <w:color w:val="auto"/>
                <w:szCs w:val="21"/>
              </w:rPr>
            </w:r>
            <w:r/>
          </w:p>
        </w:tc>
      </w:tr>
    </w:tbl>
    <w:p>
      <w:pPr>
        <w:pStyle w:val="816"/>
        <w:ind w:firstLine="0"/>
        <w:spacing w:line="360" w:lineRule="auto"/>
        <w:rPr>
          <w:rFonts w:hint="default" w:ascii="Times New Roman" w:hAnsi="Times New Roman" w:eastAsia="宋体" w:cs="Times New Roman"/>
          <w:bCs/>
          <w:color w:val="auto"/>
          <w:sz w:val="24"/>
          <w:lang w:val="en-US" w:eastAsia="zh-CN"/>
        </w:rPr>
      </w:pPr>
      <w:r>
        <w:rPr>
          <w:rFonts w:hint="default" w:ascii="Times New Roman" w:hAnsi="Times New Roman" w:eastAsia="宋体" w:cs="Times New Roman"/>
          <w:bCs/>
          <w:color w:val="auto"/>
          <w:sz w:val="24"/>
          <w:lang w:val="en-US" w:eastAsia="zh-CN"/>
        </w:rPr>
      </w:r>
      <w:r/>
    </w:p>
    <w:p>
      <w:pPr>
        <w:pStyle w:val="816"/>
        <w:ind w:firstLine="0"/>
        <w:spacing w:line="360" w:lineRule="auto"/>
        <w:rPr>
          <w:rFonts w:hint="eastAsia" w:ascii="仿宋" w:hAnsi="仿宋" w:eastAsia="仿宋" w:cs="仿宋"/>
          <w:bCs/>
          <w:color w:val="auto"/>
          <w:sz w:val="24"/>
        </w:rPr>
      </w:pPr>
      <w:r>
        <w:rPr>
          <w:rFonts w:hint="eastAsia" w:ascii="仿宋" w:hAnsi="仿宋" w:eastAsia="仿宋" w:cs="仿宋"/>
          <w:bCs/>
          <w:color w:val="auto"/>
          <w:sz w:val="24"/>
          <w:lang w:val="en-US" w:eastAsia="zh-CN"/>
        </w:rPr>
        <w:t xml:space="preserve">3</w:t>
      </w:r>
      <w:r>
        <w:rPr>
          <w:rFonts w:hint="eastAsia" w:ascii="仿宋" w:hAnsi="仿宋" w:eastAsia="仿宋" w:cs="仿宋"/>
          <w:bCs/>
          <w:color w:val="auto"/>
          <w:sz w:val="24"/>
        </w:rPr>
        <w:t xml:space="preserve">、服务要求</w:t>
      </w:r>
      <w:r/>
    </w:p>
    <w:p>
      <w:pPr>
        <w:ind w:firstLine="480"/>
        <w:spacing w:line="360" w:lineRule="auto"/>
        <w:rPr>
          <w:rFonts w:hint="eastAsia" w:ascii="仿宋" w:hAnsi="仿宋" w:eastAsia="仿宋" w:cs="仿宋"/>
          <w:color w:val="auto"/>
          <w:sz w:val="24"/>
        </w:rPr>
      </w:pPr>
      <w:r/>
      <w:bookmarkStart w:id="23" w:name="_Toc9645"/>
      <w:r/>
      <w:bookmarkStart w:id="24" w:name="_Toc30901"/>
      <w:r/>
      <w:bookmarkStart w:id="25" w:name="_Toc22129"/>
      <w:r>
        <w:rPr>
          <w:rFonts w:hint="eastAsia" w:ascii="仿宋" w:hAnsi="仿宋" w:eastAsia="仿宋" w:cs="仿宋"/>
          <w:color w:val="auto"/>
          <w:sz w:val="24"/>
        </w:rPr>
        <w:t xml:space="preserve">（一）大气精准管控综合驻场服务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1、日常数据监控分析服务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现场分析组对空气质量监测数据平台数据进行监控，及时发现并汇报点位数据突高情况，快速分析各污染物分布特点，结合气象状况，当地污染源状况、周边情况，综合研判污染成因及潜在污染源。给出管控建议。</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2、日常大气污染源巡查服务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①通过专业驻场巡查人员进行日常巡查工作，包括省控站点周边污染源现场排查、辖区内重点源排查、典型时段专项巡查、大气污染管控期间的入户核查等，实现精准溯源。</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②查找区域内污染排放单位，更新大气污染源台账，指导相关部门对污染源进行强力监管、整改，协助开展区域内的异常污染源核查工作，减少区域内大气污染排放，以期实现区域环境空气质量改善的目的。</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③专业驻场巡查人员需提供便携式检测设备及巡查车辆对重点区域内污染源每日进行巡督查服务。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3、污染源地图精细化管控服务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制定各站点污染防控地图和清单，完善更新区域内的污染污染源台账，厘清周边风险源分布及产排特点。并制定特殊时段管控方案，划定重点管控区域，减少区域内大气污染排放，实现区域环境空气质量改善的目的。</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4、动态更新达标任务服务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对驻地空气质量月、年完成情况进行动态达标统计，分析实测值与目标值间的差距，实时掌控重点监测指标的达标情况及剩余时间段的控制目标，实现驻地空气质量达标任务的动态管理。</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5、空气质量研判及预报预警服务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参考模型预报结果提供未来7天趋势预报，对未来的污染形势进行研判分析，为大气污染管控和重污染应急提供技术支持。</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6、数据分析服务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利用现有的监控平台数据，结合走航监测数据、网格化微型站监测数据等多源数据，通过对历史数据分析、区域排名变化分析，结合气象条件、污染源分布情况，运用多种技术手段，对监测数据进行综合分析；同时结合周边城市周边监测数据、周边城市重点排放源数据联合分析等。包括污染过程分析、大气重污染成因分析、月报、年报等分析内容，全面分析污染现状、成因、污染特征等。</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（二）VOCs和颗粒物走航监测</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建立针对性的走航方法，实施走航监测，必要时深入企业，锁定污染源头，实现精准溯源，精准管控。监测期间每日提供走航日报。</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1、VOCs走航监测系统</w:t>
      </w:r>
      <w:r/>
    </w:p>
    <w:p>
      <w:pPr>
        <w:ind w:firstLine="480"/>
        <w:spacing w:line="360" w:lineRule="auto"/>
        <w:rPr>
          <w:rFonts w:hint="eastAsia" w:ascii="仿宋" w:hAnsi="仿宋" w:eastAsia="仿宋" w:cs="仿宋"/>
          <w:color w:val="auto"/>
          <w:sz w:val="24"/>
        </w:rPr>
      </w:pPr>
      <w:r/>
      <w:bookmarkStart w:id="26" w:name="_Hlk54975045"/>
      <w:r>
        <w:rPr>
          <w:rFonts w:hint="eastAsia" w:ascii="仿宋" w:hAnsi="仿宋" w:eastAsia="仿宋" w:cs="仿宋"/>
          <w:color w:val="auto"/>
          <w:sz w:val="24"/>
        </w:rPr>
        <w:t xml:space="preserve">①总体要求</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利</w:t>
      </w:r>
      <w:bookmarkStart w:id="27" w:name="_Hlk106718519"/>
      <w:r>
        <w:rPr>
          <w:rFonts w:hint="eastAsia" w:ascii="仿宋" w:hAnsi="仿宋" w:eastAsia="仿宋" w:cs="仿宋"/>
          <w:color w:val="auto"/>
          <w:sz w:val="24"/>
        </w:rPr>
        <w:t xml:space="preserve">用VOCs走航监测车进行网格化走航监测，结合不同工作模式获得VOCs 污染状况图，掌握污染源的排放特征和排放规律。通过VOCs走航监测快速找出问题点位，确定VOCs超标排放责任主体及问题点。</w:t>
      </w:r>
      <w:bookmarkEnd w:id="26"/>
      <w:bookmarkEnd w:id="27"/>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②监测系统的技术参数</w:t>
      </w:r>
      <w:r/>
    </w:p>
    <w:tbl>
      <w:tblPr>
        <w:tblStyle w:val="714"/>
        <w:tblW w:w="83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2"/>
      </w:tblGrid>
      <w:tr>
        <w:trPr>
          <w:jc w:val="center"/>
        </w:trPr>
        <w:tc>
          <w:tcPr>
            <w:tcW w:w="8302" w:type="dxa"/>
            <w:vAlign w:val="top"/>
            <w:textDirection w:val="lrTb"/>
            <w:noWrap w:val="false"/>
          </w:tcPr>
          <w:p>
            <w:pPr>
              <w:ind w:firstLine="480"/>
              <w:spacing w:line="360" w:lineRule="auto"/>
              <w:rPr>
                <w:rFonts w:hint="eastAsia" w:ascii="仿宋" w:hAnsi="仿宋" w:eastAsia="仿宋" w:cs="仿宋"/>
                <w:color w:val="auto"/>
                <w:sz w:val="24"/>
              </w:rPr>
            </w:pPr>
            <w:r/>
            <w:bookmarkStart w:id="28" w:name="_Hlk54972812"/>
            <w:r>
              <w:rPr>
                <w:rFonts w:hint="eastAsia" w:ascii="仿宋" w:hAnsi="仿宋" w:eastAsia="仿宋" w:cs="仿宋"/>
                <w:color w:val="auto"/>
                <w:sz w:val="24"/>
              </w:rPr>
              <w:t xml:space="preserve">技术参数</w:t>
            </w:r>
            <w:bookmarkEnd w:id="28"/>
            <w:r/>
          </w:p>
        </w:tc>
      </w:tr>
      <w:tr>
        <w:trPr>
          <w:jc w:val="center"/>
        </w:trPr>
        <w:tc>
          <w:tcPr>
            <w:tcW w:w="8302" w:type="dxa"/>
            <w:vAlign w:val="top"/>
            <w:textDirection w:val="lrTb"/>
            <w:noWrap w:val="false"/>
          </w:tcPr>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1）监测原理: 利用飞行时间质谱对</w:t>
            </w:r>
            <w:r>
              <w:rPr>
                <w:rFonts w:hint="eastAsia" w:ascii="仿宋" w:hAnsi="仿宋" w:eastAsia="仿宋" w:cs="仿宋"/>
                <w:color w:val="auto"/>
                <w:sz w:val="24"/>
              </w:rPr>
              <w:t xml:space="preserve">VOCs</w:t>
            </w:r>
            <w:r>
              <w:rPr>
                <w:rFonts w:hint="eastAsia" w:ascii="仿宋" w:hAnsi="仿宋" w:eastAsia="仿宋" w:cs="仿宋"/>
                <w:color w:val="auto"/>
                <w:sz w:val="24"/>
                <w:highlight w:val="none"/>
              </w:rPr>
              <w:t xml:space="preserve">进行定性和定量分析。（提供设备彩页或官网截图或检测报告或其他证明材料）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2）可测物种：烃类、芳香烃类、醛酮类、酯类、羧酸类、醇类、烷类等。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3）质量检测范围：最高可达600Th。</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4）质量分辨率 (FWHM) ：质量分辨率不低于300Th/Th。</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▲5）离子源：使用反应试剂离子 H3O+，还可搭配其他反应离子，例如 O2+。（提供第三方检验检测机构出具的测试报告复印件）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▲6）响应时间:检测丙烯响应时间&lt;0.2s。（提供第三方检验检测机构出具的测试报告复印件）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▲7）检出限: LOD&lt;4 ppbv/min (丙烯,1min积分时间)。（提供第三方检验检测机构出具的测试报告复印件）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▲8）质量精度：质量精度&lt;0.005 amu。（提供第三方检验检测机构出具的测试报告复印件）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▲9）走航车具备高空采样装置，对10~20m的高空气体进行监测（提供设备照片或其他证明材料）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10）构造坚固，所有部件内置于金属框架和面板中，各角有橡胶垫，可以任何方向放置。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11）电源电压：100-240VAC，50/60Hz</w:t>
            </w:r>
            <w:r/>
          </w:p>
        </w:tc>
      </w:tr>
    </w:tbl>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2、颗粒物走航监测系统</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使用六参数仪器或激光雷达开展颗粒物走航工作。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①总体要求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利用空气质量走航监测技术进行移动监测和溯源，结合不同工作模式获得污染因子污染强度分布地图，掌握区域污染排放特征和排放规律，对区域污染源进行精准溯源。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②监测系统的技术参数</w:t>
      </w:r>
      <w:r/>
    </w:p>
    <w:tbl>
      <w:tblPr>
        <w:tblStyle w:val="714"/>
        <w:tblW w:w="88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jc w:val="center"/>
          <w:trHeight w:val="466"/>
        </w:trPr>
        <w:tc>
          <w:tcPr>
            <w:tcW w:w="8860" w:type="dxa"/>
            <w:vAlign w:val="top"/>
            <w:textDirection w:val="lrTb"/>
            <w:noWrap w:val="false"/>
          </w:tcPr>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激光雷达技术参数</w:t>
            </w:r>
            <w:r/>
          </w:p>
        </w:tc>
      </w:tr>
      <w:tr>
        <w:trPr>
          <w:jc w:val="center"/>
          <w:trHeight w:val="5110"/>
        </w:trPr>
        <w:tc>
          <w:tcPr>
            <w:tcW w:w="8860" w:type="dxa"/>
            <w:vAlign w:val="top"/>
            <w:textDirection w:val="lrTb"/>
            <w:noWrap w:val="false"/>
          </w:tcPr>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（1）总体指标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1）探测距离：垂直探测最大高度可达10km以上，水平探测最大距离可达6km以上；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2）空间分辨率：1.5m～300m，至少包括十个档位可调；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3）时间分辨率：≤30min，可调节；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4）盲区距离：≤75m；</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5）扫描方式：用顶载固定云台扫描模式，激光雷达主机放置在云台顶端进行扫描，能够连续旋转无线缆缠绕；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6）扫描旋转速度：0～30°/s可调，角度分辨率≤0.1°（可调节设置）；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7）扫描角度：水平扫描0～360°，垂直扫描0～180°，可无限旋转扫描；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水平扫描观测时间效率：可调节，完成一次0°～360°水平扫描（角度分辨率不低于2°，累计廓线条数≥180条，单条廓线累计平均脉冲不低于12000发脉冲），最快8分钟内完成，每小时至少可提供7幅完整水平扫描图谱；</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▲9）数据相关性：具备比对修正功能，在70m垂直高度内的小时监测数据与地面标准空气站（包含PM</w:t>
            </w:r>
            <w:r>
              <w:rPr>
                <w:rFonts w:hint="eastAsia" w:ascii="仿宋" w:hAnsi="仿宋" w:eastAsia="仿宋" w:cs="仿宋"/>
                <w:color w:val="auto"/>
                <w:sz w:val="24"/>
                <w:highlight w:val="none"/>
                <w:vertAlign w:val="subscript"/>
              </w:rPr>
              <w:t xml:space="preserve">2.5</w:t>
            </w:r>
            <w:r>
              <w:rPr>
                <w:rFonts w:hint="eastAsia" w:ascii="仿宋" w:hAnsi="仿宋" w:eastAsia="仿宋" w:cs="仿宋"/>
                <w:color w:val="auto"/>
                <w:sz w:val="24"/>
                <w:highlight w:val="none"/>
              </w:rPr>
              <w:t xml:space="preserve">、PM</w:t>
            </w:r>
            <w:r>
              <w:rPr>
                <w:rFonts w:hint="eastAsia" w:ascii="仿宋" w:hAnsi="仿宋" w:eastAsia="仿宋" w:cs="仿宋"/>
                <w:color w:val="auto"/>
                <w:sz w:val="24"/>
                <w:highlight w:val="none"/>
                <w:vertAlign w:val="subscript"/>
              </w:rPr>
              <w:t xml:space="preserve">10</w:t>
            </w:r>
            <w:r>
              <w:rPr>
                <w:rFonts w:hint="eastAsia" w:ascii="仿宋" w:hAnsi="仿宋" w:eastAsia="仿宋" w:cs="仿宋"/>
                <w:color w:val="auto"/>
                <w:sz w:val="24"/>
                <w:highlight w:val="none"/>
              </w:rPr>
              <w:t xml:space="preserve">因子）监测数据的相关性≥95%（24小时）（提供省级或以上具有CNAS或CMA资质的第三方检验机构出具的检验报告复印件）；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激光安全性：按照GB18217-2000激光安全标志和GB7274.1-2012中4类产品规定满足Class3B类以上的标准，贴有激光警告标记、说明标记、激光窗口标志以及有关文字说明提高使用人眼安全性，具体参考GB7247.1-2012中的5.6的规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自检功能：激光雷达主机及云台具备上电自检功能，在初始通电运行后能够对包括激光器等组件的状态进行检测，对运行异常部分进行自动报警提示，最后水平360°旋转自检并自动归零和垂直180°自检并自动归零（提供省级或以上具有CNAS或CMA资质的第三方检验机构出具的检验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（2）发射单元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1）激光发射波长：532nm；</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▲2）波长偏差：≤0.2nm（提供省级或以上具有CMA资质的激光器件质量检验机构出具的检验报告复印件）；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3）激光重复频率：1kHz~100kHz之间任意可调；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4）单脉冲能量：常规设定为10μJ～1000μJ之间，可调节，最大可大于1mJ以上。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（3）接收单元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1）探测口径：≥160mm；</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2）采用卡塞格林光学接收系统，避免太阳高度角对探测器及系统的损伤，同时主机具有望远镜保护窗口，可防止灰尘和水汽进入，有利于光学系统清洁维护并防止划伤，不影响光学镀膜；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▲3）信噪比：总体信噪比≥100dB，白天夜晚均能满足3km以下不小于150dB，3km-6km不小于120dB，6km以上不小于100dB（提供省级或以上具有CNAS或CMA资质的第三方检验机构出具的检验报告复印件）；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（4）采集控制软件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1）数据显示与报警：能够对设备工作状态（激光器温度、激光器电流、探测器高压值、联网通信串口、采集卡、云台等）进行实时监视与显示，并在设备状态出现异常时报警；</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2）工作状态：能够绘制设备工作状态数据的时间曲线并支持保存功能，以监测系统的运行状态，可以通过相关方式对用户进行及时提示与报警；</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软件支持定时扫描功能，可以设置定时扫描的类型（水平扫描、垂直扫描、固定斜程）、定时周期、定时频率、执行日期及时间、扫描角度等参数进行运行周期的配置，并支持多个定时扫描任务的配置和执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模式自动切换功能：具备自动模式切换功能，可实现水平扫描和垂直观测连续自动交替运行，软件支持固定垂直监测、固定斜程监测、固定扫描监测、移动走航监测等不同监测模式的动态切换，软件设置定时扫描功能后，多种监测模式可自动交替进行，无需重启软件即可进行监测模式的切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日志查询：能够进行详细的系统日志及操作日志记录和查询，并且用户可以对这些日记信息进行历史信息查询，包括激光器出停光时间、设备壳体温度、晶体温度、内外部湿度、频率触发方式、故障码信息等，以便对相关问题进行追溯查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6）强制恢复：具有强制恢复监测功能，能够在设备故障重启后使用上一次有效监测模式进行监测。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（5）分析软件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1）软件能实现对雷达数据的图谱及曲线解析与显示，可生成相关参数的时间空间解析图，软件可识别球形粒子及非球形粒子，同时输出颗粒物浓度（PM</w:t>
            </w:r>
            <w:r>
              <w:rPr>
                <w:rFonts w:hint="eastAsia" w:ascii="仿宋" w:hAnsi="仿宋" w:eastAsia="仿宋" w:cs="仿宋"/>
                <w:color w:val="auto"/>
                <w:sz w:val="24"/>
                <w:highlight w:val="none"/>
                <w:vertAlign w:val="subscript"/>
              </w:rPr>
              <w:t xml:space="preserve">10</w:t>
            </w:r>
            <w:r>
              <w:rPr>
                <w:rFonts w:hint="eastAsia" w:ascii="仿宋" w:hAnsi="仿宋" w:eastAsia="仿宋" w:cs="仿宋"/>
                <w:color w:val="auto"/>
                <w:sz w:val="24"/>
                <w:highlight w:val="none"/>
              </w:rPr>
              <w:t xml:space="preserve">、PM</w:t>
            </w:r>
            <w:r>
              <w:rPr>
                <w:rFonts w:hint="eastAsia" w:ascii="仿宋" w:hAnsi="仿宋" w:eastAsia="仿宋" w:cs="仿宋"/>
                <w:color w:val="auto"/>
                <w:sz w:val="24"/>
                <w:highlight w:val="none"/>
                <w:vertAlign w:val="subscript"/>
              </w:rPr>
              <w:t xml:space="preserve">2.5</w:t>
            </w:r>
            <w:r>
              <w:rPr>
                <w:rFonts w:hint="eastAsia" w:ascii="仿宋" w:hAnsi="仿宋" w:eastAsia="仿宋" w:cs="仿宋"/>
                <w:color w:val="auto"/>
                <w:sz w:val="24"/>
                <w:highlight w:val="none"/>
              </w:rPr>
              <w:t xml:space="preserve">）、消光系数、退偏比、能见度、光学厚度、大气边界层高度、云层数及高度、底层云高度等大气特征；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2）软件能够以伪彩图的方式呈现颗粒物（PM</w:t>
            </w:r>
            <w:r>
              <w:rPr>
                <w:rFonts w:hint="eastAsia" w:ascii="仿宋" w:hAnsi="仿宋" w:eastAsia="仿宋" w:cs="仿宋"/>
                <w:color w:val="auto"/>
                <w:sz w:val="24"/>
                <w:highlight w:val="none"/>
                <w:vertAlign w:val="subscript"/>
              </w:rPr>
              <w:t xml:space="preserve">10</w:t>
            </w:r>
            <w:r>
              <w:rPr>
                <w:rFonts w:hint="eastAsia" w:ascii="仿宋" w:hAnsi="仿宋" w:eastAsia="仿宋" w:cs="仿宋"/>
                <w:color w:val="auto"/>
                <w:sz w:val="24"/>
                <w:highlight w:val="none"/>
              </w:rPr>
              <w:t xml:space="preserve">、PM</w:t>
            </w:r>
            <w:r>
              <w:rPr>
                <w:rFonts w:hint="eastAsia" w:ascii="仿宋" w:hAnsi="仿宋" w:eastAsia="仿宋" w:cs="仿宋"/>
                <w:color w:val="auto"/>
                <w:sz w:val="24"/>
                <w:highlight w:val="none"/>
                <w:vertAlign w:val="subscript"/>
              </w:rPr>
              <w:t xml:space="preserve">2.5</w:t>
            </w:r>
            <w:r>
              <w:rPr>
                <w:rFonts w:hint="eastAsia" w:ascii="仿宋" w:hAnsi="仿宋" w:eastAsia="仿宋" w:cs="仿宋"/>
                <w:color w:val="auto"/>
                <w:sz w:val="24"/>
                <w:highlight w:val="none"/>
              </w:rPr>
              <w:t xml:space="preserve">）浓度数据，可鼠标点击伪彩图不同区域，查看特定时间点的颗粒物浓度和特定高度的颗粒物浓度变化曲线图；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3）软件平台具备区域激光雷达数据组网展示能力，包含激光雷达水平观测和垂直观测组网展示；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4）软件平台具备信息安全性、可靠性、可移植性和可维护性等要求，方便用户应用，且原始数据为二进制文本文件，便于读取、存储和二次开发。</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5）软件平台具备扫描热点的后端自动标绘功能，能够对扫描热点进行自动识别，并对扫描热点的频次进行统计，形成热点频次排名和热力图，并通过短信或者手机APP端进行推送相关标绘的热点信息；</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6）软件支持数据的自动上传，包括监测结果和过程参数，支持软件脱机运行，支持导入、管理水平扫描、剖面扫描、锥形扫描等探测数据，能够同时进行伪彩图、廓线图和曲线图的查看。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（6）激光雷达数据质控</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为保障激光雷达设备数据的质量，投标产品须有完善的质控体系，包括但不限于如下建设内容：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1）提供激光雷达电子学信号测试方案；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2）提供光学系统接收后向大气瑞利散射信号的标定测试方案；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3）提供望远镜四象限一致性测试方案；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4）提供过渡区几何因子校正服务，具有相应的校准装置，校准原理基于气溶胶成像激光探测或其他原理。</w:t>
            </w:r>
            <w:r/>
          </w:p>
        </w:tc>
      </w:tr>
    </w:tbl>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bookmarkEnd w:id="23"/>
      <w:bookmarkEnd w:id="24"/>
      <w:bookmarkEnd w:id="25"/>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（三）涉VOCs废气排放企业专项核查服务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通过对企业VOCs废气排放及治理现状进行调查，依据存在的问题提出有针对性的VOCs废气整治建议，包括企业目前的生产状况，污染防治情况，存在的主要问题，建议采取的整治措施等。调查企业不少于30家。</w:t>
      </w:r>
      <w:r/>
    </w:p>
    <w:p>
      <w:pPr>
        <w:ind w:right="359"/>
        <w:spacing w:line="360" w:lineRule="auto"/>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五、付款方式</w:t>
      </w:r>
      <w:r/>
    </w:p>
    <w:p>
      <w:pPr>
        <w:ind w:firstLine="480"/>
        <w:jc w:val="left"/>
        <w:keepLines w:val="0"/>
        <w:keepNext w:val="0"/>
        <w:pageBreakBefore w:val="0"/>
        <w:spacing w:line="360" w:lineRule="auto"/>
        <w:widowControl w:val="off"/>
        <w:rPr>
          <w:rFonts w:hint="eastAsia" w:ascii="仿宋" w:hAnsi="仿宋" w:eastAsia="仿宋" w:cs="仿宋"/>
          <w:b/>
          <w:color w:val="auto"/>
          <w:sz w:val="24"/>
          <w:highlight w:val="none"/>
          <w:lang w:val="en-US" w:eastAsia="zh-CN"/>
        </w:rPr>
        <w:outlineLvl w:val="9"/>
      </w:pPr>
      <w:r>
        <w:rPr>
          <w:rFonts w:hint="eastAsia" w:ascii="仿宋" w:hAnsi="仿宋" w:eastAsia="仿宋" w:cs="仿宋"/>
          <w:color w:val="auto"/>
          <w:sz w:val="24"/>
        </w:rPr>
        <w:t xml:space="preserve">合同签订后，甲方自收到乙方发票之日起15日内支付合同金额的30%为预付款；合同签订3个月后，甲方向乙方支付合同总额的40%；</w:t>
      </w:r>
      <w:r>
        <w:rPr>
          <w:rFonts w:hint="eastAsia" w:ascii="仿宋" w:hAnsi="仿宋" w:eastAsia="仿宋" w:cs="仿宋"/>
          <w:color w:val="auto"/>
          <w:sz w:val="24"/>
          <w:lang w:val="en-US" w:eastAsia="zh-CN"/>
        </w:rPr>
        <w:t xml:space="preserve">合同总额的2</w:t>
      </w:r>
      <w:r>
        <w:rPr>
          <w:rFonts w:hint="eastAsia" w:ascii="仿宋" w:hAnsi="仿宋" w:eastAsia="仿宋" w:cs="仿宋"/>
          <w:color w:val="auto"/>
          <w:sz w:val="24"/>
        </w:rPr>
        <w:t xml:space="preserve">0%为考核款，具体考核细则由甲乙双方共同协商确认</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项目结束后经验收确认考核情况后支付剩余款项。</w:t>
      </w:r>
      <w:r/>
    </w:p>
    <w:p>
      <w:pPr>
        <w:pStyle w:val="722"/>
        <w:ind w:left="0" w:firstLine="0"/>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3、（一）磋商报价表</w:t>
      </w:r>
      <w:r/>
    </w:p>
    <w:p>
      <w:pPr>
        <w:jc w:val="center"/>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（首次报价）</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JSZC-320381-TYDL-C2026-0003</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货币单位：人民币元</w:t>
      </w:r>
      <w:r/>
    </w:p>
    <w:tbl>
      <w:tblPr>
        <w:tblStyle w:val="714"/>
        <w:tblW w:w="8810"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2590"/>
      </w:tblGrid>
      <w:tr>
        <w:trPr>
          <w:cantSplit/>
          <w:jc w:val="center"/>
          <w:trHeight w:val="631"/>
        </w:trPr>
        <w:tc>
          <w:tcPr>
            <w:tcW w:w="2155" w:type="dxa"/>
            <w:vAlign w:val="center"/>
            <w:textDirection w:val="lrTb"/>
            <w:noWrap w:val="false"/>
          </w:tcPr>
          <w:p>
            <w:pPr>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项目名称</w:t>
            </w:r>
            <w:r/>
          </w:p>
        </w:tc>
        <w:tc>
          <w:tcPr>
            <w:tcW w:w="4065" w:type="dxa"/>
            <w:vAlign w:val="center"/>
            <w:textDirection w:val="lrTb"/>
            <w:noWrap w:val="false"/>
          </w:tcPr>
          <w:p>
            <w:pPr>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报价（小写）</w:t>
            </w:r>
            <w:r/>
          </w:p>
        </w:tc>
        <w:tc>
          <w:tcPr>
            <w:tcW w:w="2590" w:type="dxa"/>
            <w:vAlign w:val="center"/>
            <w:textDirection w:val="lrTb"/>
            <w:noWrap w:val="false"/>
          </w:tcPr>
          <w:p>
            <w:pPr>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 xml:space="preserve">备注</w:t>
            </w:r>
            <w:r/>
          </w:p>
        </w:tc>
      </w:tr>
      <w:tr>
        <w:trPr>
          <w:cantSplit/>
          <w:jc w:val="center"/>
          <w:trHeight w:val="1939"/>
        </w:trPr>
        <w:tc>
          <w:tcPr>
            <w:tcW w:w="2155" w:type="dxa"/>
            <w:vAlign w:val="center"/>
            <w:textDirection w:val="lrTb"/>
            <w:noWrap w:val="false"/>
          </w:tcPr>
          <w:p>
            <w:pP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 xml:space="preserve">新沂市环境空气质量提升技术服务项目</w:t>
            </w:r>
            <w:r/>
          </w:p>
        </w:tc>
        <w:tc>
          <w:tcPr>
            <w:tcW w:w="4065" w:type="dxa"/>
            <w:vAlign w:val="center"/>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2590" w:type="dxa"/>
            <w:vAlign w:val="center"/>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r>
      <w:tr>
        <w:trPr>
          <w:cantSplit/>
          <w:jc w:val="center"/>
          <w:trHeight w:val="789"/>
        </w:trPr>
        <w:tc>
          <w:tcPr>
            <w:tcW w:w="2155" w:type="dxa"/>
            <w:vAlign w:val="center"/>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报价（大写）：</w:t>
            </w:r>
            <w:r/>
          </w:p>
        </w:tc>
        <w:tc>
          <w:tcPr>
            <w:gridSpan w:val="2"/>
            <w:tcW w:w="6655" w:type="dxa"/>
            <w:vAlign w:val="center"/>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r>
    </w:tbl>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供应商承诺：本报价（总价）为供应商本企业提供的服务。</w:t>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报价说明：</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1、报价包括完成项目的所有费用。采购人不再支付报价以外的任何费用。</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2、报价以总价为准，大小写不一致以大写为准；</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3、偏离说明：详见《偏离表》；</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4、如最后报价未列明单价，则最后所报各项单价计算方法为：（最后总价/最初总价）*各项最初报价的单价。</w:t>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jc w:val="left"/>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供应商名称：</w:t>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jc w:val="left"/>
        <w:spacing w:line="360" w:lineRule="auto"/>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法定代表人(负责人)或授权代表（签字或盖章）：</w:t>
      </w:r>
      <w:r/>
    </w:p>
    <w:p>
      <w:pPr>
        <w:ind w:firstLine="472"/>
        <w:jc w:val="left"/>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jc w:val="left"/>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pStyle w:val="965"/>
        <w:ind w:left="0" w:firstLine="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jc w:val="center"/>
        <w:rPr>
          <w:rStyle w:val="961"/>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jc w:val="center"/>
        <w:rPr>
          <w:rStyle w:val="961"/>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jc w:val="center"/>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30"/>
          <w:szCs w:val="30"/>
          <w:lang w:val="en-US" w:eastAsia="zh-CN"/>
        </w:rPr>
        <w:t xml:space="preserve">4、偏离表</w:t>
      </w:r>
      <w:r/>
    </w:p>
    <w:p>
      <w:pPr>
        <w:ind w:firstLine="472"/>
        <w:spacing w:line="360" w:lineRule="auto"/>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JSZC-320381-TYDL-C2026-0003</w:t>
      </w:r>
      <w:r/>
    </w:p>
    <w:tbl>
      <w:tblPr>
        <w:tblStyle w:val="714"/>
        <w:tblW w:w="89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jc w:val="center"/>
          <w:trHeight w:val="414"/>
        </w:trPr>
        <w:tc>
          <w:tcPr>
            <w:tcW w:w="959"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序号</w:t>
            </w:r>
            <w:r/>
          </w:p>
        </w:tc>
        <w:tc>
          <w:tcPr>
            <w:tcW w:w="1273"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内容</w:t>
            </w:r>
            <w:r/>
          </w:p>
        </w:tc>
        <w:tc>
          <w:tcPr>
            <w:tcW w:w="1356"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磋商文件要求</w:t>
            </w:r>
            <w:r/>
          </w:p>
        </w:tc>
        <w:tc>
          <w:tcPr>
            <w:tcW w:w="1765"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供应商首次响应文件内容</w:t>
            </w:r>
            <w:r/>
          </w:p>
        </w:tc>
        <w:tc>
          <w:tcPr>
            <w:tcW w:w="1595"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（正/负/无）偏离</w:t>
            </w:r>
            <w:r/>
          </w:p>
        </w:tc>
        <w:tc>
          <w:tcPr>
            <w:tcW w:w="1980" w:type="dxa"/>
            <w:vAlign w:val="center"/>
            <w:textDirection w:val="lrTb"/>
            <w:noWrap w:val="false"/>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说明</w:t>
            </w:r>
            <w:r/>
          </w:p>
        </w:tc>
      </w:tr>
      <w:tr>
        <w:trPr>
          <w:jc w:val="center"/>
          <w:trHeight w:val="794"/>
        </w:trPr>
        <w:tc>
          <w:tcPr>
            <w:tcW w:w="959"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273"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356"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765"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595"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c>
          <w:tcPr>
            <w:tcW w:w="1980" w:type="dxa"/>
            <w:textDirection w:val="lrTb"/>
            <w:noWrap w:val="false"/>
          </w:tcPr>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r>
        <w:trPr>
          <w:jc w:val="center"/>
          <w:trHeight w:val="794"/>
        </w:trPr>
        <w:tc>
          <w:tcPr>
            <w:tcW w:w="959"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273"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356"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76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595"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c>
          <w:tcPr>
            <w:tcW w:w="1980" w:type="dxa"/>
            <w:textDirection w:val="lrTb"/>
            <w:noWrap w:val="false"/>
          </w:tcPr>
          <w:p>
            <w:pP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tc>
      </w:tr>
    </w:tbl>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注：供应商递交的首次响应文件中与《磋商文件》和《磋商文件修改（澄清）》（如有）的要求有不同时，应逐条列在偏离表中，否则将认为供应商接受磋商文件的要求。</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供应商名称： </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法定代表人(负责人)或授权代表（签字或盖章）：</w:t>
      </w:r>
      <w:r/>
    </w:p>
    <w:p>
      <w:pPr>
        <w:ind w:firstLine="472"/>
        <w:spacing w:line="360" w:lineRule="auto"/>
        <w:rPr>
          <w:rStyle w:val="961"/>
          <w:rFonts w:hint="eastAsia" w:ascii="仿宋_GB2312" w:hAnsi="仿宋_GB2312" w:eastAsia="仿宋_GB2312" w:cs="仿宋_GB2312"/>
          <w:b w:val="0"/>
          <w:bCs w:val="0"/>
          <w:color w:val="auto"/>
          <w:sz w:val="24"/>
          <w:szCs w:val="24"/>
        </w:rPr>
      </w:pPr>
      <w:r>
        <w:rPr>
          <w:rStyle w:val="961"/>
          <w:rFonts w:hint="eastAsia" w:ascii="仿宋_GB2312" w:hAnsi="仿宋_GB2312" w:eastAsia="仿宋_GB2312" w:cs="仿宋_GB2312"/>
          <w:b w:val="0"/>
          <w:bCs w:val="0"/>
          <w:color w:val="auto"/>
          <w:sz w:val="24"/>
          <w:szCs w:val="24"/>
        </w:rPr>
        <w:t xml:space="preserve">日期：    年   月   日</w:t>
      </w:r>
      <w:r/>
    </w:p>
    <w:p>
      <w:pPr>
        <w:jc w:val="center"/>
        <w:spacing w:line="360" w:lineRule="auto"/>
        <w:rPr>
          <w:rStyle w:val="961"/>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796"/>
        <w:ind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spacing w:line="360" w:lineRule="auto"/>
        <w:rPr>
          <w:rStyle w:val="961"/>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5、承诺书</w:t>
      </w:r>
      <w:r/>
    </w:p>
    <w:p>
      <w:pPr>
        <w:ind w:firstLine="472"/>
        <w:widowControl/>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致：</w:t>
      </w:r>
      <w:r>
        <w:rPr>
          <w:rFonts w:hint="eastAsia" w:ascii="仿宋_GB2312" w:hAnsi="仿宋_GB2312" w:eastAsia="仿宋_GB2312" w:cs="仿宋_GB2312"/>
          <w:color w:val="auto"/>
          <w:sz w:val="24"/>
          <w:lang w:eastAsia="zh-CN"/>
        </w:rPr>
        <w:t xml:space="preserve">江苏天元房地产评估造价集团有限公司</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根据贵方</w:t>
      </w:r>
      <w:r>
        <w:rPr>
          <w:rFonts w:hint="eastAsia" w:ascii="仿宋_GB2312" w:hAnsi="仿宋_GB2312" w:eastAsia="仿宋_GB2312" w:cs="仿宋_GB2312"/>
          <w:color w:val="auto"/>
          <w:sz w:val="24"/>
          <w:u w:val="single"/>
          <w:lang w:eastAsia="zh-CN"/>
        </w:rPr>
        <w:t xml:space="preserve">新沂市环境空气质量提升技术服务项目</w:t>
      </w:r>
      <w:r>
        <w:rPr>
          <w:rFonts w:hint="eastAsia" w:ascii="仿宋_GB2312" w:hAnsi="仿宋_GB2312" w:eastAsia="仿宋_GB2312" w:cs="仿宋_GB2312"/>
          <w:color w:val="auto"/>
          <w:sz w:val="24"/>
        </w:rPr>
        <w:t xml:space="preserve">《竞争性磋商文件》（项目编号：</w:t>
      </w:r>
      <w:r>
        <w:rPr>
          <w:rFonts w:hint="eastAsia" w:ascii="仿宋_GB2312" w:hAnsi="仿宋_GB2312" w:eastAsia="仿宋_GB2312" w:cs="仿宋_GB2312"/>
          <w:color w:val="auto"/>
          <w:sz w:val="24"/>
          <w:lang w:eastAsia="zh-CN"/>
        </w:rPr>
        <w:t xml:space="preserve">JSZC-320381-TYDL-C2026-0003</w:t>
      </w:r>
      <w:r>
        <w:rPr>
          <w:rFonts w:hint="eastAsia" w:ascii="仿宋_GB2312" w:hAnsi="仿宋_GB2312" w:eastAsia="仿宋_GB2312" w:cs="仿宋_GB2312"/>
          <w:color w:val="auto"/>
          <w:sz w:val="24"/>
        </w:rPr>
        <w:t xml:space="preserve">）要求，本供应商正式提交以下首次响应文件。</w:t>
      </w:r>
      <w:r/>
    </w:p>
    <w:p>
      <w:pPr>
        <w:ind w:firstLine="472"/>
        <w:widowControl/>
        <w:rPr>
          <w:rFonts w:hint="eastAsia" w:ascii="仿宋_GB2312" w:hAnsi="仿宋_GB2312" w:eastAsia="仿宋_GB2312" w:cs="仿宋_GB2312"/>
          <w:color w:val="auto"/>
        </w:rPr>
      </w:pP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_GB2312" w:hAnsi="仿宋_GB2312" w:eastAsia="仿宋_GB2312" w:cs="仿宋_GB2312"/>
          <w:color w:val="auto"/>
          <w:sz w:val="24"/>
        </w:rPr>
        <w:t xml:space="preserve">（1）承诺书；</w:t>
      </w:r>
      <w:r/>
    </w:p>
    <w:p>
      <w:pPr>
        <w:ind w:firstLine="472"/>
        <w:widowControl/>
        <w:rPr>
          <w:rFonts w:hint="eastAsia" w:ascii="仿宋_GB2312" w:hAnsi="仿宋_GB2312" w:eastAsia="仿宋_GB2312" w:cs="仿宋_GB2312"/>
          <w:color w:val="auto"/>
        </w:rPr>
      </w:pPr>
      <w:r>
        <w:rPr>
          <w:rFonts w:hint="eastAsia" w:ascii="仿宋_GB2312" w:hAnsi="仿宋_GB2312" w:eastAsia="仿宋_GB2312" w:cs="仿宋_GB2312"/>
          <w:color w:val="auto"/>
          <w:sz w:val="24"/>
        </w:rPr>
        <w:t xml:space="preserve">（2）磋商报价表；</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（3）偏离表；</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（4）磋商文件要求提供的其他响应文件。</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我单位符合《中华人民共和国政府采购法》第二十二条的规定，符合本项目供应商资格要求。</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我单位按照磋商文件的要求编制响应文件，并对其提交的响应文件的真实性、合法性承担法律责任。</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供应商兹宣布同意如下: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_GB2312" w:hAnsi="仿宋_GB2312" w:eastAsia="仿宋_GB2312" w:cs="仿宋_GB2312"/>
          <w:color w:val="auto"/>
          <w:sz w:val="24"/>
        </w:rPr>
        <w:t xml:space="preserve">一、完全承担根据《磋商文件》规定完成合同的责任和义务（如有偏离，将全部填写在偏离表中）。</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color w:val="auto"/>
          <w:sz w:val="24"/>
        </w:rPr>
        <w:t xml:space="preserve">二、保证所提供的响应文件及所有材料的真实、合法、有效，并对其负责。</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三、已详细审核竞争性磋商文件（含竞争性磋商文件的澄清或者修改），本供应商完全理解并同意放弃对这方面不明及误解的权利。</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四、所供服务保证符合国家有关产品质量、性能和安全标准，无权利瑕疵。</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五、同意向贵方提供贵方可能要求的与本次磋商采购有关的任何证据或资料。</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六、</w:t>
      </w:r>
      <w:r>
        <w:rPr>
          <w:rFonts w:hint="eastAsia" w:ascii="仿宋_GB2312" w:hAnsi="仿宋_GB2312" w:eastAsia="仿宋_GB2312" w:cs="仿宋_GB2312"/>
          <w:color w:val="auto"/>
          <w:sz w:val="24"/>
          <w:lang w:eastAsia="zh-CN"/>
        </w:rPr>
        <w:t xml:space="preserve">江苏天元房地产评估造价集团有限公司</w:t>
      </w:r>
      <w:r>
        <w:rPr>
          <w:rFonts w:hint="eastAsia" w:ascii="仿宋_GB2312" w:hAnsi="仿宋_GB2312" w:eastAsia="仿宋_GB2312" w:cs="仿宋_GB2312"/>
          <w:color w:val="auto"/>
          <w:sz w:val="24"/>
        </w:rPr>
        <w:t xml:space="preserve">有权将我单位本项目的《磋商报价表》予以公示，公示的方式由</w:t>
      </w:r>
      <w:r>
        <w:rPr>
          <w:rFonts w:hint="eastAsia" w:ascii="仿宋_GB2312" w:hAnsi="仿宋_GB2312" w:eastAsia="仿宋_GB2312" w:cs="仿宋_GB2312"/>
          <w:color w:val="auto"/>
          <w:sz w:val="24"/>
          <w:lang w:eastAsia="zh-CN"/>
        </w:rPr>
        <w:t xml:space="preserve">江苏天元房地产评估造价集团有限公司</w:t>
      </w:r>
      <w:r>
        <w:rPr>
          <w:rFonts w:hint="eastAsia" w:ascii="仿宋_GB2312" w:hAnsi="仿宋_GB2312" w:eastAsia="仿宋_GB2312" w:cs="仿宋_GB2312"/>
          <w:color w:val="auto"/>
          <w:sz w:val="24"/>
        </w:rPr>
        <w:t xml:space="preserve">确定。</w:t>
      </w:r>
      <w:r/>
    </w:p>
    <w:p>
      <w:pPr>
        <w:ind w:firstLine="472"/>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72"/>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八、同意在收到成交通知书后，按照有关规定支付代理服务费。</w:t>
      </w:r>
      <w:r/>
    </w:p>
    <w:p>
      <w:pPr>
        <w:ind w:firstLine="472"/>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78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法定代表人(负责人)或授权代表（签字或盖章）：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联系电话：</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w:t>
      </w:r>
      <w:r/>
    </w:p>
    <w:p>
      <w:pPr>
        <w:pStyle w:val="796"/>
        <w:ind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89"/>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ind w:firstLine="480"/>
        <w:jc w:val="center"/>
        <w:spacing w:line="360" w:lineRule="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6、法人授权委托书</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委托人（全称）：</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地  址：</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法人营业执照注册号（统一社会信用代码）：</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受托人：                  先生（女士）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联系电话：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身份证号：</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兹委托（           ）全权代表我企业（公司）参与</w:t>
      </w:r>
      <w:r>
        <w:rPr>
          <w:rFonts w:hint="eastAsia" w:ascii="仿宋_GB2312" w:hAnsi="仿宋_GB2312" w:eastAsia="仿宋_GB2312" w:cs="仿宋_GB2312"/>
          <w:color w:val="auto"/>
          <w:sz w:val="24"/>
          <w:u w:val="single"/>
          <w:lang w:eastAsia="zh-CN"/>
        </w:rPr>
        <w:t xml:space="preserve">新沂市环境空气质量提升技术服务项目</w:t>
      </w: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JSZC-320381-TYDL-C2026-0003</w:t>
      </w:r>
      <w:r>
        <w:rPr>
          <w:rFonts w:hint="eastAsia" w:ascii="仿宋_GB2312" w:hAnsi="仿宋_GB2312" w:eastAsia="仿宋_GB2312" w:cs="仿宋_GB2312"/>
          <w:color w:val="auto"/>
          <w:sz w:val="24"/>
        </w:rPr>
        <w:t xml:space="preserve">]的磋商活动。（           ）以我单位名义所为的行为及签署的文件，我单位均予以认可。有关法律责任均由我单位承担。（           ）无转委托权。</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委托期限自     年   月  日起至    年   月   日止。</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委托人（</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法定代表人（签字或盖章）：</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受托人（签字）：</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(受托人身份证正反面附后)</w:t>
      </w:r>
      <w:r/>
    </w:p>
    <w:p>
      <w:pPr>
        <w:jc w:val="center"/>
        <w:rPr>
          <w:rStyle w:val="961"/>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z w:val="24"/>
        </w:rPr>
        <w:br w:type="page" w:clear="all"/>
      </w:r>
      <w:r>
        <w:rPr>
          <w:rFonts w:hint="eastAsia" w:ascii="仿宋_GB2312" w:hAnsi="仿宋_GB2312" w:eastAsia="仿宋_GB2312" w:cs="仿宋_GB2312"/>
          <w:b/>
          <w:bCs/>
          <w:color w:val="auto"/>
          <w:sz w:val="30"/>
          <w:szCs w:val="30"/>
          <w:lang w:val="en-US" w:eastAsia="zh-CN"/>
        </w:rPr>
        <w:t xml:space="preserve">7、供应商参加政府采购活动前3年内在经营活动中没有重大违法记录的书面声明</w:t>
      </w:r>
      <w:r/>
    </w:p>
    <w:p>
      <w:pPr>
        <w:ind w:firstLine="472"/>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ind w:firstLine="472"/>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我单位在参加</w:t>
      </w:r>
      <w:r>
        <w:rPr>
          <w:rFonts w:hint="eastAsia" w:ascii="仿宋_GB2312" w:hAnsi="仿宋_GB2312" w:eastAsia="仿宋_GB2312" w:cs="仿宋_GB2312"/>
          <w:color w:val="auto"/>
          <w:sz w:val="24"/>
          <w:lang w:eastAsia="zh-CN"/>
        </w:rPr>
        <w:t xml:space="preserve">新沂市环境空气质量提升技术服务项目</w:t>
      </w: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JSZC-320381-TYDL-C2026-0003</w:t>
      </w:r>
      <w:r>
        <w:rPr>
          <w:rFonts w:hint="eastAsia" w:ascii="仿宋_GB2312" w:hAnsi="仿宋_GB2312" w:eastAsia="仿宋_GB2312" w:cs="仿宋_GB2312"/>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我单位对上述声明的真实性负责。如有虚假，将依法承担相应责任。</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法定代表人或授权代表（签字或盖章）：</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供应商名称：</w:t>
      </w:r>
      <w:r/>
    </w:p>
    <w:p>
      <w:pPr>
        <w:pStyle w:val="78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pStyle w:val="78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ind w:firstLine="472"/>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ind w:firstLine="472"/>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br w:type="page" w:clear="all"/>
      </w:r>
      <w:r>
        <w:rPr>
          <w:rFonts w:hint="eastAsia" w:ascii="仿宋_GB2312" w:hAnsi="仿宋_GB2312" w:eastAsia="仿宋_GB2312" w:cs="仿宋_GB2312"/>
          <w:b/>
          <w:bCs/>
          <w:color w:val="auto"/>
          <w:sz w:val="30"/>
          <w:szCs w:val="30"/>
          <w:lang w:val="en-US" w:eastAsia="zh-CN"/>
        </w:rPr>
        <w:t xml:space="preserve">8、中小企业声明函</w:t>
      </w:r>
      <w:r/>
    </w:p>
    <w:p>
      <w:pPr>
        <w:ind w:firstLine="472"/>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项目名称：</w:t>
      </w:r>
      <w:r>
        <w:rPr>
          <w:rFonts w:hint="eastAsia" w:ascii="仿宋_GB2312" w:hAnsi="仿宋_GB2312" w:eastAsia="仿宋_GB2312" w:cs="仿宋_GB2312"/>
          <w:color w:val="auto"/>
          <w:sz w:val="24"/>
          <w:lang w:eastAsia="zh-CN"/>
        </w:rPr>
        <w:t xml:space="preserve">新沂市环境空气质量提升技术服务项目</w:t>
      </w:r>
      <w:r/>
    </w:p>
    <w:p>
      <w:pPr>
        <w:ind w:firstLine="472"/>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JSZC-320381-TYDL-C2026-0003</w:t>
      </w:r>
      <w:r/>
    </w:p>
    <w:p>
      <w:pPr>
        <w:ind w:firstLine="472"/>
        <w:spacing w:line="48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本公司（联合体）郑重声明，根据《政府采购促进中小企业发展管理办法》（财库﹝2020﹞46 号）的规定，本公司（联合体）参加</w:t>
      </w:r>
      <w:r>
        <w:rPr>
          <w:rFonts w:hint="eastAsia" w:ascii="仿宋_GB2312" w:hAnsi="仿宋_GB2312" w:eastAsia="仿宋_GB2312" w:cs="仿宋_GB2312"/>
          <w:color w:val="auto"/>
          <w:sz w:val="24"/>
          <w:u w:val="single"/>
        </w:rPr>
        <w:t xml:space="preserve">（单位名称）</w:t>
      </w:r>
      <w:r>
        <w:rPr>
          <w:rFonts w:hint="eastAsia" w:ascii="仿宋_GB2312" w:hAnsi="仿宋_GB2312" w:eastAsia="仿宋_GB2312" w:cs="仿宋_GB2312"/>
          <w:color w:val="auto"/>
          <w:sz w:val="24"/>
        </w:rPr>
        <w:t xml:space="preserve">的</w:t>
      </w:r>
      <w:r>
        <w:rPr>
          <w:rFonts w:hint="eastAsia" w:ascii="仿宋_GB2312" w:hAnsi="仿宋_GB2312" w:eastAsia="仿宋_GB2312" w:cs="仿宋_GB2312"/>
          <w:color w:val="auto"/>
          <w:sz w:val="24"/>
          <w:u w:val="single"/>
        </w:rPr>
        <w:t xml:space="preserve">（项目名称）</w:t>
      </w:r>
      <w:r>
        <w:rPr>
          <w:rFonts w:hint="eastAsia" w:ascii="仿宋_GB2312" w:hAnsi="仿宋_GB2312" w:eastAsia="仿宋_GB2312" w:cs="仿宋_GB2312"/>
          <w:color w:val="auto"/>
          <w:sz w:val="24"/>
        </w:rPr>
        <w:t xml:space="preserve">采购活动，服务全部由符合政策要求的中小企业承接。相关企业（含联合体中的中小企业、签订分包意向协议的中小企业）的具体情况如下：</w:t>
      </w:r>
      <w:r/>
    </w:p>
    <w:p>
      <w:pPr>
        <w:ind w:firstLine="472"/>
        <w:spacing w:line="48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1.</w:t>
      </w:r>
      <w:r>
        <w:rPr>
          <w:rFonts w:hint="eastAsia" w:ascii="仿宋_GB2312" w:hAnsi="仿宋_GB2312" w:eastAsia="仿宋_GB2312" w:cs="仿宋_GB2312"/>
          <w:color w:val="auto"/>
          <w:sz w:val="24"/>
          <w:u w:val="single"/>
        </w:rPr>
        <w:t xml:space="preserve">（标的名称）</w:t>
      </w:r>
      <w:r>
        <w:rPr>
          <w:rFonts w:hint="eastAsia" w:ascii="仿宋_GB2312" w:hAnsi="仿宋_GB2312" w:eastAsia="仿宋_GB2312" w:cs="仿宋_GB2312"/>
          <w:color w:val="auto"/>
          <w:sz w:val="24"/>
        </w:rPr>
        <w:t xml:space="preserve"> ，属于</w:t>
      </w:r>
      <w:r>
        <w:rPr>
          <w:rFonts w:hint="eastAsia" w:ascii="仿宋_GB2312" w:hAnsi="仿宋_GB2312" w:eastAsia="仿宋_GB2312" w:cs="仿宋_GB2312"/>
          <w:color w:val="auto"/>
          <w:sz w:val="24"/>
          <w:u w:val="single"/>
        </w:rPr>
        <w:t xml:space="preserve">（技术服务业）</w:t>
      </w:r>
      <w:r>
        <w:rPr>
          <w:rFonts w:hint="eastAsia" w:ascii="仿宋_GB2312" w:hAnsi="仿宋_GB2312" w:eastAsia="仿宋_GB2312" w:cs="仿宋_GB2312"/>
          <w:color w:val="auto"/>
          <w:sz w:val="24"/>
        </w:rPr>
        <w:t xml:space="preserve">； 承建（承接）企业为</w:t>
      </w:r>
      <w:r>
        <w:rPr>
          <w:rFonts w:hint="eastAsia" w:ascii="仿宋_GB2312" w:hAnsi="仿宋_GB2312" w:eastAsia="仿宋_GB2312" w:cs="仿宋_GB2312"/>
          <w:color w:val="auto"/>
          <w:sz w:val="24"/>
          <w:u w:val="single"/>
        </w:rPr>
        <w:t xml:space="preserve">（企业名称）</w:t>
      </w:r>
      <w:r>
        <w:rPr>
          <w:rFonts w:hint="eastAsia" w:ascii="仿宋_GB2312" w:hAnsi="仿宋_GB2312" w:eastAsia="仿宋_GB2312" w:cs="仿宋_GB2312"/>
          <w:color w:val="auto"/>
          <w:sz w:val="24"/>
        </w:rPr>
        <w:t xml:space="preserve">，从业人员</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人，营业收入为</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万元，资产总额为</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万元 ，属于</w:t>
      </w:r>
      <w:r>
        <w:rPr>
          <w:rFonts w:hint="eastAsia" w:ascii="仿宋_GB2312" w:hAnsi="仿宋_GB2312" w:eastAsia="仿宋_GB2312" w:cs="仿宋_GB2312"/>
          <w:color w:val="auto"/>
          <w:sz w:val="24"/>
          <w:u w:val="single"/>
        </w:rPr>
        <w:t xml:space="preserve">    （中型企业、 小型企业、微型企业）</w:t>
      </w:r>
      <w:r>
        <w:rPr>
          <w:rFonts w:hint="eastAsia" w:ascii="仿宋_GB2312" w:hAnsi="仿宋_GB2312" w:eastAsia="仿宋_GB2312" w:cs="仿宋_GB2312"/>
          <w:color w:val="auto"/>
          <w:sz w:val="24"/>
        </w:rPr>
        <w:t xml:space="preserve">；</w:t>
      </w:r>
      <w:r/>
    </w:p>
    <w:p>
      <w:pPr>
        <w:ind w:firstLine="472"/>
        <w:rPr>
          <w:rFonts w:hint="eastAsia" w:ascii="仿宋_GB2312" w:hAnsi="仿宋_GB2312" w:eastAsia="仿宋_GB2312" w:cs="仿宋_GB2312"/>
          <w:color w:val="auto"/>
          <w:sz w:val="24"/>
        </w:rPr>
      </w:pPr>
      <w:r>
        <w:rPr>
          <w:rFonts w:hint="eastAsia" w:ascii="仿宋_GB2312" w:hAnsi="仿宋_GB2312" w:eastAsia="仿宋_GB2312" w:cs="仿宋_GB2312"/>
          <w:b/>
          <w:color w:val="auto"/>
          <w:sz w:val="24"/>
        </w:rPr>
        <w:t xml:space="preserve">.........</w:t>
      </w:r>
      <w:r>
        <w:rPr>
          <w:rFonts w:hint="eastAsia" w:ascii="仿宋_GB2312" w:hAnsi="仿宋_GB2312" w:eastAsia="仿宋_GB2312" w:cs="仿宋_GB2312"/>
          <w:color w:val="auto"/>
          <w:sz w:val="24"/>
        </w:rPr>
        <w:t xml:space="preserve"> </w:t>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以上企业，不属于大企业的分支机构，不存在控股股东 为大企业的情形，也不存在与大企业的负责人为同一人的情形。 </w:t>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本企业对上述声明内容的真实性负责。如有虚假，将依法承担相应责任。 </w:t>
      </w:r>
      <w:r/>
    </w:p>
    <w:p>
      <w:pPr>
        <w:jc w:val="cente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企业名称（</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 </w:t>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日 期：   年  月  日</w:t>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before="100" w:beforeAutospacing="1" w:after="100" w:afterAutospacing="1"/>
        <w:widowControl/>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说明：如提供虚假中小企业声明函的，则采购人有权取消投标、中标候选或中标资格，有权终止合同，并报政府采购监管部门。</w:t>
      </w:r>
      <w:r/>
    </w:p>
    <w:p>
      <w:pPr>
        <w:jc w:val="center"/>
        <w:rPr>
          <w:rStyle w:val="961"/>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r>
      <w:r/>
    </w:p>
    <w:p>
      <w:pPr>
        <w:pStyle w:val="789"/>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pacing w:val="8"/>
          <w:sz w:val="33"/>
          <w:szCs w:val="33"/>
          <w:shd w:val="clear" w:color="auto" w:fill="ffffff"/>
        </w:rPr>
        <w:br w:type="page" w:clear="all"/>
      </w:r>
      <w:r/>
    </w:p>
    <w:p>
      <w:pPr>
        <w:jc w:val="cente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9、残疾人福利性单位声明函</w:t>
      </w:r>
      <w:r/>
    </w:p>
    <w:p>
      <w:pPr>
        <w:spacing w:line="400" w:lineRule="exac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ind w:firstLine="472"/>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项目名称：</w:t>
      </w:r>
      <w:r>
        <w:rPr>
          <w:rFonts w:hint="eastAsia" w:ascii="仿宋_GB2312" w:hAnsi="仿宋_GB2312" w:eastAsia="仿宋_GB2312" w:cs="仿宋_GB2312"/>
          <w:color w:val="auto"/>
          <w:sz w:val="24"/>
          <w:lang w:eastAsia="zh-CN"/>
        </w:rPr>
        <w:t xml:space="preserve">新沂市环境空气质量提升技术服务项目</w:t>
      </w:r>
      <w:r/>
    </w:p>
    <w:p>
      <w:pPr>
        <w:ind w:firstLine="472"/>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JSZC-320381-TYDL-C2026-0003</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单位的</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 xml:space="preserve">项目采购活动提供本单位制造的货物（由本单位承担工程/提供服务），或者提供其他残疾人福利性单位制造的货物（不包括使用非残疾人福利性单位注册商标的货物）。</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本单位对上述声明的真实性负责。如有虚假，将依法承担相应责任。</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法定代表人或授权代表（签字或盖章）：</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72"/>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r/>
    </w:p>
    <w:p>
      <w:pPr>
        <w:pStyle w:val="95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br w:type="page" w:clear="all"/>
      </w:r>
      <w:r>
        <w:rPr>
          <w:rFonts w:hint="eastAsia" w:ascii="仿宋_GB2312" w:hAnsi="仿宋_GB2312" w:eastAsia="仿宋_GB2312" w:cs="仿宋_GB2312"/>
          <w:b/>
          <w:bCs/>
          <w:color w:val="auto"/>
          <w:sz w:val="30"/>
          <w:szCs w:val="30"/>
          <w:lang w:val="en-US" w:eastAsia="zh-CN"/>
        </w:rPr>
        <w:t xml:space="preserve">10、方案</w:t>
      </w:r>
      <w:r/>
    </w:p>
    <w:p>
      <w:pPr>
        <w:pStyle w:val="969"/>
        <w:ind w:left="1275" w:firstLine="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969"/>
        <w:ind w:left="0" w:firstLine="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w:t>
      </w:r>
      <w:r>
        <w:rPr>
          <w:rFonts w:hint="eastAsia" w:ascii="仿宋_GB2312" w:hAnsi="仿宋_GB2312" w:cs="仿宋_GB2312"/>
          <w:color w:val="auto"/>
          <w:sz w:val="28"/>
          <w:szCs w:val="28"/>
          <w:lang w:eastAsia="zh-CN"/>
        </w:rPr>
        <w:t xml:space="preserve">参照评分细则，格式自拟</w:t>
      </w:r>
      <w:r>
        <w:rPr>
          <w:rFonts w:hint="eastAsia" w:ascii="仿宋_GB2312" w:hAnsi="仿宋_GB2312" w:eastAsia="仿宋_GB2312" w:cs="仿宋_GB2312"/>
          <w:color w:val="auto"/>
          <w:sz w:val="28"/>
          <w:szCs w:val="28"/>
        </w:rPr>
        <w:t xml:space="preserve">）</w:t>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969"/>
        <w:ind w:left="1275" w:firstLine="0"/>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jc w:val="both"/>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numPr>
          <w:ilvl w:val="0"/>
          <w:numId w:val="2"/>
        </w:numPr>
        <w:jc w:val="cente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合同草案条款</w:t>
      </w:r>
      <w:r/>
    </w:p>
    <w:p>
      <w:pPr>
        <w:pStyle w:val="722"/>
        <w:numPr>
          <w:ilvl w:val="0"/>
          <w:numId w:val="0"/>
        </w:numPr>
        <w:ind w:left="880" w:right="6"/>
        <w:rPr>
          <w:rFonts w:hint="eastAsia"/>
          <w:color w:val="auto"/>
          <w:lang w:val="en-US" w:eastAsia="zh-CN"/>
        </w:rPr>
      </w:pPr>
      <w:r>
        <w:rPr>
          <w:rFonts w:hint="eastAsia"/>
          <w:color w:val="auto"/>
          <w:lang w:val="en-US" w:eastAsia="zh-CN"/>
        </w:rPr>
      </w:r>
      <w:r/>
    </w:p>
    <w:p>
      <w:pPr>
        <w:spacing w:line="40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合同编号：</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pStyle w:val="786"/>
        <w:jc w:val="center"/>
        <w:rPr>
          <w:rFonts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政府采购合同</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项目名称：                               </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委托方（甲方）：                              </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受托方（乙方）：                    </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签订地点：</w:t>
      </w:r>
      <w:r/>
    </w:p>
    <w:p>
      <w:pPr>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签订日期：   年   月  日</w:t>
      </w:r>
      <w:r/>
    </w:p>
    <w:p>
      <w:pPr>
        <w:pStyle w:val="784"/>
        <w:keepLines w:val="0"/>
        <w:keepNext w:val="0"/>
        <w:pageBreakBefore w:val="0"/>
        <w:spacing w:line="400" w:lineRule="exact"/>
        <w:widowControl w:val="off"/>
        <w:rPr>
          <w:rFonts w:hint="eastAsia" w:ascii="仿宋_GB2312" w:hAnsi="仿宋_GB2312" w:eastAsia="仿宋_GB2312" w:cs="仿宋_GB2312"/>
          <w:color w:val="auto"/>
          <w:sz w:val="24"/>
        </w:rPr>
        <w:outlineLvl w:val="9"/>
      </w:pPr>
      <w:r>
        <w:rPr>
          <w:rFonts w:hint="eastAsia" w:ascii="仿宋_GB2312" w:hAnsi="仿宋_GB2312" w:eastAsia="仿宋_GB2312" w:cs="仿宋_GB2312"/>
          <w:color w:val="auto"/>
          <w:sz w:val="24"/>
        </w:rPr>
        <w:t xml:space="preserve">有效期限：   年   月  日至    年  月  日</w:t>
      </w:r>
      <w:r/>
    </w:p>
    <w:p>
      <w:pPr>
        <w:pStyle w:val="784"/>
        <w:keepLines w:val="0"/>
        <w:keepNext w:val="0"/>
        <w:pageBreakBefore w:val="0"/>
        <w:spacing w:line="400" w:lineRule="exact"/>
        <w:widowControl w:val="off"/>
        <w:rPr>
          <w:rFonts w:hint="eastAsia" w:ascii="仿宋_GB2312" w:hAnsi="仿宋_GB2312" w:eastAsia="仿宋_GB2312" w:cs="仿宋_GB2312"/>
          <w:color w:val="auto"/>
          <w:sz w:val="24"/>
        </w:rPr>
        <w:outlineLvl w:val="9"/>
      </w:pPr>
      <w:r>
        <w:rPr>
          <w:rFonts w:hint="eastAsia" w:ascii="仿宋_GB2312" w:hAnsi="仿宋_GB2312" w:eastAsia="仿宋_GB2312" w:cs="仿宋_GB2312"/>
          <w:color w:val="auto"/>
          <w:sz w:val="24"/>
        </w:rPr>
      </w:r>
      <w:r/>
    </w:p>
    <w:p>
      <w:pPr>
        <w:pStyle w:val="784"/>
        <w:keepLines w:val="0"/>
        <w:keepNext w:val="0"/>
        <w:pageBreakBefore w:val="0"/>
        <w:spacing w:line="400" w:lineRule="exact"/>
        <w:widowControl w:val="off"/>
        <w:rPr>
          <w:rFonts w:hint="eastAsia" w:ascii="仿宋_GB2312" w:hAnsi="仿宋_GB2312" w:eastAsia="仿宋_GB2312" w:cs="仿宋_GB2312"/>
          <w:color w:val="auto"/>
          <w:sz w:val="24"/>
        </w:rPr>
        <w:outlineLvl w:val="9"/>
      </w:pPr>
      <w:r>
        <w:rPr>
          <w:rFonts w:hint="eastAsia" w:ascii="仿宋_GB2312" w:hAnsi="仿宋_GB2312" w:eastAsia="仿宋_GB2312" w:cs="仿宋_GB2312"/>
          <w:color w:val="auto"/>
          <w:sz w:val="24"/>
        </w:rPr>
      </w:r>
      <w:r/>
    </w:p>
    <w:p>
      <w:pPr>
        <w:pStyle w:val="784"/>
        <w:ind w:firstLine="480"/>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784"/>
        <w:ind w:firstLine="562"/>
        <w:keepLines w:val="0"/>
        <w:keepNext w:val="0"/>
        <w:pageBreakBefore w:val="0"/>
        <w:spacing w:line="400" w:lineRule="exact"/>
        <w:widowControl w:val="off"/>
        <w:rPr>
          <w:rFonts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84"/>
        <w:ind w:firstLine="480"/>
        <w:keepLines w:val="0"/>
        <w:keepNext w:val="0"/>
        <w:pageBreakBefore w:val="0"/>
        <w:spacing w:line="400" w:lineRule="exact"/>
        <w:widowControl w:val="off"/>
        <w:rPr>
          <w:rFonts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本合同买方委托卖方就</w:t>
      </w:r>
      <w:r>
        <w:rPr>
          <w:rFonts w:hint="eastAsia" w:ascii="仿宋" w:hAnsi="仿宋" w:eastAsia="仿宋" w:cs="仿宋"/>
          <w:color w:val="auto"/>
          <w:sz w:val="24"/>
          <w:szCs w:val="24"/>
          <w:highlight w:val="none"/>
          <w:lang w:eastAsia="zh-CN"/>
        </w:rPr>
        <w:t xml:space="preserve">新沂市环境空气质量提升技术服务项目</w:t>
      </w:r>
      <w:r>
        <w:rPr>
          <w:rFonts w:hint="eastAsia" w:ascii="仿宋" w:hAnsi="仿宋" w:eastAsia="仿宋" w:cs="仿宋"/>
          <w:color w:val="auto"/>
          <w:sz w:val="24"/>
          <w:szCs w:val="24"/>
          <w:highlight w:val="none"/>
        </w:rPr>
        <w:t xml:space="preserve">进行安全技术服务，并支付相应技术服务报酬。双方经过平等协商，在真实、充分地表达各自意愿的基础上，根据《中华人民共和国政府采购法》、《中华人民共和国民法典》的规定，达成如下协议，并由双方共同恪守。</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甲方：</w:t>
      </w:r>
      <w:r>
        <w:rPr>
          <w:rFonts w:hint="eastAsia" w:ascii="仿宋" w:hAnsi="仿宋" w:eastAsia="仿宋" w:cs="仿宋"/>
          <w:color w:val="auto"/>
          <w:sz w:val="24"/>
          <w:u w:val="single"/>
        </w:rPr>
        <w:t xml:space="preserve">   徐州市新沂生态环境局   </w:t>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乙方：</w:t>
      </w:r>
      <w:r>
        <w:rPr>
          <w:rFonts w:hint="eastAsia" w:ascii="仿宋" w:hAnsi="仿宋" w:eastAsia="仿宋" w:cs="仿宋"/>
          <w:color w:val="auto"/>
          <w:sz w:val="24"/>
          <w:u w:val="single"/>
        </w:rPr>
        <w:t xml:space="preserve">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根据《中华人民共和国政府采购法》、《中华人民共和国民法典》等法律法规的规定，甲乙双方本着平等、互利、协作的原则，经协商达成协议如下：</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第一条 合同文件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下列与本次采购活动有关的文件及附件是本合同不可分割的组成部分，与本合同具有同等法律效力，这些文件包括但不限于：</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1.招标采购文件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2.投标文件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3.乙方在投标时的书面承诺</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4.中标通知书或成交通知书</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5.合同补充条款或说明</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6.保密协议或条款</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7.相关附件、图纸及电子版资料</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第二条  合同内容</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服务内容：详见招标文件及乙方投标文件。</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第三条  合同总金额</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本合同总金额人民币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（小写：</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元）。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本合同总价款包括服务期间必须的设备、日常易耗品、工具、调试费、培训费等相关费用。</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本合同执行期内因工作量变化而引起的服务费用的变动，在双方事先协商一致的前提下签订补充合同。</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第四条  权利义务和质量保证</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第五条  付款方式</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1.本合同项下所有款项均以人民币支付。</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2.乙方向甲方提交下列文件材料，经甲方审核无误后支付采购资金：</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（1）经甲方确认的发票；</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（2）经甲乙双方确认签订的服务项目考核目标；</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（3）其他材料。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rPr>
        <w:t xml:space="preserve">3.款项的支付进度以招标采购文件的有关规定为准。如招标采购文件未作特别规定，</w:t>
      </w:r>
      <w:r>
        <w:rPr>
          <w:rFonts w:hint="eastAsia" w:ascii="仿宋" w:hAnsi="仿宋" w:eastAsia="仿宋" w:cs="仿宋"/>
          <w:color w:val="auto"/>
          <w:sz w:val="24"/>
          <w:highlight w:val="none"/>
        </w:rPr>
        <w:t xml:space="preserve">则付款进度应符合如下约定：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合同签订后，甲方自收到乙方发票之日起15日内支付合同金额的30%为预付款；合同签订3个月后，甲方向乙方支付合同总额的40%；</w:t>
      </w:r>
      <w:r>
        <w:rPr>
          <w:rFonts w:hint="eastAsia" w:ascii="仿宋" w:hAnsi="仿宋" w:eastAsia="仿宋" w:cs="仿宋"/>
          <w:color w:val="auto"/>
          <w:sz w:val="24"/>
          <w:highlight w:val="none"/>
          <w:lang w:val="en-US" w:eastAsia="zh-CN"/>
        </w:rPr>
        <w:t xml:space="preserve">合同总额的2</w:t>
      </w:r>
      <w:r>
        <w:rPr>
          <w:rFonts w:hint="eastAsia" w:ascii="仿宋" w:hAnsi="仿宋" w:eastAsia="仿宋" w:cs="仿宋"/>
          <w:color w:val="auto"/>
          <w:sz w:val="24"/>
          <w:highlight w:val="none"/>
        </w:rPr>
        <w:t xml:space="preserve">0%为考核款，具体考核细则由甲乙双方共同协商确认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项目结束后经验收确认考核情况后支付剩余款项。</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highlight w:val="none"/>
        </w:rPr>
        <w:t xml:space="preserve">（2）结算方式</w:t>
      </w:r>
      <w:r>
        <w:rPr>
          <w:rFonts w:hint="eastAsia" w:ascii="仿宋" w:hAnsi="仿宋" w:eastAsia="仿宋" w:cs="仿宋"/>
          <w:color w:val="auto"/>
          <w:sz w:val="24"/>
        </w:rPr>
        <w:t xml:space="preserve">：转账结算（银行转账）。</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付款方：徐州市新沂生态环境局</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甲方： 徐州市新沂生态环境局</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收款方：</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乙方帐户信息：</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公司： </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税号：</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银行: </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账号：</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地址：</w:t>
      </w:r>
      <w:r/>
    </w:p>
    <w:p>
      <w:pPr>
        <w:ind w:firstLine="7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电话：</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第六条  交货与验收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s="仿宋"/>
          <w:color w:val="auto"/>
          <w:sz w:val="24"/>
          <w:lang w:val="zh-CN"/>
        </w:rPr>
        <w:t xml:space="preserve">乙方应当在合同签订后</w:t>
      </w:r>
      <w:r>
        <w:rPr>
          <w:rFonts w:hint="eastAsia" w:ascii="仿宋" w:hAnsi="仿宋" w:eastAsia="仿宋" w:cs="仿宋"/>
          <w:color w:val="auto"/>
          <w:sz w:val="24"/>
          <w:u w:val="single"/>
        </w:rPr>
        <w:t xml:space="preserve">  5  </w:t>
      </w:r>
      <w:r>
        <w:rPr>
          <w:rFonts w:hint="eastAsia" w:ascii="仿宋" w:hAnsi="仿宋" w:eastAsia="仿宋" w:cs="仿宋"/>
          <w:color w:val="auto"/>
          <w:sz w:val="24"/>
          <w:lang w:val="zh-CN"/>
        </w:rPr>
        <w:t xml:space="preserve">天内</w:t>
      </w:r>
      <w:r>
        <w:rPr>
          <w:rFonts w:hint="eastAsia" w:ascii="仿宋" w:hAnsi="仿宋" w:eastAsia="仿宋" w:cs="仿宋"/>
          <w:color w:val="auto"/>
          <w:sz w:val="24"/>
        </w:rPr>
        <w:t xml:space="preserve">设备人员进场</w:t>
      </w:r>
      <w:r>
        <w:rPr>
          <w:rFonts w:hint="eastAsia" w:ascii="仿宋" w:hAnsi="仿宋" w:eastAsia="仿宋" w:cs="仿宋"/>
          <w:color w:val="auto"/>
          <w:sz w:val="24"/>
          <w:lang w:val="zh-CN"/>
        </w:rPr>
        <w:t xml:space="preserve">，地点由甲方指定。招标文件有约定的，从其约定。</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2.服务期限：</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日至</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ind w:firstLine="480"/>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服务地点：</w:t>
      </w:r>
      <w:r>
        <w:rPr>
          <w:rFonts w:hint="eastAsia" w:ascii="仿宋" w:hAnsi="仿宋" w:eastAsia="仿宋" w:cs="仿宋"/>
          <w:color w:val="auto"/>
          <w:sz w:val="24"/>
          <w:u w:val="single"/>
        </w:rPr>
        <w:t xml:space="preserve">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验收时间：</w:t>
      </w:r>
      <w:r>
        <w:rPr>
          <w:rFonts w:hint="eastAsia" w:ascii="仿宋" w:hAnsi="仿宋" w:eastAsia="仿宋" w:cs="仿宋"/>
          <w:color w:val="auto"/>
          <w:sz w:val="24"/>
          <w:u w:val="single"/>
        </w:rPr>
        <w:t xml:space="preserve">           </w:t>
      </w:r>
      <w:r/>
    </w:p>
    <w:p>
      <w:pPr>
        <w:ind w:firstLine="480"/>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验收地点：</w:t>
      </w:r>
      <w:r>
        <w:rPr>
          <w:rFonts w:hint="eastAsia" w:ascii="仿宋" w:hAnsi="仿宋" w:eastAsia="仿宋" w:cs="仿宋"/>
          <w:color w:val="auto"/>
          <w:sz w:val="24"/>
          <w:u w:val="single"/>
        </w:rPr>
        <w:t xml:space="preserve">           </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 乙方应对提供的服务成果作出全面自查和整理，并列出清单，作为甲方验收和使用的服务条件依据，清单应随提供的服务成果交给甲方。</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验收时，甲乙双方必须同时在场，乙方所提供的服务不符合合同内容规定的，甲方有权拒绝验收。乙方应及时按本合同内容规定和甲方的书面通知要求免费进行整改，直至验收合格，方视为乙方按本合同规定完成服务。验收合格的，由双方共同签订《验收报告》。</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5.甲方可以视项目规模或复杂情况聘请专业人员参与验收，大型或复杂项目，以及涉及专业服务内容的应当邀请国家认可的第三方质量检测机构参与验收。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6.如项目实施情况需要分阶段验收，则根据实际情况分阶段出具《验收报告》。</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第七条  项目管理服务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乙方要指定不少于一人全权全程负责本项目服务的落实，包括服务的咨询、执行和后续工作。</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项目负责人姓名：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联系电话：</w:t>
      </w:r>
      <w:r>
        <w:rPr>
          <w:rFonts w:hint="eastAsia" w:ascii="仿宋" w:hAnsi="仿宋" w:eastAsia="仿宋" w:cs="仿宋"/>
          <w:color w:val="auto"/>
          <w:sz w:val="24"/>
          <w:u w:val="single"/>
        </w:rPr>
        <w:t xml:space="preserve">           </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第八条  售后服务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1.乙方提供服务的质量保证期为自服务通过最终验收起24个月。若国家有明确规定的质量保证期高于此质量保证期的，执行国家规定。</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服务期内，乙方应提供相关服务支持。对甲方所反映的任何服务问题在1小时之内做出及时响应，在2小时之内赶到现场实地解决问题。若问题在1个工作日后仍无法解决，乙方应在2日内免费提供服务的补偿、替换方案，直至服务恢复正常。</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3.乙方必须遵守甲方的有关管理制度、操作规程。对于乙方违规操作造成甲方损失的，由乙方按照本合同第十二条的约定承担赔偿责任。</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第九条  分包</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乙方不得分包、转包其应履行的合同义务。</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第十条  合同的生效</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1.本合同经甲乙双方授权代表签字并加盖公章或合同专用章后生效。</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2.生效后，除《政府采购法》第49条、第50条第二款规定的情形外，甲乙双方不得擅自变更、中止或终止合同。</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第十一条  违约责任</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1.乙方所交付服务成果不符合本合同规定的，甲方有权拒收，乙方在得到甲方书面通知之日起个</w:t>
      </w:r>
      <w:r>
        <w:rPr>
          <w:rFonts w:hint="eastAsia" w:ascii="仿宋" w:hAnsi="仿宋" w:eastAsia="仿宋" w:cs="仿宋"/>
          <w:color w:val="auto"/>
          <w:sz w:val="24"/>
          <w:u w:val="single"/>
        </w:rPr>
        <w:t xml:space="preserve"> 5 </w:t>
      </w:r>
      <w:r>
        <w:rPr>
          <w:rFonts w:hint="eastAsia" w:ascii="仿宋" w:hAnsi="仿宋" w:eastAsia="仿宋" w:cs="仿宋"/>
          <w:color w:val="auto"/>
          <w:sz w:val="24"/>
        </w:rPr>
        <w:t xml:space="preserve">工作日内采取补救措施，逾期仍未采取有效措施的，甲方有权要求乙方赔偿因此造成的损失。</w:t>
      </w:r>
      <w:r/>
    </w:p>
    <w:p>
      <w:pPr>
        <w:ind w:firstLine="24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2.甲方无正当理由拒收服务，甲方应向乙方偿付拒付服务费用</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％的违约金。</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3.乙方无正当理由逾期交付服务的，每逾期1天，乙方向甲方偿付合同总额的</w:t>
      </w:r>
      <w:r>
        <w:rPr>
          <w:rFonts w:hint="eastAsia" w:ascii="仿宋" w:hAnsi="仿宋" w:eastAsia="仿宋" w:cs="仿宋"/>
          <w:color w:val="auto"/>
          <w:sz w:val="24"/>
          <w:u w:val="single"/>
        </w:rPr>
        <w:t xml:space="preserve"> 0.01 </w:t>
      </w:r>
      <w:r>
        <w:rPr>
          <w:rFonts w:hint="eastAsia" w:ascii="仿宋" w:hAnsi="仿宋" w:eastAsia="仿宋" w:cs="仿宋"/>
          <w:color w:val="auto"/>
          <w:sz w:val="24"/>
        </w:rPr>
        <w:t xml:space="preserve">‰的违约金。如乙方逾期达</w:t>
      </w:r>
      <w:r>
        <w:rPr>
          <w:rFonts w:hint="eastAsia" w:ascii="仿宋" w:hAnsi="仿宋" w:eastAsia="仿宋" w:cs="仿宋"/>
          <w:color w:val="auto"/>
          <w:sz w:val="24"/>
          <w:u w:val="single"/>
        </w:rPr>
        <w:t xml:space="preserve"> 20 </w:t>
      </w:r>
      <w:r>
        <w:rPr>
          <w:rFonts w:hint="eastAsia" w:ascii="仿宋" w:hAnsi="仿宋" w:eastAsia="仿宋" w:cs="仿宋"/>
          <w:color w:val="auto"/>
          <w:sz w:val="24"/>
        </w:rPr>
        <w:t xml:space="preserve">天，甲方有权解除合同，甲方解除合同的通知自到达乙方时生效。在此情况下，乙方给甲方造成的实际损失高于违约金的，对高出违约金的部分乙方应予以赔偿。</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4.甲方未按合同规定的期限向乙方支付合同款的，每逾期1天甲方向乙方偿付欠款总额的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‰违约金，但累计违约金总额不超过欠款总额的</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5.其它未尽事宜，以《中华人民共和国政府采购法》和《中华人民共和国民法典》等有关法律法规规定为准，无相关规定的，双方协商解决。</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第十二条  不可抗力</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第十三条  争议的解决方式</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1.因服务质量问题发生争议的，应当邀请国家认可的质量检测机构对服务进行鉴定。服务符合标准的，鉴定费由甲方承担；不符合质量标准的，鉴定费由乙方承担。</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2.在解释或者执行本合同的过程中发生争议时，双方应通过协商方式解决。</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3.经协商不能解决的争议，双方可选择以下第</w:t>
      </w:r>
      <w:r>
        <w:rPr>
          <w:rFonts w:hint="eastAsia" w:ascii="仿宋" w:hAnsi="仿宋" w:eastAsia="仿宋" w:cs="仿宋"/>
          <w:color w:val="auto"/>
          <w:sz w:val="24"/>
          <w:u w:val="single"/>
        </w:rPr>
        <w:t xml:space="preserve"> ① </w:t>
      </w:r>
      <w:r>
        <w:rPr>
          <w:rFonts w:hint="eastAsia" w:ascii="仿宋" w:hAnsi="仿宋" w:eastAsia="仿宋" w:cs="仿宋"/>
          <w:color w:val="auto"/>
          <w:sz w:val="24"/>
        </w:rPr>
        <w:t xml:space="preserve">种方式解决：</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①向徐州市有管辖权的法院提起诉讼；</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②向徐州仲裁委员会提出仲裁。</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4.在法院审理和仲裁期间，除有争议部分外，本合同其他部分可以履行的仍应按合同条款继续履行。</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第十四条  其他</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1．本协议自签字盖章之日起生效，协议未尽事宜由双方协商解决。本协议一式</w:t>
      </w:r>
      <w:r>
        <w:rPr>
          <w:rFonts w:hint="eastAsia" w:ascii="仿宋" w:hAnsi="仿宋" w:eastAsia="仿宋" w:cs="仿宋"/>
          <w:color w:val="auto"/>
          <w:sz w:val="24"/>
          <w:u w:val="single"/>
        </w:rPr>
        <w:t xml:space="preserve">陆</w:t>
      </w:r>
      <w:r>
        <w:rPr>
          <w:rFonts w:hint="eastAsia" w:ascii="仿宋" w:hAnsi="仿宋" w:eastAsia="仿宋" w:cs="仿宋"/>
          <w:color w:val="auto"/>
          <w:sz w:val="24"/>
        </w:rPr>
        <w:t xml:space="preserve">份，具有同等法律效力，甲方</w:t>
      </w:r>
      <w:bookmarkStart w:id="29" w:name="OLE_LINK5"/>
      <w:r/>
      <w:bookmarkStart w:id="30" w:name="OLE_LINK6"/>
      <w:r>
        <w:rPr>
          <w:rFonts w:hint="eastAsia" w:ascii="仿宋" w:hAnsi="仿宋" w:eastAsia="仿宋" w:cs="仿宋"/>
          <w:color w:val="auto"/>
          <w:sz w:val="24"/>
          <w:u w:val="single"/>
        </w:rPr>
        <w:t xml:space="preserve">贰</w:t>
      </w:r>
      <w:bookmarkEnd w:id="29"/>
      <w:r/>
      <w:bookmarkEnd w:id="30"/>
      <w:r>
        <w:rPr>
          <w:rFonts w:hint="eastAsia" w:ascii="仿宋" w:hAnsi="仿宋" w:eastAsia="仿宋" w:cs="仿宋"/>
          <w:color w:val="auto"/>
          <w:sz w:val="24"/>
        </w:rPr>
        <w:t xml:space="preserve">份，乙方</w:t>
      </w:r>
      <w:r>
        <w:rPr>
          <w:rFonts w:hint="eastAsia" w:ascii="仿宋" w:hAnsi="仿宋" w:eastAsia="仿宋" w:cs="仿宋"/>
          <w:color w:val="auto"/>
          <w:sz w:val="24"/>
          <w:u w:val="single"/>
        </w:rPr>
        <w:t xml:space="preserve">贰</w:t>
      </w:r>
      <w:r>
        <w:rPr>
          <w:rFonts w:hint="eastAsia" w:ascii="仿宋" w:hAnsi="仿宋" w:eastAsia="仿宋" w:cs="仿宋"/>
          <w:color w:val="auto"/>
          <w:sz w:val="24"/>
        </w:rPr>
        <w:t xml:space="preserve">份，徐州市政府采购中心存档</w:t>
      </w:r>
      <w:r>
        <w:rPr>
          <w:rFonts w:hint="eastAsia" w:ascii="仿宋" w:hAnsi="仿宋" w:eastAsia="仿宋" w:cs="仿宋"/>
          <w:color w:val="auto"/>
          <w:sz w:val="24"/>
          <w:u w:val="single"/>
        </w:rPr>
        <w:t xml:space="preserve">壹</w:t>
      </w:r>
      <w:r>
        <w:rPr>
          <w:rFonts w:hint="eastAsia" w:ascii="仿宋" w:hAnsi="仿宋" w:eastAsia="仿宋" w:cs="仿宋"/>
          <w:color w:val="auto"/>
          <w:sz w:val="24"/>
        </w:rPr>
        <w:t xml:space="preserve">份，政府采购监督管理部门备案</w:t>
      </w:r>
      <w:r>
        <w:rPr>
          <w:rFonts w:hint="eastAsia" w:ascii="仿宋" w:hAnsi="仿宋" w:eastAsia="仿宋" w:cs="仿宋"/>
          <w:color w:val="auto"/>
          <w:sz w:val="24"/>
          <w:u w:val="single"/>
        </w:rPr>
        <w:t xml:space="preserve">壹</w:t>
      </w:r>
      <w:r>
        <w:rPr>
          <w:rFonts w:hint="eastAsia" w:ascii="仿宋" w:hAnsi="仿宋" w:eastAsia="仿宋" w:cs="仿宋"/>
          <w:color w:val="auto"/>
          <w:sz w:val="24"/>
        </w:rPr>
        <w:t xml:space="preserve">份。</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 本合同应按照中华人民共和国的现行法律进行解释。</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以下无正文，后附签署页。</w:t>
      </w:r>
      <w:r/>
    </w:p>
    <w:tbl>
      <w:tblPr>
        <w:tblStyle w:val="714"/>
        <w:tblW w:w="8528" w:type="dxa"/>
        <w:tblInd w:w="0" w:type="dxa"/>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2022"/>
        </w:trPr>
        <w:tc>
          <w:tcPr>
            <w:tcW w:w="8528" w:type="dxa"/>
            <w:textDirection w:val="lrTb"/>
            <w:noWrap w:val="false"/>
          </w:tcPr>
          <w:p>
            <w:pPr>
              <w:ind w:left="7200" w:hanging="72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甲方全称（盖章）：徐州市新沂生态环境局 乙方全称（盖章）:</w:t>
            </w:r>
            <w:r>
              <w:rPr>
                <w:rFonts w:hint="eastAsia" w:ascii="仿宋" w:hAnsi="仿宋" w:eastAsia="仿宋" w:cs="仿宋"/>
                <w:color w:val="auto"/>
              </w:rPr>
              <w:t xml:space="preserve"> </w:t>
            </w:r>
            <w:r/>
          </w:p>
          <w:p>
            <w:pPr>
              <w:ind w:left="5760" w:hanging="5760"/>
              <w:rPr>
                <w:rFonts w:hint="eastAsia" w:ascii="仿宋" w:hAnsi="仿宋" w:eastAsia="仿宋" w:cs="仿宋"/>
                <w:color w:val="auto"/>
                <w:sz w:val="24"/>
              </w:rPr>
            </w:pPr>
            <w:r>
              <w:rPr>
                <w:rFonts w:hint="eastAsia" w:ascii="仿宋" w:hAnsi="仿宋" w:eastAsia="仿宋" w:cs="仿宋"/>
                <w:color w:val="auto"/>
                <w:sz w:val="24"/>
              </w:rPr>
              <w:t xml:space="preserve">地址：                                 地址：</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签订日期：                             签订日期：</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邮编：                                 邮编：</w:t>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电话：                                 电话：</w:t>
            </w:r>
            <w:r/>
          </w:p>
        </w:tc>
      </w:tr>
    </w:tbl>
    <w:p>
      <w:pPr>
        <w:rPr>
          <w:color w:val="auto"/>
        </w:rPr>
      </w:pPr>
      <w:r>
        <w:rPr>
          <w:color w:val="auto"/>
        </w:rPr>
      </w:r>
      <w:r/>
    </w:p>
    <w:p>
      <w:pPr>
        <w:ind w:firstLine="240"/>
        <w:spacing w:line="36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br w:type="page" w:clear="all"/>
      </w:r>
      <w:r/>
    </w:p>
    <w:p>
      <w:pPr>
        <w:jc w:val="center"/>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 xml:space="preserve">12、具备履行合同所必需的设备和专业技术能力的书面声明</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lang w:eastAsia="zh-CN"/>
        </w:rPr>
      </w:pPr>
      <w:r/>
      <w:bookmarkStart w:id="31" w:name="OLE_LINK9"/>
      <w:r>
        <w:rPr>
          <w:rFonts w:hint="eastAsia" w:ascii="仿宋_GB2312" w:hAnsi="仿宋_GB2312" w:eastAsia="仿宋_GB2312" w:cs="仿宋_GB2312"/>
          <w:color w:val="auto"/>
          <w:sz w:val="24"/>
        </w:rPr>
        <w:t xml:space="preserve">项目名称：</w:t>
      </w:r>
      <w:r>
        <w:rPr>
          <w:rFonts w:hint="eastAsia" w:ascii="仿宋_GB2312" w:hAnsi="仿宋_GB2312" w:eastAsia="仿宋_GB2312" w:cs="仿宋_GB2312"/>
          <w:color w:val="auto"/>
          <w:sz w:val="24"/>
          <w:lang w:eastAsia="zh-CN"/>
        </w:rPr>
        <w:t xml:space="preserve">新沂市环境空气质量提升技术服务项目</w:t>
      </w:r>
      <w:r/>
    </w:p>
    <w:p>
      <w:pPr>
        <w:ind w:firstLine="480"/>
        <w:spacing w:line="4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JSZC-320381-TYDL-C2026-0003</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我单位郑重声明：我单位具备履行合同（项目名称：</w:t>
      </w:r>
      <w:r>
        <w:rPr>
          <w:rFonts w:hint="eastAsia" w:ascii="仿宋_GB2312" w:hAnsi="仿宋_GB2312" w:eastAsia="仿宋_GB2312" w:cs="仿宋_GB2312"/>
          <w:color w:val="auto"/>
          <w:sz w:val="24"/>
          <w:lang w:eastAsia="zh-CN"/>
        </w:rPr>
        <w:t xml:space="preserve">新沂市环境空气质量提升技术服务项目</w:t>
      </w:r>
      <w:r>
        <w:rPr>
          <w:rFonts w:hint="eastAsia" w:ascii="仿宋_GB2312" w:hAnsi="仿宋_GB2312" w:eastAsia="仿宋_GB2312" w:cs="仿宋_GB2312"/>
          <w:color w:val="auto"/>
          <w:sz w:val="24"/>
        </w:rPr>
        <w:t xml:space="preserve">，项目编号：</w:t>
      </w:r>
      <w:r>
        <w:rPr>
          <w:rFonts w:hint="eastAsia" w:ascii="仿宋_GB2312" w:hAnsi="仿宋_GB2312" w:eastAsia="仿宋_GB2312" w:cs="仿宋_GB2312"/>
          <w:color w:val="auto"/>
          <w:sz w:val="24"/>
          <w:lang w:eastAsia="zh-CN"/>
        </w:rPr>
        <w:t xml:space="preserve">JSZC-320381-TYDL-C2026-0003</w:t>
      </w:r>
      <w:r>
        <w:rPr>
          <w:rFonts w:hint="eastAsia" w:ascii="仿宋_GB2312" w:hAnsi="仿宋_GB2312" w:eastAsia="仿宋_GB2312" w:cs="仿宋_GB2312"/>
          <w:color w:val="auto"/>
          <w:sz w:val="24"/>
        </w:rPr>
        <w:t xml:space="preserve">）所必需的设备和专业技术能力。</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特此声明。</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我单位对上述声明的真实性负责。如有虚假，将依法承担相应责任。</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供应商：（</w:t>
      </w:r>
      <w:r>
        <w:rPr>
          <w:rFonts w:hint="eastAsia" w:ascii="仿宋_GB2312" w:hAnsi="仿宋_GB2312" w:eastAsia="仿宋_GB2312" w:cs="仿宋_GB2312"/>
          <w:color w:val="auto"/>
          <w:sz w:val="24"/>
          <w:lang w:val="en-US" w:eastAsia="zh-CN"/>
        </w:rPr>
        <w:t xml:space="preserve">电子签章</w:t>
      </w:r>
      <w:r>
        <w:rPr>
          <w:rFonts w:hint="eastAsia" w:ascii="仿宋_GB2312" w:hAnsi="仿宋_GB2312" w:eastAsia="仿宋_GB2312" w:cs="仿宋_GB2312"/>
          <w:color w:val="auto"/>
          <w:sz w:val="24"/>
        </w:rPr>
        <w:t xml:space="preserve">）</w:t>
      </w:r>
      <w:r/>
    </w:p>
    <w:p>
      <w:pPr>
        <w:ind w:firstLine="48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w:t>
      </w:r>
      <w:r/>
    </w:p>
    <w:p>
      <w:pPr>
        <w:ind w:firstLine="4800"/>
        <w:spacing w:line="4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日期：   年  月  日</w:t>
      </w:r>
      <w:bookmarkEnd w:id="31"/>
      <w:r/>
    </w:p>
    <w:p>
      <w:pPr>
        <w:pStyle w:val="80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84"/>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9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0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84"/>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9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0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84"/>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9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0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84"/>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9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0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84"/>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9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80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84"/>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9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9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95"/>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88"/>
        <w:rPr>
          <w:rFonts w:hint="eastAsia"/>
          <w:color w:val="auto"/>
        </w:rPr>
      </w:pPr>
      <w:r>
        <w:rPr>
          <w:rFonts w:hint="eastAsia"/>
          <w:color w:val="auto"/>
        </w:rPr>
      </w:r>
      <w:r/>
    </w:p>
    <w:p>
      <w:pPr>
        <w:pStyle w:val="806"/>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84"/>
        <w:rPr>
          <w:rFonts w:hint="eastAsia" w:ascii="仿宋_GB2312" w:hAnsi="仿宋_GB2312" w:eastAsia="仿宋_GB2312" w:cs="仿宋_GB2312"/>
          <w:color w:val="auto"/>
        </w:rPr>
      </w:pPr>
      <w:r>
        <w:rPr>
          <w:rFonts w:hint="eastAsia" w:ascii="仿宋_GB2312" w:hAnsi="仿宋_GB2312" w:eastAsia="仿宋_GB2312" w:cs="仿宋_GB2312"/>
          <w:color w:val="auto"/>
        </w:rPr>
      </w:r>
      <w:r/>
    </w:p>
    <w:p>
      <w:pPr>
        <w:pStyle w:val="737"/>
        <w:ind w:left="0" w:right="0"/>
        <w:jc w:val="center"/>
        <w:keepLines w:val="0"/>
        <w:keepNext w:val="0"/>
        <w:pageBreakBefore w:val="0"/>
        <w:spacing w:before="0" w:beforeAutospacing="0" w:after="0" w:afterAutospacing="0" w:line="460" w:lineRule="exact"/>
        <w:widowControl w:val="off"/>
        <w:rPr>
          <w:rFonts w:hint="eastAsia" w:ascii="仿宋_GB2312" w:hAnsi="仿宋_GB2312" w:eastAsia="仿宋_GB2312" w:cs="仿宋_GB2312"/>
          <w:b/>
          <w:bCs/>
          <w:color w:val="auto"/>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b/>
          <w:bCs/>
          <w:color w:val="auto"/>
          <w:sz w:val="30"/>
          <w:szCs w:val="30"/>
          <w:lang w:val="en-US" w:eastAsia="zh-CN" w:bidi="ar-SA"/>
        </w:rPr>
        <w:t xml:space="preserve">13.</w:t>
      </w:r>
      <w:bookmarkStart w:id="32" w:name="OLE_LINK10"/>
      <w:r>
        <w:rPr>
          <w:rFonts w:hint="eastAsia" w:ascii="仿宋_GB2312" w:hAnsi="仿宋_GB2312" w:eastAsia="仿宋_GB2312" w:cs="仿宋_GB2312"/>
          <w:b/>
          <w:bCs/>
          <w:color w:val="auto"/>
          <w:sz w:val="30"/>
          <w:szCs w:val="30"/>
          <w:lang w:val="en-US" w:eastAsia="zh-CN" w:bidi="ar-SA"/>
        </w:rPr>
        <w:t xml:space="preserve">招标代理服务收费标准</w:t>
      </w:r>
      <w:r/>
    </w:p>
    <w:p>
      <w:pPr>
        <w:pStyle w:val="737"/>
        <w:ind w:left="0" w:right="0"/>
        <w:jc w:val="center"/>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 江苏省政府采购代理常规服务收费指导价</w:t>
      </w:r>
      <w:r>
        <w:rPr>
          <w:rFonts w:hint="eastAsia" w:ascii="仿宋" w:hAnsi="仿宋" w:eastAsia="仿宋" w:cs="仿宋"/>
          <w:color w:val="auto"/>
          <w:sz w:val="24"/>
          <w:szCs w:val="24"/>
          <w:lang w:eastAsia="zh-CN"/>
        </w:rPr>
        <w:t xml:space="preserve">（苏政采协【2024】20号）</w:t>
      </w:r>
      <w:r/>
    </w:p>
    <w:p>
      <w:pPr>
        <w:pStyle w:val="737"/>
        <w:jc w:val="both"/>
        <w:keepLines w:val="0"/>
        <w:keepNext w:val="0"/>
        <w:pageBreakBefore w:val="0"/>
        <w:spacing w:before="0" w:beforeAutospacing="0" w:after="0" w:afterAutospacing="0" w:line="460" w:lineRule="exact"/>
        <w:widowControl w:val="off"/>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r>
      <w:r/>
    </w:p>
    <w:tbl>
      <w:tblPr>
        <w:tblStyle w:val="714"/>
        <w:tblW w:w="8780" w:type="dxa"/>
        <w:tblCellSpacing w:w="0"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25"/>
        <w:gridCol w:w="2755"/>
      </w:tblGrid>
      <w:tr>
        <w:trPr>
          <w:tblCellSpacing w:w="0" w:type="dxa"/>
          <w:trHeight w:val="492"/>
        </w:trPr>
        <w:tc>
          <w:tcPr>
            <w:shd w:val="clear" w:color="auto" w:fill="auto"/>
            <w:tcW w:w="602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中标或成交金额</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费率</w:t>
            </w:r>
            <w:r/>
          </w:p>
        </w:tc>
      </w:tr>
      <w:tr>
        <w:trPr>
          <w:tblCellSpacing w:w="0" w:type="dxa"/>
          <w:trHeight w:val="502"/>
        </w:trPr>
        <w:tc>
          <w:tcPr>
            <w:shd w:val="clear" w:color="auto" w:fill="auto"/>
            <w:tcW w:w="6025" w:type="dxa"/>
            <w:vAlign w:val="center"/>
            <w:textDirection w:val="lrTb"/>
            <w:noWrap w:val="false"/>
          </w:tcPr>
          <w:p>
            <w:pPr>
              <w:pStyle w:val="737"/>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最低收费金额(每个委托项目)</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5000元</w:t>
            </w:r>
            <w:r/>
          </w:p>
        </w:tc>
      </w:tr>
      <w:tr>
        <w:trPr>
          <w:tblCellSpacing w:w="0" w:type="dxa"/>
          <w:trHeight w:val="492"/>
        </w:trPr>
        <w:tc>
          <w:tcPr>
            <w:shd w:val="clear" w:color="auto" w:fill="auto"/>
            <w:tcW w:w="6025" w:type="dxa"/>
            <w:vAlign w:val="center"/>
            <w:textDirection w:val="lrTb"/>
            <w:noWrap w:val="false"/>
          </w:tcPr>
          <w:p>
            <w:pPr>
              <w:pStyle w:val="737"/>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50万元以</w:t>
            </w:r>
            <w:r>
              <w:rPr>
                <w:rFonts w:hint="eastAsia" w:ascii="仿宋" w:hAnsi="仿宋" w:eastAsia="仿宋" w:cs="仿宋"/>
                <w:b w:val="0"/>
                <w:bCs w:val="0"/>
                <w:color w:val="auto"/>
                <w:sz w:val="24"/>
                <w:szCs w:val="24"/>
                <w:lang w:val="en-US" w:eastAsia="zh-CN"/>
              </w:rPr>
              <w:t xml:space="preserve">下</w:t>
            </w:r>
            <w:r>
              <w:rPr>
                <w:rFonts w:hint="eastAsia" w:ascii="仿宋" w:hAnsi="仿宋" w:eastAsia="仿宋" w:cs="仿宋"/>
                <w:b w:val="0"/>
                <w:bCs w:val="0"/>
                <w:color w:val="auto"/>
                <w:sz w:val="24"/>
                <w:szCs w:val="24"/>
              </w:rPr>
              <w:t xml:space="preserve">（含50万元）</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1.60%</w:t>
            </w:r>
            <w:r/>
          </w:p>
        </w:tc>
      </w:tr>
      <w:tr>
        <w:trPr>
          <w:tblCellSpacing w:w="0" w:type="dxa"/>
          <w:trHeight w:val="492"/>
        </w:trPr>
        <w:tc>
          <w:tcPr>
            <w:shd w:val="clear" w:color="auto" w:fill="auto"/>
            <w:tcW w:w="6025" w:type="dxa"/>
            <w:vAlign w:val="center"/>
            <w:textDirection w:val="lrTb"/>
            <w:noWrap w:val="false"/>
          </w:tcPr>
          <w:p>
            <w:pPr>
              <w:pStyle w:val="737"/>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50-400万元以上（含400万元）</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1.50%</w:t>
            </w:r>
            <w:r/>
          </w:p>
        </w:tc>
      </w:tr>
      <w:tr>
        <w:trPr>
          <w:tblCellSpacing w:w="0" w:type="dxa"/>
          <w:trHeight w:val="612"/>
        </w:trPr>
        <w:tc>
          <w:tcPr>
            <w:shd w:val="clear" w:color="auto" w:fill="auto"/>
            <w:tcW w:w="6025" w:type="dxa"/>
            <w:vAlign w:val="center"/>
            <w:textDirection w:val="lrTb"/>
            <w:noWrap w:val="false"/>
          </w:tcPr>
          <w:p>
            <w:pPr>
              <w:pStyle w:val="737"/>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400-1000万元以上（含1000万元）</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1.10%</w:t>
            </w:r>
            <w:r/>
          </w:p>
        </w:tc>
      </w:tr>
      <w:tr>
        <w:trPr>
          <w:tblCellSpacing w:w="0" w:type="dxa"/>
          <w:trHeight w:val="494"/>
        </w:trPr>
        <w:tc>
          <w:tcPr>
            <w:shd w:val="clear" w:color="auto" w:fill="auto"/>
            <w:tcW w:w="6025" w:type="dxa"/>
            <w:vAlign w:val="center"/>
            <w:textDirection w:val="lrTb"/>
            <w:noWrap w:val="false"/>
          </w:tcPr>
          <w:p>
            <w:pPr>
              <w:pStyle w:val="737"/>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1000-5000万元以上（含5000万元）</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0.80%</w:t>
            </w:r>
            <w:r/>
          </w:p>
        </w:tc>
      </w:tr>
      <w:tr>
        <w:trPr>
          <w:tblCellSpacing w:w="0" w:type="dxa"/>
          <w:trHeight w:val="499"/>
        </w:trPr>
        <w:tc>
          <w:tcPr>
            <w:shd w:val="clear" w:color="auto" w:fill="auto"/>
            <w:tcW w:w="6025" w:type="dxa"/>
            <w:vAlign w:val="center"/>
            <w:textDirection w:val="lrTb"/>
            <w:noWrap w:val="false"/>
          </w:tcPr>
          <w:p>
            <w:pPr>
              <w:pStyle w:val="737"/>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5000-1亿元以上（含1亿元）</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0.25%</w:t>
            </w:r>
            <w:r/>
          </w:p>
        </w:tc>
      </w:tr>
      <w:tr>
        <w:trPr>
          <w:tblCellSpacing w:w="0" w:type="dxa"/>
          <w:trHeight w:val="494"/>
        </w:trPr>
        <w:tc>
          <w:tcPr>
            <w:shd w:val="clear" w:color="auto" w:fill="auto"/>
            <w:tcW w:w="6025" w:type="dxa"/>
            <w:vAlign w:val="center"/>
            <w:textDirection w:val="lrTb"/>
            <w:noWrap w:val="false"/>
          </w:tcPr>
          <w:p>
            <w:pPr>
              <w:pStyle w:val="737"/>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1-10亿以上（含10亿元）</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0.05%</w:t>
            </w:r>
            <w:r/>
          </w:p>
        </w:tc>
      </w:tr>
      <w:tr>
        <w:trPr>
          <w:tblCellSpacing w:w="0" w:type="dxa"/>
          <w:trHeight w:val="494"/>
        </w:trPr>
        <w:tc>
          <w:tcPr>
            <w:shd w:val="clear" w:color="auto" w:fill="auto"/>
            <w:tcW w:w="6025" w:type="dxa"/>
            <w:vAlign w:val="center"/>
            <w:textDirection w:val="lrTb"/>
            <w:noWrap w:val="false"/>
          </w:tcPr>
          <w:p>
            <w:pPr>
              <w:pStyle w:val="737"/>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10-50亿元以上（含50亿元）</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0.01%</w:t>
            </w:r>
            <w:r/>
          </w:p>
        </w:tc>
      </w:tr>
      <w:tr>
        <w:trPr>
          <w:tblCellSpacing w:w="0" w:type="dxa"/>
          <w:trHeight w:val="513"/>
        </w:trPr>
        <w:tc>
          <w:tcPr>
            <w:shd w:val="clear" w:color="auto" w:fill="auto"/>
            <w:tcW w:w="6025" w:type="dxa"/>
            <w:vAlign w:val="center"/>
            <w:textDirection w:val="lrTb"/>
            <w:noWrap w:val="false"/>
          </w:tcPr>
          <w:p>
            <w:pPr>
              <w:pStyle w:val="737"/>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50亿元以上</w:t>
            </w:r>
            <w:r/>
          </w:p>
        </w:tc>
        <w:tc>
          <w:tcPr>
            <w:shd w:val="clear" w:color="auto" w:fill="auto"/>
            <w:tcW w:w="2755" w:type="dxa"/>
            <w:vAlign w:val="center"/>
            <w:textDirection w:val="lrTb"/>
            <w:noWrap w:val="false"/>
          </w:tcPr>
          <w:p>
            <w:pPr>
              <w:pStyle w:val="737"/>
              <w:jc w:val="center"/>
              <w:keepLines w:val="0"/>
              <w:keepNext w:val="0"/>
              <w:pageBreakBefore w:val="0"/>
              <w:spacing w:before="0" w:beforeAutospacing="0" w:after="0" w:afterAutospacing="0" w:line="460" w:lineRule="exact"/>
              <w:widowControl/>
              <w:rPr>
                <w:rFonts w:hint="eastAsia" w:ascii="仿宋" w:hAnsi="仿宋" w:eastAsia="仿宋" w:cs="仿宋"/>
                <w:b w:val="0"/>
                <w:bC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rPr>
              <w:t xml:space="preserve">0.01%</w:t>
            </w:r>
            <w:r/>
          </w:p>
        </w:tc>
      </w:tr>
    </w:tbl>
    <w:p>
      <w:pPr>
        <w:pStyle w:val="737"/>
        <w:ind w:left="0" w:firstLine="2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说明：</w:t>
      </w:r>
      <w:r/>
    </w:p>
    <w:p>
      <w:pPr>
        <w:pStyle w:val="737"/>
        <w:ind w:left="0" w:firstLine="56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1.按上表计算的收费为代理服务全过程的收费金额。各社会代理机构不另外收取采购文件制作售卖费用。</w:t>
      </w:r>
      <w:r/>
    </w:p>
    <w:p>
      <w:pPr>
        <w:pStyle w:val="737"/>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2.代理服务费按差额定率累进法计算。</w:t>
      </w:r>
      <w:r/>
    </w:p>
    <w:p>
      <w:pPr>
        <w:pStyle w:val="737"/>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3.代理服务费基准金额（按差额定率累进法计算的）=中标金额（按差额定率累进法计算的）* 费率（%）</w:t>
      </w:r>
      <w:r/>
    </w:p>
    <w:p>
      <w:pPr>
        <w:pStyle w:val="737"/>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4.代理服务费应收取金额=代理服务费基准金额（按差额定率累进法计算的）的合计数。</w:t>
      </w:r>
      <w:r/>
    </w:p>
    <w:p>
      <w:pPr>
        <w:pStyle w:val="737"/>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5.计算出的代理服务费应收取金额如低于5千元，按5千元收取；</w:t>
      </w:r>
      <w:r/>
    </w:p>
    <w:p>
      <w:pPr>
        <w:pStyle w:val="737"/>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rPr>
        <w:t xml:space="preserve">6.定点类等无金额或事先不能计算出价格总额的项目，按中标（成交）金额100万元计算服务费。</w:t>
      </w:r>
      <w:r/>
    </w:p>
    <w:p>
      <w:pPr>
        <w:pStyle w:val="737"/>
        <w:ind w:left="0" w:firstLine="480"/>
        <w:keepLines w:val="0"/>
        <w:keepNext w:val="0"/>
        <w:pageBreakBefore w:val="0"/>
        <w:spacing w:before="0" w:beforeAutospacing="0" w:after="0" w:afterAutospacing="0" w:line="460" w:lineRule="exact"/>
        <w:widowControl/>
        <w:rPr>
          <w:rFonts w:hint="eastAsia" w:ascii="仿宋" w:hAnsi="仿宋" w:eastAsia="仿宋" w:cs="仿宋"/>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8"/>
          <w:szCs w:val="28"/>
        </w:rPr>
      </w:r>
      <w:bookmarkEnd w:id="32"/>
      <w:r/>
    </w:p>
    <w:p>
      <w:pPr>
        <w:pageBreakBefore w:val="0"/>
        <w:spacing w:line="460" w:lineRule="exact"/>
        <w:rPr>
          <w:rFonts w:hint="eastAsia"/>
          <w:color w:val="auto"/>
          <w:highlight w:val="none"/>
        </w:rPr>
      </w:pPr>
      <w:r>
        <w:rPr>
          <w:rFonts w:hint="eastAsia"/>
          <w:color w:val="auto"/>
          <w:highlight w:val="none"/>
        </w:rPr>
      </w:r>
      <w:r/>
    </w:p>
    <w:p>
      <w:pPr>
        <w:spacing w:line="48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r>
      <w:r/>
    </w:p>
    <w:sectPr>
      <w:headerReference w:type="default" r:id="rId10"/>
      <w:headerReference w:type="first" r:id="rId11"/>
      <w:footerReference w:type="default" r:id="rId12"/>
      <w:footerReference w:type="even" r:id="rId13"/>
      <w:footerReference w:type="first" r:id="rId14"/>
      <w:footnotePr/>
      <w:endnotePr/>
      <w:type w:val="nextColumn"/>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ourier New">
    <w:panose1 w:val="02070309020205020404"/>
  </w:font>
  <w:font w:name="PMingLiU">
    <w:panose1 w:val="02020500000000000000"/>
  </w:font>
  <w:font w:name="Cambria">
    <w:panose1 w:val="02040503050406030204"/>
  </w:font>
  <w:font w:name="黑体">
    <w:panose1 w:val="02010609060101010101"/>
  </w:font>
  <w:font w:name="仿宋_GB2312">
    <w:panose1 w:val="02010609060101010101"/>
  </w:font>
  <w:font w:name="Calibri">
    <w:panose1 w:val="020F0502020204030204"/>
  </w:font>
  <w:font w:name="微软雅黑">
    <w:panose1 w:val="020B0503020204020204"/>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rPr>
        <w:lang w:val="zh-CN"/>
      </w:rPr>
      <w:t xml:space="preserve"> </w:t>
    </w:r>
    <w:r/>
  </w:p>
  <w:p>
    <w:pPr>
      <w:pStyle w:val="9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p>
  <w:p>
    <w:pPr>
      <w:pStyle w:val="9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jc w:val="both"/>
      <w:pBdr>
        <w:bottom w:val="single" w:color="000000" w:sz="6"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576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pStyle w:val="804"/>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1040"/>
    <w:uiPriority w:val="1"/>
    <w:qFormat/>
    <w:pPr>
      <w:ind w:left="1373"/>
      <w:jc w:val="left"/>
      <w:spacing w:before="59"/>
      <w:outlineLvl w:val="0"/>
    </w:pPr>
    <w:rPr>
      <w:rFonts w:ascii="仿宋" w:hAnsi="仿宋" w:eastAsia="仿宋" w:cs="仿宋"/>
      <w:b/>
      <w:bCs/>
      <w:sz w:val="30"/>
      <w:szCs w:val="30"/>
      <w:lang w:val="zh-CN" w:bidi="zh-CN"/>
    </w:rPr>
  </w:style>
  <w:style w:type="paragraph" w:styleId="705">
    <w:name w:val="Heading 2"/>
    <w:basedOn w:val="703"/>
    <w:next w:val="703"/>
    <w:link w:val="808"/>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80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81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811"/>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link w:val="81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81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815"/>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Layout w:type="fixed"/>
      <w:tblCellMar>
        <w:left w:w="108" w:type="dxa"/>
        <w:top w:w="0" w:type="dxa"/>
        <w:right w:w="108" w:type="dxa"/>
        <w:bottom w:w="0" w:type="dxa"/>
      </w:tblCellMar>
    </w:tblPr>
  </w:style>
  <w:style w:type="paragraph" w:styleId="715">
    <w:name w:val="Body Text"/>
    <w:basedOn w:val="703"/>
    <w:next w:val="703"/>
    <w:uiPriority w:val="99"/>
    <w:semiHidden/>
    <w:unhideWhenUsed/>
    <w:qFormat/>
    <w:pPr>
      <w:spacing w:after="120"/>
    </w:pPr>
  </w:style>
  <w:style w:type="paragraph" w:styleId="716">
    <w:name w:val="toc 7"/>
    <w:basedOn w:val="703"/>
    <w:next w:val="703"/>
    <w:uiPriority w:val="39"/>
    <w:unhideWhenUsed/>
    <w:qFormat/>
    <w:pPr>
      <w:ind w:left="1701"/>
      <w:spacing w:after="57"/>
    </w:pPr>
  </w:style>
  <w:style w:type="paragraph" w:styleId="717">
    <w:name w:val="Body Text First Indent"/>
    <w:basedOn w:val="715"/>
    <w:next w:val="718"/>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18">
    <w:name w:val="toc 6"/>
    <w:basedOn w:val="703"/>
    <w:next w:val="703"/>
    <w:uiPriority w:val="39"/>
    <w:unhideWhenUsed/>
    <w:qFormat/>
    <w:pPr>
      <w:ind w:left="1417"/>
      <w:spacing w:after="57"/>
    </w:pPr>
  </w:style>
  <w:style w:type="paragraph" w:styleId="719">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Body Text Indent"/>
    <w:basedOn w:val="703"/>
    <w:next w:val="721"/>
    <w:uiPriority w:val="0"/>
    <w:qFormat/>
    <w:pPr>
      <w:ind w:firstLine="567"/>
      <w:spacing w:line="500" w:lineRule="exact"/>
      <w:tabs>
        <w:tab w:val="left" w:pos="0" w:leader="none"/>
        <w:tab w:val="left" w:pos="993" w:leader="none"/>
        <w:tab w:val="left" w:pos="1134" w:leader="none"/>
      </w:tabs>
    </w:pPr>
    <w:rPr>
      <w:rFonts w:ascii="宋体"/>
    </w:rPr>
  </w:style>
  <w:style w:type="paragraph" w:styleId="721">
    <w:name w:val="envelope return"/>
    <w:basedOn w:val="703"/>
    <w:uiPriority w:val="0"/>
    <w:qFormat/>
    <w:pPr>
      <w:spacing w:after="200"/>
    </w:pPr>
    <w:rPr>
      <w:rFonts w:ascii="Arial" w:hAnsi="Arial" w:eastAsia="微软雅黑"/>
      <w:sz w:val="22"/>
      <w:szCs w:val="22"/>
    </w:rPr>
  </w:style>
  <w:style w:type="paragraph" w:styleId="722">
    <w:name w:val="Block Text"/>
    <w:basedOn w:val="703"/>
    <w:uiPriority w:val="0"/>
    <w:qFormat/>
    <w:pPr>
      <w:ind w:left="256" w:right="6" w:firstLine="624"/>
    </w:pPr>
    <w:rPr>
      <w:rFonts w:eastAsia="仿宋_GB2312"/>
      <w:sz w:val="28"/>
      <w:szCs w:val="20"/>
    </w:rPr>
  </w:style>
  <w:style w:type="paragraph" w:styleId="723">
    <w:name w:val="toc 5"/>
    <w:basedOn w:val="703"/>
    <w:next w:val="703"/>
    <w:uiPriority w:val="39"/>
    <w:unhideWhenUsed/>
    <w:qFormat/>
    <w:pPr>
      <w:ind w:left="1134"/>
      <w:spacing w:after="57"/>
    </w:pPr>
  </w:style>
  <w:style w:type="paragraph" w:styleId="724">
    <w:name w:val="toc 3"/>
    <w:basedOn w:val="703"/>
    <w:next w:val="703"/>
    <w:uiPriority w:val="39"/>
    <w:unhideWhenUsed/>
    <w:qFormat/>
    <w:pPr>
      <w:ind w:left="567"/>
      <w:spacing w:after="57"/>
    </w:pPr>
  </w:style>
  <w:style w:type="paragraph" w:styleId="725">
    <w:name w:val="toc 8"/>
    <w:basedOn w:val="703"/>
    <w:next w:val="703"/>
    <w:uiPriority w:val="39"/>
    <w:unhideWhenUsed/>
    <w:qFormat/>
    <w:pPr>
      <w:ind w:left="1984"/>
      <w:spacing w:after="57"/>
    </w:pPr>
  </w:style>
  <w:style w:type="paragraph" w:styleId="726">
    <w:name w:val="endnote text"/>
    <w:basedOn w:val="703"/>
    <w:link w:val="953"/>
    <w:uiPriority w:val="99"/>
    <w:semiHidden/>
    <w:unhideWhenUsed/>
    <w:qFormat/>
    <w:rPr>
      <w:sz w:val="20"/>
    </w:rPr>
  </w:style>
  <w:style w:type="paragraph" w:styleId="727">
    <w:name w:val="Footer"/>
    <w:basedOn w:val="703"/>
    <w:link w:val="826"/>
    <w:uiPriority w:val="99"/>
    <w:unhideWhenUsed/>
    <w:qFormat/>
    <w:pPr>
      <w:tabs>
        <w:tab w:val="center" w:pos="7143" w:leader="none"/>
        <w:tab w:val="right" w:pos="14287" w:leader="none"/>
      </w:tabs>
    </w:pPr>
  </w:style>
  <w:style w:type="paragraph" w:styleId="728">
    <w:name w:val="Body Text First Indent 2"/>
    <w:basedOn w:val="720"/>
    <w:next w:val="703"/>
    <w:uiPriority w:val="0"/>
    <w:qFormat/>
    <w:pPr>
      <w:ind w:left="420" w:firstLine="420"/>
      <w:spacing w:after="120" w:line="240" w:lineRule="auto"/>
    </w:pPr>
    <w:rPr>
      <w:rFonts w:ascii="Times New Roman"/>
    </w:rPr>
  </w:style>
  <w:style w:type="paragraph" w:styleId="729">
    <w:name w:val="Header"/>
    <w:basedOn w:val="703"/>
    <w:link w:val="824"/>
    <w:uiPriority w:val="99"/>
    <w:unhideWhenUsed/>
    <w:qFormat/>
    <w:pPr>
      <w:tabs>
        <w:tab w:val="center" w:pos="7143" w:leader="none"/>
        <w:tab w:val="right" w:pos="14287" w:leader="none"/>
      </w:tabs>
    </w:pPr>
  </w:style>
  <w:style w:type="paragraph" w:styleId="730">
    <w:name w:val="toc 1"/>
    <w:basedOn w:val="703"/>
    <w:next w:val="703"/>
    <w:uiPriority w:val="39"/>
    <w:unhideWhenUsed/>
    <w:qFormat/>
    <w:pPr>
      <w:spacing w:after="57"/>
    </w:pPr>
  </w:style>
  <w:style w:type="paragraph" w:styleId="731">
    <w:name w:val="toc 4"/>
    <w:basedOn w:val="703"/>
    <w:next w:val="703"/>
    <w:uiPriority w:val="39"/>
    <w:unhideWhenUsed/>
    <w:qFormat/>
    <w:pPr>
      <w:ind w:left="850"/>
      <w:spacing w:after="57"/>
    </w:pPr>
  </w:style>
  <w:style w:type="paragraph" w:styleId="732">
    <w:name w:val="Subtitle"/>
    <w:basedOn w:val="703"/>
    <w:next w:val="703"/>
    <w:link w:val="819"/>
    <w:uiPriority w:val="11"/>
    <w:qFormat/>
    <w:pPr>
      <w:spacing w:before="200" w:after="200"/>
    </w:pPr>
    <w:rPr>
      <w:sz w:val="24"/>
    </w:rPr>
  </w:style>
  <w:style w:type="paragraph" w:styleId="733">
    <w:name w:val="footnote text"/>
    <w:basedOn w:val="703"/>
    <w:link w:val="952"/>
    <w:uiPriority w:val="99"/>
    <w:semiHidden/>
    <w:unhideWhenUsed/>
    <w:qFormat/>
    <w:pPr>
      <w:spacing w:after="40"/>
    </w:pPr>
    <w:rPr>
      <w:sz w:val="18"/>
    </w:rPr>
  </w:style>
  <w:style w:type="paragraph" w:styleId="734">
    <w:name w:val="table of figures"/>
    <w:basedOn w:val="703"/>
    <w:next w:val="703"/>
    <w:uiPriority w:val="99"/>
    <w:unhideWhenUsed/>
    <w:qFormat/>
  </w:style>
  <w:style w:type="paragraph" w:styleId="735">
    <w:name w:val="toc 2"/>
    <w:basedOn w:val="703"/>
    <w:next w:val="703"/>
    <w:uiPriority w:val="39"/>
    <w:unhideWhenUsed/>
    <w:qFormat/>
    <w:pPr>
      <w:ind w:left="283"/>
      <w:spacing w:after="57"/>
    </w:pPr>
  </w:style>
  <w:style w:type="paragraph" w:styleId="736">
    <w:name w:val="toc 9"/>
    <w:basedOn w:val="703"/>
    <w:next w:val="703"/>
    <w:uiPriority w:val="39"/>
    <w:unhideWhenUsed/>
    <w:qFormat/>
    <w:pPr>
      <w:ind w:left="2268"/>
      <w:spacing w:after="57"/>
    </w:pPr>
  </w:style>
  <w:style w:type="paragraph" w:styleId="737">
    <w:name w:val="Normal (Web)"/>
    <w:basedOn w:val="703"/>
    <w:uiPriority w:val="99"/>
    <w:semiHidden/>
    <w:unhideWhenUsed/>
    <w:qFormat/>
    <w:rPr>
      <w:sz w:val="24"/>
    </w:rPr>
  </w:style>
  <w:style w:type="paragraph" w:styleId="738">
    <w:name w:val="Title"/>
    <w:basedOn w:val="703"/>
    <w:next w:val="703"/>
    <w:link w:val="818"/>
    <w:uiPriority w:val="10"/>
    <w:qFormat/>
    <w:pPr>
      <w:contextualSpacing/>
      <w:spacing w:before="300" w:after="200"/>
    </w:pPr>
    <w:rPr>
      <w:sz w:val="48"/>
      <w:szCs w:val="48"/>
    </w:rPr>
  </w:style>
  <w:style w:type="character" w:styleId="739">
    <w:name w:val="endnote reference"/>
    <w:uiPriority w:val="99"/>
    <w:semiHidden/>
    <w:unhideWhenUsed/>
    <w:qFormat/>
    <w:rPr>
      <w:vertAlign w:val="superscript"/>
    </w:rPr>
  </w:style>
  <w:style w:type="character" w:styleId="740">
    <w:name w:val="FollowedHyperlink"/>
    <w:basedOn w:val="713"/>
    <w:uiPriority w:val="99"/>
    <w:semiHidden/>
    <w:unhideWhenUsed/>
    <w:qFormat/>
    <w:rPr>
      <w:color w:val="333333"/>
      <w:u w:val="none"/>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4" w:customStyle="1">
    <w:name w:val="style4"/>
    <w:basedOn w:val="745"/>
    <w:next w:val="746"/>
    <w:uiPriority w:val="0"/>
    <w:qFormat/>
    <w:pPr>
      <w:spacing w:before="280" w:after="280"/>
      <w:widowControl/>
    </w:pPr>
    <w:rPr>
      <w:rFonts w:ascii="宋体"/>
      <w:sz w:val="18"/>
    </w:rPr>
  </w:style>
  <w:style w:type="paragraph" w:styleId="745" w:customStyle="1">
    <w:name w:val="正文_0"/>
    <w:next w:val="717"/>
    <w:uiPriority w:val="0"/>
    <w:qFormat/>
    <w:pPr>
      <w:jc w:val="both"/>
      <w:widowControl w:val="off"/>
    </w:pPr>
    <w:rPr>
      <w:rFonts w:hint="default" w:ascii="Calibri" w:hAnsi="Calibri" w:eastAsia="宋体" w:cs="Times New Roman"/>
      <w:sz w:val="21"/>
      <w:szCs w:val="24"/>
    </w:rPr>
  </w:style>
  <w:style w:type="paragraph" w:styleId="746" w:customStyle="1">
    <w:name w:val="2"/>
    <w:next w:val="703"/>
    <w:uiPriority w:val="0"/>
    <w:qFormat/>
    <w:pPr>
      <w:jc w:val="both"/>
      <w:widowControl w:val="off"/>
    </w:pPr>
    <w:rPr>
      <w:rFonts w:hint="default" w:ascii="Times New Roman" w:hAnsi="Times New Roman" w:eastAsia="宋体" w:cs="Times New Roman"/>
      <w:sz w:val="21"/>
      <w:szCs w:val="22"/>
    </w:rPr>
  </w:style>
  <w:style w:type="character" w:styleId="747" w:customStyle="1">
    <w:name w:val="Heading 2 Char"/>
    <w:basedOn w:val="713"/>
    <w:uiPriority w:val="9"/>
    <w:qFormat/>
    <w:rPr>
      <w:rFonts w:ascii="Arial" w:hAnsi="Arial" w:eastAsia="Arial" w:cs="Arial"/>
      <w:sz w:val="34"/>
    </w:rPr>
  </w:style>
  <w:style w:type="character" w:styleId="748" w:customStyle="1">
    <w:name w:val="Heading 3 Char"/>
    <w:basedOn w:val="713"/>
    <w:uiPriority w:val="9"/>
    <w:qFormat/>
    <w:rPr>
      <w:rFonts w:ascii="Arial" w:hAnsi="Arial" w:eastAsia="Arial" w:cs="Arial"/>
      <w:sz w:val="30"/>
      <w:szCs w:val="30"/>
    </w:rPr>
  </w:style>
  <w:style w:type="character" w:styleId="749" w:customStyle="1">
    <w:name w:val="Heading 4 Char"/>
    <w:basedOn w:val="713"/>
    <w:uiPriority w:val="9"/>
    <w:qFormat/>
    <w:rPr>
      <w:rFonts w:ascii="Arial" w:hAnsi="Arial" w:eastAsia="Arial" w:cs="Arial"/>
      <w:b/>
      <w:bCs/>
      <w:sz w:val="26"/>
      <w:szCs w:val="26"/>
    </w:rPr>
  </w:style>
  <w:style w:type="character" w:styleId="750" w:customStyle="1">
    <w:name w:val="Heading 5 Char"/>
    <w:basedOn w:val="713"/>
    <w:uiPriority w:val="9"/>
    <w:qFormat/>
    <w:rPr>
      <w:rFonts w:ascii="Arial" w:hAnsi="Arial" w:eastAsia="Arial" w:cs="Arial"/>
      <w:b/>
      <w:bCs/>
      <w:sz w:val="24"/>
      <w:szCs w:val="24"/>
    </w:rPr>
  </w:style>
  <w:style w:type="character" w:styleId="751" w:customStyle="1">
    <w:name w:val="Heading 6 Char"/>
    <w:basedOn w:val="713"/>
    <w:uiPriority w:val="9"/>
    <w:qFormat/>
    <w:rPr>
      <w:rFonts w:ascii="Arial" w:hAnsi="Arial" w:eastAsia="Arial" w:cs="Arial"/>
      <w:b/>
      <w:bCs/>
      <w:sz w:val="22"/>
      <w:szCs w:val="22"/>
    </w:rPr>
  </w:style>
  <w:style w:type="character" w:styleId="752" w:customStyle="1">
    <w:name w:val="Heading 7 Char"/>
    <w:basedOn w:val="713"/>
    <w:uiPriority w:val="9"/>
    <w:qFormat/>
    <w:rPr>
      <w:rFonts w:ascii="Arial" w:hAnsi="Arial" w:eastAsia="Arial" w:cs="Arial"/>
      <w:b/>
      <w:bCs/>
      <w:i/>
      <w:iCs/>
      <w:sz w:val="22"/>
      <w:szCs w:val="22"/>
    </w:rPr>
  </w:style>
  <w:style w:type="character" w:styleId="753" w:customStyle="1">
    <w:name w:val="Heading 8 Char"/>
    <w:basedOn w:val="713"/>
    <w:uiPriority w:val="9"/>
    <w:qFormat/>
    <w:rPr>
      <w:rFonts w:ascii="Arial" w:hAnsi="Arial" w:eastAsia="Arial" w:cs="Arial"/>
      <w:i/>
      <w:iCs/>
      <w:sz w:val="22"/>
      <w:szCs w:val="22"/>
    </w:rPr>
  </w:style>
  <w:style w:type="character" w:styleId="754" w:customStyle="1">
    <w:name w:val="Heading 9 Char"/>
    <w:basedOn w:val="713"/>
    <w:uiPriority w:val="9"/>
    <w:qFormat/>
    <w:rPr>
      <w:rFonts w:ascii="Arial" w:hAnsi="Arial" w:eastAsia="Arial" w:cs="Arial"/>
      <w:i/>
      <w:iCs/>
      <w:sz w:val="21"/>
      <w:szCs w:val="21"/>
    </w:rPr>
  </w:style>
  <w:style w:type="character" w:styleId="755" w:customStyle="1">
    <w:name w:val="Title Char"/>
    <w:basedOn w:val="713"/>
    <w:uiPriority w:val="10"/>
    <w:qFormat/>
    <w:rPr>
      <w:sz w:val="48"/>
      <w:szCs w:val="48"/>
    </w:rPr>
  </w:style>
  <w:style w:type="character" w:styleId="756" w:customStyle="1">
    <w:name w:val="Subtitle Char"/>
    <w:basedOn w:val="713"/>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713"/>
    <w:uiPriority w:val="99"/>
    <w:qFormat/>
  </w:style>
  <w:style w:type="character" w:styleId="760" w:customStyle="1">
    <w:name w:val="Caption Char"/>
    <w:uiPriority w:val="99"/>
    <w:qFormat/>
  </w:style>
  <w:style w:type="table" w:styleId="761"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14"/>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Heading"/>
    <w:uiPriority w:val="39"/>
    <w:unhideWhenUsed/>
    <w:qFormat/>
    <w:rPr>
      <w:rFonts w:hint="default" w:ascii="Times New Roman" w:hAnsi="Times New Roman" w:eastAsia="宋体" w:cs="Times New Roman"/>
    </w:rPr>
  </w:style>
  <w:style w:type="paragraph" w:styleId="783" w:customStyle="1">
    <w:name w:val="段"/>
    <w:basedOn w:val="784"/>
    <w:next w:val="784"/>
    <w:uiPriority w:val="99"/>
    <w:qFormat/>
    <w:pPr>
      <w:ind w:firstLine="200"/>
      <w:widowControl/>
    </w:pPr>
    <w:rPr>
      <w:rFonts w:ascii="宋体"/>
      <w:sz w:val="20"/>
      <w:szCs w:val="20"/>
    </w:rPr>
  </w:style>
  <w:style w:type="paragraph" w:styleId="784" w:customStyle="1">
    <w:name w:val="正文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正文首行缩进11"/>
    <w:basedOn w:val="786"/>
    <w:next w:val="791"/>
    <w:uiPriority w:val="0"/>
    <w:qFormat/>
    <w:pPr>
      <w:ind w:firstLine="200"/>
      <w:spacing w:line="360" w:lineRule="auto"/>
      <w:tabs>
        <w:tab w:val="left" w:pos="420" w:leader="none"/>
      </w:tabs>
    </w:pPr>
    <w:rPr>
      <w:rFonts w:ascii="仿宋_GB2312" w:hAnsi="Calibri" w:eastAsia="仿宋_GB2312"/>
      <w:sz w:val="30"/>
      <w:szCs w:val="30"/>
    </w:rPr>
  </w:style>
  <w:style w:type="paragraph" w:styleId="786" w:customStyle="1">
    <w:name w:val="正文文本1"/>
    <w:basedOn w:val="787"/>
    <w:next w:val="793"/>
    <w:uiPriority w:val="0"/>
    <w:qFormat/>
    <w:pPr>
      <w:tabs>
        <w:tab w:val="left" w:pos="420" w:leader="none"/>
      </w:tabs>
    </w:pPr>
    <w:rPr>
      <w:rFonts w:eastAsia="黑体"/>
      <w:bCs/>
      <w:spacing w:val="20"/>
      <w:sz w:val="56"/>
    </w:rPr>
  </w:style>
  <w:style w:type="paragraph" w:styleId="787" w:customStyle="1">
    <w:name w:val="正文13"/>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正文首行缩进1"/>
    <w:basedOn w:val="789"/>
    <w:next w:val="791"/>
    <w:uiPriority w:val="0"/>
    <w:qFormat/>
    <w:pPr>
      <w:ind w:firstLine="100"/>
      <w:tabs>
        <w:tab w:val="left" w:pos="180" w:leader="none"/>
      </w:tabs>
    </w:pPr>
  </w:style>
  <w:style w:type="paragraph" w:styleId="789" w:customStyle="1">
    <w:name w:val="正文文本11"/>
    <w:basedOn w:val="790"/>
    <w:next w:val="784"/>
    <w:uiPriority w:val="0"/>
    <w:qFormat/>
    <w:pPr>
      <w:spacing w:after="120"/>
    </w:pPr>
  </w:style>
  <w:style w:type="paragraph" w:styleId="790" w:customStyle="1">
    <w:name w:val="正文112"/>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customStyle="1">
    <w:name w:val="正文首行缩进 211"/>
    <w:basedOn w:val="792"/>
    <w:uiPriority w:val="0"/>
    <w:qFormat/>
    <w:pPr>
      <w:ind w:left="0" w:firstLine="420"/>
      <w:spacing w:after="0"/>
    </w:pPr>
    <w:rPr>
      <w:sz w:val="24"/>
    </w:rPr>
  </w:style>
  <w:style w:type="paragraph" w:styleId="792" w:customStyle="1">
    <w:name w:val="正文文本缩进11"/>
    <w:basedOn w:val="790"/>
    <w:next w:val="790"/>
    <w:uiPriority w:val="0"/>
    <w:qFormat/>
    <w:pPr>
      <w:ind w:left="420"/>
      <w:spacing w:after="120"/>
    </w:pPr>
  </w:style>
  <w:style w:type="paragraph" w:styleId="793" w:customStyle="1">
    <w:name w:val="一级条标题"/>
    <w:basedOn w:val="794"/>
    <w:next w:val="783"/>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94" w:customStyle="1">
    <w:name w:val="章标题"/>
    <w:next w:val="703"/>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795" w:customStyle="1">
    <w:name w:val="正文1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正文首行缩进 21"/>
    <w:basedOn w:val="797"/>
    <w:next w:val="795"/>
    <w:uiPriority w:val="0"/>
    <w:qFormat/>
    <w:pPr>
      <w:ind w:left="0" w:firstLine="420"/>
      <w:spacing w:after="0" w:line="360" w:lineRule="auto"/>
    </w:pPr>
    <w:rPr>
      <w:rFonts w:ascii="宋体" w:hAnsi="宋体"/>
      <w:sz w:val="20"/>
      <w:szCs w:val="20"/>
    </w:rPr>
  </w:style>
  <w:style w:type="paragraph" w:styleId="797" w:customStyle="1">
    <w:name w:val="正文文本缩进1"/>
    <w:basedOn w:val="784"/>
    <w:next w:val="798"/>
    <w:uiPriority w:val="0"/>
    <w:qFormat/>
    <w:pPr>
      <w:ind w:left="420"/>
      <w:spacing w:after="120"/>
    </w:pPr>
  </w:style>
  <w:style w:type="paragraph" w:styleId="798" w:customStyle="1">
    <w:name w:val="寄信人地址1"/>
    <w:basedOn w:val="703"/>
    <w:uiPriority w:val="99"/>
    <w:unhideWhenUsed/>
    <w:qFormat/>
    <w:rPr>
      <w:rFonts w:ascii="Arial" w:hAnsi="Arial"/>
    </w:rPr>
  </w:style>
  <w:style w:type="paragraph" w:styleId="799" w:customStyle="1">
    <w:name w:val="正文1"/>
    <w:basedOn w:val="703"/>
    <w:next w:val="800"/>
    <w:uiPriority w:val="0"/>
    <w:qFormat/>
    <w:pPr>
      <w:ind w:firstLine="432"/>
      <w:spacing w:line="360" w:lineRule="auto"/>
      <w:tabs>
        <w:tab w:val="left" w:pos="420" w:leader="none"/>
      </w:tabs>
    </w:pPr>
    <w:rPr>
      <w:rFonts w:ascii="宋体" w:hAnsi="宋体"/>
      <w:b/>
      <w:sz w:val="24"/>
    </w:rPr>
  </w:style>
  <w:style w:type="paragraph" w:styleId="800" w:customStyle="1">
    <w:name w:val="标题 21"/>
    <w:basedOn w:val="703"/>
    <w:next w:val="784"/>
    <w:link w:val="961"/>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01" w:customStyle="1">
    <w:name w:val="正文12"/>
    <w:next w:val="8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列出段落1"/>
    <w:basedOn w:val="803"/>
    <w:next w:val="804"/>
    <w:uiPriority w:val="0"/>
    <w:qFormat/>
    <w:pPr>
      <w:ind w:left="480"/>
      <w:jc w:val="left"/>
    </w:pPr>
    <w:rPr>
      <w:rFonts w:eastAsia="PMingLiU"/>
      <w:sz w:val="24"/>
      <w:szCs w:val="20"/>
      <w:lang w:eastAsia="zh-TW"/>
    </w:rPr>
  </w:style>
  <w:style w:type="paragraph" w:styleId="803"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customStyle="1">
    <w:name w:val="标题 71"/>
    <w:basedOn w:val="790"/>
    <w:next w:val="790"/>
    <w:uiPriority w:val="0"/>
    <w:qFormat/>
    <w:pPr>
      <w:numPr>
        <w:ilvl w:val="6"/>
        <w:numId w:val="1"/>
      </w:numPr>
      <w:keepLines/>
      <w:keepNext/>
      <w:spacing w:before="240" w:after="64" w:line="320" w:lineRule="auto"/>
      <w:outlineLvl w:val="6"/>
    </w:pPr>
    <w:rPr>
      <w:b/>
      <w:bCs/>
      <w:sz w:val="24"/>
    </w:rPr>
  </w:style>
  <w:style w:type="paragraph" w:styleId="805" w:customStyle="1">
    <w:name w:val="寄信人地址11"/>
    <w:basedOn w:val="703"/>
    <w:uiPriority w:val="99"/>
    <w:unhideWhenUsed/>
    <w:qFormat/>
    <w:rPr>
      <w:rFonts w:ascii="Arial" w:hAnsi="Arial"/>
    </w:rPr>
  </w:style>
  <w:style w:type="paragraph" w:styleId="806" w:customStyle="1">
    <w:name w:val="正文缩进1"/>
    <w:basedOn w:val="703"/>
    <w:next w:val="784"/>
    <w:uiPriority w:val="99"/>
    <w:unhideWhenUsed/>
    <w:qFormat/>
    <w:pPr>
      <w:ind w:firstLine="420"/>
    </w:pPr>
  </w:style>
  <w:style w:type="character" w:styleId="807" w:customStyle="1">
    <w:name w:val="Heading 1 Char"/>
    <w:uiPriority w:val="9"/>
    <w:qFormat/>
    <w:rPr>
      <w:rFonts w:ascii="Arial" w:hAnsi="Arial" w:eastAsia="Arial" w:cs="Arial"/>
      <w:sz w:val="40"/>
      <w:szCs w:val="40"/>
    </w:rPr>
  </w:style>
  <w:style w:type="character" w:styleId="808" w:customStyle="1">
    <w:name w:val="标题 2 字符"/>
    <w:link w:val="705"/>
    <w:uiPriority w:val="9"/>
    <w:qFormat/>
    <w:rPr>
      <w:rFonts w:ascii="Arial" w:hAnsi="Arial" w:eastAsia="Arial" w:cs="Arial"/>
      <w:sz w:val="34"/>
    </w:rPr>
  </w:style>
  <w:style w:type="character" w:styleId="809" w:customStyle="1">
    <w:name w:val="标题 3 字符"/>
    <w:link w:val="706"/>
    <w:uiPriority w:val="9"/>
    <w:qFormat/>
    <w:rPr>
      <w:rFonts w:ascii="Arial" w:hAnsi="Arial" w:eastAsia="Arial" w:cs="Arial"/>
      <w:sz w:val="30"/>
      <w:szCs w:val="30"/>
    </w:rPr>
  </w:style>
  <w:style w:type="character" w:styleId="810" w:customStyle="1">
    <w:name w:val="标题 4 字符"/>
    <w:link w:val="707"/>
    <w:uiPriority w:val="9"/>
    <w:qFormat/>
    <w:rPr>
      <w:rFonts w:ascii="Arial" w:hAnsi="Arial" w:eastAsia="Arial" w:cs="Arial"/>
      <w:b/>
      <w:bCs/>
      <w:sz w:val="26"/>
      <w:szCs w:val="26"/>
    </w:rPr>
  </w:style>
  <w:style w:type="character" w:styleId="811" w:customStyle="1">
    <w:name w:val="标题 5 字符"/>
    <w:link w:val="708"/>
    <w:uiPriority w:val="9"/>
    <w:qFormat/>
    <w:rPr>
      <w:rFonts w:ascii="Arial" w:hAnsi="Arial" w:eastAsia="Arial" w:cs="Arial"/>
      <w:b/>
      <w:bCs/>
      <w:sz w:val="24"/>
      <w:szCs w:val="24"/>
    </w:rPr>
  </w:style>
  <w:style w:type="character" w:styleId="812" w:customStyle="1">
    <w:name w:val="标题 6 字符"/>
    <w:link w:val="709"/>
    <w:uiPriority w:val="9"/>
    <w:qFormat/>
    <w:rPr>
      <w:rFonts w:ascii="Arial" w:hAnsi="Arial" w:eastAsia="Arial" w:cs="Arial"/>
      <w:b/>
      <w:bCs/>
      <w:sz w:val="22"/>
      <w:szCs w:val="22"/>
    </w:rPr>
  </w:style>
  <w:style w:type="character" w:styleId="813" w:customStyle="1">
    <w:name w:val="标题 7 字符"/>
    <w:link w:val="710"/>
    <w:uiPriority w:val="9"/>
    <w:qFormat/>
    <w:rPr>
      <w:rFonts w:ascii="Arial" w:hAnsi="Arial" w:eastAsia="Arial" w:cs="Arial"/>
      <w:b/>
      <w:bCs/>
      <w:i/>
      <w:iCs/>
      <w:sz w:val="22"/>
      <w:szCs w:val="22"/>
    </w:rPr>
  </w:style>
  <w:style w:type="character" w:styleId="814" w:customStyle="1">
    <w:name w:val="标题 8 字符"/>
    <w:link w:val="711"/>
    <w:uiPriority w:val="9"/>
    <w:qFormat/>
    <w:rPr>
      <w:rFonts w:ascii="Arial" w:hAnsi="Arial" w:eastAsia="Arial" w:cs="Arial"/>
      <w:i/>
      <w:iCs/>
      <w:sz w:val="22"/>
      <w:szCs w:val="22"/>
    </w:rPr>
  </w:style>
  <w:style w:type="character" w:styleId="815" w:customStyle="1">
    <w:name w:val="标题 9 字符"/>
    <w:link w:val="712"/>
    <w:uiPriority w:val="9"/>
    <w:qFormat/>
    <w:rPr>
      <w:rFonts w:ascii="Arial" w:hAnsi="Arial" w:eastAsia="Arial" w:cs="Arial"/>
      <w:i/>
      <w:iCs/>
      <w:sz w:val="21"/>
      <w:szCs w:val="21"/>
    </w:rPr>
  </w:style>
  <w:style w:type="paragraph" w:styleId="816">
    <w:name w:val="List Paragraph"/>
    <w:basedOn w:val="703"/>
    <w:uiPriority w:val="34"/>
    <w:qFormat/>
    <w:pPr>
      <w:contextualSpacing/>
      <w:ind w:left="720"/>
    </w:pPr>
  </w:style>
  <w:style w:type="paragraph" w:styleId="817">
    <w:name w:val="No Spacing"/>
    <w:uiPriority w:val="1"/>
    <w:qFormat/>
    <w:rPr>
      <w:rFonts w:hint="default" w:ascii="Times New Roman" w:hAnsi="Times New Roman" w:eastAsia="宋体" w:cs="Times New Roman"/>
      <w:lang w:val="en-US" w:eastAsia="zh-CN" w:bidi="ar-SA"/>
    </w:rPr>
  </w:style>
  <w:style w:type="character" w:styleId="818" w:customStyle="1">
    <w:name w:val="标题 字符"/>
    <w:link w:val="738"/>
    <w:uiPriority w:val="10"/>
    <w:qFormat/>
    <w:rPr>
      <w:sz w:val="48"/>
      <w:szCs w:val="48"/>
    </w:rPr>
  </w:style>
  <w:style w:type="character" w:styleId="819" w:customStyle="1">
    <w:name w:val="副标题 字符"/>
    <w:link w:val="732"/>
    <w:uiPriority w:val="11"/>
    <w:qFormat/>
    <w:rPr>
      <w:sz w:val="24"/>
      <w:szCs w:val="24"/>
    </w:rPr>
  </w:style>
  <w:style w:type="paragraph" w:styleId="820">
    <w:name w:val="Quote"/>
    <w:basedOn w:val="703"/>
    <w:next w:val="703"/>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03"/>
    <w:next w:val="703"/>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页眉 字符"/>
    <w:link w:val="729"/>
    <w:uiPriority w:val="99"/>
    <w:qFormat/>
  </w:style>
  <w:style w:type="character" w:styleId="825" w:customStyle="1">
    <w:name w:val="Footer Char"/>
    <w:uiPriority w:val="99"/>
    <w:qFormat/>
  </w:style>
  <w:style w:type="character" w:styleId="826" w:customStyle="1">
    <w:name w:val="页脚 字符"/>
    <w:link w:val="727"/>
    <w:uiPriority w:val="99"/>
    <w:qFormat/>
  </w:style>
  <w:style w:type="table" w:styleId="8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字符"/>
    <w:link w:val="733"/>
    <w:uiPriority w:val="99"/>
    <w:qFormat/>
    <w:rPr>
      <w:sz w:val="18"/>
    </w:rPr>
  </w:style>
  <w:style w:type="character" w:styleId="953" w:customStyle="1">
    <w:name w:val="尾注文本 字符"/>
    <w:link w:val="726"/>
    <w:uiPriority w:val="99"/>
    <w:qFormat/>
    <w:rPr>
      <w:sz w:val="20"/>
    </w:rPr>
  </w:style>
  <w:style w:type="paragraph" w:styleId="954" w:customStyle="1">
    <w:name w:val="TOC 标题1"/>
    <w:uiPriority w:val="39"/>
    <w:unhideWhenUsed/>
    <w:qFormat/>
    <w:rPr>
      <w:rFonts w:hint="default" w:ascii="Times New Roman" w:hAnsi="Times New Roman" w:eastAsia="宋体" w:cs="Times New Roman"/>
      <w:lang w:val="en-US" w:eastAsia="zh-CN" w:bidi="ar-SA"/>
    </w:rPr>
  </w:style>
  <w:style w:type="paragraph" w:styleId="955" w:customStyle="1">
    <w:name w:val="标题 11"/>
    <w:basedOn w:val="703"/>
    <w:next w:val="703"/>
    <w:link w:val="960"/>
    <w:uiPriority w:val="0"/>
    <w:qFormat/>
    <w:pPr>
      <w:keepLines/>
      <w:keepNext/>
      <w:spacing w:before="340" w:after="330" w:line="576" w:lineRule="auto"/>
      <w:outlineLvl w:val="0"/>
    </w:pPr>
    <w:rPr>
      <w:b/>
      <w:sz w:val="44"/>
      <w:szCs w:val="20"/>
    </w:rPr>
  </w:style>
  <w:style w:type="paragraph" w:styleId="956" w:customStyle="1">
    <w:name w:val="标题 31"/>
    <w:basedOn w:val="703"/>
    <w:next w:val="703"/>
    <w:uiPriority w:val="1"/>
    <w:qFormat/>
    <w:pPr>
      <w:ind w:left="50" w:right="31"/>
      <w:jc w:val="center"/>
      <w:spacing w:before="39"/>
      <w:outlineLvl w:val="2"/>
    </w:pPr>
    <w:rPr>
      <w:sz w:val="30"/>
      <w:szCs w:val="30"/>
    </w:rPr>
  </w:style>
  <w:style w:type="paragraph" w:styleId="957" w:customStyle="1">
    <w:name w:val="标题 411"/>
    <w:basedOn w:val="703"/>
    <w:next w:val="703"/>
    <w:uiPriority w:val="0"/>
    <w:qFormat/>
    <w:pPr>
      <w:keepLines/>
      <w:keepNext/>
      <w:spacing w:before="280" w:after="290" w:line="376" w:lineRule="auto"/>
      <w:outlineLvl w:val="3"/>
    </w:pPr>
    <w:rPr>
      <w:rFonts w:ascii="Cambria" w:hAnsi="Cambria"/>
      <w:b/>
      <w:bCs/>
      <w:sz w:val="28"/>
      <w:szCs w:val="28"/>
    </w:rPr>
  </w:style>
  <w:style w:type="character" w:styleId="958" w:customStyle="1">
    <w:name w:val="默认段落字体1"/>
    <w:uiPriority w:val="0"/>
    <w:qFormat/>
    <w:rPr>
      <w:rFonts w:ascii="Times New Roman" w:hAnsi="Times New Roman" w:eastAsia="宋体" w:cs="Times New Roman"/>
    </w:rPr>
  </w:style>
  <w:style w:type="table" w:styleId="959" w:customStyle="1">
    <w:name w:val="普通表格1"/>
    <w:uiPriority w:val="0"/>
    <w:qFormat/>
    <w:tblPr>
      <w:tblLayout w:type="fixed"/>
      <w:tblCellMar>
        <w:left w:w="0" w:type="dxa"/>
        <w:top w:w="0" w:type="dxa"/>
        <w:right w:w="0" w:type="dxa"/>
        <w:bottom w:w="0" w:type="dxa"/>
      </w:tblCellMar>
    </w:tblPr>
  </w:style>
  <w:style w:type="character" w:styleId="960" w:customStyle="1">
    <w:name w:val="标题 1 Char"/>
    <w:link w:val="955"/>
    <w:uiPriority w:val="0"/>
    <w:qFormat/>
    <w:rPr>
      <w:b/>
      <w:sz w:val="44"/>
    </w:rPr>
  </w:style>
  <w:style w:type="character" w:styleId="961" w:customStyle="1">
    <w:name w:val="标题 2 Char"/>
    <w:link w:val="800"/>
    <w:uiPriority w:val="0"/>
    <w:qFormat/>
    <w:rPr>
      <w:rFonts w:ascii="Cambria" w:hAnsi="Cambria" w:eastAsia="宋体" w:cs="Times New Roman"/>
      <w:b/>
      <w:bCs/>
      <w:sz w:val="28"/>
      <w:szCs w:val="32"/>
    </w:rPr>
  </w:style>
  <w:style w:type="paragraph" w:styleId="962" w:customStyle="1">
    <w:name w:val="索引 51"/>
    <w:basedOn w:val="703"/>
    <w:next w:val="703"/>
    <w:uiPriority w:val="0"/>
    <w:qFormat/>
    <w:pPr>
      <w:ind w:left="798"/>
      <w:jc w:val="left"/>
    </w:pPr>
    <w:rPr>
      <w:rFonts w:ascii="Calibri" w:hAnsi="Calibri"/>
    </w:rPr>
  </w:style>
  <w:style w:type="paragraph" w:styleId="963" w:customStyle="1">
    <w:name w:val="批注文字1"/>
    <w:basedOn w:val="703"/>
    <w:link w:val="964"/>
    <w:uiPriority w:val="0"/>
    <w:qFormat/>
    <w:pPr>
      <w:jc w:val="left"/>
    </w:pPr>
  </w:style>
  <w:style w:type="character" w:styleId="964" w:customStyle="1">
    <w:name w:val="批注文字 Char"/>
    <w:link w:val="963"/>
    <w:uiPriority w:val="0"/>
    <w:qFormat/>
    <w:rPr>
      <w:rFonts w:ascii="Times New Roman" w:hAnsi="Times New Roman" w:eastAsia="宋体" w:cs="Times New Roman"/>
      <w:sz w:val="21"/>
      <w:szCs w:val="24"/>
    </w:rPr>
  </w:style>
  <w:style w:type="paragraph" w:styleId="965" w:customStyle="1">
    <w:name w:val="列表 21"/>
    <w:basedOn w:val="703"/>
    <w:uiPriority w:val="0"/>
    <w:qFormat/>
    <w:pPr>
      <w:ind w:left="100" w:hanging="200"/>
    </w:pPr>
  </w:style>
  <w:style w:type="paragraph" w:styleId="966" w:customStyle="1">
    <w:name w:val="文本块1"/>
    <w:basedOn w:val="703"/>
    <w:next w:val="703"/>
    <w:uiPriority w:val="0"/>
    <w:qFormat/>
    <w:pPr>
      <w:ind w:left="256" w:right="6" w:firstLine="624"/>
    </w:pPr>
    <w:rPr>
      <w:rFonts w:eastAsia="仿宋_GB2312"/>
      <w:sz w:val="28"/>
      <w:szCs w:val="20"/>
    </w:rPr>
  </w:style>
  <w:style w:type="paragraph" w:styleId="967" w:customStyle="1">
    <w:name w:val="纯文本1"/>
    <w:basedOn w:val="703"/>
    <w:link w:val="968"/>
    <w:uiPriority w:val="0"/>
    <w:qFormat/>
    <w:rPr>
      <w:rFonts w:ascii="宋体" w:hAnsi="Courier New"/>
      <w:szCs w:val="21"/>
    </w:rPr>
  </w:style>
  <w:style w:type="character" w:styleId="968" w:customStyle="1">
    <w:name w:val="纯文本 Char"/>
    <w:link w:val="967"/>
    <w:uiPriority w:val="0"/>
    <w:qFormat/>
    <w:rPr>
      <w:rFonts w:ascii="宋体" w:hAnsi="Courier New" w:eastAsia="宋体" w:cs="Times New Roman"/>
      <w:sz w:val="21"/>
      <w:szCs w:val="21"/>
      <w:lang w:bidi="ar-SA"/>
    </w:rPr>
  </w:style>
  <w:style w:type="paragraph" w:styleId="969" w:customStyle="1">
    <w:name w:val="正文文本缩进 21"/>
    <w:basedOn w:val="703"/>
    <w:uiPriority w:val="99"/>
    <w:qFormat/>
    <w:pPr>
      <w:ind w:left="630" w:firstLine="645"/>
    </w:pPr>
    <w:rPr>
      <w:rFonts w:ascii="Arial" w:hAnsi="Arial" w:eastAsia="仿宋_GB2312" w:cs="Arial"/>
      <w:sz w:val="32"/>
      <w:szCs w:val="32"/>
    </w:rPr>
  </w:style>
  <w:style w:type="paragraph" w:styleId="970" w:customStyle="1">
    <w:name w:val="批注框文本1"/>
    <w:basedOn w:val="703"/>
    <w:link w:val="971"/>
    <w:uiPriority w:val="0"/>
    <w:qFormat/>
    <w:rPr>
      <w:sz w:val="18"/>
      <w:szCs w:val="18"/>
    </w:rPr>
  </w:style>
  <w:style w:type="character" w:styleId="971" w:customStyle="1">
    <w:name w:val="批注框文本 Char"/>
    <w:link w:val="970"/>
    <w:uiPriority w:val="0"/>
    <w:qFormat/>
    <w:rPr>
      <w:rFonts w:ascii="Times New Roman" w:hAnsi="Times New Roman" w:eastAsia="宋体" w:cs="Times New Roman"/>
      <w:sz w:val="18"/>
      <w:szCs w:val="18"/>
    </w:rPr>
  </w:style>
  <w:style w:type="paragraph" w:styleId="972" w:customStyle="1">
    <w:name w:val="页脚1"/>
    <w:basedOn w:val="703"/>
    <w:link w:val="973"/>
    <w:uiPriority w:val="99"/>
    <w:qFormat/>
    <w:pPr>
      <w:jc w:val="left"/>
      <w:tabs>
        <w:tab w:val="center" w:pos="4153" w:leader="none"/>
        <w:tab w:val="right" w:pos="8306" w:leader="none"/>
      </w:tabs>
    </w:pPr>
    <w:rPr>
      <w:sz w:val="18"/>
      <w:szCs w:val="18"/>
    </w:rPr>
  </w:style>
  <w:style w:type="character" w:styleId="973" w:customStyle="1">
    <w:name w:val="页脚 Char"/>
    <w:link w:val="972"/>
    <w:uiPriority w:val="99"/>
    <w:qFormat/>
    <w:rPr>
      <w:sz w:val="18"/>
      <w:szCs w:val="18"/>
    </w:rPr>
  </w:style>
  <w:style w:type="paragraph" w:styleId="974" w:customStyle="1">
    <w:name w:val="页眉1"/>
    <w:basedOn w:val="703"/>
    <w:link w:val="975"/>
    <w:uiPriority w:val="99"/>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Char"/>
    <w:link w:val="974"/>
    <w:uiPriority w:val="99"/>
    <w:qFormat/>
    <w:rPr>
      <w:sz w:val="18"/>
      <w:szCs w:val="18"/>
    </w:rPr>
  </w:style>
  <w:style w:type="paragraph" w:styleId="976" w:customStyle="1">
    <w:name w:val="脚注文本1"/>
    <w:basedOn w:val="703"/>
    <w:next w:val="962"/>
    <w:uiPriority w:val="0"/>
    <w:qFormat/>
    <w:pPr>
      <w:jc w:val="left"/>
    </w:pPr>
    <w:rPr>
      <w:rFonts w:ascii="宋体" w:eastAsia="Times New Roman"/>
      <w:sz w:val="18"/>
      <w:szCs w:val="18"/>
    </w:rPr>
  </w:style>
  <w:style w:type="paragraph" w:styleId="977" w:customStyle="1">
    <w:name w:val="普通(网站)1"/>
    <w:basedOn w:val="703"/>
    <w:uiPriority w:val="0"/>
    <w:qFormat/>
    <w:pPr>
      <w:jc w:val="left"/>
      <w:spacing w:before="100" w:beforeAutospacing="1" w:after="100" w:afterAutospacing="1"/>
      <w:widowControl/>
    </w:pPr>
    <w:rPr>
      <w:rFonts w:ascii="宋体" w:hAnsi="宋体" w:cs="宋体"/>
      <w:sz w:val="24"/>
    </w:rPr>
  </w:style>
  <w:style w:type="paragraph" w:styleId="978" w:customStyle="1">
    <w:name w:val="标题1"/>
    <w:basedOn w:val="703"/>
    <w:next w:val="703"/>
    <w:uiPriority w:val="10"/>
    <w:qFormat/>
    <w:pPr>
      <w:jc w:val="center"/>
      <w:spacing w:before="240" w:after="60"/>
      <w:outlineLvl w:val="0"/>
    </w:pPr>
    <w:rPr>
      <w:rFonts w:ascii="Cambria" w:hAnsi="Cambria"/>
      <w:b/>
      <w:bCs/>
      <w:sz w:val="32"/>
      <w:szCs w:val="32"/>
    </w:rPr>
  </w:style>
  <w:style w:type="paragraph" w:styleId="979" w:customStyle="1">
    <w:name w:val="批注主题1"/>
    <w:basedOn w:val="963"/>
    <w:next w:val="963"/>
    <w:link w:val="980"/>
    <w:uiPriority w:val="0"/>
    <w:qFormat/>
    <w:rPr>
      <w:b/>
      <w:bCs/>
    </w:rPr>
  </w:style>
  <w:style w:type="character" w:styleId="980" w:customStyle="1">
    <w:name w:val="批注主题 Char"/>
    <w:link w:val="979"/>
    <w:uiPriority w:val="0"/>
    <w:qFormat/>
    <w:rPr>
      <w:rFonts w:ascii="Times New Roman" w:hAnsi="Times New Roman" w:eastAsia="宋体" w:cs="Times New Roman"/>
      <w:b/>
      <w:bCs/>
      <w:sz w:val="21"/>
      <w:szCs w:val="24"/>
    </w:rPr>
  </w:style>
  <w:style w:type="table" w:styleId="981" w:customStyle="1">
    <w:name w:val="网格型1"/>
    <w:basedOn w:val="959"/>
    <w:uiPriority w:val="0"/>
    <w:qFormat/>
    <w:tblPr>
      <w:tblLayout w:type="fixed"/>
      <w:tblCellMar>
        <w:left w:w="0" w:type="dxa"/>
        <w:top w:w="0" w:type="dxa"/>
        <w:right w:w="0" w:type="dxa"/>
        <w:bottom w:w="0" w:type="dxa"/>
      </w:tblCellMar>
    </w:tblPr>
  </w:style>
  <w:style w:type="character" w:styleId="982" w:customStyle="1">
    <w:name w:val="页码1"/>
    <w:basedOn w:val="958"/>
    <w:uiPriority w:val="0"/>
    <w:qFormat/>
    <w:rPr>
      <w:rFonts w:ascii="Times New Roman" w:hAnsi="Times New Roman" w:eastAsia="宋体" w:cs="Times New Roman"/>
    </w:rPr>
  </w:style>
  <w:style w:type="character" w:styleId="983" w:customStyle="1">
    <w:name w:val="已访问的超链接1"/>
    <w:uiPriority w:val="0"/>
    <w:qFormat/>
    <w:rPr>
      <w:color w:val="771caa"/>
      <w:u w:val="none"/>
    </w:rPr>
  </w:style>
  <w:style w:type="character" w:styleId="984" w:customStyle="1">
    <w:name w:val="强调1"/>
    <w:uiPriority w:val="0"/>
    <w:qFormat/>
    <w:rPr>
      <w:color w:val="f73131"/>
    </w:rPr>
  </w:style>
  <w:style w:type="character" w:styleId="985" w:customStyle="1">
    <w:name w:val="超链接1"/>
    <w:uiPriority w:val="99"/>
    <w:unhideWhenUsed/>
    <w:qFormat/>
    <w:rPr>
      <w:color w:val="2440b3"/>
      <w:u w:val="none"/>
    </w:rPr>
  </w:style>
  <w:style w:type="character" w:styleId="986" w:customStyle="1">
    <w:name w:val="批注引用1"/>
    <w:uiPriority w:val="0"/>
    <w:qFormat/>
    <w:rPr>
      <w:rFonts w:ascii="Times New Roman" w:hAnsi="Times New Roman" w:eastAsia="宋体" w:cs="Times New Roman"/>
      <w:sz w:val="21"/>
      <w:szCs w:val="21"/>
    </w:rPr>
  </w:style>
  <w:style w:type="character" w:styleId="987" w:customStyle="1">
    <w:name w:val="HTML 引文1"/>
    <w:uiPriority w:val="0"/>
    <w:qFormat/>
    <w:rPr>
      <w:color w:val="008000"/>
    </w:rPr>
  </w:style>
  <w:style w:type="paragraph" w:styleId="988" w:customStyle="1">
    <w:name w:val="样式 正文文本缩进 + 首行缩进:  2 字符 行距: 1.5 倍行距"/>
    <w:basedOn w:val="797"/>
    <w:uiPriority w:val="0"/>
    <w:qFormat/>
    <w:pPr>
      <w:ind w:firstLine="645"/>
      <w:spacing w:before="156"/>
    </w:pPr>
    <w:rPr>
      <w:rFonts w:ascii="Calibri" w:hAnsi="Calibri" w:cs="宋体"/>
      <w:sz w:val="28"/>
    </w:rPr>
  </w:style>
  <w:style w:type="paragraph" w:styleId="989" w:customStyle="1">
    <w:name w:val="首行缩进"/>
    <w:basedOn w:val="703"/>
    <w:next w:val="703"/>
    <w:uiPriority w:val="0"/>
    <w:qFormat/>
    <w:pPr>
      <w:ind w:firstLine="480"/>
      <w:spacing w:line="360" w:lineRule="auto"/>
    </w:pPr>
    <w:rPr>
      <w:rFonts w:ascii="宋体" w:hAnsi="宋体" w:cs="宋体"/>
      <w:sz w:val="24"/>
    </w:rPr>
  </w:style>
  <w:style w:type="paragraph" w:styleId="990" w:customStyle="1">
    <w:name w:val="表格文字"/>
    <w:basedOn w:val="703"/>
    <w:next w:val="789"/>
    <w:uiPriority w:val="0"/>
    <w:qFormat/>
    <w:pPr>
      <w:jc w:val="left"/>
    </w:pPr>
    <w:rPr>
      <w:bCs/>
      <w:spacing w:val="10"/>
      <w:szCs w:val="20"/>
    </w:rPr>
  </w:style>
  <w:style w:type="character" w:styleId="991" w:customStyle="1">
    <w:name w:val="无间隔 Char"/>
    <w:link w:val="992"/>
    <w:uiPriority w:val="1"/>
    <w:qFormat/>
    <w:rPr>
      <w:sz w:val="22"/>
      <w:szCs w:val="22"/>
      <w:lang w:val="en-US" w:eastAsia="zh-CN" w:bidi="ar-SA"/>
    </w:rPr>
  </w:style>
  <w:style w:type="paragraph" w:styleId="992" w:customStyle="1">
    <w:name w:val="无间隔1"/>
    <w:link w:val="991"/>
    <w:uiPriority w:val="1"/>
    <w:qFormat/>
    <w:rPr>
      <w:rFonts w:hint="default" w:ascii="Times New Roman" w:hAnsi="Times New Roman" w:eastAsia="宋体" w:cs="Times New Roman"/>
      <w:sz w:val="22"/>
      <w:szCs w:val="22"/>
      <w:lang w:val="en-US" w:eastAsia="zh-CN" w:bidi="ar-SA"/>
    </w:rPr>
  </w:style>
  <w:style w:type="paragraph" w:styleId="993" w:customStyle="1">
    <w:name w:val="Table Paragraph"/>
    <w:basedOn w:val="703"/>
    <w:uiPriority w:val="1"/>
    <w:qFormat/>
    <w:pPr>
      <w:jc w:val="left"/>
    </w:pPr>
    <w:rPr>
      <w:rFonts w:ascii="仿宋" w:hAnsi="仿宋" w:eastAsia="仿宋" w:cs="仿宋"/>
      <w:sz w:val="22"/>
      <w:szCs w:val="22"/>
      <w:lang w:val="zh-CN" w:bidi="zh-CN"/>
    </w:rPr>
  </w:style>
  <w:style w:type="paragraph" w:styleId="994" w:customStyle="1">
    <w:name w:val="+正文"/>
    <w:basedOn w:val="703"/>
    <w:uiPriority w:val="0"/>
    <w:qFormat/>
    <w:pPr>
      <w:ind w:firstLine="200"/>
      <w:jc w:val="left"/>
      <w:spacing w:line="500" w:lineRule="exact"/>
    </w:pPr>
    <w:rPr>
      <w:sz w:val="24"/>
      <w:szCs w:val="28"/>
    </w:rPr>
  </w:style>
  <w:style w:type="paragraph" w:styleId="995" w:customStyle="1">
    <w:name w:val="Char"/>
    <w:basedOn w:val="703"/>
    <w:uiPriority w:val="0"/>
    <w:qFormat/>
    <w:pPr>
      <w:tabs>
        <w:tab w:val="left" w:pos="360" w:leader="none"/>
      </w:tabs>
    </w:pPr>
    <w:rPr>
      <w:sz w:val="24"/>
    </w:rPr>
  </w:style>
  <w:style w:type="paragraph" w:styleId="996" w:customStyle="1">
    <w:name w:val="默认段落字体 Para Char Char Char Char Char Char Char"/>
    <w:basedOn w:val="703"/>
    <w:uiPriority w:val="0"/>
    <w:qFormat/>
    <w:rPr>
      <w:rFonts w:ascii="Tahoma" w:hAnsi="Tahoma"/>
      <w:sz w:val="24"/>
      <w:szCs w:val="20"/>
    </w:rPr>
  </w:style>
  <w:style w:type="paragraph" w:styleId="997" w:customStyle="1">
    <w:name w:val="表格3"/>
    <w:basedOn w:val="703"/>
    <w:uiPriority w:val="0"/>
    <w:qFormat/>
    <w:pPr>
      <w:jc w:val="center"/>
    </w:pPr>
  </w:style>
  <w:style w:type="paragraph" w:styleId="998" w:customStyle="1">
    <w:name w:val="列出段落"/>
    <w:basedOn w:val="703"/>
    <w:next w:val="703"/>
    <w:uiPriority w:val="34"/>
    <w:qFormat/>
    <w:pPr>
      <w:ind w:firstLine="420"/>
      <w:jc w:val="left"/>
      <w:spacing w:line="360" w:lineRule="atLeast"/>
    </w:pPr>
    <w:rPr>
      <w:sz w:val="24"/>
    </w:rPr>
  </w:style>
  <w:style w:type="table" w:styleId="999" w:customStyle="1">
    <w:name w:val="Table Normal"/>
    <w:uiPriority w:val="2"/>
    <w:unhideWhenUsed/>
    <w:qFormat/>
    <w:pPr>
      <w:widowControl w:val="off"/>
    </w:pPr>
    <w:rPr>
      <w:sz w:val="22"/>
      <w:szCs w:val="22"/>
      <w:lang w:eastAsia="en-US"/>
    </w:rPr>
    <w:tblPr>
      <w:tblLayout w:type="fixed"/>
      <w:tblCellMar>
        <w:left w:w="0" w:type="dxa"/>
        <w:top w:w="0" w:type="dxa"/>
        <w:right w:w="0" w:type="dxa"/>
        <w:bottom w:w="0" w:type="dxa"/>
      </w:tblCellMar>
    </w:tblPr>
  </w:style>
  <w:style w:type="paragraph" w:styleId="1000" w:customStyle="1">
    <w:name w:val="样式"/>
    <w:basedOn w:val="703"/>
    <w:uiPriority w:val="0"/>
    <w:qFormat/>
    <w:pPr>
      <w:jc w:val="left"/>
    </w:pPr>
    <w:rPr>
      <w:rFonts w:ascii="宋体" w:hAnsi="宋体" w:cs="宋体"/>
      <w:sz w:val="24"/>
    </w:rPr>
  </w:style>
  <w:style w:type="character" w:styleId="1001" w:customStyle="1">
    <w:name w:val="c-icon"/>
    <w:uiPriority w:val="0"/>
    <w:qFormat/>
  </w:style>
  <w:style w:type="character" w:styleId="1002" w:customStyle="1">
    <w:name w:val="hover24"/>
    <w:uiPriority w:val="0"/>
    <w:qFormat/>
    <w:rPr>
      <w:color w:val="315efb"/>
    </w:rPr>
  </w:style>
  <w:style w:type="character" w:styleId="1003" w:customStyle="1">
    <w:name w:val="hover25"/>
    <w:uiPriority w:val="0"/>
    <w:qFormat/>
  </w:style>
  <w:style w:type="character" w:styleId="1004" w:customStyle="1">
    <w:name w:val="hover26"/>
    <w:uiPriority w:val="0"/>
    <w:qFormat/>
  </w:style>
  <w:style w:type="character" w:styleId="1005" w:customStyle="1">
    <w:name w:val="hover27"/>
    <w:uiPriority w:val="0"/>
    <w:qFormat/>
    <w:rPr>
      <w:color w:val="315efb"/>
    </w:rPr>
  </w:style>
  <w:style w:type="character" w:styleId="1006" w:customStyle="1">
    <w:name w:val="c-icon30"/>
    <w:uiPriority w:val="0"/>
    <w:qFormat/>
  </w:style>
  <w:style w:type="character" w:styleId="1007" w:customStyle="1">
    <w:name w:val="page-cur"/>
    <w:uiPriority w:val="0"/>
    <w:qFormat/>
    <w:rPr>
      <w:color w:val="999999"/>
      <w:u w:val="none"/>
      <w:shd w:val="clear" w:color="auto" w:fill="fafafa"/>
    </w:rPr>
  </w:style>
  <w:style w:type="character" w:styleId="1008" w:customStyle="1">
    <w:name w:val="page-start"/>
    <w:uiPriority w:val="0"/>
    <w:qFormat/>
    <w:rPr>
      <w:color w:val="999999"/>
      <w:u w:val="none"/>
      <w:shd w:val="clear" w:color="auto" w:fill="fafafa"/>
    </w:rPr>
  </w:style>
  <w:style w:type="character" w:styleId="1009" w:customStyle="1">
    <w:name w:val="chewduserlogo"/>
    <w:uiPriority w:val="0"/>
    <w:qFormat/>
  </w:style>
  <w:style w:type="character" w:styleId="1010" w:customStyle="1">
    <w:name w:val="font11"/>
    <w:basedOn w:val="958"/>
    <w:uiPriority w:val="0"/>
    <w:qFormat/>
    <w:rPr>
      <w:rFonts w:hint="eastAsia" w:ascii="宋体" w:hAnsi="宋体" w:eastAsia="宋体" w:cs="宋体"/>
      <w:color w:val="000000"/>
      <w:sz w:val="28"/>
      <w:szCs w:val="28"/>
      <w:u w:val="none"/>
      <w:vertAlign w:val="superscript"/>
    </w:rPr>
  </w:style>
  <w:style w:type="character" w:styleId="1011" w:customStyle="1">
    <w:name w:val="awspan"/>
    <w:uiPriority w:val="0"/>
    <w:qFormat/>
  </w:style>
  <w:style w:type="paragraph" w:styleId="1012" w:customStyle="1">
    <w:name w:val="表格文本"/>
    <w:basedOn w:val="703"/>
    <w:uiPriority w:val="0"/>
    <w:qFormat/>
    <w:pPr>
      <w:jc w:val="center"/>
    </w:pPr>
    <w:rPr>
      <w:rFonts w:ascii="宋体" w:hAnsi="宋体"/>
      <w:bCs/>
      <w:szCs w:val="21"/>
    </w:rPr>
  </w:style>
  <w:style w:type="character" w:styleId="1013" w:customStyle="1">
    <w:name w:val="awspan1"/>
    <w:uiPriority w:val="0"/>
    <w:qFormat/>
    <w:rPr>
      <w:color w:val="000000"/>
      <w:sz w:val="24"/>
      <w:szCs w:val="24"/>
    </w:rPr>
  </w:style>
  <w:style w:type="paragraph" w:styleId="1014" w:customStyle="1">
    <w:name w:val="[基本段落]"/>
    <w:basedOn w:val="703"/>
    <w:uiPriority w:val="99"/>
    <w:qFormat/>
    <w:pPr>
      <w:spacing w:line="288" w:lineRule="auto"/>
    </w:pPr>
    <w:rPr>
      <w:rFonts w:ascii="宋体" w:cs="宋体"/>
      <w:color w:val="000000"/>
      <w:sz w:val="24"/>
      <w:lang w:val="zh-CN"/>
    </w:rPr>
  </w:style>
  <w:style w:type="character" w:styleId="1015" w:customStyle="1">
    <w:name w:val="font01"/>
    <w:uiPriority w:val="0"/>
    <w:qFormat/>
    <w:rPr>
      <w:rFonts w:hint="eastAsia" w:ascii="宋体" w:hAnsi="宋体" w:eastAsia="宋体" w:cs="宋体"/>
      <w:color w:val="000000"/>
      <w:sz w:val="18"/>
      <w:szCs w:val="18"/>
      <w:u w:val="none"/>
    </w:rPr>
  </w:style>
  <w:style w:type="paragraph" w:styleId="1016" w:customStyle="1">
    <w:name w:val="列表段落1"/>
    <w:basedOn w:val="703"/>
    <w:uiPriority w:val="0"/>
    <w:qFormat/>
    <w:pPr>
      <w:ind w:firstLine="420"/>
    </w:pPr>
    <w:rPr>
      <w:rFonts w:ascii="Calibri" w:hAnsi="Calibri"/>
      <w:szCs w:val="22"/>
    </w:rPr>
  </w:style>
  <w:style w:type="paragraph" w:styleId="1017" w:customStyle="1">
    <w:name w:val="样式 首行缩进:  2 字符"/>
    <w:basedOn w:val="703"/>
    <w:uiPriority w:val="0"/>
    <w:qFormat/>
    <w:pPr>
      <w:ind w:firstLine="200"/>
      <w:spacing w:line="400" w:lineRule="exact"/>
    </w:pPr>
    <w:rPr>
      <w:rFonts w:ascii="Calibri" w:hAnsi="Calibri" w:cs="宋体"/>
      <w:sz w:val="24"/>
    </w:rPr>
  </w:style>
  <w:style w:type="paragraph" w:styleId="1018" w:customStyle="1">
    <w:name w:val="标题 41"/>
    <w:basedOn w:val="801"/>
    <w:next w:val="801"/>
    <w:uiPriority w:val="0"/>
    <w:qFormat/>
    <w:pPr>
      <w:keepLines/>
      <w:keepNext/>
      <w:spacing w:before="280" w:after="290" w:line="376" w:lineRule="auto"/>
      <w:outlineLvl w:val="3"/>
    </w:pPr>
    <w:rPr>
      <w:rFonts w:ascii="Cambria" w:hAnsi="Cambria"/>
      <w:b/>
      <w:bCs/>
      <w:sz w:val="28"/>
      <w:szCs w:val="28"/>
    </w:rPr>
  </w:style>
  <w:style w:type="character" w:styleId="1019" w:customStyle="1">
    <w:name w:val="NormalCharacter1"/>
    <w:uiPriority w:val="0"/>
    <w:qFormat/>
    <w:rPr>
      <w:sz w:val="21"/>
      <w:szCs w:val="24"/>
      <w:lang w:val="en-US" w:eastAsia="zh-CN" w:bidi="ar-SA"/>
    </w:rPr>
  </w:style>
  <w:style w:type="paragraph" w:styleId="1020" w:customStyle="1">
    <w:name w:val="正文360首行缩进"/>
    <w:basedOn w:val="703"/>
    <w:uiPriority w:val="0"/>
    <w:qFormat/>
    <w:pPr>
      <w:ind w:firstLine="200"/>
      <w:spacing w:before="120" w:line="300" w:lineRule="auto"/>
    </w:pPr>
    <w:rPr>
      <w:szCs w:val="20"/>
    </w:rPr>
  </w:style>
  <w:style w:type="paragraph" w:styleId="1021" w:customStyle="1">
    <w:name w:val="BodyTextIndent1"/>
    <w:basedOn w:val="703"/>
    <w:next w:val="1022"/>
    <w:uiPriority w:val="0"/>
    <w:qFormat/>
    <w:pPr>
      <w:ind w:left="420"/>
      <w:spacing w:after="120"/>
    </w:pPr>
  </w:style>
  <w:style w:type="paragraph" w:styleId="1022" w:customStyle="1">
    <w:name w:val="EnvelopeReturn1"/>
    <w:basedOn w:val="703"/>
    <w:uiPriority w:val="0"/>
    <w:qFormat/>
    <w:rPr>
      <w:rFonts w:ascii="Arial" w:hAnsi="Arial"/>
    </w:rPr>
  </w:style>
  <w:style w:type="character" w:styleId="1023" w:customStyle="1">
    <w:name w:val="font21"/>
    <w:basedOn w:val="958"/>
    <w:uiPriority w:val="0"/>
    <w:qFormat/>
    <w:rPr>
      <w:rFonts w:hint="eastAsia" w:ascii="宋体" w:hAnsi="宋体" w:eastAsia="宋体" w:cs="宋体"/>
      <w:color w:val="ff0000"/>
      <w:sz w:val="22"/>
      <w:szCs w:val="22"/>
      <w:u w:val="none"/>
    </w:rPr>
  </w:style>
  <w:style w:type="paragraph" w:styleId="1024" w:customStyle="1">
    <w:name w:val="UserStyle_291"/>
    <w:uiPriority w:val="0"/>
    <w:qFormat/>
    <w:rPr>
      <w:rFonts w:hint="default" w:ascii="黑体" w:hAnsi="黑体" w:eastAsia="黑体" w:cs="Times New Roman"/>
      <w:b/>
      <w:sz w:val="32"/>
      <w:szCs w:val="24"/>
      <w:lang w:val="en-US" w:eastAsia="zh-CN" w:bidi="ar-SA"/>
    </w:rPr>
  </w:style>
  <w:style w:type="paragraph" w:styleId="1025" w:customStyle="1">
    <w:name w:val="目录 11"/>
    <w:basedOn w:val="795"/>
    <w:next w:val="795"/>
    <w:uiPriority w:val="0"/>
    <w:qFormat/>
    <w:pPr>
      <w:jc w:val="left"/>
      <w:spacing w:after="100" w:line="259" w:lineRule="auto"/>
      <w:widowControl/>
    </w:pPr>
    <w:rPr>
      <w:rFonts w:ascii="Calibri" w:hAnsi="Calibri"/>
      <w:sz w:val="22"/>
      <w:szCs w:val="22"/>
    </w:rPr>
  </w:style>
  <w:style w:type="character" w:styleId="1026" w:customStyle="1">
    <w:name w:val="font91"/>
    <w:basedOn w:val="958"/>
    <w:uiPriority w:val="0"/>
    <w:qFormat/>
    <w:rPr>
      <w:rFonts w:hint="eastAsia" w:ascii="宋体" w:hAnsi="宋体" w:eastAsia="宋体" w:cs="宋体"/>
      <w:color w:val="ff0000"/>
      <w:sz w:val="22"/>
      <w:szCs w:val="22"/>
      <w:u w:val="none"/>
    </w:rPr>
  </w:style>
  <w:style w:type="character" w:styleId="1027" w:customStyle="1">
    <w:name w:val="font112"/>
    <w:basedOn w:val="958"/>
    <w:uiPriority w:val="0"/>
    <w:qFormat/>
    <w:rPr>
      <w:rFonts w:hint="eastAsia" w:ascii="宋体" w:hAnsi="宋体" w:eastAsia="宋体" w:cs="宋体"/>
      <w:color w:val="000000"/>
      <w:sz w:val="22"/>
      <w:szCs w:val="22"/>
      <w:u w:val="none"/>
    </w:rPr>
  </w:style>
  <w:style w:type="paragraph" w:styleId="1028" w:customStyle="1">
    <w:name w:val="正文文本 21"/>
    <w:basedOn w:val="703"/>
    <w:uiPriority w:val="0"/>
    <w:qFormat/>
    <w:pPr>
      <w:ind w:firstLine="640"/>
      <w:jc w:val="center"/>
      <w:spacing w:line="300" w:lineRule="auto"/>
    </w:pPr>
    <w:rPr>
      <w:rFonts w:hint="eastAsia" w:ascii="宋体" w:hAnsi="宋体"/>
    </w:rPr>
  </w:style>
  <w:style w:type="paragraph" w:styleId="1029" w:customStyle="1">
    <w:name w:val="正文1111"/>
    <w:next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目录 112"/>
    <w:basedOn w:val="1029"/>
    <w:next w:val="1029"/>
    <w:uiPriority w:val="0"/>
    <w:qFormat/>
  </w:style>
  <w:style w:type="paragraph" w:styleId="1031" w:customStyle="1">
    <w:name w:val="Default"/>
    <w:uiPriority w:val="0"/>
    <w:qFormat/>
    <w:pPr>
      <w:widowControl w:val="off"/>
    </w:pPr>
    <w:rPr>
      <w:rFonts w:hint="default" w:ascii="宋体" w:hAnsi="Courier New" w:eastAsia="宋体" w:cs="黑体"/>
      <w:color w:val="000000"/>
      <w:sz w:val="24"/>
      <w:lang w:val="en-US" w:eastAsia="zh-CN" w:bidi="ar-SA"/>
    </w:rPr>
  </w:style>
  <w:style w:type="paragraph" w:styleId="1032" w:customStyle="1">
    <w:name w:val="公文正文"/>
    <w:basedOn w:val="703"/>
    <w:uiPriority w:val="0"/>
    <w:qFormat/>
    <w:pPr>
      <w:ind w:firstLine="200"/>
      <w:spacing w:line="560" w:lineRule="exact"/>
    </w:pPr>
    <w:rPr>
      <w:rFonts w:ascii="仿宋_GB2312" w:hAnsi="仿宋_GB2312" w:eastAsia="仿宋_GB2312" w:cs="仿宋_GB2312"/>
      <w:sz w:val="32"/>
      <w:szCs w:val="32"/>
      <w:lang w:val="zh-CN"/>
    </w:rPr>
  </w:style>
  <w:style w:type="paragraph" w:styleId="1033" w:customStyle="1">
    <w:name w:val="Table Text"/>
    <w:basedOn w:val="703"/>
    <w:uiPriority w:val="0"/>
    <w:semiHidden/>
    <w:qFormat/>
    <w:rPr>
      <w:rFonts w:ascii="宋体" w:hAnsi="宋体" w:cs="宋体"/>
      <w:sz w:val="20"/>
      <w:szCs w:val="20"/>
    </w:rPr>
  </w:style>
  <w:style w:type="paragraph" w:styleId="1034" w:customStyle="1">
    <w:name w:val="表格"/>
    <w:basedOn w:val="703"/>
    <w:uiPriority w:val="0"/>
    <w:qFormat/>
    <w:pPr>
      <w:ind w:firstLine="0"/>
      <w:jc w:val="center"/>
      <w:spacing w:line="240" w:lineRule="auto"/>
    </w:pPr>
    <w:rPr>
      <w:rFonts w:hint="eastAsia"/>
    </w:rPr>
  </w:style>
  <w:style w:type="paragraph" w:styleId="1035" w:customStyle="1">
    <w:name w:val="Heading 4"/>
    <w:basedOn w:val="703"/>
    <w:next w:val="703"/>
    <w:uiPriority w:val="0"/>
    <w:qFormat/>
    <w:pPr>
      <w:jc w:val="center"/>
      <w:keepNext/>
      <w:outlineLvl w:val="3"/>
    </w:pPr>
    <w:rPr>
      <w:rFonts w:eastAsia="新宋体"/>
      <w:sz w:val="30"/>
      <w:szCs w:val="21"/>
    </w:rPr>
  </w:style>
  <w:style w:type="paragraph" w:styleId="1036" w:customStyle="1">
    <w:name w:val="标题 211"/>
    <w:basedOn w:val="703"/>
    <w:next w:val="703"/>
    <w:uiPriority w:val="0"/>
    <w:qFormat/>
    <w:pPr>
      <w:keepLines/>
      <w:keepNext/>
      <w:spacing w:before="260" w:after="260" w:line="416" w:lineRule="auto"/>
      <w:outlineLvl w:val="1"/>
    </w:pPr>
    <w:rPr>
      <w:rFonts w:ascii="Arial" w:hAnsi="Arial" w:eastAsia="黑体"/>
      <w:b/>
      <w:bCs/>
      <w:sz w:val="32"/>
      <w:szCs w:val="32"/>
    </w:rPr>
  </w:style>
  <w:style w:type="paragraph" w:styleId="1037" w:customStyle="1">
    <w:name w:val="文本块111"/>
    <w:basedOn w:val="703"/>
    <w:uiPriority w:val="6"/>
    <w:qFormat/>
    <w:pPr>
      <w:ind w:left="256" w:right="6" w:firstLine="624"/>
    </w:pPr>
    <w:rPr>
      <w:rFonts w:ascii="Times New Roman" w:hAnsi="Times New Roman" w:eastAsia="仿宋" w:cs="Times New Roman"/>
      <w:sz w:val="28"/>
      <w:szCs w:val="20"/>
    </w:rPr>
  </w:style>
  <w:style w:type="paragraph" w:styleId="1038" w:customStyle="1">
    <w:name w:val="footer1"/>
    <w:basedOn w:val="703"/>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39" w:customStyle="1">
    <w:name w:val="正文_16_0_0"/>
    <w:next w:val="703"/>
    <w:uiPriority w:val="0"/>
    <w:qFormat/>
    <w:pPr>
      <w:jc w:val="both"/>
      <w:widowControl w:val="off"/>
    </w:pPr>
    <w:rPr>
      <w:rFonts w:hint="default" w:ascii="Calibri" w:hAnsi="Calibri" w:eastAsia="宋体" w:cs="Times New Roman"/>
      <w:sz w:val="21"/>
      <w:szCs w:val="22"/>
      <w:lang w:val="en-US" w:eastAsia="zh-CN" w:bidi="ar-SA"/>
    </w:rPr>
  </w:style>
  <w:style w:type="character" w:styleId="1040" w:customStyle="1">
    <w:name w:val="标题 1 字符"/>
    <w:link w:val="704"/>
    <w:uiPriority w:val="0"/>
    <w:qFormat/>
    <w:rPr>
      <w:rFonts w:ascii="仿宋" w:hAnsi="仿宋" w:eastAsia="仿宋" w:cs="仿宋"/>
      <w:b/>
      <w:bCs/>
      <w:sz w:val="30"/>
      <w:szCs w:val="30"/>
      <w:lang w:val="zh-CN" w:bidi="zh-CN"/>
    </w:rPr>
  </w:style>
  <w:style w:type="numbering" w:styleId="65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张楚涵</cp:lastModifiedBy>
  <cp:revision>27</cp:revision>
  <dcterms:created xsi:type="dcterms:W3CDTF">2021-06-11T03:05:00Z</dcterms:created>
  <dcterms:modified xsi:type="dcterms:W3CDTF">2026-07-29T09:49:34Z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90EB033A3A2C4E19A2404630D8670BA1_13</vt:lpwstr>
  </property>
  <property fmtid="{D5CDD505-2E9C-101B-9397-08002B2CF9AE}" pid="4" name="KSOTemplateDocerSaveRecord">
    <vt:lpwstr>eyJoZGlkIjoiMjc4ZWRiMzc1NThlOGRhNjg2MjlkZDhmMmJmNmQyOTIiLCJ1c2VySWQiOiI0MjA2NDA3MTYifQ==</vt:lpwstr>
  </property>
</Properties>
</file>