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黑体" w:hAnsi="黑体" w:eastAsia="黑体"/>
          <w:b/>
          <w:sz w:val="52"/>
          <w:szCs w:val="32"/>
        </w:rPr>
      </w:pPr>
      <w:r>
        <w:rPr>
          <w:rFonts w:ascii="黑体" w:hAnsi="黑体" w:eastAsia="黑体"/>
          <w:b/>
          <w:sz w:val="52"/>
          <w:szCs w:val="32"/>
        </w:rPr>
      </w:r>
      <w:r/>
    </w:p>
    <w:p>
      <w:pPr>
        <w:jc w:val="center"/>
        <w:spacing w:before="120" w:after="120" w:line="360" w:lineRule="auto"/>
        <w:rPr>
          <w:rFonts w:ascii="黑体" w:hAnsi="黑体" w:eastAsia="黑体"/>
          <w:b/>
          <w:sz w:val="52"/>
          <w:szCs w:val="32"/>
        </w:rPr>
      </w:pPr>
      <w:r>
        <w:rPr>
          <w:rFonts w:hint="eastAsia" w:ascii="黑体" w:hAnsi="黑体" w:eastAsia="黑体"/>
          <w:b/>
          <w:sz w:val="52"/>
          <w:szCs w:val="32"/>
        </w:rPr>
        <w:t xml:space="preserve">皂河站配电设备智能化改造工程</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（工程类项目，非专门面向中小企业）</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spacing w:before="120" w:after="120" w:line="360" w:lineRule="auto"/>
        <w:rPr>
          <w:rFonts w:ascii="黑体" w:hAnsi="黑体" w:eastAsia="黑体"/>
          <w:b/>
          <w:bCs/>
          <w:sz w:val="32"/>
          <w:szCs w:val="32"/>
        </w:rPr>
      </w:pPr>
      <w:r>
        <w:rPr>
          <w:rFonts w:ascii="黑体" w:hAnsi="黑体" w:eastAsia="黑体"/>
          <w:b/>
          <w:bCs/>
          <w:sz w:val="32"/>
          <w:szCs w:val="32"/>
        </w:rPr>
      </w:r>
      <w:r/>
    </w:p>
    <w:p>
      <w:pPr>
        <w:spacing w:before="120" w:after="120" w:line="360" w:lineRule="auto"/>
        <w:rPr>
          <w:rFonts w:hint="eastAsia" w:ascii="黑体" w:hAnsi="黑体" w:eastAsia="黑体" w:cs="Times New Roman"/>
          <w:b/>
          <w:bCs/>
          <w:sz w:val="32"/>
          <w:szCs w:val="24"/>
          <w:lang w:val="en-US" w:eastAsia="zh-CN" w:bidi="ar-SA"/>
        </w:rPr>
      </w:pPr>
      <w:r>
        <w:rPr>
          <w:rFonts w:hint="eastAsia" w:ascii="黑体" w:hAnsi="黑体" w:eastAsia="黑体"/>
          <w:b/>
          <w:bCs/>
          <w:sz w:val="32"/>
          <w:szCs w:val="32"/>
        </w:rPr>
        <w:t xml:space="preserve">项目编号：</w:t>
      </w:r>
      <w:r>
        <w:rPr>
          <w:rFonts w:hint="eastAsia" w:ascii="黑体" w:hAnsi="黑体" w:eastAsia="黑体" w:cs="Times New Roman"/>
          <w:b/>
          <w:bCs/>
          <w:sz w:val="32"/>
          <w:szCs w:val="24"/>
          <w:lang w:val="en-US" w:eastAsia="zh-CN" w:bidi="ar-SA"/>
        </w:rPr>
        <w:t xml:space="preserve"> JSZC-320000-JSHB-C2026-0003  </w:t>
      </w:r>
      <w:r/>
    </w:p>
    <w:p>
      <w:pPr>
        <w:pStyle w:val="968"/>
        <w:ind w:firstLine="0"/>
        <w:jc w:val="both"/>
        <w:rPr>
          <w:rFonts w:ascii="黑体" w:hAnsi="黑体" w:eastAsia="黑体"/>
          <w:b/>
          <w:bCs/>
          <w:sz w:val="32"/>
        </w:rPr>
      </w:pPr>
      <w:r>
        <w:rPr>
          <w:rFonts w:hint="eastAsia" w:ascii="黑体" w:hAnsi="黑体" w:eastAsia="黑体"/>
          <w:b/>
          <w:bCs/>
          <w:sz w:val="32"/>
        </w:rPr>
        <w:t xml:space="preserve">采 购 人：江苏省皂河抽水站</w:t>
      </w:r>
      <w:r/>
    </w:p>
    <w:p>
      <w:pPr>
        <w:pStyle w:val="968"/>
        <w:ind w:firstLine="0"/>
        <w:jc w:val="both"/>
        <w:rPr>
          <w:rFonts w:ascii="黑体" w:hAnsi="黑体" w:eastAsia="黑体"/>
          <w:b/>
          <w:bCs/>
          <w:sz w:val="32"/>
        </w:rPr>
      </w:pPr>
      <w:r>
        <w:rPr>
          <w:rFonts w:hint="eastAsia" w:ascii="黑体" w:hAnsi="黑体" w:eastAsia="黑体"/>
          <w:b/>
          <w:bCs/>
          <w:sz w:val="32"/>
        </w:rPr>
        <w:t xml:space="preserve">采购代理机构：江苏宏邦工程管理咨询有限公司</w:t>
      </w:r>
      <w:r/>
    </w:p>
    <w:p>
      <w:pPr>
        <w:pStyle w:val="968"/>
        <w:ind w:firstLine="0"/>
        <w:jc w:val="center"/>
        <w:rPr>
          <w:rFonts w:ascii="黑体" w:hAnsi="黑体" w:eastAsia="黑体"/>
          <w:b/>
          <w:bCs/>
          <w:sz w:val="32"/>
        </w:rPr>
      </w:pPr>
      <w:r>
        <w:rPr>
          <w:rFonts w:hint="eastAsia" w:ascii="黑体" w:hAnsi="黑体" w:eastAsia="黑体"/>
          <w:b/>
          <w:bCs/>
          <w:sz w:val="32"/>
        </w:rPr>
        <w:t xml:space="preserve">2026年</w:t>
      </w:r>
      <w:r>
        <w:rPr>
          <w:rFonts w:ascii="黑体" w:hAnsi="黑体" w:eastAsia="黑体"/>
          <w:b/>
          <w:bCs/>
          <w:sz w:val="32"/>
        </w:rPr>
        <w:t xml:space="preserve">07</w:t>
      </w:r>
      <w:r>
        <w:rPr>
          <w:rFonts w:hint="eastAsia" w:ascii="黑体" w:hAnsi="黑体" w:eastAsia="黑体"/>
          <w:b/>
          <w:bCs/>
          <w:sz w:val="32"/>
        </w:rPr>
        <w:t xml:space="preserve">月</w:t>
      </w:r>
      <w:r>
        <w:rPr>
          <w:rFonts w:hint="eastAsia" w:ascii="黑体" w:hAnsi="黑体" w:eastAsia="黑体"/>
          <w:b/>
          <w:bCs/>
          <w:sz w:val="32"/>
          <w:lang w:val="en-US" w:eastAsia="zh-CN"/>
        </w:rPr>
        <w:t xml:space="preserve">31</w:t>
      </w:r>
      <w:r>
        <w:rPr>
          <w:rFonts w:hint="eastAsia" w:ascii="黑体" w:hAnsi="黑体" w:eastAsia="黑体"/>
          <w:b/>
          <w:bCs/>
          <w:sz w:val="32"/>
        </w:rPr>
        <w:t xml:space="preserve">日</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before="120" w:after="120" w:line="320" w:lineRule="exact"/>
        <w:rPr>
          <w:rFonts w:asciiTheme="minorEastAsia" w:hAnsiTheme="minorEastAsia" w:eastAsiaTheme="minorEastAsia" w:cstheme="minorEastAsia"/>
          <w:b/>
          <w:sz w:val="36"/>
          <w:szCs w:val="36"/>
        </w:rPr>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Theme="minorEastAsia" w:hAnsiTheme="minorEastAsia" w:eastAsiaTheme="minorEastAsia" w:cstheme="minorEastAsia"/>
          <w:b/>
          <w:sz w:val="30"/>
          <w:szCs w:val="30"/>
          <w:lang w:val="zh-CN"/>
        </w:rPr>
        <w:t xml:space="preserve">目</w:t>
      </w:r>
      <w:r>
        <w:rPr>
          <w:rFonts w:hint="eastAsia" w:asciiTheme="minorEastAsia" w:hAnsiTheme="minorEastAsia" w:eastAsiaTheme="minorEastAsia" w:cstheme="minorEastAsia"/>
          <w:b/>
          <w:sz w:val="30"/>
          <w:szCs w:val="30"/>
        </w:rPr>
        <w:t xml:space="preserve">   </w:t>
      </w:r>
      <w:r>
        <w:rPr>
          <w:rFonts w:hint="eastAsia" w:asciiTheme="minorEastAsia" w:hAnsiTheme="minorEastAsia" w:eastAsiaTheme="minorEastAsia" w:cstheme="minorEastAsia"/>
          <w:b/>
          <w:sz w:val="30"/>
          <w:szCs w:val="30"/>
          <w:lang w:val="zh-CN"/>
        </w:rPr>
        <w:t xml:space="preserve">录</w:t>
      </w:r>
      <w:r/>
    </w:p>
    <w:p>
      <w:pPr>
        <w:pStyle w:val="752"/>
        <w:spacing w:line="500" w:lineRule="exact"/>
        <w:rPr>
          <w:rStyle w:val="782"/>
          <w:rFonts w:asciiTheme="minorEastAsia" w:hAnsiTheme="minorEastAsia" w:eastAsiaTheme="minorEastAsia" w:cstheme="minorEastAsia"/>
          <w:iCs/>
        </w:rPr>
      </w:pPr>
      <w:r>
        <w:rPr>
          <w:rFonts w:hint="eastAsia" w:asciiTheme="minorEastAsia" w:hAnsiTheme="minorEastAsia" w:eastAsiaTheme="minorEastAsia" w:cstheme="minorEastAsia"/>
          <w:bCs/>
          <w:lang w:val="zh-CN"/>
        </w:rPr>
        <w:fldChar w:fldCharType="begin"/>
      </w:r>
      <w:r>
        <w:rPr>
          <w:rFonts w:hint="eastAsia" w:asciiTheme="minorEastAsia" w:hAnsiTheme="minorEastAsia" w:eastAsiaTheme="minorEastAsia" w:cstheme="minorEastAsia"/>
          <w:bCs/>
          <w:lang w:val="zh-CN"/>
        </w:rPr>
        <w:instrText xml:space="preserve"> TOC \o "1-3" \h \z \u </w:instrText>
      </w:r>
      <w:r>
        <w:rPr>
          <w:rFonts w:hint="eastAsia" w:asciiTheme="minorEastAsia" w:hAnsiTheme="minorEastAsia" w:eastAsiaTheme="minorEastAsia" w:cstheme="minorEastAsia"/>
          <w:bCs/>
          <w:lang w:val="zh-CN"/>
        </w:rPr>
        <w:fldChar w:fldCharType="separate"/>
      </w:r>
      <w:r>
        <w:fldChar w:fldCharType="begin"/>
      </w:r>
      <w:r>
        <w:instrText xml:space="preserve"> HYPERLINK \l "_Toc160457372" </w:instrText>
      </w:r>
      <w:r>
        <w:fldChar w:fldCharType="separate"/>
      </w:r>
      <w:r>
        <w:rPr>
          <w:rStyle w:val="782"/>
          <w:rFonts w:hint="eastAsia" w:asciiTheme="minorEastAsia" w:hAnsiTheme="minorEastAsia" w:eastAsiaTheme="minorEastAsia" w:cstheme="minorEastAsia"/>
          <w:iCs/>
          <w:caps w:val="0"/>
          <w:smallCaps/>
        </w:rPr>
        <w:t xml:space="preserve">第一章  磋商邀请</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_Toc160457372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3</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52"/>
        <w:spacing w:line="500" w:lineRule="exact"/>
        <w:rPr>
          <w:rStyle w:val="782"/>
          <w:rFonts w:asciiTheme="minorEastAsia" w:hAnsiTheme="minorEastAsia" w:eastAsiaTheme="minorEastAsia" w:cstheme="minorEastAsia"/>
          <w:iCs/>
        </w:rPr>
      </w:pPr>
      <w:r>
        <w:fldChar w:fldCharType="begin"/>
      </w:r>
      <w:r>
        <w:instrText xml:space="preserve"> HYPERLINK \l "_Toc160457381" </w:instrText>
      </w:r>
      <w:r>
        <w:fldChar w:fldCharType="separate"/>
      </w:r>
      <w:r>
        <w:rPr>
          <w:rStyle w:val="782"/>
          <w:rFonts w:hint="eastAsia" w:asciiTheme="minorEastAsia" w:hAnsiTheme="minorEastAsia" w:eastAsiaTheme="minorEastAsia" w:cstheme="minorEastAsia"/>
          <w:iCs/>
          <w:caps w:val="0"/>
          <w:smallCaps/>
        </w:rPr>
        <w:t xml:space="preserve">第二章  供应商须知</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_Toc160457381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7</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52"/>
        <w:spacing w:line="500" w:lineRule="exact"/>
        <w:rPr>
          <w:rStyle w:val="782"/>
          <w:rFonts w:asciiTheme="minorEastAsia" w:hAnsiTheme="minorEastAsia" w:eastAsiaTheme="minorEastAsia" w:cstheme="minorEastAsia"/>
          <w:iCs/>
          <w:smallCaps/>
        </w:rPr>
      </w:pPr>
      <w:r>
        <w:fldChar w:fldCharType="begin"/>
      </w:r>
      <w:r>
        <w:instrText xml:space="preserve"> HYPERLINK \l "_Toc160457389" </w:instrText>
      </w:r>
      <w:r>
        <w:fldChar w:fldCharType="separate"/>
      </w:r>
      <w:r>
        <w:rPr>
          <w:rStyle w:val="782"/>
          <w:rFonts w:hint="eastAsia" w:asciiTheme="minorEastAsia" w:hAnsiTheme="minorEastAsia" w:eastAsiaTheme="minorEastAsia" w:cstheme="minorEastAsia"/>
          <w:iCs/>
          <w:caps w:val="0"/>
          <w:smallCaps/>
        </w:rPr>
        <w:t xml:space="preserve">第三章  合同文本</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_Toc160457389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25</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52"/>
        <w:spacing w:line="500" w:lineRule="exact"/>
        <w:rPr>
          <w:rStyle w:val="782"/>
          <w:rFonts w:asciiTheme="minorEastAsia" w:hAnsiTheme="minorEastAsia" w:eastAsiaTheme="minorEastAsia" w:cstheme="minorEastAsia"/>
          <w:iCs/>
          <w:smallCaps/>
        </w:rPr>
      </w:pPr>
      <w:r>
        <w:fldChar w:fldCharType="begin"/>
      </w:r>
      <w:r>
        <w:instrText xml:space="preserve"> HYPERLINK \l "_Toc160457393" </w:instrText>
      </w:r>
      <w:r>
        <w:fldChar w:fldCharType="separate"/>
      </w:r>
      <w:r>
        <w:rPr>
          <w:rStyle w:val="782"/>
          <w:rFonts w:hint="eastAsia" w:asciiTheme="minorEastAsia" w:hAnsiTheme="minorEastAsia" w:eastAsiaTheme="minorEastAsia" w:cstheme="minorEastAsia"/>
          <w:iCs/>
          <w:caps w:val="0"/>
          <w:smallCaps/>
        </w:rPr>
        <w:t xml:space="preserve">第四章  采购需求</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_Toc160457393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25</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52"/>
        <w:spacing w:line="500" w:lineRule="exact"/>
        <w:rPr>
          <w:rStyle w:val="782"/>
          <w:rFonts w:asciiTheme="minorEastAsia" w:hAnsiTheme="minorEastAsia" w:eastAsiaTheme="minorEastAsia" w:cstheme="minorEastAsia"/>
          <w:iCs/>
          <w:smallCaps/>
        </w:rPr>
      </w:pPr>
      <w:r>
        <w:fldChar w:fldCharType="begin"/>
      </w:r>
      <w:r>
        <w:instrText xml:space="preserve"> HYPERLINK \l "_Toc160457394" </w:instrText>
      </w:r>
      <w:r>
        <w:fldChar w:fldCharType="separate"/>
      </w:r>
      <w:r>
        <w:rPr>
          <w:rStyle w:val="782"/>
          <w:rFonts w:hint="eastAsia" w:asciiTheme="minorEastAsia" w:hAnsiTheme="minorEastAsia" w:eastAsiaTheme="minorEastAsia" w:cstheme="minorEastAsia"/>
          <w:iCs/>
          <w:caps w:val="0"/>
          <w:smallCaps/>
        </w:rPr>
        <w:t xml:space="preserve">第五章  评审方法与评审标准</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_Toc160457394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78</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52"/>
        <w:spacing w:line="500" w:lineRule="exact"/>
        <w:rPr>
          <w:rStyle w:val="782"/>
          <w:rFonts w:asciiTheme="minorEastAsia" w:hAnsiTheme="minorEastAsia" w:eastAsiaTheme="minorEastAsia" w:cstheme="minorEastAsia"/>
          <w:iCs/>
          <w:smallCaps/>
        </w:rPr>
      </w:pPr>
      <w:r>
        <w:fldChar w:fldCharType="begin"/>
      </w:r>
      <w:r>
        <w:instrText xml:space="preserve"> HYPERLINK \l "_Toc160457395" </w:instrText>
      </w:r>
      <w:r>
        <w:fldChar w:fldCharType="separate"/>
      </w:r>
      <w:r>
        <w:rPr>
          <w:rStyle w:val="782"/>
          <w:rFonts w:hint="eastAsia" w:asciiTheme="minorEastAsia" w:hAnsiTheme="minorEastAsia" w:eastAsiaTheme="minorEastAsia" w:cstheme="minorEastAsia"/>
          <w:iCs/>
          <w:caps w:val="0"/>
          <w:smallCaps/>
        </w:rPr>
        <w:t xml:space="preserve">第六章  响应文件格式</w:t>
      </w:r>
      <w:r>
        <w:rPr>
          <w:rStyle w:val="782"/>
          <w:rFonts w:hint="eastAsia" w:asciiTheme="minorEastAsia" w:hAnsiTheme="minorEastAsia" w:eastAsiaTheme="minorEastAsia" w:cstheme="minorEastAsia"/>
          <w:iCs/>
          <w:caps w:val="0"/>
          <w:smallCaps/>
        </w:rPr>
        <w:tab/>
      </w:r>
      <w:r>
        <w:rPr>
          <w:rStyle w:val="782"/>
          <w:rFonts w:hint="eastAsia" w:asciiTheme="minorEastAsia" w:hAnsiTheme="minorEastAsia" w:eastAsiaTheme="minorEastAsia" w:cstheme="minorEastAsia"/>
          <w:iCs/>
          <w:caps w:val="0"/>
          <w:smallCaps/>
        </w:rPr>
        <w:fldChar w:fldCharType="begin"/>
      </w:r>
      <w:r>
        <w:rPr>
          <w:rStyle w:val="782"/>
          <w:rFonts w:hint="eastAsia" w:asciiTheme="minorEastAsia" w:hAnsiTheme="minorEastAsia" w:eastAsiaTheme="minorEastAsia" w:cstheme="minorEastAsia"/>
          <w:iCs/>
          <w:caps w:val="0"/>
          <w:smallCaps/>
        </w:rPr>
        <w:instrText xml:space="preserve"> PAGEREF _Toc160457395 \h </w:instrText>
      </w:r>
      <w:r>
        <w:rPr>
          <w:rStyle w:val="782"/>
          <w:rFonts w:hint="eastAsia" w:asciiTheme="minorEastAsia" w:hAnsiTheme="minorEastAsia" w:eastAsiaTheme="minorEastAsia" w:cstheme="minorEastAsia"/>
          <w:iCs/>
          <w:caps w:val="0"/>
          <w:smallCaps/>
        </w:rPr>
        <w:fldChar w:fldCharType="separate"/>
      </w:r>
      <w:r>
        <w:rPr>
          <w:rStyle w:val="782"/>
          <w:rFonts w:asciiTheme="minorEastAsia" w:hAnsiTheme="minorEastAsia" w:eastAsiaTheme="minorEastAsia" w:cstheme="minorEastAsia"/>
          <w:iCs/>
          <w:caps w:val="0"/>
          <w:smallCaps/>
        </w:rPr>
        <w:t xml:space="preserve">83</w:t>
      </w:r>
      <w:r>
        <w:rPr>
          <w:rStyle w:val="782"/>
          <w:rFonts w:hint="eastAsia" w:asciiTheme="minorEastAsia" w:hAnsiTheme="minorEastAsia" w:eastAsiaTheme="minorEastAsia" w:cstheme="minorEastAsia"/>
          <w:iCs/>
          <w:caps w:val="0"/>
          <w:smallCaps/>
        </w:rPr>
        <w:fldChar w:fldCharType="end"/>
      </w:r>
      <w:r>
        <w:rPr>
          <w:rStyle w:val="782"/>
          <w:rFonts w:hint="eastAsia" w:asciiTheme="minorEastAsia" w:hAnsiTheme="minorEastAsia" w:eastAsiaTheme="minorEastAsia" w:cstheme="minorEastAsia"/>
          <w:iCs/>
          <w:caps w:val="0"/>
          <w:smallCaps/>
        </w:rPr>
        <w:fldChar w:fldCharType="end"/>
      </w:r>
      <w:r/>
    </w:p>
    <w:p>
      <w:pPr>
        <w:pStyle w:val="764"/>
        <w:tabs>
          <w:tab w:val="right" w:pos="8943" w:leader="dot"/>
        </w:tabs>
        <w:rPr>
          <w:rFonts w:asciiTheme="minorEastAsia" w:hAnsiTheme="minorEastAsia" w:eastAsiaTheme="minorEastAsia" w:cstheme="minorEastAsia"/>
          <w:smallCaps w:val="0"/>
          <w:sz w:val="24"/>
        </w:rPr>
      </w:pPr>
      <w:r>
        <w:rPr>
          <w:rFonts w:asciiTheme="minorEastAsia" w:hAnsiTheme="minorEastAsia" w:eastAsiaTheme="minorEastAsia" w:cstheme="minorEastAsia"/>
          <w:smallCaps w:val="0"/>
          <w:sz w:val="24"/>
        </w:rPr>
      </w:r>
      <w:r/>
    </w:p>
    <w:p>
      <w:pPr>
        <w:spacing w:line="320" w:lineRule="exact"/>
        <w:rPr>
          <w:rFonts w:asciiTheme="minorEastAsia" w:hAnsiTheme="minorEastAsia" w:eastAsiaTheme="minorEastAsia" w:cstheme="minorEastAsia"/>
          <w:b/>
          <w:bCs/>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Theme="minorEastAsia" w:hAnsiTheme="minorEastAsia" w:eastAsiaTheme="minorEastAsia" w:cstheme="minorEastAsia"/>
          <w:bCs/>
          <w:sz w:val="24"/>
          <w:szCs w:val="24"/>
          <w:lang w:val="zh-CN"/>
        </w:rPr>
        <w:fldChar w:fldCharType="end"/>
      </w:r>
      <w:r/>
    </w:p>
    <w:p>
      <w:pPr>
        <w:jc w:val="center"/>
        <w:spacing w:line="480" w:lineRule="auto"/>
        <w:rPr>
          <w:rFonts w:ascii="Times New Roman" w:hAnsi="Times New Roman" w:eastAsia="黑体"/>
          <w:bCs/>
          <w:sz w:val="44"/>
          <w:szCs w:val="44"/>
        </w:rPr>
        <w:outlineLvl w:val="0"/>
      </w:pPr>
      <w:r/>
      <w:bookmarkStart w:id="6" w:name="_Toc160457372"/>
      <w:r>
        <w:rPr>
          <w:rFonts w:hint="eastAsia" w:ascii="Times New Roman" w:hAnsi="Times New Roman" w:eastAsia="黑体"/>
          <w:sz w:val="44"/>
          <w:szCs w:val="44"/>
        </w:rPr>
        <w:t xml:space="preserve">第一章</w:t>
      </w:r>
      <w:bookmarkEnd w:id="0"/>
      <w:r>
        <w:rPr>
          <w:rFonts w:ascii="Times New Roman" w:hAnsi="Times New Roman" w:eastAsia="黑体"/>
          <w:sz w:val="44"/>
          <w:szCs w:val="44"/>
        </w:rPr>
        <w:t xml:space="preserve">  </w:t>
      </w:r>
      <w:r>
        <w:rPr>
          <w:rFonts w:hint="eastAsia" w:ascii="Times New Roman" w:hAnsi="Times New Roman" w:eastAsia="黑体"/>
          <w:sz w:val="44"/>
          <w:szCs w:val="44"/>
        </w:rPr>
        <w:t xml:space="preserve">磋商邀请</w:t>
      </w:r>
      <w:bookmarkEnd w:id="6"/>
      <w:r/>
      <w:r/>
    </w:p>
    <w:p>
      <w:p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受</w:t>
      </w:r>
      <w:r>
        <w:rPr>
          <w:rFonts w:hint="eastAsia" w:cs="___WRD_EMBED_SUB_55" w:asciiTheme="minorEastAsia" w:hAnsiTheme="minorEastAsia" w:eastAsiaTheme="minorEastAsia"/>
          <w:sz w:val="24"/>
          <w:szCs w:val="24"/>
          <w:u w:val="single"/>
        </w:rPr>
        <w:t xml:space="preserve">江苏省皂河抽水站 </w:t>
      </w:r>
      <w:r>
        <w:rPr>
          <w:rFonts w:hint="eastAsia" w:cs="宋体" w:asciiTheme="minorEastAsia" w:hAnsiTheme="minorEastAsia" w:eastAsiaTheme="minorEastAsia"/>
          <w:sz w:val="24"/>
          <w:szCs w:val="24"/>
        </w:rPr>
        <w:t xml:space="preserve">的委托，</w:t>
      </w:r>
      <w:r>
        <w:rPr>
          <w:rFonts w:hint="eastAsia" w:cs="方正仿宋_GB2312" w:asciiTheme="minorEastAsia" w:hAnsiTheme="minorEastAsia" w:eastAsiaTheme="minorEastAsia"/>
          <w:sz w:val="24"/>
          <w:szCs w:val="24"/>
          <w:u w:val="single"/>
        </w:rPr>
        <w:t xml:space="preserve">江苏宏</w:t>
      </w:r>
      <w:r>
        <w:rPr>
          <w:rFonts w:hint="eastAsia" w:cs="宋体" w:asciiTheme="minorEastAsia" w:hAnsiTheme="minorEastAsia" w:eastAsiaTheme="minorEastAsia"/>
          <w:sz w:val="24"/>
          <w:szCs w:val="24"/>
          <w:u w:val="single"/>
        </w:rPr>
        <w:t xml:space="preserve">邦</w:t>
      </w:r>
      <w:r>
        <w:rPr>
          <w:rFonts w:hint="eastAsia" w:cs="___WRD_EMBED_SUB_55" w:asciiTheme="minorEastAsia" w:hAnsiTheme="minorEastAsia" w:eastAsiaTheme="minorEastAsia"/>
          <w:sz w:val="24"/>
          <w:szCs w:val="24"/>
          <w:u w:val="single"/>
        </w:rPr>
        <w:t xml:space="preserve">工程管理</w:t>
      </w:r>
      <w:r>
        <w:rPr>
          <w:rFonts w:hint="eastAsia" w:cs="宋体" w:asciiTheme="minorEastAsia" w:hAnsiTheme="minorEastAsia" w:eastAsiaTheme="minorEastAsia"/>
          <w:sz w:val="24"/>
          <w:szCs w:val="24"/>
          <w:u w:val="single"/>
        </w:rPr>
        <w:t xml:space="preserve">咨</w:t>
      </w:r>
      <w:r>
        <w:rPr>
          <w:rFonts w:hint="eastAsia" w:cs="___WRD_EMBED_SUB_55" w:asciiTheme="minorEastAsia" w:hAnsiTheme="minorEastAsia" w:eastAsiaTheme="minorEastAsia"/>
          <w:sz w:val="24"/>
          <w:szCs w:val="24"/>
          <w:u w:val="single"/>
        </w:rPr>
        <w:t xml:space="preserve">询有限公司</w:t>
      </w:r>
      <w:r>
        <w:rPr>
          <w:rFonts w:hint="eastAsia" w:cs="宋体" w:asciiTheme="minorEastAsia" w:hAnsiTheme="minorEastAsia" w:eastAsiaTheme="minorEastAsia"/>
          <w:sz w:val="24"/>
          <w:szCs w:val="24"/>
        </w:rPr>
        <w:t xml:space="preserve">就</w:t>
      </w:r>
      <w:bookmarkStart w:id="7" w:name="OLE_LINK19"/>
      <w:r>
        <w:rPr>
          <w:rFonts w:hint="eastAsia" w:cs="___WRD_EMBED_SUB_55" w:asciiTheme="minorEastAsia" w:hAnsiTheme="minorEastAsia" w:eastAsiaTheme="minorEastAsia"/>
          <w:sz w:val="24"/>
          <w:szCs w:val="24"/>
          <w:u w:val="single"/>
        </w:rPr>
        <w:t xml:space="preserve">皂河站配电设备智能化改造</w:t>
      </w:r>
      <w:r>
        <w:rPr>
          <w:rFonts w:hint="eastAsia" w:cs="宋体" w:asciiTheme="minorEastAsia" w:hAnsiTheme="minorEastAsia" w:eastAsiaTheme="minorEastAsia"/>
          <w:sz w:val="24"/>
          <w:szCs w:val="24"/>
        </w:rPr>
        <w:t xml:space="preserve">工程</w:t>
      </w:r>
      <w:bookmarkEnd w:id="7"/>
      <w:r>
        <w:rPr>
          <w:rFonts w:hint="eastAsia" w:cs="宋体" w:asciiTheme="minorEastAsia" w:hAnsiTheme="minorEastAsia" w:eastAsiaTheme="minorEastAsia"/>
          <w:sz w:val="24"/>
          <w:szCs w:val="24"/>
        </w:rPr>
        <w:t xml:space="preserve"> (JSZC-320000-JSHB-C2026-0003)进行竞争性磋商采购，欢迎符合条件的供应商参加磋商。</w:t>
      </w:r>
      <w:r/>
    </w:p>
    <w:p>
      <w:pPr>
        <w:spacing w:line="48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48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4"/>
          <w:u w:val="single"/>
        </w:rPr>
        <w:t xml:space="preserve">皂河站配电设备智能化改造工程</w:t>
      </w:r>
      <w:r>
        <w:rPr>
          <w:rFonts w:hint="eastAsia" w:ascii="宋体" w:hAnsi="宋体" w:cs="宋体"/>
          <w:sz w:val="24"/>
          <w:szCs w:val="24"/>
        </w:rPr>
        <w:t xml:space="preserve">竞争性磋商项目的潜在供应商可在“苏采云”系统（网址：http://jszfcg.jsczt.cn/）或宿迁市政府采购网自行免费下载磋商文件，并于2026年</w:t>
      </w:r>
      <w:r>
        <w:rPr>
          <w:rFonts w:hint="eastAsia" w:ascii="宋体" w:hAnsi="宋体" w:cs="宋体"/>
          <w:sz w:val="24"/>
          <w:szCs w:val="24"/>
          <w:lang w:val="en-US" w:eastAsia="zh-CN"/>
        </w:rPr>
        <w:t xml:space="preserve">08</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时30分（北京</w:t>
      </w:r>
      <w:r>
        <w:rPr>
          <w:rFonts w:hint="eastAsia" w:ascii="宋体" w:hAnsi="宋体" w:cs="宋体"/>
          <w:bCs/>
          <w:sz w:val="24"/>
          <w:szCs w:val="24"/>
        </w:rPr>
        <w:t xml:space="preserve">时间）前递交响应文件</w:t>
      </w:r>
      <w:r>
        <w:rPr>
          <w:rFonts w:hint="eastAsia" w:ascii="宋体" w:hAnsi="宋体" w:cs="宋体"/>
          <w:sz w:val="24"/>
          <w:szCs w:val="24"/>
        </w:rPr>
        <w:t xml:space="preserve">。</w:t>
      </w:r>
      <w:r/>
    </w:p>
    <w:p>
      <w:pPr>
        <w:pStyle w:val="710"/>
        <w:jc w:val="both"/>
        <w:spacing w:before="160" w:after="160" w:line="480" w:lineRule="exact"/>
        <w:rPr>
          <w:rFonts w:ascii="黑体" w:hAnsi="黑体" w:eastAsia="黑体"/>
          <w:b w:val="0"/>
          <w:bCs w:val="0"/>
          <w:sz w:val="32"/>
          <w:szCs w:val="32"/>
        </w:rPr>
      </w:pPr>
      <w:r/>
      <w:bookmarkStart w:id="8" w:name="_Toc28359079"/>
      <w:r/>
      <w:bookmarkStart w:id="9" w:name="_Toc160457373"/>
      <w:r/>
      <w:bookmarkStart w:id="10" w:name="_Toc35393790"/>
      <w:r/>
      <w:bookmarkStart w:id="11" w:name="_Toc35393621"/>
      <w:r/>
      <w:bookmarkStart w:id="12" w:name="_Toc38985263"/>
      <w:r/>
      <w:bookmarkStart w:id="13" w:name="_Toc28359002"/>
      <w:r/>
      <w:bookmarkStart w:id="14" w:name="_Hlk24379207"/>
      <w:r>
        <w:rPr>
          <w:rFonts w:hint="eastAsia" w:ascii="黑体" w:hAnsi="黑体" w:eastAsia="黑体"/>
          <w:b w:val="0"/>
          <w:bCs w:val="0"/>
          <w:sz w:val="32"/>
          <w:szCs w:val="32"/>
        </w:rPr>
        <w:t xml:space="preserve">一、项目基本情况</w:t>
      </w:r>
      <w:bookmarkEnd w:id="8"/>
      <w:r/>
      <w:bookmarkEnd w:id="9"/>
      <w:r/>
      <w:bookmarkEnd w:id="10"/>
      <w:r/>
      <w:bookmarkEnd w:id="11"/>
      <w:r/>
      <w:bookmarkEnd w:id="12"/>
      <w:r/>
      <w:bookmarkEnd w:id="13"/>
      <w:r/>
      <w:r/>
    </w:p>
    <w:p>
      <w:pPr>
        <w:ind w:firstLine="480"/>
        <w:spacing w:line="480" w:lineRule="exact"/>
        <w:rPr>
          <w:rFonts w:ascii="宋体" w:hAnsi="宋体" w:cs="宋体"/>
          <w:sz w:val="24"/>
          <w:szCs w:val="24"/>
        </w:rPr>
      </w:pPr>
      <w:r>
        <w:rPr>
          <w:rFonts w:hint="eastAsia" w:ascii="宋体" w:hAnsi="宋体" w:cs="宋体"/>
          <w:sz w:val="24"/>
          <w:szCs w:val="24"/>
        </w:rPr>
        <w:t xml:space="preserve">1.项目编号：JSZC-320000-JSHB-C2026-0003 </w:t>
      </w:r>
      <w:r>
        <w:rPr>
          <w:rFonts w:ascii="宋体" w:hAnsi="宋体" w:cs="宋体"/>
          <w:sz w:val="24"/>
          <w:szCs w:val="24"/>
        </w:rPr>
        <w:t xml:space="preserve"> </w:t>
      </w:r>
      <w:r>
        <w:rPr>
          <w:rFonts w:hint="eastAsia" w:ascii="宋体" w:hAnsi="宋体" w:cs="宋体"/>
          <w:sz w:val="24"/>
          <w:szCs w:val="24"/>
        </w:rPr>
        <w:t xml:space="preserve">         </w:t>
      </w:r>
      <w:r/>
    </w:p>
    <w:p>
      <w:pPr>
        <w:ind w:firstLine="480"/>
        <w:spacing w:line="480" w:lineRule="exact"/>
        <w:rPr>
          <w:rFonts w:ascii="宋体" w:hAnsi="宋体" w:cs="宋体"/>
          <w:sz w:val="24"/>
          <w:szCs w:val="24"/>
        </w:rPr>
      </w:pPr>
      <w:r>
        <w:rPr>
          <w:rFonts w:hint="eastAsia" w:ascii="宋体" w:hAnsi="宋体" w:cs="宋体"/>
          <w:sz w:val="24"/>
          <w:szCs w:val="24"/>
        </w:rPr>
        <w:t xml:space="preserve">2.项目名称：</w:t>
      </w:r>
      <w:bookmarkEnd w:id="14"/>
      <w:r>
        <w:rPr>
          <w:rFonts w:hint="eastAsia" w:ascii="宋体" w:hAnsi="宋体" w:cs="宋体"/>
          <w:sz w:val="24"/>
          <w:szCs w:val="24"/>
        </w:rPr>
        <w:t xml:space="preserve">皂河站配电设备智能化改造工程</w:t>
      </w:r>
      <w:r/>
    </w:p>
    <w:p>
      <w:pPr>
        <w:ind w:firstLine="480"/>
        <w:spacing w:line="48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3.预算金额</w:t>
      </w:r>
      <w:r>
        <w:rPr>
          <w:rFonts w:hint="eastAsia" w:ascii="宋体" w:hAnsi="宋体" w:cs="宋体"/>
          <w:sz w:val="24"/>
          <w:szCs w:val="24"/>
        </w:rPr>
        <w:t xml:space="preserve">：2</w:t>
      </w:r>
      <w:r>
        <w:rPr>
          <w:rFonts w:ascii="宋体" w:hAnsi="宋体" w:cs="宋体"/>
          <w:sz w:val="24"/>
          <w:szCs w:val="24"/>
        </w:rPr>
        <w:t xml:space="preserve">03</w:t>
      </w:r>
      <w:r>
        <w:rPr>
          <w:rFonts w:hint="eastAsia" w:ascii="宋体" w:hAnsi="宋体" w:cs="宋体"/>
          <w:sz w:val="24"/>
          <w:szCs w:val="24"/>
        </w:rPr>
        <w:t xml:space="preserve">万元</w:t>
      </w:r>
      <w:r/>
    </w:p>
    <w:p>
      <w:pPr>
        <w:ind w:firstLine="480"/>
        <w:spacing w:line="480" w:lineRule="exact"/>
        <w:rPr>
          <w:rFonts w:ascii="宋体" w:hAnsi="宋体" w:cs="宋体"/>
          <w:sz w:val="24"/>
          <w:szCs w:val="24"/>
        </w:rPr>
      </w:pPr>
      <w:r>
        <w:rPr>
          <w:rFonts w:hint="eastAsia" w:ascii="宋体" w:hAnsi="宋体" w:cs="宋体"/>
          <w:sz w:val="24"/>
          <w:szCs w:val="24"/>
        </w:rPr>
        <w:t xml:space="preserve">4.本项目设定最高限价，最高限价为</w:t>
      </w:r>
      <w:r>
        <w:rPr>
          <w:rFonts w:ascii="宋体" w:hAnsi="宋体" w:cs="宋体"/>
          <w:sz w:val="24"/>
          <w:szCs w:val="24"/>
        </w:rPr>
        <w:t xml:space="preserve">1948935</w:t>
      </w:r>
      <w:r>
        <w:rPr>
          <w:rFonts w:hint="eastAsia" w:ascii="宋体" w:hAnsi="宋体" w:cs="宋体"/>
          <w:sz w:val="24"/>
          <w:szCs w:val="24"/>
        </w:rPr>
        <w:t xml:space="preserve">元（其中皂河站高压开关柜改造</w:t>
      </w:r>
      <w:r>
        <w:rPr>
          <w:rFonts w:ascii="宋体" w:hAnsi="宋体" w:cs="宋体"/>
          <w:sz w:val="24"/>
          <w:szCs w:val="24"/>
        </w:rPr>
        <w:t xml:space="preserve">633595</w:t>
      </w:r>
      <w:r>
        <w:rPr>
          <w:rFonts w:hint="eastAsia" w:ascii="宋体" w:hAnsi="宋体" w:cs="宋体"/>
          <w:sz w:val="24"/>
          <w:szCs w:val="24"/>
        </w:rPr>
        <w:t xml:space="preserve">元；皂河站低压开关柜改造</w:t>
      </w:r>
      <w:r>
        <w:rPr>
          <w:rFonts w:ascii="宋体" w:hAnsi="宋体" w:cs="宋体"/>
          <w:sz w:val="24"/>
          <w:szCs w:val="24"/>
        </w:rPr>
        <w:t xml:space="preserve">816569</w:t>
      </w:r>
      <w:r>
        <w:rPr>
          <w:rFonts w:hint="eastAsia" w:ascii="宋体" w:hAnsi="宋体" w:cs="宋体"/>
          <w:sz w:val="24"/>
          <w:szCs w:val="24"/>
        </w:rPr>
        <w:t xml:space="preserve">元；皂河站辅机控制系统改造</w:t>
      </w:r>
      <w:r>
        <w:rPr>
          <w:rFonts w:ascii="宋体" w:hAnsi="宋体" w:cs="宋体"/>
          <w:sz w:val="24"/>
          <w:szCs w:val="24"/>
        </w:rPr>
        <w:t xml:space="preserve">498771</w:t>
      </w:r>
      <w:r>
        <w:rPr>
          <w:rFonts w:hint="eastAsia" w:ascii="宋体" w:hAnsi="宋体" w:cs="宋体"/>
          <w:sz w:val="24"/>
          <w:szCs w:val="24"/>
        </w:rPr>
        <w:t xml:space="preserve">元）。</w:t>
      </w:r>
      <w:r/>
    </w:p>
    <w:p>
      <w:pPr>
        <w:ind w:firstLine="480"/>
        <w:spacing w:line="480" w:lineRule="exact"/>
        <w:rPr>
          <w:rFonts w:ascii="宋体" w:hAnsi="宋体" w:cs="宋体"/>
          <w:sz w:val="24"/>
          <w:szCs w:val="24"/>
          <w:u w:val="single"/>
        </w:rPr>
      </w:pPr>
      <w:r>
        <w:rPr>
          <w:rFonts w:hint="eastAsia" w:ascii="宋体" w:hAnsi="宋体" w:cs="宋体"/>
          <w:sz w:val="24"/>
          <w:szCs w:val="24"/>
        </w:rPr>
        <w:t xml:space="preserve">5.采购需求：</w:t>
      </w:r>
      <w:bookmarkStart w:id="15" w:name="OLE_LINK18"/>
      <w:r/>
      <w:bookmarkStart w:id="16" w:name="OLE_LINK17"/>
      <w:r>
        <w:rPr>
          <w:rFonts w:hint="eastAsia" w:ascii="宋体" w:hAnsi="宋体" w:cs="宋体"/>
          <w:sz w:val="24"/>
          <w:szCs w:val="24"/>
        </w:rPr>
        <w:t xml:space="preserve">皂河站配电设备智能化改造工程，本次主要内容为皂河站高压开关柜改造、皂河站低压开关柜改造、皂河站辅机控制系统改造</w:t>
      </w:r>
      <w:bookmarkEnd w:id="15"/>
      <w:r/>
      <w:bookmarkEnd w:id="16"/>
      <w:r>
        <w:rPr>
          <w:rFonts w:hint="eastAsia" w:ascii="宋体" w:hAnsi="宋体" w:cs="宋体"/>
          <w:sz w:val="24"/>
          <w:szCs w:val="24"/>
        </w:rPr>
        <w:t xml:space="preserve">，详细内容见本磋商文件第四章采购需求部分。</w:t>
      </w:r>
      <w:r/>
    </w:p>
    <w:p>
      <w:pPr>
        <w:ind w:firstLine="480"/>
        <w:spacing w:line="480" w:lineRule="exact"/>
        <w:rPr>
          <w:rFonts w:ascii="宋体" w:hAnsi="宋体" w:cs="宋体"/>
          <w:sz w:val="24"/>
          <w:szCs w:val="24"/>
        </w:rPr>
      </w:pPr>
      <w:r>
        <w:rPr>
          <w:rFonts w:hint="eastAsia" w:ascii="宋体" w:hAnsi="宋体" w:cs="宋体"/>
          <w:sz w:val="24"/>
          <w:szCs w:val="24"/>
        </w:rPr>
        <w:t xml:space="preserve">6.合同履行期限：</w:t>
      </w:r>
      <w:r>
        <w:rPr>
          <w:rFonts w:ascii="宋体" w:hAnsi="宋体" w:cs="宋体"/>
          <w:sz w:val="24"/>
          <w:szCs w:val="24"/>
        </w:rPr>
        <w:t xml:space="preserve">60</w:t>
      </w:r>
      <w:r>
        <w:rPr>
          <w:rFonts w:hint="eastAsia" w:ascii="宋体" w:hAnsi="宋体" w:cs="宋体"/>
          <w:sz w:val="24"/>
          <w:szCs w:val="24"/>
        </w:rPr>
        <w:t xml:space="preserve">日历天。</w:t>
      </w:r>
      <w:r/>
    </w:p>
    <w:p>
      <w:pPr>
        <w:ind w:firstLine="480"/>
        <w:spacing w:line="480" w:lineRule="exact"/>
        <w:rPr>
          <w:rFonts w:ascii="宋体" w:hAnsi="宋体" w:cs="宋体"/>
          <w:sz w:val="24"/>
          <w:szCs w:val="24"/>
          <w:u w:val="single"/>
        </w:rPr>
      </w:pPr>
      <w:r>
        <w:rPr>
          <w:rFonts w:hint="eastAsia" w:ascii="宋体" w:hAnsi="宋体" w:cs="宋体"/>
          <w:sz w:val="24"/>
          <w:szCs w:val="24"/>
        </w:rPr>
        <w:t xml:space="preserve">7.本项目不接受联合体参与磋商。</w:t>
      </w:r>
      <w:r/>
    </w:p>
    <w:p>
      <w:pPr>
        <w:pStyle w:val="710"/>
        <w:jc w:val="both"/>
        <w:spacing w:before="160" w:after="160" w:line="480" w:lineRule="exact"/>
        <w:rPr>
          <w:rFonts w:ascii="黑体" w:hAnsi="黑体" w:eastAsia="黑体"/>
          <w:b w:val="0"/>
          <w:bCs w:val="0"/>
          <w:sz w:val="32"/>
          <w:szCs w:val="32"/>
        </w:rPr>
      </w:pPr>
      <w:r/>
      <w:bookmarkStart w:id="17" w:name="_Toc35393791"/>
      <w:r/>
      <w:bookmarkStart w:id="18" w:name="_Toc160457374"/>
      <w:r/>
      <w:bookmarkStart w:id="19" w:name="_Toc35393622"/>
      <w:r/>
      <w:bookmarkStart w:id="20" w:name="_Toc28359080"/>
      <w:r/>
      <w:bookmarkStart w:id="21" w:name="_Toc38985264"/>
      <w:r/>
      <w:bookmarkStart w:id="22" w:name="_Toc28359003"/>
      <w:r>
        <w:rPr>
          <w:rFonts w:hint="eastAsia" w:ascii="黑体" w:hAnsi="黑体" w:eastAsia="黑体"/>
          <w:b w:val="0"/>
          <w:bCs w:val="0"/>
          <w:sz w:val="32"/>
          <w:szCs w:val="32"/>
        </w:rPr>
        <w:t xml:space="preserve">二、申请人的资格要求：</w:t>
      </w:r>
      <w:bookmarkEnd w:id="17"/>
      <w:r/>
      <w:bookmarkEnd w:id="18"/>
      <w:r/>
      <w:bookmarkEnd w:id="19"/>
      <w:r/>
      <w:bookmarkEnd w:id="20"/>
      <w:r/>
      <w:bookmarkEnd w:id="21"/>
      <w:r/>
      <w:bookmarkEnd w:id="22"/>
      <w:r/>
      <w:r/>
    </w:p>
    <w:p>
      <w:pPr>
        <w:ind w:firstLine="480"/>
        <w:spacing w:line="480" w:lineRule="exact"/>
        <w:rPr>
          <w:rFonts w:ascii="宋体" w:hAnsi="宋体" w:cs="宋体"/>
          <w:sz w:val="24"/>
          <w:szCs w:val="24"/>
        </w:rPr>
      </w:pPr>
      <w:r/>
      <w:bookmarkStart w:id="23" w:name="_Toc35393623"/>
      <w:r/>
      <w:bookmarkStart w:id="24" w:name="_Toc28359081"/>
      <w:r/>
      <w:bookmarkStart w:id="25" w:name="_Toc28359004"/>
      <w:r/>
      <w:bookmarkStart w:id="26" w:name="_Toc38985265"/>
      <w:r/>
      <w:bookmarkStart w:id="27" w:name="_Toc35393792"/>
      <w:r>
        <w:rPr>
          <w:rFonts w:hint="eastAsia" w:ascii="宋体" w:hAnsi="宋体" w:cs="宋体"/>
          <w:sz w:val="24"/>
          <w:szCs w:val="24"/>
        </w:rPr>
        <w:t xml:space="preserve">（一）通用资格要求</w:t>
      </w:r>
      <w:r/>
    </w:p>
    <w:p>
      <w:pPr>
        <w:ind w:firstLine="480"/>
        <w:spacing w:line="480" w:lineRule="exact"/>
        <w:rPr>
          <w:rFonts w:ascii="宋体" w:hAnsi="宋体" w:cs="宋体"/>
          <w:sz w:val="24"/>
          <w:szCs w:val="24"/>
        </w:rPr>
      </w:pPr>
      <w:r>
        <w:rPr>
          <w:rFonts w:hint="eastAsia" w:ascii="宋体" w:hAnsi="宋体" w:cs="宋体"/>
          <w:sz w:val="24"/>
          <w:szCs w:val="24"/>
        </w:rPr>
        <w:t xml:space="preserve">1.具备《中华人民共和国政府采购法》第二十二条第一款规定的6项条件（按要求提供声明及信用承诺）；</w:t>
      </w:r>
      <w:r/>
    </w:p>
    <w:p>
      <w:pPr>
        <w:ind w:firstLine="480"/>
        <w:spacing w:line="480" w:lineRule="exact"/>
        <w:rPr>
          <w:rFonts w:ascii="宋体" w:hAnsi="宋体" w:cs="宋体"/>
          <w:sz w:val="24"/>
          <w:szCs w:val="24"/>
        </w:rPr>
      </w:pPr>
      <w:r>
        <w:rPr>
          <w:rFonts w:hint="eastAsia" w:ascii="宋体" w:hAnsi="宋体" w:cs="宋体"/>
          <w:sz w:val="24"/>
          <w:szCs w:val="24"/>
        </w:rPr>
        <w:t xml:space="preserve">2.信用信息。信用信息查询渠道：“信用中国”网（www.creditchina.gov.cn）、“中国政府采购”网（www.ccgp.gov.cn）、江苏政府采购网（www.ccgp-jiangsu.gov.cn）。    </w:t>
      </w:r>
      <w:r/>
    </w:p>
    <w:p>
      <w:pPr>
        <w:ind w:firstLine="480"/>
        <w:spacing w:line="480" w:lineRule="exact"/>
        <w:rPr>
          <w:rFonts w:ascii="宋体" w:hAnsi="宋体" w:cs="宋体"/>
          <w:sz w:val="24"/>
          <w:szCs w:val="24"/>
        </w:rPr>
      </w:pPr>
      <w:r>
        <w:rPr>
          <w:rFonts w:hint="eastAsia" w:ascii="宋体" w:hAnsi="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宋体" w:hAnsi="宋体" w:cs="宋体"/>
          <w:sz w:val="24"/>
          <w:szCs w:val="24"/>
        </w:rPr>
      </w:pPr>
      <w:r>
        <w:rPr>
          <w:rFonts w:hint="eastAsia" w:ascii="宋体" w:hAnsi="宋体" w:cs="宋体"/>
          <w:sz w:val="24"/>
          <w:szCs w:val="24"/>
        </w:rPr>
        <w:t xml:space="preserve">3.落实政府采购政策需满足的资格要求：无</w:t>
      </w:r>
      <w:r/>
    </w:p>
    <w:p>
      <w:pPr>
        <w:ind w:firstLine="480"/>
        <w:spacing w:line="480" w:lineRule="exact"/>
        <w:rPr>
          <w:rFonts w:ascii="宋体" w:hAnsi="宋体" w:cs="宋体"/>
          <w:sz w:val="24"/>
          <w:szCs w:val="24"/>
        </w:rPr>
      </w:pPr>
      <w:r>
        <w:rPr>
          <w:rFonts w:hint="eastAsia" w:ascii="宋体" w:hAnsi="宋体" w:cs="宋体"/>
          <w:sz w:val="24"/>
          <w:szCs w:val="24"/>
        </w:rPr>
        <w:t xml:space="preserve">（二）本项目的特定资格要求</w:t>
      </w:r>
      <w:bookmarkStart w:id="28" w:name="_Toc160457375"/>
      <w:r/>
      <w:r/>
    </w:p>
    <w:p>
      <w:pPr>
        <w:ind w:firstLine="480"/>
        <w:spacing w:line="480" w:lineRule="exact"/>
        <w:rPr>
          <w:rFonts w:ascii="宋体" w:hAnsi="宋体" w:cs="宋体"/>
          <w:sz w:val="24"/>
          <w:szCs w:val="24"/>
        </w:rPr>
      </w:pPr>
      <w:r>
        <w:rPr>
          <w:rFonts w:hint="eastAsia" w:ascii="宋体" w:hAnsi="宋体" w:cs="宋体"/>
          <w:sz w:val="24"/>
          <w:szCs w:val="24"/>
        </w:rPr>
        <w:t xml:space="preserve">1.供应商具有有效的电力工程施工总承包三级及以上或输变电工程专业承包三级及以上资质，同时具有承装（修、试）电力设施许可证三级及以上资质；且在投标文件递交截止时间当日，登录“江苏省建筑市场监管与诚信信息一体化平台”查询，该资质动态监管结果不处于不合格状态。</w:t>
      </w:r>
      <w:r/>
    </w:p>
    <w:p>
      <w:pPr>
        <w:pStyle w:val="1317"/>
        <w:ind w:firstLine="480"/>
        <w:spacing w:after="0" w:line="480" w:lineRule="exact"/>
        <w:tabs>
          <w:tab w:val="left" w:pos="312" w:leader="none"/>
        </w:tabs>
        <w:rPr>
          <w:rFonts w:ascii="宋体" w:hAnsi="宋体" w:eastAsia="宋体" w:cs="宋体"/>
        </w:rPr>
      </w:pPr>
      <w:r>
        <w:rPr>
          <w:rFonts w:hint="eastAsia" w:ascii="宋体" w:hAnsi="宋体" w:eastAsia="宋体" w:cs="宋体"/>
        </w:rPr>
        <w:t xml:space="preserve">2.拟选派</w:t>
      </w:r>
      <w:r>
        <w:rPr>
          <w:rFonts w:hint="eastAsia" w:cs="宋体" w:asciiTheme="minorEastAsia" w:hAnsiTheme="minorEastAsia" w:eastAsiaTheme="minorEastAsia"/>
          <w:szCs w:val="21"/>
        </w:rPr>
        <w:t xml:space="preserve">项目负责人（项目经理）</w:t>
      </w:r>
      <w:r>
        <w:rPr>
          <w:rFonts w:hint="eastAsia" w:ascii="宋体" w:hAnsi="宋体" w:eastAsia="宋体" w:cs="宋体"/>
        </w:rPr>
        <w:t xml:space="preserve">资质等级</w:t>
      </w:r>
      <w:r>
        <w:rPr>
          <w:rFonts w:ascii="宋体" w:hAnsi="宋体" w:eastAsia="宋体" w:cs="宋体"/>
        </w:rPr>
        <w:t xml:space="preserve">：</w:t>
      </w:r>
      <w:r>
        <w:rPr>
          <w:rFonts w:hint="eastAsia" w:ascii="宋体" w:hAnsi="宋体" w:eastAsia="宋体" w:cs="宋体"/>
        </w:rPr>
        <w:t xml:space="preserve">具有机电安装工程专业注册建造师二级及以上注册建造师资格；同时具有在有效期内的安全生产考核合格证（B类）；</w:t>
      </w:r>
      <w:r/>
    </w:p>
    <w:p>
      <w:pPr>
        <w:pStyle w:val="1317"/>
        <w:ind w:firstLine="480"/>
        <w:spacing w:after="0" w:line="480" w:lineRule="exact"/>
        <w:tabs>
          <w:tab w:val="left" w:pos="312" w:leader="none"/>
        </w:tabs>
        <w:rPr>
          <w:rFonts w:ascii="宋体" w:hAnsi="宋体" w:eastAsia="宋体" w:cs="宋体"/>
        </w:rPr>
      </w:pPr>
      <w:r>
        <w:rPr>
          <w:rFonts w:hint="eastAsia" w:ascii="宋体" w:hAnsi="宋体" w:eastAsia="宋体" w:cs="宋体"/>
        </w:rPr>
        <w:t xml:space="preserve">3.供应商具备安全生产条件，并取得有效的安全生产许可证；</w:t>
      </w:r>
      <w:r/>
    </w:p>
    <w:p>
      <w:pPr>
        <w:pStyle w:val="1317"/>
        <w:ind w:firstLine="480"/>
        <w:spacing w:after="0" w:line="480" w:lineRule="exact"/>
        <w:tabs>
          <w:tab w:val="left" w:pos="312" w:leader="none"/>
        </w:tabs>
        <w:rPr>
          <w:rFonts w:ascii="宋体" w:hAnsi="宋体" w:eastAsia="宋体" w:cs="宋体"/>
        </w:rPr>
      </w:pPr>
      <w:r>
        <w:rPr>
          <w:rFonts w:hint="eastAsia" w:ascii="宋体" w:hAnsi="宋体" w:eastAsia="宋体" w:cs="宋体"/>
        </w:rPr>
        <w:t xml:space="preserve">4.供应商拟选派的</w:t>
      </w:r>
      <w:r>
        <w:rPr>
          <w:rFonts w:hint="eastAsia" w:cs="宋体" w:asciiTheme="minorEastAsia" w:hAnsiTheme="minorEastAsia" w:eastAsiaTheme="minorEastAsia"/>
          <w:szCs w:val="21"/>
        </w:rPr>
        <w:t xml:space="preserve">项目负责人（项目经理）</w:t>
      </w:r>
      <w:r>
        <w:rPr>
          <w:rFonts w:hint="eastAsia" w:ascii="宋体" w:hAnsi="宋体" w:eastAsia="宋体" w:cs="宋体"/>
        </w:rPr>
        <w:t xml:space="preserve">必须为本单位人员，提供磋商前6个月内本单位为其办理的任意一个月社会养老保险或医疗保险缴纳证明材料；</w:t>
      </w:r>
      <w:r/>
    </w:p>
    <w:p>
      <w:pPr>
        <w:pStyle w:val="1317"/>
        <w:ind w:firstLine="480"/>
        <w:spacing w:after="0" w:line="480" w:lineRule="exact"/>
        <w:tabs>
          <w:tab w:val="left" w:pos="312" w:leader="none"/>
        </w:tabs>
        <w:rPr>
          <w:rFonts w:ascii="宋体" w:hAnsi="宋体" w:eastAsia="宋体" w:cs="宋体"/>
        </w:rPr>
      </w:pPr>
      <w:r>
        <w:rPr>
          <w:rFonts w:hint="eastAsia" w:ascii="宋体" w:hAnsi="宋体" w:cs="宋体"/>
        </w:rPr>
        <w:t xml:space="preserve">5</w:t>
      </w:r>
      <w:r>
        <w:rPr>
          <w:rFonts w:ascii="宋体" w:hAnsi="宋体" w:cs="宋体"/>
        </w:rPr>
        <w:t xml:space="preserve">.</w:t>
      </w:r>
      <w:r>
        <w:rPr>
          <w:rFonts w:hint="eastAsia" w:ascii="宋体" w:hAnsi="宋体" w:cs="宋体"/>
          <w:szCs w:val="21"/>
        </w:rPr>
        <w:t xml:space="preserve"> 供应商拟派</w:t>
      </w:r>
      <w:r>
        <w:rPr>
          <w:rFonts w:hint="eastAsia" w:cs="宋体" w:asciiTheme="minorEastAsia" w:hAnsiTheme="minorEastAsia" w:eastAsiaTheme="minorEastAsia"/>
          <w:szCs w:val="21"/>
        </w:rPr>
        <w:t xml:space="preserve">项目负责人（项目经理）须</w:t>
      </w:r>
      <w:r>
        <w:rPr>
          <w:rFonts w:hint="eastAsia" w:ascii="宋体" w:hAnsi="宋体" w:cs="宋体"/>
          <w:szCs w:val="21"/>
        </w:rPr>
        <w:t xml:space="preserve">无在建工程。</w:t>
      </w:r>
      <w:r/>
    </w:p>
    <w:p>
      <w:pPr>
        <w:ind w:firstLine="480"/>
        <w:spacing w:line="460" w:lineRule="exact"/>
        <w:rPr>
          <w:rFonts w:ascii="宋体" w:hAnsi="宋体" w:cs="宋体"/>
          <w:sz w:val="24"/>
          <w:szCs w:val="24"/>
        </w:rPr>
      </w:pPr>
      <w:r>
        <w:rPr>
          <w:rFonts w:hint="eastAsia" w:ascii="宋体" w:hAnsi="宋体" w:cs="宋体"/>
          <w:sz w:val="24"/>
          <w:szCs w:val="24"/>
        </w:rPr>
        <w:t xml:space="preserve">（三）供应商未被列入失信被执行人、重大税收违法案件当事人名单、政府采购严重违法失信行为记录名单。</w:t>
      </w:r>
      <w:r/>
    </w:p>
    <w:p>
      <w:pPr>
        <w:ind w:firstLine="480"/>
        <w:spacing w:line="460" w:lineRule="exact"/>
        <w:rPr>
          <w:rFonts w:ascii="宋体" w:hAnsi="宋体" w:cs="宋体"/>
          <w:sz w:val="24"/>
          <w:szCs w:val="24"/>
        </w:rPr>
      </w:pPr>
      <w:r>
        <w:rPr>
          <w:rFonts w:hint="eastAsia" w:ascii="宋体" w:hAnsi="宋体" w:cs="宋体"/>
          <w:sz w:val="24"/>
          <w:szCs w:val="24"/>
        </w:rPr>
        <w:t xml:space="preserve">（四）本项目不接受联合体竞标。</w:t>
      </w:r>
      <w:r/>
    </w:p>
    <w:p>
      <w:pPr>
        <w:ind w:firstLine="480"/>
        <w:spacing w:line="460" w:lineRule="exact"/>
        <w:rPr>
          <w:rFonts w:ascii="宋体" w:hAnsi="宋体" w:cs="宋体"/>
          <w:sz w:val="24"/>
          <w:szCs w:val="24"/>
        </w:rPr>
      </w:pPr>
      <w:r>
        <w:rPr>
          <w:rFonts w:hint="eastAsia" w:ascii="宋体" w:hAnsi="宋体" w:cs="宋体"/>
          <w:sz w:val="24"/>
          <w:szCs w:val="24"/>
        </w:rPr>
        <w:t xml:space="preserve">（五）符合相关法律、法规、规章、政府规范性文件规定的其他条件。</w:t>
      </w:r>
      <w:r/>
    </w:p>
    <w:p>
      <w:pPr>
        <w:ind w:firstLine="480"/>
        <w:spacing w:line="460" w:lineRule="exact"/>
        <w:rPr>
          <w:rFonts w:ascii="宋体" w:hAnsi="宋体" w:cs="宋体"/>
          <w:sz w:val="24"/>
          <w:szCs w:val="24"/>
        </w:rPr>
      </w:pPr>
      <w:r>
        <w:rPr>
          <w:rFonts w:hint="eastAsia" w:ascii="宋体" w:hAnsi="宋体" w:cs="宋体"/>
          <w:sz w:val="24"/>
          <w:szCs w:val="24"/>
        </w:rPr>
        <w:t xml:space="preserve">单位负责人为同一人或者存在直接控股、管理关系的不同供应商，不得参加同一合同项下的政府采购活动。否则，相关竞标均无效。</w:t>
      </w:r>
      <w:r/>
    </w:p>
    <w:p>
      <w:pPr>
        <w:ind w:firstLine="480"/>
        <w:spacing w:line="500" w:lineRule="exact"/>
        <w:rPr>
          <w:rFonts w:ascii="黑体" w:hAnsi="黑体" w:eastAsia="黑体"/>
          <w:sz w:val="32"/>
          <w:szCs w:val="32"/>
        </w:rPr>
      </w:pPr>
      <w:r>
        <w:rPr>
          <w:rFonts w:hint="eastAsia" w:ascii="黑体" w:hAnsi="黑体" w:eastAsia="黑体"/>
          <w:sz w:val="32"/>
          <w:szCs w:val="32"/>
        </w:rPr>
        <w:t xml:space="preserve">三、</w:t>
      </w:r>
      <w:bookmarkEnd w:id="23"/>
      <w:r/>
      <w:bookmarkEnd w:id="24"/>
      <w:r/>
      <w:bookmarkEnd w:id="25"/>
      <w:r/>
      <w:bookmarkEnd w:id="26"/>
      <w:r/>
      <w:bookmarkEnd w:id="27"/>
      <w:r/>
      <w:bookmarkEnd w:id="28"/>
      <w:r>
        <w:rPr>
          <w:rFonts w:hint="eastAsia" w:ascii="黑体" w:hAnsi="黑体" w:eastAsia="黑体"/>
          <w:sz w:val="32"/>
          <w:szCs w:val="32"/>
        </w:rPr>
        <w:t xml:space="preserve">获取采购文件</w:t>
      </w:r>
      <w:r/>
    </w:p>
    <w:p>
      <w:pPr>
        <w:ind w:firstLine="480"/>
        <w:spacing w:line="500" w:lineRule="exact"/>
        <w:rPr>
          <w:rFonts w:ascii="宋体" w:hAnsi="宋体" w:cs="宋体"/>
          <w:sz w:val="24"/>
          <w:szCs w:val="24"/>
        </w:rPr>
      </w:pPr>
      <w:r/>
      <w:bookmarkStart w:id="29" w:name="_Toc160457376"/>
      <w:r/>
      <w:bookmarkStart w:id="30" w:name="_Toc35393793"/>
      <w:r/>
      <w:bookmarkStart w:id="31" w:name="_Toc38985266"/>
      <w:r/>
      <w:bookmarkStart w:id="32" w:name="_Toc28359082"/>
      <w:r/>
      <w:bookmarkStart w:id="33" w:name="_Toc28359005"/>
      <w:r/>
      <w:bookmarkStart w:id="34" w:name="_Toc35393624"/>
      <w:r>
        <w:rPr>
          <w:rFonts w:hint="eastAsia" w:ascii="宋体" w:hAnsi="宋体" w:cs="宋体"/>
          <w:sz w:val="24"/>
          <w:szCs w:val="24"/>
        </w:rPr>
        <w:t xml:space="preserve">1.时间：自磋商文件公告发布之日起5个工作日</w:t>
      </w:r>
      <w:r/>
    </w:p>
    <w:p>
      <w:pPr>
        <w:ind w:firstLine="480"/>
        <w:spacing w:line="500" w:lineRule="exact"/>
        <w:rPr>
          <w:rFonts w:ascii="宋体" w:hAnsi="宋体" w:cs="宋体"/>
          <w:sz w:val="24"/>
          <w:szCs w:val="24"/>
        </w:rPr>
      </w:pPr>
      <w:r>
        <w:rPr>
          <w:rFonts w:hint="eastAsia" w:ascii="宋体" w:hAnsi="宋体" w:cs="宋体"/>
          <w:sz w:val="24"/>
          <w:szCs w:val="24"/>
        </w:rPr>
        <w:t xml:space="preserve">2.地点：“苏采云”系统（网址： http://jszfcg.jsczt.cn/）或宿迁市政府采购网</w:t>
      </w:r>
      <w:r/>
    </w:p>
    <w:p>
      <w:pPr>
        <w:ind w:firstLine="480"/>
        <w:spacing w:line="500" w:lineRule="exact"/>
        <w:rPr>
          <w:rFonts w:ascii="宋体" w:hAnsi="宋体" w:cs="宋体"/>
          <w:sz w:val="24"/>
          <w:szCs w:val="24"/>
        </w:rPr>
      </w:pPr>
      <w:r>
        <w:rPr>
          <w:rFonts w:hint="eastAsia" w:ascii="宋体" w:hAnsi="宋体" w:cs="宋体"/>
          <w:sz w:val="24"/>
          <w:szCs w:val="24"/>
        </w:rPr>
        <w:t xml:space="preserve">3.方式：供应商应在采购文件提供的时间内，通过“苏采云”系统（网址：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710"/>
        <w:jc w:val="both"/>
        <w:spacing w:before="160" w:after="160" w:line="480" w:lineRule="exact"/>
        <w:rPr>
          <w:rFonts w:ascii="黑体" w:hAnsi="黑体" w:eastAsia="黑体"/>
          <w:b w:val="0"/>
          <w:bCs w:val="0"/>
          <w:sz w:val="32"/>
          <w:szCs w:val="32"/>
        </w:rPr>
      </w:pPr>
      <w:r>
        <w:rPr>
          <w:rFonts w:hint="eastAsia" w:ascii="黑体" w:hAnsi="黑体" w:eastAsia="黑体"/>
          <w:b w:val="0"/>
          <w:bCs w:val="0"/>
          <w:sz w:val="32"/>
          <w:szCs w:val="32"/>
        </w:rPr>
        <w:t xml:space="preserve">四、</w:t>
      </w:r>
      <w:bookmarkEnd w:id="29"/>
      <w:r/>
      <w:bookmarkEnd w:id="30"/>
      <w:r/>
      <w:bookmarkEnd w:id="31"/>
      <w:r/>
      <w:bookmarkEnd w:id="32"/>
      <w:r/>
      <w:bookmarkEnd w:id="33"/>
      <w:r/>
      <w:bookmarkEnd w:id="34"/>
      <w:r>
        <w:rPr>
          <w:rFonts w:hint="eastAsia" w:ascii="黑体" w:hAnsi="黑体" w:eastAsia="黑体"/>
          <w:b w:val="0"/>
          <w:bCs w:val="0"/>
          <w:sz w:val="32"/>
          <w:szCs w:val="32"/>
        </w:rPr>
        <w:t xml:space="preserve">响应文件提交</w:t>
      </w:r>
      <w:r/>
    </w:p>
    <w:p>
      <w:pPr>
        <w:ind w:firstLine="480"/>
        <w:spacing w:line="400" w:lineRule="exact"/>
        <w:rPr>
          <w:rFonts w:ascii="宋体" w:hAnsi="宋体" w:cs="宋体"/>
          <w:sz w:val="24"/>
          <w:szCs w:val="24"/>
          <w:highlight w:val="none"/>
        </w:rPr>
      </w:pPr>
      <w:r/>
      <w:bookmarkStart w:id="35" w:name="_Toc28359007"/>
      <w:r/>
      <w:bookmarkStart w:id="36" w:name="_Toc35393794"/>
      <w:r/>
      <w:bookmarkStart w:id="37" w:name="_Toc28359084"/>
      <w:r/>
      <w:bookmarkStart w:id="38" w:name="_Toc35393625"/>
      <w:r/>
      <w:bookmarkStart w:id="39" w:name="_Toc160457377"/>
      <w:r/>
      <w:bookmarkStart w:id="40" w:name="_Toc38985267"/>
      <w:r/>
      <w:bookmarkStart w:id="303" w:name="_GoBack"/>
      <w:r>
        <w:rPr>
          <w:rFonts w:hint="eastAsia" w:ascii="宋体" w:hAnsi="宋体" w:cs="宋体"/>
          <w:sz w:val="24"/>
          <w:szCs w:val="24"/>
          <w:highlight w:val="none"/>
        </w:rPr>
        <w:t xml:space="preserve">截止时间：2026-0</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:30 （北京时间）</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地点：“苏采云”政府采购交易系统网上开标大厅。</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五、开启</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时间：2026-0</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:30 （北京时间）</w:t>
      </w:r>
      <w:r/>
    </w:p>
    <w:p>
      <w:pPr>
        <w:ind w:firstLine="480"/>
        <w:spacing w:line="400" w:lineRule="exact"/>
        <w:rPr>
          <w:rFonts w:ascii="宋体" w:hAnsi="宋体" w:cs="宋体"/>
          <w:sz w:val="24"/>
          <w:szCs w:val="24"/>
        </w:rPr>
      </w:pPr>
      <w:r>
        <w:rPr>
          <w:rFonts w:hint="eastAsia" w:ascii="宋体" w:hAnsi="宋体" w:cs="宋体"/>
          <w:sz w:val="24"/>
          <w:szCs w:val="24"/>
          <w:highlight w:val="none"/>
        </w:rPr>
        <w:t xml:space="preserve">地点：“苏采云”政府采购交</w:t>
      </w:r>
      <w:bookmarkEnd w:id="303"/>
      <w:r>
        <w:rPr>
          <w:rFonts w:hint="eastAsia" w:ascii="宋体" w:hAnsi="宋体" w:cs="宋体"/>
          <w:sz w:val="24"/>
          <w:szCs w:val="24"/>
        </w:rPr>
        <w:t xml:space="preserve">易系统网上开标大厅。</w:t>
      </w:r>
      <w:r/>
    </w:p>
    <w:p>
      <w:pPr>
        <w:pStyle w:val="710"/>
        <w:jc w:val="both"/>
        <w:spacing w:before="160" w:after="160" w:line="480" w:lineRule="exact"/>
        <w:rPr>
          <w:rFonts w:ascii="黑体" w:hAnsi="黑体" w:eastAsia="黑体"/>
          <w:b w:val="0"/>
          <w:bCs w:val="0"/>
          <w:sz w:val="32"/>
          <w:szCs w:val="32"/>
        </w:rPr>
      </w:pPr>
      <w:r>
        <w:rPr>
          <w:rFonts w:hint="eastAsia" w:ascii="黑体" w:hAnsi="黑体" w:eastAsia="黑体"/>
          <w:b w:val="0"/>
          <w:bCs w:val="0"/>
          <w:sz w:val="32"/>
          <w:szCs w:val="32"/>
        </w:rPr>
        <w:t xml:space="preserve">六、公告期限</w:t>
      </w:r>
      <w:bookmarkEnd w:id="35"/>
      <w:r/>
      <w:bookmarkEnd w:id="36"/>
      <w:r/>
      <w:bookmarkEnd w:id="37"/>
      <w:r/>
      <w:bookmarkEnd w:id="38"/>
      <w:r/>
      <w:bookmarkEnd w:id="39"/>
      <w:r/>
      <w:bookmarkEnd w:id="40"/>
      <w:r/>
      <w:r/>
    </w:p>
    <w:p>
      <w:pPr>
        <w:pStyle w:val="710"/>
        <w:ind w:firstLine="480"/>
        <w:jc w:val="both"/>
        <w:spacing w:before="160" w:after="160" w:line="480" w:lineRule="exact"/>
        <w:rPr>
          <w:rFonts w:ascii="宋体" w:hAnsi="宋体" w:eastAsia="宋体" w:cs="宋体"/>
          <w:b w:val="0"/>
          <w:bCs w:val="0"/>
          <w:sz w:val="24"/>
          <w:szCs w:val="24"/>
        </w:rPr>
      </w:pPr>
      <w:r/>
      <w:bookmarkStart w:id="41" w:name="_Toc160457378"/>
      <w:r/>
      <w:bookmarkStart w:id="42" w:name="_Toc35393626"/>
      <w:r/>
      <w:bookmarkStart w:id="43" w:name="_Toc38985268"/>
      <w:r/>
      <w:bookmarkStart w:id="44" w:name="_Toc35393795"/>
      <w:r>
        <w:rPr>
          <w:rFonts w:hint="eastAsia" w:ascii="宋体" w:hAnsi="宋体" w:eastAsia="宋体" w:cs="宋体"/>
          <w:b w:val="0"/>
          <w:bCs w:val="0"/>
          <w:sz w:val="24"/>
          <w:szCs w:val="24"/>
        </w:rPr>
        <w:t xml:space="preserve">磋商公告及磋商文件公告期限为自本公告发布之日起</w:t>
      </w:r>
      <w:r>
        <w:rPr>
          <w:rFonts w:ascii="宋体" w:hAnsi="宋体" w:eastAsia="宋体" w:cs="宋体"/>
          <w:b w:val="0"/>
          <w:bCs w:val="0"/>
          <w:sz w:val="24"/>
          <w:szCs w:val="24"/>
        </w:rPr>
        <w:t xml:space="preserve">5</w:t>
      </w:r>
      <w:r>
        <w:rPr>
          <w:rFonts w:hint="eastAsia" w:ascii="宋体" w:hAnsi="宋体" w:eastAsia="宋体" w:cs="宋体"/>
          <w:b w:val="0"/>
          <w:bCs w:val="0"/>
          <w:sz w:val="24"/>
          <w:szCs w:val="24"/>
        </w:rPr>
        <w:t xml:space="preserve">个工作日。采购公告发布媒体：</w:t>
      </w:r>
      <w:r>
        <w:rPr>
          <w:rFonts w:ascii="宋体" w:hAnsi="宋体" w:eastAsia="宋体" w:cs="宋体"/>
          <w:b w:val="0"/>
          <w:bCs w:val="0"/>
          <w:sz w:val="24"/>
          <w:szCs w:val="24"/>
        </w:rPr>
        <w:t xml:space="preserve">江苏省骆运水利工程管理处</w:t>
      </w:r>
      <w:r>
        <w:rPr>
          <w:rFonts w:hint="eastAsia" w:ascii="宋体" w:hAnsi="宋体" w:eastAsia="宋体" w:cs="宋体"/>
          <w:b w:val="0"/>
          <w:bCs w:val="0"/>
          <w:sz w:val="24"/>
          <w:szCs w:val="24"/>
        </w:rPr>
        <w:t xml:space="preserve">官网、江苏省政府采购网等财政部门指定的媒体。</w:t>
      </w:r>
      <w:r/>
    </w:p>
    <w:p>
      <w:pPr>
        <w:pStyle w:val="710"/>
        <w:jc w:val="both"/>
        <w:spacing w:before="160" w:after="160" w:line="480" w:lineRule="exact"/>
        <w:rPr>
          <w:rFonts w:ascii="黑体" w:hAnsi="黑体" w:eastAsia="黑体"/>
          <w:b w:val="0"/>
          <w:bCs w:val="0"/>
          <w:sz w:val="32"/>
          <w:szCs w:val="32"/>
        </w:rPr>
      </w:pPr>
      <w:r>
        <w:rPr>
          <w:rFonts w:hint="eastAsia" w:ascii="黑体" w:hAnsi="黑体" w:eastAsia="黑体"/>
          <w:b w:val="0"/>
          <w:bCs w:val="0"/>
          <w:sz w:val="32"/>
          <w:szCs w:val="32"/>
        </w:rPr>
        <w:t xml:space="preserve">七、其他补充事宜</w:t>
      </w:r>
      <w:bookmarkEnd w:id="41"/>
      <w:r/>
      <w:bookmarkEnd w:id="42"/>
      <w:r/>
      <w:bookmarkEnd w:id="43"/>
      <w:r/>
      <w:bookmarkEnd w:id="44"/>
      <w:r/>
      <w:r/>
    </w:p>
    <w:p>
      <w:pPr>
        <w:ind w:firstLine="480"/>
        <w:spacing w:line="480" w:lineRule="exact"/>
        <w:rPr>
          <w:rFonts w:ascii="宋体" w:hAnsi="宋体" w:cs="宋体"/>
          <w:sz w:val="24"/>
          <w:szCs w:val="24"/>
        </w:rPr>
      </w:pPr>
      <w:r/>
      <w:bookmarkStart w:id="45" w:name="EB64e1f522fd8c43fcb4d3ba471386b3e7"/>
      <w:r>
        <w:rPr>
          <w:rFonts w:hint="eastAsia" w:ascii="宋体" w:hAnsi="宋体" w:cs="宋体"/>
          <w:sz w:val="24"/>
          <w:szCs w:val="24"/>
        </w:rPr>
        <w:t xml:space="preserve">1.</w:t>
      </w:r>
      <w:bookmarkEnd w:id="45"/>
      <w:r/>
      <w:bookmarkStart w:id="46" w:name="_Toc160457379"/>
      <w:r/>
      <w:bookmarkStart w:id="47" w:name="_Toc35393627"/>
      <w:r/>
      <w:bookmarkStart w:id="48" w:name="_Toc28359008"/>
      <w:r/>
      <w:bookmarkStart w:id="49" w:name="_Toc38985269"/>
      <w:r/>
      <w:bookmarkStart w:id="50" w:name="_Toc35393796"/>
      <w:r/>
      <w:bookmarkStart w:id="51" w:name="_Toc28359085"/>
      <w:r>
        <w:rPr>
          <w:rFonts w:ascii="宋体" w:hAnsi="宋体" w:cs="宋体"/>
          <w:sz w:val="24"/>
          <w:szCs w:val="24"/>
        </w:rPr>
        <w:t xml:space="preserve"> </w:t>
      </w:r>
      <w:r>
        <w:rPr>
          <w:rFonts w:hint="eastAsia" w:ascii="宋体" w:hAnsi="宋体" w:cs="宋体"/>
          <w:sz w:val="24"/>
          <w:szCs w:val="24"/>
        </w:rPr>
        <w:t xml:space="preserve">“CA”数字证书办理：“苏采云”系统目前仅支持“苏采云”系统下的政务CA。省内各地区办理的“苏采云”系统下的政务CA全省通用。宿迁地区CA数字证书办理联系方式：18762803891。</w:t>
      </w:r>
      <w:r/>
    </w:p>
    <w:p>
      <w:pPr>
        <w:pStyle w:val="1000"/>
        <w:ind w:firstLine="480"/>
        <w:spacing w:line="400" w:lineRule="exact"/>
        <w:rPr>
          <w:rFonts w:ascii="宋体" w:hAnsi="宋体" w:eastAsia="宋体" w:cs="宋体"/>
          <w:sz w:val="24"/>
          <w:szCs w:val="24"/>
          <w:lang w:val="en-US"/>
        </w:rPr>
      </w:pPr>
      <w:r>
        <w:rPr>
          <w:rFonts w:ascii="宋体" w:hAnsi="宋体" w:eastAsia="宋体" w:cs="宋体"/>
          <w:sz w:val="24"/>
          <w:szCs w:val="24"/>
          <w:lang w:val="en-US"/>
        </w:rPr>
        <w:t xml:space="preserve">2</w:t>
      </w:r>
      <w:r>
        <w:rPr>
          <w:rFonts w:hint="eastAsia" w:ascii="宋体" w:hAnsi="宋体" w:eastAsia="宋体" w:cs="宋体"/>
          <w:sz w:val="24"/>
          <w:szCs w:val="24"/>
          <w:lang w:val="en-US"/>
        </w:rPr>
        <w:t xml:space="preserve">.宿迁地区“苏采云”技术支持客服电话：0527-84363067、0519-86722806。</w:t>
      </w:r>
      <w:r/>
    </w:p>
    <w:p>
      <w:pPr>
        <w:pStyle w:val="1000"/>
        <w:ind w:firstLine="480"/>
        <w:spacing w:line="400" w:lineRule="exact"/>
        <w:rPr>
          <w:rFonts w:ascii="宋体" w:hAnsi="宋体" w:eastAsia="宋体" w:cs="宋体"/>
          <w:sz w:val="24"/>
          <w:szCs w:val="24"/>
          <w:lang w:val="en-US"/>
        </w:rPr>
      </w:pPr>
      <w:r>
        <w:rPr>
          <w:rFonts w:ascii="宋体" w:hAnsi="宋体" w:eastAsia="宋体" w:cs="宋体"/>
          <w:sz w:val="24"/>
          <w:szCs w:val="24"/>
          <w:lang w:val="en-US"/>
        </w:rPr>
        <w:t xml:space="preserve">3</w:t>
      </w:r>
      <w:r>
        <w:rPr>
          <w:rFonts w:hint="eastAsia" w:ascii="宋体" w:hAnsi="宋体" w:eastAsia="宋体" w:cs="宋体"/>
          <w:sz w:val="24"/>
          <w:szCs w:val="24"/>
          <w:lang w:val="en-US"/>
        </w:rPr>
        <w:t xml:space="preserve">.如果供应商通过苏采云系统参与政府采购项目，相关操作手册详见链接：</w:t>
      </w:r>
      <w:bookmarkStart w:id="52" w:name="OLE_LINK36"/>
      <w:r/>
      <w:bookmarkStart w:id="53" w:name="OLE_LINK37"/>
      <w:r>
        <w:rPr>
          <w:rFonts w:hint="eastAsia" w:ascii="宋体" w:hAnsi="宋体" w:eastAsia="宋体" w:cs="宋体"/>
          <w:sz w:val="24"/>
          <w:szCs w:val="24"/>
          <w:lang w:val="en-US"/>
        </w:rPr>
        <w:t xml:space="preserve">http://www.ccgpjiangsu.gov.cn/jiangsu/zlxz/ee/ee3a4bc5a3454aa2b0d9312230633ce9.html。</w:t>
      </w:r>
      <w:bookmarkEnd w:id="52"/>
      <w:r/>
      <w:bookmarkEnd w:id="53"/>
      <w:r/>
      <w:r/>
    </w:p>
    <w:p>
      <w:pPr>
        <w:ind w:firstLine="480"/>
        <w:spacing w:line="40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.现场勘察及答疑：本项目不组织集中勘察及答疑，供应商如对采购需求有疑问，请咨询采购单位联系人。</w:t>
      </w:r>
      <w:r/>
    </w:p>
    <w:p>
      <w:pPr>
        <w:pStyle w:val="710"/>
        <w:jc w:val="both"/>
        <w:spacing w:before="160" w:after="160" w:line="480" w:lineRule="exact"/>
        <w:rPr>
          <w:rFonts w:ascii="黑体" w:hAnsi="黑体" w:eastAsia="黑体"/>
          <w:b w:val="0"/>
          <w:bCs w:val="0"/>
          <w:sz w:val="32"/>
          <w:szCs w:val="32"/>
        </w:rPr>
      </w:pPr>
      <w:r>
        <w:rPr>
          <w:rFonts w:hint="eastAsia" w:ascii="黑体" w:hAnsi="黑体" w:eastAsia="黑体"/>
          <w:b w:val="0"/>
          <w:bCs w:val="0"/>
          <w:sz w:val="32"/>
          <w:szCs w:val="32"/>
        </w:rPr>
        <w:t xml:space="preserve">八、本次磋商联系方式</w:t>
      </w:r>
      <w:bookmarkEnd w:id="46"/>
      <w:r/>
      <w:bookmarkEnd w:id="47"/>
      <w:r/>
      <w:bookmarkEnd w:id="48"/>
      <w:r/>
      <w:bookmarkEnd w:id="49"/>
      <w:r/>
      <w:bookmarkEnd w:id="50"/>
      <w:r/>
      <w:bookmarkEnd w:id="51"/>
      <w:r/>
      <w:r/>
    </w:p>
    <w:p>
      <w:pPr>
        <w:ind w:firstLine="480"/>
        <w:jc w:val="left"/>
        <w:spacing w:line="480" w:lineRule="exact"/>
        <w:widowControl/>
        <w:rPr>
          <w:rFonts w:ascii="宋体" w:hAnsi="宋体" w:cs="宋体"/>
          <w:color w:val="000000"/>
          <w:sz w:val="24"/>
        </w:rPr>
      </w:pPr>
      <w:r/>
      <w:bookmarkStart w:id="54" w:name="_Toc28359086"/>
      <w:r/>
      <w:bookmarkStart w:id="55" w:name="_Toc28359009"/>
      <w:r>
        <w:rPr>
          <w:rFonts w:hint="eastAsia" w:ascii="宋体" w:hAnsi="宋体" w:cs="宋体"/>
          <w:color w:val="000000"/>
          <w:sz w:val="24"/>
        </w:rPr>
        <w:t xml:space="preserve">1.采购人信息</w:t>
      </w:r>
      <w:r/>
    </w:p>
    <w:p>
      <w:pPr>
        <w:ind w:firstLine="48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pacing w:val="90"/>
          <w:sz w:val="24"/>
          <w:szCs w:val="24"/>
        </w:rPr>
        <w:t xml:space="preserve">名 </w:t>
      </w:r>
      <w:r>
        <w:rPr>
          <w:rFonts w:hint="eastAsia" w:cs="方正仿宋_GB2312" w:asciiTheme="minorEastAsia" w:hAnsiTheme="minorEastAsia" w:eastAsiaTheme="minorEastAsia"/>
          <w:sz w:val="24"/>
          <w:szCs w:val="24"/>
        </w:rPr>
        <w:t xml:space="preserve">称：江苏省皂河抽水站</w:t>
      </w:r>
      <w:r/>
    </w:p>
    <w:p>
      <w:pPr>
        <w:ind w:firstLine="48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pacing w:val="240"/>
          <w:sz w:val="24"/>
          <w:szCs w:val="24"/>
        </w:rPr>
        <w:t xml:space="preserve">地</w:t>
      </w:r>
      <w:r>
        <w:rPr>
          <w:rFonts w:hint="eastAsia" w:cs="方正仿宋_GB2312" w:asciiTheme="minorEastAsia" w:hAnsiTheme="minorEastAsia" w:eastAsiaTheme="minorEastAsia"/>
          <w:sz w:val="24"/>
          <w:szCs w:val="24"/>
        </w:rPr>
        <w:t xml:space="preserve">址：</w:t>
      </w:r>
      <w:r>
        <w:rPr>
          <w:rFonts w:hint="eastAsia" w:ascii="宋体" w:hAnsi="宋体" w:cs="宋体"/>
          <w:sz w:val="24"/>
          <w:szCs w:val="24"/>
        </w:rPr>
        <w:t xml:space="preserve">江苏省宿迁市湖滨新区皂河镇境内</w:t>
      </w:r>
      <w:r/>
    </w:p>
    <w:p>
      <w:pPr>
        <w:ind w:firstLine="480"/>
        <w:spacing w:line="500" w:lineRule="exact"/>
        <w:rPr>
          <w:rFonts w:ascii="宋体" w:hAnsi="宋体" w:cs="宋体"/>
          <w:sz w:val="24"/>
          <w:szCs w:val="24"/>
        </w:rPr>
      </w:pPr>
      <w:r>
        <w:rPr>
          <w:rFonts w:hint="eastAsia" w:ascii="宋体" w:hAnsi="宋体" w:cs="宋体"/>
          <w:sz w:val="24"/>
          <w:szCs w:val="24"/>
        </w:rPr>
        <w:t xml:space="preserve">联 系 人：苗旭</w:t>
      </w:r>
      <w:r/>
    </w:p>
    <w:p>
      <w:pPr>
        <w:ind w:firstLine="480"/>
        <w:jc w:val="left"/>
        <w:spacing w:line="480" w:lineRule="exact"/>
        <w:widowControl/>
        <w:rPr>
          <w:rFonts w:cs="宋体" w:asciiTheme="minorEastAsia" w:hAnsiTheme="minorEastAsia" w:eastAsiaTheme="minorEastAsia"/>
          <w:color w:val="000000"/>
          <w:sz w:val="24"/>
        </w:rPr>
      </w:pPr>
      <w:r>
        <w:rPr>
          <w:rFonts w:hint="eastAsia" w:ascii="宋体" w:hAnsi="宋体" w:cs="宋体"/>
          <w:sz w:val="24"/>
          <w:szCs w:val="24"/>
        </w:rPr>
        <w:t xml:space="preserve">联系方式：</w:t>
      </w:r>
      <w:r>
        <w:rPr>
          <w:rFonts w:ascii="宋体" w:hAnsi="宋体" w:cs="宋体"/>
          <w:sz w:val="24"/>
          <w:szCs w:val="24"/>
        </w:rPr>
        <w:t xml:space="preserve">17826569345</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w:t>
      </w:r>
      <w:bookmarkEnd w:id="54"/>
      <w:r/>
      <w:bookmarkEnd w:id="55"/>
      <w:r/>
      <w:r/>
    </w:p>
    <w:p>
      <w:pPr>
        <w:ind w:firstLine="482"/>
        <w:spacing w:line="480" w:lineRule="exact"/>
        <w:rPr>
          <w:rFonts w:cs="方正仿宋_GB2312" w:asciiTheme="minorEastAsia" w:hAnsiTheme="minorEastAsia" w:eastAsiaTheme="minorEastAsia"/>
          <w:sz w:val="24"/>
          <w:szCs w:val="24"/>
        </w:rPr>
      </w:pPr>
      <w:r/>
      <w:bookmarkStart w:id="56" w:name="_Toc160457380"/>
      <w:r>
        <w:rPr>
          <w:rFonts w:hint="eastAsia" w:cs="方正仿宋_GB2312" w:asciiTheme="minorEastAsia" w:hAnsiTheme="minorEastAsia" w:eastAsiaTheme="minorEastAsia"/>
          <w:spacing w:val="240"/>
          <w:sz w:val="24"/>
          <w:szCs w:val="24"/>
        </w:rPr>
        <w:t xml:space="preserve">名</w:t>
      </w:r>
      <w:r>
        <w:rPr>
          <w:rFonts w:hint="eastAsia" w:cs="方正仿宋_GB2312" w:asciiTheme="minorEastAsia" w:hAnsiTheme="minorEastAsia" w:eastAsiaTheme="minorEastAsia"/>
          <w:sz w:val="24"/>
          <w:szCs w:val="24"/>
        </w:rPr>
        <w:t xml:space="preserve">称：江苏宏</w:t>
      </w:r>
      <w:r>
        <w:rPr>
          <w:rFonts w:hint="eastAsia" w:cs="宋体" w:asciiTheme="minorEastAsia" w:hAnsiTheme="minorEastAsia" w:eastAsiaTheme="minorEastAsia"/>
          <w:sz w:val="24"/>
          <w:szCs w:val="24"/>
        </w:rPr>
        <w:t xml:space="preserve">邦</w:t>
      </w:r>
      <w:r>
        <w:rPr>
          <w:rFonts w:hint="eastAsia" w:cs="方正仿宋_GB2312" w:asciiTheme="minorEastAsia" w:hAnsiTheme="minorEastAsia" w:eastAsiaTheme="minorEastAsia"/>
          <w:sz w:val="24"/>
          <w:szCs w:val="24"/>
        </w:rPr>
        <w:t xml:space="preserve">工程管理</w:t>
      </w:r>
      <w:r>
        <w:rPr>
          <w:rFonts w:hint="eastAsia" w:cs="宋体" w:asciiTheme="minorEastAsia" w:hAnsiTheme="minorEastAsia" w:eastAsiaTheme="minorEastAsia"/>
          <w:sz w:val="24"/>
          <w:szCs w:val="24"/>
        </w:rPr>
        <w:t xml:space="preserve">咨</w:t>
      </w:r>
      <w:r>
        <w:rPr>
          <w:rFonts w:hint="eastAsia" w:cs="方正仿宋_GB2312" w:asciiTheme="minorEastAsia" w:hAnsiTheme="minorEastAsia" w:eastAsiaTheme="minorEastAsia"/>
          <w:sz w:val="24"/>
          <w:szCs w:val="24"/>
        </w:rPr>
        <w:t xml:space="preserve">询有限公司</w:t>
      </w:r>
      <w:r/>
    </w:p>
    <w:p>
      <w:pPr>
        <w:ind w:firstLine="482"/>
        <w:spacing w:line="480" w:lineRule="exact"/>
        <w:rPr>
          <w:rFonts w:cs="宋体" w:asciiTheme="minorEastAsia" w:hAnsiTheme="minorEastAsia" w:eastAsiaTheme="minorEastAsia"/>
          <w:sz w:val="24"/>
          <w:szCs w:val="24"/>
        </w:rPr>
      </w:pPr>
      <w:r>
        <w:rPr>
          <w:rFonts w:hint="eastAsia" w:cs="方正仿宋_GB2312" w:asciiTheme="minorEastAsia" w:hAnsiTheme="minorEastAsia" w:eastAsiaTheme="minorEastAsia"/>
          <w:spacing w:val="240"/>
          <w:sz w:val="24"/>
          <w:szCs w:val="24"/>
        </w:rPr>
        <w:t xml:space="preserve">地</w:t>
      </w:r>
      <w:r>
        <w:rPr>
          <w:rFonts w:hint="eastAsia" w:cs="方正仿宋_GB2312" w:asciiTheme="minorEastAsia" w:hAnsiTheme="minorEastAsia" w:eastAsiaTheme="minorEastAsia"/>
          <w:sz w:val="24"/>
          <w:szCs w:val="24"/>
        </w:rPr>
        <w:t xml:space="preserve">址：宿迁市宿城区凯琳瑞百货大楼1</w:t>
      </w:r>
      <w:r>
        <w:rPr>
          <w:rFonts w:cs="方正仿宋_GB2312"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楼</w:t>
      </w:r>
      <w:r/>
    </w:p>
    <w:p>
      <w:pPr>
        <w:ind w:firstLine="48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pacing w:val="60"/>
          <w:sz w:val="24"/>
          <w:szCs w:val="24"/>
        </w:rPr>
        <w:t xml:space="preserve">联系</w:t>
      </w:r>
      <w:r>
        <w:rPr>
          <w:rFonts w:hint="eastAsia" w:cs="方正仿宋_GB2312" w:asciiTheme="minorEastAsia" w:hAnsiTheme="minorEastAsia" w:eastAsiaTheme="minorEastAsia"/>
          <w:sz w:val="24"/>
          <w:szCs w:val="24"/>
        </w:rPr>
        <w:t xml:space="preserve">人：</w:t>
      </w:r>
      <w:r>
        <w:rPr>
          <w:rFonts w:hint="eastAsia" w:cs="宋体" w:asciiTheme="minorEastAsia" w:hAnsiTheme="minorEastAsia" w:eastAsiaTheme="minorEastAsia"/>
          <w:sz w:val="24"/>
          <w:szCs w:val="24"/>
        </w:rPr>
        <w:t xml:space="preserve">董</w:t>
      </w:r>
      <w:r>
        <w:rPr>
          <w:rFonts w:hint="eastAsia" w:cs="___WRD_EMBED_SUB_55" w:asciiTheme="minorEastAsia" w:hAnsiTheme="minorEastAsia" w:eastAsiaTheme="minorEastAsia"/>
          <w:sz w:val="24"/>
          <w:szCs w:val="24"/>
        </w:rPr>
        <w:t xml:space="preserve">田田</w:t>
      </w:r>
      <w:r/>
    </w:p>
    <w:p>
      <w:pPr>
        <w:ind w:firstLine="48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联系方式：0527-</w:t>
      </w:r>
      <w:r>
        <w:rPr>
          <w:rFonts w:cs="方正仿宋_GB2312" w:asciiTheme="minorEastAsia" w:hAnsiTheme="minorEastAsia" w:eastAsiaTheme="minorEastAsia"/>
          <w:sz w:val="24"/>
          <w:szCs w:val="24"/>
        </w:rPr>
        <w:t xml:space="preserve">88858966</w:t>
      </w:r>
      <w:r>
        <w:rPr>
          <w:rFonts w:hint="eastAsia" w:cs="方正仿宋_GB2312" w:asciiTheme="minorEastAsia" w:hAnsiTheme="minorEastAsia" w:eastAsiaTheme="minorEastAsia"/>
          <w:sz w:val="24"/>
          <w:szCs w:val="24"/>
        </w:rPr>
        <w:t xml:space="preserve">、1</w:t>
      </w:r>
      <w:r>
        <w:rPr>
          <w:rFonts w:cs="方正仿宋_GB2312" w:asciiTheme="minorEastAsia" w:hAnsiTheme="minorEastAsia" w:eastAsiaTheme="minorEastAsia"/>
          <w:sz w:val="24"/>
          <w:szCs w:val="24"/>
        </w:rPr>
        <w:t xml:space="preserve">8360131381</w:t>
      </w:r>
      <w:r/>
    </w:p>
    <w:p>
      <w:pPr>
        <w:pStyle w:val="710"/>
        <w:jc w:val="both"/>
        <w:spacing w:before="160" w:after="160" w:line="480" w:lineRule="exact"/>
        <w:rPr>
          <w:rFonts w:ascii="黑体" w:hAnsi="黑体" w:eastAsia="黑体"/>
          <w:b w:val="0"/>
          <w:bCs w:val="0"/>
          <w:sz w:val="32"/>
          <w:szCs w:val="32"/>
        </w:rPr>
      </w:pPr>
      <w:r>
        <w:rPr>
          <w:rFonts w:hint="eastAsia" w:ascii="黑体" w:hAnsi="黑体" w:eastAsia="黑体"/>
          <w:b w:val="0"/>
          <w:bCs w:val="0"/>
          <w:sz w:val="32"/>
          <w:szCs w:val="32"/>
        </w:rPr>
        <w:t xml:space="preserve">九、其他</w:t>
      </w:r>
      <w:bookmarkEnd w:id="56"/>
      <w:r/>
      <w:r/>
    </w:p>
    <w:p>
      <w:pPr>
        <w:ind w:firstLine="480"/>
        <w:spacing w:line="480" w:lineRule="exact"/>
        <w:shd w:val="clear" w:color="auto" w:fill="ffffff"/>
        <w:widowControl/>
        <w:rPr>
          <w:rFonts w:ascii="宋体" w:hAnsi="宋体" w:cs="宋体"/>
          <w:color w:val="000000"/>
          <w:sz w:val="24"/>
        </w:rPr>
      </w:pPr>
      <w:r>
        <w:rPr>
          <w:rFonts w:hint="eastAsia" w:ascii="宋体" w:hAnsi="宋体" w:cs="宋体"/>
          <w:color w:val="000000"/>
          <w:sz w:val="24"/>
        </w:rPr>
        <w:t xml:space="preserve">1.有关本次采购的事项若存在变动或修改，敬请及时关注“</w:t>
      </w:r>
      <w:r>
        <w:rPr>
          <w:rFonts w:ascii="宋体" w:hAnsi="宋体" w:cs="宋体"/>
          <w:color w:val="000000"/>
          <w:sz w:val="24"/>
        </w:rPr>
        <w:t xml:space="preserve">江苏省骆运水利工程管理处</w:t>
      </w:r>
      <w:r>
        <w:rPr>
          <w:rFonts w:hint="eastAsia" w:ascii="宋体" w:hAnsi="宋体" w:cs="宋体"/>
          <w:color w:val="000000"/>
          <w:sz w:val="24"/>
        </w:rPr>
        <w:t xml:space="preserve">官网、江苏省政府采购网”等平台更正公告。</w:t>
      </w:r>
      <w:r/>
    </w:p>
    <w:p>
      <w:pPr>
        <w:ind w:firstLine="480"/>
        <w:spacing w:line="480" w:lineRule="exact"/>
        <w:shd w:val="clear" w:color="auto" w:fill="ffffff"/>
        <w:widowControl/>
        <w:rPr>
          <w:rFonts w:ascii="宋体" w:hAnsi="宋体" w:cs="宋体"/>
          <w:color w:val="000000"/>
          <w:sz w:val="24"/>
        </w:rPr>
      </w:pPr>
      <w:r>
        <w:rPr>
          <w:rFonts w:hint="eastAsia" w:ascii="宋体" w:hAnsi="宋体" w:cs="宋体"/>
          <w:color w:val="000000"/>
          <w:sz w:val="24"/>
        </w:rPr>
        <w:t xml:space="preserve">2.本次磋商不收取磋商保证金。</w:t>
      </w:r>
      <w:r/>
    </w:p>
    <w:p>
      <w:pPr>
        <w:ind w:right="840"/>
        <w:spacing w:line="400" w:lineRule="exact"/>
        <w:rPr>
          <w:rFonts w:ascii="仿宋" w:hAnsi="仿宋" w:eastAsia="仿宋"/>
          <w:sz w:val="24"/>
          <w:szCs w:val="24"/>
        </w:rPr>
      </w:pPr>
      <w:r>
        <w:rPr>
          <w:rFonts w:ascii="仿宋" w:hAnsi="仿宋" w:eastAsia="仿宋"/>
          <w:sz w:val="24"/>
          <w:szCs w:val="24"/>
        </w:rPr>
      </w:r>
      <w:r/>
    </w:p>
    <w:p>
      <w:pPr>
        <w:jc w:val="center"/>
        <w:spacing w:line="480" w:lineRule="auto"/>
        <w:rPr>
          <w:rFonts w:ascii="Times New Roman" w:hAnsi="Times New Roman" w:eastAsia="黑体"/>
          <w:sz w:val="44"/>
          <w:szCs w:val="44"/>
        </w:rPr>
        <w:outlineLvl w:val="0"/>
      </w:pPr>
      <w:r/>
      <w:bookmarkStart w:id="57" w:name="_Toc120614211"/>
      <w:r>
        <w:rPr>
          <w:rFonts w:hint="eastAsia" w:ascii="仿宋" w:hAnsi="仿宋" w:eastAsia="仿宋" w:cs="Arial"/>
          <w:b/>
          <w:bCs/>
          <w:sz w:val="24"/>
          <w:szCs w:val="24"/>
        </w:rPr>
        <w:br w:type="page" w:clear="all"/>
      </w:r>
      <w:bookmarkStart w:id="58" w:name="_Toc160457381"/>
      <w:r>
        <w:rPr>
          <w:rFonts w:hint="eastAsia" w:ascii="Times New Roman" w:hAnsi="Times New Roman" w:eastAsia="黑体"/>
          <w:sz w:val="44"/>
          <w:szCs w:val="44"/>
        </w:rPr>
        <w:t xml:space="preserve">第二章</w:t>
      </w:r>
      <w:bookmarkEnd w:id="1"/>
      <w:r/>
      <w:bookmarkEnd w:id="2"/>
      <w:r/>
      <w:bookmarkEnd w:id="3"/>
      <w:r/>
      <w:bookmarkEnd w:id="4"/>
      <w:r/>
      <w:bookmarkEnd w:id="5"/>
      <w:r/>
      <w:bookmarkEnd w:id="57"/>
      <w:r>
        <w:rPr>
          <w:rFonts w:ascii="Times New Roman" w:hAnsi="Times New Roman" w:eastAsia="黑体"/>
          <w:sz w:val="44"/>
          <w:szCs w:val="44"/>
        </w:rPr>
        <w:t xml:space="preserve">  </w:t>
      </w:r>
      <w:r>
        <w:rPr>
          <w:rFonts w:hint="eastAsia" w:ascii="Times New Roman" w:hAnsi="Times New Roman" w:eastAsia="黑体"/>
          <w:sz w:val="44"/>
          <w:szCs w:val="44"/>
        </w:rPr>
        <w:t xml:space="preserve">供应商须知</w:t>
      </w:r>
      <w:bookmarkEnd w:id="58"/>
      <w:r/>
      <w:bookmarkStart w:id="59" w:name="_Toc513029203"/>
      <w:r/>
      <w:bookmarkStart w:id="60" w:name="_Toc16938519"/>
      <w:r/>
      <w:bookmarkStart w:id="61" w:name="_Toc20823275"/>
      <w:r/>
      <w:bookmarkStart w:id="62" w:name="_Toc160457382"/>
      <w:r/>
      <w:bookmarkStart w:id="63" w:name="_Toc120614214"/>
      <w:r/>
      <w:r/>
    </w:p>
    <w:p>
      <w:pPr>
        <w:pStyle w:val="1318"/>
        <w:spacing w:before="0" w:after="120" w:line="520" w:lineRule="exact"/>
        <w:rPr>
          <w:rFonts w:eastAsia="宋体" w:cs="Arial"/>
          <w:bCs/>
          <w:szCs w:val="22"/>
        </w:rPr>
      </w:pPr>
      <w:r/>
      <w:bookmarkStart w:id="64" w:name="_Toc4529"/>
      <w:r>
        <w:rPr>
          <w:rFonts w:hint="eastAsia" w:eastAsia="宋体" w:cs="Arial"/>
          <w:bCs/>
          <w:szCs w:val="22"/>
        </w:rPr>
        <w:t xml:space="preserve">投标人须知前附表：</w:t>
      </w:r>
      <w:bookmarkEnd w:id="64"/>
      <w:r/>
      <w:r/>
    </w:p>
    <w:tbl>
      <w:tblPr>
        <w:tblStyle w:val="719"/>
        <w:tblpPr w:horzAnchor="page" w:tblpX="1530" w:vertAnchor="text" w:tblpY="228" w:leftFromText="180" w:topFromText="0" w:rightFromText="180" w:bottomFromText="0"/>
        <w:tblW w:w="93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771"/>
        <w:gridCol w:w="6720"/>
      </w:tblGrid>
      <w:tr>
        <w:trPr>
          <w:trHeight w:val="500"/>
        </w:trPr>
        <w:tc>
          <w:tcPr>
            <w:tcW w:w="857" w:type="dxa"/>
            <w:vAlign w:val="center"/>
            <w:textDirection w:val="lrTb"/>
            <w:noWrap w:val="false"/>
          </w:tcPr>
          <w:p>
            <w:pPr>
              <w:jc w:val="center"/>
              <w:rPr>
                <w:rFonts w:ascii="仿宋_GB2312" w:hAnsi="仿宋"/>
                <w:b/>
                <w:sz w:val="24"/>
                <w:szCs w:val="24"/>
              </w:rPr>
            </w:pPr>
            <w:r/>
            <w:bookmarkStart w:id="65" w:name="_Toc81575191"/>
            <w:r/>
            <w:bookmarkStart w:id="66" w:name="_Toc29262"/>
            <w:r/>
            <w:bookmarkStart w:id="67" w:name="_Toc81575154"/>
            <w:r>
              <w:rPr>
                <w:rFonts w:hint="eastAsia" w:ascii="仿宋_GB2312" w:hAnsi="仿宋"/>
                <w:b/>
                <w:sz w:val="24"/>
                <w:szCs w:val="24"/>
              </w:rPr>
              <w:t xml:space="preserve">序号</w:t>
            </w:r>
            <w:r/>
          </w:p>
        </w:tc>
        <w:tc>
          <w:tcPr>
            <w:tcW w:w="177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6720"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rHeight w:val="861"/>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8" w:name="EB9a5853ee094f4f0ea6ec3169265f6f2c"/>
            <w:r>
              <w:rPr>
                <w:rFonts w:hint="eastAsia" w:ascii="Times New Roman" w:hAnsi="Times New Roman" w:cs="仿宋"/>
                <w:sz w:val="24"/>
                <w:szCs w:val="24"/>
              </w:rPr>
              <w:t xml:space="preserve">属性按以下第</w:t>
            </w:r>
            <w:bookmarkEnd w:id="68"/>
            <w:r>
              <w:rPr>
                <w:rFonts w:ascii="Times New Roman" w:hAnsi="Times New Roman" w:cs="仿宋"/>
                <w:sz w:val="24"/>
                <w:szCs w:val="24"/>
                <w:u w:val="single"/>
              </w:rPr>
              <w:t xml:space="preserve">3</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9" w:name="EBd5c6c026f9674c39b21b31ecd0c1e7fa"/>
            <w:r>
              <w:rPr>
                <w:rFonts w:hint="eastAsia" w:ascii="Times New Roman" w:hAnsi="Times New Roman" w:cs="仿宋"/>
                <w:sz w:val="24"/>
                <w:szCs w:val="24"/>
              </w:rPr>
              <w:t xml:space="preserve">采购；2.</w:t>
            </w:r>
            <w:bookmarkEnd w:id="69"/>
            <w:r>
              <w:rPr>
                <w:rFonts w:hint="eastAsia" w:ascii="Times New Roman" w:hAnsi="Times New Roman" w:cs="仿宋"/>
                <w:sz w:val="24"/>
                <w:szCs w:val="24"/>
              </w:rPr>
              <w:t xml:space="preserve">服务</w:t>
            </w:r>
            <w:bookmarkStart w:id="70" w:name="EBf7d2a4f44ecb4166a93ea852e73be69f"/>
            <w:r>
              <w:rPr>
                <w:rFonts w:hint="eastAsia" w:ascii="Times New Roman" w:hAnsi="Times New Roman" w:cs="仿宋"/>
                <w:sz w:val="24"/>
                <w:szCs w:val="24"/>
              </w:rPr>
              <w:t xml:space="preserve">采购；3.</w:t>
            </w:r>
            <w:bookmarkEnd w:id="70"/>
            <w:r>
              <w:rPr>
                <w:rFonts w:hint="eastAsia" w:ascii="Times New Roman" w:hAnsi="Times New Roman" w:cs="仿宋"/>
                <w:sz w:val="24"/>
                <w:szCs w:val="24"/>
              </w:rPr>
              <w:t xml:space="preserve">工程采购。</w:t>
            </w:r>
            <w:r/>
          </w:p>
        </w:tc>
      </w:tr>
      <w:tr>
        <w:trPr>
          <w:trHeight w:val="438"/>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竞标有效期</w:t>
            </w:r>
            <w:r/>
          </w:p>
        </w:tc>
        <w:tc>
          <w:tcPr>
            <w:tcW w:w="6720" w:type="dxa"/>
            <w:vAlign w:val="center"/>
            <w:textDirection w:val="lrTb"/>
            <w:noWrap w:val="false"/>
          </w:tcPr>
          <w:p>
            <w:pPr>
              <w:jc w:val="left"/>
              <w:spacing w:line="400" w:lineRule="exact"/>
              <w:rPr>
                <w:rFonts w:ascii="Times New Roman" w:hAnsi="Times New Roman" w:cs="仿宋"/>
                <w:sz w:val="24"/>
                <w:szCs w:val="24"/>
              </w:rPr>
            </w:pPr>
            <w:r/>
            <w:bookmarkStart w:id="71" w:name="EBd40b5fb42f2944a3b45e579ce3941f02"/>
            <w:r/>
            <w:bookmarkEnd w:id="71"/>
            <w:r>
              <w:rPr>
                <w:rFonts w:hint="eastAsia" w:ascii="Times New Roman" w:hAnsi="Times New Roman" w:cs="仿宋"/>
                <w:sz w:val="24"/>
                <w:szCs w:val="24"/>
              </w:rPr>
              <w:t xml:space="preserve">60日（从提交响应文件截止之日起算）</w:t>
            </w:r>
            <w:r/>
          </w:p>
        </w:tc>
      </w:tr>
      <w:tr>
        <w:trPr>
          <w:trHeight w:val="1283"/>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1.提交加密电子响应文件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p>
            <w:pPr>
              <w:jc w:val="left"/>
              <w:spacing w:line="400" w:lineRule="exact"/>
              <w:rPr>
                <w:rFonts w:ascii="Times New Roman" w:hAnsi="Times New Roman" w:cs="仿宋"/>
                <w:sz w:val="24"/>
                <w:szCs w:val="24"/>
              </w:rPr>
            </w:pPr>
            <w:r>
              <w:rPr>
                <w:bCs/>
                <w:color w:val="000000"/>
                <w:sz w:val="24"/>
              </w:rPr>
              <w:t xml:space="preserve">2.</w:t>
            </w:r>
            <w:r>
              <w:rPr>
                <w:rFonts w:hint="eastAsia"/>
                <w:bCs/>
                <w:color w:val="000000"/>
                <w:sz w:val="24"/>
              </w:rPr>
              <w:t xml:space="preserve">中标后按相关要求提供与电子响应文件一致的纸质打印响应文件3份，未加密电子响应文件</w:t>
            </w:r>
            <w:r>
              <w:rPr>
                <w:bCs/>
                <w:color w:val="000000"/>
                <w:sz w:val="24"/>
              </w:rPr>
              <w:t xml:space="preserve">1</w:t>
            </w:r>
            <w:r>
              <w:rPr>
                <w:rFonts w:hint="eastAsia"/>
                <w:bCs/>
                <w:color w:val="000000"/>
                <w:sz w:val="24"/>
              </w:rPr>
              <w:t xml:space="preserve">份。</w:t>
            </w:r>
            <w:r/>
          </w:p>
        </w:tc>
      </w:tr>
      <w:tr>
        <w:trPr>
          <w:trHeight w:val="438"/>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6"/>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rHeight w:val="1283"/>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具体评标办法详见竞争性磋商文件第五章。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评标委员会依据竞争性磋商文件规定的评标办法和标准推荐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rHeight w:val="861"/>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种方式确定成交人：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1.采购人按规定在磋商小组推荐的竞标候选人中确定成交人；</w:t>
            </w:r>
            <w:r/>
          </w:p>
        </w:tc>
      </w:tr>
      <w:tr>
        <w:trPr>
          <w:trHeight w:val="2162"/>
        </w:trPr>
        <w:tc>
          <w:tcPr>
            <w:tcW w:w="857"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720" w:type="dxa"/>
            <w:vAlign w:val="center"/>
            <w:textDirection w:val="lrTb"/>
            <w:noWrap w:val="false"/>
          </w:tcPr>
          <w:p>
            <w:pPr>
              <w:jc w:val="left"/>
              <w:spacing w:line="400" w:lineRule="exact"/>
              <w:rPr>
                <w:rFonts w:ascii="Times New Roman" w:hAnsi="Times New Roman" w:cs="仿宋"/>
                <w:sz w:val="24"/>
                <w:szCs w:val="24"/>
              </w:rPr>
            </w:pPr>
            <w:r/>
            <w:bookmarkStart w:id="72" w:name="EBebac1462c5d9459fbda8a75065c2455d"/>
            <w:r>
              <w:rPr>
                <w:rFonts w:hint="eastAsia" w:ascii="Times New Roman" w:hAnsi="Times New Roman" w:cs="仿宋"/>
                <w:sz w:val="24"/>
                <w:szCs w:val="24"/>
              </w:rPr>
              <w:t xml:space="preserve">本项目的非主体、非关键性工作是否允许分包</w:t>
            </w:r>
            <w:bookmarkEnd w:id="72"/>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73"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3"/>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rHeight w:val="861"/>
        </w:trPr>
        <w:tc>
          <w:tcPr>
            <w:tcW w:w="857"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9</w:t>
            </w:r>
            <w:r/>
          </w:p>
        </w:tc>
        <w:tc>
          <w:tcPr>
            <w:tcW w:w="1771"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5"/>
            <w:r/>
            <w:bookmarkEnd w:id="66"/>
            <w:r/>
            <w:bookmarkEnd w:id="67"/>
            <w:r/>
            <w:r/>
          </w:p>
        </w:tc>
        <w:tc>
          <w:tcPr>
            <w:tcW w:w="6720"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710"/>
        <w:jc w:val="both"/>
        <w:spacing w:before="160" w:after="160" w:line="440" w:lineRule="exact"/>
        <w:rPr>
          <w:rFonts w:ascii="黑体" w:hAnsi="黑体" w:eastAsia="黑体"/>
          <w:b w:val="0"/>
          <w:bCs w:val="0"/>
          <w:sz w:val="32"/>
          <w:szCs w:val="32"/>
        </w:rPr>
      </w:pPr>
      <w:r>
        <w:rPr>
          <w:rFonts w:ascii="黑体" w:hAnsi="黑体" w:eastAsia="黑体"/>
          <w:b w:val="0"/>
          <w:bCs w:val="0"/>
          <w:sz w:val="32"/>
          <w:szCs w:val="32"/>
        </w:rPr>
      </w:r>
      <w:r/>
    </w:p>
    <w:p>
      <w:pPr>
        <w:pStyle w:val="710"/>
        <w:jc w:val="both"/>
        <w:spacing w:before="160" w:after="160" w:line="440" w:lineRule="exact"/>
        <w:rPr>
          <w:rFonts w:ascii="黑体" w:hAnsi="黑体" w:eastAsia="黑体"/>
          <w:b w:val="0"/>
          <w:bCs w:val="0"/>
          <w:sz w:val="32"/>
          <w:szCs w:val="32"/>
        </w:rPr>
      </w:pPr>
      <w:r>
        <w:rPr>
          <w:rFonts w:hint="eastAsia" w:ascii="黑体" w:hAnsi="黑体" w:eastAsia="黑体"/>
          <w:b w:val="0"/>
          <w:bCs w:val="0"/>
          <w:sz w:val="32"/>
          <w:szCs w:val="32"/>
        </w:rPr>
        <w:t xml:space="preserve">一、总则</w:t>
      </w:r>
      <w:bookmarkEnd w:id="59"/>
      <w:r/>
      <w:bookmarkEnd w:id="60"/>
      <w:r/>
      <w:bookmarkEnd w:id="61"/>
      <w:r/>
      <w:bookmarkEnd w:id="62"/>
      <w:r/>
      <w:bookmarkEnd w:id="63"/>
      <w:r/>
      <w:r/>
    </w:p>
    <w:p>
      <w:pPr>
        <w:ind w:firstLine="482"/>
        <w:keepLines/>
        <w:keepNext/>
        <w:spacing w:line="440" w:lineRule="exact"/>
        <w:rPr>
          <w:rFonts w:ascii="宋体" w:hAnsi="宋体" w:cs="宋体"/>
          <w:b/>
          <w:sz w:val="24"/>
          <w:szCs w:val="24"/>
        </w:rPr>
        <w:outlineLvl w:val="3"/>
      </w:pPr>
      <w:r/>
      <w:bookmarkStart w:id="74" w:name="_Hlt16619475"/>
      <w:r/>
      <w:bookmarkEnd w:id="74"/>
      <w:r/>
      <w:bookmarkStart w:id="75" w:name="_Toc458694821"/>
      <w:r/>
      <w:bookmarkStart w:id="76" w:name="_Toc16938520"/>
      <w:r/>
      <w:bookmarkStart w:id="77" w:name="_Toc513029204"/>
      <w:r/>
      <w:bookmarkStart w:id="78" w:name="_Toc20823276"/>
      <w:r>
        <w:rPr>
          <w:rFonts w:hint="eastAsia" w:ascii="宋体" w:hAnsi="宋体" w:cs="宋体"/>
          <w:b/>
          <w:sz w:val="24"/>
          <w:szCs w:val="24"/>
        </w:rPr>
        <w:t xml:space="preserve">1</w:t>
      </w:r>
      <w:bookmarkEnd w:id="75"/>
      <w:r>
        <w:rPr>
          <w:rFonts w:hint="eastAsia" w:ascii="宋体" w:hAnsi="宋体" w:cs="宋体"/>
          <w:b/>
          <w:sz w:val="24"/>
          <w:szCs w:val="24"/>
        </w:rPr>
        <w:t xml:space="preserve">、采购方式</w:t>
      </w:r>
      <w:bookmarkEnd w:id="76"/>
      <w:r/>
      <w:bookmarkEnd w:id="77"/>
      <w:r/>
      <w:bookmarkEnd w:id="78"/>
      <w:r/>
      <w:r/>
    </w:p>
    <w:p>
      <w:pPr>
        <w:ind w:firstLine="480"/>
        <w:spacing w:line="440" w:lineRule="exact"/>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2"/>
        <w:keepLines/>
        <w:keepNext/>
        <w:spacing w:line="440" w:lineRule="exact"/>
        <w:rPr>
          <w:rFonts w:ascii="宋体" w:hAnsi="宋体" w:cs="宋体"/>
          <w:b/>
          <w:sz w:val="24"/>
          <w:szCs w:val="24"/>
        </w:rPr>
        <w:outlineLvl w:val="3"/>
      </w:pPr>
      <w:r/>
      <w:bookmarkStart w:id="79" w:name="_Toc20823277"/>
      <w:r/>
      <w:bookmarkStart w:id="80" w:name="_Toc513029205"/>
      <w:r/>
      <w:bookmarkStart w:id="81" w:name="_Toc16938521"/>
      <w:r>
        <w:rPr>
          <w:rFonts w:hint="eastAsia" w:ascii="宋体" w:hAnsi="宋体" w:cs="宋体"/>
          <w:b/>
          <w:sz w:val="24"/>
          <w:szCs w:val="24"/>
        </w:rPr>
        <w:t xml:space="preserve">2、合格的</w:t>
      </w:r>
      <w:bookmarkEnd w:id="79"/>
      <w:r/>
      <w:bookmarkEnd w:id="80"/>
      <w:r/>
      <w:bookmarkEnd w:id="81"/>
      <w:r>
        <w:rPr>
          <w:rFonts w:hint="eastAsia" w:ascii="宋体" w:hAnsi="宋体" w:cs="宋体"/>
          <w:b/>
          <w:sz w:val="24"/>
          <w:szCs w:val="24"/>
        </w:rPr>
        <w:t xml:space="preserve">供应商</w:t>
      </w:r>
      <w:r/>
    </w:p>
    <w:p>
      <w:pPr>
        <w:ind w:firstLine="480"/>
        <w:spacing w:line="440" w:lineRule="exact"/>
        <w:rPr>
          <w:rFonts w:ascii="宋体" w:hAnsi="宋体" w:cs="宋体"/>
          <w:sz w:val="24"/>
          <w:szCs w:val="24"/>
        </w:rPr>
      </w:pPr>
      <w:r>
        <w:rPr>
          <w:rFonts w:hint="eastAsia" w:ascii="宋体" w:hAnsi="宋体" w:cs="宋体"/>
          <w:sz w:val="24"/>
          <w:szCs w:val="24"/>
        </w:rPr>
        <w:t xml:space="preserve">2.1 满足磋商公告中供应商资格要求的规定。</w:t>
      </w:r>
      <w:r/>
    </w:p>
    <w:p>
      <w:pPr>
        <w:ind w:firstLine="480"/>
        <w:spacing w:line="440" w:lineRule="exact"/>
        <w:rPr>
          <w:rFonts w:ascii="宋体" w:hAnsi="宋体" w:cs="宋体"/>
          <w:sz w:val="24"/>
          <w:szCs w:val="24"/>
        </w:rPr>
      </w:pPr>
      <w:r>
        <w:rPr>
          <w:rFonts w:hint="eastAsia" w:ascii="宋体" w:hAnsi="宋体" w:cs="宋体"/>
          <w:sz w:val="24"/>
          <w:szCs w:val="24"/>
        </w:rPr>
        <w:t xml:space="preserve">2.2 满足本磋商文件实质性要求和条件的规定。</w:t>
      </w:r>
      <w:r/>
    </w:p>
    <w:p>
      <w:pPr>
        <w:ind w:firstLine="482"/>
        <w:keepLines/>
        <w:keepNext/>
        <w:spacing w:line="440" w:lineRule="exact"/>
        <w:rPr>
          <w:rFonts w:ascii="宋体" w:hAnsi="宋体" w:cs="宋体"/>
          <w:b/>
          <w:sz w:val="24"/>
          <w:szCs w:val="24"/>
        </w:rPr>
        <w:outlineLvl w:val="3"/>
      </w:pPr>
      <w:r/>
      <w:bookmarkStart w:id="82" w:name="_Toc513029206"/>
      <w:r/>
      <w:bookmarkStart w:id="83" w:name="_Toc16938522"/>
      <w:r/>
      <w:bookmarkStart w:id="84" w:name="_Toc20823278"/>
      <w:r>
        <w:rPr>
          <w:rFonts w:hint="eastAsia" w:ascii="宋体" w:hAnsi="宋体" w:cs="宋体"/>
          <w:b/>
          <w:sz w:val="24"/>
          <w:szCs w:val="24"/>
        </w:rPr>
        <w:t xml:space="preserve">3、适用法律</w:t>
      </w:r>
      <w:bookmarkEnd w:id="82"/>
      <w:r/>
      <w:bookmarkEnd w:id="83"/>
      <w:r/>
      <w:bookmarkEnd w:id="84"/>
      <w:r/>
      <w:r/>
    </w:p>
    <w:p>
      <w:pPr>
        <w:ind w:firstLine="480"/>
        <w:spacing w:line="440" w:lineRule="exact"/>
        <w:rPr>
          <w:rFonts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ind w:firstLine="482"/>
        <w:keepLines/>
        <w:keepNext/>
        <w:spacing w:line="440" w:lineRule="exact"/>
        <w:rPr>
          <w:rFonts w:ascii="宋体" w:hAnsi="宋体" w:cs="宋体"/>
          <w:b/>
          <w:sz w:val="24"/>
          <w:szCs w:val="24"/>
        </w:rPr>
        <w:outlineLvl w:val="3"/>
      </w:pPr>
      <w:r/>
      <w:bookmarkStart w:id="85" w:name="_Toc513029207"/>
      <w:r/>
      <w:bookmarkStart w:id="86" w:name="_Toc462564067"/>
      <w:r/>
      <w:bookmarkStart w:id="87" w:name="_Toc16938523"/>
      <w:r/>
      <w:bookmarkStart w:id="88" w:name="_Toc20823279"/>
      <w:r>
        <w:rPr>
          <w:rFonts w:hint="eastAsia" w:ascii="宋体" w:hAnsi="宋体" w:cs="宋体"/>
          <w:b/>
          <w:sz w:val="24"/>
          <w:szCs w:val="24"/>
        </w:rPr>
        <w:t xml:space="preserve">4、磋商费用</w:t>
      </w:r>
      <w:bookmarkEnd w:id="85"/>
      <w:r/>
      <w:bookmarkEnd w:id="86"/>
      <w:r/>
      <w:bookmarkEnd w:id="87"/>
      <w:r/>
      <w:bookmarkEnd w:id="88"/>
      <w:r/>
      <w:r/>
    </w:p>
    <w:p>
      <w:pPr>
        <w:ind w:firstLine="480"/>
        <w:spacing w:line="440" w:lineRule="exact"/>
        <w:rPr>
          <w:rFonts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40" w:lineRule="exact"/>
        <w:rPr>
          <w:rFonts w:ascii="宋体" w:hAnsi="宋体" w:cs="宋体"/>
          <w:sz w:val="24"/>
          <w:szCs w:val="24"/>
        </w:rPr>
      </w:pPr>
      <w:r>
        <w:rPr>
          <w:rFonts w:hint="eastAsia" w:ascii="宋体" w:hAnsi="宋体" w:cs="宋体"/>
          <w:sz w:val="24"/>
          <w:szCs w:val="24"/>
        </w:rPr>
        <w:t xml:space="preserve">4.2代理费用收取方式及标准：按以下第</w:t>
      </w:r>
      <w:r>
        <w:rPr>
          <w:rFonts w:hint="eastAsia" w:ascii="宋体" w:hAnsi="宋体" w:cs="宋体"/>
          <w:sz w:val="24"/>
          <w:szCs w:val="24"/>
          <w:u w:val="single"/>
        </w:rPr>
        <w:t xml:space="preserve">4.2.</w:t>
      </w:r>
      <w:r>
        <w:rPr>
          <w:rFonts w:ascii="宋体" w:hAnsi="宋体" w:cs="宋体"/>
          <w:sz w:val="24"/>
          <w:szCs w:val="24"/>
          <w:u w:val="single"/>
        </w:rPr>
        <w:t xml:space="preserve">2</w:t>
      </w:r>
      <w:r>
        <w:rPr>
          <w:rFonts w:hint="eastAsia" w:ascii="宋体" w:hAnsi="宋体" w:cs="宋体"/>
          <w:sz w:val="24"/>
          <w:szCs w:val="24"/>
        </w:rPr>
        <w:t xml:space="preserve">种方式执行</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4.2.1无需支付；</w:t>
      </w:r>
      <w:r/>
    </w:p>
    <w:p>
      <w:pPr>
        <w:ind w:firstLine="480"/>
        <w:spacing w:line="440" w:lineRule="exact"/>
        <w:rPr>
          <w:rFonts w:ascii="宋体" w:hAnsi="宋体" w:cs="宋体"/>
          <w:color w:val="000000" w:themeColor="text1"/>
          <w:sz w:val="24"/>
          <w:szCs w:val="24"/>
          <w:u w:val="single"/>
          <w14:textFill>
            <w14:solidFill>
              <w14:schemeClr w14:val="tx1"/>
            </w14:solidFill>
          </w14:textFill>
        </w:rPr>
      </w:pPr>
      <w:r>
        <w:rPr>
          <w:rFonts w:hint="eastAsia" w:ascii="宋体" w:hAnsi="宋体" w:cs="宋体"/>
          <w:sz w:val="24"/>
          <w:szCs w:val="24"/>
          <w:lang w:val="zh-CN"/>
        </w:rPr>
        <w:t xml:space="preserve">4.2.2具体方式及标准为：</w:t>
      </w:r>
      <w:r>
        <w:rPr>
          <w:rFonts w:hint="eastAsia" w:ascii="宋体" w:hAnsi="宋体" w:cs="宋体"/>
          <w:color w:val="000000" w:themeColor="text1"/>
          <w:sz w:val="24"/>
          <w:szCs w:val="24"/>
          <w:u w:val="single"/>
          <w14:textFill>
            <w14:solidFill>
              <w14:schemeClr w14:val="tx1"/>
            </w14:solidFill>
          </w14:textFill>
        </w:rPr>
        <w:t xml:space="preserve">采购人</w:t>
      </w:r>
      <w:r>
        <w:rPr>
          <w:rFonts w:ascii="宋体" w:hAnsi="宋体"/>
          <w:color w:val="000000"/>
          <w:sz w:val="24"/>
          <w:u w:val="single"/>
        </w:rPr>
        <w:t xml:space="preserve">按</w:t>
      </w:r>
      <w:r>
        <w:rPr>
          <w:rFonts w:hint="eastAsia" w:ascii="宋体" w:hAnsi="宋体"/>
          <w:color w:val="000000"/>
          <w:sz w:val="24"/>
          <w:u w:val="single"/>
        </w:rPr>
        <w:t xml:space="preserve">计价格（2</w:t>
      </w:r>
      <w:r>
        <w:rPr>
          <w:rFonts w:ascii="宋体" w:hAnsi="宋体"/>
          <w:color w:val="000000"/>
          <w:sz w:val="24"/>
          <w:u w:val="single"/>
        </w:rPr>
        <w:t xml:space="preserve">002</w:t>
      </w:r>
      <w:r>
        <w:rPr>
          <w:rFonts w:hint="eastAsia" w:ascii="宋体" w:hAnsi="宋体"/>
          <w:color w:val="000000"/>
          <w:sz w:val="24"/>
          <w:u w:val="single"/>
        </w:rPr>
        <w:t xml:space="preserve">）1</w:t>
      </w:r>
      <w:r>
        <w:rPr>
          <w:rFonts w:ascii="宋体" w:hAnsi="宋体"/>
          <w:color w:val="000000"/>
          <w:sz w:val="24"/>
          <w:u w:val="single"/>
        </w:rPr>
        <w:t xml:space="preserve">980</w:t>
      </w:r>
      <w:r>
        <w:rPr>
          <w:rFonts w:hint="eastAsia" w:ascii="宋体" w:hAnsi="宋体"/>
          <w:color w:val="000000"/>
          <w:sz w:val="24"/>
          <w:u w:val="single"/>
        </w:rPr>
        <w:t xml:space="preserve">号文</w:t>
      </w:r>
      <w:r>
        <w:rPr>
          <w:rFonts w:ascii="宋体" w:hAnsi="宋体"/>
          <w:color w:val="000000"/>
          <w:sz w:val="24"/>
          <w:u w:val="single"/>
        </w:rPr>
        <w:t xml:space="preserve">标准</w:t>
      </w:r>
      <w:r>
        <w:rPr>
          <w:rFonts w:hint="eastAsia" w:ascii="宋体" w:hAnsi="宋体" w:cs="宋体"/>
          <w:color w:val="000000" w:themeColor="text1"/>
          <w:sz w:val="24"/>
          <w:szCs w:val="24"/>
          <w:u w:val="single"/>
          <w14:textFill>
            <w14:solidFill>
              <w14:schemeClr w14:val="tx1"/>
            </w14:solidFill>
          </w14:textFill>
        </w:rPr>
        <w:t xml:space="preserve">向采购代理单位支付代理服务费。支付方式可以通过转账等方式。</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5、磋商文件的约束力</w:t>
      </w:r>
      <w:r/>
    </w:p>
    <w:p>
      <w:pPr>
        <w:ind w:firstLine="480"/>
        <w:spacing w:line="44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pStyle w:val="710"/>
        <w:jc w:val="both"/>
        <w:spacing w:before="160" w:after="160" w:line="440" w:lineRule="exact"/>
        <w:rPr>
          <w:rFonts w:ascii="黑体" w:hAnsi="黑体" w:eastAsia="黑体"/>
          <w:b w:val="0"/>
          <w:bCs w:val="0"/>
          <w:sz w:val="32"/>
          <w:szCs w:val="32"/>
        </w:rPr>
      </w:pPr>
      <w:r/>
      <w:bookmarkStart w:id="89" w:name="_Toc20823281"/>
      <w:r/>
      <w:bookmarkStart w:id="90" w:name="_Toc120614215"/>
      <w:r/>
      <w:bookmarkStart w:id="91" w:name="_Toc16938525"/>
      <w:r/>
      <w:bookmarkStart w:id="92" w:name="_Toc513029209"/>
      <w:r/>
      <w:bookmarkStart w:id="93" w:name="_Toc160457383"/>
      <w:r>
        <w:rPr>
          <w:rFonts w:hint="eastAsia" w:ascii="黑体" w:hAnsi="黑体" w:eastAsia="黑体"/>
          <w:b w:val="0"/>
          <w:bCs w:val="0"/>
          <w:sz w:val="32"/>
          <w:szCs w:val="32"/>
        </w:rPr>
        <w:t xml:space="preserve">二、</w:t>
      </w:r>
      <w:bookmarkEnd w:id="89"/>
      <w:r/>
      <w:bookmarkEnd w:id="90"/>
      <w:r/>
      <w:bookmarkEnd w:id="91"/>
      <w:r/>
      <w:bookmarkEnd w:id="92"/>
      <w:r>
        <w:rPr>
          <w:rFonts w:hint="eastAsia" w:ascii="黑体" w:hAnsi="黑体" w:eastAsia="黑体"/>
          <w:b w:val="0"/>
          <w:bCs w:val="0"/>
          <w:sz w:val="32"/>
          <w:szCs w:val="32"/>
        </w:rPr>
        <w:t xml:space="preserve">磋商文件</w:t>
      </w:r>
      <w:bookmarkEnd w:id="93"/>
      <w:r/>
      <w:r/>
    </w:p>
    <w:p>
      <w:pPr>
        <w:ind w:firstLine="482"/>
        <w:keepLines/>
        <w:keepNext/>
        <w:spacing w:line="440" w:lineRule="exact"/>
        <w:rPr>
          <w:rFonts w:ascii="宋体" w:hAnsi="宋体" w:cs="宋体"/>
          <w:b/>
          <w:sz w:val="24"/>
          <w:szCs w:val="24"/>
        </w:rPr>
        <w:outlineLvl w:val="3"/>
      </w:pPr>
      <w:r/>
      <w:bookmarkStart w:id="94" w:name="_Toc20823282"/>
      <w:r/>
      <w:bookmarkStart w:id="95" w:name="_Toc513029210"/>
      <w:r/>
      <w:bookmarkStart w:id="96" w:name="_Toc16938526"/>
      <w:r>
        <w:rPr>
          <w:rFonts w:hint="eastAsia" w:ascii="宋体" w:hAnsi="宋体" w:cs="宋体"/>
          <w:b/>
          <w:sz w:val="24"/>
          <w:szCs w:val="24"/>
        </w:rPr>
        <w:t xml:space="preserve">6、磋商文件构成</w:t>
      </w:r>
      <w:bookmarkEnd w:id="94"/>
      <w:r/>
      <w:bookmarkEnd w:id="95"/>
      <w:r/>
      <w:bookmarkEnd w:id="96"/>
      <w:r/>
      <w:r/>
    </w:p>
    <w:p>
      <w:pPr>
        <w:ind w:firstLine="480"/>
        <w:spacing w:line="440" w:lineRule="exact"/>
        <w:rPr>
          <w:rFonts w:ascii="宋体" w:hAnsi="宋体" w:cs="宋体"/>
          <w:bCs/>
          <w:sz w:val="24"/>
          <w:szCs w:val="24"/>
        </w:rPr>
      </w:pPr>
      <w:r>
        <w:rPr>
          <w:rFonts w:hint="eastAsia" w:ascii="宋体" w:hAnsi="宋体" w:cs="宋体"/>
          <w:bCs/>
          <w:sz w:val="24"/>
          <w:szCs w:val="24"/>
        </w:rPr>
        <w:t xml:space="preserve">6.1磋商文件由以下部分组成：</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（1）磋商邀请</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（2）供应商须知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（3）合同文本</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（4）采购需求</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（5）评审方法与评审标准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（6）响应文件格式</w:t>
      </w:r>
      <w:r/>
    </w:p>
    <w:p>
      <w:pPr>
        <w:ind w:firstLine="480"/>
        <w:spacing w:line="440" w:lineRule="exact"/>
        <w:rPr>
          <w:rFonts w:ascii="宋体" w:hAnsi="宋体" w:cs="宋体"/>
          <w:sz w:val="24"/>
          <w:szCs w:val="24"/>
        </w:rPr>
      </w:pPr>
      <w:r>
        <w:rPr>
          <w:rFonts w:hint="eastAsia" w:ascii="宋体" w:hAnsi="宋体" w:cs="宋体"/>
          <w:sz w:val="24"/>
          <w:szCs w:val="24"/>
        </w:rPr>
        <w:t xml:space="preserve">请仔细检查磋商文件是否齐全，如有缺漏请立即与采购代理机构联系解决。</w:t>
      </w:r>
      <w:r/>
    </w:p>
    <w:p>
      <w:pPr>
        <w:ind w:firstLine="480"/>
        <w:spacing w:line="440" w:lineRule="exact"/>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40" w:lineRule="exact"/>
        <w:rPr>
          <w:rFonts w:ascii="宋体" w:hAnsi="宋体" w:cs="宋体"/>
          <w:b/>
          <w:sz w:val="24"/>
          <w:szCs w:val="24"/>
        </w:rPr>
        <w:outlineLvl w:val="3"/>
      </w:pPr>
      <w:r/>
      <w:bookmarkStart w:id="97" w:name="_Toc16938527"/>
      <w:r/>
      <w:bookmarkStart w:id="98" w:name="_Toc513029211"/>
      <w:r/>
      <w:bookmarkStart w:id="99" w:name="_Toc462564070"/>
      <w:r/>
      <w:bookmarkStart w:id="100" w:name="_Toc20823283"/>
      <w:r>
        <w:rPr>
          <w:rFonts w:hint="eastAsia" w:ascii="宋体" w:hAnsi="宋体" w:cs="宋体"/>
          <w:b/>
          <w:sz w:val="24"/>
          <w:szCs w:val="24"/>
        </w:rPr>
        <w:t xml:space="preserve">7、磋商文件的澄清</w:t>
      </w:r>
      <w:bookmarkEnd w:id="97"/>
      <w:r/>
      <w:bookmarkEnd w:id="98"/>
      <w:r/>
      <w:bookmarkEnd w:id="99"/>
      <w:r/>
      <w:bookmarkEnd w:id="100"/>
      <w:r/>
      <w:r/>
    </w:p>
    <w:p>
      <w:pPr>
        <w:ind w:firstLine="480"/>
        <w:spacing w:line="440" w:lineRule="exact"/>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任何要求对磋商文件进行澄清的供应商，应在磋商截止期5日前按磋商公告中的通讯地址，以书面形式通知采购代理机构。</w:t>
      </w:r>
      <w:r/>
    </w:p>
    <w:p>
      <w:pPr>
        <w:ind w:firstLine="482"/>
        <w:keepLines/>
        <w:keepNext/>
        <w:spacing w:line="440" w:lineRule="exact"/>
        <w:rPr>
          <w:rFonts w:ascii="宋体" w:hAnsi="宋体" w:cs="宋体"/>
          <w:b/>
          <w:sz w:val="24"/>
          <w:szCs w:val="24"/>
        </w:rPr>
        <w:outlineLvl w:val="3"/>
      </w:pPr>
      <w:r/>
      <w:bookmarkStart w:id="101" w:name="_Toc513029212"/>
      <w:r/>
      <w:bookmarkStart w:id="102" w:name="_Toc462564071"/>
      <w:r/>
      <w:bookmarkStart w:id="103" w:name="_Toc20823284"/>
      <w:r/>
      <w:bookmarkStart w:id="104" w:name="_Toc16938528"/>
      <w:r>
        <w:rPr>
          <w:rFonts w:hint="eastAsia" w:ascii="宋体" w:hAnsi="宋体" w:cs="宋体"/>
          <w:b/>
          <w:sz w:val="24"/>
          <w:szCs w:val="24"/>
        </w:rPr>
        <w:t xml:space="preserve">8、磋商文件的澄清和修改</w:t>
      </w:r>
      <w:bookmarkEnd w:id="101"/>
      <w:r/>
      <w:bookmarkEnd w:id="102"/>
      <w:r/>
      <w:bookmarkEnd w:id="103"/>
      <w:r/>
      <w:bookmarkEnd w:id="104"/>
      <w:r/>
      <w:r/>
    </w:p>
    <w:p>
      <w:pPr>
        <w:ind w:firstLine="480"/>
        <w:spacing w:line="440" w:lineRule="exact"/>
        <w:rPr>
          <w:rFonts w:ascii="宋体" w:hAnsi="宋体" w:cs="宋体"/>
          <w:bCs/>
          <w:sz w:val="24"/>
          <w:szCs w:val="24"/>
        </w:rPr>
      </w:pPr>
      <w:r>
        <w:rPr>
          <w:rFonts w:hint="eastAsia" w:ascii="宋体" w:hAnsi="宋体" w:cs="宋体"/>
          <w:bCs/>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8.2在响应文件提交截止时间前，采购代理机构可以对磋商文件进行修改。</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8.3采购代理机构有权按照法定的要求推迟响应文件递交截止日期和磋商日期。</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8.5供应商应及时登录“苏采云”系统获取澄清答疑文件（修改后磋商文件），如因供应商原因未能及时下载澄清和修改后的磋商文件，由此造成的相关责任，由供应商承担。</w:t>
      </w:r>
      <w:r/>
    </w:p>
    <w:p>
      <w:pPr>
        <w:pStyle w:val="710"/>
        <w:jc w:val="both"/>
        <w:spacing w:before="160" w:after="160" w:line="440" w:lineRule="exact"/>
        <w:rPr>
          <w:rFonts w:ascii="黑体" w:hAnsi="黑体" w:eastAsia="黑体"/>
          <w:b w:val="0"/>
          <w:bCs w:val="0"/>
          <w:sz w:val="32"/>
          <w:szCs w:val="32"/>
        </w:rPr>
      </w:pPr>
      <w:r/>
      <w:bookmarkStart w:id="105" w:name="_Toc20823285"/>
      <w:r/>
      <w:bookmarkStart w:id="106" w:name="_Toc16938529"/>
      <w:r/>
      <w:bookmarkStart w:id="107" w:name="_Toc120614216"/>
      <w:r/>
      <w:bookmarkStart w:id="108" w:name="_Toc160457384"/>
      <w:r/>
      <w:bookmarkStart w:id="109" w:name="_Toc513029213"/>
      <w:r/>
      <w:bookmarkStart w:id="110" w:name="_Toc462564072"/>
      <w:r>
        <w:rPr>
          <w:rFonts w:hint="eastAsia" w:ascii="黑体" w:hAnsi="黑体" w:eastAsia="黑体"/>
          <w:b w:val="0"/>
          <w:bCs w:val="0"/>
          <w:sz w:val="32"/>
          <w:szCs w:val="32"/>
        </w:rPr>
        <w:t xml:space="preserve">三、响应文件的编制</w:t>
      </w:r>
      <w:bookmarkEnd w:id="105"/>
      <w:r/>
      <w:bookmarkEnd w:id="106"/>
      <w:r/>
      <w:bookmarkEnd w:id="107"/>
      <w:r/>
      <w:bookmarkEnd w:id="108"/>
      <w:r/>
      <w:bookmarkEnd w:id="109"/>
      <w:r/>
      <w:bookmarkEnd w:id="110"/>
      <w:r/>
      <w:r/>
    </w:p>
    <w:p>
      <w:pPr>
        <w:ind w:firstLine="482"/>
        <w:keepLines/>
        <w:keepNext/>
        <w:spacing w:line="440" w:lineRule="exact"/>
        <w:rPr>
          <w:rFonts w:ascii="宋体" w:hAnsi="宋体" w:cs="宋体"/>
          <w:b/>
          <w:sz w:val="24"/>
          <w:szCs w:val="24"/>
        </w:rPr>
        <w:outlineLvl w:val="3"/>
      </w:pPr>
      <w:r/>
      <w:bookmarkStart w:id="111" w:name="_Toc462564073"/>
      <w:r/>
      <w:bookmarkStart w:id="112" w:name="_Toc16938530"/>
      <w:r/>
      <w:bookmarkStart w:id="113" w:name="_Toc20823286"/>
      <w:r/>
      <w:bookmarkStart w:id="114" w:name="_Toc513029214"/>
      <w:r>
        <w:rPr>
          <w:rFonts w:hint="eastAsia" w:ascii="宋体" w:hAnsi="宋体" w:cs="宋体"/>
          <w:b/>
          <w:sz w:val="24"/>
          <w:szCs w:val="24"/>
        </w:rPr>
        <w:t xml:space="preserve">9、响应文件的语言及度量衡单位</w:t>
      </w:r>
      <w:bookmarkEnd w:id="111"/>
      <w:r/>
      <w:bookmarkEnd w:id="112"/>
      <w:r/>
      <w:bookmarkEnd w:id="113"/>
      <w:r/>
      <w:bookmarkEnd w:id="114"/>
      <w:r/>
      <w:r/>
    </w:p>
    <w:p>
      <w:pPr>
        <w:ind w:firstLine="480"/>
        <w:spacing w:line="440" w:lineRule="exact"/>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供应商提交的响应文件以及供应商与采购代理机构就有关磋商的所有来往通知、函件和文件均应使用简体中文。</w:t>
      </w:r>
      <w:r/>
    </w:p>
    <w:p>
      <w:pPr>
        <w:ind w:firstLine="480"/>
        <w:spacing w:line="440" w:lineRule="exact"/>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除技术性能另有规定外，响应文件所使用的度量衡单位，均须采用国家法定计量单位。</w:t>
      </w:r>
      <w:r/>
    </w:p>
    <w:p>
      <w:pPr>
        <w:ind w:firstLine="482"/>
        <w:keepLines/>
        <w:keepNext/>
        <w:spacing w:line="440" w:lineRule="exact"/>
        <w:rPr>
          <w:rFonts w:ascii="宋体" w:hAnsi="宋体" w:cs="宋体"/>
          <w:b/>
          <w:sz w:val="24"/>
          <w:szCs w:val="24"/>
        </w:rPr>
        <w:outlineLvl w:val="3"/>
      </w:pPr>
      <w:r/>
      <w:bookmarkStart w:id="115" w:name="_Toc462564074"/>
      <w:r/>
      <w:bookmarkStart w:id="116" w:name="_Toc513029215"/>
      <w:r/>
      <w:bookmarkStart w:id="117" w:name="_Toc16938531"/>
      <w:r/>
      <w:bookmarkStart w:id="118" w:name="_Toc20823287"/>
      <w:r>
        <w:rPr>
          <w:rFonts w:hint="eastAsia" w:ascii="宋体" w:hAnsi="宋体" w:cs="宋体"/>
          <w:b/>
          <w:sz w:val="24"/>
          <w:szCs w:val="24"/>
        </w:rPr>
        <w:t xml:space="preserve">10、响应文件构成</w:t>
      </w:r>
      <w:bookmarkEnd w:id="115"/>
      <w:r/>
      <w:bookmarkEnd w:id="116"/>
      <w:r/>
      <w:bookmarkEnd w:id="117"/>
      <w:r/>
      <w:bookmarkEnd w:id="118"/>
      <w:r/>
      <w:r/>
    </w:p>
    <w:p>
      <w:pPr>
        <w:ind w:firstLine="480"/>
        <w:spacing w:line="440" w:lineRule="exact"/>
        <w:rPr>
          <w:rFonts w:ascii="宋体" w:hAnsi="宋体" w:cs="宋体"/>
          <w:bCs/>
          <w:sz w:val="24"/>
          <w:szCs w:val="24"/>
        </w:rPr>
      </w:pPr>
      <w:r>
        <w:rPr>
          <w:rFonts w:hint="eastAsia" w:ascii="宋体" w:hAnsi="宋体" w:cs="宋体"/>
          <w:bCs/>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40" w:lineRule="exact"/>
        <w:rPr>
          <w:rFonts w:ascii="宋体" w:hAnsi="宋体" w:cs="宋体"/>
          <w:sz w:val="24"/>
          <w:szCs w:val="24"/>
        </w:rPr>
      </w:pPr>
      <w:r>
        <w:rPr>
          <w:rFonts w:hint="eastAsia" w:ascii="宋体" w:hAnsi="宋体" w:cs="宋体"/>
          <w:bCs/>
          <w:sz w:val="24"/>
          <w:szCs w:val="24"/>
          <w:lang w:val="zh-CN"/>
        </w:rPr>
        <w:t xml:space="preserve">各供应商在编制</w:t>
      </w:r>
      <w:r>
        <w:rPr>
          <w:rFonts w:hint="eastAsia" w:ascii="宋体" w:hAnsi="宋体" w:cs="宋体"/>
          <w:bCs/>
          <w:sz w:val="24"/>
          <w:szCs w:val="24"/>
        </w:rPr>
        <w:t xml:space="preserve">响应文件</w:t>
      </w:r>
      <w:r>
        <w:rPr>
          <w:rFonts w:hint="eastAsia" w:ascii="宋体" w:hAnsi="宋体" w:cs="宋体"/>
          <w:bCs/>
          <w:sz w:val="24"/>
          <w:szCs w:val="24"/>
          <w:lang w:val="zh-CN"/>
        </w:rPr>
        <w:t xml:space="preserve">时请按照磋商文件第六</w:t>
      </w:r>
      <w:r>
        <w:rPr>
          <w:rFonts w:hint="eastAsia" w:ascii="宋体" w:hAnsi="宋体" w:cs="宋体"/>
          <w:bCs/>
          <w:sz w:val="24"/>
          <w:szCs w:val="24"/>
        </w:rPr>
        <w:t xml:space="preserve">章</w:t>
      </w:r>
      <w:r>
        <w:rPr>
          <w:rFonts w:hint="eastAsia" w:ascii="宋体" w:hAnsi="宋体" w:cs="宋体"/>
          <w:bCs/>
          <w:sz w:val="24"/>
          <w:szCs w:val="24"/>
          <w:lang w:val="zh-CN"/>
        </w:rPr>
        <w:t xml:space="preserve">规定的格式进行，混乱的编排导致</w:t>
      </w:r>
      <w:r>
        <w:rPr>
          <w:rFonts w:hint="eastAsia" w:ascii="宋体" w:hAnsi="宋体" w:cs="宋体"/>
          <w:bCs/>
          <w:sz w:val="24"/>
          <w:szCs w:val="24"/>
        </w:rPr>
        <w:t xml:space="preserve">响应</w:t>
      </w:r>
      <w:r>
        <w:rPr>
          <w:rFonts w:hint="eastAsia" w:ascii="宋体" w:hAnsi="宋体" w:cs="宋体"/>
          <w:bCs/>
          <w:sz w:val="24"/>
          <w:szCs w:val="24"/>
          <w:lang w:val="zh-CN"/>
        </w:rPr>
        <w:t xml:space="preserve">文件被误读或磋商小组查找不到有效文件是供应商的风险。</w:t>
      </w:r>
      <w:r/>
    </w:p>
    <w:p>
      <w:pPr>
        <w:ind w:firstLine="480"/>
        <w:spacing w:line="440" w:lineRule="exact"/>
        <w:rPr>
          <w:rFonts w:ascii="宋体" w:hAnsi="宋体" w:cs="宋体"/>
          <w:sz w:val="24"/>
          <w:szCs w:val="24"/>
        </w:rPr>
      </w:pPr>
      <w:r>
        <w:rPr>
          <w:rFonts w:hint="eastAsia" w:ascii="宋体" w:hAnsi="宋体" w:cs="宋体"/>
          <w:sz w:val="24"/>
          <w:szCs w:val="24"/>
        </w:rPr>
        <w:t xml:space="preserve">10.2供应商编写的响应文件应包括资格证明文件、已标价的工程量清单、响应偏离表、其他证明文件、磋商申请及声明函、开标一览表等部分。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10.3响应文件须加盖电子签章之处，应按要求加盖</w:t>
      </w:r>
      <w:r>
        <w:rPr>
          <w:rFonts w:hint="eastAsia" w:ascii="宋体" w:hAnsi="宋体" w:cs="宋体"/>
          <w:bCs/>
          <w:sz w:val="24"/>
          <w:szCs w:val="24"/>
          <w:lang w:val="zh-CN"/>
        </w:rPr>
        <w:t xml:space="preserve">供应商</w:t>
      </w:r>
      <w:r>
        <w:rPr>
          <w:rFonts w:hint="eastAsia" w:ascii="宋体" w:hAnsi="宋体" w:cs="宋体"/>
          <w:bCs/>
          <w:sz w:val="24"/>
          <w:szCs w:val="24"/>
        </w:rPr>
        <w:t xml:space="preserve">数字证书的电子签章。其他需要盖章但未明确要求电子签章的，</w:t>
      </w:r>
      <w:r>
        <w:rPr>
          <w:rFonts w:hint="eastAsia" w:ascii="宋体" w:hAnsi="宋体" w:cs="宋体"/>
          <w:bCs/>
          <w:sz w:val="24"/>
          <w:szCs w:val="24"/>
          <w:lang w:val="zh-CN"/>
        </w:rPr>
        <w:t xml:space="preserve">供应商</w:t>
      </w:r>
      <w:r>
        <w:rPr>
          <w:rFonts w:hint="eastAsia" w:ascii="宋体" w:hAnsi="宋体" w:cs="宋体"/>
          <w:bCs/>
          <w:sz w:val="24"/>
          <w:szCs w:val="24"/>
        </w:rPr>
        <w:t xml:space="preserve">可按要求加盖公章后上传材料电子件或直接加盖电子签章。</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10.4本项目通过“苏采云”系统进行电子招标投标，即</w:t>
      </w:r>
      <w:r>
        <w:rPr>
          <w:rFonts w:hint="eastAsia" w:ascii="宋体" w:hAnsi="宋体" w:cs="宋体"/>
          <w:bCs/>
          <w:sz w:val="24"/>
          <w:szCs w:val="24"/>
          <w:lang w:val="zh-CN"/>
        </w:rPr>
        <w:t xml:space="preserve">供应商</w:t>
      </w:r>
      <w:r>
        <w:rPr>
          <w:rFonts w:hint="eastAsia" w:ascii="宋体" w:hAnsi="宋体" w:cs="宋体"/>
          <w:bCs/>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sz w:val="24"/>
          <w:szCs w:val="24"/>
          <w:lang w:val="zh-CN"/>
        </w:rPr>
        <w:t xml:space="preserve">供应商</w:t>
      </w:r>
      <w:r>
        <w:rPr>
          <w:rFonts w:hint="eastAsia" w:ascii="宋体" w:hAnsi="宋体" w:cs="宋体"/>
          <w:bCs/>
          <w:sz w:val="24"/>
          <w:szCs w:val="24"/>
        </w:rPr>
        <w:t xml:space="preserve">，按照无效响应处理(因“苏采云”系统导致解密失败的除外)。</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10.5如标书制作工具中格式和内容与“宿迁市政府采购网</w:t>
      </w:r>
      <w:bookmarkStart w:id="119" w:name="OLE_LINK15"/>
      <w:r/>
      <w:bookmarkStart w:id="120" w:name="OLE_LINK14"/>
      <w:r>
        <w:rPr>
          <w:rFonts w:hint="eastAsia" w:ascii="宋体" w:hAnsi="宋体" w:cs="宋体"/>
          <w:bCs/>
          <w:sz w:val="24"/>
          <w:szCs w:val="24"/>
        </w:rPr>
        <w:t xml:space="preserve">、江苏省政府采购网</w:t>
      </w:r>
      <w:bookmarkEnd w:id="119"/>
      <w:r/>
      <w:bookmarkEnd w:id="120"/>
      <w:r>
        <w:rPr>
          <w:rFonts w:hint="eastAsia" w:ascii="宋体" w:hAnsi="宋体" w:cs="宋体"/>
          <w:bCs/>
          <w:sz w:val="24"/>
          <w:szCs w:val="24"/>
        </w:rPr>
        <w:t xml:space="preserve">”发布的磋商文件不一致，请以“宿迁市政府采购网、江苏省政府采购网”发布的磋商文件为准。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10.6成交后按相关要求提供与电子响应文件一致的纸质打印响应文件3份。 </w:t>
      </w:r>
      <w:r/>
    </w:p>
    <w:p>
      <w:pPr>
        <w:ind w:firstLine="480"/>
        <w:spacing w:line="440" w:lineRule="exact"/>
        <w:rPr>
          <w:rFonts w:ascii="宋体" w:hAnsi="宋体" w:cs="宋体"/>
          <w:sz w:val="24"/>
          <w:szCs w:val="24"/>
        </w:rPr>
      </w:pPr>
      <w:r/>
      <w:bookmarkStart w:id="121" w:name="EBc50e2bb832bb43068403b10c1cce6141"/>
      <w:r>
        <w:rPr>
          <w:rFonts w:hint="eastAsia" w:ascii="宋体" w:hAnsi="宋体" w:cs="宋体"/>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21"/>
      <w:r/>
      <w:r/>
    </w:p>
    <w:p>
      <w:pPr>
        <w:ind w:firstLine="482"/>
        <w:keepLines/>
        <w:keepNext/>
        <w:spacing w:line="440" w:lineRule="exact"/>
        <w:rPr>
          <w:rFonts w:ascii="宋体" w:hAnsi="宋体" w:cs="宋体"/>
          <w:b/>
          <w:sz w:val="24"/>
          <w:szCs w:val="24"/>
        </w:rPr>
        <w:outlineLvl w:val="3"/>
      </w:pPr>
      <w:r/>
      <w:bookmarkStart w:id="122" w:name="_Hlt26954838"/>
      <w:r/>
      <w:bookmarkEnd w:id="122"/>
      <w:r/>
      <w:bookmarkStart w:id="123" w:name="_Hlt26670360"/>
      <w:r/>
      <w:bookmarkEnd w:id="123"/>
      <w:r/>
      <w:bookmarkStart w:id="124" w:name="_Hlt26668975"/>
      <w:r/>
      <w:bookmarkEnd w:id="124"/>
      <w:r/>
      <w:bookmarkStart w:id="125" w:name="_Toc14577357"/>
      <w:r/>
      <w:bookmarkStart w:id="126" w:name="_Toc513029216"/>
      <w:r/>
      <w:bookmarkStart w:id="127" w:name="_Toc513029219"/>
      <w:r/>
      <w:bookmarkStart w:id="128" w:name="_Toc49090509"/>
      <w:r/>
      <w:bookmarkStart w:id="129" w:name="_Toc14577354"/>
      <w:r/>
      <w:bookmarkStart w:id="130" w:name="_Toc49090507"/>
      <w:r/>
      <w:bookmarkStart w:id="131" w:name="_Toc49090508"/>
      <w:r/>
      <w:bookmarkStart w:id="132" w:name="_Toc14577355"/>
      <w:r>
        <w:rPr>
          <w:rFonts w:hint="eastAsia" w:ascii="宋体" w:hAnsi="宋体" w:cs="宋体"/>
          <w:b/>
          <w:sz w:val="24"/>
          <w:szCs w:val="24"/>
        </w:rPr>
        <w:t xml:space="preserve">11、证明磋商响应标的符合磋商文件规定的文件</w:t>
      </w:r>
      <w:bookmarkEnd w:id="125"/>
      <w:r/>
      <w:bookmarkEnd w:id="126"/>
      <w:r/>
      <w:bookmarkEnd w:id="127"/>
      <w:r/>
      <w:bookmarkEnd w:id="128"/>
      <w:r/>
      <w:bookmarkEnd w:id="129"/>
      <w:r/>
      <w:bookmarkEnd w:id="130"/>
      <w:r/>
      <w:r/>
    </w:p>
    <w:p>
      <w:pPr>
        <w:ind w:firstLine="480"/>
        <w:spacing w:line="440" w:lineRule="exact"/>
        <w:rPr>
          <w:rFonts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440" w:lineRule="exact"/>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31"/>
      <w:r/>
      <w:bookmarkEnd w:id="132"/>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12、已标价的工程量清单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供应商应按照磋商文件规定格式填报已标价的工程量清单。</w:t>
      </w:r>
      <w:r/>
    </w:p>
    <w:p>
      <w:pPr>
        <w:ind w:firstLine="480"/>
        <w:spacing w:line="440" w:lineRule="exact"/>
        <w:rPr>
          <w:rFonts w:ascii="宋体" w:hAnsi="宋体" w:cs="宋体"/>
          <w:sz w:val="24"/>
          <w:szCs w:val="24"/>
        </w:rPr>
      </w:pPr>
      <w:r>
        <w:rPr>
          <w:rFonts w:hint="eastAsia" w:ascii="宋体" w:hAnsi="宋体" w:cs="宋体"/>
          <w:sz w:val="24"/>
          <w:szCs w:val="24"/>
        </w:rPr>
        <w:t xml:space="preserve">12.1.1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520" w:lineRule="exact"/>
        <w:rPr>
          <w:rFonts w:ascii="宋体" w:hAnsi="宋体" w:cs="宋体"/>
          <w:sz w:val="24"/>
          <w:szCs w:val="24"/>
        </w:rPr>
      </w:pPr>
      <w:r>
        <w:rPr>
          <w:rFonts w:hint="eastAsia" w:ascii="宋体" w:hAnsi="宋体" w:cs="宋体"/>
          <w:sz w:val="24"/>
          <w:szCs w:val="24"/>
        </w:rPr>
        <w:t xml:space="preserve">12.1.2报价编制的参考依据：①依据采购单位提供的采购需求、工程量清单；② 国家及地方有关政策法规。</w:t>
      </w:r>
      <w:r/>
    </w:p>
    <w:p>
      <w:pPr>
        <w:ind w:firstLine="480"/>
        <w:spacing w:line="440" w:lineRule="exact"/>
        <w:rPr>
          <w:rFonts w:ascii="宋体" w:hAnsi="宋体" w:cs="宋体"/>
          <w:sz w:val="24"/>
          <w:szCs w:val="24"/>
        </w:rPr>
      </w:pPr>
      <w:r>
        <w:rPr>
          <w:rFonts w:hint="eastAsia" w:ascii="宋体" w:hAnsi="宋体" w:cs="宋体"/>
          <w:sz w:val="24"/>
          <w:szCs w:val="24"/>
        </w:rPr>
        <w:t xml:space="preserve">12.2</w:t>
      </w:r>
      <w:r>
        <w:rPr>
          <w:rFonts w:hint="eastAsia" w:ascii="宋体" w:hAnsi="宋体" w:cs="宋体"/>
          <w:bCs/>
          <w:sz w:val="24"/>
          <w:szCs w:val="24"/>
        </w:rPr>
        <w:t xml:space="preserve">磋商货币。响应文件中的单价和总价无特殊规定的采用人民币报价，以元为单位标注。</w:t>
      </w:r>
      <w:r>
        <w:rPr>
          <w:rFonts w:hint="eastAsia" w:ascii="宋体" w:hAnsi="宋体" w:cs="宋体"/>
          <w:sz w:val="24"/>
          <w:szCs w:val="24"/>
        </w:rPr>
        <w:t xml:space="preserve">磋商文件中另有规定的按规定执行。</w:t>
      </w:r>
      <w:r/>
    </w:p>
    <w:p>
      <w:pPr>
        <w:ind w:firstLine="480"/>
        <w:spacing w:line="520" w:lineRule="exact"/>
        <w:rPr>
          <w:rFonts w:ascii="宋体" w:hAnsi="宋体" w:cs="宋体"/>
          <w:sz w:val="24"/>
          <w:szCs w:val="24"/>
        </w:rPr>
      </w:pPr>
      <w:r>
        <w:rPr>
          <w:rFonts w:hint="eastAsia" w:ascii="宋体" w:hAnsi="宋体" w:cs="宋体"/>
          <w:sz w:val="24"/>
          <w:szCs w:val="24"/>
        </w:rPr>
        <w:t xml:space="preserve">12.3</w:t>
      </w:r>
      <w:r>
        <w:rPr>
          <w:rFonts w:hint="eastAsia" w:ascii="宋体" w:hAnsi="宋体" w:cs="宋体"/>
          <w:bCs/>
          <w:color w:val="000000"/>
          <w:sz w:val="24"/>
        </w:rPr>
        <w:t xml:space="preserve">本项目不接受备选的投标方案或有选择的报价，只允许有一个报价。供应商响应文件中的报价作为首次报价，不公开；以最后报价作为评审价。投标报价内容包括：磋商文件所确定的招标范围内的全部内容，包括工程量清单和相应的内容的价格体现，以及为完成上述内容所必须的包装、运输、附属工程、临时</w:t>
      </w:r>
      <w:r>
        <w:rPr>
          <w:rFonts w:hint="eastAsia" w:ascii="宋体" w:hAnsi="宋体" w:cs="宋体"/>
          <w:bCs/>
          <w:color w:val="000000"/>
          <w:sz w:val="24"/>
        </w:rPr>
        <w:t xml:space="preserve">工程、开办费、技术措施费、材料设备、劳务、机械设备、安装、维护、管理、利润、税金及政策性文件规定费用、检测、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并考虑风险因素，进行自主报价。</w:t>
      </w:r>
      <w:r/>
    </w:p>
    <w:p>
      <w:pPr>
        <w:ind w:firstLine="482"/>
        <w:keepLines/>
        <w:keepNext/>
        <w:spacing w:line="440" w:lineRule="exact"/>
        <w:rPr>
          <w:rFonts w:ascii="宋体" w:hAnsi="宋体" w:cs="宋体"/>
          <w:b/>
          <w:sz w:val="24"/>
          <w:szCs w:val="24"/>
        </w:rPr>
        <w:outlineLvl w:val="3"/>
      </w:pPr>
      <w:r/>
      <w:bookmarkStart w:id="133" w:name="_Hlt26954731"/>
      <w:r/>
      <w:bookmarkEnd w:id="133"/>
      <w:r/>
      <w:bookmarkStart w:id="134" w:name="_Hlt26670486"/>
      <w:r/>
      <w:bookmarkEnd w:id="134"/>
      <w:r/>
      <w:bookmarkStart w:id="135" w:name="_Hlt26954848"/>
      <w:r/>
      <w:bookmarkEnd w:id="135"/>
      <w:r/>
      <w:bookmarkStart w:id="136" w:name="_Hlt26954846"/>
      <w:r/>
      <w:bookmarkEnd w:id="136"/>
      <w:r/>
      <w:bookmarkStart w:id="137" w:name="_Hlt26670482"/>
      <w:r/>
      <w:bookmarkEnd w:id="137"/>
      <w:r>
        <w:rPr>
          <w:rFonts w:hint="eastAsia" w:ascii="宋体" w:hAnsi="宋体" w:cs="宋体"/>
          <w:b/>
          <w:sz w:val="24"/>
          <w:szCs w:val="24"/>
        </w:rPr>
        <w:t xml:space="preserve">13、技术要求响应及偏离表、商务要求响应及偏离表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13.1供应商需对磋商文件中的技术要求与商务要求逐项作出响应或偏离，并说明原因。</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13.2供应商可在响应文件中提供认为需要的其他技术文件或说明。</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14、服务承诺、培训计划、人员安排及其他</w:t>
      </w:r>
      <w:r/>
    </w:p>
    <w:p>
      <w:pPr>
        <w:ind w:firstLine="480"/>
        <w:spacing w:line="440" w:lineRule="exact"/>
        <w:rPr>
          <w:rFonts w:ascii="宋体" w:hAnsi="宋体" w:cs="宋体"/>
          <w:bCs/>
          <w:sz w:val="24"/>
          <w:szCs w:val="24"/>
        </w:rPr>
      </w:pPr>
      <w:r>
        <w:rPr>
          <w:rFonts w:hint="eastAsia" w:ascii="宋体" w:hAnsi="宋体" w:cs="宋体"/>
          <w:bCs/>
          <w:sz w:val="24"/>
          <w:szCs w:val="24"/>
        </w:rPr>
        <w:t xml:space="preserve">/</w:t>
      </w:r>
      <w:r/>
    </w:p>
    <w:p>
      <w:pPr>
        <w:ind w:firstLine="482"/>
        <w:keepLines/>
        <w:keepNext/>
        <w:spacing w:line="440" w:lineRule="exact"/>
        <w:rPr>
          <w:rFonts w:ascii="宋体" w:hAnsi="宋体" w:cs="宋体"/>
          <w:b/>
          <w:sz w:val="24"/>
          <w:szCs w:val="24"/>
        </w:rPr>
        <w:outlineLvl w:val="3"/>
      </w:pPr>
      <w:r/>
      <w:bookmarkStart w:id="138" w:name="_Toc49090510"/>
      <w:r/>
      <w:bookmarkStart w:id="139" w:name="_Toc14577359"/>
      <w:r>
        <w:rPr>
          <w:rFonts w:hint="eastAsia" w:ascii="宋体" w:hAnsi="宋体" w:cs="宋体"/>
          <w:b/>
          <w:sz w:val="24"/>
          <w:szCs w:val="24"/>
        </w:rPr>
        <w:t xml:space="preserve">15、磋商响应函</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15.1供应商应按照磋商文件中提供的格式完整、正确填写磋商响应函。</w:t>
      </w:r>
      <w:bookmarkEnd w:id="138"/>
      <w:r/>
      <w:bookmarkEnd w:id="139"/>
      <w:r/>
      <w:r/>
    </w:p>
    <w:p>
      <w:pPr>
        <w:ind w:firstLine="482"/>
        <w:keepLines/>
        <w:keepNext/>
        <w:spacing w:line="440" w:lineRule="exact"/>
        <w:rPr>
          <w:rFonts w:ascii="宋体" w:hAnsi="宋体" w:cs="宋体"/>
          <w:b/>
          <w:sz w:val="24"/>
          <w:szCs w:val="24"/>
        </w:rPr>
        <w:outlineLvl w:val="3"/>
      </w:pPr>
      <w:r/>
      <w:bookmarkStart w:id="140" w:name="_Toc14577360"/>
      <w:r/>
      <w:bookmarkStart w:id="141" w:name="_Toc49090511"/>
      <w:r>
        <w:rPr>
          <w:rFonts w:hint="eastAsia" w:ascii="宋体" w:hAnsi="宋体" w:cs="宋体"/>
          <w:b/>
          <w:sz w:val="24"/>
          <w:szCs w:val="24"/>
        </w:rPr>
        <w:t xml:space="preserve">16、磋商有效期</w:t>
      </w:r>
      <w:bookmarkEnd w:id="140"/>
      <w:r/>
      <w:bookmarkEnd w:id="141"/>
      <w:r/>
      <w:r/>
    </w:p>
    <w:p>
      <w:pPr>
        <w:ind w:firstLine="480"/>
        <w:spacing w:line="440" w:lineRule="exact"/>
        <w:rPr>
          <w:rFonts w:ascii="宋体" w:hAnsi="宋体" w:cs="宋体"/>
          <w:bCs/>
          <w:sz w:val="24"/>
          <w:szCs w:val="24"/>
        </w:rPr>
      </w:pPr>
      <w:r>
        <w:rPr>
          <w:rFonts w:hint="eastAsia" w:ascii="宋体" w:hAnsi="宋体" w:cs="宋体"/>
          <w:bCs/>
          <w:sz w:val="24"/>
          <w:szCs w:val="24"/>
        </w:rPr>
        <w:t xml:space="preserve">16.1磋商有效期为提交响应文件截止之日后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。磋商有效期比规定短的将被视为非实质性响应磋商文件而予以拒绝。</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17、磋商有效期的延长</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17.2成交人的响应文件作为项目合同的附件，其有效期至成交人全部合同义务履行完毕为止。</w:t>
      </w:r>
      <w:r/>
    </w:p>
    <w:p>
      <w:pPr>
        <w:pStyle w:val="710"/>
        <w:jc w:val="both"/>
        <w:spacing w:before="160" w:after="160" w:line="440" w:lineRule="exact"/>
        <w:rPr>
          <w:rFonts w:ascii="黑体" w:hAnsi="黑体" w:eastAsia="黑体"/>
          <w:b w:val="0"/>
          <w:bCs w:val="0"/>
          <w:sz w:val="32"/>
          <w:szCs w:val="32"/>
        </w:rPr>
      </w:pPr>
      <w:r/>
      <w:bookmarkStart w:id="142" w:name="_Hlt26954739"/>
      <w:r/>
      <w:bookmarkEnd w:id="142"/>
      <w:r/>
      <w:bookmarkStart w:id="143" w:name="_Hlt26954852"/>
      <w:r/>
      <w:bookmarkEnd w:id="143"/>
      <w:r/>
      <w:bookmarkStart w:id="144" w:name="_Toc160457385"/>
      <w:r/>
      <w:bookmarkStart w:id="145" w:name="_Toc16938540"/>
      <w:r/>
      <w:bookmarkStart w:id="146" w:name="_Toc513029224"/>
      <w:r/>
      <w:bookmarkStart w:id="147" w:name="_Toc120614217"/>
      <w:r/>
      <w:bookmarkStart w:id="148" w:name="_Toc20823296"/>
      <w:r>
        <w:rPr>
          <w:rFonts w:hint="eastAsia" w:ascii="黑体" w:hAnsi="黑体" w:eastAsia="黑体"/>
          <w:b w:val="0"/>
          <w:bCs w:val="0"/>
          <w:sz w:val="32"/>
          <w:szCs w:val="32"/>
        </w:rPr>
        <w:t xml:space="preserve">四、响应文件的递交</w:t>
      </w:r>
      <w:bookmarkEnd w:id="144"/>
      <w:r/>
      <w:bookmarkEnd w:id="145"/>
      <w:r/>
      <w:bookmarkEnd w:id="146"/>
      <w:r/>
      <w:bookmarkEnd w:id="147"/>
      <w:r/>
      <w:bookmarkEnd w:id="148"/>
      <w:r/>
      <w:r/>
    </w:p>
    <w:p>
      <w:pPr>
        <w:ind w:firstLine="482"/>
        <w:keepLines/>
        <w:keepNext/>
        <w:spacing w:line="440" w:lineRule="exact"/>
        <w:rPr>
          <w:rFonts w:asciiTheme="minorEastAsia" w:hAnsiTheme="minorEastAsia" w:eastAsiaTheme="minorEastAsia" w:cstheme="minorEastAsia"/>
          <w:b/>
          <w:sz w:val="24"/>
          <w:szCs w:val="24"/>
        </w:rPr>
        <w:outlineLvl w:val="3"/>
      </w:pPr>
      <w:r/>
      <w:bookmarkStart w:id="149" w:name="_Toc513029225"/>
      <w:r/>
      <w:bookmarkStart w:id="150" w:name="_Toc462564084"/>
      <w:r/>
      <w:bookmarkStart w:id="151" w:name="_Toc20823297"/>
      <w:r/>
      <w:bookmarkStart w:id="152" w:name="_Toc16938541"/>
      <w:r>
        <w:rPr>
          <w:rFonts w:hint="eastAsia" w:asciiTheme="minorEastAsia" w:hAnsiTheme="minorEastAsia" w:eastAsiaTheme="minorEastAsia" w:cstheme="minorEastAsia"/>
          <w:b/>
          <w:sz w:val="24"/>
          <w:szCs w:val="24"/>
        </w:rPr>
        <w:t xml:space="preserve">18、电子磋商</w:t>
      </w:r>
      <w:bookmarkEnd w:id="149"/>
      <w:r/>
      <w:bookmarkEnd w:id="150"/>
      <w:r/>
      <w:bookmarkEnd w:id="151"/>
      <w:r/>
      <w:bookmarkEnd w:id="152"/>
      <w:r>
        <w:rPr>
          <w:rFonts w:hint="eastAsia" w:asciiTheme="minorEastAsia" w:hAnsiTheme="minorEastAsia" w:eastAsiaTheme="minorEastAsia" w:cstheme="minorEastAsia"/>
          <w:b/>
          <w:sz w:val="24"/>
          <w:szCs w:val="24"/>
        </w:rPr>
        <w:t xml:space="preserve">响应文件的递交</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18.1供应商应当按照《操作手册》规定，在提交响应文件截止时间前制作并上传电子响应文件。</w:t>
      </w:r>
      <w:bookmarkStart w:id="153" w:name="_Toc20823298"/>
      <w:r/>
      <w:bookmarkStart w:id="154" w:name="_Toc16938542"/>
      <w:r/>
      <w:bookmarkStart w:id="155" w:name="_Toc513029226"/>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40" w:lineRule="exact"/>
        <w:rPr>
          <w:rFonts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b/>
          <w:sz w:val="24"/>
          <w:szCs w:val="24"/>
        </w:rPr>
        <w:t xml:space="preserve">19、提交响应文件截止时间</w:t>
      </w:r>
      <w:bookmarkEnd w:id="153"/>
      <w:r/>
      <w:bookmarkEnd w:id="154"/>
      <w:r/>
      <w:bookmarkEnd w:id="155"/>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19.1供应商上传电子响应文件的时间不得迟于磋商公告中规定的提交响应文件截止时间。</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19.2采购代理机构</w:t>
      </w:r>
      <w:r>
        <w:rPr>
          <w:rFonts w:hint="eastAsia" w:asciiTheme="minorEastAsia" w:hAnsiTheme="minorEastAsia" w:eastAsiaTheme="minorEastAsia" w:cstheme="minorEastAsia"/>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40" w:lineRule="exact"/>
        <w:rPr>
          <w:rFonts w:asciiTheme="minorEastAsia" w:hAnsiTheme="minorEastAsia" w:eastAsiaTheme="minorEastAsia" w:cstheme="minorEastAsia"/>
          <w:b/>
          <w:sz w:val="24"/>
          <w:szCs w:val="24"/>
        </w:rPr>
        <w:outlineLvl w:val="3"/>
      </w:pPr>
      <w:r/>
      <w:bookmarkStart w:id="156" w:name="_Toc513029227"/>
      <w:r/>
      <w:bookmarkStart w:id="157" w:name="_Toc16938543"/>
      <w:r/>
      <w:bookmarkStart w:id="158" w:name="_Toc20823299"/>
      <w:r>
        <w:rPr>
          <w:rFonts w:hint="eastAsia" w:asciiTheme="minorEastAsia" w:hAnsiTheme="minorEastAsia" w:eastAsiaTheme="minorEastAsia" w:cstheme="minorEastAsia"/>
          <w:b/>
          <w:sz w:val="24"/>
          <w:szCs w:val="24"/>
        </w:rPr>
        <w:t xml:space="preserve">20、响应文件</w:t>
      </w:r>
      <w:bookmarkEnd w:id="156"/>
      <w:r/>
      <w:bookmarkEnd w:id="157"/>
      <w:r/>
      <w:bookmarkEnd w:id="158"/>
      <w:r>
        <w:rPr>
          <w:rFonts w:hint="eastAsia" w:asciiTheme="minorEastAsia" w:hAnsiTheme="minorEastAsia" w:eastAsiaTheme="minorEastAsia" w:cstheme="minorEastAsia"/>
          <w:b/>
          <w:sz w:val="24"/>
          <w:szCs w:val="24"/>
        </w:rPr>
        <w:t xml:space="preserve">的拒收</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40" w:lineRule="exact"/>
        <w:rPr>
          <w:rFonts w:asciiTheme="minorEastAsia" w:hAnsiTheme="minorEastAsia" w:eastAsiaTheme="minorEastAsia" w:cstheme="minorEastAsia"/>
          <w:b/>
          <w:sz w:val="24"/>
          <w:szCs w:val="24"/>
        </w:rPr>
        <w:outlineLvl w:val="3"/>
      </w:pPr>
      <w:r/>
      <w:bookmarkStart w:id="159" w:name="_Toc16938544"/>
      <w:r/>
      <w:bookmarkStart w:id="160" w:name="_Toc513029228"/>
      <w:r/>
      <w:bookmarkStart w:id="161" w:name="_Toc20823300"/>
      <w:r>
        <w:rPr>
          <w:rFonts w:hint="eastAsia" w:asciiTheme="minorEastAsia" w:hAnsiTheme="minorEastAsia" w:eastAsiaTheme="minorEastAsia" w:cstheme="minorEastAsia"/>
          <w:b/>
          <w:sz w:val="24"/>
          <w:szCs w:val="24"/>
        </w:rPr>
        <w:t xml:space="preserve">21、响应文件的撤回和修改</w:t>
      </w:r>
      <w:bookmarkEnd w:id="159"/>
      <w:r/>
      <w:bookmarkEnd w:id="160"/>
      <w:r/>
      <w:bookmarkEnd w:id="161"/>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21.1响应文件的撤回</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21.1.1电子响应文件的撤回</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供应商可在提交响应文件截止时间前，撤回其电子响应文件，具体操作方法见《操作手册》。</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21.1.2供应商撤回电子响应文件，则认为其不再参与本项目磋商活动。</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21.2响应文件的修改</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21.2.1供应商可在提交响应文件截止时间前，对其电子响应文件进行修改，具体操作方法见《操作手册》。</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21.2.2在提交响应文件截止时间之后，供应商不得对其电子响应文件作任何修改。</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21.3在提交响应文件截止时间至磋商文件中规定的磋商有效期满之间的这段时间内，供应商不得撤回其响应文件。</w:t>
      </w:r>
      <w:r/>
    </w:p>
    <w:p>
      <w:pPr>
        <w:pStyle w:val="710"/>
        <w:jc w:val="both"/>
        <w:spacing w:before="160" w:after="160" w:line="440" w:lineRule="exact"/>
        <w:rPr>
          <w:rFonts w:ascii="黑体" w:hAnsi="黑体" w:eastAsia="黑体"/>
          <w:b w:val="0"/>
          <w:bCs w:val="0"/>
          <w:sz w:val="32"/>
          <w:szCs w:val="32"/>
        </w:rPr>
      </w:pPr>
      <w:r/>
      <w:bookmarkStart w:id="162" w:name="_Toc20823301"/>
      <w:r/>
      <w:bookmarkStart w:id="163" w:name="_Toc120614218"/>
      <w:r/>
      <w:bookmarkStart w:id="164" w:name="_Toc513029229"/>
      <w:r/>
      <w:bookmarkStart w:id="165" w:name="_Toc160457386"/>
      <w:r/>
      <w:bookmarkStart w:id="166" w:name="_Toc16938545"/>
      <w:r>
        <w:rPr>
          <w:rFonts w:hint="eastAsia" w:ascii="黑体" w:hAnsi="黑体" w:eastAsia="黑体"/>
          <w:b w:val="0"/>
          <w:bCs w:val="0"/>
          <w:sz w:val="32"/>
          <w:szCs w:val="32"/>
        </w:rPr>
        <w:t xml:space="preserve">五、响应文件的解密与评审</w:t>
      </w:r>
      <w:bookmarkEnd w:id="162"/>
      <w:r/>
      <w:bookmarkEnd w:id="163"/>
      <w:r/>
      <w:bookmarkEnd w:id="164"/>
      <w:r/>
      <w:bookmarkEnd w:id="165"/>
      <w:r/>
      <w:bookmarkEnd w:id="166"/>
      <w:r/>
      <w:r/>
    </w:p>
    <w:p>
      <w:pPr>
        <w:ind w:firstLine="482"/>
        <w:keepLines/>
        <w:keepNext/>
        <w:spacing w:line="440" w:lineRule="exact"/>
        <w:rPr>
          <w:rFonts w:ascii="宋体" w:hAnsi="宋体" w:cs="宋体"/>
          <w:b/>
          <w:sz w:val="24"/>
          <w:szCs w:val="24"/>
        </w:rPr>
        <w:outlineLvl w:val="3"/>
      </w:pPr>
      <w:r/>
      <w:bookmarkStart w:id="167" w:name="_Toc16938546"/>
      <w:r/>
      <w:bookmarkStart w:id="168" w:name="_Toc513029230"/>
      <w:r/>
      <w:bookmarkStart w:id="169" w:name="_Toc20823302"/>
      <w:r>
        <w:rPr>
          <w:rFonts w:hint="eastAsia" w:ascii="宋体" w:hAnsi="宋体" w:cs="宋体"/>
          <w:b/>
          <w:sz w:val="24"/>
          <w:szCs w:val="24"/>
        </w:rPr>
        <w:t xml:space="preserve">22、</w:t>
      </w:r>
      <w:bookmarkEnd w:id="167"/>
      <w:r/>
      <w:bookmarkEnd w:id="168"/>
      <w:r/>
      <w:bookmarkEnd w:id="169"/>
      <w:r>
        <w:rPr>
          <w:rFonts w:hint="eastAsia" w:ascii="宋体" w:hAnsi="宋体" w:cs="宋体"/>
          <w:b/>
          <w:sz w:val="24"/>
          <w:szCs w:val="24"/>
        </w:rPr>
        <w:t xml:space="preserve">响应文件解密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22.1供应商应当按照《“苏采云”系统供应商操作手册》规定，参加磋商活动和在苏采云系统规定的时间内对磋商响应文件进行解密。</w:t>
      </w:r>
      <w:r/>
    </w:p>
    <w:p>
      <w:pPr>
        <w:ind w:firstLine="482"/>
        <w:keepLines/>
        <w:keepNext/>
        <w:spacing w:line="440" w:lineRule="exact"/>
        <w:rPr>
          <w:rFonts w:ascii="宋体" w:hAnsi="宋体" w:cs="宋体"/>
          <w:b/>
          <w:sz w:val="24"/>
          <w:szCs w:val="24"/>
        </w:rPr>
        <w:outlineLvl w:val="3"/>
      </w:pPr>
      <w:r/>
      <w:bookmarkStart w:id="170" w:name="_Toc513029231"/>
      <w:r/>
      <w:bookmarkStart w:id="171" w:name="_Toc20823303"/>
      <w:r/>
      <w:bookmarkStart w:id="172" w:name="_Toc16938547"/>
      <w:r>
        <w:rPr>
          <w:rFonts w:hint="eastAsia" w:ascii="宋体" w:hAnsi="宋体" w:cs="宋体"/>
          <w:b/>
          <w:sz w:val="24"/>
          <w:szCs w:val="24"/>
        </w:rPr>
        <w:t xml:space="preserve">23、磋商小组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23.2磋商小组独立工作，负责评审所有响应文件并确定成交候选人。</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24、评审过程的保密与公正</w:t>
      </w:r>
      <w:bookmarkEnd w:id="170"/>
      <w:r/>
      <w:bookmarkEnd w:id="171"/>
      <w:r/>
      <w:bookmarkEnd w:id="172"/>
      <w:r/>
      <w:r/>
    </w:p>
    <w:p>
      <w:pPr>
        <w:ind w:firstLine="480"/>
        <w:spacing w:line="440" w:lineRule="exact"/>
        <w:rPr>
          <w:rFonts w:ascii="宋体" w:hAnsi="宋体" w:cs="宋体"/>
          <w:bCs/>
          <w:sz w:val="24"/>
          <w:szCs w:val="24"/>
        </w:rPr>
      </w:pPr>
      <w:r>
        <w:rPr>
          <w:rFonts w:hint="eastAsia" w:ascii="宋体" w:hAnsi="宋体" w:cs="宋体"/>
          <w:bCs/>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24.2在评审过程中，供应商不得以任何行为影响磋商评审过程，否则其响应文件将被作为无效响应文件。</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24.3在项目评审期间，采购代理机构将设专门人员与供应商联系。</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24.4采购代理机构和磋商小组不向未成交的供应商解释未成交原因，也不公布评审过程中的相关细节。</w:t>
      </w:r>
      <w:r/>
    </w:p>
    <w:p>
      <w:pPr>
        <w:ind w:firstLine="482"/>
        <w:keepLines/>
        <w:keepNext/>
        <w:spacing w:line="440" w:lineRule="exact"/>
        <w:rPr>
          <w:rFonts w:ascii="宋体" w:hAnsi="宋体" w:cs="宋体"/>
          <w:b/>
          <w:sz w:val="24"/>
          <w:szCs w:val="24"/>
        </w:rPr>
        <w:outlineLvl w:val="3"/>
      </w:pPr>
      <w:r/>
      <w:bookmarkStart w:id="173" w:name="_Toc20823304"/>
      <w:r/>
      <w:bookmarkStart w:id="174" w:name="_Toc16938548"/>
      <w:r/>
      <w:bookmarkStart w:id="175" w:name="_Toc513029232"/>
      <w:r>
        <w:rPr>
          <w:rFonts w:hint="eastAsia" w:ascii="宋体" w:hAnsi="宋体" w:cs="宋体"/>
          <w:b/>
          <w:sz w:val="24"/>
          <w:szCs w:val="24"/>
        </w:rPr>
        <w:t xml:space="preserve">25、评审过程中的的澄清</w:t>
      </w:r>
      <w:bookmarkEnd w:id="173"/>
      <w:r/>
      <w:bookmarkEnd w:id="174"/>
      <w:r/>
      <w:bookmarkEnd w:id="175"/>
      <w:r/>
      <w:r/>
    </w:p>
    <w:p>
      <w:pPr>
        <w:ind w:firstLine="480"/>
        <w:spacing w:line="440" w:lineRule="exact"/>
        <w:rPr>
          <w:rFonts w:ascii="宋体" w:hAnsi="宋体" w:cs="宋体"/>
          <w:bCs/>
          <w:sz w:val="24"/>
          <w:szCs w:val="24"/>
        </w:rPr>
      </w:pPr>
      <w:r>
        <w:rPr>
          <w:rFonts w:hint="eastAsia" w:ascii="宋体" w:hAnsi="宋体" w:cs="宋体"/>
          <w:bCs/>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bCs/>
          <w:sz w:val="24"/>
          <w:szCs w:val="24"/>
        </w:rPr>
      </w:pPr>
      <w:r>
        <w:rPr>
          <w:rFonts w:hint="eastAsia" w:ascii="宋体" w:hAnsi="宋体" w:cs="宋体"/>
          <w:bCs/>
          <w:sz w:val="24"/>
          <w:szCs w:val="24"/>
        </w:rPr>
        <w:t xml:space="preserve">磋商小组并非对每个供应商都作澄清要求。</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25.3接到磋商小组澄清、说明和更正要求的供应商如未按规定做出澄清、说明和 更正，其风险由供应商自行承担。</w:t>
      </w:r>
      <w:r/>
    </w:p>
    <w:p>
      <w:pPr>
        <w:ind w:firstLine="482"/>
        <w:keepLines/>
        <w:keepNext/>
        <w:spacing w:line="440" w:lineRule="exact"/>
        <w:rPr>
          <w:rFonts w:ascii="宋体" w:hAnsi="宋体" w:cs="宋体"/>
          <w:b/>
          <w:sz w:val="24"/>
          <w:szCs w:val="24"/>
        </w:rPr>
        <w:outlineLvl w:val="3"/>
      </w:pPr>
      <w:r/>
      <w:bookmarkStart w:id="176" w:name="_Toc20823305"/>
      <w:r/>
      <w:bookmarkStart w:id="177" w:name="_Toc513029233"/>
      <w:r/>
      <w:bookmarkStart w:id="178" w:name="_Toc16938549"/>
      <w:r>
        <w:rPr>
          <w:rFonts w:hint="eastAsia" w:ascii="宋体" w:hAnsi="宋体" w:cs="宋体"/>
          <w:b/>
          <w:sz w:val="24"/>
          <w:szCs w:val="24"/>
        </w:rPr>
        <w:t xml:space="preserve">26、对响应文件的审</w:t>
      </w:r>
      <w:bookmarkEnd w:id="176"/>
      <w:r/>
      <w:bookmarkEnd w:id="177"/>
      <w:r/>
      <w:bookmarkEnd w:id="178"/>
      <w:r>
        <w:rPr>
          <w:rFonts w:hint="eastAsia" w:ascii="宋体" w:hAnsi="宋体" w:cs="宋体"/>
          <w:b/>
          <w:sz w:val="24"/>
          <w:szCs w:val="24"/>
        </w:rPr>
        <w:t xml:space="preserve">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26.1响应文件审查分为资格审查和符合性审查。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bCs/>
          <w:sz w:val="24"/>
          <w:szCs w:val="24"/>
        </w:rPr>
      </w:pPr>
      <w:r>
        <w:rPr>
          <w:rFonts w:hint="eastAsia" w:ascii="宋体" w:hAnsi="宋体" w:cs="宋体"/>
          <w:bCs/>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26.3未实质性响应磋商文件的情形</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26.3.1供应商在苏采云系统规定的时间内未成功解密电子响应文件的。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26.3.2供应商未按照磋商文件要求上传电子响应文件的。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26.3.3同一供应商提交两个（含两个）以上不同的响应文件或者最后报价的。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26.3.4供应商不具备磋商文件中规定资格要求的。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26.3.5供应商的最后报价超过了采购预算。</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26.3.6不符合磋商文件中规定的实质性要求和条件的。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26.3.8响应文件含有采购人不能接受的附加条件的。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26.3.10响应文件未按照磋商文件要求加盖CA电子公章的。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26.3.11响应文件中已标价工程量清单与竞争性磋商文件明确列出的不可竞争费用项目或费率或计算基础不一致的；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26.3.12响应文件的已标价工程量清单与竞争性磋商文件提供的工程量清单中的项目编码、项目名称、项目特征、计量单位、工程量不一致的；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26.3.13如本项目专门面向中小企业（含监狱企业、残疾人福利企业）采购，非中小企业参与本项目磋商的。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26.4未实质性响应磋商文件的响应文件按无效响应处理。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bCs/>
          <w:sz w:val="24"/>
          <w:szCs w:val="24"/>
        </w:rPr>
      </w:pPr>
      <w:r/>
      <w:bookmarkStart w:id="179" w:name="_Toc20823306"/>
      <w:r/>
      <w:bookmarkStart w:id="180" w:name="_Toc513029234"/>
      <w:r/>
      <w:bookmarkStart w:id="181" w:name="_Toc16938550"/>
      <w:r>
        <w:rPr>
          <w:rFonts w:hint="eastAsia" w:ascii="宋体" w:hAnsi="宋体" w:cs="宋体"/>
          <w:bCs/>
          <w:sz w:val="24"/>
          <w:szCs w:val="24"/>
        </w:rPr>
        <w:t xml:space="preserve">26.6供应商在项目评审全过程中应保持通讯畅通，并安排专人与采购代理机构及磋商小组联系。</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27、</w:t>
      </w:r>
      <w:bookmarkEnd w:id="179"/>
      <w:r/>
      <w:bookmarkEnd w:id="180"/>
      <w:r/>
      <w:bookmarkEnd w:id="181"/>
      <w:r>
        <w:rPr>
          <w:rFonts w:hint="eastAsia" w:ascii="宋体" w:hAnsi="宋体" w:cs="宋体"/>
          <w:b/>
          <w:sz w:val="24"/>
          <w:szCs w:val="24"/>
        </w:rPr>
        <w:t xml:space="preserve">磋商程序及评审方法和评审标准</w:t>
      </w:r>
      <w:r/>
    </w:p>
    <w:p>
      <w:pPr>
        <w:ind w:firstLine="478"/>
        <w:spacing w:line="440" w:lineRule="exact"/>
        <w:tabs>
          <w:tab w:val="left" w:pos="900" w:leader="none"/>
        </w:tabs>
        <w:rPr>
          <w:rFonts w:ascii="宋体" w:hAnsi="宋体" w:cs="宋体"/>
          <w:sz w:val="24"/>
          <w:szCs w:val="24"/>
        </w:rPr>
      </w:pPr>
      <w:r>
        <w:rPr>
          <w:rFonts w:hint="eastAsia" w:ascii="宋体" w:hAnsi="宋体" w:cs="宋体"/>
          <w:sz w:val="24"/>
          <w:szCs w:val="24"/>
        </w:rPr>
        <w:t xml:space="preserve">27.1磋商程序</w:t>
      </w:r>
      <w:r/>
    </w:p>
    <w:p>
      <w:pPr>
        <w:ind w:firstLine="478"/>
        <w:spacing w:line="440" w:lineRule="exact"/>
        <w:tabs>
          <w:tab w:val="left" w:pos="900" w:leader="none"/>
        </w:tabs>
        <w:rPr>
          <w:rFonts w:ascii="宋体" w:hAnsi="宋体" w:cs="宋体"/>
          <w:sz w:val="24"/>
          <w:szCs w:val="24"/>
        </w:rPr>
      </w:pPr>
      <w:r>
        <w:rPr>
          <w:rFonts w:hint="eastAsia" w:ascii="宋体" w:hAnsi="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4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40" w:lineRule="exact"/>
        <w:tabs>
          <w:tab w:val="left" w:pos="900" w:leader="none"/>
        </w:tabs>
        <w:rPr>
          <w:rFonts w:ascii="宋体" w:hAnsi="宋体" w:cs="宋体"/>
          <w:sz w:val="24"/>
          <w:szCs w:val="24"/>
        </w:rPr>
      </w:pPr>
      <w:r>
        <w:rPr>
          <w:rFonts w:hint="eastAsia" w:ascii="宋体" w:hAnsi="宋体" w:cs="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44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27.2评审方法和评审标准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27.2.2评审标准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见本磋商文件第五章规定。</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27.3采购活动终止的情况</w:t>
      </w:r>
      <w:r/>
    </w:p>
    <w:p>
      <w:pPr>
        <w:ind w:firstLine="480"/>
        <w:spacing w:line="440" w:lineRule="exact"/>
        <w:rPr>
          <w:rFonts w:ascii="宋体" w:hAnsi="宋体" w:cs="宋体"/>
          <w:bCs/>
          <w:sz w:val="24"/>
          <w:szCs w:val="24"/>
        </w:rPr>
      </w:pPr>
      <w:r>
        <w:rPr>
          <w:rFonts w:hint="eastAsia" w:ascii="宋体" w:hAnsi="宋体" w:cs="宋体"/>
          <w:bCs/>
          <w:sz w:val="24"/>
          <w:szCs w:val="24"/>
        </w:rPr>
        <w:t xml:space="preserve">出现下列情形之一的，本次竞争性磋商采购活动将被终止：</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27.3.1因情况变化，不再符合规定的竞争性磋商采购方式适用情形的。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27.3.2出现影响采购公正的违法、违规行为的。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27.3.4在苏采云系统规定时间内成功解密电子响应文件的供应商不足3家的。</w:t>
      </w:r>
      <w:r/>
    </w:p>
    <w:p>
      <w:pPr>
        <w:ind w:firstLine="480"/>
        <w:spacing w:line="520" w:lineRule="exact"/>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t xml:space="preserve">3</w:t>
      </w:r>
      <w:r>
        <w:rPr>
          <w:rFonts w:hint="eastAsia" w:ascii="宋体" w:hAnsi="宋体" w:cs="宋体"/>
          <w:sz w:val="24"/>
          <w:szCs w:val="24"/>
        </w:rPr>
        <w:t xml:space="preserve">.5评委会认定磋商文件存在歧义、重大缺陷导致评审工作无法进行。</w:t>
      </w:r>
      <w:r/>
    </w:p>
    <w:p>
      <w:pPr>
        <w:ind w:firstLine="480"/>
        <w:spacing w:line="520" w:lineRule="exact"/>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t xml:space="preserve">3</w:t>
      </w:r>
      <w:r>
        <w:rPr>
          <w:rFonts w:hint="eastAsia" w:ascii="宋体" w:hAnsi="宋体" w:cs="宋体"/>
          <w:sz w:val="24"/>
          <w:szCs w:val="24"/>
        </w:rPr>
        <w:t xml:space="preserve">.6因“苏采云”系统系统故障原因造成开标不成功的。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27.4异常低价审查</w:t>
      </w:r>
      <w:r/>
    </w:p>
    <w:p>
      <w:pPr>
        <w:ind w:firstLine="480"/>
        <w:spacing w:line="440" w:lineRule="exact"/>
        <w:rPr>
          <w:rFonts w:ascii="宋体" w:hAnsi="宋体" w:cs="宋体"/>
          <w:bCs/>
          <w:color w:val="ff0000"/>
          <w:sz w:val="24"/>
          <w:szCs w:val="24"/>
        </w:rPr>
      </w:pPr>
      <w:r>
        <w:rPr>
          <w:rFonts w:hint="eastAsia" w:ascii="宋体" w:hAnsi="宋体" w:cs="宋体"/>
          <w:bCs/>
          <w:color w:val="000000" w:themeColor="text1"/>
          <w:sz w:val="24"/>
          <w:szCs w:val="24"/>
          <w14:textFill>
            <w14:solidFill>
              <w14:schemeClr w14:val="tx1"/>
            </w14:solidFill>
          </w14:textFill>
        </w:rPr>
        <w:t xml:space="preserve">（依据财库（2026）2号关于推动解决政府采购异常低价问题的通知）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27.4.1评审过程中出现下列情形之一的，磋商小组应当启动异常低价投标(响应)审查程序：</w:t>
      </w:r>
      <w:r/>
    </w:p>
    <w:p>
      <w:pPr>
        <w:ind w:firstLine="480"/>
        <w:spacing w:line="440" w:lineRule="exact"/>
        <w:rPr>
          <w:rFonts w:ascii="宋体" w:hAnsi="宋体" w:cs="宋体"/>
          <w:bCs/>
          <w:sz w:val="24"/>
          <w:szCs w:val="24"/>
        </w:rPr>
      </w:pPr>
      <w:r>
        <w:rPr>
          <w:rFonts w:ascii="宋体" w:hAnsi="宋体" w:cs="宋体"/>
          <w:bCs/>
          <w:sz w:val="24"/>
          <w:szCs w:val="24"/>
        </w:rPr>
        <w:t xml:space="preserve">①</w:t>
      </w:r>
      <w:r>
        <w:rPr>
          <w:rFonts w:hint="eastAsia" w:ascii="宋体" w:hAnsi="宋体" w:cs="宋体"/>
          <w:bCs/>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cs="宋体"/>
          <w:bCs/>
          <w:sz w:val="24"/>
          <w:szCs w:val="24"/>
        </w:rPr>
      </w:pPr>
      <w:r>
        <w:rPr>
          <w:rFonts w:ascii="宋体" w:hAnsi="宋体" w:cs="宋体"/>
          <w:bCs/>
          <w:sz w:val="24"/>
          <w:szCs w:val="24"/>
        </w:rPr>
        <w:t xml:space="preserve">②</w:t>
      </w:r>
      <w:r>
        <w:rPr>
          <w:rFonts w:hint="eastAsia" w:ascii="宋体" w:hAnsi="宋体" w:cs="宋体"/>
          <w:bCs/>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bCs/>
          <w:sz w:val="24"/>
          <w:szCs w:val="24"/>
        </w:rPr>
      </w:pPr>
      <w:r>
        <w:rPr>
          <w:rFonts w:ascii="宋体" w:hAnsi="宋体" w:cs="宋体"/>
          <w:bCs/>
          <w:sz w:val="24"/>
          <w:szCs w:val="24"/>
        </w:rPr>
        <w:t xml:space="preserve">③</w:t>
      </w:r>
      <w:r>
        <w:rPr>
          <w:rFonts w:hint="eastAsia" w:ascii="宋体" w:hAnsi="宋体" w:cs="宋体"/>
          <w:bCs/>
          <w:sz w:val="24"/>
          <w:szCs w:val="24"/>
        </w:rPr>
        <w:t xml:space="preserve">投标（响应）报价低于采购项目最高限价45%的，即投标（响应）报价&lt;采购项目最高限价×45%；</w:t>
      </w:r>
      <w:r/>
    </w:p>
    <w:p>
      <w:pPr>
        <w:ind w:firstLine="480"/>
        <w:spacing w:line="440" w:lineRule="exact"/>
        <w:rPr>
          <w:rFonts w:ascii="宋体" w:hAnsi="宋体" w:cs="宋体"/>
          <w:bCs/>
          <w:sz w:val="24"/>
          <w:szCs w:val="24"/>
        </w:rPr>
      </w:pPr>
      <w:r>
        <w:rPr>
          <w:rFonts w:hint="eastAsia" w:ascii="宋体" w:hAnsi="宋体" w:cs="宋体"/>
          <w:bCs/>
          <w:sz w:val="24"/>
          <w:szCs w:val="24"/>
        </w:rPr>
        <w:t xml:space="preserve">④磋商小组基于专业判断，认为供应商报价过低，有可能影响产品质量或者不能诚信履约的其他情形。</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27.4.2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cs="宋体"/>
          <w:bCs/>
          <w:sz w:val="24"/>
          <w:szCs w:val="24"/>
        </w:rPr>
        <w:t xml:space="preserve">③</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7.4.3</w:t>
      </w:r>
      <w:r>
        <w:rPr>
          <w:rFonts w:hint="eastAsia" w:ascii="宋体" w:hAnsi="宋体" w:cs="宋体"/>
          <w:bCs/>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r/>
    </w:p>
    <w:p>
      <w:pPr>
        <w:ind w:firstLine="480"/>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7.4.4</w:t>
      </w:r>
      <w:r>
        <w:rPr>
          <w:rFonts w:hint="eastAsia" w:ascii="宋体" w:hAnsi="宋体" w:cs="宋体"/>
          <w:bCs/>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710"/>
        <w:jc w:val="both"/>
        <w:spacing w:before="160" w:after="160" w:line="440" w:lineRule="exact"/>
        <w:rPr>
          <w:rFonts w:ascii="黑体" w:hAnsi="黑体" w:eastAsia="黑体"/>
          <w:b w:val="0"/>
          <w:bCs w:val="0"/>
          <w:sz w:val="32"/>
          <w:szCs w:val="32"/>
        </w:rPr>
      </w:pPr>
      <w:r/>
      <w:bookmarkStart w:id="182" w:name="_Toc16938551"/>
      <w:r/>
      <w:bookmarkStart w:id="183" w:name="_Toc513029235"/>
      <w:r/>
      <w:bookmarkStart w:id="184" w:name="_Toc20823307"/>
      <w:r/>
      <w:bookmarkStart w:id="185" w:name="_Toc120614219"/>
      <w:r/>
      <w:bookmarkStart w:id="186" w:name="_Toc160457387"/>
      <w:r>
        <w:rPr>
          <w:rFonts w:hint="eastAsia" w:ascii="黑体" w:hAnsi="黑体" w:eastAsia="黑体"/>
          <w:b w:val="0"/>
          <w:bCs w:val="0"/>
          <w:sz w:val="32"/>
          <w:szCs w:val="32"/>
        </w:rPr>
        <w:t xml:space="preserve">六、</w:t>
      </w:r>
      <w:bookmarkEnd w:id="182"/>
      <w:r/>
      <w:bookmarkEnd w:id="183"/>
      <w:r/>
      <w:bookmarkEnd w:id="184"/>
      <w:r/>
      <w:bookmarkEnd w:id="185"/>
      <w:r>
        <w:rPr>
          <w:rFonts w:hint="eastAsia" w:ascii="黑体" w:hAnsi="黑体" w:eastAsia="黑体"/>
          <w:b w:val="0"/>
          <w:bCs w:val="0"/>
          <w:sz w:val="32"/>
          <w:szCs w:val="32"/>
        </w:rPr>
        <w:t xml:space="preserve">成交</w:t>
      </w:r>
      <w:bookmarkEnd w:id="186"/>
      <w:r/>
      <w:r/>
    </w:p>
    <w:p>
      <w:pPr>
        <w:ind w:firstLine="482"/>
        <w:keepLines/>
        <w:keepNext/>
        <w:spacing w:line="440" w:lineRule="exact"/>
        <w:rPr>
          <w:rFonts w:ascii="宋体" w:hAnsi="宋体" w:cs="宋体"/>
          <w:b/>
          <w:sz w:val="24"/>
          <w:szCs w:val="24"/>
        </w:rPr>
        <w:outlineLvl w:val="3"/>
      </w:pPr>
      <w:r/>
      <w:bookmarkStart w:id="187" w:name="_Toc513029238"/>
      <w:r/>
      <w:bookmarkStart w:id="188" w:name="_Toc20823310"/>
      <w:r/>
      <w:bookmarkStart w:id="189" w:name="_Toc16938554"/>
      <w:r>
        <w:rPr>
          <w:rFonts w:hint="eastAsia" w:ascii="宋体" w:hAnsi="宋体" w:cs="宋体"/>
          <w:b/>
          <w:sz w:val="24"/>
          <w:szCs w:val="24"/>
        </w:rPr>
        <w:t xml:space="preserve">28、</w:t>
      </w:r>
      <w:bookmarkEnd w:id="187"/>
      <w:r>
        <w:rPr>
          <w:rFonts w:hint="eastAsia" w:ascii="宋体" w:hAnsi="宋体" w:cs="宋体"/>
          <w:b/>
          <w:sz w:val="24"/>
          <w:szCs w:val="24"/>
        </w:rPr>
        <w:t xml:space="preserve">确定</w:t>
      </w:r>
      <w:bookmarkEnd w:id="188"/>
      <w:r/>
      <w:bookmarkEnd w:id="189"/>
      <w:r>
        <w:rPr>
          <w:rFonts w:hint="eastAsia" w:ascii="宋体" w:hAnsi="宋体" w:cs="宋体"/>
          <w:b/>
          <w:sz w:val="24"/>
          <w:szCs w:val="24"/>
        </w:rPr>
        <w:t xml:space="preserve">成交单位</w:t>
      </w:r>
      <w:r/>
    </w:p>
    <w:p>
      <w:pPr>
        <w:ind w:firstLine="478"/>
        <w:spacing w:line="440" w:lineRule="exact"/>
        <w:tabs>
          <w:tab w:val="left" w:pos="900" w:leader="none"/>
        </w:tabs>
        <w:rPr>
          <w:rFonts w:ascii="宋体" w:hAnsi="宋体" w:cs="宋体"/>
          <w:sz w:val="24"/>
          <w:szCs w:val="24"/>
        </w:rPr>
      </w:pPr>
      <w:r>
        <w:rPr>
          <w:rFonts w:hint="eastAsia" w:ascii="宋体" w:hAnsi="宋体" w:cs="宋体"/>
          <w:bCs/>
          <w:sz w:val="24"/>
          <w:szCs w:val="24"/>
        </w:rPr>
        <w:t xml:space="preserve">28.1</w:t>
      </w:r>
      <w:r>
        <w:rPr>
          <w:rFonts w:hint="eastAsia" w:ascii="宋体" w:hAnsi="宋体" w:cs="宋体"/>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40" w:lineRule="exact"/>
        <w:tabs>
          <w:tab w:val="left" w:pos="900" w:leader="none"/>
        </w:tabs>
        <w:rPr>
          <w:rFonts w:ascii="宋体" w:hAnsi="宋体" w:cs="宋体"/>
          <w:bCs/>
          <w:sz w:val="24"/>
          <w:szCs w:val="24"/>
        </w:rPr>
      </w:pPr>
      <w:r>
        <w:rPr>
          <w:rFonts w:hint="eastAsia" w:ascii="宋体" w:hAnsi="宋体" w:cs="宋体"/>
          <w:bCs/>
          <w:sz w:val="24"/>
          <w:szCs w:val="24"/>
        </w:rPr>
        <w:t xml:space="preserve">28.2采购人从评审报告提出的成交候选供应商中，按照排序由高到低的原则确定成交供应商。</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按以下第</w:t>
      </w:r>
      <w:r>
        <w:rPr>
          <w:rFonts w:hint="eastAsia" w:ascii="宋体" w:hAnsi="宋体" w:cs="宋体"/>
          <w:bCs/>
          <w:sz w:val="24"/>
          <w:szCs w:val="24"/>
          <w:u w:val="single"/>
          <w:lang w:val="zh-CN"/>
        </w:rPr>
        <w:t xml:space="preserve">（</w:t>
      </w:r>
      <w:r>
        <w:rPr>
          <w:rFonts w:hint="eastAsia" w:ascii="宋体" w:hAnsi="宋体" w:cs="宋体"/>
          <w:bCs/>
          <w:sz w:val="24"/>
          <w:szCs w:val="24"/>
          <w:u w:val="single"/>
        </w:rPr>
        <w:t xml:space="preserve">2</w:t>
      </w:r>
      <w:r>
        <w:rPr>
          <w:rFonts w:hint="eastAsia" w:ascii="宋体" w:hAnsi="宋体" w:cs="宋体"/>
          <w:bCs/>
          <w:sz w:val="24"/>
          <w:szCs w:val="24"/>
          <w:u w:val="single"/>
          <w:lang w:val="zh-CN"/>
        </w:rPr>
        <w:t xml:space="preserve">）</w:t>
      </w:r>
      <w:r>
        <w:rPr>
          <w:rFonts w:hint="eastAsia" w:ascii="宋体" w:hAnsi="宋体" w:cs="宋体"/>
          <w:bCs/>
          <w:sz w:val="24"/>
          <w:szCs w:val="24"/>
          <w:lang w:val="zh-CN"/>
        </w:rPr>
        <w:t xml:space="preserve">种方式确定成交供应商</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（1）磋商小组直接确定排名第一的</w:t>
      </w:r>
      <w:r>
        <w:rPr>
          <w:rFonts w:hint="eastAsia" w:ascii="宋体" w:hAnsi="宋体" w:cs="宋体"/>
          <w:bCs/>
          <w:sz w:val="24"/>
          <w:szCs w:val="24"/>
        </w:rPr>
        <w:t xml:space="preserve">成交候选供应商</w:t>
      </w:r>
      <w:r>
        <w:rPr>
          <w:rFonts w:hint="eastAsia" w:ascii="宋体" w:hAnsi="宋体" w:cs="宋体"/>
          <w:bCs/>
          <w:sz w:val="24"/>
          <w:szCs w:val="24"/>
          <w:lang w:val="zh-CN"/>
        </w:rPr>
        <w:t xml:space="preserve">为成交供应商；</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（2）采购人</w:t>
      </w:r>
      <w:r>
        <w:rPr>
          <w:rFonts w:hint="eastAsia" w:ascii="宋体" w:hAnsi="宋体" w:cs="宋体"/>
          <w:bCs/>
          <w:sz w:val="24"/>
          <w:szCs w:val="24"/>
        </w:rPr>
        <w:t xml:space="preserve">从评审报告提出</w:t>
      </w:r>
      <w:r>
        <w:rPr>
          <w:rFonts w:hint="eastAsia" w:ascii="宋体" w:hAnsi="宋体" w:cs="宋体"/>
          <w:bCs/>
          <w:sz w:val="24"/>
          <w:szCs w:val="24"/>
          <w:lang w:val="zh-CN"/>
        </w:rPr>
        <w:t xml:space="preserve">的</w:t>
      </w:r>
      <w:r>
        <w:rPr>
          <w:rFonts w:hint="eastAsia" w:ascii="宋体" w:hAnsi="宋体" w:cs="宋体"/>
          <w:bCs/>
          <w:sz w:val="24"/>
          <w:szCs w:val="24"/>
        </w:rPr>
        <w:t xml:space="preserve">成交候选供应商</w:t>
      </w:r>
      <w:r>
        <w:rPr>
          <w:rFonts w:hint="eastAsia" w:ascii="宋体" w:hAnsi="宋体" w:cs="宋体"/>
          <w:bCs/>
          <w:sz w:val="24"/>
          <w:szCs w:val="24"/>
          <w:lang w:val="zh-CN"/>
        </w:rPr>
        <w:t xml:space="preserve">中按顺序确定成交供应商。</w:t>
      </w:r>
      <w:r/>
    </w:p>
    <w:p>
      <w:pPr>
        <w:ind w:firstLine="478"/>
        <w:spacing w:line="440" w:lineRule="exact"/>
        <w:tabs>
          <w:tab w:val="left" w:pos="900" w:leader="none"/>
        </w:tabs>
        <w:rPr>
          <w:rFonts w:ascii="宋体" w:hAnsi="宋体" w:cs="宋体"/>
          <w:bCs/>
          <w:sz w:val="24"/>
          <w:szCs w:val="24"/>
        </w:rPr>
      </w:pPr>
      <w:r>
        <w:rPr>
          <w:rFonts w:hint="eastAsia" w:ascii="宋体" w:hAnsi="宋体" w:cs="宋体"/>
          <w:bCs/>
          <w:sz w:val="24"/>
          <w:szCs w:val="24"/>
          <w:lang w:val="zh-CN"/>
        </w:rPr>
        <w:t xml:space="preserve">按第</w:t>
      </w:r>
      <w:r>
        <w:rPr>
          <w:rFonts w:hint="eastAsia" w:ascii="宋体" w:hAnsi="宋体" w:cs="宋体"/>
          <w:bCs/>
          <w:sz w:val="24"/>
          <w:szCs w:val="24"/>
        </w:rPr>
        <w:t xml:space="preserve">2</w:t>
      </w:r>
      <w:r>
        <w:rPr>
          <w:rFonts w:hint="eastAsia" w:ascii="宋体" w:hAnsi="宋体" w:cs="宋体"/>
          <w:bCs/>
          <w:sz w:val="24"/>
          <w:szCs w:val="24"/>
          <w:lang w:val="zh-CN"/>
        </w:rPr>
        <w:t xml:space="preserve">种方式确定成交供应商的，</w:t>
      </w:r>
      <w:r>
        <w:rPr>
          <w:rFonts w:hint="eastAsia" w:ascii="宋体" w:hAnsi="宋体" w:cs="宋体"/>
          <w:bCs/>
          <w:sz w:val="24"/>
          <w:szCs w:val="24"/>
        </w:rPr>
        <w:t xml:space="preserve">采购代理机构</w:t>
      </w:r>
      <w:r>
        <w:rPr>
          <w:rFonts w:hint="eastAsia" w:ascii="宋体" w:hAnsi="宋体" w:cs="宋体"/>
          <w:bCs/>
          <w:sz w:val="24"/>
          <w:szCs w:val="24"/>
          <w:lang w:val="zh-CN"/>
        </w:rPr>
        <w:t xml:space="preserve">自评审结束之日起两个工作日内将评审报告送交采购人，采购人自收到评审报告之日起五个工作日内在评审报告推荐的</w:t>
      </w:r>
      <w:r>
        <w:rPr>
          <w:rFonts w:hint="eastAsia" w:ascii="宋体" w:hAnsi="宋体" w:cs="宋体"/>
          <w:bCs/>
          <w:sz w:val="24"/>
          <w:szCs w:val="24"/>
        </w:rPr>
        <w:t xml:space="preserve">成交候选供应商</w:t>
      </w:r>
      <w:r>
        <w:rPr>
          <w:rFonts w:hint="eastAsia" w:ascii="宋体" w:hAnsi="宋体" w:cs="宋体"/>
          <w:bCs/>
          <w:sz w:val="24"/>
          <w:szCs w:val="24"/>
          <w:lang w:val="zh-CN"/>
        </w:rPr>
        <w:t xml:space="preserve">中按顺序确定成交供应商。</w:t>
      </w:r>
      <w:r/>
    </w:p>
    <w:p>
      <w:pPr>
        <w:ind w:firstLine="478"/>
        <w:spacing w:line="440" w:lineRule="exact"/>
        <w:tabs>
          <w:tab w:val="left" w:pos="900" w:leader="none"/>
        </w:tabs>
        <w:rPr>
          <w:rFonts w:ascii="宋体" w:hAnsi="宋体" w:cs="宋体"/>
          <w:bCs/>
          <w:sz w:val="24"/>
          <w:szCs w:val="24"/>
        </w:rPr>
      </w:pPr>
      <w:r>
        <w:rPr>
          <w:rFonts w:hint="eastAsia" w:ascii="宋体" w:hAnsi="宋体" w:cs="宋体"/>
          <w:bCs/>
          <w:sz w:val="24"/>
          <w:szCs w:val="24"/>
        </w:rPr>
        <w:t xml:space="preserve">28.3成交供应商确定后，采购代理机构将在“宿迁市政府采购网”发布成交结果公告，公告期限为1个工作日。</w:t>
      </w:r>
      <w:r/>
    </w:p>
    <w:p>
      <w:pPr>
        <w:ind w:firstLine="478"/>
        <w:spacing w:line="440" w:lineRule="exact"/>
        <w:tabs>
          <w:tab w:val="left" w:pos="900" w:leader="none"/>
        </w:tabs>
        <w:rPr>
          <w:rFonts w:ascii="宋体" w:hAnsi="宋体" w:cs="宋体"/>
          <w:bCs/>
          <w:sz w:val="24"/>
          <w:szCs w:val="24"/>
        </w:rPr>
      </w:pPr>
      <w:r>
        <w:rPr>
          <w:rFonts w:hint="eastAsia" w:ascii="宋体" w:hAnsi="宋体" w:cs="宋体"/>
          <w:bCs/>
          <w:sz w:val="24"/>
          <w:szCs w:val="24"/>
        </w:rPr>
        <w:t xml:space="preserve">28.4若有充分证据证明，成交供应商出现下列情况之一的，一经查实，将被取消成交资格：</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28.4.1提供虚假材料谋取成交的。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28.4.2与评审专家、采购人、其他供应商或者</w:t>
      </w:r>
      <w:r>
        <w:rPr>
          <w:rFonts w:hint="eastAsia" w:ascii="宋体" w:hAnsi="宋体" w:cs="宋体"/>
          <w:sz w:val="24"/>
          <w:szCs w:val="24"/>
        </w:rPr>
        <w:t xml:space="preserve">采购代理机构</w:t>
      </w:r>
      <w:r>
        <w:rPr>
          <w:rFonts w:hint="eastAsia" w:ascii="宋体" w:hAnsi="宋体" w:cs="宋体"/>
          <w:bCs/>
          <w:sz w:val="24"/>
          <w:szCs w:val="24"/>
        </w:rPr>
        <w:t xml:space="preserve">工作人员恶意串通的。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28.4.3向评审专家、采购人或</w:t>
      </w:r>
      <w:r>
        <w:rPr>
          <w:rFonts w:hint="eastAsia" w:ascii="宋体" w:hAnsi="宋体" w:cs="宋体"/>
          <w:sz w:val="24"/>
          <w:szCs w:val="24"/>
        </w:rPr>
        <w:t xml:space="preserve">采购代理机构</w:t>
      </w:r>
      <w:r>
        <w:rPr>
          <w:rFonts w:hint="eastAsia" w:ascii="宋体" w:hAnsi="宋体" w:cs="宋体"/>
          <w:bCs/>
          <w:sz w:val="24"/>
          <w:szCs w:val="24"/>
        </w:rPr>
        <w:t xml:space="preserve">工作人员行贿或者提供其他不正当利益的。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28.4.4恶意竞争，最后报价明显低于其自身合理成本且又无法提供证明的。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28.4.5不满足本磋商文件规定的实质性要求，但在评审过程中又未被磋商小组发现的。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28.4.6成交后无正当理由拒不与采购人签订政府采购合同或者未按照磋商文件确定的事项签订政府采购合同的。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28.4.7将政府采购合同转包的。</w:t>
      </w:r>
      <w:r/>
    </w:p>
    <w:p>
      <w:pPr>
        <w:ind w:firstLine="482"/>
        <w:keepLines/>
        <w:keepNext/>
        <w:spacing w:line="440" w:lineRule="exact"/>
        <w:rPr>
          <w:rFonts w:ascii="宋体" w:hAnsi="宋体" w:cs="宋体"/>
          <w:b/>
          <w:sz w:val="24"/>
          <w:szCs w:val="24"/>
        </w:rPr>
        <w:outlineLvl w:val="3"/>
      </w:pPr>
      <w:r/>
      <w:bookmarkStart w:id="190" w:name="_Toc200451960"/>
      <w:r>
        <w:rPr>
          <w:rFonts w:hint="eastAsia" w:ascii="宋体" w:hAnsi="宋体" w:cs="宋体"/>
          <w:b/>
          <w:sz w:val="24"/>
          <w:szCs w:val="24"/>
        </w:rPr>
        <w:t xml:space="preserve">29、质疑处理</w:t>
      </w:r>
      <w:bookmarkEnd w:id="190"/>
      <w:r/>
      <w:r/>
    </w:p>
    <w:p>
      <w:pPr>
        <w:ind w:firstLine="480"/>
        <w:spacing w:line="440" w:lineRule="exact"/>
        <w:rPr>
          <w:rFonts w:ascii="宋体" w:hAnsi="宋体" w:cs="宋体"/>
          <w:sz w:val="24"/>
          <w:szCs w:val="24"/>
        </w:rPr>
      </w:pPr>
      <w:r>
        <w:rPr>
          <w:rFonts w:hint="eastAsia" w:ascii="宋体" w:hAnsi="宋体" w:cs="宋体"/>
          <w:sz w:val="24"/>
          <w:szCs w:val="24"/>
        </w:rPr>
        <w:t xml:space="preserve">29.1提出质疑的供应商应当是参与所质疑项目采购活动的供应商。潜在供应商依法获取其可质疑的采购文件的，可以对采购文件提出质疑。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440" w:lineRule="exact"/>
        <w:rPr>
          <w:rFonts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440" w:lineRule="exact"/>
        <w:rPr>
          <w:rFonts w:ascii="宋体" w:hAnsi="宋体" w:cs="宋体"/>
          <w:sz w:val="24"/>
          <w:szCs w:val="24"/>
        </w:rPr>
      </w:pPr>
      <w:r>
        <w:rPr>
          <w:rFonts w:hint="eastAsia" w:ascii="宋体" w:hAnsi="宋体" w:cs="宋体"/>
          <w:sz w:val="24"/>
          <w:szCs w:val="24"/>
        </w:rPr>
        <w:t xml:space="preserve">29.2.3对成交结果提出质疑的，为成交结果公告期限届满之日。</w:t>
      </w:r>
      <w:r/>
    </w:p>
    <w:p>
      <w:pPr>
        <w:ind w:firstLine="480"/>
        <w:spacing w:line="44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ascii="宋体" w:hAnsi="宋体" w:cs="宋体"/>
          <w:sz w:val="24"/>
          <w:szCs w:val="24"/>
        </w:rPr>
      </w:pPr>
      <w:r>
        <w:rPr>
          <w:rFonts w:hint="eastAsia" w:ascii="宋体" w:hAnsi="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sz w:val="24"/>
          <w:szCs w:val="24"/>
        </w:rPr>
      </w:pPr>
      <w:r>
        <w:rPr>
          <w:rFonts w:hint="eastAsia" w:ascii="宋体" w:hAnsi="宋体" w:cs="宋体"/>
          <w:sz w:val="24"/>
          <w:szCs w:val="24"/>
        </w:rPr>
        <w:t xml:space="preserve">29.4供应商应以书面形式向采购人或者其委托的采购代理机构提出质疑。质疑超出采购机构代理范围的，供应商应当向采购人提出。</w:t>
      </w:r>
      <w:r/>
    </w:p>
    <w:p>
      <w:pPr>
        <w:ind w:firstLine="480"/>
        <w:spacing w:line="440" w:lineRule="exact"/>
        <w:rPr>
          <w:rFonts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440" w:lineRule="exact"/>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联系部门：</w:t>
      </w:r>
      <w:r>
        <w:rPr>
          <w:rFonts w:hint="eastAsia" w:ascii="宋体" w:hAnsi="宋体" w:cs="宋体"/>
          <w:color w:val="000000" w:themeColor="text1"/>
          <w:sz w:val="24"/>
          <w:szCs w:val="24"/>
          <w:u w:val="single"/>
          <w14:textFill>
            <w14:solidFill>
              <w14:schemeClr w14:val="tx1"/>
            </w14:solidFill>
          </w14:textFill>
        </w:rPr>
        <w:t xml:space="preserve">采购人或其委托的采购代理机构</w:t>
      </w:r>
      <w:r/>
    </w:p>
    <w:p>
      <w:pPr>
        <w:ind w:firstLine="480"/>
        <w:spacing w:line="440" w:lineRule="exact"/>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详见采购公告</w:t>
      </w:r>
      <w:r/>
    </w:p>
    <w:p>
      <w:pPr>
        <w:ind w:firstLine="480"/>
        <w:spacing w:line="440" w:lineRule="exact"/>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通讯地址：</w:t>
      </w:r>
      <w:r>
        <w:rPr>
          <w:rFonts w:hint="eastAsia" w:ascii="宋体" w:hAnsi="宋体" w:cs="宋体"/>
          <w:color w:val="000000" w:themeColor="text1"/>
          <w:sz w:val="24"/>
          <w:szCs w:val="24"/>
          <w:u w:val="single"/>
          <w14:textFill>
            <w14:solidFill>
              <w14:schemeClr w14:val="tx1"/>
            </w14:solidFill>
          </w14:textFill>
        </w:rPr>
        <w:t xml:space="preserve">详见采购公告</w:t>
      </w:r>
      <w:r/>
    </w:p>
    <w:p>
      <w:pPr>
        <w:ind w:firstLine="480"/>
        <w:spacing w:line="440" w:lineRule="exact"/>
        <w:rPr>
          <w:rFonts w:ascii="宋体" w:hAnsi="宋体" w:cs="宋体"/>
          <w:sz w:val="24"/>
          <w:szCs w:val="24"/>
        </w:rPr>
      </w:pPr>
      <w:r>
        <w:rPr>
          <w:rFonts w:hint="eastAsia" w:ascii="宋体" w:hAnsi="宋体" w:cs="宋体"/>
          <w:sz w:val="24"/>
          <w:szCs w:val="24"/>
        </w:rPr>
        <w:t xml:space="preserve">29.5以下情形的质疑不予受理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29.5.1内容不符合《政府采购质疑和投诉办法》第十二条规定的质疑。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29.5.2超出政府采购法定期限的质疑。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29.5.3以传真、电子邮件等方式递交的非原件形式的质疑。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29.5.4未参加磋商活动的供应商或在磋商活动中自身权益未受到损害的供应商所提出的质疑。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29.5.5供应商组成联合体参加磋商，联合体中任何一方或多方未按要求签字、盖章、加盖公章的质疑。</w:t>
      </w:r>
      <w:r/>
    </w:p>
    <w:p>
      <w:pPr>
        <w:ind w:firstLine="468"/>
        <w:spacing w:line="440" w:lineRule="exact"/>
        <w:rPr>
          <w:rFonts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40" w:lineRule="exact"/>
        <w:rPr>
          <w:rFonts w:ascii="宋体" w:hAnsi="宋体" w:cs="宋体"/>
          <w:sz w:val="24"/>
          <w:szCs w:val="24"/>
        </w:rPr>
      </w:pPr>
      <w:r>
        <w:rPr>
          <w:rFonts w:hint="eastAsia" w:ascii="宋体" w:hAnsi="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30、成交通知书</w:t>
      </w:r>
      <w:r/>
    </w:p>
    <w:p>
      <w:pPr>
        <w:ind w:firstLine="480"/>
        <w:spacing w:line="440" w:lineRule="exact"/>
        <w:rPr>
          <w:rFonts w:ascii="宋体" w:hAnsi="宋体" w:cs="宋体"/>
          <w:sz w:val="24"/>
          <w:szCs w:val="24"/>
        </w:rPr>
      </w:pPr>
      <w:r>
        <w:rPr>
          <w:rFonts w:hint="eastAsia" w:ascii="宋体" w:hAnsi="宋体" w:cs="宋体"/>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40" w:lineRule="exact"/>
        <w:rPr>
          <w:rFonts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10"/>
        <w:jc w:val="both"/>
        <w:spacing w:before="160" w:after="160" w:line="440" w:lineRule="exact"/>
        <w:rPr>
          <w:rFonts w:ascii="黑体" w:hAnsi="黑体" w:eastAsia="黑体"/>
          <w:b w:val="0"/>
          <w:bCs w:val="0"/>
          <w:sz w:val="32"/>
          <w:szCs w:val="32"/>
        </w:rPr>
      </w:pPr>
      <w:r/>
      <w:bookmarkStart w:id="191" w:name="_Toc20823308"/>
      <w:r/>
      <w:bookmarkStart w:id="192" w:name="_Toc16938552"/>
      <w:r/>
      <w:bookmarkStart w:id="193" w:name="_Toc160457388"/>
      <w:r/>
      <w:bookmarkStart w:id="194" w:name="_Toc120614220"/>
      <w:r/>
      <w:bookmarkStart w:id="195" w:name="_Toc513029236"/>
      <w:r>
        <w:rPr>
          <w:rFonts w:hint="eastAsia" w:ascii="黑体" w:hAnsi="黑体" w:eastAsia="黑体"/>
          <w:b w:val="0"/>
          <w:bCs w:val="0"/>
          <w:sz w:val="32"/>
          <w:szCs w:val="32"/>
        </w:rPr>
        <w:t xml:space="preserve">七、授予合同</w:t>
      </w:r>
      <w:bookmarkEnd w:id="191"/>
      <w:r/>
      <w:bookmarkEnd w:id="192"/>
      <w:r/>
      <w:bookmarkEnd w:id="193"/>
      <w:r/>
      <w:bookmarkEnd w:id="194"/>
      <w:r/>
      <w:bookmarkEnd w:id="195"/>
      <w:r/>
      <w:r/>
    </w:p>
    <w:p>
      <w:pPr>
        <w:ind w:firstLine="482"/>
        <w:keepLines/>
        <w:keepNext/>
        <w:spacing w:line="440" w:lineRule="exact"/>
        <w:rPr>
          <w:rFonts w:ascii="宋体" w:hAnsi="宋体" w:cs="宋体"/>
          <w:b/>
          <w:sz w:val="24"/>
          <w:szCs w:val="24"/>
        </w:rPr>
        <w:outlineLvl w:val="3"/>
      </w:pPr>
      <w:r/>
      <w:bookmarkStart w:id="196" w:name="_Toc16938553"/>
      <w:r/>
      <w:bookmarkStart w:id="197" w:name="_Toc20823309"/>
      <w:r/>
      <w:bookmarkStart w:id="198" w:name="_Toc513029237"/>
      <w:r>
        <w:rPr>
          <w:rFonts w:hint="eastAsia" w:ascii="宋体" w:hAnsi="宋体" w:cs="宋体"/>
          <w:b/>
          <w:sz w:val="24"/>
          <w:szCs w:val="24"/>
        </w:rPr>
        <w:t xml:space="preserve">31.签订合同</w:t>
      </w:r>
      <w:r/>
    </w:p>
    <w:p>
      <w:pPr>
        <w:ind w:firstLine="480"/>
        <w:spacing w:line="440" w:lineRule="exact"/>
        <w:rPr>
          <w:rFonts w:ascii="宋体" w:hAnsi="宋体" w:cs="宋体"/>
          <w:sz w:val="24"/>
          <w:szCs w:val="24"/>
        </w:rPr>
      </w:pPr>
      <w:r>
        <w:rPr>
          <w:rFonts w:hint="eastAsia" w:ascii="宋体" w:hAnsi="宋体" w:cs="宋体"/>
          <w:sz w:val="24"/>
          <w:szCs w:val="24"/>
        </w:rPr>
        <w:t xml:space="preserve">31.l成交供应商应当在成交通知书发出之日起15日内，按照磋商文件确定的事项与采购人签订政府采购合同。</w:t>
      </w:r>
      <w:r/>
    </w:p>
    <w:p>
      <w:pPr>
        <w:ind w:firstLine="480"/>
        <w:spacing w:line="440" w:lineRule="exact"/>
        <w:rPr>
          <w:rFonts w:ascii="宋体" w:hAnsi="宋体" w:cs="宋体"/>
          <w:sz w:val="24"/>
          <w:szCs w:val="24"/>
        </w:rPr>
      </w:pPr>
      <w:r>
        <w:rPr>
          <w:rFonts w:hint="eastAsia" w:ascii="宋体" w:hAnsi="宋体" w:cs="宋体"/>
          <w:sz w:val="24"/>
          <w:szCs w:val="24"/>
        </w:rPr>
        <w:t xml:space="preserve">31.2磋商文件、成交供应商的响应文件及磋商过程中有关澄清、承诺文件均应作为合同附件。</w:t>
      </w:r>
      <w:r/>
    </w:p>
    <w:p>
      <w:pPr>
        <w:ind w:firstLine="480"/>
        <w:spacing w:line="440" w:lineRule="exact"/>
        <w:rPr>
          <w:rFonts w:ascii="宋体" w:hAnsi="宋体" w:cs="宋体"/>
          <w:sz w:val="24"/>
          <w:szCs w:val="24"/>
        </w:rPr>
      </w:pPr>
      <w:r>
        <w:rPr>
          <w:rFonts w:hint="eastAsia" w:ascii="宋体" w:hAnsi="宋体" w:cs="宋体"/>
          <w:sz w:val="24"/>
          <w:szCs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sz w:val="24"/>
          <w:szCs w:val="24"/>
        </w:rPr>
      </w:pPr>
      <w:r>
        <w:rPr>
          <w:rFonts w:hint="eastAsia" w:ascii="宋体" w:hAnsi="宋体" w:cs="宋体"/>
          <w:sz w:val="24"/>
          <w:szCs w:val="24"/>
        </w:rPr>
        <w:t xml:space="preserve">31.4本项目的非主体、非关键性工作是否允许分包按以下第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firstLine="480"/>
        <w:spacing w:line="440" w:lineRule="exact"/>
        <w:rPr>
          <w:rFonts w:ascii="宋体" w:hAnsi="宋体" w:cs="宋体"/>
          <w:sz w:val="24"/>
          <w:szCs w:val="24"/>
        </w:rPr>
      </w:pPr>
      <w:r>
        <w:rPr>
          <w:rFonts w:hint="eastAsia" w:ascii="宋体" w:hAnsi="宋体" w:cs="宋体"/>
          <w:sz w:val="24"/>
          <w:szCs w:val="24"/>
        </w:rPr>
        <w:t xml:space="preserve">1.允许分包，允许大中型企业向一家或者多家小微企业分包，分包具体内容、金额或比例：</w:t>
      </w:r>
      <w:r>
        <w:rPr>
          <w:rFonts w:hint="eastAsia" w:ascii="宋体" w:hAnsi="宋体" w:cs="宋体"/>
          <w:sz w:val="24"/>
          <w:szCs w:val="24"/>
          <w:u w:val="single"/>
        </w:rPr>
        <w:t xml:space="preserve">      /       ；</w:t>
      </w:r>
      <w:r/>
    </w:p>
    <w:p>
      <w:pPr>
        <w:ind w:firstLine="480"/>
        <w:spacing w:line="440" w:lineRule="exact"/>
        <w:rPr>
          <w:rFonts w:ascii="宋体" w:hAnsi="宋体" w:cs="宋体"/>
          <w:sz w:val="24"/>
          <w:szCs w:val="24"/>
        </w:rPr>
      </w:pPr>
      <w:r>
        <w:rPr>
          <w:rFonts w:hint="eastAsia" w:ascii="宋体" w:hAnsi="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31.5履约保证金</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按照以下第</w:t>
      </w:r>
      <w:r>
        <w:rPr>
          <w:rFonts w:hint="eastAsia" w:ascii="宋体" w:hAnsi="宋体" w:cs="宋体"/>
          <w:bCs/>
          <w:sz w:val="24"/>
          <w:szCs w:val="24"/>
          <w:u w:val="single"/>
        </w:rPr>
        <w:t xml:space="preserve">  （</w:t>
      </w:r>
      <w:r>
        <w:rPr>
          <w:rFonts w:ascii="宋体" w:hAnsi="宋体" w:cs="宋体"/>
          <w:bCs/>
          <w:sz w:val="24"/>
          <w:szCs w:val="24"/>
          <w:u w:val="single"/>
        </w:rPr>
        <w:t xml:space="preserve">2</w:t>
      </w:r>
      <w:r>
        <w:rPr>
          <w:rFonts w:hint="eastAsia" w:ascii="宋体" w:hAnsi="宋体" w:cs="宋体"/>
          <w:bCs/>
          <w:sz w:val="24"/>
          <w:szCs w:val="24"/>
          <w:u w:val="single"/>
        </w:rPr>
        <w:t xml:space="preserve">） </w:t>
      </w:r>
      <w:r>
        <w:rPr>
          <w:rFonts w:hint="eastAsia" w:ascii="宋体" w:hAnsi="宋体" w:cs="宋体"/>
          <w:bCs/>
          <w:sz w:val="24"/>
          <w:szCs w:val="24"/>
          <w:lang w:val="zh-CN"/>
        </w:rPr>
        <w:t xml:space="preserve">方式确定履约保证收取方式。</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(1)不收取履约保证金。</w:t>
      </w:r>
      <w:r/>
    </w:p>
    <w:p>
      <w:pPr>
        <w:ind w:firstLine="480"/>
        <w:spacing w:line="480" w:lineRule="exact"/>
        <w:rPr>
          <w:rFonts w:ascii="宋体" w:hAnsi="宋体" w:cs="宋体"/>
          <w:bCs/>
          <w:sz w:val="24"/>
          <w:szCs w:val="24"/>
          <w:lang w:val="zh-CN"/>
        </w:rPr>
      </w:pPr>
      <w:r>
        <w:rPr>
          <w:rFonts w:hint="eastAsia" w:ascii="宋体" w:hAnsi="宋体" w:cs="宋体"/>
          <w:bCs/>
          <w:sz w:val="24"/>
          <w:szCs w:val="24"/>
          <w:lang w:val="zh-CN"/>
        </w:rPr>
        <w:t xml:space="preserve">(2)履约保证金金额：合同价款的1</w:t>
      </w:r>
      <w:r>
        <w:rPr>
          <w:rFonts w:ascii="宋体" w:hAnsi="宋体" w:cs="宋体"/>
          <w:bCs/>
          <w:sz w:val="24"/>
          <w:szCs w:val="24"/>
          <w:lang w:val="zh-CN"/>
        </w:rPr>
        <w:t xml:space="preserve">0%</w:t>
      </w:r>
      <w:r>
        <w:rPr>
          <w:rFonts w:hint="eastAsia" w:ascii="宋体" w:hAnsi="宋体" w:cs="宋体"/>
          <w:bCs/>
          <w:sz w:val="24"/>
          <w:szCs w:val="24"/>
          <w:lang w:val="zh-CN"/>
        </w:rPr>
        <w:t xml:space="preserve">；</w:t>
      </w:r>
      <w:r>
        <w:rPr>
          <w:rFonts w:ascii="宋体" w:hAnsi="宋体" w:cs="宋体"/>
          <w:bCs/>
          <w:sz w:val="24"/>
          <w:szCs w:val="24"/>
          <w:lang w:val="zh-CN"/>
        </w:rPr>
        <w:t xml:space="preserve"> </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履约保证金退还的方式：以银行电汇、网上银行形式缴纳履约保证金的，退回至投标人存款账户；以保函、担保、保险等形式缴纳履约保证金的，在保函、担保、保险约定的保证期限届满之日起自行失效；</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履约保证金退还的条件：按以下第</w:t>
      </w:r>
      <w:r>
        <w:rPr>
          <w:rFonts w:hint="eastAsia" w:ascii="宋体" w:hAnsi="宋体" w:cs="宋体"/>
          <w:bCs/>
          <w:sz w:val="24"/>
          <w:szCs w:val="24"/>
          <w:u w:val="single"/>
          <w:lang w:val="zh-CN"/>
        </w:rPr>
        <w:t xml:space="preserve"> c</w:t>
      </w:r>
      <w:r>
        <w:rPr>
          <w:rFonts w:hint="eastAsia" w:ascii="宋体" w:hAnsi="宋体" w:cs="宋体"/>
          <w:bCs/>
          <w:sz w:val="24"/>
          <w:szCs w:val="24"/>
          <w:u w:val="single"/>
        </w:rPr>
        <w:t xml:space="preserve"> </w:t>
      </w:r>
      <w:r>
        <w:rPr>
          <w:rFonts w:hint="eastAsia" w:ascii="宋体" w:hAnsi="宋体" w:cs="宋体"/>
          <w:bCs/>
          <w:sz w:val="24"/>
          <w:szCs w:val="24"/>
          <w:lang w:val="zh-CN"/>
        </w:rPr>
        <w:t xml:space="preserve"> 种方式实行：</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a、货物类项目，项目验收合格，出具验收报告及履约保证金收据申请退付；</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b、服务类项目，项目履约期满评价合格，出具履约评价报告及履约保证金收据申请退付；</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c、工程类项目，项目完工验收合格，出具完工证明及履约保证金收据申请退付；</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履约保证金退还时间：采购单位收到供应商退付申请后5个工作日内退还；</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40" w:lineRule="exact"/>
        <w:rPr>
          <w:rFonts w:ascii="宋体" w:hAnsi="宋体" w:cs="宋体"/>
          <w:bCs/>
          <w:sz w:val="24"/>
          <w:szCs w:val="24"/>
          <w:lang w:val="zh-CN"/>
        </w:rPr>
      </w:pPr>
      <w:r>
        <w:rPr>
          <w:rFonts w:hint="eastAsia" w:ascii="宋体" w:hAnsi="宋体" w:cs="宋体"/>
          <w:bCs/>
          <w:sz w:val="24"/>
          <w:szCs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40" w:lineRule="exact"/>
        <w:rPr>
          <w:rFonts w:ascii="宋体" w:hAnsi="宋体" w:cs="宋体"/>
          <w:bCs/>
          <w:sz w:val="24"/>
          <w:szCs w:val="24"/>
        </w:rPr>
      </w:pPr>
      <w:r>
        <w:rPr>
          <w:rFonts w:hint="eastAsia" w:ascii="宋体" w:hAnsi="宋体" w:cs="宋体"/>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32、标的物的追加</w:t>
      </w:r>
      <w:r/>
    </w:p>
    <w:p>
      <w:pPr>
        <w:ind w:firstLine="480"/>
        <w:spacing w:line="440" w:lineRule="exact"/>
        <w:rPr>
          <w:rFonts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96"/>
      <w:r/>
      <w:bookmarkEnd w:id="197"/>
      <w:r/>
      <w:bookmarkEnd w:id="198"/>
      <w:r/>
      <w:r/>
    </w:p>
    <w:p>
      <w:pPr>
        <w:ind w:firstLine="482"/>
        <w:keepLines/>
        <w:keepNext/>
        <w:spacing w:line="440" w:lineRule="exact"/>
        <w:rPr>
          <w:rFonts w:ascii="宋体" w:hAnsi="宋体" w:cs="宋体"/>
          <w:b/>
          <w:bCs/>
          <w:sz w:val="24"/>
          <w:szCs w:val="24"/>
        </w:rPr>
        <w:outlineLvl w:val="3"/>
      </w:pPr>
      <w:r/>
      <w:bookmarkStart w:id="199" w:name="_Toc16938558"/>
      <w:r/>
      <w:bookmarkStart w:id="200" w:name="_Toc513029242"/>
      <w:r/>
      <w:bookmarkStart w:id="201" w:name="_Toc20823314"/>
      <w:r/>
      <w:bookmarkStart w:id="202" w:name="_Toc479757207"/>
      <w:r/>
      <w:bookmarkStart w:id="203" w:name="_Toc120614221"/>
      <w:r>
        <w:rPr>
          <w:rFonts w:hint="eastAsia" w:ascii="宋体" w:hAnsi="宋体" w:cs="宋体"/>
          <w:b/>
          <w:bCs/>
          <w:sz w:val="24"/>
          <w:szCs w:val="24"/>
        </w:rPr>
        <w:t xml:space="preserve">33、政府采购履约资金扶持政策</w:t>
      </w:r>
      <w:r/>
    </w:p>
    <w:p>
      <w:pPr>
        <w:ind w:firstLine="482"/>
        <w:spacing w:line="440" w:lineRule="exact"/>
        <w:rPr>
          <w:rFonts w:ascii="宋体" w:hAnsi="宋体" w:cs="宋体"/>
          <w:sz w:val="24"/>
          <w:szCs w:val="24"/>
        </w:rPr>
      </w:pPr>
      <w:r>
        <w:rPr>
          <w:rFonts w:hint="eastAsia" w:ascii="宋体" w:hAnsi="宋体" w:cs="宋体"/>
          <w:bCs/>
          <w:sz w:val="24"/>
          <w:szCs w:val="24"/>
        </w:rPr>
        <w:t xml:space="preserve">33.1根据江苏省财政厅中国人民银行南京分行《关于深入推进政府采购线上合同信用融资工作的通知》（苏财购〔2021〕82号）</w:t>
      </w:r>
      <w:r>
        <w:rPr>
          <w:rFonts w:hint="eastAsia" w:ascii="宋体" w:hAnsi="宋体" w:cs="宋体"/>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12"/>
        <w:ind w:firstLine="482"/>
        <w:spacing w:before="0" w:after="0" w:line="440" w:lineRule="exact"/>
        <w:rPr>
          <w:rFonts w:ascii="宋体" w:hAnsi="宋体" w:eastAsia="宋体" w:cs="宋体"/>
          <w:sz w:val="24"/>
          <w:szCs w:val="24"/>
        </w:rPr>
      </w:pPr>
      <w:r>
        <w:rPr>
          <w:rFonts w:hint="eastAsia" w:ascii="宋体" w:hAnsi="宋体" w:eastAsia="宋体" w:cs="宋体"/>
          <w:sz w:val="24"/>
          <w:szCs w:val="24"/>
        </w:rPr>
        <w:t xml:space="preserve">34、验收及付款</w:t>
      </w:r>
      <w:r/>
    </w:p>
    <w:p>
      <w:pPr>
        <w:pStyle w:val="709"/>
        <w:ind w:firstLine="482"/>
        <w:jc w:val="both"/>
        <w:keepNext w:val="0"/>
        <w:spacing w:line="360" w:lineRule="auto"/>
        <w:shd w:val="clear" w:color="auto" w:fill="ffffff"/>
        <w:widowControl/>
        <w:rPr>
          <w:rFonts w:ascii="宋体" w:hAnsi="宋体" w:eastAsia="宋体" w:cs="宋体"/>
          <w:bCs/>
          <w:sz w:val="24"/>
          <w:szCs w:val="24"/>
        </w:rPr>
      </w:pPr>
      <w:r>
        <w:rPr>
          <w:rFonts w:hint="eastAsia" w:ascii="宋体" w:hAnsi="宋体" w:eastAsia="宋体" w:cs="宋体"/>
          <w:bCs/>
          <w:sz w:val="24"/>
          <w:szCs w:val="24"/>
        </w:rPr>
        <w:t xml:space="preserve">34.1采购人应当根据采购项目的具体情况，采购人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34.2采购人可以邀请参加本项目的其他供应商或者第三方机构参与验收。参与验收的供应商或者第三方机构的意见作为验收书的参考资料一并存档。</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440" w:lineRule="exact"/>
        <w:rPr>
          <w:rFonts w:ascii="宋体" w:hAnsi="宋体" w:cs="宋体"/>
          <w:sz w:val="24"/>
          <w:szCs w:val="24"/>
        </w:rPr>
      </w:pPr>
      <w:r>
        <w:rPr>
          <w:rFonts w:hint="eastAsia" w:ascii="宋体" w:hAnsi="宋体" w:cs="宋体"/>
          <w:bCs/>
          <w:sz w:val="24"/>
          <w:szCs w:val="24"/>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40" w:lineRule="exact"/>
        <w:rPr>
          <w:rFonts w:ascii="宋体" w:hAnsi="宋体" w:cs="宋体"/>
          <w:b/>
          <w:sz w:val="24"/>
          <w:szCs w:val="24"/>
        </w:rPr>
      </w:pPr>
      <w:r>
        <w:rPr>
          <w:rFonts w:hint="eastAsia" w:ascii="宋体" w:hAnsi="宋体" w:cs="宋体"/>
          <w:b/>
          <w:sz w:val="24"/>
          <w:szCs w:val="24"/>
        </w:rPr>
        <w:t xml:space="preserve">35、付款</w:t>
      </w:r>
      <w:r/>
    </w:p>
    <w:p>
      <w:pPr>
        <w:ind w:firstLine="482"/>
        <w:spacing w:line="440" w:lineRule="exact"/>
        <w:rPr>
          <w:rFonts w:ascii="宋体" w:hAnsi="宋体" w:cs="宋体"/>
          <w:bCs/>
          <w:sz w:val="24"/>
          <w:szCs w:val="24"/>
        </w:rPr>
      </w:pPr>
      <w:r/>
      <w:bookmarkStart w:id="204" w:name="EBec7f529f50594afd871ea9378869e456"/>
      <w:r>
        <w:rPr>
          <w:rFonts w:hint="eastAsia" w:ascii="宋体" w:hAnsi="宋体" w:cs="宋体"/>
          <w:bCs/>
          <w:sz w:val="24"/>
          <w:szCs w:val="24"/>
        </w:rPr>
        <w:t xml:space="preserve">按照以下</w:t>
      </w:r>
      <w:r>
        <w:rPr>
          <w:rFonts w:hint="eastAsia" w:ascii="宋体" w:hAnsi="宋体" w:cs="宋体"/>
          <w:bCs/>
          <w:sz w:val="24"/>
          <w:szCs w:val="24"/>
          <w:u w:val="single"/>
        </w:rPr>
        <w:t xml:space="preserve">工程</w:t>
      </w:r>
      <w:r>
        <w:rPr>
          <w:rFonts w:hint="eastAsia" w:ascii="宋体" w:hAnsi="宋体" w:cs="宋体"/>
          <w:bCs/>
          <w:sz w:val="24"/>
          <w:szCs w:val="24"/>
        </w:rPr>
        <w:t xml:space="preserve">类项目确定的付款方式，采购人及时办理付款手续。对于满足合同约定支付条件的，自收到发票后10个工作日内将资金支付到合同约定的供应商账户。</w:t>
      </w:r>
      <w:bookmarkEnd w:id="204"/>
      <w:r/>
      <w:r/>
    </w:p>
    <w:p>
      <w:pPr>
        <w:ind w:firstLine="482"/>
        <w:spacing w:line="440" w:lineRule="exact"/>
        <w:rPr>
          <w:rFonts w:ascii="宋体" w:hAnsi="宋体" w:cs="宋体"/>
          <w:bCs/>
          <w:sz w:val="24"/>
          <w:szCs w:val="24"/>
        </w:rPr>
      </w:pPr>
      <w:r>
        <w:rPr>
          <w:rFonts w:hint="eastAsia" w:ascii="宋体" w:hAnsi="宋体" w:cs="宋体"/>
          <w:bCs/>
          <w:sz w:val="24"/>
          <w:szCs w:val="24"/>
        </w:rPr>
        <w:t xml:space="preserve">（1）货物类项目</w:t>
      </w:r>
      <w:r/>
    </w:p>
    <w:p>
      <w:pPr>
        <w:ind w:firstLine="482"/>
        <w:spacing w:line="440" w:lineRule="exact"/>
        <w:rPr>
          <w:rFonts w:ascii="宋体" w:hAnsi="宋体" w:cs="宋体"/>
          <w:bCs/>
          <w:sz w:val="24"/>
          <w:szCs w:val="24"/>
        </w:rPr>
      </w:pPr>
      <w:r>
        <w:rPr>
          <w:rFonts w:hint="eastAsia" w:ascii="宋体" w:hAnsi="宋体" w:cs="宋体"/>
          <w:bCs/>
          <w:sz w:val="24"/>
          <w:szCs w:val="24"/>
        </w:rPr>
        <w:t xml:space="preserve">预付款：合同金额的</w:t>
      </w:r>
      <w:r>
        <w:rPr>
          <w:rFonts w:hint="eastAsia" w:ascii="宋体" w:hAnsi="宋体" w:cs="宋体"/>
          <w:bCs/>
          <w:sz w:val="24"/>
          <w:szCs w:val="24"/>
          <w:u w:val="single"/>
        </w:rPr>
        <w:t xml:space="preserve">  /  </w:t>
      </w:r>
      <w:r>
        <w:rPr>
          <w:rFonts w:hint="eastAsia" w:ascii="宋体" w:hAnsi="宋体" w:cs="宋体"/>
          <w:bCs/>
          <w:sz w:val="24"/>
          <w:szCs w:val="24"/>
        </w:rPr>
        <w:t xml:space="preserve">%，合同签订后按规定支付； </w:t>
      </w:r>
      <w:r/>
    </w:p>
    <w:p>
      <w:pPr>
        <w:ind w:firstLine="482"/>
        <w:spacing w:line="440" w:lineRule="exact"/>
        <w:rPr>
          <w:rFonts w:ascii="宋体" w:hAnsi="宋体" w:cs="宋体"/>
          <w:bCs/>
          <w:sz w:val="24"/>
          <w:szCs w:val="24"/>
          <w:u w:val="single"/>
        </w:rPr>
      </w:pPr>
      <w:r>
        <w:rPr>
          <w:rFonts w:hint="eastAsia" w:ascii="宋体" w:hAnsi="宋体" w:cs="宋体"/>
          <w:bCs/>
          <w:sz w:val="24"/>
          <w:szCs w:val="24"/>
        </w:rPr>
        <w:t xml:space="preserve">进度款：</w:t>
      </w:r>
      <w:bookmarkStart w:id="205" w:name="EBf1f8b954f7504a2cb44cef25707c76a6"/>
      <w:r/>
      <w:bookmarkEnd w:id="205"/>
      <w:r>
        <w:rPr>
          <w:rFonts w:hint="eastAsia" w:ascii="宋体" w:hAnsi="宋体" w:cs="宋体"/>
          <w:bCs/>
          <w:sz w:val="24"/>
          <w:szCs w:val="24"/>
          <w:u w:val="single"/>
        </w:rPr>
        <w:t xml:space="preserve">            /                         </w:t>
      </w:r>
      <w:r>
        <w:rPr>
          <w:rFonts w:hint="eastAsia" w:ascii="宋体" w:hAnsi="宋体" w:cs="宋体"/>
          <w:bCs/>
          <w:sz w:val="24"/>
          <w:szCs w:val="24"/>
        </w:rPr>
        <w:t xml:space="preserve">。</w:t>
      </w:r>
      <w:r/>
    </w:p>
    <w:p>
      <w:pPr>
        <w:ind w:firstLine="482"/>
        <w:spacing w:line="440" w:lineRule="exact"/>
        <w:rPr>
          <w:rFonts w:ascii="宋体" w:hAnsi="宋体" w:cs="宋体"/>
          <w:bCs/>
          <w:sz w:val="24"/>
          <w:szCs w:val="24"/>
        </w:rPr>
      </w:pPr>
      <w:r>
        <w:rPr>
          <w:rFonts w:hint="eastAsia" w:ascii="宋体" w:hAnsi="宋体" w:cs="宋体"/>
          <w:bCs/>
          <w:sz w:val="24"/>
          <w:szCs w:val="24"/>
        </w:rPr>
        <w:t xml:space="preserve">（2）服务类项目</w:t>
      </w:r>
      <w:r/>
    </w:p>
    <w:p>
      <w:pPr>
        <w:ind w:firstLine="482"/>
        <w:spacing w:line="440" w:lineRule="exact"/>
        <w:rPr>
          <w:rFonts w:ascii="宋体" w:hAnsi="宋体" w:cs="宋体"/>
          <w:sz w:val="24"/>
          <w:szCs w:val="24"/>
        </w:rPr>
      </w:pPr>
      <w:r>
        <w:rPr>
          <w:rFonts w:hint="eastAsia" w:ascii="宋体" w:hAnsi="宋体" w:cs="宋体"/>
          <w:bCs/>
          <w:sz w:val="24"/>
          <w:szCs w:val="24"/>
        </w:rPr>
        <w:t xml:space="preserve">预付款：合同金额的</w:t>
      </w:r>
      <w:bookmarkStart w:id="206" w:name="EBe373fd05aa034cc3a1a41aadf8509e01"/>
      <w:r>
        <w:rPr>
          <w:rFonts w:hint="eastAsia" w:ascii="宋体" w:hAnsi="宋体" w:cs="宋体"/>
          <w:bCs/>
          <w:sz w:val="24"/>
          <w:szCs w:val="24"/>
          <w:u w:val="single"/>
        </w:rPr>
        <w:t xml:space="preserve">  /  </w:t>
      </w:r>
      <w:r>
        <w:rPr>
          <w:rFonts w:hint="eastAsia" w:ascii="宋体" w:hAnsi="宋体" w:cs="宋体"/>
          <w:bCs/>
          <w:sz w:val="24"/>
          <w:szCs w:val="24"/>
        </w:rPr>
        <w:t xml:space="preserve">%</w:t>
      </w:r>
      <w:bookmarkEnd w:id="206"/>
      <w:r>
        <w:rPr>
          <w:rFonts w:hint="eastAsia" w:ascii="宋体" w:hAnsi="宋体" w:cs="宋体"/>
          <w:bCs/>
          <w:sz w:val="24"/>
          <w:szCs w:val="24"/>
        </w:rPr>
        <w:t xml:space="preserve">，合同签订后按规定支付；</w:t>
      </w:r>
      <w:r>
        <w:rPr>
          <w:rFonts w:hint="eastAsia" w:ascii="宋体" w:hAnsi="宋体" w:cs="宋体"/>
          <w:sz w:val="24"/>
          <w:szCs w:val="24"/>
        </w:rPr>
        <w:t xml:space="preserve"> </w:t>
      </w:r>
      <w:r/>
    </w:p>
    <w:p>
      <w:pPr>
        <w:ind w:firstLine="482"/>
        <w:spacing w:line="440" w:lineRule="exact"/>
        <w:rPr>
          <w:rFonts w:ascii="宋体" w:hAnsi="宋体" w:cs="宋体"/>
          <w:bCs/>
          <w:sz w:val="24"/>
          <w:szCs w:val="24"/>
        </w:rPr>
      </w:pPr>
      <w:r>
        <w:rPr>
          <w:rFonts w:hint="eastAsia" w:ascii="宋体" w:hAnsi="宋体" w:cs="宋体"/>
          <w:bCs/>
          <w:sz w:val="24"/>
          <w:szCs w:val="24"/>
        </w:rPr>
        <w:t xml:space="preserve">进度款：</w:t>
      </w:r>
      <w:bookmarkStart w:id="207" w:name="EB5e42c1c1be704ecfa15d9f8f317e8f12"/>
      <w:r/>
      <w:bookmarkEnd w:id="207"/>
      <w:r>
        <w:rPr>
          <w:rFonts w:hint="eastAsia" w:ascii="宋体" w:hAnsi="宋体" w:cs="宋体"/>
          <w:bCs/>
          <w:sz w:val="24"/>
          <w:szCs w:val="24"/>
          <w:u w:val="single"/>
        </w:rPr>
        <w:t xml:space="preserve">            /                         </w:t>
      </w:r>
      <w:r>
        <w:rPr>
          <w:rFonts w:hint="eastAsia" w:ascii="宋体" w:hAnsi="宋体" w:cs="宋体"/>
          <w:bCs/>
          <w:sz w:val="24"/>
          <w:szCs w:val="24"/>
        </w:rPr>
        <w:t xml:space="preserve">。</w:t>
      </w:r>
      <w:r/>
    </w:p>
    <w:p>
      <w:pPr>
        <w:numPr>
          <w:ilvl w:val="0"/>
          <w:numId w:val="7"/>
        </w:numPr>
        <w:ind w:firstLine="482"/>
        <w:spacing w:line="440" w:lineRule="exact"/>
        <w:rPr>
          <w:rFonts w:ascii="宋体" w:hAnsi="宋体" w:cs="宋体"/>
          <w:bCs/>
          <w:sz w:val="24"/>
          <w:szCs w:val="24"/>
        </w:rPr>
      </w:pPr>
      <w:r>
        <w:rPr>
          <w:rFonts w:hint="eastAsia" w:ascii="宋体" w:hAnsi="宋体" w:cs="宋体"/>
          <w:bCs/>
          <w:sz w:val="24"/>
          <w:szCs w:val="24"/>
        </w:rPr>
        <w:t xml:space="preserve">工程类项目</w:t>
      </w:r>
      <w:bookmarkStart w:id="208" w:name="EB11398ec6946f4019bc4c35221e27b04f"/>
      <w:r/>
      <w:r/>
    </w:p>
    <w:p>
      <w:pPr>
        <w:ind w:left="482" w:firstLine="480"/>
        <w:spacing w:line="440" w:lineRule="exact"/>
        <w:rPr>
          <w:rFonts w:ascii="宋体" w:hAnsi="宋体" w:cs="宋体"/>
          <w:bCs/>
          <w:sz w:val="24"/>
          <w:szCs w:val="24"/>
          <w:u w:val="single"/>
        </w:rPr>
      </w:pPr>
      <w:r>
        <w:rPr>
          <w:rFonts w:hint="eastAsia" w:ascii="宋体" w:hAnsi="宋体" w:cs="宋体"/>
          <w:color w:val="000000" w:themeColor="text1"/>
          <w:sz w:val="24"/>
          <w:szCs w:val="24"/>
          <w14:textFill>
            <w14:solidFill>
              <w14:schemeClr w14:val="tx1"/>
            </w14:solidFill>
          </w14:textFill>
        </w:rPr>
        <w:t xml:space="preserve">预付款：</w:t>
      </w:r>
      <w:r>
        <w:rPr>
          <w:rFonts w:hint="eastAsia" w:ascii="宋体" w:hAnsi="宋体" w:cs="宋体"/>
          <w:bCs/>
          <w:sz w:val="24"/>
          <w:szCs w:val="24"/>
          <w:u w:val="single"/>
        </w:rPr>
        <w:t xml:space="preserve">合</w:t>
      </w:r>
      <w:bookmarkStart w:id="209" w:name="OLE_LINK1"/>
      <w:r>
        <w:rPr>
          <w:rFonts w:hint="eastAsia" w:ascii="宋体" w:hAnsi="宋体" w:cs="宋体"/>
          <w:bCs/>
          <w:sz w:val="24"/>
          <w:szCs w:val="24"/>
          <w:u w:val="single"/>
        </w:rPr>
        <w:t xml:space="preserve">同签订后，承包人向发包人提供合同价30%的预付款保函后，发包人支付合同价的30%作为预付款; </w:t>
      </w:r>
      <w:bookmarkEnd w:id="209"/>
      <w:r/>
      <w:r/>
    </w:p>
    <w:p>
      <w:pPr>
        <w:ind w:left="482" w:firstLine="480"/>
        <w:spacing w:line="440" w:lineRule="exact"/>
        <w:rPr>
          <w:rFonts w:ascii="宋体" w:hAnsi="宋体" w:cs="宋体"/>
          <w:bCs/>
          <w:sz w:val="24"/>
          <w:szCs w:val="24"/>
          <w:u w:val="single"/>
        </w:rPr>
      </w:pPr>
      <w:r>
        <w:rPr>
          <w:rFonts w:hint="eastAsia" w:ascii="宋体" w:hAnsi="宋体" w:cs="宋体"/>
          <w:color w:val="000000" w:themeColor="text1"/>
          <w:sz w:val="24"/>
          <w:szCs w:val="24"/>
          <w14:textFill>
            <w14:solidFill>
              <w14:schemeClr w14:val="tx1"/>
            </w14:solidFill>
          </w14:textFill>
        </w:rPr>
        <w:t xml:space="preserve">进度款：</w:t>
      </w:r>
      <w:r>
        <w:rPr>
          <w:rFonts w:hint="eastAsia" w:ascii="宋体" w:hAnsi="宋体" w:cs="宋体"/>
          <w:bCs/>
          <w:sz w:val="24"/>
          <w:szCs w:val="24"/>
          <w:u w:val="single"/>
        </w:rPr>
        <w:t xml:space="preserve">工程竣工验收合格后，承包人付合同价款的3%至发包人账户作为质保金后，发包人付至合同价款的100%，质保金待质保期（2年）满后返还（无息）。 </w:t>
      </w:r>
      <w:bookmarkEnd w:id="208"/>
      <w:r/>
    </w:p>
    <w:p>
      <w:pPr>
        <w:ind w:firstLine="480"/>
        <w:spacing w:line="500" w:lineRule="exact"/>
        <w:rPr>
          <w:rFonts w:ascii="宋体" w:hAnsi="宋体" w:cs="宋体"/>
          <w:sz w:val="24"/>
          <w:szCs w:val="24"/>
        </w:rPr>
        <w:outlineLvl w:val="1"/>
      </w:pPr>
      <w:r>
        <w:rPr>
          <w:rFonts w:hint="eastAsia" w:ascii="宋体" w:hAnsi="宋体" w:cs="宋体"/>
          <w:sz w:val="24"/>
          <w:szCs w:val="24"/>
        </w:rPr>
        <w:t xml:space="preserve">注：在签订合同时，供应商明确表示无需预付款或者主动要求降低预付款比例的，采购人可不适用前述规定。支付方式可以通过转账等方式。</w:t>
      </w:r>
      <w:r/>
    </w:p>
    <w:p>
      <w:pPr>
        <w:ind w:firstLine="480"/>
        <w:spacing w:line="500" w:lineRule="exact"/>
        <w:rPr>
          <w:rFonts w:ascii="宋体" w:hAnsi="宋体" w:cs="宋体"/>
          <w:sz w:val="24"/>
          <w:szCs w:val="24"/>
        </w:rPr>
        <w:outlineLvl w:val="1"/>
      </w:pPr>
      <w:r>
        <w:rPr>
          <w:rFonts w:hint="eastAsia" w:ascii="宋体" w:hAnsi="宋体" w:cs="宋体"/>
          <w:sz w:val="24"/>
          <w:szCs w:val="24"/>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80"/>
        <w:spacing w:line="440" w:lineRule="exact"/>
        <w:rPr>
          <w:rFonts w:ascii="宋体" w:hAnsi="宋体" w:cs="宋体"/>
          <w:bCs/>
          <w:sz w:val="24"/>
          <w:szCs w:val="24"/>
        </w:rPr>
      </w:pPr>
      <w:r>
        <w:rPr>
          <w:rFonts w:hint="eastAsia" w:ascii="宋体" w:hAnsi="宋体" w:cs="宋体"/>
          <w:b/>
          <w:bCs/>
          <w:sz w:val="24"/>
          <w:szCs w:val="24"/>
        </w:rPr>
        <w:t xml:space="preserve">36、补充救济条款</w:t>
      </w:r>
      <w:r>
        <w:rPr>
          <w:rFonts w:hint="eastAsia" w:ascii="宋体" w:hAnsi="宋体" w:cs="宋体"/>
          <w:bCs/>
          <w:sz w:val="24"/>
          <w:szCs w:val="24"/>
        </w:rPr>
        <w:t xml:space="preserve">：采购供应商合法权益补偿救济机制。在履约过程因政策变化、规划调整而无法履行合同约定，造成企业合法权益受损的，采购人依据实际情况对供应商进行补偿救济。</w:t>
      </w:r>
      <w:r/>
    </w:p>
    <w:p>
      <w:pPr>
        <w:jc w:val="center"/>
        <w:spacing w:line="480" w:lineRule="auto"/>
        <w:rPr>
          <w:rFonts w:ascii="Times New Roman" w:hAnsi="Times New Roman" w:eastAsia="黑体"/>
          <w:sz w:val="44"/>
          <w:szCs w:val="44"/>
        </w:rPr>
        <w:outlineLvl w:val="0"/>
      </w:pPr>
      <w:r>
        <w:rPr>
          <w:rFonts w:hint="eastAsia" w:ascii="仿宋" w:hAnsi="仿宋" w:eastAsia="仿宋"/>
          <w:bCs/>
          <w:sz w:val="24"/>
          <w:szCs w:val="24"/>
        </w:rPr>
        <w:br w:type="page" w:clear="all"/>
      </w:r>
      <w:bookmarkStart w:id="210" w:name="_Toc160457389"/>
      <w:r>
        <w:rPr>
          <w:rFonts w:hint="eastAsia" w:ascii="Times New Roman" w:hAnsi="Times New Roman" w:eastAsia="黑体"/>
          <w:sz w:val="44"/>
          <w:szCs w:val="44"/>
        </w:rPr>
        <w:t xml:space="preserve">第三章</w:t>
      </w:r>
      <w:r>
        <w:rPr>
          <w:rFonts w:ascii="Times New Roman" w:hAnsi="Times New Roman" w:eastAsia="黑体"/>
          <w:sz w:val="44"/>
          <w:szCs w:val="44"/>
        </w:rPr>
        <w:t xml:space="preserve">  </w:t>
      </w:r>
      <w:r>
        <w:rPr>
          <w:rFonts w:hint="eastAsia" w:ascii="Times New Roman" w:hAnsi="Times New Roman" w:eastAsia="黑体"/>
          <w:sz w:val="44"/>
          <w:szCs w:val="44"/>
        </w:rPr>
        <w:t xml:space="preserve">合同</w:t>
      </w:r>
      <w:bookmarkEnd w:id="199"/>
      <w:r/>
      <w:bookmarkEnd w:id="200"/>
      <w:r/>
      <w:bookmarkEnd w:id="201"/>
      <w:r/>
      <w:bookmarkEnd w:id="202"/>
      <w:r/>
      <w:bookmarkEnd w:id="203"/>
      <w:r>
        <w:rPr>
          <w:rFonts w:hint="eastAsia" w:ascii="Times New Roman" w:hAnsi="Times New Roman" w:eastAsia="黑体"/>
          <w:sz w:val="44"/>
          <w:szCs w:val="44"/>
        </w:rPr>
        <w:t xml:space="preserve">文本</w:t>
      </w:r>
      <w:bookmarkEnd w:id="210"/>
      <w:r/>
      <w:r/>
    </w:p>
    <w:p>
      <w:pPr>
        <w:pStyle w:val="734"/>
        <w:jc w:val="center"/>
        <w:spacing w:line="250" w:lineRule="auto"/>
        <w:rPr>
          <w:rFonts w:cs="方正仿宋_GB2312" w:asciiTheme="minorEastAsia" w:hAnsiTheme="minorEastAsia" w:eastAsiaTheme="minorEastAsia"/>
          <w:b/>
          <w:sz w:val="44"/>
          <w:szCs w:val="44"/>
        </w:rPr>
      </w:pPr>
      <w:r/>
      <w:bookmarkStart w:id="211" w:name="_Hlt16619350"/>
      <w:r/>
      <w:bookmarkStart w:id="212" w:name="_Toc160457393"/>
      <w:r/>
      <w:bookmarkStart w:id="213" w:name="_Toc120614244"/>
      <w:r/>
      <w:bookmarkStart w:id="214" w:name="_Toc20823346"/>
      <w:r/>
      <w:bookmarkStart w:id="215" w:name="_Toc16938590"/>
      <w:r/>
      <w:bookmarkStart w:id="216" w:name="_Toc479757211"/>
      <w:r/>
      <w:bookmarkStart w:id="217" w:name="_Toc462564139"/>
      <w:r/>
      <w:r/>
    </w:p>
    <w:p>
      <w:pPr>
        <w:pStyle w:val="734"/>
        <w:jc w:val="center"/>
        <w:spacing w:line="250" w:lineRule="auto"/>
        <w:rPr>
          <w:rFonts w:cs="方正仿宋_GB2312" w:asciiTheme="minorEastAsia" w:hAnsiTheme="minorEastAsia" w:eastAsiaTheme="minorEastAsia"/>
          <w:b/>
          <w:sz w:val="44"/>
          <w:szCs w:val="44"/>
        </w:rPr>
      </w:pPr>
      <w:r>
        <w:rPr>
          <w:rFonts w:hint="eastAsia" w:cs="方正仿宋_GB2312" w:asciiTheme="minorEastAsia" w:hAnsiTheme="minorEastAsia" w:eastAsiaTheme="minorEastAsia"/>
          <w:b/>
          <w:sz w:val="44"/>
          <w:szCs w:val="44"/>
        </w:rPr>
        <w:t xml:space="preserve">皂河站配电设备智能化改造工程</w:t>
      </w:r>
      <w:r/>
    </w:p>
    <w:p>
      <w:pPr>
        <w:pStyle w:val="734"/>
        <w:spacing w:line="251" w:lineRule="auto"/>
        <w:rPr>
          <w:rFonts w:asciiTheme="minorEastAsia" w:hAnsiTheme="minorEastAsia" w:eastAsiaTheme="minorEastAsia"/>
        </w:rPr>
      </w:pPr>
      <w:r>
        <w:rPr>
          <w:rFonts w:asciiTheme="minorEastAsia" w:hAnsiTheme="minorEastAsia" w:eastAsiaTheme="minorEastAsia"/>
        </w:rPr>
      </w:r>
      <w:r/>
    </w:p>
    <w:p>
      <w:pPr>
        <w:pStyle w:val="734"/>
        <w:spacing w:line="251" w:lineRule="auto"/>
        <w:rPr>
          <w:rFonts w:asciiTheme="minorEastAsia" w:hAnsiTheme="minorEastAsia" w:eastAsiaTheme="minorEastAsia"/>
        </w:rPr>
      </w:pPr>
      <w:r>
        <w:rPr>
          <w:rFonts w:asciiTheme="minorEastAsia" w:hAnsiTheme="minorEastAsia" w:eastAsiaTheme="minorEastAsia"/>
        </w:rPr>
      </w:r>
      <w:r/>
    </w:p>
    <w:p>
      <w:pPr>
        <w:pStyle w:val="734"/>
        <w:spacing w:line="251" w:lineRule="auto"/>
        <w:rPr>
          <w:rFonts w:asciiTheme="minorEastAsia" w:hAnsiTheme="minorEastAsia" w:eastAsiaTheme="minorEastAsia"/>
        </w:rPr>
      </w:pPr>
      <w:r>
        <w:rPr>
          <w:rFonts w:asciiTheme="minorEastAsia" w:hAnsiTheme="minorEastAsia" w:eastAsiaTheme="minorEastAsia"/>
        </w:rPr>
      </w:r>
      <w:r/>
    </w:p>
    <w:p>
      <w:pPr>
        <w:pStyle w:val="734"/>
        <w:spacing w:line="251" w:lineRule="auto"/>
        <w:rPr>
          <w:rFonts w:asciiTheme="minorEastAsia" w:hAnsiTheme="minorEastAsia" w:eastAsiaTheme="minorEastAsia"/>
        </w:rPr>
      </w:pPr>
      <w:r>
        <w:rPr>
          <w:rFonts w:asciiTheme="minorEastAsia" w:hAnsiTheme="minorEastAsia" w:eastAsiaTheme="minorEastAsia"/>
        </w:rPr>
      </w:r>
      <w:r/>
    </w:p>
    <w:p>
      <w:pPr>
        <w:pStyle w:val="734"/>
        <w:spacing w:line="251" w:lineRule="auto"/>
        <w:rPr>
          <w:rFonts w:asciiTheme="minorEastAsia" w:hAnsiTheme="minorEastAsia" w:eastAsiaTheme="minorEastAsia"/>
        </w:rPr>
      </w:pPr>
      <w:r>
        <w:rPr>
          <w:rFonts w:asciiTheme="minorEastAsia" w:hAnsiTheme="minorEastAsia" w:eastAsiaTheme="minorEastAsia"/>
        </w:rPr>
      </w:r>
      <w:r/>
    </w:p>
    <w:p>
      <w:pPr>
        <w:jc w:val="center"/>
        <w:spacing w:before="270" w:line="226" w:lineRule="auto"/>
        <w:rPr>
          <w:rFonts w:cs="仿宋" w:asciiTheme="minorEastAsia" w:hAnsiTheme="minorEastAsia" w:eastAsiaTheme="minorEastAsia"/>
          <w:sz w:val="83"/>
          <w:szCs w:val="83"/>
        </w:rPr>
        <w:outlineLvl w:val="0"/>
      </w:pPr>
      <w:r/>
      <w:bookmarkStart w:id="218" w:name="bookmark269"/>
      <w:r/>
      <w:bookmarkEnd w:id="218"/>
      <w:r>
        <w:rPr>
          <w:rFonts w:cs="仿宋" w:asciiTheme="minorEastAsia" w:hAnsiTheme="minorEastAsia" w:eastAsiaTheme="minorEastAsia"/>
          <w:b/>
          <w:bCs/>
          <w:spacing w:val="-54"/>
          <w:sz w:val="83"/>
          <w:szCs w:val="83"/>
        </w:rPr>
        <w:t xml:space="preserve">施</w:t>
      </w:r>
      <w:r>
        <w:rPr>
          <w:rFonts w:cs="仿宋" w:asciiTheme="minorEastAsia" w:hAnsiTheme="minorEastAsia" w:eastAsiaTheme="minorEastAsia"/>
          <w:spacing w:val="85"/>
          <w:sz w:val="83"/>
          <w:szCs w:val="83"/>
        </w:rPr>
        <w:t xml:space="preserve"> </w:t>
      </w:r>
      <w:r>
        <w:rPr>
          <w:rFonts w:cs="仿宋" w:asciiTheme="minorEastAsia" w:hAnsiTheme="minorEastAsia" w:eastAsiaTheme="minorEastAsia"/>
          <w:b/>
          <w:bCs/>
          <w:spacing w:val="-54"/>
          <w:sz w:val="83"/>
          <w:szCs w:val="83"/>
        </w:rPr>
        <w:t xml:space="preserve">工</w:t>
      </w:r>
      <w:r>
        <w:rPr>
          <w:rFonts w:cs="仿宋" w:asciiTheme="minorEastAsia" w:hAnsiTheme="minorEastAsia" w:eastAsiaTheme="minorEastAsia"/>
          <w:spacing w:val="89"/>
          <w:sz w:val="83"/>
          <w:szCs w:val="83"/>
        </w:rPr>
        <w:t xml:space="preserve"> </w:t>
      </w:r>
      <w:r>
        <w:rPr>
          <w:rFonts w:cs="仿宋" w:asciiTheme="minorEastAsia" w:hAnsiTheme="minorEastAsia" w:eastAsiaTheme="minorEastAsia"/>
          <w:b/>
          <w:bCs/>
          <w:spacing w:val="-54"/>
          <w:sz w:val="83"/>
          <w:szCs w:val="83"/>
        </w:rPr>
        <w:t xml:space="preserve">合</w:t>
      </w:r>
      <w:r>
        <w:rPr>
          <w:rFonts w:cs="仿宋" w:asciiTheme="minorEastAsia" w:hAnsiTheme="minorEastAsia" w:eastAsiaTheme="minorEastAsia"/>
          <w:spacing w:val="167"/>
          <w:sz w:val="83"/>
          <w:szCs w:val="83"/>
        </w:rPr>
        <w:t xml:space="preserve"> </w:t>
      </w:r>
      <w:r>
        <w:rPr>
          <w:rFonts w:cs="仿宋" w:asciiTheme="minorEastAsia" w:hAnsiTheme="minorEastAsia" w:eastAsiaTheme="minorEastAsia"/>
          <w:b/>
          <w:bCs/>
          <w:spacing w:val="-54"/>
          <w:sz w:val="83"/>
          <w:szCs w:val="83"/>
        </w:rPr>
        <w:t xml:space="preserve">同</w:t>
      </w:r>
      <w:r/>
    </w:p>
    <w:p>
      <w:pPr>
        <w:pStyle w:val="734"/>
        <w:jc w:val="center"/>
        <w:spacing w:line="259" w:lineRule="auto"/>
        <w:rPr>
          <w:rFonts w:asciiTheme="minorEastAsia" w:hAnsiTheme="minorEastAsia" w:eastAsiaTheme="minorEastAsia"/>
        </w:rPr>
      </w:pPr>
      <w:r>
        <w:rPr>
          <w:rFonts w:asciiTheme="minorEastAsia" w:hAnsiTheme="minorEastAsia" w:eastAsiaTheme="minorEastAsia"/>
        </w:rPr>
      </w:r>
      <w:r/>
    </w:p>
    <w:p>
      <w:pPr>
        <w:pStyle w:val="734"/>
        <w:jc w:val="center"/>
        <w:spacing w:line="259" w:lineRule="auto"/>
        <w:rPr>
          <w:rFonts w:asciiTheme="minorEastAsia" w:hAnsiTheme="minorEastAsia" w:eastAsiaTheme="minorEastAsia"/>
        </w:rPr>
      </w:pPr>
      <w:r>
        <w:rPr>
          <w:rFonts w:asciiTheme="minorEastAsia" w:hAnsiTheme="minorEastAsia" w:eastAsiaTheme="minorEastAsia"/>
        </w:rPr>
      </w:r>
      <w:r/>
    </w:p>
    <w:p>
      <w:pPr>
        <w:pStyle w:val="734"/>
        <w:spacing w:line="259" w:lineRule="auto"/>
        <w:rPr>
          <w:rFonts w:asciiTheme="minorEastAsia" w:hAnsiTheme="minorEastAsia" w:eastAsiaTheme="minorEastAsia"/>
        </w:rPr>
      </w:pPr>
      <w:r>
        <w:rPr>
          <w:rFonts w:asciiTheme="minorEastAsia" w:hAnsiTheme="minorEastAsia" w:eastAsiaTheme="minorEastAsia"/>
        </w:rPr>
      </w:r>
      <w:r/>
    </w:p>
    <w:p>
      <w:pPr>
        <w:ind w:firstLine="550"/>
        <w:spacing w:before="91" w:line="223" w:lineRule="auto"/>
        <w:rPr>
          <w:rFonts w:cs="仿宋" w:asciiTheme="minorEastAsia" w:hAnsiTheme="minorEastAsia" w:eastAsiaTheme="minorEastAsia"/>
          <w:b/>
          <w:bCs/>
          <w:spacing w:val="-3"/>
          <w:sz w:val="28"/>
          <w:szCs w:val="28"/>
        </w:rPr>
      </w:pPr>
      <w:r>
        <w:rPr>
          <w:rFonts w:cs="仿宋" w:asciiTheme="minorEastAsia" w:hAnsiTheme="minorEastAsia" w:eastAsiaTheme="minorEastAsia"/>
          <w:b/>
          <w:bCs/>
          <w:spacing w:val="-3"/>
          <w:sz w:val="28"/>
          <w:szCs w:val="28"/>
        </w:rPr>
      </w:r>
      <w:r/>
    </w:p>
    <w:p>
      <w:pPr>
        <w:ind w:firstLine="550"/>
        <w:spacing w:before="91" w:line="223" w:lineRule="auto"/>
        <w:rPr>
          <w:rFonts w:cs="仿宋" w:asciiTheme="minorEastAsia" w:hAnsiTheme="minorEastAsia" w:eastAsiaTheme="minorEastAsia"/>
          <w:sz w:val="28"/>
          <w:szCs w:val="28"/>
        </w:rPr>
      </w:pPr>
      <w:r>
        <w:rPr>
          <w:rFonts w:cs="仿宋" w:asciiTheme="minorEastAsia" w:hAnsiTheme="minorEastAsia" w:eastAsiaTheme="minorEastAsia"/>
          <w:b/>
          <w:bCs/>
          <w:spacing w:val="-3"/>
          <w:sz w:val="28"/>
          <w:szCs w:val="28"/>
        </w:rPr>
        <w:t xml:space="preserve">工程地点：</w:t>
      </w:r>
      <w:bookmarkStart w:id="219" w:name="OLE_LINK34"/>
      <w:r>
        <w:rPr>
          <w:rFonts w:cs="仿宋" w:asciiTheme="minorEastAsia" w:hAnsiTheme="minorEastAsia" w:eastAsiaTheme="minorEastAsia"/>
          <w:spacing w:val="-3"/>
          <w:sz w:val="28"/>
          <w:szCs w:val="28"/>
          <w:u w:val="single"/>
        </w:rPr>
        <w:t xml:space="preserve">宿迁市</w:t>
      </w:r>
      <w:r>
        <w:rPr>
          <w:rFonts w:hint="eastAsia" w:cs="仿宋" w:asciiTheme="minorEastAsia" w:hAnsiTheme="minorEastAsia" w:eastAsiaTheme="minorEastAsia"/>
          <w:spacing w:val="-3"/>
          <w:sz w:val="28"/>
          <w:szCs w:val="28"/>
          <w:u w:val="single"/>
        </w:rPr>
        <w:t xml:space="preserve">湖滨新区皂河镇</w:t>
      </w:r>
      <w:r>
        <w:rPr>
          <w:rFonts w:cs="仿宋" w:asciiTheme="minorEastAsia" w:hAnsiTheme="minorEastAsia" w:eastAsiaTheme="minorEastAsia"/>
          <w:spacing w:val="-3"/>
          <w:sz w:val="28"/>
          <w:szCs w:val="28"/>
          <w:u w:val="single"/>
        </w:rPr>
        <w:t xml:space="preserve">境内</w:t>
      </w:r>
      <w:bookmarkEnd w:id="219"/>
      <w:r/>
      <w:r/>
    </w:p>
    <w:p>
      <w:pPr>
        <w:ind w:firstLine="546"/>
        <w:spacing w:before="91" w:line="223" w:lineRule="auto"/>
        <w:rPr>
          <w:rFonts w:cs="仿宋" w:asciiTheme="minorEastAsia" w:hAnsiTheme="minorEastAsia" w:eastAsiaTheme="minorEastAsia"/>
          <w:spacing w:val="-3"/>
          <w:sz w:val="28"/>
          <w:szCs w:val="28"/>
          <w:u w:val="single"/>
        </w:rPr>
      </w:pPr>
      <w:r>
        <w:rPr>
          <w:rFonts w:cs="仿宋" w:asciiTheme="minorEastAsia" w:hAnsiTheme="minorEastAsia" w:eastAsiaTheme="minorEastAsia"/>
          <w:b/>
          <w:bCs/>
          <w:spacing w:val="-4"/>
          <w:sz w:val="28"/>
          <w:szCs w:val="28"/>
        </w:rPr>
        <w:t xml:space="preserve">发</w:t>
      </w:r>
      <w:r>
        <w:rPr>
          <w:rFonts w:cs="仿宋" w:asciiTheme="minorEastAsia" w:hAnsiTheme="minorEastAsia" w:eastAsiaTheme="minorEastAsia"/>
          <w:spacing w:val="-4"/>
          <w:sz w:val="28"/>
          <w:szCs w:val="28"/>
        </w:rPr>
        <w:t xml:space="preserve"> </w:t>
      </w:r>
      <w:r>
        <w:rPr>
          <w:rFonts w:cs="仿宋" w:asciiTheme="minorEastAsia" w:hAnsiTheme="minorEastAsia" w:eastAsiaTheme="minorEastAsia"/>
          <w:b/>
          <w:bCs/>
          <w:spacing w:val="-4"/>
          <w:sz w:val="28"/>
          <w:szCs w:val="28"/>
        </w:rPr>
        <w:t xml:space="preserve">包</w:t>
      </w:r>
      <w:r>
        <w:rPr>
          <w:rFonts w:cs="仿宋" w:asciiTheme="minorEastAsia" w:hAnsiTheme="minorEastAsia" w:eastAsiaTheme="minorEastAsia"/>
          <w:spacing w:val="25"/>
          <w:sz w:val="28"/>
          <w:szCs w:val="28"/>
        </w:rPr>
        <w:t xml:space="preserve"> </w:t>
      </w:r>
      <w:r>
        <w:rPr>
          <w:rFonts w:cs="仿宋" w:asciiTheme="minorEastAsia" w:hAnsiTheme="minorEastAsia" w:eastAsiaTheme="minorEastAsia"/>
          <w:b/>
          <w:bCs/>
          <w:spacing w:val="-4"/>
          <w:sz w:val="28"/>
          <w:szCs w:val="28"/>
        </w:rPr>
        <w:t xml:space="preserve">人</w:t>
      </w:r>
      <w:r>
        <w:rPr>
          <w:rFonts w:cs="仿宋" w:asciiTheme="minorEastAsia" w:hAnsiTheme="minorEastAsia" w:eastAsiaTheme="minorEastAsia"/>
          <w:spacing w:val="-4"/>
          <w:sz w:val="28"/>
          <w:szCs w:val="28"/>
        </w:rPr>
        <w:t xml:space="preserve">：</w:t>
      </w:r>
      <w:r>
        <w:rPr>
          <w:rFonts w:hint="eastAsia" w:cs="仿宋" w:asciiTheme="minorEastAsia" w:hAnsiTheme="minorEastAsia" w:eastAsiaTheme="minorEastAsia"/>
          <w:spacing w:val="-3"/>
          <w:sz w:val="28"/>
          <w:szCs w:val="28"/>
          <w:u w:val="single"/>
        </w:rPr>
        <w:t xml:space="preserve">江苏省皂河抽水站</w:t>
      </w:r>
      <w:r>
        <w:rPr>
          <w:rFonts w:hint="eastAsia" w:asciiTheme="minorEastAsia" w:hAnsiTheme="minorEastAsia" w:eastAsiaTheme="minorEastAsia"/>
        </w:rPr>
        <w:t xml:space="preserve"> </w:t>
      </w:r>
      <w:r/>
    </w:p>
    <w:p>
      <w:pPr>
        <w:ind w:firstLine="554"/>
        <w:spacing w:before="92" w:line="224" w:lineRule="auto"/>
        <w:rPr>
          <w:rFonts w:cs="仿宋" w:asciiTheme="minorEastAsia" w:hAnsiTheme="minorEastAsia" w:eastAsiaTheme="minorEastAsia"/>
          <w:sz w:val="28"/>
          <w:szCs w:val="28"/>
        </w:rPr>
      </w:pPr>
      <w:r>
        <w:rPr>
          <w:rFonts w:cs="仿宋" w:asciiTheme="minorEastAsia" w:hAnsiTheme="minorEastAsia" w:eastAsiaTheme="minorEastAsia"/>
          <w:b/>
          <w:bCs/>
          <w:spacing w:val="-2"/>
          <w:sz w:val="28"/>
          <w:szCs w:val="28"/>
        </w:rPr>
        <w:t xml:space="preserve">承 包 人</w:t>
      </w:r>
      <w:r>
        <w:rPr>
          <w:rFonts w:cs="仿宋" w:asciiTheme="minorEastAsia" w:hAnsiTheme="minorEastAsia" w:eastAsiaTheme="minorEastAsia"/>
          <w:b/>
          <w:bCs/>
          <w:spacing w:val="-17"/>
          <w:sz w:val="28"/>
          <w:szCs w:val="28"/>
        </w:rPr>
        <w:t xml:space="preserve">：</w:t>
      </w:r>
      <w:r>
        <w:rPr>
          <w:rFonts w:cs="仿宋" w:asciiTheme="minorEastAsia" w:hAnsiTheme="minorEastAsia" w:eastAsiaTheme="minorEastAsia"/>
          <w:spacing w:val="4"/>
          <w:sz w:val="28"/>
          <w:szCs w:val="28"/>
          <w:u w:val="single"/>
        </w:rPr>
        <w:t xml:space="preserve">  </w:t>
      </w:r>
      <w:r>
        <w:rPr>
          <w:rFonts w:hint="eastAsia" w:cs="仿宋" w:asciiTheme="minorEastAsia" w:hAnsiTheme="minorEastAsia" w:eastAsiaTheme="minorEastAsia"/>
          <w:spacing w:val="4"/>
          <w:sz w:val="28"/>
          <w:szCs w:val="28"/>
          <w:u w:val="single"/>
        </w:rPr>
        <w:t xml:space="preserve">           </w:t>
      </w:r>
      <w:r>
        <w:rPr>
          <w:rFonts w:cs="仿宋" w:asciiTheme="minorEastAsia" w:hAnsiTheme="minorEastAsia" w:eastAsiaTheme="minorEastAsia"/>
          <w:spacing w:val="4"/>
          <w:sz w:val="28"/>
          <w:szCs w:val="28"/>
          <w:u w:val="single"/>
        </w:rPr>
        <w:t xml:space="preserve">    </w:t>
      </w:r>
      <w:r/>
    </w:p>
    <w:p>
      <w:pPr>
        <w:ind w:firstLine="554"/>
        <w:spacing w:before="91" w:line="223" w:lineRule="auto"/>
        <w:rPr>
          <w:rFonts w:cs="仿宋" w:asciiTheme="minorEastAsia" w:hAnsiTheme="minorEastAsia" w:eastAsiaTheme="minorEastAsia"/>
          <w:spacing w:val="-21"/>
          <w:sz w:val="28"/>
          <w:szCs w:val="28"/>
          <w:u w:val="single"/>
        </w:rPr>
      </w:pPr>
      <w:r>
        <w:rPr>
          <w:rFonts w:cs="仿宋" w:asciiTheme="minorEastAsia" w:hAnsiTheme="minorEastAsia" w:eastAsiaTheme="minorEastAsia"/>
          <w:b/>
          <w:bCs/>
          <w:spacing w:val="-2"/>
          <w:sz w:val="28"/>
          <w:szCs w:val="28"/>
        </w:rPr>
        <w:t xml:space="preserve">签订日期</w:t>
      </w:r>
      <w:r>
        <w:rPr>
          <w:rFonts w:cs="仿宋" w:asciiTheme="minorEastAsia" w:hAnsiTheme="minorEastAsia" w:eastAsiaTheme="minorEastAsia"/>
          <w:b/>
          <w:bCs/>
          <w:spacing w:val="-21"/>
          <w:sz w:val="28"/>
          <w:szCs w:val="28"/>
        </w:rPr>
        <w:t xml:space="preserve">：</w:t>
      </w:r>
      <w:r>
        <w:rPr>
          <w:rFonts w:cs="仿宋" w:asciiTheme="minorEastAsia" w:hAnsiTheme="minorEastAsia" w:eastAsiaTheme="minorEastAsia"/>
          <w:spacing w:val="4"/>
          <w:sz w:val="28"/>
          <w:szCs w:val="28"/>
          <w:u w:val="single"/>
        </w:rPr>
        <w:t xml:space="preserve">      </w:t>
      </w:r>
      <w:r>
        <w:rPr>
          <w:rFonts w:cs="仿宋" w:asciiTheme="minorEastAsia" w:hAnsiTheme="minorEastAsia" w:eastAsiaTheme="minorEastAsia"/>
          <w:spacing w:val="-21"/>
          <w:sz w:val="28"/>
          <w:szCs w:val="28"/>
          <w:u w:val="single"/>
        </w:rPr>
        <w:t xml:space="preserve">年</w:t>
      </w:r>
      <w:r>
        <w:rPr>
          <w:rFonts w:cs="仿宋" w:asciiTheme="minorEastAsia" w:hAnsiTheme="minorEastAsia" w:eastAsiaTheme="minorEastAsia"/>
          <w:spacing w:val="7"/>
          <w:sz w:val="28"/>
          <w:szCs w:val="28"/>
          <w:u w:val="single"/>
        </w:rPr>
        <w:t xml:space="preserve">    </w:t>
      </w:r>
      <w:r>
        <w:rPr>
          <w:rFonts w:cs="仿宋" w:asciiTheme="minorEastAsia" w:hAnsiTheme="minorEastAsia" w:eastAsiaTheme="minorEastAsia"/>
          <w:spacing w:val="-21"/>
          <w:sz w:val="28"/>
          <w:szCs w:val="28"/>
          <w:u w:val="single"/>
        </w:rPr>
        <w:t xml:space="preserve">月</w:t>
      </w:r>
      <w:r>
        <w:rPr>
          <w:rFonts w:cs="仿宋" w:asciiTheme="minorEastAsia" w:hAnsiTheme="minorEastAsia" w:eastAsiaTheme="minorEastAsia"/>
          <w:spacing w:val="26"/>
          <w:sz w:val="28"/>
          <w:szCs w:val="28"/>
          <w:u w:val="single"/>
        </w:rPr>
        <w:t xml:space="preserve">   </w:t>
      </w:r>
      <w:r>
        <w:rPr>
          <w:rFonts w:cs="仿宋" w:asciiTheme="minorEastAsia" w:hAnsiTheme="minorEastAsia" w:eastAsiaTheme="minorEastAsia"/>
          <w:spacing w:val="-21"/>
          <w:sz w:val="28"/>
          <w:szCs w:val="28"/>
          <w:u w:val="single"/>
        </w:rPr>
        <w:t xml:space="preserve">日</w:t>
      </w:r>
      <w:r/>
    </w:p>
    <w:p>
      <w:pPr>
        <w:ind w:firstLine="476"/>
        <w:spacing w:before="91" w:line="223" w:lineRule="auto"/>
        <w:rPr>
          <w:rFonts w:ascii="仿宋" w:hAnsi="仿宋" w:eastAsia="仿宋" w:cs="仿宋"/>
          <w:spacing w:val="-21"/>
          <w:sz w:val="28"/>
          <w:szCs w:val="28"/>
          <w:u w:val="single"/>
        </w:rPr>
      </w:pPr>
      <w:r>
        <w:rPr>
          <w:rFonts w:ascii="仿宋" w:hAnsi="仿宋" w:eastAsia="仿宋" w:cs="仿宋"/>
          <w:spacing w:val="-21"/>
          <w:sz w:val="28"/>
          <w:szCs w:val="28"/>
          <w:u w:val="single"/>
        </w:rPr>
      </w:r>
      <w:r/>
    </w:p>
    <w:p>
      <w:pPr>
        <w:pStyle w:val="1307"/>
        <w:spacing w:line="440" w:lineRule="exact"/>
        <w:rPr>
          <w:rFonts w:ascii="宋体" w:hAnsi="宋体" w:cs="宋体"/>
          <w:b/>
          <w:sz w:val="28"/>
          <w:szCs w:val="28"/>
        </w:rPr>
      </w:pPr>
      <w:r>
        <w:rPr>
          <w:rFonts w:ascii="宋体" w:hAnsi="宋体" w:cs="宋体"/>
          <w:b/>
          <w:sz w:val="28"/>
          <w:szCs w:val="28"/>
        </w:rPr>
      </w:r>
      <w:r/>
    </w:p>
    <w:p>
      <w:pPr>
        <w:ind w:firstLine="735"/>
        <w:spacing w:line="460" w:lineRule="exact"/>
        <w:rPr>
          <w:rFonts w:ascii="宋体" w:hAnsi="宋体" w:cs="宋体"/>
          <w:szCs w:val="21"/>
          <w:u w:val="single"/>
        </w:rPr>
        <w:outlineLvl w:val="1"/>
      </w:pPr>
      <w:r>
        <w:rPr>
          <w:rFonts w:ascii="宋体" w:hAnsi="宋体" w:cs="宋体"/>
          <w:szCs w:val="21"/>
          <w:u w:val="single"/>
        </w:rPr>
      </w:r>
      <w:r/>
    </w:p>
    <w:p>
      <w:pPr>
        <w:jc w:val="center"/>
        <w:spacing w:line="360" w:lineRule="auto"/>
        <w:tabs>
          <w:tab w:val="left" w:pos="0" w:leader="none"/>
          <w:tab w:val="left" w:pos="1134" w:leader="none"/>
        </w:tabs>
        <w:rPr>
          <w:rFonts w:ascii="宋体" w:hAnsi="宋体" w:cs="宋体"/>
          <w:b/>
          <w:sz w:val="28"/>
          <w:szCs w:val="28"/>
        </w:rPr>
        <w:outlineLvl w:val="0"/>
      </w:pPr>
      <w:r>
        <w:rPr>
          <w:rFonts w:hint="eastAsia" w:ascii="宋体" w:hAnsi="宋体" w:cs="宋体"/>
          <w:b/>
          <w:bCs/>
          <w:sz w:val="32"/>
          <w:szCs w:val="32"/>
        </w:rPr>
        <w:t xml:space="preserve">第一部分协议书</w:t>
      </w:r>
      <w:r/>
    </w:p>
    <w:p>
      <w:pPr>
        <w:ind w:firstLine="420"/>
        <w:spacing w:line="360" w:lineRule="auto"/>
        <w:tabs>
          <w:tab w:val="left" w:pos="426" w:leader="none"/>
          <w:tab w:val="left" w:pos="1134"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发包人：</w:t>
      </w:r>
      <w:r>
        <w:rPr>
          <w:rFonts w:hint="eastAsia" w:cs="宋体" w:asciiTheme="minorEastAsia" w:hAnsiTheme="minorEastAsia" w:eastAsiaTheme="minorEastAsia"/>
          <w:szCs w:val="21"/>
          <w:u w:val="single"/>
        </w:rPr>
        <w:t xml:space="preserve">江苏省皂河抽水站</w:t>
      </w:r>
      <w:r/>
    </w:p>
    <w:p>
      <w:pPr>
        <w:ind w:firstLine="420"/>
        <w:spacing w:line="360" w:lineRule="auto"/>
        <w:tabs>
          <w:tab w:val="left" w:pos="426" w:leader="none"/>
        </w:tabs>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承包人：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p>
    <w:p>
      <w:pPr>
        <w:ind w:firstLine="420"/>
        <w:spacing w:line="360" w:lineRule="auto"/>
        <w:tabs>
          <w:tab w:val="left" w:pos="426" w:leader="none"/>
        </w:tabs>
        <w:rPr>
          <w:rFonts w:cs="宋体" w:asciiTheme="minorEastAsia" w:hAnsiTheme="minorEastAsia" w:eastAsiaTheme="minorEastAsia"/>
          <w:bCs/>
          <w:szCs w:val="21"/>
        </w:rPr>
      </w:pPr>
      <w:r>
        <w:rPr>
          <w:rFonts w:hint="eastAsia" w:cs="宋体" w:asciiTheme="minorEastAsia" w:hAnsiTheme="minorEastAsia" w:eastAsiaTheme="minorEastAsia"/>
          <w:szCs w:val="21"/>
        </w:rPr>
        <w:t xml:space="preserve">发包人承包人双方根据《中华人民共和国民法典》等相关法律法规，遵循平等、自愿、公平、诚实信用的原则，就</w:t>
      </w:r>
      <w:r>
        <w:rPr>
          <w:rFonts w:hint="eastAsia" w:cs="宋体" w:asciiTheme="minorEastAsia" w:hAnsiTheme="minorEastAsia" w:eastAsiaTheme="minorEastAsia"/>
          <w:szCs w:val="21"/>
          <w:u w:val="single"/>
        </w:rPr>
        <w:t xml:space="preserve"> 皂河站配电设备智能化改造工程</w:t>
      </w:r>
      <w:r>
        <w:rPr>
          <w:rFonts w:hint="eastAsia" w:cs="宋体" w:asciiTheme="minorEastAsia" w:hAnsiTheme="minorEastAsia" w:eastAsiaTheme="minorEastAsia"/>
          <w:szCs w:val="21"/>
        </w:rPr>
        <w:t xml:space="preserve">，经发包人承包人双方友好协商签订以下合同：</w:t>
      </w:r>
      <w:r/>
    </w:p>
    <w:p>
      <w:pPr>
        <w:ind w:firstLine="422"/>
        <w:spacing w:line="360" w:lineRule="auto"/>
        <w:tabs>
          <w:tab w:val="left" w:pos="426" w:leader="none"/>
        </w:tabs>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一、工程概况</w:t>
      </w:r>
      <w:r/>
    </w:p>
    <w:p>
      <w:pPr>
        <w:ind w:firstLine="420"/>
        <w:spacing w:line="360" w:lineRule="auto"/>
        <w:tabs>
          <w:tab w:val="left" w:pos="426"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1.1工程名称：</w:t>
      </w:r>
      <w:r>
        <w:rPr>
          <w:rFonts w:hint="eastAsia" w:cs="宋体" w:asciiTheme="minorEastAsia" w:hAnsiTheme="minorEastAsia" w:eastAsiaTheme="minorEastAsia"/>
          <w:szCs w:val="21"/>
          <w:u w:val="single"/>
        </w:rPr>
        <w:t xml:space="preserve">皂河站配电设备智能化改造工程</w:t>
      </w:r>
      <w:r/>
    </w:p>
    <w:p>
      <w:pPr>
        <w:ind w:firstLine="420"/>
        <w:spacing w:line="360" w:lineRule="auto"/>
        <w:tabs>
          <w:tab w:val="left" w:pos="426" w:leader="none"/>
        </w:tabs>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1.2工程地点：</w:t>
      </w:r>
      <w:r>
        <w:rPr>
          <w:rFonts w:cs="宋体" w:asciiTheme="minorEastAsia" w:hAnsiTheme="minorEastAsia" w:eastAsiaTheme="minorEastAsia"/>
          <w:szCs w:val="21"/>
          <w:u w:val="single"/>
        </w:rPr>
        <w:t xml:space="preserve">宿迁市</w:t>
      </w:r>
      <w:r>
        <w:rPr>
          <w:rFonts w:hint="eastAsia" w:cs="宋体" w:asciiTheme="minorEastAsia" w:hAnsiTheme="minorEastAsia" w:eastAsiaTheme="minorEastAsia"/>
          <w:szCs w:val="21"/>
          <w:u w:val="single"/>
        </w:rPr>
        <w:t xml:space="preserve">湖滨新区皂河镇</w:t>
      </w:r>
      <w:r>
        <w:rPr>
          <w:rFonts w:cs="宋体" w:asciiTheme="minorEastAsia" w:hAnsiTheme="minorEastAsia" w:eastAsiaTheme="minorEastAsia"/>
          <w:szCs w:val="21"/>
          <w:u w:val="single"/>
        </w:rPr>
        <w:t xml:space="preserve">境内</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1.3主要工程项目和内容：</w:t>
      </w:r>
      <w:r>
        <w:rPr>
          <w:rFonts w:hint="eastAsia" w:cs="宋体" w:asciiTheme="minorEastAsia" w:hAnsiTheme="minorEastAsia" w:eastAsiaTheme="minorEastAsia"/>
          <w:szCs w:val="21"/>
          <w:u w:val="single"/>
        </w:rPr>
        <w:t xml:space="preserve">皂河站配电设备智能化改造工程，本次主要内容为皂河站高压开关柜改造、皂河站低压开关柜改造、皂河站辅机控制系统改造项目。</w:t>
      </w:r>
      <w:r/>
    </w:p>
    <w:p>
      <w:pPr>
        <w:ind w:firstLine="420"/>
        <w:spacing w:line="360" w:lineRule="auto"/>
        <w:tabs>
          <w:tab w:val="left" w:pos="426"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1.4资金来源：</w:t>
      </w:r>
      <w:r>
        <w:rPr>
          <w:rFonts w:hint="eastAsia" w:cs="宋体" w:asciiTheme="minorEastAsia" w:hAnsiTheme="minorEastAsia" w:eastAsiaTheme="minorEastAsia"/>
          <w:szCs w:val="21"/>
          <w:u w:val="single"/>
        </w:rPr>
        <w:t xml:space="preserve">财政资金。</w:t>
      </w:r>
      <w:r/>
    </w:p>
    <w:p>
      <w:pPr>
        <w:ind w:firstLine="422"/>
        <w:spacing w:line="360" w:lineRule="auto"/>
        <w:tabs>
          <w:tab w:val="left" w:pos="426"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二、合同工期</w:t>
      </w:r>
      <w:r/>
    </w:p>
    <w:p>
      <w:pPr>
        <w:ind w:firstLine="452"/>
        <w:spacing w:line="360" w:lineRule="auto"/>
        <w:tabs>
          <w:tab w:val="left" w:pos="426" w:leader="none"/>
        </w:tabs>
        <w:rPr>
          <w:rFonts w:cs="宋体" w:asciiTheme="minorEastAsia" w:hAnsiTheme="minorEastAsia" w:eastAsiaTheme="minorEastAsia"/>
          <w:spacing w:val="8"/>
          <w:szCs w:val="21"/>
        </w:rPr>
      </w:pPr>
      <w:r>
        <w:rPr>
          <w:rFonts w:hint="eastAsia" w:cs="宋体" w:asciiTheme="minorEastAsia" w:hAnsiTheme="minorEastAsia" w:eastAsiaTheme="minorEastAsia"/>
          <w:spacing w:val="8"/>
          <w:szCs w:val="21"/>
        </w:rPr>
        <w:t xml:space="preserve">2.1 工期：</w:t>
      </w:r>
      <w:r>
        <w:rPr>
          <w:rFonts w:cs="宋体" w:asciiTheme="minorEastAsia" w:hAnsiTheme="minorEastAsia" w:eastAsiaTheme="minorEastAsia"/>
          <w:spacing w:val="8"/>
          <w:szCs w:val="21"/>
          <w:u w:val="single"/>
        </w:rPr>
        <w:t xml:space="preserve">60</w:t>
      </w:r>
      <w:r>
        <w:rPr>
          <w:rFonts w:hint="eastAsia" w:cs="宋体" w:asciiTheme="minorEastAsia" w:hAnsiTheme="minorEastAsia" w:eastAsiaTheme="minorEastAsia"/>
          <w:spacing w:val="8"/>
          <w:szCs w:val="21"/>
          <w:u w:val="single"/>
        </w:rPr>
        <w:t xml:space="preserve">日历天</w:t>
      </w:r>
      <w:r/>
    </w:p>
    <w:p>
      <w:pPr>
        <w:ind w:firstLine="452"/>
        <w:spacing w:line="360" w:lineRule="auto"/>
        <w:tabs>
          <w:tab w:val="left" w:pos="426" w:leader="none"/>
        </w:tabs>
        <w:rPr>
          <w:rFonts w:cs="宋体" w:asciiTheme="minorEastAsia" w:hAnsiTheme="minorEastAsia" w:eastAsiaTheme="minorEastAsia"/>
          <w:spacing w:val="8"/>
          <w:szCs w:val="21"/>
        </w:rPr>
      </w:pPr>
      <w:r>
        <w:rPr>
          <w:rFonts w:hint="eastAsia" w:cs="宋体" w:asciiTheme="minorEastAsia" w:hAnsiTheme="minorEastAsia" w:eastAsiaTheme="minorEastAsia"/>
          <w:spacing w:val="8"/>
          <w:szCs w:val="21"/>
        </w:rPr>
        <w:t xml:space="preserve">2.2开工日期为：</w:t>
      </w:r>
      <w:r>
        <w:rPr>
          <w:rFonts w:hint="eastAsia" w:cs="宋体" w:asciiTheme="minorEastAsia" w:hAnsiTheme="minorEastAsia" w:eastAsiaTheme="minorEastAsia"/>
          <w:spacing w:val="8"/>
          <w:szCs w:val="21"/>
          <w:u w:val="single"/>
        </w:rPr>
        <w:t xml:space="preserve">2026年 </w:t>
      </w:r>
      <w:r>
        <w:rPr>
          <w:rFonts w:cs="宋体" w:asciiTheme="minorEastAsia" w:hAnsiTheme="minorEastAsia" w:eastAsiaTheme="minorEastAsia"/>
          <w:spacing w:val="8"/>
          <w:szCs w:val="21"/>
          <w:u w:val="single"/>
        </w:rPr>
        <w:t xml:space="preserve"> </w:t>
      </w:r>
      <w:r>
        <w:rPr>
          <w:rFonts w:hint="eastAsia" w:cs="宋体" w:asciiTheme="minorEastAsia" w:hAnsiTheme="minorEastAsia" w:eastAsiaTheme="minorEastAsia"/>
          <w:spacing w:val="8"/>
          <w:szCs w:val="21"/>
          <w:u w:val="single"/>
        </w:rPr>
        <w:t xml:space="preserve">月  日（以发包人开工令为准）。</w:t>
      </w:r>
      <w:r/>
    </w:p>
    <w:p>
      <w:pPr>
        <w:ind w:firstLine="422"/>
        <w:spacing w:line="360" w:lineRule="auto"/>
        <w:tabs>
          <w:tab w:val="left" w:pos="426"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三、质量标准</w:t>
      </w:r>
      <w:r/>
    </w:p>
    <w:p>
      <w:pPr>
        <w:ind w:firstLine="420"/>
        <w:spacing w:line="360" w:lineRule="auto"/>
        <w:tabs>
          <w:tab w:val="left" w:pos="426"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质量要求：</w:t>
      </w:r>
      <w:r>
        <w:rPr>
          <w:rFonts w:hint="eastAsia" w:cs="宋体" w:asciiTheme="minorEastAsia" w:hAnsiTheme="minorEastAsia" w:eastAsiaTheme="minorEastAsia"/>
          <w:szCs w:val="21"/>
          <w:u w:val="single"/>
        </w:rPr>
        <w:t xml:space="preserve">合格；工程必须一次性验收达到合格。提供的产品性能及质量有国家标准的应符合国家标准，无国家标准的应符合行业标准，并满足招标文件要求，实现投标文件承诺条款。  </w:t>
      </w:r>
      <w:r/>
    </w:p>
    <w:p>
      <w:pPr>
        <w:ind w:firstLine="422"/>
        <w:spacing w:line="360" w:lineRule="auto"/>
        <w:tabs>
          <w:tab w:val="left" w:pos="426"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四、合同价款</w:t>
      </w:r>
      <w:r/>
    </w:p>
    <w:p>
      <w:pPr>
        <w:ind w:firstLine="422"/>
        <w:spacing w:line="360" w:lineRule="auto"/>
        <w:tabs>
          <w:tab w:val="left" w:pos="426"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4.1合同价为：人民币（大写）：</w:t>
      </w:r>
      <w:r>
        <w:rPr>
          <w:rFonts w:hint="eastAsia" w:cs="宋体" w:asciiTheme="minorEastAsia" w:hAnsiTheme="minorEastAsia" w:eastAsiaTheme="minorEastAsia"/>
          <w:b/>
          <w:szCs w:val="21"/>
          <w:u w:val="single"/>
        </w:rPr>
        <w:t xml:space="preserve"> </w:t>
      </w:r>
      <w:r>
        <w:rPr>
          <w:rFonts w:cs="宋体" w:asciiTheme="minorEastAsia" w:hAnsiTheme="minorEastAsia" w:eastAsiaTheme="minorEastAsia"/>
          <w:b/>
          <w:szCs w:val="21"/>
          <w:u w:val="single"/>
        </w:rPr>
        <w:t xml:space="preserve">              </w:t>
      </w:r>
      <w:r>
        <w:rPr>
          <w:rFonts w:hint="eastAsia" w:cs="宋体" w:asciiTheme="minorEastAsia" w:hAnsiTheme="minorEastAsia" w:eastAsiaTheme="minorEastAsia"/>
          <w:b/>
          <w:szCs w:val="21"/>
        </w:rPr>
        <w:t xml:space="preserve">(小写)：</w:t>
      </w:r>
      <w:r>
        <w:rPr>
          <w:rFonts w:hint="eastAsia" w:cs="宋体" w:asciiTheme="minorEastAsia" w:hAnsiTheme="minorEastAsia" w:eastAsiaTheme="minorEastAsia"/>
          <w:b/>
          <w:szCs w:val="21"/>
          <w:u w:val="single"/>
        </w:rPr>
        <w:t xml:space="preserve"> </w:t>
      </w:r>
      <w:r>
        <w:rPr>
          <w:rFonts w:cs="宋体" w:asciiTheme="minorEastAsia" w:hAnsiTheme="minorEastAsia" w:eastAsiaTheme="minorEastAsia"/>
          <w:b/>
          <w:szCs w:val="21"/>
          <w:u w:val="single"/>
        </w:rPr>
        <w:t xml:space="preserve">               </w:t>
      </w:r>
      <w:r/>
    </w:p>
    <w:p>
      <w:pPr>
        <w:numPr>
          <w:ilvl w:val="0"/>
          <w:numId w:val="8"/>
        </w:numPr>
        <w:contextualSpacing/>
        <w:ind w:firstLine="422"/>
        <w:spacing w:line="360" w:lineRule="auto"/>
        <w:tabs>
          <w:tab w:val="left" w:pos="426"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付款方式</w:t>
      </w:r>
      <w:r/>
    </w:p>
    <w:p>
      <w:pPr>
        <w:contextualSpacing/>
        <w:ind w:firstLine="420"/>
        <w:spacing w:line="360" w:lineRule="auto"/>
        <w:tabs>
          <w:tab w:val="left" w:pos="426" w:leader="none"/>
        </w:tabs>
        <w:rPr>
          <w:rFonts w:cs="宋体" w:asciiTheme="minorEastAsia" w:hAnsiTheme="minorEastAsia" w:eastAsiaTheme="minorEastAsia"/>
          <w:b/>
          <w:szCs w:val="21"/>
          <w:u w:val="single"/>
        </w:rPr>
      </w:pPr>
      <w:r>
        <w:rPr>
          <w:rFonts w:hint="eastAsia" w:cs="宋体" w:asciiTheme="minorEastAsia" w:hAnsiTheme="minorEastAsia" w:eastAsiaTheme="minorEastAsia"/>
          <w:szCs w:val="21"/>
          <w:u w:val="single"/>
        </w:rPr>
        <w:t xml:space="preserve">合同签订后，承包人向发包人提供合同价30%的预付款保函后，发包人支付合同价的30%作为预付款; 工程竣工验收合格后，承包人付合同价款的3%至发包人账户作为质保金后，发包人付至合同价款的100%，质保金待质保期（2年）满后返还（无息）。 </w:t>
      </w:r>
      <w:r/>
    </w:p>
    <w:p>
      <w:pPr>
        <w:ind w:firstLine="422"/>
        <w:spacing w:line="360" w:lineRule="auto"/>
        <w:tabs>
          <w:tab w:val="left" w:pos="426" w:leader="none"/>
        </w:tabs>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六、组成本合同的文件包括：</w:t>
      </w:r>
      <w:r>
        <w:rPr>
          <w:rFonts w:hint="eastAsia" w:cs="宋体" w:asciiTheme="minorEastAsia" w:hAnsiTheme="minorEastAsia" w:eastAsiaTheme="minorEastAsia"/>
          <w:szCs w:val="21"/>
        </w:rPr>
        <w:t xml:space="preserve">是合同不可分割的组成部分，与合同具有同样的法律效力。</w:t>
      </w:r>
      <w:r/>
    </w:p>
    <w:p>
      <w:pPr>
        <w:ind w:firstLine="420"/>
        <w:spacing w:line="360" w:lineRule="auto"/>
        <w:tabs>
          <w:tab w:val="left" w:pos="426" w:leader="none"/>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6.1合同协议书；</w:t>
      </w:r>
      <w:r/>
    </w:p>
    <w:p>
      <w:pPr>
        <w:ind w:firstLine="420"/>
        <w:spacing w:line="360" w:lineRule="auto"/>
        <w:tabs>
          <w:tab w:val="left" w:pos="426" w:leader="none"/>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6.2合同专用条款；</w:t>
      </w:r>
      <w:r/>
    </w:p>
    <w:p>
      <w:pPr>
        <w:ind w:firstLine="420"/>
        <w:spacing w:line="360" w:lineRule="auto"/>
        <w:tabs>
          <w:tab w:val="left" w:pos="426" w:leader="none"/>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6.3合同通用条款；</w:t>
      </w:r>
      <w:r/>
    </w:p>
    <w:p>
      <w:pPr>
        <w:ind w:firstLine="420"/>
        <w:spacing w:line="360" w:lineRule="auto"/>
        <w:tabs>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6.4采购文件及补遗书及澄清答疑文件；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6.5响应文件；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6.6竞标人竞标响应时所作的申明、承诺、澄清及答复资料等；</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6.7国家及行业规范标准、有关技术文件；</w:t>
      </w:r>
      <w:r/>
    </w:p>
    <w:p>
      <w:pPr>
        <w:ind w:firstLine="420"/>
        <w:spacing w:line="360" w:lineRule="auto"/>
        <w:tabs>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6.8施工图纸；</w:t>
      </w:r>
      <w:r/>
    </w:p>
    <w:p>
      <w:pPr>
        <w:ind w:firstLine="420"/>
        <w:spacing w:line="360" w:lineRule="auto"/>
        <w:tabs>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6.9工程报价单及预算书；</w:t>
      </w:r>
      <w:r/>
    </w:p>
    <w:p>
      <w:pPr>
        <w:ind w:firstLine="420"/>
        <w:spacing w:line="360" w:lineRule="auto"/>
        <w:tabs>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6.10经双方确认的工程量清单；</w:t>
      </w:r>
      <w:r/>
    </w:p>
    <w:p>
      <w:pPr>
        <w:ind w:firstLine="420"/>
        <w:spacing w:line="360" w:lineRule="auto"/>
        <w:tabs>
          <w:tab w:val="left" w:pos="342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6.11投标报价；</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合同履行中，双方有关工程的洽商、变更等书面协议或文件视为本合同的组成部分。</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七、本合同书中有关词语含义与本合同《通用条款》中分别赋予它们的定义相同。</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八、承包人向发包人承诺按照合同约定进行施工，并在质量保修期内承担工程质量的保修责任。</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九、发包人向承包人承诺按照合同约定的期限和方式支付合同价款及其他应当支付的款项。</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十、合同生效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10.1合同订立时间：</w:t>
      </w:r>
      <w:r>
        <w:rPr>
          <w:rFonts w:hint="eastAsia" w:cs="宋体" w:asciiTheme="minorEastAsia" w:hAnsiTheme="minorEastAsia" w:eastAsiaTheme="minorEastAsia"/>
          <w:szCs w:val="21"/>
          <w:u w:val="single"/>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10.2合同订立地点：</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10.3本合同双方约定双方签字盖章后生效。</w:t>
      </w:r>
      <w:r/>
    </w:p>
    <w:p>
      <w:pPr>
        <w:ind w:firstLine="420"/>
        <w:spacing w:line="360" w:lineRule="auto"/>
        <w:tabs>
          <w:tab w:val="left" w:pos="567"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10.4</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b/>
          <w:bCs/>
          <w:szCs w:val="21"/>
          <w:u w:val="single"/>
        </w:rPr>
        <w:t xml:space="preserve">伍</w:t>
      </w:r>
      <w:r>
        <w:rPr>
          <w:rFonts w:hint="eastAsia" w:cs="宋体" w:asciiTheme="minorEastAsia" w:hAnsiTheme="minorEastAsia" w:eastAsiaTheme="minorEastAsia"/>
          <w:szCs w:val="21"/>
        </w:rPr>
        <w:t xml:space="preserve">份，发包人方执</w:t>
      </w:r>
      <w:r>
        <w:rPr>
          <w:rFonts w:hint="eastAsia" w:cs="宋体" w:asciiTheme="minorEastAsia" w:hAnsiTheme="minorEastAsia" w:eastAsiaTheme="minorEastAsia"/>
          <w:b/>
          <w:bCs/>
          <w:szCs w:val="21"/>
          <w:u w:val="single"/>
        </w:rPr>
        <w:t xml:space="preserve">叁</w:t>
      </w:r>
      <w:r>
        <w:rPr>
          <w:rFonts w:hint="eastAsia" w:cs="宋体" w:asciiTheme="minorEastAsia" w:hAnsiTheme="minorEastAsia" w:eastAsiaTheme="minorEastAsia"/>
          <w:szCs w:val="21"/>
        </w:rPr>
        <w:t xml:space="preserve">份，承包人方执</w:t>
      </w:r>
      <w:r>
        <w:rPr>
          <w:rFonts w:hint="eastAsia" w:cs="宋体" w:asciiTheme="minorEastAsia" w:hAnsiTheme="minorEastAsia" w:eastAsiaTheme="minorEastAsia"/>
          <w:b/>
          <w:bCs/>
          <w:szCs w:val="21"/>
          <w:u w:val="single"/>
        </w:rPr>
        <w:t xml:space="preserve">贰</w:t>
      </w:r>
      <w:r>
        <w:rPr>
          <w:rFonts w:hint="eastAsia" w:cs="宋体" w:asciiTheme="minorEastAsia" w:hAnsiTheme="minorEastAsia" w:eastAsiaTheme="minorEastAsia"/>
          <w:szCs w:val="21"/>
        </w:rPr>
        <w:t xml:space="preserve">份。</w:t>
      </w:r>
      <w:r/>
    </w:p>
    <w:p>
      <w:pPr>
        <w:spacing w:line="360" w:lineRule="auto"/>
        <w:tabs>
          <w:tab w:val="left" w:pos="567" w:leader="none"/>
        </w:tabs>
        <w:rPr>
          <w:rFonts w:cs="宋体" w:asciiTheme="minorEastAsia" w:hAnsiTheme="minorEastAsia" w:eastAsiaTheme="minorEastAsia"/>
          <w:bCs/>
          <w:szCs w:val="21"/>
        </w:rPr>
      </w:pPr>
      <w:r>
        <w:rPr>
          <w:rFonts w:cs="宋体" w:asciiTheme="minorEastAsia" w:hAnsiTheme="minorEastAsia" w:eastAsiaTheme="minorEastAsia"/>
          <w:bCs/>
          <w:szCs w:val="21"/>
        </w:rPr>
      </w:r>
      <w:r/>
    </w:p>
    <w:p>
      <w:pPr>
        <w:ind w:firstLine="420"/>
        <w:spacing w:line="360" w:lineRule="auto"/>
        <w:tabs>
          <w:tab w:val="left" w:pos="567" w:leader="none"/>
        </w:tabs>
        <w:rPr>
          <w:rFonts w:cs="宋体" w:asciiTheme="minorEastAsia" w:hAnsiTheme="minorEastAsia" w:eastAsiaTheme="minorEastAsia"/>
          <w:b/>
          <w:szCs w:val="21"/>
        </w:rPr>
      </w:pPr>
      <w:r>
        <w:rPr>
          <w:rFonts w:hint="eastAsia" w:cs="宋体" w:asciiTheme="minorEastAsia" w:hAnsiTheme="minorEastAsia" w:eastAsiaTheme="minorEastAsia"/>
          <w:bCs/>
          <w:szCs w:val="21"/>
        </w:rPr>
        <w:t xml:space="preserve">发包人：（盖章）</w:t>
      </w:r>
      <w:r>
        <w:rPr>
          <w:rFonts w:hint="eastAsia" w:cs="宋体" w:asciiTheme="minorEastAsia" w:hAnsiTheme="minorEastAsia" w:eastAsiaTheme="minorEastAsia"/>
          <w:b/>
          <w:bCs/>
          <w:szCs w:val="21"/>
        </w:rPr>
        <w:t xml:space="preserve"> </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         </w:t>
      </w:r>
      <w:r>
        <w:rPr>
          <w:rFonts w:hint="eastAsia" w:cs="宋体" w:asciiTheme="minorEastAsia" w:hAnsiTheme="minorEastAsia" w:eastAsiaTheme="minorEastAsia"/>
          <w:bCs/>
          <w:szCs w:val="21"/>
        </w:rPr>
        <w:t xml:space="preserve">承包人： （盖章）</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法定代表人：                            法定代表人：</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（或授权签约人）：                      （或授权签约人）：</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电话：                                  电话：</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地址：</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开户银行：                              开户银行：</w:t>
      </w:r>
      <w:r/>
    </w:p>
    <w:p>
      <w:pPr>
        <w:ind w:firstLine="420"/>
        <w:spacing w:line="360" w:lineRule="auto"/>
        <w:tabs>
          <w:tab w:val="left" w:pos="-235" w:leader="none"/>
        </w:tabs>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账号：                           </w:t>
      </w:r>
      <w:r>
        <w:rPr>
          <w:rFonts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      账号：</w:t>
      </w:r>
      <w:r/>
    </w:p>
    <w:p>
      <w:pPr>
        <w:jc w:val="center"/>
        <w:spacing w:line="360" w:lineRule="auto"/>
        <w:tabs>
          <w:tab w:val="left" w:pos="0" w:leader="none"/>
          <w:tab w:val="left" w:pos="1134" w:leader="none"/>
        </w:tabs>
        <w:rPr>
          <w:rFonts w:ascii="宋体" w:hAnsi="宋体" w:cs="宋体"/>
          <w:b/>
          <w:bCs/>
          <w:sz w:val="32"/>
          <w:szCs w:val="32"/>
        </w:rPr>
        <w:outlineLvl w:val="0"/>
      </w:pPr>
      <w:r>
        <w:rPr>
          <w:rFonts w:hint="eastAsia" w:cs="宋体" w:asciiTheme="minorEastAsia" w:hAnsiTheme="minorEastAsia" w:eastAsiaTheme="minorEastAsia"/>
          <w:b/>
          <w:szCs w:val="21"/>
        </w:rPr>
        <w:br w:type="page" w:clear="all"/>
      </w:r>
      <w:r>
        <w:rPr>
          <w:rFonts w:hint="eastAsia" w:ascii="宋体" w:hAnsi="宋体" w:cs="宋体"/>
          <w:b/>
          <w:bCs/>
          <w:sz w:val="32"/>
          <w:szCs w:val="32"/>
        </w:rPr>
        <w:t xml:space="preserve">第二部分  通用条款</w:t>
      </w:r>
      <w:r/>
    </w:p>
    <w:p>
      <w:pPr>
        <w:jc w:val="center"/>
        <w:spacing w:line="360" w:lineRule="auto"/>
        <w:rPr>
          <w:rFonts w:ascii="宋体" w:hAnsi="宋体" w:cs="宋体"/>
          <w:szCs w:val="21"/>
        </w:rPr>
      </w:pPr>
      <w:r>
        <w:rPr>
          <w:rFonts w:hint="eastAsia" w:ascii="宋体" w:hAnsi="宋体" w:cs="宋体"/>
          <w:szCs w:val="21"/>
        </w:rPr>
        <w:t xml:space="preserve">按建设工程施工合同（GF-2017-0201）</w:t>
      </w:r>
      <w:r>
        <w:rPr>
          <w:rFonts w:ascii="宋体" w:hAnsi="宋体" w:cs="宋体"/>
          <w:szCs w:val="21"/>
        </w:rPr>
        <w:t xml:space="preserve">通用条款</w:t>
      </w:r>
      <w:r>
        <w:rPr>
          <w:rFonts w:hint="eastAsia" w:ascii="宋体" w:hAnsi="宋体" w:cs="宋体"/>
          <w:szCs w:val="21"/>
        </w:rPr>
        <w:t xml:space="preserve">执行</w:t>
      </w:r>
      <w:r/>
    </w:p>
    <w:p>
      <w:pPr>
        <w:jc w:val="center"/>
        <w:spacing w:line="360" w:lineRule="auto"/>
        <w:rPr>
          <w:rFonts w:ascii="宋体" w:hAnsi="宋体" w:cs="宋体"/>
          <w:b/>
          <w:sz w:val="36"/>
          <w:szCs w:val="36"/>
        </w:rPr>
      </w:pPr>
      <w:r>
        <w:rPr>
          <w:rFonts w:hint="eastAsia" w:ascii="宋体" w:hAnsi="宋体" w:cs="宋体"/>
          <w:b/>
          <w:bCs/>
          <w:sz w:val="32"/>
          <w:szCs w:val="32"/>
        </w:rPr>
        <w:t xml:space="preserve">第三部分专用条款</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一、词语定义及合同文件</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1.合同文件及解释顺序</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合同履行中，发包人承包人有关工程的洽商、变更等书面协议或文件视为本合同的组成部分。合同文件组成及解释顺序：</w:t>
      </w:r>
      <w:r>
        <w:rPr>
          <w:rFonts w:hint="eastAsia" w:ascii="宋体" w:hAnsi="宋体" w:cs="宋体"/>
          <w:szCs w:val="21"/>
          <w:u w:val="single"/>
        </w:rPr>
        <w:t xml:space="preserve">(1)本合同协议书；(2)中标通知书；(3)投标书及其附件；(4)本合同专用条款；(5)本合同通用条款；(6)标准规范及有关技术文件；(7).图纸；(8)招标文件及答疑文书、工程量清单；(9)工程报价单及预算书；（10）合同履行中，发包人承包人有关工程的洽商、变更等书面协议或文件视为本合同的组成部分</w:t>
      </w:r>
      <w:r>
        <w:rPr>
          <w:rFonts w:ascii="宋体" w:hAnsi="宋体" w:cs="宋体"/>
          <w:szCs w:val="21"/>
          <w:u w:val="single"/>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2.语言文字和适用法律、标准及规范</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2.1本合同除使用汉语外，还使用</w:t>
      </w:r>
      <w:r>
        <w:rPr>
          <w:rFonts w:hint="eastAsia" w:ascii="宋体" w:hAnsi="宋体" w:cs="宋体"/>
          <w:szCs w:val="21"/>
          <w:u w:val="single"/>
        </w:rPr>
        <w:t xml:space="preserve">∕</w:t>
      </w:r>
      <w:r>
        <w:rPr>
          <w:rFonts w:hint="eastAsia" w:ascii="宋体" w:hAnsi="宋体" w:cs="宋体"/>
          <w:szCs w:val="21"/>
        </w:rPr>
        <w:t xml:space="preserve">语言文字。</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2.2适用法律和法规</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需要明示的法律、行政法规：</w:t>
      </w:r>
      <w:r>
        <w:rPr>
          <w:rFonts w:hint="eastAsia" w:ascii="宋体" w:hAnsi="宋体" w:cs="宋体"/>
          <w:szCs w:val="21"/>
          <w:u w:val="single"/>
        </w:rPr>
        <w:t xml:space="preserve">《中华人民共和国民法典》、《中华人民共和国建筑法》、《中华人民共和国政府采购法》《建设工程质量管理条例》、《建设工程价款结算暂行办法》等以及江苏省现行相关法律法规</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2.3适用标准、规范</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适用标准、规范的名称：</w:t>
      </w:r>
      <w:r>
        <w:rPr>
          <w:rFonts w:hint="eastAsia" w:ascii="宋体" w:hAnsi="宋体" w:cs="宋体"/>
          <w:szCs w:val="21"/>
          <w:u w:val="single"/>
        </w:rPr>
        <w:t xml:space="preserve">（1）与工程相关的现行图集、施工说明；（2）现行国家施工规范及验收标准</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发包人提供标准、规范的时间：</w:t>
      </w:r>
      <w:r>
        <w:rPr>
          <w:rFonts w:hint="eastAsia" w:ascii="宋体" w:hAnsi="宋体" w:cs="宋体"/>
          <w:szCs w:val="21"/>
          <w:u w:val="single"/>
        </w:rPr>
        <w:t xml:space="preserve">发包人不提供，凡涉及到的相关技术标准、规范均由承包人自备</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b/>
          <w:szCs w:val="21"/>
        </w:rPr>
      </w:pPr>
      <w:r>
        <w:rPr>
          <w:rFonts w:hint="eastAsia" w:ascii="宋体" w:hAnsi="宋体" w:cs="宋体"/>
          <w:szCs w:val="21"/>
        </w:rPr>
        <w:t xml:space="preserve">3.图纸</w:t>
      </w:r>
      <w:r/>
    </w:p>
    <w:p>
      <w:pPr>
        <w:ind w:firstLine="422"/>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b/>
          <w:szCs w:val="21"/>
        </w:rPr>
        <w:t xml:space="preserve">发包人向承包人</w:t>
      </w:r>
      <w:r>
        <w:rPr>
          <w:rFonts w:hint="eastAsia" w:ascii="宋体" w:hAnsi="宋体" w:cs="宋体"/>
          <w:szCs w:val="21"/>
        </w:rPr>
        <w:t xml:space="preserve">提供图纸日期和套数：</w:t>
      </w:r>
      <w:r>
        <w:rPr>
          <w:rFonts w:hint="eastAsia" w:ascii="宋体" w:hAnsi="宋体" w:cs="宋体"/>
          <w:szCs w:val="21"/>
          <w:u w:val="single"/>
        </w:rPr>
        <w:t xml:space="preserve">签订合同后叁天内提供施工图纸贰套</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发包人对图纸的保密要求: 施工图纸要求承包人保密，保密费用承包人自行承担。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二、双方一般权利和义务</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4.工程师</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发包人派驻的工程师</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姓名: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职务:</w:t>
      </w:r>
      <w:r>
        <w:rPr>
          <w:rFonts w:hint="eastAsia" w:ascii="宋体" w:hAnsi="宋体" w:cs="宋体"/>
          <w:szCs w:val="21"/>
          <w:u w:val="single"/>
        </w:rPr>
        <w:t xml:space="preserve">现场代表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职权:</w:t>
      </w:r>
      <w:r>
        <w:rPr>
          <w:rFonts w:hint="eastAsia" w:ascii="宋体" w:hAnsi="宋体" w:cs="宋体"/>
          <w:szCs w:val="21"/>
          <w:u w:val="single"/>
        </w:rPr>
        <w:t xml:space="preserve">（1）工程变更、经济签证、工程延误、暂定价材料验收批准等。对该工程质量、进度、投资、安全进行控制以及合同管理、信息管理中明确的相关工作；（2）监督检查承包人执行合同情况；（3）发出经发包人同意的工程指令；（4）对支付工程款进行审核等。</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5.项目经理</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职务:</w:t>
      </w:r>
      <w:r>
        <w:rPr>
          <w:rFonts w:hint="eastAsia" w:ascii="宋体" w:hAnsi="宋体" w:cs="宋体"/>
          <w:szCs w:val="21"/>
          <w:u w:val="single"/>
        </w:rPr>
        <w:t xml:space="preserve">项目经理 </w:t>
      </w:r>
      <w:r>
        <w:rPr>
          <w:rFonts w:ascii="宋体" w:hAnsi="宋体" w:cs="宋体"/>
          <w:szCs w:val="21"/>
          <w:u w:val="single"/>
        </w:rPr>
        <w:t xml:space="preserve"> </w:t>
      </w:r>
      <w:r/>
    </w:p>
    <w:p>
      <w:pPr>
        <w:ind w:firstLine="420"/>
        <w:spacing w:line="480" w:lineRule="exact"/>
        <w:rPr>
          <w:rFonts w:ascii="宋体" w:hAnsi="宋体" w:cs="宋体"/>
          <w:szCs w:val="21"/>
          <w:u w:val="single"/>
        </w:rPr>
      </w:pPr>
      <w:r>
        <w:rPr>
          <w:rFonts w:hint="eastAsia" w:ascii="宋体" w:hAnsi="宋体" w:cs="宋体"/>
          <w:szCs w:val="21"/>
          <w:u w:val="single"/>
        </w:rPr>
        <w:t xml:space="preserve">承包人对项目经理的授权范围如下：代表承包人行使合同约定的承包人权利和义务，履行合同约定的承包人职责。</w:t>
      </w:r>
      <w:r/>
    </w:p>
    <w:p>
      <w:pPr>
        <w:ind w:firstLine="420"/>
        <w:spacing w:line="480" w:lineRule="exact"/>
        <w:rPr>
          <w:rFonts w:ascii="宋体" w:hAnsi="宋体" w:cs="宋体"/>
          <w:szCs w:val="21"/>
          <w:u w:val="single"/>
        </w:rPr>
      </w:pPr>
      <w:r>
        <w:rPr>
          <w:rFonts w:hint="eastAsia" w:ascii="宋体" w:hAnsi="宋体" w:cs="宋体"/>
          <w:szCs w:val="21"/>
          <w:u w:val="single"/>
        </w:rPr>
        <w:t xml:space="preserve">关于项目经理在施工现场的时间要求：每周在工地工作时间不低于</w:t>
      </w:r>
      <w:r>
        <w:rPr>
          <w:rFonts w:ascii="宋体" w:hAnsi="宋体" w:cs="宋体"/>
          <w:szCs w:val="21"/>
          <w:u w:val="single"/>
        </w:rPr>
        <w:t xml:space="preserve">3</w:t>
      </w:r>
      <w:r>
        <w:rPr>
          <w:rFonts w:hint="eastAsia" w:ascii="宋体" w:hAnsi="宋体" w:cs="宋体"/>
          <w:szCs w:val="21"/>
          <w:u w:val="single"/>
        </w:rPr>
        <w:t xml:space="preserve">个工作日，特殊情况下需离开时应取得发包人的同意。</w:t>
      </w:r>
      <w:r/>
    </w:p>
    <w:p>
      <w:pPr>
        <w:ind w:firstLine="420"/>
        <w:spacing w:line="480" w:lineRule="exact"/>
        <w:rPr>
          <w:rFonts w:ascii="宋体" w:hAnsi="宋体" w:cs="宋体"/>
          <w:szCs w:val="21"/>
          <w:u w:val="single"/>
        </w:rPr>
      </w:pPr>
      <w:r>
        <w:rPr>
          <w:rFonts w:hint="eastAsia" w:ascii="宋体" w:hAnsi="宋体" w:cs="宋体"/>
          <w:szCs w:val="21"/>
          <w:u w:val="single"/>
        </w:rPr>
        <w:t xml:space="preserve">承包人未提交劳动合同，以及没有为项目经理缴纳社会保险证明的违约责任：承包人支付3万元违约金。</w:t>
      </w:r>
      <w:r/>
    </w:p>
    <w:p>
      <w:pPr>
        <w:ind w:firstLine="420"/>
        <w:spacing w:line="480" w:lineRule="exact"/>
        <w:rPr>
          <w:rFonts w:ascii="宋体" w:hAnsi="宋体" w:cs="宋体"/>
          <w:szCs w:val="21"/>
          <w:u w:val="single"/>
        </w:rPr>
      </w:pPr>
      <w:r/>
      <w:bookmarkStart w:id="220" w:name="_Toc256000125"/>
      <w:r/>
      <w:bookmarkStart w:id="221" w:name="_Toc256000076"/>
      <w:r>
        <w:rPr>
          <w:rFonts w:hint="eastAsia" w:ascii="宋体" w:hAnsi="宋体" w:cs="宋体"/>
          <w:szCs w:val="21"/>
          <w:u w:val="single"/>
        </w:rPr>
        <w:t xml:space="preserve">承包人无正当理由拒绝更换项目经理的违约责任：承包人支付10万元的违约金。</w:t>
      </w:r>
      <w:bookmarkEnd w:id="220"/>
      <w:r/>
      <w:bookmarkEnd w:id="221"/>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6.发包人工作</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6.1发包人应按约定的时间和要求及完成以下工作:</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施工场地具备施工条件的要求及完成时间:施工期间厂区正常运行；现场具备施工条件，承包人在踏勘现场时确认，场地不利因素，施工降效等因素承包人已在投标报价时充分考虑，发包人不再因此支付任何费用。</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（3）施工场地与公共道路的通道开通时间和要求：主要公共道路开通，施工区道路由承包人承担。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（4）工程地质和地下管线资料的提供时间：</w:t>
      </w:r>
      <w:r>
        <w:rPr>
          <w:rFonts w:hint="eastAsia" w:ascii="宋体" w:hAnsi="宋体" w:cs="宋体"/>
          <w:szCs w:val="21"/>
          <w:u w:val="single"/>
        </w:rPr>
        <w:t xml:space="preserve">开工前5天提供</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（5）由发包人办理的施工所需证件、批件的名称和完成时间：</w:t>
      </w:r>
      <w:r>
        <w:rPr>
          <w:rFonts w:hint="eastAsia" w:ascii="宋体" w:hAnsi="宋体" w:cs="宋体"/>
          <w:szCs w:val="21"/>
          <w:u w:val="single"/>
        </w:rPr>
        <w:t xml:space="preserve">开工前由承包人协助发包人办理，不能影响开工</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（6）水准点与坐标控制点交验要求：</w:t>
      </w:r>
      <w:r>
        <w:rPr>
          <w:rFonts w:hint="eastAsia" w:ascii="宋体" w:hAnsi="宋体" w:cs="宋体"/>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（7）图纸会审和设计交底时间：</w:t>
      </w:r>
      <w:r>
        <w:rPr>
          <w:rFonts w:hint="eastAsia" w:ascii="宋体" w:hAnsi="宋体" w:cs="宋体"/>
          <w:szCs w:val="21"/>
          <w:u w:val="single"/>
        </w:rPr>
        <w:t xml:space="preserve">双方约定时间</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（8）协调处理施工场地周围地下管线和邻近建筑、构筑物（含文物保护建筑）、古树名木的保护工作：</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（9）双方约定发包人做的其他工作：</w:t>
      </w:r>
      <w:r>
        <w:rPr>
          <w:rFonts w:hint="eastAsia" w:ascii="宋体" w:hAnsi="宋体" w:cs="宋体"/>
          <w:szCs w:val="21"/>
          <w:u w:val="single"/>
        </w:rPr>
        <w:t xml:space="preserve">  /</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（10）发包人委托承包人办理的工作：按发包人的布置要求，承包人有配合与该工程建设有关工作的义务，包括协助办理有关施工所需证件、批件等手续。</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7.承包人工作</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7.1承包人应按约定时间和要求,完成以下工作:</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（1）需由设计资质等级和业务范围允许的承包人完成的设计文件提交时间:</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（2）应提供计划、报表的名称及完成时间：</w:t>
      </w:r>
      <w:r>
        <w:rPr>
          <w:rFonts w:hint="eastAsia" w:ascii="宋体" w:hAnsi="宋体" w:cs="宋体"/>
          <w:szCs w:val="21"/>
          <w:u w:val="single"/>
        </w:rPr>
        <w:t xml:space="preserve">开工前5天内提供切实可行的进度表以及相对应的人机配置情况、材料供应情况</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（3）承担施工安全保卫工作及非夜间施工照明的责任和要求：</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（4）向发包人提供的办公和生活房屋及设施和要求：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（5）需承包人办理的有关施工场地交通、环卫和施工噪音管理等手续：</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u w:val="single"/>
        </w:rPr>
        <w:t xml:space="preserve">承包人自行办理有关施工场地交通、城管、环卫和施工噪音管理等手续，不得影响施工工期，并严格按城市管理的有关规定以及安全文明施工要求进行施工</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（6）已完成工程成品保护的特殊要求及费用承担：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u w:val="single"/>
        </w:rPr>
        <w:t xml:space="preserve">工程交付使用前承包人自己发生的损坏或因承包人保护实施不当而产生的第三方对成品（半成品）的损坏均由承包人自己负责</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（7）施工场地周围地下管线和邻近建筑物、构筑物（含文物保护建筑）、古树名木的保护要求及费用承担：</w:t>
      </w:r>
      <w:r>
        <w:rPr>
          <w:rFonts w:hint="eastAsia" w:ascii="宋体" w:hAnsi="宋体" w:cs="宋体"/>
          <w:szCs w:val="21"/>
          <w:u w:val="single"/>
        </w:rPr>
        <w:t xml:space="preserve">承包人自行负责承担施工场地周围地下管线和邻近建筑物、构筑物（含文物保护建筑）、古树名木的保护要求及费用</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（8）施工场地清洁卫生的要求：</w:t>
      </w:r>
      <w:r>
        <w:rPr>
          <w:rFonts w:hint="eastAsia" w:ascii="宋体" w:hAnsi="宋体" w:cs="宋体"/>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w:t>
      </w:r>
      <w:r>
        <w:rPr>
          <w:rFonts w:hint="eastAsia" w:ascii="宋体" w:hAnsi="宋体" w:cs="宋体"/>
          <w:szCs w:val="21"/>
          <w:u w:val="single"/>
        </w:rPr>
        <w:t xml:space="preserve">施工过程中承包人应服从现场统一管理，做到安全、文明、有序施工，一切安全责任自行负责</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（10）施工过程中，</w:t>
      </w:r>
      <w:r>
        <w:rPr>
          <w:rFonts w:hint="eastAsia" w:ascii="宋体" w:hAnsi="宋体" w:cs="宋体"/>
          <w:szCs w:val="21"/>
          <w:u w:val="single"/>
        </w:rPr>
        <w:t xml:space="preserve">承包人应主动与上、下工序相关单位进行协调对接，避免产生矛盾，做到有序科学衔接，配合其他相关单位，费用已在投标报价中考虑发包人不再另行支付</w:t>
      </w:r>
      <w:r>
        <w:rPr>
          <w:rFonts w:hint="eastAsia" w:ascii="宋体" w:hAnsi="宋体" w:cs="宋体"/>
          <w:szCs w:val="21"/>
        </w:rPr>
        <w:t xml:space="preserve">；</w:t>
      </w:r>
      <w:r/>
    </w:p>
    <w:p>
      <w:pPr>
        <w:ind w:firstLine="420"/>
        <w:spacing w:line="360" w:lineRule="auto"/>
        <w:tabs>
          <w:tab w:val="left" w:pos="0" w:leader="none"/>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（11）双方约定承包人应做的其他工作：</w:t>
      </w:r>
      <w:r>
        <w:rPr>
          <w:rFonts w:hint="eastAsia" w:ascii="宋体" w:hAnsi="宋体" w:cs="宋体"/>
          <w:szCs w:val="21"/>
          <w:u w:val="single"/>
        </w:rPr>
        <w:t xml:space="preserve">a安排足够的工程管理人员，各工种合格的技术人员和工人，按劳动管理部门的要求，特种施工人员必须持有上岗证；b开工前向建设方提供月进度计划和月完成工程量报表；c保证工地的管理井然有序，无打架斗殴等不良现象；d加强卫生管理，无传染病、食物中毒等现象；e其他事项双方约定</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 承包人管理人员</w:t>
      </w:r>
      <w:r/>
    </w:p>
    <w:p>
      <w:pPr>
        <w:pStyle w:val="1252"/>
        <w:ind w:firstLine="420"/>
        <w:spacing w:line="440" w:lineRule="exact"/>
        <w:rPr>
          <w:rFonts w:ascii="宋体" w:hAnsi="宋体" w:eastAsia="宋体" w:cs="宋体"/>
          <w:b w:val="0"/>
          <w:sz w:val="21"/>
          <w:szCs w:val="21"/>
          <w:u w:val="single"/>
        </w:rPr>
      </w:pPr>
      <w:r>
        <w:rPr>
          <w:rFonts w:hint="eastAsia" w:ascii="宋体" w:hAnsi="宋体" w:eastAsia="宋体" w:cs="宋体"/>
          <w:b w:val="0"/>
          <w:sz w:val="21"/>
          <w:szCs w:val="21"/>
          <w:u w:val="single"/>
        </w:rPr>
        <w:t xml:space="preserve">承包人</w:t>
      </w:r>
      <w:r>
        <w:rPr>
          <w:rFonts w:hint="eastAsia" w:ascii="宋体" w:hAnsi="宋体" w:eastAsia="宋体" w:cs="宋体"/>
          <w:b w:val="0"/>
          <w:sz w:val="21"/>
          <w:szCs w:val="21"/>
          <w:u w:val="single"/>
        </w:rPr>
        <w:t xml:space="preserve">提交项目管理机构及施工现场管理人员安排报告的期限：承包人应在项目进场前，向发包人提交施工项目管理机构及施工现场管理人员情况表，经发包人确认后，施工过程中严格按照已确认的施工项目负责人部人员进行配备。如施工过程中根据施工进度情况发包人要求增加人员配备或进行人员更换，承包人应及时配合发包人予以完善，项目管理机构及施工现场管理人员配备不得少于管理部门及发包人要求。承包人派到现场的施工班组，必须无条件配合安全文明施工标准化要求，否则发包人有权要求承包人对相关班组进行清退，如承包人拒绝，视为违约，处罚违约金5万元整。</w:t>
      </w:r>
      <w:r/>
    </w:p>
    <w:p>
      <w:pPr>
        <w:pStyle w:val="1252"/>
        <w:ind w:firstLine="420"/>
        <w:spacing w:line="440" w:lineRule="exact"/>
        <w:rPr>
          <w:rFonts w:ascii="宋体" w:hAnsi="宋体" w:eastAsia="宋体" w:cs="宋体"/>
          <w:b w:val="0"/>
          <w:sz w:val="21"/>
          <w:szCs w:val="21"/>
          <w:u w:val="single"/>
        </w:rPr>
      </w:pPr>
      <w:r>
        <w:rPr>
          <w:rFonts w:hint="eastAsia" w:ascii="宋体" w:hAnsi="宋体" w:eastAsia="宋体" w:cs="宋体"/>
          <w:b w:val="0"/>
          <w:sz w:val="21"/>
          <w:szCs w:val="21"/>
          <w:u w:val="single"/>
        </w:rPr>
        <w:t xml:space="preserve">承包人无正当理由拒绝撤换主要施工管理人员的违约责任：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万元/人的违约金，直至将主要施工管理人员按照招标文件及本合同要求的称职人员之日止。承包人无正当理由拒绝更换的，发包人有权终止合同，并追究由此给发包人造成的一切损失。</w:t>
      </w:r>
      <w:r/>
    </w:p>
    <w:p>
      <w:pPr>
        <w:ind w:firstLine="420"/>
        <w:spacing w:line="440" w:lineRule="exact"/>
        <w:rPr>
          <w:rFonts w:ascii="宋体" w:hAnsi="宋体" w:cs="宋体"/>
          <w:szCs w:val="21"/>
          <w:u w:val="single"/>
        </w:rPr>
      </w:pPr>
      <w:r>
        <w:rPr>
          <w:rFonts w:hint="eastAsia" w:ascii="宋体" w:hAnsi="宋体" w:cs="宋体"/>
          <w:szCs w:val="21"/>
          <w:u w:val="single"/>
        </w:rPr>
        <w:t xml:space="preserve">承包人无正当理由拒绝撤换主要施工管理人员的违约责任：承包人支付3万元的违约金。</w:t>
      </w:r>
      <w:r/>
    </w:p>
    <w:p>
      <w:pPr>
        <w:ind w:firstLine="420"/>
        <w:spacing w:line="480" w:lineRule="exact"/>
        <w:rPr>
          <w:rFonts w:ascii="宋体" w:hAnsi="宋体" w:cs="宋体"/>
          <w:szCs w:val="21"/>
          <w:u w:val="single"/>
        </w:rPr>
      </w:pPr>
      <w:r>
        <w:rPr>
          <w:rFonts w:hint="eastAsia" w:ascii="宋体" w:hAnsi="宋体" w:cs="宋体"/>
          <w:szCs w:val="21"/>
          <w:u w:val="single"/>
        </w:rPr>
        <w:t xml:space="preserve">承包人主要施工管理人员离开施工现场的批准要求：由发包人同意后方可离开。</w:t>
      </w:r>
      <w:r/>
    </w:p>
    <w:p>
      <w:pPr>
        <w:ind w:firstLine="420"/>
        <w:spacing w:line="480" w:lineRule="exact"/>
        <w:rPr>
          <w:rFonts w:ascii="宋体" w:hAnsi="宋体" w:cs="宋体"/>
          <w:szCs w:val="21"/>
          <w:u w:val="single"/>
        </w:rPr>
      </w:pPr>
      <w:r>
        <w:rPr>
          <w:rFonts w:hint="eastAsia" w:ascii="宋体" w:hAnsi="宋体" w:cs="宋体"/>
          <w:szCs w:val="21"/>
          <w:u w:val="single"/>
        </w:rPr>
        <w:t xml:space="preserve">承包人擅自更换主要施工管理人员的违约责任：承包人支付5万元的违约金。</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三、施工组织设计和工期</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8.进度计划</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8.1承包人提供施工组织设计(施工方案)和进度计划的时间:</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u w:val="single"/>
        </w:rPr>
        <w:t xml:space="preserve">开工前5天以书面形式向发包人提交施工组织设计和进度计划，经发包人审核同意后的施工组织设计作为施工中发包人进行监督受理的依据</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工程师确认的时间:</w:t>
      </w:r>
      <w:r>
        <w:rPr>
          <w:rFonts w:hint="eastAsia" w:ascii="宋体" w:hAnsi="宋体" w:cs="宋体"/>
          <w:szCs w:val="21"/>
          <w:u w:val="single"/>
        </w:rPr>
        <w:t xml:space="preserve">送达后7日历天内</w:t>
      </w:r>
      <w:r>
        <w:rPr>
          <w:rFonts w:hint="eastAsia" w:ascii="宋体" w:hAnsi="宋体" w:cs="宋体"/>
          <w:szCs w:val="21"/>
        </w:rPr>
        <w:t xml:space="preserve">。</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9、工期延误</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9.1合同工期按承包人中标工期执行，如因承包人原因延误工期的，承包人应承担违约责任，详见第21.2条款。</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9.2双方约定工期顺延的其他情况:</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若出现以下情况造成工期延误的发包人不承担费用，只认可工期顺延，顺延时间双方另行协商。</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（1）不可抗力（战争以及地震、水灾、暴风雪等严重自然灾害）；</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（2）因发包人设计变更在结构形式、设计标准作重大调整，增加的工程量使承包人工程进度无法按原计划实施进行的；</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（3）非因承包人原因停水、停电连续24小时以上的；</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（4）政府行为：政府强制要求停工（非承包人原因引起，如全市性的安全整顿，要求建设工地停工等）。</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9.3承包人不得以任何理由停工，包括由于变更引起价格改变，发生分歧等，如有争议应协商解决，如因停工造成工期延误，承包人承担违约责任。</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四、质量与验收</w:t>
      </w:r>
      <w:r/>
    </w:p>
    <w:p>
      <w:pPr>
        <w:ind w:firstLine="420"/>
        <w:spacing w:line="360" w:lineRule="auto"/>
        <w:tabs>
          <w:tab w:val="left" w:pos="426" w:leader="none"/>
        </w:tabs>
        <w:rPr>
          <w:rFonts w:ascii="宋体" w:hAnsi="宋体" w:cs="宋体"/>
          <w:szCs w:val="21"/>
          <w:u w:val="single"/>
        </w:rPr>
      </w:pPr>
      <w:r>
        <w:rPr>
          <w:rFonts w:hint="eastAsia" w:ascii="宋体" w:hAnsi="宋体" w:cs="宋体"/>
          <w:szCs w:val="21"/>
          <w:u w:val="single"/>
        </w:rPr>
        <w:t xml:space="preserve">质量要求：符合合格标准。</w:t>
      </w:r>
      <w:r/>
    </w:p>
    <w:p>
      <w:pPr>
        <w:ind w:firstLine="420"/>
        <w:spacing w:line="360" w:lineRule="auto"/>
        <w:tabs>
          <w:tab w:val="left" w:pos="426" w:leader="none"/>
        </w:tabs>
        <w:rPr>
          <w:rFonts w:ascii="宋体" w:hAnsi="宋体" w:cs="宋体"/>
          <w:szCs w:val="21"/>
          <w:u w:val="single"/>
        </w:rPr>
      </w:pPr>
      <w:r>
        <w:rPr>
          <w:rFonts w:hint="eastAsia" w:ascii="宋体" w:hAnsi="宋体" w:cs="宋体"/>
          <w:szCs w:val="21"/>
          <w:u w:val="single"/>
        </w:rPr>
        <w:t xml:space="preserve">工程必须一次性验收达到合格。因承包人原因达不到合同约定质量要求，除合同价5%的违约金外，承包人必须保证整改后工程质量达到合格标准，由于承包人原因出现质量问题所造成的一切经济损失由承包人负责。</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10.隐蔽工程和中间验收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10.1双方约定中间验收部位: 按规定有必要进行验收的分部。</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10.2验收前承包人首先进行自检，在隐蔽工程验收和中间验收前应提前24小时通知发包人，并提供相关资料。不论发包人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10.3达不到约定条件的部分，发包人一经发现，可要求承包人返工，承包人应按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10.4发包人发现工程质量问题，可下达停工令，承包人在3天内提出书面整改措施，经报项目发包人代表审批同意后，实施整改达到合格，由此所产生的工期延误和整改费用，由承包人承担，否则发包人有权停止拨付工程款。</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10.5验收时间：除管理处、设计院等其他部门参加验收，承包人需提前72小时书面报告以便及时联系和安排外，其余均提前24小时即可。</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11工程试车</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11.1试车费用的承担:安排相关的技术人员无条件配合联合试车工作。</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五、安全文明施工要求</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（1）承包人对现场作业和现有施工方法的安全承担全部责任，执行通用条款第20条规定，并赔偿因承包人责任给发包人造成的一切损失；</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（3）承包人负责现场保卫和管理；</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承包人应遵守工程建设安全生产有关管理规定，严格按安全标准组织施工，随时接受行业的安全检查和监督，并针对该工程特点,采取一切必要的安全防护措施，消除事故隐患，承担施工中的全部安全责任及费用（包括承包人和承包人原因造成的第三方）；</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（5）施工单位进场后必须签署《建设工程安全责任协议书》，不得影响发包人单位正常工作运行，并达到安全文明工地要求；</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（6）严格遵守施工现场总平面的规划，服从发包人统一指挥，发包人将组织定期检查，对于出现的问题，发包人有权要求总包单位进行整改，否则视承包人为违约；</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（7）若发生安全事故，承包人承担全部责任，与发包人无关。承包人应按规定立即报告建设主管部门并通知发包人。如因此造成发包人承担责任的，发包人有权向承包人索赔；</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六、合同价款与支付</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12.合同价款及调整</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12.1本合同价款采用</w:t>
      </w:r>
      <w:r>
        <w:rPr>
          <w:rFonts w:hint="eastAsia" w:ascii="宋体" w:hAnsi="宋体" w:cs="宋体"/>
          <w:szCs w:val="21"/>
          <w:u w:val="single"/>
        </w:rPr>
        <w:t xml:space="preserve">固定单价</w:t>
      </w:r>
      <w:r>
        <w:rPr>
          <w:rFonts w:hint="eastAsia" w:ascii="宋体" w:hAnsi="宋体" w:cs="宋体"/>
          <w:szCs w:val="21"/>
        </w:rPr>
        <w:t xml:space="preserve">方式确定。</w:t>
      </w:r>
      <w:r/>
    </w:p>
    <w:p>
      <w:pPr>
        <w:ind w:firstLine="420"/>
        <w:spacing w:line="360" w:lineRule="auto"/>
        <w:tabs>
          <w:tab w:val="left" w:pos="284" w:leader="none"/>
          <w:tab w:val="left" w:pos="993" w:leader="none"/>
          <w:tab w:val="left" w:pos="1134" w:leader="none"/>
        </w:tabs>
        <w:rPr>
          <w:rFonts w:eastAsia="仿宋_GB2312"/>
          <w:color w:val="000000"/>
          <w:szCs w:val="21"/>
          <w:highlight w:val="white"/>
        </w:rPr>
      </w:pPr>
      <w:r>
        <w:rPr>
          <w:rFonts w:hint="eastAsia" w:ascii="宋体" w:hAnsi="宋体" w:cs="宋体"/>
          <w:szCs w:val="21"/>
        </w:rPr>
        <w:t xml:space="preserve">（1）采用固定单价合同，</w:t>
      </w:r>
      <w:r>
        <w:rPr>
          <w:rFonts w:eastAsia="仿宋_GB2312"/>
          <w:color w:val="000000"/>
          <w:szCs w:val="21"/>
          <w:highlight w:val="white"/>
        </w:rPr>
        <w:t xml:space="preserve"> </w:t>
      </w:r>
      <w:r/>
    </w:p>
    <w:p>
      <w:pPr>
        <w:ind w:firstLine="420"/>
        <w:spacing w:line="360" w:lineRule="auto"/>
        <w:rPr>
          <w:rFonts w:ascii="宋体" w:hAnsi="宋体" w:cs="宋体"/>
          <w:szCs w:val="21"/>
        </w:rPr>
      </w:pPr>
      <w:r>
        <w:rPr>
          <w:rFonts w:hint="eastAsia" w:ascii="宋体" w:hAnsi="宋体" w:cs="宋体"/>
          <w:szCs w:val="21"/>
        </w:rPr>
        <w:t xml:space="preserve">综合单价包含的风险范围：承包人已根据企业自身情况并充分考虑技术风险、管理风险、材料价格和施工机械使用费</w:t>
      </w:r>
      <w:r>
        <w:rPr>
          <w:rFonts w:ascii="宋体" w:hAnsi="宋体" w:cs="宋体"/>
          <w:szCs w:val="21"/>
        </w:rPr>
        <w:t xml:space="preserve">(</w:t>
      </w:r>
      <w:r>
        <w:rPr>
          <w:rFonts w:hint="eastAsia" w:ascii="宋体" w:hAnsi="宋体" w:cs="宋体"/>
          <w:szCs w:val="21"/>
        </w:rPr>
        <w:t xml:space="preserve">风险调整范围内的</w:t>
      </w:r>
      <w:r>
        <w:rPr>
          <w:rFonts w:ascii="宋体" w:hAnsi="宋体" w:cs="宋体"/>
          <w:szCs w:val="21"/>
        </w:rPr>
        <w:t xml:space="preserve">)</w:t>
      </w:r>
      <w:r>
        <w:rPr>
          <w:rFonts w:hint="eastAsia" w:ascii="宋体" w:hAnsi="宋体" w:cs="宋体"/>
          <w:szCs w:val="21"/>
        </w:rPr>
        <w:t xml:space="preserve">的市场风险自主报价。</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（2）风险范围以外合同价款调整方法：</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12.1由设计变更或发包人要求变动的内容引起的工程量清单已有项目的工程量的增加和减少，其相应综合单价不变，工程量据实增减，其措施项目费用同时进行相应调整；若该部分项工程量变更超过15%，则综合单价由承包人、发包人另行商定。</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12.2由于设计变更或发包人要求变动的内容引起的新的工程量清单项目，如发生了清单中没有相同的工作内容时，由承包人执行工程量清单、工程预算书编制依据提出相应综合单价，同时按投标报价时的优惠幅度（即招标人控制价与中标人报价的差额跟招标人控制价的比值）进行让利，经发包人认可后作为结算的依据。</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12.3如清单项目中工作内容，实际施工中并未发生，应在“报价明细表”中相应的扣减该部分工作内容所含综合单价后形成的新的综合单价作为结算综合单价。</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12.4承包人依据竞争性磋商文件、工程量清单、施工现场情况等资料并自行考虑包括以上各种风险因素在内的所有风险后进行投标报价，一旦中标，投标报价综合单价将不会得到调整（工程变更、发包人要求变动的内容、合同约定内容除外）。</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13.工程预付款、发包人向承包人预付工程款的时间和金额或占合同价款总额的比例: </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14.工程量确认</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14.1承包人向工程师提交已完成工程量报告的时间:承包人应在每周例会前向发包人现场工程师提供本月完成工程量情况。</w:t>
      </w:r>
      <w:r/>
    </w:p>
    <w:p>
      <w:pPr>
        <w:ind w:firstLine="420"/>
        <w:spacing w:line="360" w:lineRule="auto"/>
        <w:rPr>
          <w:rFonts w:ascii="宋体" w:hAnsi="宋体" w:cs="宋体"/>
          <w:szCs w:val="21"/>
          <w:u w:val="single"/>
        </w:rPr>
      </w:pPr>
      <w:r>
        <w:rPr>
          <w:rFonts w:hint="eastAsia" w:ascii="宋体" w:hAnsi="宋体" w:cs="宋体"/>
          <w:szCs w:val="21"/>
        </w:rPr>
        <w:t xml:space="preserve">15.工程款(进度款)支付：</w:t>
      </w:r>
      <w:r>
        <w:rPr>
          <w:rFonts w:hint="eastAsia" w:ascii="宋体" w:hAnsi="宋体" w:cs="宋体"/>
          <w:szCs w:val="21"/>
          <w:u w:val="single"/>
        </w:rPr>
        <w:t xml:space="preserve">合同签订后，承包人向发包人提供合同价30%的预付款保函后，发包人支付合同价的30%作为预付款; 工程竣工验收合格后，承包人付合同价款的3%至发包人账户作为质保金后，发包人付至合同价款的100%，质保金待质保期（2年）满后返还（无息）。 </w:t>
      </w:r>
      <w:r/>
    </w:p>
    <w:p>
      <w:pPr>
        <w:ind w:firstLine="420"/>
        <w:spacing w:line="360" w:lineRule="auto"/>
        <w:rPr>
          <w:rFonts w:ascii="宋体" w:hAnsi="宋体" w:cs="宋体"/>
          <w:szCs w:val="21"/>
        </w:rPr>
      </w:pPr>
      <w:r>
        <w:rPr>
          <w:rFonts w:hint="eastAsia" w:ascii="宋体" w:hAnsi="宋体" w:cs="宋体"/>
          <w:szCs w:val="21"/>
        </w:rPr>
        <w:t xml:space="preserve">七、材料设备供应</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16.发包人供应材料设备：</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16.1发包人供应的材料设备与一览表不符时,双方约定发包人承担责任如下:</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（1）材料设备单价与一览表不符:</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（2）材料设备的品种、规格、型号、质量等级与一览表不符：承包人有权拒收；</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（3）到货地点与一览表不符：发包人运至规定的供货地点，承包人应予积极配合；</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（4）供货数量与一览表不符：发包人补足；</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（5）到货时间与一览表不符；</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开工前承包人须书面通知发包人，因发包人原因延迟供货的，可以延期；如承包人未在开工前书面通知的，发包人不承担相应责任。</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16.2发包人供应材料设备的结算方法:/</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17．承包人采购材料设备</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17.1购材料设备的约定：</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承包人采购的材料设备，必须在发包人认可的产品质量等级及价格范围内，承包人应按约定和有关标准要求采购，并提供产品合格证明，对材料设备质量负责。承包人进场材料的样品必须经发包人验收认可，经验收合格的材料方可批量进场（样品由发包人封存，承包人必须保证施工中材料设备质量与样品一致），否则，造成的损失由承包人承担；承包人在材料设备到货前24小时通知发包人验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（2）设备与采购标准不符时，承包人应按工程师要求的时间运出施工场地，重新采购符合要求的产品，承担由此产生的费用，由此延误的工期不予顺延。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3）承包人采购的全部材料和设备在使用前，承包人应当根据国家有关法律、法规、工程建设强制性标准，按发包人要求，对建设工程的材料、构配件、设备，以及工程实体质量、使用功能等进行见证取样检验或试验。所有上述建设工程质量检测（初试及复试）的全部费用，均由承包人承担，不合格的不得使用。</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4）除国家有关法律、法规、工程建设强制性标准规定之外，如发包人或工程师对其材料和设备有异议的，承包人需无条件配合检测。若材料或设备检测合格，检测费由发包人承担。若材料或设备检测不合格，检测费由承包人承担，并配合进行复检，复检费用也由承包人承担。</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5）承包人供应的材料设备必须保证质量，使用中如发现有质量问题，承包人承担返工的全部损失并赔偿由此给发包人带来的损失。工程师发现承包人采购并使用不符合标准要求的材料设备时，应要求承包人负责修复、拆除或重新采购，由承包人承担发生的费用，由此延误的工期不予顺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6）由承包人供应的材料、设备其品牌、生产厂家、质量等级等均需与投标书相同，除因市场无供应外，需提前5天书面申请和递交替换材料和资料，在得到发包人的认可，并且出具的各种生产许可证、质量认证、安全认证、试验报告、试验证明等全套的质保资料等也得到发包人的认可后方能供货，未经许可其后果及损失均由承包人承担，直至终止承包合同、更换承包人。</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7）承包人供应的材料设备其品牌、生产厂家、质量等级等如与投标书相同时，其质量及质保资料均需发包人的认可后方能供货，发包人对该部分材料质量具有检查监督权利，对材料的使用具有否决权，如遇到材料涨价，承包人不能以降低材料品质、档次来抵消风险，也不能要求由发包人供应。</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8）由承包人供应的材料设备其品牌、生产厂家、质量等级等如与投标书不同时，必须得到发包人的认可，并且出具的各种生产许可证、质量认证、安全认证、试验报告、试验证明等全套的质保资料等也必须得到发包人的认可后方能供货，未经许可其后果及损失均由承包人承担，直至终止承包合同、更换承包人。</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（9）当发包人要求对强制性检测要求范围外的材料进行检测时，承包人应按照要求进行检测，检测试验合格由发包人承担费用，测试不合格的检测费用由承包人承担。承包人承担的检验费用包括：</w:t>
      </w:r>
      <w:r>
        <w:rPr>
          <w:rFonts w:hint="eastAsia" w:ascii="宋体" w:hAnsi="宋体" w:cs="宋体"/>
          <w:szCs w:val="21"/>
          <w:u w:val="single"/>
        </w:rPr>
        <w:fldChar w:fldCharType="begin"/>
      </w:r>
      <w:r>
        <w:rPr>
          <w:rFonts w:hint="eastAsia" w:ascii="宋体" w:hAnsi="宋体" w:cs="宋体"/>
          <w:szCs w:val="21"/>
          <w:u w:val="single"/>
        </w:rPr>
        <w:instrText xml:space="preserve"> eq \o\ac(○,1)</w:instrText>
      </w:r>
      <w:r>
        <w:rPr>
          <w:rFonts w:hint="eastAsia" w:ascii="宋体" w:hAnsi="宋体" w:cs="宋体"/>
          <w:szCs w:val="21"/>
          <w:u w:val="single"/>
        </w:rPr>
        <w:fldChar w:fldCharType="end"/>
      </w:r>
      <w:r>
        <w:rPr>
          <w:rFonts w:hint="eastAsia" w:ascii="宋体" w:hAnsi="宋体" w:cs="宋体"/>
          <w:szCs w:val="21"/>
          <w:u w:val="single"/>
        </w:rPr>
        <w:t xml:space="preserve">承包人采取新工艺或特殊施工措施造成的检验、试验费用 </w:t>
      </w:r>
      <w:r>
        <w:rPr>
          <w:rFonts w:hint="eastAsia" w:ascii="宋体" w:hAnsi="宋体" w:cs="宋体"/>
          <w:szCs w:val="21"/>
          <w:u w:val="single"/>
        </w:rPr>
        <w:fldChar w:fldCharType="begin"/>
      </w:r>
      <w:r>
        <w:rPr>
          <w:rFonts w:hint="eastAsia" w:ascii="宋体" w:hAnsi="宋体" w:cs="宋体"/>
          <w:szCs w:val="21"/>
          <w:u w:val="single"/>
        </w:rPr>
        <w:instrText xml:space="preserve"> eq \o\ac(○,2)</w:instrText>
      </w:r>
      <w:r>
        <w:rPr>
          <w:rFonts w:hint="eastAsia" w:ascii="宋体" w:hAnsi="宋体" w:cs="宋体"/>
          <w:szCs w:val="21"/>
          <w:u w:val="single"/>
        </w:rPr>
        <w:fldChar w:fldCharType="end"/>
      </w:r>
      <w:r>
        <w:rPr>
          <w:rFonts w:hint="eastAsia" w:ascii="宋体" w:hAnsi="宋体" w:cs="宋体"/>
          <w:szCs w:val="21"/>
          <w:u w:val="single"/>
        </w:rPr>
        <w:t xml:space="preserve">不在“由发包人承担检验试验费用”之列的其它检验试验费。</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（10）需送检的材料必须检验合格后方能投入使用。</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（11）承包人供应的材料设备必须保证质量，使用中如发现有质量问题、有毒、污染等不符合环保、安全、卫生要求的，承包人承担返工的全部损失并赔偿由此给发包人带来的损失。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（12）如需发包人认定质价后购买的材料，或者必须代换材料时，承包人必须提前10天书面报告，经发包人批准后实施，否则一切后果均由承包人自己负责。</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八、工程变更</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（1）工程变更通知是合同及施工设计图纸的补充和完善，承包人不得拒绝，不能因变更延误工期。</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（3）承包人不得以设计变更或工程量的变化为理由，解除或修改合同对其规定的责任和义务。</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（4）施工中承包人不得对原工程设计进行变更，因承包人擅自变更设计发生的费用和由此导致发包人的直接损失由承包人承担，延误的工期不予顺延。</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18.竣工验收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18.1.承包人负责工程验收，并有义务参加配合相关单位验收工作。</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18.2.工程具备竣工验收条件，承包人按国家工程竣工验收有关规定，向发包人提供竣工验收报告。</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18.3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18.4.承包人提供竣工图的约定：竣工验收后三十日内承包人提供自己绘制的与实物相符并符合要求的竣工图叁套,竣工资料三套（原件资料）其中一套原件交城建档案馆，并确保资料准确，否则每迟一天，每日向发包人支付违约金500元。</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19.竣工结算</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19.1工程竣工验收合格后60天内承包人向发包人提供完整的工程结算资料。由发包人接收（一式两份）。结算资料提交应按时完成，否则每迟一天，除每日向发包人支付违约金500元，工程款相应延期支付。</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19.2发包人收到竣工结算资料后，由发包人进行审查确认后送给有关造价咨询部门进行工程价款的审核。</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20、工程保修</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20.1工程保修内容及期限按《建设工程质量管理条例》（中华人民共和国国务院令2000年第279号）等有关规定执行,保修金预留的比例为工程结算价的3%。</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20.2工程保修期在工程竣工验收合格之日起计算。</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20.3在承包人对质量保证期内出现的质量问题进行维修时，承包人应相应延长维修或更换部分的质量保证期。维修或更换部分的质保期从维修或更换合格之日起重新计算。</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20.4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九、违约、索赔和争议</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21.违约</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21.1本合同中关于发包人违约的具体责任如下:</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本合同通用条款第24条约定发包人违约应承担的违约责任:</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本合同通用条款第26.4款约定发包人违约应承担的违约责任:</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本合同通用条款第33.3款约定发包人违约应承担的违约责任:</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双方约定的发包人其他违约责任:执行合同约定、招标文件</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21.2本合同中关于承包人违约的具体责任如下:</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本合同通用条款第14.2款约定承包人违约应承担的违约责任:</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1）延误工期。在十天内（含十天）的承包人按1000元/天赔偿，逾期在20天内（含20天）的承包人按2000元/天赔偿，逾期在30天（含30天）的承包人按5000元/天赔偿，如竣工时间超过合同工期一个月以上，发包人有权终止合同，承包人除按本工程结算价的5%支付违约金外，还应赔偿因工期违约给发包人造成的损失。</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21.3本合同通用条款第15.1款约定承包人违约应承担的违约责任:</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21.4双方约定的承包人其他违约责任:</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21.4.1.遵守政府和发包人对施工现场的一切规定和要求，承担因自身原因违反有关规定造成的损失和罚款。</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21.4.2承包人在施工过程中，项目经理及主要施工人员应与投标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21.4.3承包人应服从发包人的制度、会议、通知等形式的管理，以整个项目全局为重，除履行合同义务外应积极配合发包人及其他参建单位完成项目目标。</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21.4.4由于承包人原因无故连续停工一周，且又未向发包人书面说明原因并取得发包人书面认可，发包人有权终止合同，承包人将承担一切损失。</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21.4.5承包人擅自将工程全部或其中的一部分转包或违法分包给其它单位，发包人有权终止合同，并没收履约保证金，由此造成的一切损失由承包人承担。</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21.4.6施工期间由于承包人原因出现重大质量问题，且又无法弥补，给发包人造成重大损失，发包人有权终止合同，承包人负责赔偿发包人由此造成的一切损失。</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u w:val="single"/>
        </w:rPr>
        <w:t xml:space="preserve">21.4.7承包人使用劣质材料，无论使用量多少，一经发现，发包人有权终止合同，承包人除承担责任和赔偿损失外，并无条件退出施工现场。</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22.争议</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22.1双方约定,在履行合同过程中产生争议时:</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(1)请有关</w:t>
      </w:r>
      <w:r>
        <w:rPr>
          <w:rFonts w:hint="eastAsia" w:ascii="宋体" w:hAnsi="宋体" w:cs="宋体"/>
          <w:szCs w:val="21"/>
          <w:u w:val="single"/>
        </w:rPr>
        <w:t xml:space="preserve">建设行政主管部门</w:t>
      </w:r>
      <w:r>
        <w:rPr>
          <w:rFonts w:hint="eastAsia" w:ascii="宋体" w:hAnsi="宋体" w:cs="宋体"/>
          <w:szCs w:val="21"/>
        </w:rPr>
        <w:t xml:space="preserve">调解;</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(2)调解不成，双方约定向</w:t>
      </w:r>
      <w:r>
        <w:rPr>
          <w:rFonts w:hint="eastAsia" w:ascii="宋体" w:hAnsi="宋体" w:cs="宋体"/>
          <w:szCs w:val="21"/>
          <w:u w:val="single"/>
        </w:rPr>
        <w:t xml:space="preserve">发包人所在地人民法院</w:t>
      </w:r>
      <w:r>
        <w:rPr>
          <w:rFonts w:hint="eastAsia" w:ascii="宋体" w:hAnsi="宋体" w:cs="宋体"/>
          <w:szCs w:val="21"/>
        </w:rPr>
        <w:t xml:space="preserve">提起诉讼。</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十、其他</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23.工程分包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本工程不允许转包和违法分包。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24.不可抗力</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24.1双方关于不可抗力的约定:</w:t>
      </w:r>
      <w:r>
        <w:rPr>
          <w:rFonts w:hint="eastAsia" w:ascii="宋体" w:hAnsi="宋体" w:cs="宋体"/>
          <w:szCs w:val="21"/>
          <w:u w:val="single"/>
        </w:rPr>
        <w:t xml:space="preserve">执行通用条款</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25.担保</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25.1本工程双方约定担保事项如下:</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25.2发包人向承包人提供履约担保,担保方式为: </w:t>
      </w:r>
      <w:r>
        <w:rPr>
          <w:rFonts w:hint="eastAsia" w:ascii="宋体" w:hAnsi="宋体" w:cs="宋体"/>
          <w:szCs w:val="21"/>
          <w:u w:val="single"/>
        </w:rPr>
        <w:t xml:space="preserve">  / </w:t>
      </w:r>
      <w:r/>
    </w:p>
    <w:p>
      <w:pPr>
        <w:ind w:firstLine="420"/>
        <w:spacing w:line="360" w:lineRule="auto"/>
        <w:tabs>
          <w:tab w:val="left" w:pos="284" w:leader="none"/>
          <w:tab w:val="left" w:pos="993" w:leader="none"/>
          <w:tab w:val="left" w:pos="1134" w:leader="none"/>
        </w:tabs>
        <w:rPr>
          <w:rFonts w:ascii="宋体" w:hAnsi="宋体" w:cs="宋体"/>
          <w:szCs w:val="21"/>
          <w:u w:val="single"/>
        </w:rPr>
      </w:pPr>
      <w:r>
        <w:rPr>
          <w:rFonts w:hint="eastAsia" w:ascii="宋体" w:hAnsi="宋体" w:cs="宋体"/>
          <w:szCs w:val="21"/>
        </w:rPr>
        <w:t xml:space="preserve">25.3承包人向发包人提供履约担保,担保方式为:</w:t>
      </w:r>
      <w:r>
        <w:rPr>
          <w:rFonts w:cs="仿宋" w:asciiTheme="minorEastAsia" w:hAnsiTheme="minorEastAsia" w:eastAsiaTheme="minorEastAsia"/>
          <w:szCs w:val="21"/>
        </w:rPr>
        <w:t xml:space="preserve"> </w:t>
      </w:r>
      <w:r>
        <w:rPr>
          <w:rFonts w:hint="eastAsia" w:ascii="宋体" w:hAnsi="宋体" w:cs="宋体"/>
          <w:szCs w:val="21"/>
          <w:u w:val="single"/>
        </w:rPr>
        <w:t xml:space="preserve">承包人提供履约担保的金额及期限：承包人应在签订施工合同前向发包人缴纳合同价款的10%履约保证金。</w:t>
      </w:r>
      <w:r/>
    </w:p>
    <w:p>
      <w:pPr>
        <w:ind w:firstLine="480"/>
        <w:spacing w:line="360" w:lineRule="auto"/>
        <w:rPr>
          <w:rFonts w:ascii="宋体" w:hAnsi="宋体" w:cs="宋体"/>
          <w:szCs w:val="21"/>
          <w:u w:val="single"/>
        </w:rPr>
      </w:pPr>
      <w:r>
        <w:rPr>
          <w:rFonts w:hint="eastAsia" w:ascii="宋体" w:hAnsi="宋体" w:cs="宋体"/>
          <w:szCs w:val="21"/>
          <w:u w:val="single"/>
        </w:rPr>
        <w:t xml:space="preserve">履约保证金退还的方式：以银行电汇、网上银行形式缴纳履约保证金的，退回承包人存款账户；以保函、担保、保险等形式缴纳履约保证金的，在保函、担保、保险约定的保证期限届满之日起自行失效；</w:t>
      </w:r>
      <w:r/>
    </w:p>
    <w:p>
      <w:pPr>
        <w:ind w:firstLine="480"/>
        <w:spacing w:line="360" w:lineRule="auto"/>
        <w:rPr>
          <w:rFonts w:hint="eastAsia" w:ascii="宋体" w:hAnsi="宋体" w:cs="宋体"/>
          <w:szCs w:val="21"/>
          <w:u w:val="single"/>
        </w:rPr>
      </w:pPr>
      <w:r>
        <w:rPr>
          <w:rFonts w:hint="eastAsia" w:ascii="宋体" w:hAnsi="宋体" w:cs="宋体"/>
          <w:szCs w:val="21"/>
          <w:u w:val="single"/>
        </w:rPr>
        <w:t xml:space="preserve">履约保证金退还的条件：项目完工验收合格，出具完工证明及履约保证金收据申请退付；履约保证金退还时间：发包人收到供应商退付申请后5个工作日内退还；</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26.合同份数</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26.1双方约定在合同份数：</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本合同</w:t>
      </w:r>
      <w:r>
        <w:rPr>
          <w:rFonts w:hint="eastAsia" w:ascii="宋体" w:hAnsi="宋体" w:cs="宋体"/>
          <w:b/>
          <w:szCs w:val="21"/>
          <w:u w:val="single"/>
        </w:rPr>
        <w:t xml:space="preserve">伍</w:t>
      </w:r>
      <w:r>
        <w:rPr>
          <w:rFonts w:hint="eastAsia" w:ascii="宋体" w:hAnsi="宋体" w:cs="宋体"/>
          <w:szCs w:val="21"/>
        </w:rPr>
        <w:t xml:space="preserve">份，其中正本</w:t>
      </w:r>
      <w:r>
        <w:rPr>
          <w:rFonts w:hint="eastAsia" w:ascii="宋体" w:hAnsi="宋体" w:cs="宋体"/>
          <w:b/>
          <w:szCs w:val="21"/>
          <w:u w:val="single"/>
        </w:rPr>
        <w:t xml:space="preserve">叁</w:t>
      </w:r>
      <w:r>
        <w:rPr>
          <w:rFonts w:hint="eastAsia" w:ascii="宋体" w:hAnsi="宋体" w:cs="宋体"/>
          <w:szCs w:val="21"/>
        </w:rPr>
        <w:t xml:space="preserve">份，副本</w:t>
      </w:r>
      <w:r>
        <w:rPr>
          <w:rFonts w:hint="eastAsia" w:ascii="宋体" w:hAnsi="宋体" w:cs="宋体"/>
          <w:b/>
          <w:szCs w:val="21"/>
          <w:u w:val="single"/>
        </w:rPr>
        <w:t xml:space="preserve">贰</w:t>
      </w:r>
      <w:r>
        <w:rPr>
          <w:rFonts w:hint="eastAsia" w:ascii="宋体" w:hAnsi="宋体" w:cs="宋体"/>
          <w:szCs w:val="21"/>
        </w:rPr>
        <w:t xml:space="preserve">份。发包人方执</w:t>
      </w:r>
      <w:r>
        <w:rPr>
          <w:rFonts w:hint="eastAsia" w:ascii="宋体" w:hAnsi="宋体" w:cs="宋体"/>
          <w:b/>
          <w:bCs/>
          <w:szCs w:val="21"/>
          <w:u w:val="single"/>
        </w:rPr>
        <w:t xml:space="preserve">叁</w:t>
      </w:r>
      <w:r>
        <w:rPr>
          <w:rFonts w:hint="eastAsia" w:ascii="宋体" w:hAnsi="宋体" w:cs="宋体"/>
          <w:szCs w:val="21"/>
        </w:rPr>
        <w:t xml:space="preserve">份，承包人方执</w:t>
      </w:r>
      <w:r>
        <w:rPr>
          <w:rFonts w:hint="eastAsia" w:ascii="宋体" w:hAnsi="宋体" w:cs="宋体"/>
          <w:b/>
          <w:bCs/>
          <w:szCs w:val="21"/>
          <w:u w:val="single"/>
        </w:rPr>
        <w:t xml:space="preserve">贰</w:t>
      </w:r>
      <w:r>
        <w:rPr>
          <w:rFonts w:hint="eastAsia" w:ascii="宋体" w:hAnsi="宋体" w:cs="宋体"/>
          <w:szCs w:val="21"/>
        </w:rPr>
        <w:t xml:space="preserve">份。</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27.其他</w:t>
      </w:r>
      <w:r/>
    </w:p>
    <w:p>
      <w:pPr>
        <w:ind w:firstLine="420"/>
        <w:spacing w:line="360" w:lineRule="auto"/>
        <w:tabs>
          <w:tab w:val="left" w:pos="284" w:leader="none"/>
          <w:tab w:val="left" w:pos="993" w:leader="none"/>
          <w:tab w:val="left" w:pos="1134" w:leader="none"/>
        </w:tabs>
        <w:rPr>
          <w:rFonts w:ascii="宋体" w:hAnsi="宋体" w:cs="宋体"/>
          <w:b/>
          <w:szCs w:val="21"/>
        </w:rPr>
      </w:pPr>
      <w:r>
        <w:rPr>
          <w:rFonts w:hint="eastAsia" w:ascii="宋体" w:hAnsi="宋体" w:cs="宋体"/>
          <w:szCs w:val="21"/>
        </w:rPr>
        <w:t xml:space="preserve">（1）承包人应加强工作人员的管理，禁止承包人以各种手段腐蚀、贿赂发包人单位工作人员，如有违反，发包人将停止履行合同，将诚信档案记录的工作人员违规不良行为纳入违约行为，并追究承包人违约责任；</w:t>
      </w:r>
      <w:r/>
    </w:p>
    <w:p>
      <w:pPr>
        <w:ind w:firstLine="420"/>
        <w:spacing w:line="360" w:lineRule="auto"/>
        <w:tabs>
          <w:tab w:val="left" w:pos="284" w:leader="none"/>
          <w:tab w:val="left" w:pos="993" w:leader="none"/>
          <w:tab w:val="left" w:pos="1134" w:leader="none"/>
        </w:tabs>
        <w:rPr>
          <w:rFonts w:ascii="宋体" w:hAnsi="宋体" w:cs="宋体"/>
          <w:b/>
          <w:bCs/>
          <w:szCs w:val="21"/>
        </w:rPr>
      </w:pPr>
      <w:r>
        <w:rPr>
          <w:rFonts w:hint="eastAsia" w:ascii="宋体" w:hAnsi="宋体" w:cs="宋体"/>
          <w:szCs w:val="21"/>
        </w:rPr>
        <w:t xml:space="preserve">（2）承包人应按《建筑工程安全管理条例》以及国家、省市有关规定安全施工对于存在的安全隐患应及时整改到位。安全责任由承包人自行承担。承包人应按照国家和省市的有关规定文明施工。接受发包人及有关部门的管理、检查和监督，并有义务与施工现场各单位协调配合。</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 (3）在工程竣工后在进行竣工验收前，对施工范围内进行打扫和清理，达到发包人提出的清洁要求，如达不到上述要求发包人将委托其他单位进行清理，其费用由承包人承担；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（4）在工程未交付前，承包人负责做好成品保护，如有损坏应负责维修，直至合格，其维修看护费用由承包人承担。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（5）在施工期间，承包人在施工中应做好环境保护及环境安全的防护，部分区域需封闭施工，相关费用视为包含在投标报价中，不再另行支付；</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（6）各个施工环节，需发包人施工质量管理员现场验收确认后方可进行下一环节施工；</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7）施工期间，将对承包人实行考核，考核结果与奖惩挂钩。如承包人不加强管理造成施工场地混乱，又不服从发包人管理，以致影响工程质量和进度，经发包人三次警告，仍然整改不到位发包人有权终止合同，承包人应无条件退出施工现场并将承担一切损失；</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（8）承包人擅自将工程全部或其中的一部分转包或违法分包给其他单位，发包人有权终止合同，并没收履约保证金，由此造成的一切损失由承包人承担；</w:t>
      </w:r>
      <w:r/>
    </w:p>
    <w:p>
      <w:pPr>
        <w:ind w:firstLine="420"/>
        <w:spacing w:line="360" w:lineRule="auto"/>
        <w:tabs>
          <w:tab w:val="left" w:pos="284" w:leader="none"/>
          <w:tab w:val="left" w:pos="993" w:leader="none"/>
          <w:tab w:val="left" w:pos="1134" w:leader="none"/>
        </w:tabs>
        <w:rPr>
          <w:rFonts w:ascii="宋体" w:hAnsi="宋体" w:cs="宋体"/>
          <w:szCs w:val="21"/>
        </w:rPr>
      </w:pPr>
      <w:r>
        <w:rPr>
          <w:rFonts w:hint="eastAsia" w:ascii="宋体" w:hAnsi="宋体" w:cs="宋体"/>
          <w:szCs w:val="21"/>
        </w:rPr>
        <w:t xml:space="preserve">（9）施工方对施工材料运送要统筹考虑,不得影响厂区内的道路交通,对施工场地周边的道路、树木、建筑等设施做好保护；</w:t>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284" w:leader="none"/>
          <w:tab w:val="left" w:pos="993" w:leader="none"/>
          <w:tab w:val="left" w:pos="1134" w:leader="none"/>
        </w:tabs>
        <w:rPr>
          <w:rFonts w:hint="eastAsia" w:ascii="宋体" w:hAnsi="宋体" w:cs="宋体"/>
          <w:szCs w:val="21"/>
        </w:rPr>
      </w:pPr>
      <w:r>
        <w:rPr>
          <w:rFonts w:hint="eastAsia" w:ascii="宋体" w:hAnsi="宋体" w:cs="宋体"/>
          <w:szCs w:val="21"/>
        </w:rPr>
      </w:r>
      <w:r/>
    </w:p>
    <w:p>
      <w:pPr>
        <w:ind w:firstLine="562"/>
        <w:spacing w:line="360" w:lineRule="auto"/>
        <w:rPr>
          <w:rFonts w:eastAsia="黑体"/>
          <w:b/>
          <w:sz w:val="32"/>
        </w:rPr>
      </w:pPr>
      <w:r>
        <w:rPr>
          <w:rFonts w:hint="eastAsia" w:ascii="宋体" w:hAnsi="宋体" w:cs="宋体"/>
          <w:b/>
          <w:sz w:val="28"/>
          <w:szCs w:val="28"/>
        </w:rPr>
        <w:t xml:space="preserve">附件1</w:t>
      </w:r>
      <w:r>
        <w:rPr>
          <w:rFonts w:eastAsia="黑体"/>
          <w:b/>
          <w:sz w:val="32"/>
        </w:rPr>
        <w:t xml:space="preserve"> </w:t>
      </w:r>
      <w:r/>
    </w:p>
    <w:p>
      <w:pPr>
        <w:ind w:firstLine="643"/>
        <w:jc w:val="center"/>
        <w:spacing w:line="360" w:lineRule="auto"/>
        <w:tabs>
          <w:tab w:val="left" w:pos="0" w:leader="none"/>
          <w:tab w:val="left" w:pos="993" w:leader="none"/>
          <w:tab w:val="left" w:pos="1134" w:leader="none"/>
        </w:tabs>
        <w:rPr>
          <w:rFonts w:ascii="宋体" w:hAnsi="宋体" w:cs="宋体"/>
          <w:b/>
          <w:bCs/>
          <w:sz w:val="32"/>
          <w:szCs w:val="32"/>
        </w:rPr>
        <w:outlineLvl w:val="1"/>
      </w:pPr>
      <w:r>
        <w:rPr>
          <w:rFonts w:hint="eastAsia" w:ascii="宋体" w:hAnsi="宋体" w:cs="宋体"/>
          <w:b/>
          <w:bCs/>
          <w:sz w:val="32"/>
          <w:szCs w:val="32"/>
        </w:rPr>
        <w:t xml:space="preserve">工程质量保修书</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发包人：江苏省皂河抽水站</w:t>
      </w:r>
      <w:r/>
    </w:p>
    <w:p>
      <w:pPr>
        <w:ind w:firstLine="420"/>
        <w:jc w:val="left"/>
        <w:spacing w:line="360" w:lineRule="auto"/>
        <w:rPr>
          <w:rFonts w:ascii="宋体" w:hAnsi="宋体" w:cs="宋体"/>
          <w:b/>
          <w:szCs w:val="21"/>
        </w:rPr>
      </w:pPr>
      <w:r>
        <w:rPr>
          <w:rFonts w:hint="eastAsia" w:ascii="宋体" w:hAnsi="宋体" w:cs="宋体"/>
          <w:szCs w:val="21"/>
        </w:rPr>
        <w:t xml:space="preserve">承包人：</w:t>
      </w:r>
      <w:r/>
    </w:p>
    <w:p>
      <w:pPr>
        <w:ind w:firstLine="420"/>
        <w:spacing w:line="360" w:lineRule="auto"/>
        <w:rPr>
          <w:rFonts w:ascii="宋体" w:hAnsi="宋体" w:cs="宋体"/>
          <w:b/>
          <w:bCs/>
          <w:szCs w:val="21"/>
        </w:rPr>
      </w:pPr>
      <w:r>
        <w:rPr>
          <w:rFonts w:hint="eastAsia" w:ascii="宋体" w:hAnsi="宋体" w:cs="宋体"/>
          <w:szCs w:val="21"/>
        </w:rPr>
        <w:t xml:space="preserve">发包人承包人双方根据《中华人民共和国建筑法》、《建设工程质量管理条例》和《房屋建筑工程质量保修办法》，经协商一致，对</w:t>
      </w:r>
      <w:r>
        <w:rPr>
          <w:rFonts w:hint="eastAsia" w:ascii="宋体" w:hAnsi="宋体" w:cs="宋体"/>
          <w:bCs/>
          <w:szCs w:val="21"/>
        </w:rPr>
        <w:t xml:space="preserve">项目</w:t>
      </w:r>
      <w:r>
        <w:rPr>
          <w:rFonts w:hint="eastAsia" w:ascii="宋体" w:hAnsi="宋体" w:cs="宋体"/>
          <w:szCs w:val="21"/>
        </w:rPr>
        <w:t xml:space="preserve">签订工程质量保修书。</w:t>
      </w:r>
      <w:r/>
    </w:p>
    <w:p>
      <w:pPr>
        <w:ind w:firstLine="420"/>
        <w:jc w:val="left"/>
        <w:spacing w:line="360" w:lineRule="auto"/>
        <w:widowControl/>
        <w:rPr>
          <w:rFonts w:ascii="宋体" w:hAnsi="宋体" w:cs="宋体"/>
          <w:szCs w:val="21"/>
        </w:rPr>
      </w:pPr>
      <w:r>
        <w:rPr>
          <w:rFonts w:hint="eastAsia" w:ascii="宋体" w:hAnsi="宋体" w:cs="宋体"/>
          <w:szCs w:val="21"/>
        </w:rPr>
        <w:t xml:space="preserve">一、工程质量保修范围和内容</w:t>
      </w:r>
      <w:r/>
    </w:p>
    <w:p>
      <w:pPr>
        <w:ind w:firstLine="420"/>
        <w:jc w:val="left"/>
        <w:spacing w:line="360" w:lineRule="auto"/>
        <w:widowControl/>
        <w:rPr>
          <w:rFonts w:ascii="宋体" w:hAnsi="宋体" w:cs="宋体"/>
          <w:b/>
          <w:szCs w:val="21"/>
          <w:u w:val="single"/>
        </w:rPr>
      </w:pPr>
      <w:r>
        <w:rPr>
          <w:rFonts w:hint="eastAsia" w:ascii="宋体" w:hAnsi="宋体" w:cs="宋体"/>
          <w:szCs w:val="21"/>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 xml:space="preserve">凡属承包人加工及施工工艺、施工方法及材料质量等质量问题造成的需返工修补的情况。</w:t>
      </w:r>
      <w:r/>
    </w:p>
    <w:p>
      <w:pPr>
        <w:ind w:firstLine="420"/>
        <w:jc w:val="left"/>
        <w:spacing w:line="360" w:lineRule="auto"/>
        <w:widowControl/>
        <w:rPr>
          <w:rFonts w:ascii="宋体" w:hAnsi="宋体" w:cs="宋体"/>
          <w:szCs w:val="21"/>
        </w:rPr>
      </w:pPr>
      <w:r>
        <w:rPr>
          <w:rFonts w:hint="eastAsia" w:ascii="宋体" w:hAnsi="宋体" w:cs="宋体"/>
          <w:szCs w:val="21"/>
        </w:rPr>
        <w:t xml:space="preserve">二、质量保修期</w:t>
      </w:r>
      <w:r/>
    </w:p>
    <w:p>
      <w:pPr>
        <w:ind w:firstLine="420"/>
        <w:jc w:val="left"/>
        <w:spacing w:line="360" w:lineRule="auto"/>
        <w:widowControl/>
        <w:rPr>
          <w:rFonts w:ascii="宋体" w:hAnsi="宋体" w:cs="宋体"/>
          <w:szCs w:val="21"/>
        </w:rPr>
      </w:pPr>
      <w:r>
        <w:rPr>
          <w:rFonts w:hint="eastAsia" w:ascii="宋体" w:hAnsi="宋体" w:cs="宋体"/>
          <w:szCs w:val="21"/>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jc w:val="left"/>
        <w:spacing w:line="360" w:lineRule="auto"/>
        <w:widowControl/>
        <w:rPr>
          <w:rFonts w:ascii="宋体" w:hAnsi="宋体" w:cs="宋体"/>
          <w:szCs w:val="21"/>
        </w:rPr>
      </w:pPr>
      <w:r>
        <w:rPr>
          <w:rFonts w:hint="eastAsia" w:ascii="宋体" w:hAnsi="宋体" w:cs="宋体"/>
          <w:szCs w:val="21"/>
        </w:rPr>
        <w:t xml:space="preserve">本工程质量保修期为</w:t>
      </w:r>
      <w:r>
        <w:rPr>
          <w:rFonts w:hint="eastAsia" w:ascii="宋体" w:hAnsi="宋体" w:cs="宋体"/>
          <w:b/>
          <w:szCs w:val="21"/>
          <w:u w:val="single"/>
        </w:rPr>
        <w:t xml:space="preserve">2年</w:t>
      </w:r>
      <w:r>
        <w:rPr>
          <w:rFonts w:hint="eastAsia" w:ascii="宋体" w:hAnsi="宋体" w:cs="宋体"/>
          <w:szCs w:val="21"/>
        </w:rPr>
        <w:t xml:space="preserve">，从工程竣工验收合格之日起，2年内因工程质量问题所发生的材料费、保修人工费等均由承包人负责免费维修和更换。</w:t>
      </w:r>
      <w:r/>
    </w:p>
    <w:p>
      <w:pPr>
        <w:ind w:firstLine="420"/>
        <w:jc w:val="left"/>
        <w:spacing w:line="360" w:lineRule="auto"/>
        <w:widowControl/>
        <w:rPr>
          <w:rFonts w:ascii="宋体" w:hAnsi="宋体" w:cs="宋体"/>
          <w:szCs w:val="21"/>
        </w:rPr>
      </w:pPr>
      <w:r>
        <w:rPr>
          <w:rFonts w:hint="eastAsia" w:ascii="宋体" w:hAnsi="宋体" w:cs="宋体"/>
          <w:szCs w:val="21"/>
        </w:rPr>
        <w:t xml:space="preserve">2、在承包人对质量保证期内出现的质量问题进行维修时，承包人应相应延长维修或更换部分的质量保证期。</w:t>
      </w:r>
      <w:r/>
    </w:p>
    <w:p>
      <w:pPr>
        <w:ind w:firstLine="420"/>
        <w:jc w:val="left"/>
        <w:spacing w:line="360" w:lineRule="auto"/>
        <w:widowControl/>
        <w:rPr>
          <w:rFonts w:ascii="宋体" w:hAnsi="宋体" w:cs="宋体"/>
          <w:szCs w:val="21"/>
        </w:rPr>
      </w:pPr>
      <w:r>
        <w:rPr>
          <w:rFonts w:hint="eastAsia" w:ascii="宋体" w:hAnsi="宋体" w:cs="宋体"/>
          <w:szCs w:val="21"/>
        </w:rPr>
        <w:t xml:space="preserve">3、质量保证期内因发包人原因或自然灾害而造成的损坏，承包人不承担保修责任，但承包人有义务对此进行维修，维修发生的材料和人工费用由发包人承担。</w:t>
      </w:r>
      <w:r/>
    </w:p>
    <w:p>
      <w:pPr>
        <w:ind w:firstLine="420"/>
        <w:jc w:val="left"/>
        <w:spacing w:line="360" w:lineRule="auto"/>
        <w:widowControl/>
        <w:rPr>
          <w:rFonts w:ascii="宋体" w:hAnsi="宋体" w:cs="宋体"/>
          <w:szCs w:val="21"/>
        </w:rPr>
      </w:pPr>
      <w:r>
        <w:rPr>
          <w:rFonts w:hint="eastAsia" w:ascii="宋体" w:hAnsi="宋体" w:cs="宋体"/>
          <w:szCs w:val="21"/>
        </w:rPr>
        <w:t xml:space="preserve">三、质量保修责任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1、属于保修范围、内容的项目，承包人应当在接到保修通知之曰起7天内派人保修。承包人不在约定期限内派人保修的，发包人可以委托他人修理，保修费用从质量保修金内扣除。</w:t>
      </w:r>
      <w:r/>
    </w:p>
    <w:p>
      <w:pPr>
        <w:ind w:firstLine="420"/>
        <w:jc w:val="left"/>
        <w:spacing w:line="360" w:lineRule="auto"/>
        <w:widowControl/>
        <w:rPr>
          <w:rFonts w:ascii="宋体" w:hAnsi="宋体" w:cs="宋体"/>
          <w:szCs w:val="21"/>
        </w:rPr>
      </w:pPr>
      <w:r>
        <w:rPr>
          <w:rFonts w:hint="eastAsia" w:ascii="宋体" w:hAnsi="宋体" w:cs="宋体"/>
          <w:szCs w:val="21"/>
        </w:rPr>
        <w:t xml:space="preserve">2、发生紧急抢修事故的，承包人在接到事故通知后，应当立即到达事故现场抢修。非承包人施工质量引起的事故，费用由发包人承担。</w:t>
      </w:r>
      <w:r/>
    </w:p>
    <w:p>
      <w:pPr>
        <w:ind w:firstLine="420"/>
        <w:jc w:val="left"/>
        <w:spacing w:line="360" w:lineRule="auto"/>
        <w:widowControl/>
        <w:rPr>
          <w:rFonts w:ascii="宋体" w:hAnsi="宋体" w:cs="宋体"/>
          <w:szCs w:val="21"/>
        </w:rPr>
      </w:pPr>
      <w:r>
        <w:rPr>
          <w:rFonts w:hint="eastAsia" w:ascii="宋体" w:hAnsi="宋体" w:cs="宋体"/>
          <w:szCs w:val="21"/>
        </w:rPr>
        <w:t xml:space="preserve">3、在国家规定的工程合理使用年限内，承包人要确保工程质量。因承包人原因致使工程在合理使用年限内造成人身和财产损害的，承包人应承担损害赔偿责任。</w:t>
      </w:r>
      <w:r/>
    </w:p>
    <w:p>
      <w:pPr>
        <w:ind w:firstLine="420"/>
        <w:jc w:val="left"/>
        <w:spacing w:line="360" w:lineRule="auto"/>
        <w:widowControl/>
        <w:rPr>
          <w:rFonts w:ascii="宋体" w:hAnsi="宋体" w:cs="宋体"/>
          <w:szCs w:val="21"/>
        </w:rPr>
      </w:pPr>
      <w:r>
        <w:rPr>
          <w:rFonts w:hint="eastAsia" w:ascii="宋体" w:hAnsi="宋体" w:cs="宋体"/>
          <w:szCs w:val="21"/>
        </w:rPr>
        <w:t xml:space="preserve">四、保修费用</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保修费用由造成质量缺陷的责任方承担。本工程约定的工程质量保修金为施工合同价的3%。本工程双方约定的工程质量保修金的金额为人民币（大写）：</w:t>
      </w:r>
      <w:r/>
    </w:p>
    <w:p>
      <w:pPr>
        <w:ind w:firstLine="420"/>
        <w:jc w:val="left"/>
        <w:spacing w:line="360" w:lineRule="auto"/>
        <w:widowControl/>
        <w:rPr>
          <w:rFonts w:ascii="宋体" w:hAnsi="宋体" w:cs="宋体"/>
          <w:szCs w:val="21"/>
        </w:rPr>
      </w:pPr>
      <w:r>
        <w:rPr>
          <w:rFonts w:hint="eastAsia" w:ascii="宋体" w:hAnsi="宋体" w:cs="宋体"/>
          <w:szCs w:val="21"/>
        </w:rPr>
        <w:t xml:space="preserve">五、质量保修金的退还</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发包人在质量保修期满后21天内，将剩余保修金（不计利息）返还承包人。</w:t>
      </w:r>
      <w:r/>
    </w:p>
    <w:p>
      <w:pPr>
        <w:ind w:firstLine="420"/>
        <w:jc w:val="left"/>
        <w:spacing w:line="360" w:lineRule="auto"/>
        <w:widowControl/>
        <w:rPr>
          <w:rFonts w:ascii="宋体" w:hAnsi="宋体" w:cs="宋体"/>
          <w:szCs w:val="21"/>
        </w:rPr>
      </w:pPr>
      <w:r>
        <w:rPr>
          <w:rFonts w:hint="eastAsia" w:ascii="宋体" w:hAnsi="宋体" w:cs="宋体"/>
          <w:szCs w:val="21"/>
        </w:rPr>
        <w:t xml:space="preserve">六、其他</w:t>
      </w:r>
      <w:r/>
    </w:p>
    <w:p>
      <w:pPr>
        <w:ind w:firstLine="420"/>
        <w:jc w:val="left"/>
        <w:spacing w:line="360" w:lineRule="auto"/>
        <w:widowControl/>
        <w:rPr>
          <w:rFonts w:ascii="宋体" w:hAnsi="宋体" w:cs="宋体"/>
          <w:b/>
          <w:szCs w:val="21"/>
        </w:rPr>
      </w:pPr>
      <w:r>
        <w:rPr>
          <w:rFonts w:hint="eastAsia" w:ascii="宋体" w:hAnsi="宋体" w:cs="宋体"/>
          <w:szCs w:val="21"/>
        </w:rPr>
        <w:t xml:space="preserve">双方约定的其他工程质量保修事项：</w:t>
      </w:r>
      <w:r>
        <w:rPr>
          <w:rFonts w:hint="eastAsia" w:ascii="宋体" w:hAnsi="宋体" w:cs="宋体"/>
          <w:b/>
          <w:szCs w:val="21"/>
          <w:u w:val="single"/>
        </w:rPr>
        <w:t xml:space="preserve">       /       </w:t>
      </w:r>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本工程质量保修书，由施工合同发包人、承包人双方在竣工验收前共同签署，作为施工合同附件其有效期限至保修期满。</w:t>
      </w:r>
      <w:r/>
    </w:p>
    <w:p>
      <w:pPr>
        <w:spacing w:line="360" w:lineRule="auto"/>
        <w:rPr>
          <w:rFonts w:ascii="宋体" w:hAnsi="宋体" w:cs="宋体"/>
          <w:szCs w:val="21"/>
        </w:rPr>
      </w:pPr>
      <w:r>
        <w:rPr>
          <w:rFonts w:ascii="宋体" w:hAnsi="宋体" w:cs="宋体"/>
          <w:szCs w:val="21"/>
        </w:rPr>
      </w:r>
      <w:r/>
    </w:p>
    <w:p>
      <w:pPr>
        <w:ind w:firstLine="480"/>
        <w:spacing w:line="400" w:lineRule="exact"/>
        <w:rPr>
          <w:rFonts w:ascii="宋体" w:hAnsi="宋体" w:cs="宋体"/>
          <w:sz w:val="24"/>
          <w:szCs w:val="21"/>
        </w:rPr>
      </w:pPr>
      <w:r>
        <w:rPr>
          <w:rFonts w:ascii="宋体" w:hAnsi="宋体" w:cs="宋体"/>
          <w:sz w:val="24"/>
          <w:szCs w:val="21"/>
        </w:rPr>
      </w:r>
      <w:r/>
    </w:p>
    <w:p>
      <w:pPr>
        <w:ind w:firstLine="480"/>
        <w:spacing w:line="400" w:lineRule="exact"/>
        <w:rPr>
          <w:rFonts w:ascii="宋体" w:hAnsi="宋体" w:cs="宋体"/>
          <w:sz w:val="24"/>
          <w:szCs w:val="21"/>
        </w:rPr>
      </w:pPr>
      <w:r>
        <w:rPr>
          <w:rFonts w:ascii="宋体" w:hAnsi="宋体" w:cs="宋体"/>
          <w:sz w:val="24"/>
          <w:szCs w:val="21"/>
        </w:rPr>
      </w:r>
      <w:r/>
    </w:p>
    <w:p>
      <w:pPr>
        <w:ind w:firstLine="420"/>
        <w:spacing w:before="156" w:after="156" w:line="360" w:lineRule="auto"/>
        <w:rPr>
          <w:rFonts w:ascii="宋体" w:hAnsi="宋体" w:cs="宋体"/>
          <w:b/>
          <w:szCs w:val="21"/>
        </w:rPr>
      </w:pPr>
      <w:r>
        <w:rPr>
          <w:rFonts w:hint="eastAsia" w:ascii="宋体" w:hAnsi="宋体" w:cs="宋体"/>
          <w:szCs w:val="21"/>
        </w:rPr>
        <w:t xml:space="preserve">发包人：（盖章） </w:t>
      </w:r>
      <w:r>
        <w:rPr>
          <w:rFonts w:ascii="宋体" w:hAnsi="宋体" w:cs="宋体"/>
          <w:szCs w:val="21"/>
        </w:rPr>
        <w:t xml:space="preserve">              </w:t>
      </w:r>
      <w:r>
        <w:rPr>
          <w:rFonts w:hint="eastAsia" w:ascii="宋体" w:hAnsi="宋体" w:cs="宋体"/>
          <w:szCs w:val="21"/>
        </w:rPr>
        <w:t xml:space="preserve"> </w:t>
      </w:r>
      <w:r>
        <w:rPr>
          <w:rFonts w:hint="eastAsia" w:ascii="宋体" w:hAnsi="宋体" w:cs="宋体"/>
          <w:b/>
          <w:szCs w:val="21"/>
        </w:rPr>
        <w:t xml:space="preserve">       </w:t>
      </w:r>
      <w:r>
        <w:rPr>
          <w:rFonts w:hint="eastAsia" w:ascii="宋体" w:hAnsi="宋体" w:cs="宋体"/>
          <w:szCs w:val="21"/>
        </w:rPr>
        <w:t xml:space="preserve">承包人：（盖章）</w:t>
      </w:r>
      <w:r/>
    </w:p>
    <w:p>
      <w:pPr>
        <w:ind w:firstLine="420"/>
        <w:spacing w:before="156" w:after="156" w:line="360" w:lineRule="auto"/>
        <w:rPr>
          <w:rFonts w:ascii="宋体" w:hAnsi="宋体" w:cs="宋体"/>
          <w:bCs/>
          <w:szCs w:val="21"/>
        </w:rPr>
      </w:pPr>
      <w:r>
        <w:rPr>
          <w:rFonts w:hint="eastAsia" w:ascii="宋体" w:hAnsi="宋体" w:cs="宋体"/>
          <w:szCs w:val="21"/>
        </w:rPr>
        <w:t xml:space="preserve">法定代表人：                            法定代表人：</w:t>
      </w:r>
      <w:r/>
    </w:p>
    <w:p>
      <w:pPr>
        <w:ind w:firstLine="420"/>
        <w:spacing w:before="156" w:after="156" w:line="360" w:lineRule="auto"/>
        <w:rPr>
          <w:rFonts w:ascii="宋体" w:hAnsi="宋体" w:cs="宋体"/>
          <w:bCs/>
          <w:szCs w:val="21"/>
        </w:rPr>
      </w:pPr>
      <w:r>
        <w:rPr>
          <w:rFonts w:hint="eastAsia" w:ascii="宋体" w:hAnsi="宋体" w:cs="宋体"/>
          <w:szCs w:val="21"/>
        </w:rPr>
        <w:t xml:space="preserve">（或授权签约人）：                      （或授权签约人）：</w:t>
      </w:r>
      <w:r/>
    </w:p>
    <w:p>
      <w:pPr>
        <w:ind w:firstLine="420"/>
        <w:spacing w:before="156" w:after="156" w:line="360" w:lineRule="auto"/>
        <w:rPr>
          <w:rFonts w:ascii="宋体" w:hAnsi="宋体" w:cs="宋体"/>
          <w:szCs w:val="21"/>
        </w:rPr>
      </w:pPr>
      <w:r>
        <w:rPr>
          <w:rFonts w:hint="eastAsia" w:ascii="宋体" w:hAnsi="宋体" w:cs="宋体"/>
          <w:szCs w:val="21"/>
        </w:rPr>
        <w:t xml:space="preserve">日期：2026年  月  日                    日期：2026年  月  日</w:t>
      </w:r>
      <w:r/>
    </w:p>
    <w:p>
      <w:pPr>
        <w:ind w:firstLine="420"/>
        <w:spacing w:before="156" w:after="156"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36"/>
        </w:rPr>
      </w:pPr>
      <w:r>
        <w:rPr>
          <w:rFonts w:ascii="宋体" w:hAnsi="宋体" w:cs="宋体"/>
          <w:sz w:val="36"/>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 w:val="32"/>
          <w:szCs w:val="32"/>
        </w:rPr>
      </w:pPr>
      <w:r>
        <w:rPr>
          <w:rFonts w:hint="eastAsia" w:ascii="宋体" w:hAnsi="宋体" w:cs="宋体"/>
          <w:b/>
          <w:bCs/>
          <w:szCs w:val="21"/>
        </w:rPr>
        <w:br w:type="page" w:clear="all"/>
      </w:r>
      <w:r/>
    </w:p>
    <w:p>
      <w:pPr>
        <w:jc w:val="center"/>
        <w:spacing w:line="440" w:lineRule="exact"/>
        <w:rPr>
          <w:rFonts w:ascii="宋体" w:hAnsi="宋体" w:cs="宋体"/>
          <w:bCs/>
        </w:rPr>
      </w:pPr>
      <w:r>
        <w:rPr>
          <w:rFonts w:hint="eastAsia" w:ascii="宋体" w:hAnsi="宋体" w:cs="宋体"/>
          <w:b/>
          <w:sz w:val="28"/>
          <w:szCs w:val="28"/>
        </w:rPr>
        <w:t xml:space="preserve">附件</w:t>
      </w:r>
      <w:r>
        <w:rPr>
          <w:rFonts w:ascii="宋体" w:hAnsi="宋体" w:cs="宋体"/>
          <w:b/>
          <w:sz w:val="28"/>
          <w:szCs w:val="28"/>
        </w:rPr>
        <w:t xml:space="preserve">2</w:t>
      </w:r>
      <w:r>
        <w:rPr>
          <w:rFonts w:hint="eastAsia" w:ascii="宋体" w:hAnsi="宋体" w:cs="宋体"/>
          <w:b/>
          <w:sz w:val="28"/>
          <w:szCs w:val="28"/>
        </w:rPr>
        <w:t xml:space="preserve">：</w:t>
      </w:r>
      <w:r>
        <w:rPr>
          <w:rFonts w:hint="eastAsia" w:ascii="宋体" w:hAnsi="宋体" w:cs="宋体"/>
          <w:b/>
          <w:bCs/>
          <w:sz w:val="32"/>
          <w:szCs w:val="32"/>
        </w:rPr>
        <w:t xml:space="preserve">施工单位安全施工承诺书</w:t>
      </w:r>
      <w:r/>
    </w:p>
    <w:p>
      <w:pPr>
        <w:ind w:firstLine="420"/>
        <w:spacing w:line="360" w:lineRule="auto"/>
        <w:rPr>
          <w:rFonts w:ascii="宋体" w:hAnsi="宋体" w:cs="宋体"/>
          <w:bCs/>
        </w:rPr>
      </w:pPr>
      <w:r>
        <w:rPr>
          <w:rFonts w:ascii="宋体" w:hAnsi="宋体" w:cs="宋体"/>
          <w:bCs/>
        </w:rPr>
      </w:r>
      <w:r/>
    </w:p>
    <w:p>
      <w:pPr>
        <w:ind w:firstLine="420"/>
        <w:spacing w:line="360" w:lineRule="auto"/>
        <w:rPr>
          <w:rFonts w:ascii="宋体" w:hAnsi="宋体" w:cs="宋体"/>
          <w:bCs/>
        </w:rPr>
      </w:pPr>
      <w:r>
        <w:rPr>
          <w:rFonts w:hint="eastAsia" w:ascii="宋体" w:hAnsi="宋体" w:cs="宋体"/>
          <w:bCs/>
        </w:rPr>
        <w:t xml:space="preserve">本单位郑重承诺：在_</w:t>
      </w:r>
      <w:r>
        <w:rPr>
          <w:rFonts w:hint="eastAsia" w:cs="___WRD_EMBED_SUB_55" w:asciiTheme="minorEastAsia" w:hAnsiTheme="minorEastAsia" w:eastAsiaTheme="minorEastAsia"/>
          <w:sz w:val="24"/>
          <w:szCs w:val="24"/>
          <w:u w:val="single"/>
        </w:rPr>
        <w:t xml:space="preserve">皂河站配电设备智能化改造工程</w:t>
      </w:r>
      <w:r>
        <w:rPr>
          <w:rFonts w:hint="eastAsia" w:ascii="宋体" w:hAnsi="宋体" w:cs="宋体"/>
          <w:bCs/>
        </w:rPr>
        <w:t xml:space="preserve">_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20"/>
        <w:spacing w:line="360" w:lineRule="auto"/>
        <w:rPr>
          <w:rFonts w:ascii="宋体" w:hAnsi="宋体" w:cs="宋体"/>
          <w:bCs/>
        </w:rPr>
      </w:pPr>
      <w:r>
        <w:rPr>
          <w:rFonts w:hint="eastAsia" w:ascii="宋体" w:hAnsi="宋体" w:cs="宋体"/>
          <w:bCs/>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20"/>
        <w:spacing w:line="360" w:lineRule="auto"/>
        <w:rPr>
          <w:rFonts w:ascii="宋体" w:hAnsi="宋体" w:cs="宋体"/>
          <w:bCs/>
        </w:rPr>
      </w:pPr>
      <w:r>
        <w:rPr>
          <w:rFonts w:hint="eastAsia" w:ascii="宋体" w:hAnsi="宋体" w:cs="宋体"/>
          <w:bCs/>
        </w:rPr>
        <w:t xml:space="preserve">单位法定代表人</w:t>
      </w:r>
      <w:r>
        <w:rPr>
          <w:rFonts w:hint="eastAsia" w:ascii="宋体" w:hAnsi="宋体" w:cs="宋体"/>
          <w:bCs/>
          <w:u w:val="single"/>
        </w:rPr>
        <w:t xml:space="preserve">_         </w:t>
      </w:r>
      <w:r>
        <w:rPr>
          <w:rFonts w:hint="eastAsia" w:ascii="宋体" w:hAnsi="宋体" w:cs="宋体"/>
          <w:bCs/>
        </w:rPr>
        <w:t xml:space="preserve">授权为本工程项目经理。</w:t>
      </w:r>
      <w:r/>
    </w:p>
    <w:p>
      <w:pPr>
        <w:ind w:firstLine="420"/>
        <w:spacing w:line="360" w:lineRule="auto"/>
        <w:rPr>
          <w:rFonts w:ascii="宋体" w:hAnsi="宋体" w:cs="宋体"/>
          <w:bCs/>
        </w:rPr>
      </w:pPr>
      <w:r>
        <w:rPr>
          <w:rFonts w:hint="eastAsia" w:ascii="宋体" w:hAnsi="宋体" w:cs="宋体"/>
          <w:bCs/>
        </w:rPr>
        <w:t xml:space="preserve">承诺期内，若违反上述承诺内容，本企业和承诺人愿意接受建设行政主管部门及其他有关部门依据有关法律法规给予的处罚。</w:t>
      </w:r>
      <w:r/>
    </w:p>
    <w:tbl>
      <w:tblPr>
        <w:tblStyle w:val="719"/>
        <w:tblW w:w="8774"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1"/>
        <w:gridCol w:w="2073"/>
        <w:gridCol w:w="1634"/>
        <w:gridCol w:w="2596"/>
      </w:tblGrid>
      <w:tr>
        <w:trPr>
          <w:trHeight w:val="820"/>
        </w:trPr>
        <w:tc>
          <w:tcPr>
            <w:tcBorders>
              <w:top w:val="single" w:color="000000" w:sz="4" w:space="0"/>
              <w:left w:val="single" w:color="000000" w:sz="4" w:space="0"/>
              <w:bottom w:val="single" w:color="000000" w:sz="4" w:space="0"/>
              <w:right w:val="single" w:color="000000" w:sz="4" w:space="0"/>
            </w:tcBorders>
            <w:tcW w:w="2471" w:type="dxa"/>
            <w:textDirection w:val="lrTb"/>
            <w:noWrap w:val="false"/>
          </w:tcPr>
          <w:p>
            <w:pPr>
              <w:spacing w:before="156" w:after="120"/>
              <w:rPr>
                <w:rFonts w:ascii="宋体" w:hAnsi="宋体" w:cs="宋体"/>
                <w:szCs w:val="20"/>
                <w:lang w:eastAsia="en-US"/>
              </w:rPr>
            </w:pPr>
            <w:r>
              <w:rPr>
                <w:rFonts w:hint="eastAsia" w:ascii="宋体" w:hAnsi="宋体" w:cs="宋体"/>
                <w:szCs w:val="20"/>
                <w:lang w:eastAsia="en-US"/>
              </w:rPr>
              <w:t xml:space="preserve">法定代表人（签名）</w:t>
            </w:r>
            <w:r/>
          </w:p>
        </w:tc>
        <w:tc>
          <w:tcPr>
            <w:tcBorders>
              <w:top w:val="single" w:color="000000" w:sz="4" w:space="0"/>
              <w:left w:val="single" w:color="000000" w:sz="4" w:space="0"/>
              <w:bottom w:val="single" w:color="000000" w:sz="4" w:space="0"/>
              <w:right w:val="single" w:color="000000" w:sz="4" w:space="0"/>
            </w:tcBorders>
            <w:tcW w:w="2073"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c>
          <w:tcPr>
            <w:tcBorders>
              <w:top w:val="single" w:color="000000" w:sz="4" w:space="0"/>
              <w:left w:val="single" w:color="000000" w:sz="4" w:space="0"/>
              <w:bottom w:val="single" w:color="000000" w:sz="4" w:space="0"/>
              <w:right w:val="single" w:color="000000" w:sz="4" w:space="0"/>
            </w:tcBorders>
            <w:tcW w:w="1634" w:type="dxa"/>
            <w:textDirection w:val="lrTb"/>
            <w:noWrap w:val="false"/>
          </w:tcPr>
          <w:p>
            <w:pPr>
              <w:ind w:firstLine="420"/>
              <w:jc w:val="center"/>
              <w:spacing w:before="156" w:after="120"/>
              <w:rPr>
                <w:rFonts w:ascii="宋体" w:hAnsi="宋体" w:cs="宋体"/>
                <w:szCs w:val="20"/>
                <w:lang w:eastAsia="en-US"/>
              </w:rPr>
            </w:pPr>
            <w:r>
              <w:rPr>
                <w:rFonts w:hint="eastAsia" w:ascii="宋体" w:hAnsi="宋体" w:cs="宋体"/>
                <w:szCs w:val="20"/>
                <w:lang w:eastAsia="en-US"/>
              </w:rPr>
              <w:t xml:space="preserve">承诺日期</w:t>
            </w:r>
            <w:r/>
          </w:p>
        </w:tc>
        <w:tc>
          <w:tcPr>
            <w:tcBorders>
              <w:top w:val="single" w:color="000000" w:sz="4" w:space="0"/>
              <w:left w:val="single" w:color="000000" w:sz="4" w:space="0"/>
              <w:bottom w:val="single" w:color="000000" w:sz="4" w:space="0"/>
              <w:right w:val="single" w:color="000000" w:sz="4" w:space="0"/>
            </w:tcBorders>
            <w:tcW w:w="2595"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r>
      <w:tr>
        <w:trPr>
          <w:trHeight w:val="820"/>
        </w:trPr>
        <w:tc>
          <w:tcPr>
            <w:tcBorders>
              <w:top w:val="single" w:color="000000" w:sz="4" w:space="0"/>
              <w:left w:val="single" w:color="000000" w:sz="4" w:space="0"/>
              <w:bottom w:val="single" w:color="000000" w:sz="4" w:space="0"/>
              <w:right w:val="single" w:color="000000" w:sz="4" w:space="0"/>
            </w:tcBorders>
            <w:tcW w:w="2471" w:type="dxa"/>
            <w:textDirection w:val="lrTb"/>
            <w:noWrap w:val="false"/>
          </w:tcPr>
          <w:p>
            <w:pPr>
              <w:ind w:firstLine="420"/>
              <w:jc w:val="center"/>
              <w:spacing w:before="156" w:after="120"/>
              <w:rPr>
                <w:rFonts w:ascii="宋体" w:hAnsi="宋体" w:cs="宋体"/>
                <w:szCs w:val="20"/>
                <w:lang w:eastAsia="en-US"/>
              </w:rPr>
            </w:pPr>
            <w:r>
              <w:rPr>
                <w:rFonts w:hint="eastAsia" w:ascii="宋体" w:hAnsi="宋体" w:cs="宋体"/>
                <w:szCs w:val="20"/>
                <w:lang w:eastAsia="en-US"/>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303"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r>
      <w:tr>
        <w:trPr>
          <w:trHeight w:val="820"/>
        </w:trPr>
        <w:tc>
          <w:tcPr>
            <w:tcBorders>
              <w:top w:val="single" w:color="000000" w:sz="4" w:space="0"/>
              <w:left w:val="single" w:color="000000" w:sz="4" w:space="0"/>
              <w:bottom w:val="single" w:color="000000" w:sz="4" w:space="0"/>
              <w:right w:val="single" w:color="000000" w:sz="4" w:space="0"/>
            </w:tcBorders>
            <w:tcW w:w="2471" w:type="dxa"/>
            <w:textDirection w:val="lrTb"/>
            <w:noWrap w:val="false"/>
          </w:tcPr>
          <w:p>
            <w:pPr>
              <w:ind w:firstLine="420"/>
              <w:jc w:val="center"/>
              <w:spacing w:before="156" w:after="120"/>
              <w:rPr>
                <w:rFonts w:ascii="宋体" w:hAnsi="宋体" w:cs="宋体"/>
                <w:szCs w:val="20"/>
                <w:lang w:eastAsia="en-US"/>
              </w:rPr>
            </w:pPr>
            <w:r>
              <w:rPr>
                <w:rFonts w:hint="eastAsia" w:ascii="宋体" w:hAnsi="宋体" w:cs="宋体"/>
                <w:szCs w:val="20"/>
                <w:lang w:eastAsia="en-US"/>
              </w:rPr>
              <w:t xml:space="preserve">项目经理（签名）</w:t>
            </w:r>
            <w:r/>
          </w:p>
        </w:tc>
        <w:tc>
          <w:tcPr>
            <w:tcBorders>
              <w:top w:val="single" w:color="000000" w:sz="4" w:space="0"/>
              <w:left w:val="single" w:color="000000" w:sz="4" w:space="0"/>
              <w:bottom w:val="single" w:color="000000" w:sz="4" w:space="0"/>
              <w:right w:val="single" w:color="000000" w:sz="4" w:space="0"/>
            </w:tcBorders>
            <w:tcW w:w="2073"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c>
          <w:tcPr>
            <w:tcBorders>
              <w:top w:val="single" w:color="000000" w:sz="4" w:space="0"/>
              <w:left w:val="single" w:color="000000" w:sz="4" w:space="0"/>
              <w:bottom w:val="single" w:color="000000" w:sz="4" w:space="0"/>
              <w:right w:val="single" w:color="000000" w:sz="4" w:space="0"/>
            </w:tcBorders>
            <w:tcW w:w="1634" w:type="dxa"/>
            <w:textDirection w:val="lrTb"/>
            <w:noWrap w:val="false"/>
          </w:tcPr>
          <w:p>
            <w:pPr>
              <w:ind w:firstLine="420"/>
              <w:jc w:val="center"/>
              <w:spacing w:before="156" w:after="120"/>
              <w:rPr>
                <w:rFonts w:ascii="宋体" w:hAnsi="宋体" w:cs="宋体"/>
                <w:szCs w:val="20"/>
                <w:lang w:eastAsia="en-US"/>
              </w:rPr>
            </w:pPr>
            <w:r>
              <w:rPr>
                <w:rFonts w:hint="eastAsia" w:ascii="宋体" w:hAnsi="宋体" w:cs="宋体"/>
                <w:szCs w:val="20"/>
                <w:lang w:eastAsia="en-US"/>
              </w:rPr>
              <w:t xml:space="preserve">承诺日期</w:t>
            </w:r>
            <w:r/>
          </w:p>
        </w:tc>
        <w:tc>
          <w:tcPr>
            <w:tcBorders>
              <w:top w:val="single" w:color="000000" w:sz="4" w:space="0"/>
              <w:left w:val="single" w:color="000000" w:sz="4" w:space="0"/>
              <w:bottom w:val="single" w:color="000000" w:sz="4" w:space="0"/>
              <w:right w:val="single" w:color="000000" w:sz="4" w:space="0"/>
            </w:tcBorders>
            <w:tcW w:w="2595"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r>
      <w:tr>
        <w:trPr>
          <w:trHeight w:val="799"/>
        </w:trPr>
        <w:tc>
          <w:tcPr>
            <w:tcBorders>
              <w:top w:val="single" w:color="000000" w:sz="4" w:space="0"/>
              <w:left w:val="single" w:color="000000" w:sz="4" w:space="0"/>
              <w:bottom w:val="single" w:color="000000" w:sz="4" w:space="0"/>
              <w:right w:val="single" w:color="000000" w:sz="4" w:space="0"/>
            </w:tcBorders>
            <w:tcW w:w="2471" w:type="dxa"/>
            <w:textDirection w:val="lrTb"/>
            <w:noWrap w:val="false"/>
          </w:tcPr>
          <w:p>
            <w:pPr>
              <w:ind w:firstLine="420"/>
              <w:jc w:val="center"/>
              <w:spacing w:before="156" w:after="120"/>
              <w:rPr>
                <w:rFonts w:ascii="宋体" w:hAnsi="宋体" w:cs="宋体"/>
                <w:szCs w:val="20"/>
                <w:lang w:eastAsia="en-US"/>
              </w:rPr>
            </w:pPr>
            <w:r>
              <w:rPr>
                <w:rFonts w:hint="eastAsia" w:ascii="宋体" w:hAnsi="宋体" w:cs="宋体"/>
                <w:szCs w:val="20"/>
                <w:lang w:eastAsia="en-US"/>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303" w:type="dxa"/>
            <w:textDirection w:val="lrTb"/>
            <w:noWrap w:val="false"/>
          </w:tcPr>
          <w:p>
            <w:pPr>
              <w:ind w:firstLine="420"/>
              <w:jc w:val="center"/>
              <w:spacing w:before="156" w:after="120"/>
              <w:rPr>
                <w:rFonts w:ascii="宋体" w:hAnsi="宋体" w:cs="宋体"/>
                <w:szCs w:val="20"/>
                <w:lang w:eastAsia="en-US"/>
              </w:rPr>
            </w:pPr>
            <w:r>
              <w:rPr>
                <w:rFonts w:ascii="宋体" w:hAnsi="宋体" w:cs="宋体"/>
                <w:szCs w:val="20"/>
                <w:lang w:eastAsia="en-US"/>
              </w:rPr>
            </w:r>
            <w:r/>
          </w:p>
        </w:tc>
      </w:tr>
    </w:tbl>
    <w:p>
      <w:pPr>
        <w:ind w:firstLine="735"/>
        <w:jc w:val="right"/>
        <w:spacing w:line="460" w:lineRule="exact"/>
        <w:outlineLvl w:val="1"/>
      </w:pPr>
      <w:r>
        <w:rPr>
          <w:rFonts w:hint="eastAsia" w:ascii="宋体" w:hAnsi="宋体" w:cs="宋体"/>
        </w:rPr>
        <w:t xml:space="preserve">（单位公章）</w:t>
      </w:r>
      <w:r/>
    </w:p>
    <w:p>
      <w:pPr>
        <w:pStyle w:val="1265"/>
        <w:jc w:val="center"/>
        <w:spacing w:before="156" w:after="156" w:line="360" w:lineRule="auto"/>
        <w:rPr>
          <w:rFonts w:cs="方正仿宋_GB2312" w:asciiTheme="minorEastAsia" w:hAnsiTheme="minorEastAsia" w:eastAsiaTheme="minorEastAsia"/>
        </w:rPr>
      </w:pPr>
      <w:r>
        <w:rPr>
          <w:rFonts w:cs="方正仿宋_GB2312" w:asciiTheme="minorEastAsia" w:hAnsiTheme="minorEastAsia" w:eastAsiaTheme="minorEastAsia"/>
        </w:rPr>
      </w:r>
      <w:r/>
    </w:p>
    <w:p>
      <w:pPr>
        <w:pStyle w:val="1265"/>
        <w:jc w:val="center"/>
        <w:spacing w:before="156" w:after="156" w:line="360" w:lineRule="auto"/>
        <w:rPr>
          <w:rFonts w:cs="方正仿宋_GB2312" w:asciiTheme="minorEastAsia" w:hAnsiTheme="minorEastAsia" w:eastAsiaTheme="minorEastAsia"/>
        </w:rPr>
      </w:pPr>
      <w:r>
        <w:rPr>
          <w:rFonts w:cs="方正仿宋_GB2312" w:asciiTheme="minorEastAsia" w:hAnsiTheme="minorEastAsia" w:eastAsiaTheme="minorEastAsia"/>
        </w:rPr>
      </w:r>
      <w:r/>
    </w:p>
    <w:p>
      <w:pPr>
        <w:pStyle w:val="1265"/>
        <w:jc w:val="center"/>
        <w:spacing w:before="156" w:after="156" w:line="360" w:lineRule="auto"/>
        <w:rPr>
          <w:rFonts w:cs="方正仿宋_GB2312" w:asciiTheme="minorEastAsia" w:hAnsiTheme="minorEastAsia" w:eastAsiaTheme="minorEastAsia"/>
        </w:rPr>
      </w:pPr>
      <w:r>
        <w:rPr>
          <w:rFonts w:cs="方正仿宋_GB2312" w:asciiTheme="minorEastAsia" w:hAnsiTheme="minorEastAsia" w:eastAsiaTheme="minorEastAsia"/>
        </w:rPr>
      </w:r>
      <w:r/>
    </w:p>
    <w:p>
      <w:pPr>
        <w:pStyle w:val="709"/>
        <w:rPr>
          <w:rFonts w:ascii="宋体" w:hAnsi="宋体" w:eastAsia="宋体" w:cs="宋体"/>
          <w:b/>
          <w:bCs/>
          <w:sz w:val="36"/>
          <w:szCs w:val="36"/>
        </w:rPr>
      </w:pPr>
      <w:r>
        <w:rPr>
          <w:rFonts w:hint="eastAsia" w:ascii="宋体" w:hAnsi="宋体" w:eastAsia="宋体" w:cs="宋体"/>
          <w:b/>
          <w:bCs/>
          <w:sz w:val="36"/>
          <w:szCs w:val="36"/>
        </w:rPr>
        <w:t xml:space="preserve">第</w:t>
      </w:r>
      <w:bookmarkEnd w:id="211"/>
      <w:r>
        <w:rPr>
          <w:rFonts w:hint="eastAsia" w:ascii="宋体" w:hAnsi="宋体" w:eastAsia="宋体" w:cs="宋体"/>
          <w:b/>
          <w:bCs/>
          <w:sz w:val="36"/>
          <w:szCs w:val="36"/>
        </w:rPr>
        <w:t xml:space="preserve">四章  采购需求</w:t>
      </w:r>
      <w:bookmarkEnd w:id="212"/>
      <w:r/>
      <w:bookmarkEnd w:id="213"/>
      <w:r/>
      <w:bookmarkEnd w:id="214"/>
      <w:r/>
      <w:bookmarkEnd w:id="215"/>
      <w:r/>
      <w:bookmarkStart w:id="222" w:name="_Toc26554093"/>
      <w:r/>
      <w:bookmarkStart w:id="223" w:name="_Toc49090575"/>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项目属性：工程类项目</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本项目采购标的对应的中小企业划分标准所属行业：建筑业。</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本项目不接受进口产品。</w:t>
      </w:r>
      <w:r/>
    </w:p>
    <w:p>
      <w:pPr>
        <w:ind w:firstLine="422"/>
        <w:spacing w:before="156" w:after="156" w:line="360" w:lineRule="auto"/>
        <w:rPr>
          <w:rFonts w:cs="宋体" w:asciiTheme="minorEastAsia" w:hAnsiTheme="minorEastAsia" w:eastAsiaTheme="minorEastAsia"/>
          <w:b/>
          <w:bCs/>
          <w:szCs w:val="21"/>
        </w:rPr>
      </w:pPr>
      <w:r/>
      <w:bookmarkStart w:id="224" w:name="_Toc31680"/>
      <w:r/>
      <w:bookmarkStart w:id="225" w:name="_Toc1822"/>
      <w:r>
        <w:rPr>
          <w:rFonts w:hint="eastAsia" w:cs="宋体" w:asciiTheme="minorEastAsia" w:hAnsiTheme="minorEastAsia" w:eastAsiaTheme="minorEastAsia"/>
          <w:b/>
          <w:bCs/>
          <w:szCs w:val="21"/>
        </w:rPr>
        <w:t xml:space="preserve">一、项目概况</w:t>
      </w:r>
      <w:bookmarkEnd w:id="224"/>
      <w:r/>
      <w:bookmarkEnd w:id="225"/>
      <w:r/>
      <w:r/>
    </w:p>
    <w:p>
      <w:pPr>
        <w:ind w:firstLine="420"/>
        <w:spacing w:line="360" w:lineRule="auto"/>
        <w:rPr>
          <w:rFonts w:cs="宋体" w:asciiTheme="minorEastAsia" w:hAnsiTheme="minorEastAsia" w:eastAsiaTheme="minorEastAsia"/>
          <w:szCs w:val="21"/>
        </w:rPr>
      </w:pPr>
      <w:r/>
      <w:bookmarkStart w:id="226" w:name="_Toc867"/>
      <w:r/>
      <w:bookmarkStart w:id="227" w:name="_Toc13347"/>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项目名称：皂河站配电设备智能化改造工程</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（二）采购方式：竞争性磋商</w:t>
      </w:r>
      <w:r/>
    </w:p>
    <w:p>
      <w:pPr>
        <w:ind w:firstLine="480"/>
        <w:spacing w:line="480" w:lineRule="exact"/>
        <w:rPr>
          <w:rFonts w:cs="宋体" w:asciiTheme="minorEastAsia" w:hAnsiTheme="minorEastAsia" w:eastAsiaTheme="minorEastAsia"/>
          <w:szCs w:val="21"/>
        </w:rPr>
      </w:pPr>
      <w:r/>
      <w:bookmarkStart w:id="228" w:name="_Toc21691"/>
      <w:r/>
      <w:bookmarkStart w:id="229" w:name="_Toc2344"/>
      <w:r>
        <w:rPr>
          <w:rFonts w:hint="eastAsia" w:cs="宋体" w:asciiTheme="minorEastAsia" w:hAnsiTheme="minorEastAsia" w:eastAsiaTheme="minorEastAsia"/>
          <w:szCs w:val="21"/>
        </w:rPr>
        <w:t xml:space="preserve">（三）最高限价：</w:t>
      </w:r>
      <w:bookmarkEnd w:id="228"/>
      <w:r/>
      <w:bookmarkEnd w:id="229"/>
      <w:r>
        <w:rPr>
          <w:rFonts w:hint="eastAsia" w:cs="宋体" w:asciiTheme="minorEastAsia" w:hAnsiTheme="minorEastAsia" w:eastAsiaTheme="minorEastAsia"/>
          <w:szCs w:val="21"/>
        </w:rPr>
        <w:t xml:space="preserve">1948935元（其中皂河站高压开关柜改造633595元；皂河站低压开关柜改造816569元；皂河站辅机控制系统改造498771元）。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（四）工期：60日历天（具体时间以项目开工报告时间为准）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（五）主要内容：</w:t>
      </w:r>
      <w:bookmarkStart w:id="230" w:name="OLE_LINK4"/>
      <w:r/>
      <w:bookmarkStart w:id="231" w:name="OLE_LINK3"/>
      <w:r>
        <w:rPr>
          <w:rFonts w:hint="eastAsia" w:cs="宋体" w:asciiTheme="minorEastAsia" w:hAnsiTheme="minorEastAsia" w:eastAsiaTheme="minorEastAsia"/>
          <w:szCs w:val="21"/>
        </w:rPr>
        <w:t xml:space="preserve">皂河站配电设备智能化改造工程，本次主要内容为皂河站高压开关柜改造、皂河站低压开关柜改造、皂河站辅机控制系统改造。</w:t>
      </w:r>
      <w:bookmarkEnd w:id="230"/>
      <w:r/>
      <w:bookmarkEnd w:id="231"/>
      <w:r/>
      <w:r/>
    </w:p>
    <w:p>
      <w:pPr>
        <w:ind w:firstLine="420"/>
        <w:spacing w:line="360" w:lineRule="auto"/>
        <w:rPr>
          <w:rFonts w:cs="宋体" w:asciiTheme="minorEastAsia" w:hAnsiTheme="minorEastAsia" w:eastAsiaTheme="minorEastAsia"/>
          <w:szCs w:val="21"/>
        </w:rPr>
      </w:pPr>
      <w:r/>
      <w:bookmarkStart w:id="232" w:name="_Toc28279"/>
      <w:r/>
      <w:bookmarkStart w:id="233" w:name="_Toc25504"/>
      <w:r>
        <w:rPr>
          <w:rFonts w:hint="eastAsia" w:cs="宋体" w:asciiTheme="minorEastAsia" w:hAnsiTheme="minorEastAsia" w:eastAsiaTheme="minorEastAsia"/>
          <w:szCs w:val="21"/>
        </w:rPr>
        <w:t xml:space="preserve">（六）缺陷责任期：</w:t>
      </w:r>
      <w:bookmarkEnd w:id="232"/>
      <w:r/>
      <w:bookmarkEnd w:id="233"/>
      <w:r>
        <w:rPr>
          <w:rFonts w:hint="eastAsia" w:cs="宋体" w:asciiTheme="minorEastAsia" w:hAnsiTheme="minorEastAsia" w:eastAsiaTheme="minorEastAsia"/>
          <w:szCs w:val="21"/>
        </w:rPr>
        <w:t xml:space="preserve">2年。</w:t>
      </w:r>
      <w:r/>
    </w:p>
    <w:p>
      <w:pPr>
        <w:ind w:firstLine="420"/>
        <w:spacing w:line="360" w:lineRule="auto"/>
        <w:rPr>
          <w:rFonts w:cs="宋体" w:asciiTheme="minorEastAsia" w:hAnsiTheme="minorEastAsia" w:eastAsiaTheme="minorEastAsia"/>
          <w:szCs w:val="21"/>
        </w:rPr>
      </w:pPr>
      <w:r/>
      <w:bookmarkStart w:id="234" w:name="_Toc12952"/>
      <w:r/>
      <w:bookmarkStart w:id="235" w:name="_Toc32201"/>
      <w:r>
        <w:rPr>
          <w:rFonts w:hint="eastAsia" w:cs="宋体" w:asciiTheme="minorEastAsia" w:hAnsiTheme="minorEastAsia" w:eastAsiaTheme="minorEastAsia"/>
          <w:szCs w:val="21"/>
        </w:rPr>
        <w:t xml:space="preserve">（七）质量要求：合格。</w:t>
      </w:r>
      <w:bookmarkEnd w:id="234"/>
      <w:r/>
      <w:bookmarkEnd w:id="235"/>
      <w:r/>
      <w:bookmarkStart w:id="236" w:name="_Toc16653"/>
      <w:r/>
      <w:bookmarkStart w:id="237" w:name="_Toc18603"/>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（八）付款方式：</w:t>
      </w:r>
      <w:bookmarkEnd w:id="236"/>
      <w:r/>
      <w:bookmarkEnd w:id="237"/>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bookmarkStart w:id="238" w:name="OLE_LINK16"/>
      <w:r>
        <w:rPr>
          <w:rFonts w:hint="eastAsia" w:cs="宋体" w:asciiTheme="minorEastAsia" w:hAnsiTheme="minorEastAsia" w:eastAsiaTheme="minorEastAsia"/>
          <w:color w:val="000000" w:themeColor="text1"/>
          <w:szCs w:val="21"/>
          <w14:textFill>
            <w14:solidFill>
              <w14:schemeClr w14:val="tx1"/>
            </w14:solidFill>
          </w14:textFill>
        </w:rPr>
        <w:t xml:space="preserve">预付款：</w:t>
      </w:r>
      <w:bookmarkStart w:id="239" w:name="OLE_LINK10"/>
      <w:r/>
      <w:bookmarkStart w:id="240" w:name="OLE_LINK9"/>
      <w:r>
        <w:rPr>
          <w:rFonts w:hint="eastAsia" w:cs="宋体" w:asciiTheme="minorEastAsia" w:hAnsiTheme="minorEastAsia" w:eastAsiaTheme="minorEastAsia"/>
          <w:bCs/>
          <w:color w:val="000000" w:themeColor="text1"/>
          <w:szCs w:val="21"/>
          <w14:textFill>
            <w14:solidFill>
              <w14:schemeClr w14:val="tx1"/>
            </w14:solidFill>
          </w14:textFill>
        </w:rPr>
        <w:t xml:space="preserve">合同签订后，承包人向发包人提供合同价30%的预付款保函后，发包人支付合同价的30%作为预付款;</w:t>
      </w:r>
      <w:bookmarkEnd w:id="239"/>
      <w:r/>
      <w:bookmarkEnd w:id="240"/>
      <w:r>
        <w:rPr>
          <w:rFonts w:hint="eastAsia"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进度款：</w:t>
      </w:r>
      <w:r>
        <w:rPr>
          <w:rFonts w:hint="eastAsia" w:cs="宋体" w:asciiTheme="minorEastAsia" w:hAnsiTheme="minorEastAsia" w:eastAsiaTheme="minorEastAsia"/>
          <w:bCs/>
          <w:color w:val="000000" w:themeColor="text1"/>
          <w:szCs w:val="21"/>
          <w:lang w:val="zh-CN"/>
          <w14:textFill>
            <w14:solidFill>
              <w14:schemeClr w14:val="tx1"/>
            </w14:solidFill>
          </w14:textFill>
        </w:rPr>
        <w:t xml:space="preserve">工程竣工验收合格后，承包人付合同价款的3%至发包人账户作为质保金后，发包人付至合同价款的100%，质保金待质保期（</w:t>
      </w:r>
      <w:r>
        <w:rPr>
          <w:rFonts w:hint="eastAsia" w:cs="宋体" w:asciiTheme="minorEastAsia" w:hAnsiTheme="minorEastAsia" w:eastAsiaTheme="minorEastAsia"/>
          <w:bCs/>
          <w:color w:val="000000" w:themeColor="text1"/>
          <w:szCs w:val="21"/>
          <w14:textFill>
            <w14:solidFill>
              <w14:schemeClr w14:val="tx1"/>
            </w14:solidFill>
          </w14:textFill>
        </w:rPr>
        <w:t xml:space="preserve">2</w:t>
      </w:r>
      <w:r>
        <w:rPr>
          <w:rFonts w:hint="eastAsia" w:cs="宋体" w:asciiTheme="minorEastAsia" w:hAnsiTheme="minorEastAsia" w:eastAsiaTheme="minorEastAsia"/>
          <w:bCs/>
          <w:color w:val="000000" w:themeColor="text1"/>
          <w:szCs w:val="21"/>
          <w:lang w:val="zh-CN"/>
          <w14:textFill>
            <w14:solidFill>
              <w14:schemeClr w14:val="tx1"/>
            </w14:solidFill>
          </w14:textFill>
        </w:rPr>
        <w:t xml:space="preserve">年）满后返还（无息）。</w:t>
      </w:r>
      <w:r>
        <w:rPr>
          <w:rFonts w:hint="eastAsia" w:cs="宋体" w:asciiTheme="minorEastAsia" w:hAnsiTheme="minorEastAsia" w:eastAsiaTheme="minorEastAsia"/>
          <w:bCs/>
          <w:color w:val="000000" w:themeColor="text1"/>
          <w:szCs w:val="21"/>
          <w14:textFill>
            <w14:solidFill>
              <w14:schemeClr w14:val="tx1"/>
            </w14:solidFill>
          </w14:textFill>
        </w:rPr>
        <w:t xml:space="preserve"> </w:t>
      </w:r>
      <w:bookmarkEnd w:id="238"/>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注：在签订合同时，供应商明确表示无需预付款或者主动要求降低预付款比例的，采购人可不适用前述规定。支付方式可以通过转账等方式。</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22"/>
        <w:spacing w:before="156" w:after="156"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w:t>
      </w:r>
      <w:r>
        <w:rPr>
          <w:rFonts w:cs="宋体" w:asciiTheme="minorEastAsia" w:hAnsiTheme="minorEastAsia" w:eastAsiaTheme="minorEastAsia"/>
          <w:b/>
          <w:bCs/>
          <w:szCs w:val="21"/>
        </w:rPr>
        <w:t xml:space="preserve">工程</w:t>
      </w:r>
      <w:r>
        <w:rPr>
          <w:rFonts w:hint="eastAsia" w:cs="宋体" w:asciiTheme="minorEastAsia" w:hAnsiTheme="minorEastAsia" w:eastAsiaTheme="minorEastAsia"/>
          <w:b/>
          <w:bCs/>
          <w:szCs w:val="21"/>
        </w:rPr>
        <w:t xml:space="preserve">背景及目标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皂河抽水站位于</w:t>
      </w:r>
      <w:bookmarkStart w:id="241" w:name="OLE_LINK11"/>
      <w:r>
        <w:rPr>
          <w:rFonts w:hint="eastAsia" w:cs="宋体" w:asciiTheme="minorEastAsia" w:hAnsiTheme="minorEastAsia" w:eastAsiaTheme="minorEastAsia"/>
          <w:szCs w:val="21"/>
        </w:rPr>
        <w:t xml:space="preserve">江苏省宿迁市宿豫区皂河镇境内</w:t>
      </w:r>
      <w:bookmarkEnd w:id="241"/>
      <w:r>
        <w:rPr>
          <w:rFonts w:hint="eastAsia" w:cs="宋体" w:asciiTheme="minorEastAsia" w:hAnsiTheme="minorEastAsia" w:eastAsiaTheme="minorEastAsia"/>
          <w:szCs w:val="21"/>
        </w:rPr>
        <w:t xml:space="preserve">，主要任务是将刘老涧梯级泵站抽送的北调水抽入骆马湖，实现向骆马湖送水175m³/s的目标，并结合邳洪河和黄墩湖地区排涝。皂河抽水站装设6HL-70立式全调节导叶式混流泵2台套，水泵设计扬程4.78m，设计流量100m³/s，叶轮直径5.70m，转速75r/min，配用TL7000-80/7400型立式同步电动机，单机额定容量7000kW，电机额定电压10kV，总装机容量14000kW。皂河抽水站采用钟形进水流道，双螺旋蜗壳式出水室，平直管出水流道，采用快速闸门断流。</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cs="Segoe UI" w:asciiTheme="minorEastAsia" w:hAnsiTheme="minorEastAsia" w:eastAsiaTheme="minorEastAsia"/>
          <w:color w:val="0f1115"/>
          <w:sz w:val="21"/>
          <w:szCs w:val="21"/>
        </w:rPr>
        <w:t xml:space="preserve">皂河抽水站现有高压开关柜、辅机控制系统及低压配电设备，分别历经多年及2010—2011年改造后的超十五年连续运行，普遍存在设备老化严重、技术性能落后、智能化管控功能缺失等共性问题，已难以适应当前泵站安全、高效、智能化运行的要求，并给工程长期稳定运行埋下安全隐患。</w:t>
      </w:r>
      <w:r/>
    </w:p>
    <w:p>
      <w:pPr>
        <w:pStyle w:val="1320"/>
        <w:ind w:left="482"/>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asciiTheme="minorEastAsia" w:hAnsiTheme="minorEastAsia" w:eastAsiaTheme="minorEastAsia"/>
          <w:bCs/>
          <w:sz w:val="21"/>
          <w:szCs w:val="21"/>
        </w:rPr>
        <w:t xml:space="preserve">（一）</w:t>
      </w:r>
      <w:r>
        <w:rPr>
          <w:rFonts w:asciiTheme="minorEastAsia" w:hAnsiTheme="minorEastAsia" w:eastAsiaTheme="minorEastAsia"/>
          <w:bCs/>
          <w:sz w:val="21"/>
          <w:szCs w:val="21"/>
        </w:rPr>
        <w:t xml:space="preserve">具体问题表现如下：</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高压开关柜方面</w:t>
      </w:r>
      <w:r>
        <w:rPr>
          <w:rFonts w:cs="Segoe UI" w:asciiTheme="minorEastAsia" w:hAnsiTheme="minorEastAsia" w:eastAsiaTheme="minorEastAsia"/>
          <w:color w:val="0f1115"/>
          <w:sz w:val="21"/>
          <w:szCs w:val="21"/>
        </w:rPr>
        <w:t xml:space="preserve">，现有设备不具备远程操作、在线监测、故障诊断及状态评估功能，断路器无法电动摇进/摇出，缺乏对触头温度、局放、绝缘等关键参数的实时监测，也无法与泵站智能管控系统进行数据交互与协同控制，存在操作繁琐、运维成本高、故障响应滞后等突出问题，严重制约了泵站自动化、智能化水平的提升。</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辅机控制系统方面</w:t>
      </w:r>
      <w:r>
        <w:rPr>
          <w:rFonts w:cs="Segoe UI" w:asciiTheme="minorEastAsia" w:hAnsiTheme="minorEastAsia" w:eastAsiaTheme="minorEastAsia"/>
          <w:color w:val="0f1115"/>
          <w:sz w:val="21"/>
          <w:szCs w:val="21"/>
        </w:rPr>
        <w:t xml:space="preserve">，目前仅供水系统可实现远程控制，气、油、排水等相关设备仍局限于就地操作，无远程控制及智能在线监测装置，无法满足辅机系统集中管控和智慧运行的需要。</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cs="Segoe UI" w:asciiTheme="minorEastAsia" w:hAnsiTheme="minorEastAsia" w:eastAsiaTheme="minorEastAsia"/>
          <w:color w:val="0f1115"/>
          <w:sz w:val="21"/>
          <w:szCs w:val="21"/>
        </w:rPr>
        <w:t xml:space="preserve">3</w:t>
      </w:r>
      <w:r>
        <w:rPr>
          <w:rFonts w:hint="eastAsia" w:cs="Segoe UI" w:asciiTheme="minorEastAsia" w:hAnsiTheme="minorEastAsia" w:eastAsiaTheme="minorEastAsia"/>
          <w:color w:val="0f1115"/>
          <w:sz w:val="21"/>
          <w:szCs w:val="21"/>
        </w:rPr>
        <w:t xml:space="preserve">、</w:t>
      </w:r>
      <w:r>
        <w:rPr>
          <w:rFonts w:asciiTheme="minorEastAsia" w:hAnsiTheme="minorEastAsia" w:eastAsiaTheme="minorEastAsia"/>
          <w:bCs/>
          <w:sz w:val="21"/>
          <w:szCs w:val="21"/>
        </w:rPr>
        <w:t xml:space="preserve">低压开关柜方面</w:t>
      </w:r>
      <w:r>
        <w:rPr>
          <w:rFonts w:cs="Segoe UI" w:asciiTheme="minorEastAsia" w:hAnsiTheme="minorEastAsia" w:eastAsiaTheme="minorEastAsia"/>
          <w:color w:val="0f1115"/>
          <w:sz w:val="21"/>
          <w:szCs w:val="21"/>
        </w:rPr>
        <w:t xml:space="preserve">，设备老化且智能化水平偏低，面对日益增多的极端恶劣天气，供电可靠性和高强度运行保障能力存在不足，安全隐患不容忽视。</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asciiTheme="minorEastAsia" w:hAnsiTheme="minorEastAsia" w:eastAsiaTheme="minorEastAsia"/>
          <w:bCs/>
          <w:sz w:val="21"/>
          <w:szCs w:val="21"/>
        </w:rPr>
        <w:t xml:space="preserve">（二）</w:t>
      </w:r>
      <w:r>
        <w:rPr>
          <w:rFonts w:asciiTheme="minorEastAsia" w:hAnsiTheme="minorEastAsia" w:eastAsiaTheme="minorEastAsia"/>
          <w:bCs/>
          <w:sz w:val="21"/>
          <w:szCs w:val="21"/>
        </w:rPr>
        <w:t xml:space="preserve">改造目标与措施：</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cs="Segoe UI" w:asciiTheme="minorEastAsia" w:hAnsiTheme="minorEastAsia" w:eastAsiaTheme="minorEastAsia"/>
          <w:color w:val="0f1115"/>
          <w:sz w:val="21"/>
          <w:szCs w:val="21"/>
        </w:rPr>
        <w:t xml:space="preserve">为消除安全隐患、提升设备健康管理水平，并积极响应水利厅建设智能泵站的部署要求，我站拟实施系统性智能化改造：</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高压部分</w:t>
      </w:r>
      <w:r>
        <w:rPr>
          <w:rFonts w:cs="Segoe UI" w:asciiTheme="minorEastAsia" w:hAnsiTheme="minorEastAsia" w:eastAsiaTheme="minorEastAsia"/>
          <w:color w:val="0f1115"/>
          <w:sz w:val="21"/>
          <w:szCs w:val="21"/>
        </w:rPr>
        <w:t xml:space="preserve">：拆除原有6台高压开关柜，更换为具备一键顺控、电动底盘车、电动接地开关、在线监测、视频可视化及智能保护终端等功能的新型KYN28-12智能高压开关柜，实现对断路器机械特性、电气特性、温度、局放、绝缘状态的实时监测与健康管理，数据可就地数字化显示并上传至智能泵站系统。</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cs="Segoe UI" w:asciiTheme="minorEastAsia" w:hAnsiTheme="minorEastAsia" w:eastAsiaTheme="minorEastAsia"/>
          <w:color w:val="0f1115"/>
          <w:sz w:val="21"/>
          <w:szCs w:val="21"/>
        </w:rPr>
        <w:t xml:space="preserve">2</w:t>
      </w:r>
      <w:r>
        <w:rPr>
          <w:rFonts w:hint="eastAsia" w:cs="Segoe UI" w:asciiTheme="minorEastAsia" w:hAnsiTheme="minorEastAsia" w:eastAsiaTheme="minorEastAsia"/>
          <w:color w:val="0f1115"/>
          <w:sz w:val="21"/>
          <w:szCs w:val="21"/>
        </w:rPr>
        <w:t xml:space="preserve">、</w:t>
      </w:r>
      <w:r>
        <w:rPr>
          <w:rFonts w:cs="Segoe UI" w:asciiTheme="minorEastAsia" w:hAnsiTheme="minorEastAsia" w:eastAsiaTheme="minorEastAsia"/>
          <w:color w:val="0f1115"/>
          <w:sz w:val="21"/>
          <w:szCs w:val="21"/>
        </w:rPr>
        <w:t xml:space="preserve">辅机部分：实施辅机自动化升级改造，实现全部辅机动力控制柜远程操控，增设设备在线状态监测功能，并将辅机运行数据统一接入泵站智能管控平台</w:t>
      </w:r>
      <w:r>
        <w:rPr>
          <w:rFonts w:hint="eastAsia" w:cs="Segoe UI" w:asciiTheme="minorEastAsia" w:hAnsiTheme="minorEastAsia" w:eastAsiaTheme="minorEastAsia"/>
          <w:color w:val="0f1115"/>
          <w:sz w:val="21"/>
          <w:szCs w:val="21"/>
        </w:rPr>
        <w:t xml:space="preserve">。</w:t>
      </w:r>
      <w:r/>
    </w:p>
    <w:p>
      <w:pPr>
        <w:ind w:firstLine="420"/>
        <w:spacing w:line="360" w:lineRule="auto"/>
        <w:rPr>
          <w:rFonts w:cs="Segoe UI" w:asciiTheme="minorEastAsia" w:hAnsiTheme="minorEastAsia" w:eastAsiaTheme="minorEastAsia"/>
          <w:color w:val="0f1115"/>
          <w:szCs w:val="21"/>
        </w:rPr>
      </w:pPr>
      <w:r>
        <w:rPr>
          <w:rFonts w:hint="eastAsia" w:cs="Segoe UI" w:asciiTheme="minorEastAsia" w:hAnsiTheme="minorEastAsia" w:eastAsiaTheme="minorEastAsia"/>
          <w:color w:val="0f1115"/>
          <w:szCs w:val="21"/>
        </w:rPr>
        <w:t xml:space="preserve">3、</w:t>
      </w:r>
      <w:r>
        <w:rPr>
          <w:rFonts w:cs="Segoe UI" w:asciiTheme="minorEastAsia" w:hAnsiTheme="minorEastAsia" w:eastAsiaTheme="minorEastAsia"/>
          <w:color w:val="0f1115"/>
          <w:szCs w:val="21"/>
        </w:rPr>
        <w:t xml:space="preserve">低压部分：利用智能设备，实现电参数和温度在线监测与诊断、终端设备监控塑壳断路器、远程控制、故障监测、电能计量和分析等功能。</w:t>
      </w:r>
      <w:r/>
    </w:p>
    <w:p>
      <w:pPr>
        <w:ind w:firstLine="422"/>
        <w:spacing w:before="156" w:after="156"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三、</w:t>
      </w:r>
      <w:r>
        <w:rPr>
          <w:rFonts w:cs="宋体" w:asciiTheme="minorEastAsia" w:hAnsiTheme="minorEastAsia" w:eastAsiaTheme="minorEastAsia"/>
          <w:b/>
          <w:bCs/>
          <w:szCs w:val="21"/>
        </w:rPr>
        <w:t xml:space="preserve">工程维修部位及内容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（一）分项目一：皂河站高压开关柜改造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1.维修部位</w:t>
      </w:r>
      <w:r>
        <w:rPr>
          <w:rFonts w:hint="eastAsia" w:cs="宋体" w:asciiTheme="minorEastAsia" w:hAnsiTheme="minorEastAsia" w:eastAsiaTheme="minorEastAsia"/>
          <w:szCs w:val="21"/>
        </w:rPr>
        <w:t xml:space="preserve">：皂河站</w:t>
      </w:r>
      <w:r>
        <w:rPr>
          <w:rFonts w:cs="宋体" w:asciiTheme="minorEastAsia" w:hAnsiTheme="minorEastAsia" w:eastAsiaTheme="minorEastAsia"/>
          <w:szCs w:val="21"/>
        </w:rPr>
        <w:t xml:space="preserve">10kV高压开关柜。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.维修内容</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更换</w:t>
      </w:r>
      <w:r>
        <w:rPr>
          <w:rFonts w:hint="eastAsia" w:cs="宋体" w:asciiTheme="minorEastAsia" w:hAnsiTheme="minorEastAsia" w:eastAsiaTheme="minorEastAsia"/>
          <w:szCs w:val="21"/>
        </w:rPr>
        <w:t xml:space="preserve">皂河站6</w:t>
      </w:r>
      <w:r>
        <w:rPr>
          <w:rFonts w:cs="宋体" w:asciiTheme="minorEastAsia" w:hAnsiTheme="minorEastAsia" w:eastAsiaTheme="minorEastAsia"/>
          <w:szCs w:val="21"/>
        </w:rPr>
        <w:t xml:space="preserve">台</w:t>
      </w:r>
      <w:r>
        <w:rPr>
          <w:rFonts w:hint="eastAsia" w:cs="宋体" w:asciiTheme="minorEastAsia" w:hAnsiTheme="minorEastAsia" w:eastAsiaTheme="minorEastAsia"/>
          <w:szCs w:val="21"/>
        </w:rPr>
        <w:t xml:space="preserve">10kV高压开关柜（拆除原有6台高开柜及其附属设备，安装6台智能高开柜）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（二）分项目二：皂河站低压开关柜改造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1.维修部位</w:t>
      </w:r>
      <w:r>
        <w:rPr>
          <w:rFonts w:hint="eastAsia" w:cs="宋体" w:asciiTheme="minorEastAsia" w:hAnsiTheme="minorEastAsia" w:eastAsiaTheme="minorEastAsia"/>
          <w:szCs w:val="21"/>
        </w:rPr>
        <w:t xml:space="preserve">：皂河</w:t>
      </w:r>
      <w:r>
        <w:rPr>
          <w:rFonts w:cs="宋体" w:asciiTheme="minorEastAsia" w:hAnsiTheme="minorEastAsia" w:eastAsiaTheme="minorEastAsia"/>
          <w:szCs w:val="21"/>
        </w:rPr>
        <w:t xml:space="preserve">站</w:t>
      </w:r>
      <w:r>
        <w:rPr>
          <w:rFonts w:hint="eastAsia" w:cs="宋体" w:asciiTheme="minorEastAsia" w:hAnsiTheme="minorEastAsia" w:eastAsiaTheme="minorEastAsia"/>
          <w:szCs w:val="21"/>
        </w:rPr>
        <w:t xml:space="preserve">低</w:t>
      </w:r>
      <w:r>
        <w:rPr>
          <w:rFonts w:cs="宋体" w:asciiTheme="minorEastAsia" w:hAnsiTheme="minorEastAsia" w:eastAsiaTheme="minorEastAsia"/>
          <w:szCs w:val="21"/>
        </w:rPr>
        <w:t xml:space="preserve">压开关柜。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.维修内容</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更换智能</w:t>
      </w:r>
      <w:r>
        <w:rPr>
          <w:rFonts w:hint="eastAsia" w:cs="宋体" w:asciiTheme="minorEastAsia" w:hAnsiTheme="minorEastAsia" w:eastAsiaTheme="minorEastAsia"/>
          <w:szCs w:val="21"/>
        </w:rPr>
        <w:t xml:space="preserve">低</w:t>
      </w:r>
      <w:r>
        <w:rPr>
          <w:rFonts w:cs="宋体" w:asciiTheme="minorEastAsia" w:hAnsiTheme="minorEastAsia" w:eastAsiaTheme="minorEastAsia"/>
          <w:szCs w:val="21"/>
        </w:rPr>
        <w:t xml:space="preserve">压开关柜</w:t>
      </w:r>
      <w:r>
        <w:rPr>
          <w:rFonts w:hint="eastAsia" w:cs="宋体" w:asciiTheme="minorEastAsia" w:hAnsiTheme="minorEastAsia" w:eastAsiaTheme="minorEastAsia"/>
          <w:szCs w:val="21"/>
        </w:rPr>
        <w:t xml:space="preserve">12</w:t>
      </w:r>
      <w:r>
        <w:rPr>
          <w:rFonts w:cs="宋体" w:asciiTheme="minorEastAsia" w:hAnsiTheme="minorEastAsia" w:eastAsiaTheme="minorEastAsia"/>
          <w:szCs w:val="21"/>
        </w:rPr>
        <w:t xml:space="preserve">台</w:t>
      </w:r>
      <w:r>
        <w:rPr>
          <w:rFonts w:hint="eastAsia" w:cs="宋体" w:asciiTheme="minorEastAsia" w:hAnsiTheme="minorEastAsia" w:eastAsiaTheme="minorEastAsia"/>
          <w:szCs w:val="21"/>
        </w:rPr>
        <w:t xml:space="preserve">（拆除原有12台低开柜及其附属设备，安装12台智能低开柜）。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（三）分项目三：皂河站辅机控制系统改造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1.维修部位</w:t>
      </w:r>
      <w:r>
        <w:rPr>
          <w:rFonts w:hint="eastAsia" w:cs="宋体" w:asciiTheme="minorEastAsia" w:hAnsiTheme="minorEastAsia" w:eastAsiaTheme="minorEastAsia"/>
          <w:szCs w:val="21"/>
        </w:rPr>
        <w:t xml:space="preserve">：皂河</w:t>
      </w:r>
      <w:r>
        <w:rPr>
          <w:rFonts w:cs="宋体" w:asciiTheme="minorEastAsia" w:hAnsiTheme="minorEastAsia" w:eastAsiaTheme="minorEastAsia"/>
          <w:szCs w:val="21"/>
        </w:rPr>
        <w:t xml:space="preserve">站</w:t>
      </w:r>
      <w:r>
        <w:rPr>
          <w:rFonts w:hint="eastAsia" w:cs="宋体" w:asciiTheme="minorEastAsia" w:hAnsiTheme="minorEastAsia" w:eastAsiaTheme="minorEastAsia"/>
          <w:szCs w:val="21"/>
        </w:rPr>
        <w:t xml:space="preserve">厂房联轴层辅机动力箱</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.维修内容</w:t>
      </w:r>
      <w:r>
        <w:rPr>
          <w:rFonts w:hint="eastAsia" w:cs="宋体" w:asciiTheme="minorEastAsia" w:hAnsiTheme="minorEastAsia" w:eastAsiaTheme="minorEastAsia"/>
          <w:szCs w:val="21"/>
        </w:rPr>
        <w:t xml:space="preserve">：</w:t>
      </w:r>
      <w:bookmarkEnd w:id="226"/>
      <w:r/>
      <w:bookmarkEnd w:id="227"/>
      <w:r/>
      <w:bookmarkStart w:id="242" w:name="_Toc12263"/>
      <w:r/>
      <w:bookmarkStart w:id="243" w:name="_Toc22019"/>
      <w:r>
        <w:rPr>
          <w:rFonts w:cs="宋体" w:asciiTheme="minorEastAsia" w:hAnsiTheme="minorEastAsia" w:eastAsiaTheme="minorEastAsia"/>
          <w:szCs w:val="21"/>
        </w:rPr>
        <w:t xml:space="preserve"> </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cs="Segoe UI" w:asciiTheme="minorEastAsia" w:hAnsiTheme="minorEastAsia" w:eastAsiaTheme="minorEastAsia"/>
          <w:color w:val="0f1115"/>
          <w:sz w:val="21"/>
          <w:szCs w:val="21"/>
        </w:rPr>
        <w:t xml:space="preserve">（1）拆除原有滤水器控制柜、厂房通风控制柜、水泵层动力柜、排水泵动力箱、空压机动力柜；</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cs="Segoe UI" w:asciiTheme="minorEastAsia" w:hAnsiTheme="minorEastAsia" w:eastAsiaTheme="minorEastAsia"/>
          <w:color w:val="0f1115"/>
          <w:sz w:val="21"/>
          <w:szCs w:val="21"/>
        </w:rPr>
        <w:t xml:space="preserve">（2）安装新的1#辅机动力箱、2#辅机动力箱、供排水泵动力箱、空压机动力箱、检修动力箱；</w:t>
      </w:r>
      <w:r/>
    </w:p>
    <w:p>
      <w:pPr>
        <w:pStyle w:val="1320"/>
        <w:ind w:firstLine="420"/>
        <w:jc w:val="both"/>
        <w:spacing w:before="0" w:beforeAutospacing="0" w:after="0" w:afterAutospacing="0" w:line="360" w:lineRule="auto"/>
        <w:shd w:val="clear" w:color="auto" w:fill="ffffff"/>
        <w:rPr>
          <w:rFonts w:cs="Segoe UI" w:asciiTheme="minorEastAsia" w:hAnsiTheme="minorEastAsia" w:eastAsiaTheme="minorEastAsia"/>
          <w:color w:val="0f1115"/>
          <w:sz w:val="21"/>
          <w:szCs w:val="21"/>
        </w:rPr>
      </w:pPr>
      <w:r>
        <w:rPr>
          <w:rFonts w:hint="eastAsia" w:cs="Segoe UI" w:asciiTheme="minorEastAsia" w:hAnsiTheme="minorEastAsia" w:eastAsiaTheme="minorEastAsia"/>
          <w:color w:val="0f1115"/>
          <w:sz w:val="21"/>
          <w:szCs w:val="21"/>
        </w:rPr>
        <w:t xml:space="preserve">（3）对新安装的动力箱进行功能调试。</w:t>
      </w:r>
      <w:r/>
    </w:p>
    <w:p>
      <w:pPr>
        <w:ind w:firstLine="420"/>
        <w:spacing w:line="360" w:lineRule="auto"/>
        <w:rPr>
          <w:rFonts w:cs="宋体" w:asciiTheme="minorEastAsia" w:hAnsiTheme="minorEastAsia" w:eastAsiaTheme="minorEastAsia"/>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cs="宋体" w:asciiTheme="minorEastAsia" w:hAnsiTheme="minorEastAsia" w:eastAsiaTheme="minorEastAsia"/>
          <w:szCs w:val="21"/>
        </w:rPr>
      </w:r>
      <w:r/>
    </w:p>
    <w:p>
      <w:pPr>
        <w:ind w:firstLine="422"/>
        <w:spacing w:before="159" w:after="159"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四、工程量清单</w:t>
      </w:r>
      <w:bookmarkEnd w:id="242"/>
      <w:r/>
      <w:bookmarkEnd w:id="243"/>
      <w:r/>
      <w:bookmarkStart w:id="244" w:name="_Toc24078"/>
      <w:r/>
      <w:r/>
    </w:p>
    <w:tbl>
      <w:tblPr>
        <w:tblStyle w:val="775"/>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378"/>
        <w:gridCol w:w="7461"/>
        <w:gridCol w:w="879"/>
        <w:gridCol w:w="892"/>
        <w:gridCol w:w="1605"/>
      </w:tblGrid>
      <w:tr>
        <w:trPr>
          <w:trHeight w:val="514"/>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bookmarkStart w:id="245" w:name="_Hlk233817482"/>
            <w:r/>
            <w:bookmarkStart w:id="246" w:name="_Toc13732"/>
            <w:r>
              <w:rPr>
                <w:rFonts w:cs="宋体" w:asciiTheme="minorEastAsia" w:hAnsiTheme="minorEastAsia" w:eastAsiaTheme="minorEastAsia"/>
                <w:szCs w:val="21"/>
              </w:rPr>
              <w:t xml:space="preserve">序号</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分项工程名称</w:t>
            </w:r>
            <w:r/>
          </w:p>
        </w:tc>
        <w:tc>
          <w:tcPr>
            <w:tcW w:w="7461"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规格型号</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单位</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数量</w:t>
            </w:r>
            <w:r/>
          </w:p>
        </w:tc>
        <w:tc>
          <w:tcPr>
            <w:tcW w:w="1605"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备注</w:t>
            </w:r>
            <w:r/>
          </w:p>
        </w:tc>
      </w:tr>
      <w:tr>
        <w:trPr>
          <w:trHeight w:val="514"/>
        </w:trPr>
        <w:tc>
          <w:tcPr>
            <w:gridSpan w:val="6"/>
            <w:tcW w:w="14144" w:type="dxa"/>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分项目一：皂河站高压开关柜改造</w:t>
            </w:r>
            <w:r/>
          </w:p>
        </w:tc>
      </w:tr>
      <w:tr>
        <w:trPr>
          <w:trHeight w:val="90"/>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进线开关柜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含电流、电压保护；含拆安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restart"/>
            <w:textDirection w:val="lrTb"/>
            <w:noWrap w:val="false"/>
          </w:tcPr>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具体组件配置详见附件高压开关柜配置清单</w:t>
            </w:r>
            <w:bookmarkEnd w:id="245"/>
            <w:r/>
          </w:p>
        </w:tc>
      </w:tr>
      <w:tr>
        <w:trPr>
          <w:trHeight w:val="6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1#主机开关柜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含主机纵差、横差保护及电机尾端互感器；含拆安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626"/>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2#主机开关柜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含主机纵差、横差保护；含拆安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714"/>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母线设备柜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含智能管理终端系统；含拆安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8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1#站变柜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含电流、电压保护；含拆安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703"/>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6</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2#站变柜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KYN28-12，</w:t>
            </w:r>
            <w:r>
              <w:rPr>
                <w:rFonts w:hint="eastAsia" w:cs="宋体" w:asciiTheme="minorEastAsia" w:hAnsiTheme="minorEastAsia" w:eastAsiaTheme="minorEastAsia"/>
                <w:szCs w:val="21"/>
              </w:rPr>
              <w:t xml:space="preserve">含电流、电压保护；含拆安</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37"/>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p>
        </w:tc>
        <w:tc>
          <w:tcPr>
            <w:tcW w:w="2378" w:type="dxa"/>
            <w:vAlign w:val="center"/>
            <w:textDirection w:val="lrTb"/>
            <w:noWrap w:val="false"/>
          </w:tcPr>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调试</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此项为接入自动化系统调试（</w:t>
            </w:r>
            <w:bookmarkStart w:id="247" w:name="OLE_LINK12"/>
            <w:r/>
            <w:bookmarkStart w:id="248" w:name="OLE_LINK13"/>
            <w:r>
              <w:rPr>
                <w:rFonts w:hint="eastAsia" w:cs="宋体" w:asciiTheme="minorEastAsia" w:hAnsiTheme="minorEastAsia" w:eastAsiaTheme="minorEastAsia"/>
                <w:szCs w:val="21"/>
              </w:rPr>
              <w:t xml:space="preserve">含试验</w:t>
            </w:r>
            <w:bookmarkEnd w:id="247"/>
            <w:r/>
            <w:bookmarkEnd w:id="248"/>
            <w:r>
              <w:rPr>
                <w:rFonts w:hint="eastAsia" w:cs="宋体" w:asciiTheme="minorEastAsia" w:hAnsiTheme="minorEastAsia" w:eastAsiaTheme="minorEastAsia"/>
                <w:szCs w:val="21"/>
              </w:rPr>
              <w:t xml:space="preserve">）</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项</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37"/>
        </w:trPr>
        <w:tc>
          <w:tcPr>
            <w:gridSpan w:val="6"/>
            <w:tcW w:w="14144" w:type="dxa"/>
            <w:textDirection w:val="lrTb"/>
            <w:noWrap w:val="false"/>
          </w:tcPr>
          <w:p>
            <w:pPr>
              <w:jc w:val="center"/>
              <w:spacing w:line="500" w:lineRule="exact"/>
              <w:rPr>
                <w:rFonts w:cs="宋体" w:asciiTheme="minorEastAsia" w:hAnsiTheme="minorEastAsia" w:eastAsiaTheme="minorEastAsia"/>
                <w:szCs w:val="21"/>
              </w:rPr>
              <w:outlineLvl w:val="1"/>
            </w:pPr>
            <w:r>
              <w:rPr>
                <w:rFonts w:hint="eastAsia" w:cs="宋体" w:asciiTheme="minorEastAsia" w:hAnsiTheme="minorEastAsia" w:eastAsiaTheme="minorEastAsia"/>
                <w:szCs w:val="21"/>
              </w:rPr>
              <w:t xml:space="preserve">分项目二：皂河站低压开关柜改造</w:t>
            </w:r>
            <w:r/>
          </w:p>
        </w:tc>
      </w:tr>
      <w:tr>
        <w:trPr>
          <w:trHeight w:val="537"/>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1#励磁动力柜</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restart"/>
            <w:textDirection w:val="lrTb"/>
            <w:noWrap w:val="false"/>
          </w:tcPr>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具体组件配置详见附件低压开关柜配置清单</w:t>
            </w:r>
            <w:r/>
          </w:p>
        </w:tc>
      </w:tr>
      <w:tr>
        <w:trPr>
          <w:trHeight w:val="537"/>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供排水泵动力柜</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37"/>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1#站变进线柜</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90"/>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智能管理终端</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屏幕可通过外部信号唤醒，≥</w:t>
            </w:r>
            <w:r>
              <w:rPr>
                <w:rFonts w:cs="宋体" w:asciiTheme="minorEastAsia" w:hAnsiTheme="minorEastAsia" w:eastAsiaTheme="minorEastAsia"/>
                <w:szCs w:val="21"/>
              </w:rPr>
              <w:t xml:space="preserve">21.5英寸；</w:t>
            </w:r>
            <w:r>
              <w:rPr>
                <w:rFonts w:hint="eastAsia" w:cs="宋体" w:asciiTheme="minorEastAsia" w:hAnsiTheme="minorEastAsia" w:eastAsiaTheme="minorEastAsia"/>
                <w:szCs w:val="21"/>
              </w:rPr>
              <w:t xml:space="preserve">14核20线程 14nm制造工艺，</w:t>
            </w:r>
            <w:r>
              <w:rPr>
                <w:rFonts w:cs="宋体" w:asciiTheme="minorEastAsia" w:hAnsiTheme="minorEastAsia" w:eastAsiaTheme="minorEastAsia"/>
                <w:szCs w:val="21"/>
              </w:rPr>
              <w:t xml:space="preserve">内存</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4G，硬盘</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8G且可扩展，清晰度</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1080P</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90"/>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所变进线柜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37"/>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6</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1#辅机动力柜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高压油泵动力柜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8</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2#辅机动力柜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9</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厂房动力柜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10</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照明柜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11</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2#站变进线柜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12</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冷水机组动力柜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13</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2#励磁动力柜</w:t>
            </w:r>
            <w:r/>
          </w:p>
        </w:tc>
        <w:tc>
          <w:tcPr>
            <w:tcW w:w="7461" w:type="dxa"/>
            <w:vAlign w:val="center"/>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MNS，</w:t>
            </w:r>
            <w:r>
              <w:rPr>
                <w:rFonts w:hint="eastAsia" w:cs="宋体" w:asciiTheme="minorEastAsia" w:hAnsiTheme="minorEastAsia" w:eastAsiaTheme="minorEastAsia"/>
                <w:szCs w:val="21"/>
              </w:rPr>
              <w:t xml:space="preserve">含安装拆除</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50"/>
        </w:trPr>
        <w:tc>
          <w:tcPr>
            <w:tcW w:w="929" w:type="dxa"/>
            <w:vAlign w:val="center"/>
            <w:textDirection w:val="lrTb"/>
            <w:noWrap w:val="false"/>
          </w:tcPr>
          <w:p>
            <w:pPr>
              <w:jc w:val="center"/>
              <w:spacing w:line="500" w:lineRule="exact"/>
              <w:rPr>
                <w:rFonts w:cs="宋体" w:asciiTheme="minorEastAsia" w:hAnsiTheme="minorEastAsia" w:eastAsiaTheme="minorEastAsia"/>
                <w:szCs w:val="21"/>
              </w:rPr>
              <w:outlineLvl w:val="1"/>
            </w:pPr>
            <w:r>
              <w:rPr>
                <w:rFonts w:cs="宋体" w:asciiTheme="minorEastAsia" w:hAnsiTheme="minorEastAsia" w:eastAsiaTheme="minorEastAsia"/>
                <w:szCs w:val="21"/>
              </w:rPr>
              <w:t xml:space="preserve">14</w:t>
            </w:r>
            <w:r/>
          </w:p>
        </w:tc>
        <w:tc>
          <w:tcPr>
            <w:tcW w:w="2378"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调试</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此项为接入自动化系统及调试，包括且不限于实现柜子电气数据、警报等信息传输存储及通过与已有上位机实现远控（包含画面绘制及程序编辑；含试验）</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项</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gridSpan w:val="6"/>
            <w:tcW w:w="14144" w:type="dxa"/>
            <w:vAlign w:val="center"/>
            <w:textDirection w:val="lrTb"/>
            <w:noWrap w:val="false"/>
          </w:tcPr>
          <w:p>
            <w:pPr>
              <w:ind w:left="420" w:firstLine="420"/>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分项目三：皂河站辅机控制系统改造</w:t>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1#辅机动力箱</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XL-21，含拆除安装</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restart"/>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具体组件配置详见附件辅机动力箱配置清单</w:t>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2#辅机动力箱</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XL-21，含拆除安装</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供排水泵动力箱</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XL-21，含拆除安装</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空压机动力箱</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XL-21，含拆除安装</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检修动力箱</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XL-21，含拆除安装</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台</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vMerge w:val="continue"/>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6</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智能管理终端</w:t>
            </w:r>
            <w:r/>
          </w:p>
        </w:tc>
        <w:tc>
          <w:tcPr>
            <w:tcW w:w="7461" w:type="dxa"/>
            <w:vAlign w:val="center"/>
            <w:textDirection w:val="lrTb"/>
            <w:noWrap w:val="false"/>
          </w:tcPr>
          <w:p>
            <w:pPr>
              <w:jc w:val="left"/>
              <w:spacing w:line="30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支持10点触摸，触摸速度</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3ms，高效稳定，支持多点手势，尺寸</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20英寸</w:t>
            </w:r>
            <w:r>
              <w:rPr>
                <w:rFonts w:hint="eastAsia" w:cs="宋体" w:asciiTheme="minorEastAsia" w:hAnsiTheme="minorEastAsia" w:eastAsiaTheme="minorEastAsia"/>
                <w:szCs w:val="21"/>
              </w:rPr>
              <w:t xml:space="preserve">，具备全部项目的数据总览；可实现遥信、遥测、遥控功能；实时显示设备运行状态和参数；具备报警管理功能。</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项</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供排水泵动力箱电缆</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YJV-4×120</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含</w:t>
            </w:r>
            <w:r>
              <w:rPr>
                <w:rFonts w:hint="eastAsia" w:cs="宋体" w:asciiTheme="minorEastAsia" w:hAnsiTheme="minorEastAsia" w:eastAsiaTheme="minorEastAsia"/>
                <w:szCs w:val="21"/>
              </w:rPr>
              <w:t xml:space="preserve">原电缆老旧需更换，含电缆敷设</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米</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120</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8</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二次电缆</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KVVP-10×1.5</w:t>
            </w:r>
            <w:r>
              <w:rPr>
                <w:rFonts w:hint="eastAsia" w:cs="宋体" w:asciiTheme="minorEastAsia" w:hAnsiTheme="minorEastAsia" w:eastAsiaTheme="minorEastAsia"/>
                <w:szCs w:val="21"/>
              </w:rPr>
              <w:t xml:space="preserve">、用于空气围带二次线缆的布设，含电缆敷设</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米</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100</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10</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电缆桥架</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不锈钢600×200</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304</w:t>
            </w:r>
            <w:r>
              <w:rPr>
                <w:rFonts w:hint="eastAsia" w:cs="宋体" w:asciiTheme="minorEastAsia" w:hAnsiTheme="minorEastAsia" w:eastAsiaTheme="minorEastAsia"/>
                <w:szCs w:val="21"/>
              </w:rPr>
              <w:t xml:space="preserve">不锈钢，厚度≥1</w:t>
            </w:r>
            <w:r>
              <w:rPr>
                <w:rFonts w:cs="宋体" w:asciiTheme="minorEastAsia" w:hAnsiTheme="minorEastAsia" w:eastAsiaTheme="minorEastAsia"/>
                <w:szCs w:val="21"/>
              </w:rPr>
              <w:t xml:space="preserve">.5mm</w:t>
            </w:r>
            <w:r>
              <w:rPr>
                <w:rFonts w:hint="eastAsia" w:cs="宋体" w:asciiTheme="minorEastAsia" w:hAnsiTheme="minorEastAsia" w:eastAsiaTheme="minorEastAsia"/>
                <w:szCs w:val="21"/>
              </w:rPr>
              <w:t xml:space="preserve">，原桥架部分损坏变形需更换</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米</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60</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548"/>
        </w:trPr>
        <w:tc>
          <w:tcPr>
            <w:tcW w:w="92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W w:w="2378"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调试</w:t>
            </w:r>
            <w:r/>
          </w:p>
        </w:tc>
        <w:tc>
          <w:tcPr>
            <w:tcW w:w="7461"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此项为集成空气围带控制以及接入自动化系统调试</w:t>
            </w:r>
            <w:r>
              <w:rPr>
                <w:rFonts w:hint="eastAsia" w:cs="宋体" w:asciiTheme="minorEastAsia" w:hAnsiTheme="minorEastAsia" w:eastAsiaTheme="minorEastAsia"/>
                <w:szCs w:val="21"/>
              </w:rPr>
              <w:t xml:space="preserve">（包含原有PLC保留融合；空气围带补气、放气控制；与智能管理终端、上位机通讯测试；含试验）</w:t>
            </w:r>
            <w:r/>
          </w:p>
        </w:tc>
        <w:tc>
          <w:tcPr>
            <w:tcW w:w="879"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项</w:t>
            </w:r>
            <w:r/>
          </w:p>
        </w:tc>
        <w:tc>
          <w:tcPr>
            <w:tcW w:w="892" w:type="dxa"/>
            <w:vAlign w:val="center"/>
            <w:textDirection w:val="lrTb"/>
            <w:noWrap w:val="false"/>
          </w:tcPr>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1605" w:type="dxa"/>
            <w:vAlign w:val="center"/>
            <w:textDirection w:val="lrTb"/>
            <w:noWrap w:val="false"/>
          </w:tcPr>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tc>
      </w:tr>
    </w:tbl>
    <w:p>
      <w:pPr>
        <w:ind w:firstLine="482"/>
        <w:spacing w:line="500" w:lineRule="exact"/>
        <w:rPr>
          <w:rFonts w:cs="宋体" w:asciiTheme="minorEastAsia" w:hAnsiTheme="minorEastAsia" w:eastAsiaTheme="minorEastAsia"/>
          <w:szCs w:val="21"/>
        </w:rPr>
        <w:sectPr>
          <w:footnotePr/>
          <w:endnotePr/>
          <w:type w:val="nextPage"/>
          <w:pgSz w:w="16838" w:h="11906" w:orient="landscape"/>
          <w:pgMar w:top="1644" w:right="1440" w:bottom="1701" w:left="1440" w:header="851" w:footer="992" w:gutter="0"/>
          <w:cols w:num="1" w:sep="0" w:space="0" w:equalWidth="1"/>
          <w:docGrid w:linePitch="360"/>
        </w:sectPr>
        <w:outlineLvl w:val="1"/>
      </w:pPr>
      <w:r>
        <w:rPr>
          <w:rFonts w:cs="宋体" w:asciiTheme="minorEastAsia" w:hAnsiTheme="minorEastAsia" w:eastAsiaTheme="minorEastAsia"/>
          <w:szCs w:val="21"/>
        </w:rPr>
      </w:r>
      <w:bookmarkEnd w:id="244"/>
      <w:bookmarkEnd w:id="246"/>
      <w:r/>
    </w:p>
    <w:p>
      <w:pPr>
        <w:ind w:firstLine="422"/>
        <w:spacing w:before="120" w:after="120" w:line="360" w:lineRule="auto"/>
        <w:rPr>
          <w:rFonts w:cs="宋体" w:asciiTheme="minorEastAsia" w:hAnsiTheme="minorEastAsia" w:eastAsiaTheme="minorEastAsia"/>
          <w:b/>
          <w:bCs/>
          <w:szCs w:val="21"/>
        </w:rPr>
      </w:pPr>
      <w:r/>
      <w:bookmarkStart w:id="249" w:name="_Toc11784"/>
      <w:r/>
      <w:bookmarkStart w:id="250" w:name="_Toc11139"/>
      <w:r>
        <w:rPr>
          <w:rFonts w:hint="eastAsia" w:cs="宋体" w:asciiTheme="minorEastAsia" w:hAnsiTheme="minorEastAsia" w:eastAsiaTheme="minorEastAsia"/>
          <w:b/>
          <w:bCs/>
          <w:szCs w:val="21"/>
        </w:rPr>
        <w:t xml:space="preserve">五</w:t>
      </w:r>
      <w:r>
        <w:rPr>
          <w:rFonts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项目实施方案及</w:t>
      </w:r>
      <w:r>
        <w:rPr>
          <w:rFonts w:cs="宋体" w:asciiTheme="minorEastAsia" w:hAnsiTheme="minorEastAsia" w:eastAsiaTheme="minorEastAsia"/>
          <w:b/>
          <w:bCs/>
          <w:szCs w:val="21"/>
        </w:rPr>
        <w:t xml:space="preserve">技术要求</w:t>
      </w:r>
      <w:r/>
    </w:p>
    <w:p>
      <w:pPr>
        <w:numPr>
          <w:ilvl w:val="255"/>
          <w:numId w:val="0"/>
        </w:numPr>
        <w:ind w:left="42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（一）皂河站高压开关柜改造</w:t>
      </w:r>
      <w:r/>
    </w:p>
    <w:p>
      <w:pPr>
        <w:numPr>
          <w:ilvl w:val="255"/>
          <w:numId w:val="0"/>
        </w:num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质量管理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1质量管理责任制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结合工程的特点和施工现场情况，建立现场质量制度和质量保证体系，编制工程项目质量保证计划，在工程建设过程中认真贯彻执行国家《建设工程质量管理条例》，从而使工程目标和措施得到保证。</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建设单位：实行项目负责人质量负责制，建立健全工程质量检测责任制，建立完整的质量管理体系</w:t>
      </w:r>
      <w:r>
        <w:rPr>
          <w:rFonts w:asciiTheme="minorEastAsia" w:hAnsiTheme="minorEastAsia" w:eastAsiaTheme="minorEastAsia"/>
          <w:szCs w:val="21"/>
        </w:rPr>
        <w:t xml:space="preserve">和质量管理组织网络，明确质量管理的负责人，根据工程施工进度计划，对其进行监督和指导，对重点、隐蔽工程的全方位检查和指导，确保工程质量。进场原材料及各种成品、半成品须经发包人检查，合格后方可使用。承包人应向发包人提交所用产品、材料的合格证。发包人有权随时对工程的所有部位及其任何一项工艺和工程设备进行检查和检验。施工过程中，技术负责人跟班旁站，加强与承包方、技术人员以及现场质量验收人员的沟通，确保工程顺利完工。对维修项目的施工材料、施工工艺和工程质量按国家和行业颁布的技术标准和规程规定的技术要求进行检查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施工单位：加强工程施工全程质量监管，项目负责人和技术负责人应全程跟踪，实行技术、质量双向承包责任制，推行工程质量保修回访制度，工程在保修期内出现质量问题应及时维修。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1.2质量检查内容及评定方法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本工程主要参照《水利工程施工质量检验与评定规范》《3.6kV~40.5kV交流金属封闭开关设备和控制设备》（GB/T 3906）《高压开关设备和控制设备标准的共用技术要求》（GB/T 11022）《电气装置安装工程高压电器施工及验收规范》（GBJ 147）《电气装置安装工程电气设备交接试验标准》（GB 50150）</w:t>
      </w:r>
      <w:r>
        <w:rPr>
          <w:rFonts w:hint="eastAsia" w:asciiTheme="minorEastAsia" w:hAnsiTheme="minorEastAsia" w:eastAsiaTheme="minorEastAsia"/>
          <w:szCs w:val="21"/>
        </w:rPr>
        <w:t xml:space="preserve">DB32/T2334.4-2013《水利工程施工质量检验与评定规范 第4部分：电气设备与自动化》</w:t>
      </w:r>
      <w:r>
        <w:rPr>
          <w:rFonts w:asciiTheme="minorEastAsia" w:hAnsiTheme="minorEastAsia" w:eastAsiaTheme="minorEastAsia"/>
          <w:szCs w:val="21"/>
        </w:rPr>
        <w:t xml:space="preserve">等对施工质量进行检查；主要检查评定内容为：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智能开关柜由KYN28-12型高压开关柜及附属设备组成。高压开关柜柜体采用优质敷铝锌薄钢板，面板厚度不小于2.5mm，柜体钢板厚度不小于2.0mm，防护等级IP4X，母线室、开关室、电缆室、低压控制小室进行金属全分隔，并具有各自独立的过压释放通道。</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高压开关柜内真空断路器采用整体浇注固封极柱式，配弹簧操作机构，操作电源及分合闸控制为直流220V，断路器分闸操作电压为65%~110%额定电压之间，合闸操作电压为85%~110%额定电压之间，低于30%额定电压操作时应不得动作。断路器触臂配套无线测温传感器，配套电动底盘车，实现远方电动摇进/摇出及视频监视，并可在智能终端控制上采用语音方式操控断路器的分合状态。断路器在线监测功能包括分合闸线圈电流-时间曲线、储能电机电流-时间曲线、电动底盘车电机电流-时间曲线，附带设备故障自检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）接地开关为电动快速接地开关，柜前操作，具有机械联锁及与智能终端联锁功能，防止误操作，并可在智能终端控制上采用语音方式操控接地刀的分合状态。</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智能终端采用彩色触摸液晶显示屏（不小于</w:t>
      </w:r>
      <w:r>
        <w:rPr>
          <w:rFonts w:hint="eastAsia" w:asciiTheme="minorEastAsia" w:hAnsiTheme="minorEastAsia" w:eastAsiaTheme="minorEastAsia"/>
          <w:szCs w:val="21"/>
        </w:rPr>
        <w:t xml:space="preserve">16</w:t>
      </w:r>
      <w:r>
        <w:rPr>
          <w:rFonts w:asciiTheme="minorEastAsia" w:hAnsiTheme="minorEastAsia" w:eastAsiaTheme="minorEastAsia"/>
          <w:szCs w:val="21"/>
        </w:rPr>
        <w:t xml:space="preserve">寸），支持人体红外感应，具备一次回路模拟图显示、带电显示、带电闭锁、主接线设备状态、接地开关位置、弹簧储能指示、局放监测数据、温度监测数据等实时显示功能。智能终端集成保护功能，支持IEC60870-5-103及MODBUS通信规约，具有电压、电流、功率、谐波测量，电流三段、低电压、过电压、电动机差动速断、比率差动、过负荷、零序过流、横差保护、负序过负荷、失磁、失步、频率保护、复压过流等保护功能，并具备故障录波、BDS对时、本地/远方分合闸控制、参数修改及软件升级远方操作等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每台高压柜设局放监测装置一套，采用特高频（UHF）技术，检测频带300MHz～1.5GHz，动态范围≥60dB，检测灵敏度5pC，非接触式全向监测半径20米，可与智能终端通信进行数据存储及显示。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）进线柜、主机柜、站变柜设绝缘在线监测装置一套，测</w:t>
      </w:r>
      <w:r>
        <w:rPr>
          <w:rFonts w:asciiTheme="minorEastAsia" w:hAnsiTheme="minorEastAsia" w:eastAsiaTheme="minorEastAsia"/>
          <w:szCs w:val="21"/>
        </w:rPr>
        <w:t xml:space="preserve">试范围1 MΩ～15000 MΩ，测试电压DC2500V，采用真空继电器高压隔离，可实现绝缘电阻全自动测量及结果曲线查询，与智能终端通信上传数据</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）在主电机尾端对原有电流互感器进行改造，拆除电机尾端原电流互感器，重新加装4只</w:t>
      </w:r>
      <w:r>
        <w:rPr>
          <w:rFonts w:asciiTheme="minorEastAsia" w:hAnsiTheme="minorEastAsia" w:eastAsiaTheme="minorEastAsia"/>
          <w:szCs w:val="21"/>
        </w:rPr>
        <w:t xml:space="preserve">600/5A 5P30/5P30</w:t>
      </w:r>
      <w:r>
        <w:rPr>
          <w:rFonts w:hint="eastAsia" w:asciiTheme="minorEastAsia" w:hAnsiTheme="minorEastAsia" w:eastAsiaTheme="minorEastAsia"/>
          <w:szCs w:val="21"/>
        </w:rPr>
        <w:t xml:space="preserve">的电流互感器，并实现横差、纵差保护功能。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高压开关柜实现“运行、热备用、冷备用、检修”四种状态的一键顺控及防误闭锁，手车活门及接地开关位置变位时自动切换至视频监视界面。柜内配备视频摄像头（具备红外夜视功能），在手车或接地开关状态变化时自动录像，并在智能终端及调度端显示器上展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智能开关柜一二次融合，实现综合保护测控与在线监测诊断的融合。系统后台具备视频联动、分级报警与事件记录、设备状态智能诊断（温升、机构异常、局放异常等）、断路器机械特性监测数据历史趋势分析及检修建议生成、断路器电气特性监测数据展示与比对、设备健康指数模型等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开关柜拆除与安装过程应符合以下质量要求：拆前全面勘查并形成《外接线核对清单》，一次线、二次线均实施双重标记及防潮保护；拆除后线缆悬挂于绝缘支架，严禁拖地。新柜安装时拼柜间隙均匀（不大于2mm），主母线搭接面清洁搪锡，涂抹导电膏，不锈钢螺栓紧固，接触电阻≤50μΩ。外接线恢复按标记逐根核对，电流互感器回路严禁开路，电压回路相序正确，通信线屏蔽层单端接地。施工区域硬质围栏封闭，与带电设备保持安全距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交接试验项目包括但不限于：测量绝缘电阻；每相导电回路电阻；交流耐压试验；断路器分合闸时间、同期性、弹跳时间；</w:t>
      </w:r>
      <w:r>
        <w:rPr>
          <w:rFonts w:hint="eastAsia" w:asciiTheme="minorEastAsia" w:hAnsiTheme="minorEastAsia" w:eastAsiaTheme="minorEastAsia"/>
          <w:szCs w:val="21"/>
        </w:rPr>
        <w:t xml:space="preserve">测量</w:t>
      </w:r>
      <w:r>
        <w:rPr>
          <w:rFonts w:asciiTheme="minorEastAsia" w:hAnsiTheme="minorEastAsia" w:eastAsiaTheme="minorEastAsia"/>
          <w:szCs w:val="21"/>
        </w:rPr>
        <w:t xml:space="preserve">分合闸线圈</w:t>
      </w:r>
      <w:r>
        <w:rPr>
          <w:rFonts w:hint="eastAsia" w:asciiTheme="minorEastAsia" w:hAnsiTheme="minorEastAsia" w:eastAsiaTheme="minorEastAsia"/>
          <w:szCs w:val="21"/>
        </w:rPr>
        <w:t xml:space="preserve">的</w:t>
      </w:r>
      <w:r>
        <w:rPr>
          <w:rFonts w:asciiTheme="minorEastAsia" w:hAnsiTheme="minorEastAsia" w:eastAsiaTheme="minorEastAsia"/>
          <w:szCs w:val="21"/>
        </w:rPr>
        <w:t xml:space="preserve">绝缘电阻和直流电阻；断路器分合闸最低动作电压；互感器绕组绝缘电阻、直流电阻、极性、变比、励磁特性；避雷器直流参考电压及泄漏电流；过电压保护器放电电压；仪表精度校验等。保护调试使用继电保护测试仪模拟故障，验证动作正确性及录波功能</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护动作断路器联动跳闸校验。一键顺控调试验证各状态转换联锁可靠性。后台系统对接后核对遥测、遥信、遥控、遥调数据格式及点号，确保视频联动正常，连续带负荷试运行保护动作正确率100%，数据采集完整性≥99.9%，通信无丢包。</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工厂检查应包括：视觉检查（设备质量、结构、防护等级、涂层）；所有手动及电动功能的机械操作（手车、导轨、插头、门板、接地开关等）；控制、保护、监测设备的电气操作；模拟操作及自动试验；熔断器型式及额定值检查；工频耐压和直流耐压试验。型式试验报告应提供买方复查确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验收交付时须提交《项目验收报告》、设计图纸（含变更）、设备合格证、检测报告、外接线恢复确认单、调试报告、录波数据、后台通信点表、操作手册、机械特性及电气特性基准值报告。</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1.3施工质量控制措施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要求施工单位采用“质量第一，预防为主”的方针和“计划、执行、检查、处理”PDCA循环的工作方法，不断改进过程控制，保证工程施工质量。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质量标准：工程质量要求达到国家及行业施工验收规范合格标准。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要求施工所采购原材料具有产品合格证、质量检验报告，必要时需对所采购原材料进行见证复试，合格后方可用于本工程。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在工程开工前要求施工单位编制合理可行的</w:t>
      </w:r>
      <w:r>
        <w:rPr>
          <w:rFonts w:hint="eastAsia" w:asciiTheme="minorEastAsia" w:hAnsiTheme="minorEastAsia" w:eastAsiaTheme="minorEastAsia"/>
          <w:szCs w:val="21"/>
        </w:rPr>
        <w:t xml:space="preserve">施工组织设计</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按各工序施工质量检验评定标准制定相应的质量保证技术措施，配备具有丰富施工经验的管理人员和技术人员，明确各阶段的检验、试验、测量及验收工作。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为保证施工质量，完成各工序后应及时报验，待验收合格后，方可进行下一步工序。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安全管理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2.1安全管理责任制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坚持“安全第一、预防为主”的方针，依靠科学管理和技术进步，制定安全生产、文明施工的管理规定，认真履行相应职责，保障人身安全和工程安全，以确定工程施工的正常进行和工程质量的完善。工程施工中，我们配备了专职的安全员负责本工程的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施工单位：设立工程施工现场专职安全员，具体负责工程的日常安全管理工作；协同技术负责人层层落实安全生产工作，加大硬件投入，确保生产安全和促进现场文明施工。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2.2现场安全设施和措施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现场设立规范的安全管理“五牌一图”，及时设置施工警示牌和安全防范标示牌，落实专人管理，明确安全责任;与外来施工单位签订合同的同时签订安全告知书及安全承诺书，需临时用电的施工单位签订临时用电协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严格遵守《电业安全规程》的相关规定，停、送电必须填写操作票和工作票，办理相关安全手续。供电线路设置三级漏电保护，电工用电严格执行安全用电自检、漏电保护器的调试、接地电阻测试等制度，确保用电安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施工过程中，及时发放个人劳动防护用品，进场人员佩戴安全帽，登高作业必须佩戴安全带。</w:t>
      </w:r>
      <w:r/>
    </w:p>
    <w:p>
      <w:p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档案管理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3.1档案管理责任制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实施过程中形成的各类档案是项目实施过程的真实记录，是工程质量的有效见证；所形成的档案资料由档案室集中管理，做到收集齐全，制度健全，管理科学，保密安全，提供利用，积极为工程管理工作服务。由分管副所长领导档案工作，档案室配备专职管理人员，全面负责对各类档案收集整理和归档工作。档案管理人员定期对档案进行检查，发现破损、霉变或字迹模糊，要及时采取措施进行技术处理；档案管理人员变动时，要做好档案的移交工作，认真履行交接手续。</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3.2档案收集、整理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对工程中所有发生的相关资料及时进行整理和汇总，由专人负责档案管理工作，严格按照省厅文件要求做好维修工程项目管理卡，以备验收。坚持项目档案工作与项目建设同步进行，切实做到“四同步”：下达工程计划任务与提出文件材料归档要求同步；检查计划进度与检查文件材料形成情况同步；工程竣工验收与验收工程竣工档案同步；工程款支付与申请材料同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3.3档案归档和移交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工程验收后及时将资料按《科学技术档案案卷构成的一般要求》和水利厅《江苏省水利厅基本建设项目（工程）档案资料管理规定》要求进行归档；管理所档案室留存一份，报处工管科一份。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项目实施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w:t>
      </w:r>
      <w:r>
        <w:rPr>
          <w:rFonts w:asciiTheme="minorEastAsia" w:hAnsiTheme="minorEastAsia" w:eastAsiaTheme="minorEastAsia"/>
          <w:szCs w:val="21"/>
        </w:rPr>
        <w:t xml:space="preserve">项目设计</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4.1.1技术准备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施工前全面勘查配电室，逐柜核对高压柜一次主接线、安装基础、电缆走向，重点核查原有外接一次电缆（进线、出线、母排）的规格型号、相序标识，以及原有外接二次电缆（控制、信号、遥测、遥信、通信）的回路编号、芯线定义及端子排位置，形成《外接线核对清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mc:AlternateContent>
          <mc:Choice Requires="wpg">
            <w:drawing>
              <wp:inline xmlns:wp="http://schemas.openxmlformats.org/drawingml/2006/wordprocessingDrawing" distT="0" distB="0" distL="0" distR="0">
                <wp:extent cx="5349875" cy="2541270"/>
                <wp:effectExtent l="0" t="0" r="3175"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349875" cy="2541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1.2pt;height:200.1pt;mso-wrap-distance-left:0.0pt;mso-wrap-distance-top:0.0pt;mso-wrap-distance-right:0.0pt;mso-wrap-distance-bottom:0.0pt;" stroked="f">
                <v:path textboxrect="0,0,0,0"/>
                <v:imagedata r:id="rId16" o:title=""/>
              </v:shape>
            </w:pict>
          </mc:Fallback>
        </mc:AlternateConten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4.1.2设备出厂预制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新柜装配在工厂内完成。10kV高压开关柜采用KYN28-12型中置式开关柜（进线柜1000×1700×2300，其他柜800×1500×2300mm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。工厂内完成智能真空断路器（整体浇注固封极柱式，配弹簧操作机构，含电动底盘车、6点无线测温）、智能终端（</w:t>
      </w:r>
      <w:r>
        <w:rPr>
          <w:rFonts w:hint="eastAsia" w:asciiTheme="minorEastAsia" w:hAnsiTheme="minorEastAsia" w:eastAsiaTheme="minorEastAsia"/>
          <w:szCs w:val="21"/>
        </w:rPr>
        <w:t xml:space="preserve">16寸</w:t>
      </w:r>
      <w:r>
        <w:rPr>
          <w:rFonts w:asciiTheme="minorEastAsia" w:hAnsiTheme="minorEastAsia" w:eastAsiaTheme="minorEastAsia"/>
          <w:szCs w:val="21"/>
        </w:rPr>
        <w:t xml:space="preserve">彩色触摸液晶显示屏，集成保护测控及在线监测功能）、电动接地开关、局放监测装置（特高频UHF技术）、绝缘在线监测装置、视频摄像头（900线，红外夜视）、温湿度传感器、智能除湿器（冷凝式）等组件的安装接线，并完成单体通电测试、机械特性与电气特性波形采集调试、一键顺控逻辑验证及保护功能模拟试验。出厂前需经发包人、监理人、设计方赴厂验收，确认合格并取得监理人批准后方可包装运输。</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4.1.3物资准备</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准备阻燃型热缩号码管、不锈钢扎带、防水标签纸、彩色标识带（黄、绿、红对应ABC相）等线缆标记材料；准备母排连接用导电膏、搪锡工具、扭矩扳手（按标准力矩执行）、继电保护测试仪、绝缘电阻测试仪等安装与调试工具；同时准备防潮帆布、热缩帽、绝缘胶带、尼龙扎带、临时绝缘支架等拆除与防护用品，以及硬质围栏、安全警示标识等安全设施。</w:t>
      </w:r>
      <w:r/>
    </w:p>
    <w:p>
      <w:pPr>
        <w:numPr>
          <w:ilvl w:val="255"/>
          <w:numId w:val="0"/>
        </w:num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施工方案</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4.2.1</w:t>
      </w:r>
      <w:r>
        <w:rPr>
          <w:rFonts w:asciiTheme="minorEastAsia" w:hAnsiTheme="minorEastAsia" w:eastAsiaTheme="minorEastAsia"/>
          <w:szCs w:val="21"/>
        </w:rPr>
        <w:t xml:space="preserve">施工条件：本项目施工地点在</w:t>
      </w:r>
      <w:r>
        <w:rPr>
          <w:rFonts w:hint="eastAsia" w:asciiTheme="minorEastAsia" w:hAnsiTheme="minorEastAsia" w:eastAsiaTheme="minorEastAsia"/>
          <w:szCs w:val="21"/>
        </w:rPr>
        <w:t xml:space="preserve">皂河站厂房高压室</w:t>
      </w:r>
      <w:r>
        <w:rPr>
          <w:rFonts w:asciiTheme="minorEastAsia" w:hAnsiTheme="minorEastAsia" w:eastAsiaTheme="minorEastAsia"/>
          <w:szCs w:val="21"/>
        </w:rPr>
        <w:t xml:space="preserve">内。为施工安全，施工前需做好安全组织措施及安全技术措施、办理施工安全交底工作。在施工期间需注意噪声和环境卫生等工作，做到文明施工。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2施工内容</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（1）旧柜拆除与外接线保留工艺</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停电与核查：办理停电工作票，执行停电、验电、挂接地线，确认三相电压为零。施工前全面勘查配电室，逐柜核对高压柜一次主接线、安装基础、电缆走向，重点核查原有外接一次电缆（进线、出线、母排）的规格型号、相序标识，以及原有外接二次电缆（控制、信号、遥测、遥信、通信）的回路编号、芯线定义及端子排位置，形成《外接线核对清单》。逐柜对照《外接线核对清单》再次核查一次、二次外接线，确认无误后方可标记拆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次线标记与拆除：对连接旧柜的母排、进线电缆、出线电缆进行标记。母排采用不锈钢扎带悬挂防水标签，注明电压等级、段别及相序；电缆采用彩色标识带缠绕（黄绿红对应ABC相），并在电缆头悬挂标签注明电缆编号、对侧柜号及相序。拆除时先拆电缆头连接螺栓，再拆母排连接螺栓；拆除后的母排用防潮帆布包裹，电缆头用热缩帽或绝缘胶带密封，防止受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次线标记与拆除：对全部外接二次电缆实施双重标记。第一重在电缆本体：套入阻燃热缩号码管，打印“回路编号-对侧柜号-功能”。第二重在电缆头：每根芯线套热缩号码管标识线号，电缆头整体悬挂防水标签注明回路名称、端子排位置及芯线对照表；通信线缆额外标注协议类型及IP地址。拆除时先拆二次线，使用专用退线工具从端子排退出，避免损伤芯线；拆除后逐根整理，采用尼龙扎带捆扎，悬挂于临时绝缘支架上，严禁拖地、挤压或受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旧柜移出与场地清理：外接线全部拆除并妥善悬挂后，拆除旧柜固定螺栓，使用</w:t>
      </w:r>
      <w:r>
        <w:rPr>
          <w:rFonts w:hint="eastAsia" w:asciiTheme="minorEastAsia" w:hAnsiTheme="minorEastAsia" w:eastAsiaTheme="minorEastAsia"/>
          <w:szCs w:val="21"/>
        </w:rPr>
        <w:t xml:space="preserve">简易式</w:t>
      </w:r>
      <w:r>
        <w:rPr>
          <w:rFonts w:asciiTheme="minorEastAsia" w:hAnsiTheme="minorEastAsia" w:eastAsiaTheme="minorEastAsia"/>
          <w:szCs w:val="21"/>
        </w:rPr>
        <w:t xml:space="preserve">叉车</w:t>
      </w:r>
      <w:r>
        <w:rPr>
          <w:rFonts w:hint="eastAsia" w:asciiTheme="minorEastAsia" w:hAnsiTheme="minorEastAsia" w:eastAsiaTheme="minorEastAsia"/>
          <w:szCs w:val="21"/>
        </w:rPr>
        <w:t xml:space="preserve">配合地面倾斜面</w:t>
      </w:r>
      <w:r>
        <w:rPr>
          <w:rFonts w:asciiTheme="minorEastAsia" w:hAnsiTheme="minorEastAsia" w:eastAsiaTheme="minorEastAsia"/>
          <w:szCs w:val="21"/>
        </w:rPr>
        <w:t xml:space="preserve">移出配电室。清理基础槽钢及预埋件，检查水平度，偏差超标处采用垫铁调整，确保新柜就位条件。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（2）新柜就位、拼柜与接线恢复</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母排连接：拆除柜间运输防护板，连接柜间螺栓，调整间隙均匀且不大于2mm。主母线按原系统相序连接，搭接面清洁、搪锡处理，涂抹导电膏，采用不锈钢螺栓紧固，扭矩扳手按标准力矩执行，接触电阻≤50μΩ。母线穿墙套管及触头盒检查洁净度，防止局放隐患。连接完成后核对相序标识正确，柜间绝缘隔板安装到位。</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原有外接线恢复：按照拆除时的标记逐根恢复。一次线恢复时核对相序，电缆头检查密封状态，必要时重新制作；母排连接核对相序标记，确保与原系统一致；恢复后检查连接点紧固力矩，抽测接触电阻。二次线恢复时对照新柜二次原理图，逐芯核对端子排编号及芯线定义，确保与原设计一致；电流互感器回路注意极性正确、严禁开路；电压回路注意相序及地线可靠连接；控制回路注意分合闸线圈极性；通信回路注意屏蔽层单端接地。端子排压接采用扭矩扳手，压接部位涂抹抗氧化剂。每恢复一根电缆，做到恢复一根、核对一根、确认一根。</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通信线恢复至新柜双以太网接口，核对IP地址、子网掩码、网关参数，确保与原有网络规划一致。柜间通过通信端口级联，最终接入站端通信管理机并上传至上位机系统。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系统调试与原有后台对接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本次改造应与皂河一站原有智能泵站系统进行对接。新柜虽在工厂完成装配及单体测试，但现场拼柜后的整体性能验证、保护功能调试、一键顺控逻辑确认以及与原有系统的数据融合，均需通过精细调试实现。</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单体功能验证：拼柜及接线完成后逐柜通电检查。智能保护终端上电自检，触摸屏显示正常；电动底盘车电动推进/抽出，验证“工作位”与“试验位”定位精准、机械联锁可靠；电动接地开关分合闸，验证与断路器的闭锁逻辑；温湿度传感器及加热器/除湿机自动启停验证；无线测温传感器通信验证，检查断路器触</w:t>
      </w:r>
      <w:r>
        <w:rPr>
          <w:rFonts w:hint="eastAsia" w:asciiTheme="minorEastAsia" w:hAnsiTheme="minorEastAsia" w:eastAsiaTheme="minorEastAsia"/>
          <w:szCs w:val="21"/>
        </w:rPr>
        <w:t xml:space="preserve">头</w:t>
      </w:r>
      <w:r>
        <w:rPr>
          <w:rFonts w:asciiTheme="minorEastAsia" w:hAnsiTheme="minorEastAsia" w:eastAsiaTheme="minorEastAsia"/>
          <w:szCs w:val="21"/>
        </w:rPr>
        <w:t xml:space="preserve">6点及出线电缆头温度数据；局放监测装置施加标准脉冲信号验证告警阈值；视频监控调整角度覆盖断路器活门及接地开关，检查红外夜视；机械特性监测模块验证行程、速度采集精度；电气特性监测模块验证线圈电流、电机电流波形采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保护功能调试：依据现有定值及图纸录入保护定值。10kV进线柜配置二段式电流保护；主机柜配置差动速断、比率差动、过负荷、失步等电动机专用保护；站变柜配置过流、过负荷、零序及变压器温度保护。使用继电保护测试仪模拟各类故障信号，验证各保护动作正确性，重点测试差动速断动作时间、失磁保护灵敏度。模拟保护动作及断路器操作，验证录波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键顺控与防误闭锁调试：对配置电动底盘车及电动接地开关的柜体进行一键顺控调试。依次执行“运行→热备用→冷备用→检修”及反向转换，检查各状态下底盘车、接地开关、断路器的动作顺序及电气/机械联锁可靠性，确保不出现带负荷拉底盘车、带接地线合闸等误操作。顺控过程录制视频与电机电流曲线。</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原有后台系统对接：将新柜接入皂河站智能泵站系统通信网络，实现数据上传与指令下发。核对遥测量（电压、电流、功率、温</w:t>
      </w:r>
      <w:r>
        <w:rPr>
          <w:rFonts w:asciiTheme="minorEastAsia" w:hAnsiTheme="minorEastAsia" w:eastAsiaTheme="minorEastAsia"/>
          <w:szCs w:val="21"/>
        </w:rPr>
        <w:t xml:space="preserve">度、局放量、机械特性参数、电气特性参数）、遥信量（开关状态、底盘车位置、接地开关状态、柜门状态）、遥控量（断路器分合闸、底盘车进退、接地开关分合）、遥调量（保护定值区切换）的数据格式、点号配置、品质描述，确保与原有系统兼容。后台监控画面确保图标样式、颜色配置、布局风格、报警分级规则与原有系统协调统一。验证遥控操作时视频画面自动切换至对应柜体画面；某柜接地开关变位时视频自动弹出置顶。完成整站系统联调后，进行连续带负荷试运行，保护动作正确率须达100%，数据采集完整性≥99.9%，通信无丢包，视频系统运行可靠。</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4.2.3</w:t>
      </w:r>
      <w:r>
        <w:rPr>
          <w:rFonts w:asciiTheme="minorEastAsia" w:hAnsiTheme="minorEastAsia" w:eastAsiaTheme="minorEastAsia"/>
          <w:szCs w:val="21"/>
        </w:rPr>
        <w:t xml:space="preserve">施工管理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旧柜拆除阶段：确认停电、验电、接地后方可开工。拆除二次线时严防电流互感器回路开路产生高压；拆除一次线时注意残余电荷释放。拆除后的线缆悬挂于绝缘支架，严禁拖地或接触地面金属构件。旧柜吊运时防止碰撞运行设备或损伤基础。</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接线阶段：母排连接时严禁徒手触摸导电面；恢复二次线时对照原理图逐芯核对，防止误接导致保护误动或拒动；通信线恢复时严禁带电插拔光纤头。施工区域采用硬质围栏封闭，与带电设备保持安全距离，悬挂“止步，高压危险”警示标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调试阶段：电动底盘车或断路器遥控操作时现场设专人监护，操作前通过视频监控确认设备状态，操作后通过遥信返校确认位置。保护传动试验前断开跳闸出口压板，防止误跳运行设备。机械特性及电气特性监测模块调试时，注意传感器安装位置，避免影响断路器正常动作。</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4.2.4验收交付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分阶段验收：拼柜接线验收检查柜体垂直度、母排接触电阻、相序标识、线缆恢复正确率及标识清晰度；单体功能验收验证终端显示、电动机构定位、联锁逻辑、传感器精度、视频清晰度动作时间、机械特性监测精度、电气特性波形质量；系统功能验收验证一键顺控、后台四遥对接、视频联动联动、机械/电气特性数据上传及72小时试运行数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资料移交与培训：验收通过后编制《项目验收报告》，移交设计图纸（含变更）、设备合格证、检测报告、外接线恢复确认单、调试报告、录波数据、后台通信点表、操作手册、机械特性基准值报告、电气特性基准值报告等。对运行人员进行专项培训，内容包括智能终端就地操作、后台监控界面操作、一键顺控流程、常见故障处理、视频系统使用动作处置、机械特性/电气特性数据查看及异常判断，确保熟练掌握改造后的系统操作。</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3项目实施前的准备工作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为使项目顺利实施，保证施工进度、质量，在项目实施前，我单位已对各个项目进行了方案细化，根据机组运行情况，初步拟定了检修日期，现场水、电及道路均能满足施工要求。</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4技术创新</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智能化改造后，高压开关柜除具备以往保护、操控、高压带电监测等功能外，具备以下功能：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成套柜在线监测功能，包括：柜内各室温度、加热器、风扇和柜门状态的在线监测；断路器接插端温度在线监测；柜内局放在线监测；电动接地开关，断路器分合闸状态信号、电流在线监测；绝缘在线监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（2）成套可视化功能，包括柜内物理状态与参数的可视化、远视化。</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成套柜内自诊断功能：断路器对自身的运行工况进行在线监测与诊断，实现对设备由周期性检修转变为状态检修或预测性检修，降低事故发生率和减少运维成本；柜内智能保护终端对除断路器之外的电动接地开关、带电传感器、柜门锁、加热器、风扇以及柜面元件等配套电器进行在线检测与诊断，发现异常时自动上报后台并给出维护建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智能保护终端的录波功能：保护终端在继电保护发生时应记录继电保护发生时间和保护内容、定值、动作值及保护前后电压、电流曲线（录波）；通过保护终端进行操作时应记录操作发生时间和电压、电流、频率等及设备动作前后电压、电流曲线（录波）；保护终端检测出设备分合状态变位时记录变位发生时间和动作内容、定值、动作值及变位前后电压、电流曲线（录波）。</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（5）智能保护终端的屏保与人机界面功能：保护终端具有人体红外感应，在人员靠近时显示屏点亮显示，离开后延时熄灭。</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项目进度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项目工程总工期为</w:t>
      </w:r>
      <w:r>
        <w:rPr>
          <w:rFonts w:hint="eastAsia" w:asciiTheme="minorEastAsia" w:hAnsiTheme="minorEastAsia" w:eastAsiaTheme="minorEastAsia"/>
          <w:szCs w:val="21"/>
        </w:rPr>
        <w:t xml:space="preserve">60</w:t>
      </w:r>
      <w:r>
        <w:rPr>
          <w:rFonts w:asciiTheme="minorEastAsia" w:hAnsiTheme="minorEastAsia" w:eastAsiaTheme="minorEastAsia"/>
          <w:szCs w:val="21"/>
        </w:rPr>
        <w:t xml:space="preserve">日历天。工程完工后报请江苏省骆运水利工程管理处对工程进行验收。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施工期间对工程运行的影响及采取的措施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本项目施工</w:t>
      </w:r>
      <w:r>
        <w:rPr>
          <w:rFonts w:hint="eastAsia" w:asciiTheme="minorEastAsia" w:hAnsiTheme="minorEastAsia" w:eastAsiaTheme="minorEastAsia"/>
          <w:szCs w:val="21"/>
        </w:rPr>
        <w:t xml:space="preserve">需停电施工、工程无法投入运行，需</w:t>
      </w:r>
      <w:r>
        <w:rPr>
          <w:rFonts w:asciiTheme="minorEastAsia" w:hAnsiTheme="minorEastAsia" w:eastAsiaTheme="minorEastAsia"/>
          <w:szCs w:val="21"/>
        </w:rPr>
        <w:t xml:space="preserve">结合年度调水计划安排在非调水期实施</w:t>
      </w:r>
      <w:r>
        <w:rPr>
          <w:rFonts w:hint="eastAsia" w:asciiTheme="minorEastAsia" w:hAnsiTheme="minorEastAsia" w:eastAsiaTheme="minorEastAsia"/>
          <w:szCs w:val="21"/>
        </w:rPr>
        <w:t xml:space="preserve">，并在9月份完成全部施工，不影响10月份调水运行</w:t>
      </w:r>
      <w:r>
        <w:rPr>
          <w:rFonts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asciiTheme="minorEastAsia" w:hAnsiTheme="minorEastAsia" w:eastAsiaTheme="minorEastAsia"/>
          <w:b/>
          <w:szCs w:val="21"/>
        </w:rPr>
        <w:t xml:space="preserve">（二）</w:t>
      </w:r>
      <w:r>
        <w:rPr>
          <w:rFonts w:hint="eastAsia" w:cs="宋体" w:asciiTheme="minorEastAsia" w:hAnsiTheme="minorEastAsia" w:eastAsiaTheme="minorEastAsia"/>
          <w:b/>
          <w:szCs w:val="21"/>
        </w:rPr>
        <w:t xml:space="preserve">皂河站低压开关柜改造</w:t>
      </w:r>
      <w:r/>
    </w:p>
    <w:p>
      <w:pPr>
        <w:numPr>
          <w:ilvl w:val="255"/>
          <w:numId w:val="0"/>
        </w:num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质量管理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1.1质量管理责任制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结合工程的特点和施工现场情况，建立现场质量制度和质量保证体系，编制工程项目质量保证计划，在工程建设过程中认真贯彻执行国家《建设工程质量管理条例》，从而使工程目标和措施得到保证。</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建设单位：实行项目负责人质量负责制，建立健全工程质量检测责任制，建立完整的质量管理体系</w:t>
      </w:r>
      <w:r>
        <w:rPr>
          <w:rFonts w:asciiTheme="minorEastAsia" w:hAnsiTheme="minorEastAsia" w:eastAsiaTheme="minorEastAsia"/>
          <w:szCs w:val="21"/>
        </w:rPr>
        <w:t xml:space="preserve">和质量管理组织网络，明确质量管理的负责人，根据工程施工进度计划，对其进行监督和指导，对重点、隐蔽工程的全方位检查和指导，确保工程质量。进场原材料及各种成品、半成品须经发包人检查，合格后方可使用。承包人应向发包人提交所用产品、材料的合格证。发包人有权随时对工程的所有部位及其任何一项工艺和工程设备进行检查和检验。施工过程中，技术负责人跟班旁站，加强与承包方、技术人员以及现场质量验收人员的沟通，确保工程顺利完工。对维修项目的施工材料、施工工艺和工程质量按国家和行业颁布的技术标准和规程规定的技术要求进行检查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施工单位：加强工程施工过程质量监管，项目负责人和技术负责人应全程跟踪，实行技术、质量双向承包责任制，推行工程质量保修回访制度，工程在保修期内出现质量问题应及时维修。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1.2质量检查内容及评定方法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本工程主要参照GB </w:t>
      </w:r>
      <w:r>
        <w:rPr>
          <w:rFonts w:hint="eastAsia" w:asciiTheme="minorEastAsia" w:hAnsiTheme="minorEastAsia" w:eastAsiaTheme="minorEastAsia"/>
          <w:szCs w:val="21"/>
        </w:rPr>
        <w:t xml:space="preserve">50268</w:t>
      </w:r>
      <w:r>
        <w:rPr>
          <w:rFonts w:asciiTheme="minorEastAsia" w:hAnsiTheme="minorEastAsia" w:eastAsiaTheme="minorEastAsia"/>
          <w:szCs w:val="21"/>
        </w:rPr>
        <w:t xml:space="preserve">-20</w:t>
      </w:r>
      <w:r>
        <w:rPr>
          <w:rFonts w:hint="eastAsia" w:asciiTheme="minorEastAsia" w:hAnsiTheme="minorEastAsia" w:eastAsiaTheme="minorEastAsia"/>
          <w:szCs w:val="21"/>
        </w:rPr>
        <w:t xml:space="preserve">08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电力工程施工及质量验收规范</w:t>
      </w:r>
      <w:r>
        <w:rPr>
          <w:rFonts w:asciiTheme="minorEastAsia" w:hAnsiTheme="minorEastAsia" w:eastAsiaTheme="minorEastAsia"/>
          <w:szCs w:val="21"/>
        </w:rPr>
        <w:t xml:space="preserve">》、GB</w:t>
      </w:r>
      <w:r>
        <w:rPr>
          <w:rFonts w:hint="eastAsia" w:asciiTheme="minorEastAsia" w:hAnsiTheme="minorEastAsia" w:eastAsiaTheme="minorEastAsia"/>
          <w:szCs w:val="21"/>
        </w:rPr>
        <w:t xml:space="preserve">/T 7251.1-2023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低压成套开关设备和控制设备 第1部分：总则</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、DB32/T2334.4-2013《水利工程施工质量检验与评定规范 第4部分：电气设备与自动化》</w:t>
      </w:r>
      <w:r>
        <w:rPr>
          <w:rFonts w:asciiTheme="minorEastAsia" w:hAnsiTheme="minorEastAsia" w:eastAsiaTheme="minorEastAsia"/>
          <w:szCs w:val="21"/>
        </w:rPr>
        <w:t xml:space="preserve">等对施工质量进行检查；主要检查评定内容为：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低压开关柜采用智能化成套开关柜：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智能电子装置对各回路电参数、温度进行在线检测与诊断。</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根据系统组网要求，使单个柜体或元器件、整组柜体连成整个系统，具备四遥功能，柜顶设UPS交流小母线供智能终端、网关、交换机等设备使用；采用有线方式通信时，每柜内设有网络通信连接端口，柜体之间的通信应通过通信端口连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w:t>
      </w:r>
      <w:r>
        <w:rPr>
          <w:rFonts w:asciiTheme="minorEastAsia" w:hAnsiTheme="minorEastAsia" w:eastAsiaTheme="minorEastAsia"/>
          <w:szCs w:val="21"/>
        </w:rPr>
        <w:t xml:space="preserve">按照低压配电系统智能化要求选择合适的元器件，如塑壳断路器，可以选用带通信接口的断路器，也可以选用普通塑壳断路器，通过配置适当的传感器、通信模块等智能终端设备实现对塑壳断路器的监控。</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w:t>
      </w:r>
      <w:r>
        <w:rPr>
          <w:rFonts w:asciiTheme="minorEastAsia" w:hAnsiTheme="minorEastAsia" w:eastAsiaTheme="minorEastAsia"/>
          <w:szCs w:val="21"/>
        </w:rPr>
        <w:t xml:space="preserve">柜体配置独立的空间作为通信电缆通道，控制信号线应远离主回路或大电流母线；独立空间也用于安装如网关、交换机等组网设备，以及其他通信接口器件、连接端子、电源模块等。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w:t>
      </w:r>
      <w:r>
        <w:rPr>
          <w:rFonts w:asciiTheme="minorEastAsia" w:hAnsiTheme="minorEastAsia" w:eastAsiaTheme="minorEastAsia"/>
          <w:szCs w:val="21"/>
        </w:rPr>
        <w:t xml:space="preserve">运行控制，现地和远方控制操作，</w:t>
      </w:r>
      <w:r>
        <w:rPr>
          <w:rFonts w:hint="eastAsia" w:asciiTheme="minorEastAsia" w:hAnsiTheme="minorEastAsia" w:eastAsiaTheme="minorEastAsia"/>
          <w:szCs w:val="21"/>
        </w:rPr>
        <w:t xml:space="preserve">接收</w:t>
      </w:r>
      <w:r>
        <w:rPr>
          <w:rFonts w:asciiTheme="minorEastAsia" w:hAnsiTheme="minorEastAsia" w:eastAsiaTheme="minorEastAsia"/>
          <w:szCs w:val="21"/>
        </w:rPr>
        <w:t xml:space="preserve">并执行远程控制命令分合闸，设置防误操作联锁装置。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⑥</w:t>
      </w:r>
      <w:r>
        <w:rPr>
          <w:rFonts w:asciiTheme="minorEastAsia" w:hAnsiTheme="minorEastAsia" w:eastAsiaTheme="minorEastAsia"/>
          <w:szCs w:val="21"/>
        </w:rPr>
        <w:t xml:space="preserve">运行监测，各回路电流、电压、功率、功率因数、谐波、电度等电参数采集，断路器合/分状态及抽屉工作/试验位置状态信号采集。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⑦</w:t>
      </w:r>
      <w:r>
        <w:rPr>
          <w:rFonts w:asciiTheme="minorEastAsia" w:hAnsiTheme="minorEastAsia" w:eastAsiaTheme="minorEastAsia"/>
          <w:szCs w:val="21"/>
        </w:rPr>
        <w:t xml:space="preserve">温度监测，各回路开关触头温度监测、</w:t>
      </w:r>
      <w:r>
        <w:rPr>
          <w:rFonts w:hint="eastAsia" w:asciiTheme="minorEastAsia" w:hAnsiTheme="minorEastAsia" w:eastAsiaTheme="minorEastAsia"/>
          <w:szCs w:val="21"/>
        </w:rPr>
        <w:t xml:space="preserve">桩</w:t>
      </w:r>
      <w:r>
        <w:rPr>
          <w:rFonts w:asciiTheme="minorEastAsia" w:hAnsiTheme="minorEastAsia" w:eastAsiaTheme="minorEastAsia"/>
          <w:szCs w:val="21"/>
        </w:rPr>
        <w:t xml:space="preserve">头温度监测</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母排温度监测，温度异常时推送告警，结合温度-电流策略，诊断分析异常原因并给出运维指导。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⑧</w:t>
      </w:r>
      <w:r>
        <w:rPr>
          <w:rFonts w:asciiTheme="minorEastAsia" w:hAnsiTheme="minorEastAsia" w:eastAsiaTheme="minorEastAsia"/>
          <w:szCs w:val="21"/>
        </w:rPr>
        <w:t xml:space="preserve">电气火灾剩余电流的监测，各回路的漏电流、相电流和温度监测，展示其报警状态。</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⑨</w:t>
      </w:r>
      <w:r>
        <w:rPr>
          <w:rFonts w:asciiTheme="minorEastAsia" w:hAnsiTheme="minorEastAsia" w:eastAsiaTheme="minorEastAsia"/>
          <w:szCs w:val="21"/>
        </w:rPr>
        <w:t xml:space="preserve">故障监测，各回路发生过压、欠压、缺相、过流、短路、失压停电、越级跳闸等故障时，均产生SOE记录并推送告警。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⑩</w:t>
      </w:r>
      <w:r>
        <w:rPr>
          <w:rFonts w:asciiTheme="minorEastAsia" w:hAnsiTheme="minorEastAsia" w:eastAsiaTheme="minorEastAsia"/>
          <w:szCs w:val="21"/>
        </w:rPr>
        <w:t xml:space="preserve">故障记录和显示，除超温外其他和电流电压相关的事件同时触发故障记录，可读取故障事件报文和故障显示。</w:t>
      </w:r>
      <w:r/>
    </w:p>
    <w:p>
      <w:pPr>
        <w:ind w:firstLine="420"/>
        <w:spacing w:line="360" w:lineRule="auto"/>
        <w:rPr>
          <w:rFonts w:asciiTheme="minorEastAsia" w:hAnsiTheme="minorEastAsia" w:eastAsiaTheme="minorEastAsia"/>
          <w:szCs w:val="21"/>
        </w:rPr>
      </w:pPr>
      <w:r>
        <w:rPr>
          <w:rFonts w:ascii="Cambria Math" w:hAnsi="Cambria Math" w:cs="Cambria Math" w:eastAsiaTheme="minorEastAsia"/>
          <w:szCs w:val="21"/>
        </w:rPr>
        <w:t xml:space="preserve">⑪</w:t>
      </w:r>
      <w:r>
        <w:rPr>
          <w:rFonts w:asciiTheme="minorEastAsia" w:hAnsiTheme="minorEastAsia" w:eastAsiaTheme="minorEastAsia"/>
          <w:szCs w:val="21"/>
        </w:rPr>
        <w:t xml:space="preserve">电能计量和分析，各回路电量采集和能耗分析。</w:t>
      </w:r>
      <w:r/>
    </w:p>
    <w:p>
      <w:pPr>
        <w:numPr>
          <w:ilvl w:val="255"/>
          <w:numId w:val="0"/>
        </w:numPr>
        <w:ind w:firstLine="560"/>
        <w:spacing w:line="360" w:lineRule="auto"/>
        <w:rPr>
          <w:rFonts w:asciiTheme="minorEastAsia" w:hAnsiTheme="minorEastAsia" w:eastAsiaTheme="minorEastAsia"/>
          <w:szCs w:val="21"/>
        </w:rPr>
      </w:pPr>
      <w:r>
        <w:rPr>
          <w:rFonts w:ascii="Cambria Math" w:hAnsi="Cambria Math" w:cs="Cambria Math" w:eastAsiaTheme="minorEastAsia"/>
          <w:szCs w:val="21"/>
        </w:rPr>
        <w:t xml:space="preserve">⑫</w:t>
      </w:r>
      <w:r>
        <w:rPr>
          <w:rFonts w:asciiTheme="minorEastAsia" w:hAnsiTheme="minorEastAsia" w:eastAsiaTheme="minorEastAsia"/>
          <w:szCs w:val="21"/>
        </w:rPr>
        <w:t xml:space="preserve">电能质量分析，各回路谐波数据采集和统计分析。</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柜型</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开关柜的基本框架为MNS组合装配式结构，外形尺寸：宽×深×高为 800×800×2200 mm。柜内设隔室，装置内零部件尺寸、隔室尺寸等实行模数化。内部塑料部件应采用已通过ISO</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14001国际环保认证的阻燃材料生产的产品。柜内应有明确功能分区，应配置标准的安装板、隔板、前面板以及预制进出线连接与之配合，开关柜应是优质敷铝锌薄钢板与支架结构，以铆钉及螺丝拼合成坚固的整体。其中面板厚度不小于2.5mm，柜体敷铝锌钢板厚度不小于2.0mm。电路发生短路时应具有防串弧功能。低压柜内各元器件参数详见附图，设备选型与招标附图有异议之处，以本文件条款件为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功能单元</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所有的设备应具有可靠的安全措施以防止意外及设备损坏。各功能单元应适合所需的电压、电流、开断容量及短路容量，并结合所需的操作辅件、</w:t>
      </w:r>
      <w:r>
        <w:rPr>
          <w:rFonts w:hint="eastAsia" w:asciiTheme="minorEastAsia" w:hAnsiTheme="minorEastAsia" w:eastAsiaTheme="minorEastAsia"/>
          <w:szCs w:val="21"/>
        </w:rPr>
        <w:t xml:space="preserve">联锁</w:t>
      </w:r>
      <w:r>
        <w:rPr>
          <w:rFonts w:asciiTheme="minorEastAsia" w:hAnsiTheme="minorEastAsia" w:eastAsiaTheme="minorEastAsia"/>
          <w:szCs w:val="21"/>
        </w:rPr>
        <w:t xml:space="preserve">装置。低压断路器按IEC</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947/2的要求设计与制造并符合每台低压柜的操作要求。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低压柜壳体涂层</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低压开关柜均采用环氧树脂粉末静电喷涂，颜色由买方确定，应符合相应的技术规定要求。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低压柜内动力线</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低压开关柜各功能单元间的相互连接，动力线应采用铜母排，特殊单元需用电缆，每个装置的额定电流、额定电压需满足最大故障条件。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导体</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母排系统</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应全封闭在低压开关柜的分舱内，母排绝缘符合开关柜的工作电压。母排采用刚性硬拉高导电电解铜，母排的截面在整个长度内应均匀，其截面应能承载连续的负载电流。母排连接应确保有效的导电和牢固地连接，不同金属的</w:t>
      </w:r>
      <w:r>
        <w:rPr>
          <w:rFonts w:hint="eastAsia" w:asciiTheme="minorEastAsia" w:hAnsiTheme="minorEastAsia" w:eastAsiaTheme="minorEastAsia"/>
          <w:szCs w:val="21"/>
        </w:rPr>
        <w:t xml:space="preserve">连接处</w:t>
      </w:r>
      <w:r>
        <w:rPr>
          <w:rFonts w:asciiTheme="minorEastAsia" w:hAnsiTheme="minorEastAsia" w:eastAsiaTheme="minorEastAsia"/>
          <w:szCs w:val="21"/>
        </w:rPr>
        <w:t xml:space="preserve">应防止腐蚀。母排表面采用热缩导管和环氧树脂板等加强措施，并加装绝缘板固定，使母排形成整体。母排开孔应在制造厂内预先钻好，钻孔光洁无毛口，母排的夹紧螺栓应采用高拉伸的不锈钢螺栓。母排不应由功能单元支撑，支持母排的绝缘子或其它材料应有合格的性能，以适应机械及电气的要求。母排的排列应便于电缆连接，检查及维修。为便于发展，母排终端应钻孔，并支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电缆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电缆仅用于低压开关柜内动力线，电缆应是聚乙烯绝缘聚氯乙烯护套高导电的多股铜芯线，能耐高温并符合GB/T12706有关标准。电缆应整齐地排列和牢固地支撑以承受指定的故障条件。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w:t>
      </w:r>
      <w:r>
        <w:rPr>
          <w:rFonts w:asciiTheme="minorEastAsia" w:hAnsiTheme="minorEastAsia" w:eastAsiaTheme="minorEastAsia"/>
          <w:szCs w:val="21"/>
        </w:rPr>
        <w:t xml:space="preserve">中性和接地母排</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提供满足系统要求的中性和接地铜母排，上述母排要预先钻孔便于连接。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w:t>
      </w:r>
      <w:r>
        <w:rPr>
          <w:rFonts w:asciiTheme="minorEastAsia" w:hAnsiTheme="minorEastAsia" w:eastAsiaTheme="minorEastAsia"/>
          <w:szCs w:val="21"/>
        </w:rPr>
        <w:t xml:space="preserve">标识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在低压开关柜内的动力线采用相色识别，颜色可以是连续的或以有规律的间隔及动力线两端漆50mm宽的色带。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w:t>
      </w:r>
      <w:r>
        <w:rPr>
          <w:rFonts w:asciiTheme="minorEastAsia" w:hAnsiTheme="minorEastAsia" w:eastAsiaTheme="minorEastAsia"/>
          <w:szCs w:val="21"/>
        </w:rPr>
        <w:t xml:space="preserve">低压柜辅助导线</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连接控制、保护及仪表设备的小线，电流回路导线截面不小于2.5mm</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的多股铜导线，其他回路导线截面不小于2.5mm</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的多股铜导线，绝缘等级为0.6kV。柜内小线应整齐地排列夹紧。所有不与主回路连接的小线应采用同一种醒目的颜色，并在端子处具有持久标记，应符合IEC</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446标准。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每一功能单元或组件的柜内外</w:t>
      </w:r>
      <w:r>
        <w:rPr>
          <w:rFonts w:hint="eastAsia" w:asciiTheme="minorEastAsia" w:hAnsiTheme="minorEastAsia" w:eastAsiaTheme="minorEastAsia"/>
          <w:szCs w:val="21"/>
        </w:rPr>
        <w:t xml:space="preserve">导线</w:t>
      </w:r>
      <w:r>
        <w:rPr>
          <w:rFonts w:asciiTheme="minorEastAsia" w:hAnsiTheme="minorEastAsia" w:eastAsiaTheme="minorEastAsia"/>
          <w:szCs w:val="21"/>
        </w:rPr>
        <w:t xml:space="preserve">必须在端子排上</w:t>
      </w:r>
      <w:r>
        <w:rPr>
          <w:rFonts w:hint="eastAsia" w:asciiTheme="minorEastAsia" w:hAnsiTheme="minorEastAsia" w:eastAsiaTheme="minorEastAsia"/>
          <w:szCs w:val="21"/>
        </w:rPr>
        <w:t xml:space="preserve">连接</w:t>
      </w:r>
      <w:r>
        <w:rPr>
          <w:rFonts w:asciiTheme="minorEastAsia" w:hAnsiTheme="minorEastAsia" w:eastAsiaTheme="minorEastAsia"/>
          <w:szCs w:val="21"/>
        </w:rPr>
        <w:t xml:space="preserve">、柜内留有25％以上的备用端子，每根导线将固定在专用的端子上。柜体应留有通长通信线缆敷设的通道，并配合自动化人员进行敷设。</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智能低压断路器</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智能低压断路器（含框架、塑壳、微型断路器）的性能、功能及技术参数详见技术规格书</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所投设备须确保其硬件接口、通信协议及智能化功能完全满足本工程泵站智能管控平台的接入要求。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框架断路器</w:t>
      </w:r>
      <w:r>
        <w:rPr>
          <w:rFonts w:hint="eastAsia" w:asciiTheme="minorEastAsia" w:hAnsiTheme="minorEastAsia" w:eastAsiaTheme="minorEastAsia"/>
          <w:szCs w:val="21"/>
        </w:rPr>
        <w:t xml:space="preserve">（本体或借助辅助元件满足下列要求）</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电流速断、长延时、短延时、接地保护功能、过载长延时保护、短路短延时保护、短路瞬时保护、接地故障保护、电流不平衡保护功能，欠压、过压和电压不平衡保护，相序保护，需用功率保护，负载监控、MCR及越限跳闸、故障记忆、热记忆、自诊断、故障指示、触头磨损指示、故障波形捕捉与显示等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采用</w:t>
      </w:r>
      <w:r>
        <w:rPr>
          <w:rFonts w:hint="eastAsia" w:asciiTheme="minorEastAsia" w:hAnsiTheme="minorEastAsia" w:eastAsiaTheme="minorEastAsia"/>
          <w:szCs w:val="21"/>
        </w:rPr>
        <w:t xml:space="preserve">LCD</w:t>
      </w:r>
      <w:r>
        <w:rPr>
          <w:rFonts w:asciiTheme="minorEastAsia" w:hAnsiTheme="minorEastAsia" w:eastAsiaTheme="minorEastAsia"/>
          <w:szCs w:val="21"/>
        </w:rPr>
        <w:t xml:space="preserve">液晶柜门显示模块</w:t>
      </w:r>
      <w:r>
        <w:rPr>
          <w:rFonts w:hint="eastAsia" w:asciiTheme="minorEastAsia" w:hAnsiTheme="minorEastAsia" w:eastAsiaTheme="minorEastAsia"/>
          <w:szCs w:val="21"/>
        </w:rPr>
        <w:t xml:space="preserve">，屏幕可通过外部信号唤醒，</w:t>
      </w:r>
      <w:r>
        <w:rPr>
          <w:rFonts w:asciiTheme="minorEastAsia" w:hAnsiTheme="minorEastAsia" w:eastAsiaTheme="minorEastAsia"/>
          <w:szCs w:val="21"/>
        </w:rPr>
        <w:t xml:space="preserve">界面显示电流、电压、频率、功率、电量、功率因数等电参量</w:t>
      </w:r>
      <w:r>
        <w:rPr>
          <w:rFonts w:hint="eastAsia" w:asciiTheme="minorEastAsia" w:hAnsiTheme="minorEastAsia" w:eastAsiaTheme="minorEastAsia"/>
          <w:szCs w:val="21"/>
        </w:rPr>
        <w:t xml:space="preserve">及报警信息</w:t>
      </w:r>
      <w:r>
        <w:rPr>
          <w:rFonts w:asciiTheme="minorEastAsia" w:hAnsiTheme="minorEastAsia" w:eastAsiaTheme="minorEastAsia"/>
          <w:szCs w:val="21"/>
        </w:rPr>
        <w:t xml:space="preserve">，可测量三相电流、中性极电流、接地电流、电流不平衡率、电压不平衡率、相序检测、功率测量、谐波分析、波形捕捉、触头温度监测、电能测量等,可通过网关等设备将电量参数、开关状态及报警信息上传至监控系统；</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额定工作电压AC400V时，Ics=100%Icu=Icw≥66kA/1s。</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框架断路器机械寿命≥25000 ，电气寿命≥8000。</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内置电动操作机构，可远程、就地控制分合；</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配置RS485接口、具备蓝牙、4G通讯方式可选，通信功能采用MODBUS-RTU协议。实现遥信、遥测、遥调、遥控等功能；监控系统可以对框架断路器进行分合控制。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塑壳断路器</w:t>
      </w:r>
      <w:r>
        <w:rPr>
          <w:rFonts w:hint="eastAsia" w:asciiTheme="minorEastAsia" w:hAnsiTheme="minorEastAsia" w:eastAsiaTheme="minorEastAsia"/>
          <w:szCs w:val="21"/>
        </w:rPr>
        <w:t xml:space="preserve">（本体或借助辅助元件满足下列要求）</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额定电流250A以下电气寿命不低于10000次，机械寿命不低于20000次。额定电流250以上电气寿命不低于8000次，机械寿命不低于20000次；分断能力Icu≥70KA；Ics≥50KA；</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电子脱扣器具有LSI保护功能，过载长延时保护电流</w:t>
      </w:r>
      <w:r>
        <w:rPr>
          <w:rFonts w:asciiTheme="minorEastAsia" w:hAnsiTheme="minorEastAsia" w:eastAsiaTheme="minorEastAsia"/>
          <w:szCs w:val="21"/>
        </w:rPr>
        <w:t xml:space="preserve">整定值设定范围 Ir =（0.4～1.0）× In 范围内连续可调，精度±10%；过载长延时保护动作时间设定范围 Tr = 8 ～960s；短延时电流整定值：Isd = （2 ～ 10）* Ir范围内连续可调，精度±15%；瞬时保护整定值： Ii = 3～（12）* In 范围内连续可调，精度±20%；过欠压保护功能，精度±2%；缺相保护功能，精度±2%。过载预警电流值默认为1.0lr,设定范围（0.5~ 1.5 lr，调整步长0.1lr。精度±10%；过载预警延时设定范围为1 ~ 300s，调整步长1s。</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须具有测量功能，可测量电压(精度±0.5%)、电流(精度±0.5%)、有功功率(精度±1%)、无功功率(精度±1%)、视在功率(精度±1%)、功率因数(精度±1%)、频率(精度±1%).</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配</w:t>
      </w:r>
      <w:r>
        <w:rPr>
          <w:rFonts w:asciiTheme="minorEastAsia" w:hAnsiTheme="minorEastAsia" w:eastAsiaTheme="minorEastAsia"/>
          <w:szCs w:val="21"/>
        </w:rPr>
        <w:t xml:space="preserve">装LCD液晶柜门显示模块，</w:t>
      </w:r>
      <w:r>
        <w:rPr>
          <w:rFonts w:hint="eastAsia" w:asciiTheme="minorEastAsia" w:hAnsiTheme="minorEastAsia" w:eastAsiaTheme="minorEastAsia"/>
          <w:szCs w:val="21"/>
        </w:rPr>
        <w:t xml:space="preserve">屏幕可通过外部信号唤醒，</w:t>
      </w:r>
      <w:r>
        <w:rPr>
          <w:rFonts w:asciiTheme="minorEastAsia" w:hAnsiTheme="minorEastAsia" w:eastAsiaTheme="minorEastAsia"/>
          <w:szCs w:val="21"/>
        </w:rPr>
        <w:t xml:space="preserve">能液晶显示断路器的分合闸状态、故障、报警、操作记录及查询电流、电压、功率、功率因数等功能；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具有10次跳闸故障存储，以及统计功能（30日电压、电流最大/最小值记录，80次保护功能投退事件记录、10次闸位变化事件记录、10次告警事件记录、2~31次谐波监测、电量统计、运行统计、时间功能）。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具有通讯功能，通讯型电动操作机构能够与上位机通讯实现“四遥”；基于标准Mudbus-RTU协议、配置RS485通讯接口。内置温度检测，可实时显示</w:t>
      </w:r>
      <w:r>
        <w:rPr>
          <w:rFonts w:hint="eastAsia" w:asciiTheme="minorEastAsia" w:hAnsiTheme="minorEastAsia" w:eastAsiaTheme="minorEastAsia"/>
          <w:szCs w:val="21"/>
        </w:rPr>
        <w:t xml:space="preserve">桩头、</w:t>
      </w:r>
      <w:r>
        <w:rPr>
          <w:rFonts w:asciiTheme="minorEastAsia" w:hAnsiTheme="minorEastAsia" w:eastAsiaTheme="minorEastAsia"/>
          <w:szCs w:val="21"/>
        </w:rPr>
        <w:t xml:space="preserve">触头温度。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w:t>
      </w:r>
      <w:r>
        <w:rPr>
          <w:rFonts w:asciiTheme="minorEastAsia" w:hAnsiTheme="minorEastAsia" w:eastAsiaTheme="minorEastAsia"/>
          <w:szCs w:val="21"/>
        </w:rPr>
        <w:t xml:space="preserve">小型断路器</w:t>
      </w:r>
      <w:r>
        <w:rPr>
          <w:rFonts w:hint="eastAsia" w:asciiTheme="minorEastAsia" w:hAnsiTheme="minorEastAsia" w:eastAsiaTheme="minorEastAsia"/>
          <w:szCs w:val="21"/>
        </w:rPr>
        <w:t xml:space="preserve">（本体或借助辅助元件满足下列要求）</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具有短路、过载、过压、欠压、过温、缺相、漏电等保护功能，实时监测漏电电流、电流、电压、功率、频率、温度、电量、寿命等。</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本地手动操作合闸/远程电动合闸，集成一体化数据采集模块，有包括：温升、短路、过载、过欠压等异常状态的预警上报。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配置RS485通信接口，实现遥信、遥测、遥调、遥控等功能；监控系统可以对断路器进行分合控制。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④双电源自动转换开关</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采用一体化结构的PC级产品，两工位结构,励磁驱动机构，触头转换时间≤100ms，使用类别AC-33iB。绝缘电压为1000V，冲击耐受电压8kV。额定限制短路电流≥120(kA)，额定短时耐受电流Icw≥25kA/0.06s。</w:t>
      </w:r>
      <w:r>
        <w:rPr>
          <w:rFonts w:asciiTheme="minorEastAsia" w:hAnsiTheme="minorEastAsia" w:eastAsiaTheme="minorEastAsia"/>
          <w:szCs w:val="21"/>
        </w:rPr>
        <w:t xml:space="preserve">额定短路接通能力Icm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52.5kA</w:t>
      </w:r>
      <w:r>
        <w:rPr>
          <w:rFonts w:hint="eastAsia" w:asciiTheme="minorEastAsia" w:hAnsiTheme="minorEastAsia" w:eastAsiaTheme="minorEastAsia"/>
          <w:szCs w:val="21"/>
        </w:rPr>
        <w:t xml:space="preserve">,电气寿命≥6000次,机械寿命≥10000次.</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内置控制器一体化安装,具备RS485通讯可与上位机通信。具有独立灭弧系统，能迅速熄灭电弧。 可电动和手动操作，并带可卸式手动操作手柄，以便应急时使用。 具有电气/机械双重互锁功能；切换速度快，且切换动作可设置延时0~30s，具备失压检测、过压、欠压、缺相检测、主电源三相、备电源单相检测及通讯功能。具有市电-市电切换以及市电-发电机切换，且具备自投自复，自投不自复选择。</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内置控制器</w:t>
      </w:r>
      <w:r>
        <w:rPr>
          <w:rFonts w:asciiTheme="minorEastAsia" w:hAnsiTheme="minorEastAsia" w:eastAsiaTheme="minorEastAsia"/>
          <w:szCs w:val="21"/>
        </w:rPr>
        <w:t xml:space="preserve">LED</w:t>
      </w:r>
      <w:r>
        <w:rPr>
          <w:rFonts w:hint="eastAsia" w:asciiTheme="minorEastAsia" w:hAnsiTheme="minorEastAsia" w:eastAsiaTheme="minorEastAsia"/>
          <w:szCs w:val="21"/>
        </w:rPr>
        <w:t xml:space="preserve">灯可显示电源和本体投入状态以及手自动.具备外接扩展位置反馈干接触点，发电机启停控制干接触点,方便用户在外设置信号指示装置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控制与保护开关</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具LED显示屏，配合通讯模块具有远程控制和就地控制功能，具有反时限、定时限和瞬时三段保护，以及断相、不平衡、接地、堵转、启动超时、报警等功能；通讯模块应采用小母线</w:t>
      </w:r>
      <w:r>
        <w:rPr>
          <w:rFonts w:hint="eastAsia" w:asciiTheme="minorEastAsia" w:hAnsiTheme="minorEastAsia" w:eastAsiaTheme="minorEastAsia"/>
          <w:szCs w:val="21"/>
        </w:rPr>
        <w:t xml:space="preserve">取电</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具有RS-485通讯接口（modbus RTU规约），与监控系统联网。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智能终端</w:t>
      </w:r>
      <w:r>
        <w:rPr>
          <w:rFonts w:hint="eastAsia" w:asciiTheme="minorEastAsia" w:hAnsiTheme="minorEastAsia" w:eastAsiaTheme="minorEastAsia"/>
          <w:szCs w:val="21"/>
        </w:rPr>
        <w:t xml:space="preserve">管理系统</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低压系统共设1套智能终端，拟安装于1#站变主变</w:t>
      </w:r>
      <w:r>
        <w:rPr>
          <w:rFonts w:hint="eastAsia" w:asciiTheme="minorEastAsia" w:hAnsiTheme="minorEastAsia" w:eastAsiaTheme="minorEastAsia"/>
          <w:szCs w:val="21"/>
        </w:rPr>
        <w:t xml:space="preserve">进</w:t>
      </w:r>
      <w:r>
        <w:rPr>
          <w:rFonts w:asciiTheme="minorEastAsia" w:hAnsiTheme="minorEastAsia" w:eastAsiaTheme="minorEastAsia"/>
          <w:szCs w:val="21"/>
        </w:rPr>
        <w:t xml:space="preserve">线柜内。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具备PC系统处理、触控屏显示控制功能；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触摸屏采用投射式电容屏，</w:t>
      </w:r>
      <w:r>
        <w:rPr>
          <w:rFonts w:hint="eastAsia" w:asciiTheme="minorEastAsia" w:hAnsiTheme="minorEastAsia" w:eastAsiaTheme="minorEastAsia"/>
          <w:szCs w:val="21"/>
        </w:rPr>
        <w:t xml:space="preserve">屏幕可通过外部信号唤醒，</w:t>
      </w:r>
      <w:r>
        <w:rPr>
          <w:rFonts w:asciiTheme="minorEastAsia" w:hAnsiTheme="minorEastAsia" w:eastAsiaTheme="minorEastAsia"/>
          <w:szCs w:val="21"/>
        </w:rPr>
        <w:t xml:space="preserve">支持10点触摸，触摸速度小于3ms，高效稳定，支持多点手势，尺寸不小于21.5英寸；</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扩充性好：配置灵活，可扩充安装客户需求的各种功能配件；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操作系统兼容性强，兼容国产操作系统；固件可升级；</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芯片不低于英特尔I5，内存不小于4G，硬盘不小于8G且可扩展，清晰度不小于1080P，核显，集成1000M自适应网卡；</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内置智能配电管理系统：具备全部项目的数据总览；</w:t>
      </w:r>
      <w:r>
        <w:rPr>
          <w:rFonts w:hint="eastAsia" w:asciiTheme="minorEastAsia" w:hAnsiTheme="minorEastAsia" w:eastAsiaTheme="minorEastAsia"/>
          <w:szCs w:val="21"/>
        </w:rPr>
        <w:t xml:space="preserve">针对接入智能配电管理系统的设备</w:t>
      </w:r>
      <w:r>
        <w:rPr>
          <w:rFonts w:asciiTheme="minorEastAsia" w:hAnsiTheme="minorEastAsia" w:eastAsiaTheme="minorEastAsia"/>
          <w:szCs w:val="21"/>
        </w:rPr>
        <w:t xml:space="preserve">可实现资产的管理；可实现数据概览、配电系统图（或电气设备三维建模图实现控制、监测等功能）、电力监测、环境监测；具备异常报警汇总和系统日志等功能。系统采用B/S架构，应实现自动采集与监视、运行状态监视、报警、历史运行数据管理；可实现</w:t>
      </w:r>
      <w:r>
        <w:rPr>
          <w:rFonts w:hint="eastAsia" w:asciiTheme="minorEastAsia" w:hAnsiTheme="minorEastAsia" w:eastAsiaTheme="minorEastAsia"/>
          <w:szCs w:val="21"/>
        </w:rPr>
        <w:t xml:space="preserve">遥信、遥测、遥控</w:t>
      </w:r>
      <w:r>
        <w:rPr>
          <w:rFonts w:asciiTheme="minorEastAsia" w:hAnsiTheme="minorEastAsia" w:eastAsiaTheme="minorEastAsia"/>
          <w:szCs w:val="21"/>
        </w:rPr>
        <w:t xml:space="preserve">功能，</w:t>
      </w:r>
      <w:r>
        <w:rPr>
          <w:rFonts w:hint="eastAsia" w:asciiTheme="minorEastAsia" w:hAnsiTheme="minorEastAsia" w:eastAsiaTheme="minorEastAsia"/>
          <w:szCs w:val="21"/>
        </w:rPr>
        <w:t xml:space="preserve">本次不涉及遥调，将来如接有变频调节设备，也可实现遥调。</w:t>
      </w:r>
      <w:r>
        <w:rPr>
          <w:rFonts w:asciiTheme="minorEastAsia" w:hAnsiTheme="minorEastAsia" w:eastAsiaTheme="minorEastAsia"/>
          <w:szCs w:val="21"/>
        </w:rPr>
        <w:t xml:space="preserve">数据通讯和采集功能，智能控制内置定时配置。环境监测可接入</w:t>
      </w:r>
      <w:r>
        <w:rPr>
          <w:rFonts w:hint="eastAsia" w:asciiTheme="minorEastAsia" w:hAnsiTheme="minorEastAsia" w:eastAsiaTheme="minorEastAsia"/>
          <w:szCs w:val="21"/>
        </w:rPr>
        <w:t xml:space="preserve">温湿度数据</w:t>
      </w:r>
      <w:r>
        <w:rPr>
          <w:rFonts w:asciiTheme="minorEastAsia" w:hAnsiTheme="minorEastAsia" w:eastAsiaTheme="minorEastAsia"/>
          <w:szCs w:val="21"/>
        </w:rPr>
        <w:t xml:space="preserve">；具备人机界面显示，电力系统标准的图形画面；实时显示设备运行状态和参数；支持本地逻辑编程；具备报警管理功能，趋势和曲线分析功能，数据库管理功能，设备运行报表功能，系统安全功能，电能质量监测功能，能源分析展示功能。中标人负责智能终端的界面开发、部署、系统调试以及与上位机开发的通讯，并提供点表信息；提供调试完备后的系统镜像备份，具备运行数据的定期备份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低压浪涌保护器性能参数不低于</w:t>
      </w:r>
      <w:r>
        <w:rPr>
          <w:rFonts w:hint="eastAsia" w:asciiTheme="minorEastAsia" w:hAnsiTheme="minorEastAsia" w:eastAsiaTheme="minorEastAsia"/>
          <w:szCs w:val="21"/>
        </w:rPr>
        <w:t xml:space="preserve">设计</w:t>
      </w:r>
      <w:r>
        <w:rPr>
          <w:rFonts w:asciiTheme="minorEastAsia" w:hAnsiTheme="minorEastAsia" w:eastAsiaTheme="minorEastAsia"/>
          <w:szCs w:val="21"/>
        </w:rPr>
        <w:t xml:space="preserve">图中要求，并采用同品牌专用后备保护装置，具体参数及规格型号参照</w:t>
      </w:r>
      <w:r>
        <w:rPr>
          <w:rFonts w:hint="eastAsia" w:asciiTheme="minorEastAsia" w:hAnsiTheme="minorEastAsia" w:eastAsiaTheme="minorEastAsia"/>
          <w:szCs w:val="21"/>
        </w:rPr>
        <w:t xml:space="preserve">设计</w:t>
      </w:r>
      <w:r>
        <w:rPr>
          <w:rFonts w:asciiTheme="minorEastAsia" w:hAnsiTheme="minorEastAsia" w:eastAsiaTheme="minorEastAsia"/>
          <w:szCs w:val="21"/>
        </w:rPr>
        <w:t xml:space="preserve">图纸。</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1.3施工质量控制措施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要求施工单位采用“质量第一，预防为主”的方针和“计划、执行、检查、处理”PDCA循环的工作方法，不断改进过程控制，保证工程施工质量。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质量标准：工程质量要求达到国家及行业施工验收规范合格标准。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要求施工所采购原材料具有产品合格证、质量检验报告，必要时需对所采购原材料进行见证复试，合格后方可用于本工程。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在工程开工前要求施工单位编制合理可行的</w:t>
      </w:r>
      <w:r>
        <w:rPr>
          <w:rFonts w:hint="eastAsia" w:asciiTheme="minorEastAsia" w:hAnsiTheme="minorEastAsia" w:eastAsiaTheme="minorEastAsia"/>
          <w:szCs w:val="21"/>
        </w:rPr>
        <w:t xml:space="preserve">施工组织设计</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按各工序施工质量检验评定标准制定相应的质量保证技术措施，配备具有丰富施工经验的管理人员和技术人员，明确各阶段的检验、试验、测量及验收工作。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为保证施工质量，完成</w:t>
      </w:r>
      <w:r>
        <w:rPr>
          <w:rFonts w:hint="eastAsia" w:asciiTheme="minorEastAsia" w:hAnsiTheme="minorEastAsia" w:eastAsiaTheme="minorEastAsia"/>
          <w:szCs w:val="21"/>
        </w:rPr>
        <w:t xml:space="preserve">各项</w:t>
      </w:r>
      <w:r>
        <w:rPr>
          <w:rFonts w:asciiTheme="minorEastAsia" w:hAnsiTheme="minorEastAsia" w:eastAsiaTheme="minorEastAsia"/>
          <w:szCs w:val="21"/>
        </w:rPr>
        <w:t xml:space="preserve">工序后应及时报验，待验收合格后，方可进行下一步工序。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安全管理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2.1安全管理责任制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坚持“安全第一、预防为主”和贯彻“质量第一”的方针，依靠科学管理和技术进步，制定安全生产、文明施工的管理规定，认真履行相应职责，保障人身安全和工程安全，以确定工程施工的正常进行和工程质量的完善。工程施工中，我们配备了专职的安全员负责本工程的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施工单位：设立工程施工现场专职安全员，具体负责工程的日常安全管理工作；协同技术负责人层层落实安全生产工作，加大硬件投入，确保生产安全和促进现场文明施工。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2.2现场安全设施和措施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施工现场设立规范的安全管理“五牌一图”，及时设置施工警示牌和安全防范</w:t>
      </w:r>
      <w:r>
        <w:rPr>
          <w:rFonts w:hint="eastAsia" w:asciiTheme="minorEastAsia" w:hAnsiTheme="minorEastAsia" w:eastAsiaTheme="minorEastAsia"/>
          <w:szCs w:val="21"/>
        </w:rPr>
        <w:t xml:space="preserve">标识牌</w:t>
      </w:r>
      <w:r>
        <w:rPr>
          <w:rFonts w:asciiTheme="minorEastAsia" w:hAnsiTheme="minorEastAsia" w:eastAsiaTheme="minorEastAsia"/>
          <w:szCs w:val="21"/>
        </w:rPr>
        <w:t xml:space="preserve">，落实专人管理，明确安全责任;与外来施工单位签订合同的同时签订安全告知书及安全承诺书，需临时用电的施工单位签订临时用电协议。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严格遵守《电业安全规程》的相关规定，停、送电必须填写操作票和工作票，办理相关安全手续。供电线路设置三级漏电保护，电工用电严格执行安全用电自检、漏电保护器的调试、接地电阻测试等制度，确保用电安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施工过程中，及时发放个人劳动防护用品，进场人员佩戴安全帽，登高作业必须佩戴安全带。</w:t>
      </w:r>
      <w:r/>
    </w:p>
    <w:p>
      <w:pPr>
        <w:numPr>
          <w:ilvl w:val="255"/>
          <w:numId w:val="0"/>
        </w:num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档案管理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3.1档案管理责任制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实施过程中形成的各类档案是项目实施过程的真实记录，是工程质量的有效见证；所形成的档案资料由档案室集中管理，做到收集齐全，制度健全，管理科学，保密安全，提供利用，积极为工程管理工作服务。由分管副所长领导档案工作，档案室配备专职管理人员，全面负责对各类档案收集整理和归档工作。档案管理人员定期对档案进行检查，发现破损、霉变或字迹模糊，要及时采取措施进行技术处理；档案管理人员变动时，要做好档案的移交工作，认真履行交接手续。</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3.2档案收集、整理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对工程中所有发生的相关资料及时进行整理和汇总，由专人负责档案管理工作，严格按照省厅文件要求做好维修工程项目管理卡，以备验收。坚持项目档案工作与项目建设同步进行，切实做到“四同步”：下达工程计划任务与提出文件材料归档要求同步；检查计划进度与检查文件材料形成情况同步；工程竣工验收与验收工程竣工档案同步；工程款支付与申请材料同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3.3档案归档和移交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工程验收后及时将资料按《科学技术档案案卷构成的一般要求》和水利厅《江苏省水利厅基本建设项目（工程）档案资料管理规定》要求进行归档；管理所档案室留存一份，报处工管科一份。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项目实施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w:t>
      </w:r>
      <w:r>
        <w:rPr>
          <w:rFonts w:asciiTheme="minorEastAsia" w:hAnsiTheme="minorEastAsia" w:eastAsiaTheme="minorEastAsia"/>
          <w:szCs w:val="21"/>
        </w:rPr>
        <w:t xml:space="preserve">项目设计</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4.1.1技术准备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施工前全面勘查低压室，核对主接线、安装基础、电缆走向，重点核查原有外接一次电缆（进线、出线、母排）的规格型号、相序标识，审核核对电气主接线设计图、电气设备平面布置图、二次接线图、端子图等，如需新增电缆确认型号并确定电缆走线位置。</w:t>
      </w:r>
      <w:r/>
    </w:p>
    <w:p>
      <w:pPr>
        <w:jc w:val="center"/>
        <w:spacing w:line="360" w:lineRule="auto"/>
        <w:widowControl/>
        <w:rPr>
          <w:rFonts w:asciiTheme="minorEastAsia" w:hAnsiTheme="minorEastAsia" w:eastAsiaTheme="minorEastAsia"/>
          <w:szCs w:val="21"/>
          <w:highlight w:val="yellow"/>
        </w:rPr>
      </w:pPr>
      <w:r>
        <w:rPr>
          <w:rFonts w:hint="eastAsia" w:asciiTheme="minorEastAsia" w:hAnsiTheme="minorEastAsia" w:eastAsiaTheme="minorEastAsia"/>
          <w:szCs w:val="21"/>
          <w:highlight w:val="yellow"/>
        </w:rPr>
        <mc:AlternateContent>
          <mc:Choice Requires="wpg">
            <w:drawing>
              <wp:inline xmlns:wp="http://schemas.openxmlformats.org/drawingml/2006/wordprocessingDrawing" distT="0" distB="0" distL="0" distR="0">
                <wp:extent cx="4939665" cy="3493135"/>
                <wp:effectExtent l="0" t="0" r="13335" b="12065"/>
                <wp:docPr id="3" name="图片 3" descr="c9367462c8082dcb21a6ab3adf2ca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9367462c8082dcb21a6ab3adf2caea4"/>
                        <pic:cNvPicPr>
                          <a:picLocks noChangeAspect="1"/>
                        </pic:cNvPicPr>
                        <pic:nvPr/>
                      </pic:nvPicPr>
                      <pic:blipFill>
                        <a:blip r:embed="rId17"/>
                        <a:stretch/>
                      </pic:blipFill>
                      <pic:spPr bwMode="auto">
                        <a:xfrm>
                          <a:off x="0" y="0"/>
                          <a:ext cx="4939665" cy="3493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8.9pt;height:275.1pt;mso-wrap-distance-left:0.0pt;mso-wrap-distance-top:0.0pt;mso-wrap-distance-right:0.0pt;mso-wrap-distance-bottom:0.0pt;" stroked="false">
                <v:path textboxrect="0,0,0,0"/>
                <v:imagedata r:id="rId17" o:title=""/>
              </v:shape>
            </w:pict>
          </mc:Fallback>
        </mc:AlternateContent>
      </w:r>
      <w:r/>
    </w:p>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低压系统图（一）</w:t>
      </w:r>
      <w:r/>
    </w:p>
    <w:p>
      <w:pPr>
        <w:jc w:val="center"/>
        <w:spacing w:line="360" w:lineRule="auto"/>
        <w:rPr>
          <w:rFonts w:asciiTheme="minorEastAsia" w:hAnsiTheme="minorEastAsia" w:eastAsiaTheme="minorEastAsia"/>
          <w:szCs w:val="21"/>
          <w:highlight w:val="yellow"/>
        </w:rPr>
      </w:pPr>
      <w:r>
        <w:rPr>
          <w:rFonts w:asciiTheme="minorEastAsia" w:hAnsiTheme="minorEastAsia" w:eastAsiaTheme="minorEastAsia"/>
          <w:szCs w:val="21"/>
          <w:highlight w:val="yellow"/>
        </w:rPr>
        <mc:AlternateContent>
          <mc:Choice Requires="wpg">
            <w:drawing>
              <wp:inline xmlns:wp="http://schemas.openxmlformats.org/drawingml/2006/wordprocessingDrawing" distT="0" distB="0" distL="0" distR="0">
                <wp:extent cx="4914265" cy="3475990"/>
                <wp:effectExtent l="0" t="0" r="635" b="10160"/>
                <wp:docPr id="4" name="图片 4" descr="96c5195dc0abfac4131058b7f6a14a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6c5195dc0abfac4131058b7f6a14afc"/>
                        <pic:cNvPicPr>
                          <a:picLocks noChangeAspect="1"/>
                        </pic:cNvPicPr>
                        <pic:nvPr/>
                      </pic:nvPicPr>
                      <pic:blipFill>
                        <a:blip r:embed="rId18"/>
                        <a:stretch/>
                      </pic:blipFill>
                      <pic:spPr bwMode="auto">
                        <a:xfrm>
                          <a:off x="0" y="0"/>
                          <a:ext cx="4914265" cy="3475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6.9pt;height:273.7pt;mso-wrap-distance-left:0.0pt;mso-wrap-distance-top:0.0pt;mso-wrap-distance-right:0.0pt;mso-wrap-distance-bottom:0.0pt;" stroked="false">
                <v:path textboxrect="0,0,0,0"/>
                <v:imagedata r:id="rId18" o:title=""/>
              </v:shape>
            </w:pict>
          </mc:Fallback>
        </mc:AlternateContent>
      </w:r>
      <w:r/>
    </w:p>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低压系统图（二）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4.1.2设备出厂预制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新柜装配在工厂完成。采用MNS组合装配式结构，外形尺寸：宽×深×高为 800×800×2200 mm。工厂内完成智能</w:t>
      </w:r>
      <w:r>
        <w:rPr>
          <w:rFonts w:hint="eastAsia" w:asciiTheme="minorEastAsia" w:hAnsiTheme="minorEastAsia" w:eastAsiaTheme="minorEastAsia"/>
          <w:szCs w:val="21"/>
        </w:rPr>
        <w:t xml:space="preserve">开关柜接线，并完成制造期间和出厂试验试验报告，并出具</w:t>
      </w:r>
      <w:r>
        <w:rPr>
          <w:rFonts w:asciiTheme="minorEastAsia" w:hAnsiTheme="minorEastAsia" w:eastAsiaTheme="minorEastAsia"/>
          <w:szCs w:val="21"/>
        </w:rPr>
        <w:t xml:space="preserve">出厂检验报告</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应有出厂时对设备的外观主要尺寸检验，出厂试验记录及历次会议纪要</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设备安装使用说明书</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设备装配剖视总图，电气一次、二次接线图、端子图以及端子引线图；设备安装方法及安装精度要求；设备的调试大纲及注意事项；设备常遇故障的排除及维修；各主要产品、元器件的合格证、使用说明书及接线图</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装箱单</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培训手册及培训计划</w:t>
      </w:r>
      <w:r>
        <w:rPr>
          <w:rFonts w:hint="eastAsia" w:asciiTheme="minorEastAsia" w:hAnsiTheme="minorEastAsia" w:eastAsiaTheme="minorEastAsia"/>
          <w:szCs w:val="21"/>
        </w:rPr>
        <w:t xml:space="preserve">），在我方负责人检查通过后方可签收</w:t>
      </w:r>
      <w:r>
        <w:rPr>
          <w:rFonts w:asciiTheme="minorEastAsia" w:hAnsiTheme="minorEastAsia" w:eastAsiaTheme="minorEastAsia"/>
          <w:szCs w:val="21"/>
        </w:rPr>
        <w:t xml:space="preserve">。</w:t>
      </w:r>
      <w:r/>
    </w:p>
    <w:p>
      <w:pPr>
        <w:ind w:left="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4.1.3物资准备</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准备阻燃型热缩号码管、不锈钢扎带、防水标签纸、彩色标识带等线缆标记材料；准备母排连接用导电膏、搪锡工具、扭矩扳手、继电保护测试仪等。</w:t>
      </w:r>
      <w:r/>
    </w:p>
    <w:p>
      <w:pPr>
        <w:numPr>
          <w:ilvl w:val="255"/>
          <w:numId w:val="0"/>
        </w:num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施工方案</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4.2.1</w:t>
      </w:r>
      <w:r>
        <w:rPr>
          <w:rFonts w:asciiTheme="minorEastAsia" w:hAnsiTheme="minorEastAsia" w:eastAsiaTheme="minorEastAsia"/>
          <w:szCs w:val="21"/>
        </w:rPr>
        <w:t xml:space="preserve">施工条件：本项目施工地点在</w:t>
      </w:r>
      <w:r>
        <w:rPr>
          <w:rFonts w:hint="eastAsia" w:asciiTheme="minorEastAsia" w:hAnsiTheme="minorEastAsia" w:eastAsiaTheme="minorEastAsia"/>
          <w:szCs w:val="21"/>
        </w:rPr>
        <w:t xml:space="preserve">皂河抽水站</w:t>
      </w:r>
      <w:r>
        <w:rPr>
          <w:rFonts w:asciiTheme="minorEastAsia" w:hAnsiTheme="minorEastAsia" w:eastAsiaTheme="minorEastAsia"/>
          <w:szCs w:val="21"/>
        </w:rPr>
        <w:t xml:space="preserve">院内。为施工安全，施工前需做好安全组织措施及安全技术措施、办理施工安全交底工作。在施工期间需注意噪声和环境卫生等工作，做到文明施工。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4.2.2</w:t>
      </w:r>
      <w:r>
        <w:rPr>
          <w:rFonts w:asciiTheme="minorEastAsia" w:hAnsiTheme="minorEastAsia" w:eastAsiaTheme="minorEastAsia"/>
          <w:szCs w:val="21"/>
        </w:rPr>
        <w:t xml:space="preserve">施工内容</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（1）开关柜拆除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施工前全面勘查</w:t>
      </w:r>
      <w:r>
        <w:rPr>
          <w:rFonts w:hint="eastAsia" w:asciiTheme="minorEastAsia" w:hAnsiTheme="minorEastAsia" w:eastAsiaTheme="minorEastAsia"/>
          <w:szCs w:val="21"/>
        </w:rPr>
        <w:t xml:space="preserve">低压</w:t>
      </w:r>
      <w:r>
        <w:rPr>
          <w:rFonts w:asciiTheme="minorEastAsia" w:hAnsiTheme="minorEastAsia" w:eastAsiaTheme="minorEastAsia"/>
          <w:szCs w:val="21"/>
        </w:rPr>
        <w:t xml:space="preserve">室，逐柜核对低压柜一次主接线、安装基础、电缆走向，重点核查原有外接一次电缆（进线、出线、母排）的规格型号、相序标识，以及原有外接二次电缆（控制、信号、遥测、遥信、通信）的回路编号、芯线定义及端子排位置，形成《外接线核对清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次线标记与拆除：对连接旧柜的母排、进线电缆、出线电缆进行标记。电缆采用彩色标识带缠绕（黄绿红对应ABC相），并在电缆头悬挂标签注明电缆编号、对侧柜号及相序。拆除时先拆电缆头连接螺栓，再拆母排连接螺栓；。</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次线标记与拆除：对全部外接二次电缆实施双重标记。第一重在电缆本体：套入阻燃热缩号码管，打印“回路编号-对侧柜号-功能”。第二重在电缆头：每根芯线套热缩号码管标识线号，电缆头整体悬挂防水标签注明回路名称、端子排位置及芯线对照表；通信线缆额外标注协议类型及IP地址。拆除时先拆二次线，使用专用退线工具从端子排退出，避免损伤芯线；拆除后逐根整理，采用尼龙扎带捆扎，悬挂于临时绝缘支架上，严禁拖地、挤压或受潮。</w:t>
      </w:r>
      <w:r/>
    </w:p>
    <w:p>
      <w:pPr>
        <w:ind w:firstLine="420"/>
        <w:spacing w:line="360" w:lineRule="auto"/>
        <w:rPr>
          <w:rFonts w:asciiTheme="minorEastAsia" w:hAnsiTheme="minorEastAsia" w:eastAsiaTheme="minorEastAsia"/>
          <w:color w:val="ff0000"/>
          <w:szCs w:val="21"/>
        </w:rPr>
      </w:pPr>
      <w:r>
        <w:rPr>
          <w:rFonts w:asciiTheme="minorEastAsia" w:hAnsiTheme="minorEastAsia" w:eastAsiaTheme="minorEastAsia"/>
          <w:szCs w:val="21"/>
        </w:rPr>
        <w:t xml:space="preserve">旧柜移出与场地清理：外接线全部拆除并妥善悬挂后，拆除旧柜固定螺栓，</w:t>
      </w:r>
      <w:r>
        <w:rPr>
          <w:rFonts w:hint="eastAsia" w:asciiTheme="minorEastAsia" w:hAnsiTheme="minorEastAsia" w:eastAsiaTheme="minorEastAsia"/>
          <w:szCs w:val="21"/>
        </w:rPr>
        <w:t xml:space="preserve">按实际情况采取合理方案</w:t>
      </w:r>
      <w:r>
        <w:rPr>
          <w:rFonts w:asciiTheme="minorEastAsia" w:hAnsiTheme="minorEastAsia" w:eastAsiaTheme="minorEastAsia"/>
          <w:szCs w:val="21"/>
        </w:rPr>
        <w:t xml:space="preserve">移出</w:t>
      </w:r>
      <w:r>
        <w:rPr>
          <w:rFonts w:hint="eastAsia" w:asciiTheme="minorEastAsia" w:hAnsiTheme="minorEastAsia" w:eastAsiaTheme="minorEastAsia"/>
          <w:szCs w:val="21"/>
        </w:rPr>
        <w:t xml:space="preserve">低压</w:t>
      </w:r>
      <w:r>
        <w:rPr>
          <w:rFonts w:asciiTheme="minorEastAsia" w:hAnsiTheme="minorEastAsia" w:eastAsiaTheme="minorEastAsia"/>
          <w:szCs w:val="21"/>
        </w:rPr>
        <w:t xml:space="preserve">室。清理基础槽钢及预埋件，检查水平度，偏差超标处采用垫铁调整，确保新柜就位条件。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（2）开关柜安装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母排连接：拆除柜间运输防护板，连接柜间螺栓，调整间隙均匀且不大于2mm。主母线按原系统相序连接，搭接面清洁、搪锡处理，涂抹导电膏，采用不锈钢螺栓紧固，扭矩扳手按标准力矩执行，接触电阻≤50μΩ。母线穿墙套管及触头盒检查洁净度，防止局放隐患。连接完成后核对相序标识正确，柜间绝缘隔板安装到位。</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原有外接线恢复：按照拆除时的标记逐根恢复。一次线恢复时核对相序，电缆头检查密封状态，必要时重新制作；母排连接核对相序标记，确保与原系统一致；恢复后检查连接点紧固力矩，抽测接触电阻。二次线恢复时对照新柜二次原理图，逐芯核对端子排编号及芯线定义，确保与原设计一致；电流互感器回路注意极性正确、严禁开路；电压回路注意相序及N线可靠连接；控制回路注意分合闸线圈极性；通信回路注意屏蔽层单端接地。端子排压接采用扭矩扳手，压接部位涂抹抗氧化剂。每恢复一根电缆，做到恢复一根、核对一根、确认一根。</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通信线恢复至新柜双以太网接口，核对IP地址、子网掩码、网关参数，确保与原有网络规划一致。柜间通过通信端口级联，最终接入站端通信管理机并上传至上位机系统。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（3）开关柜试验</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低压柜电气设备交接试验主要项目：</w:t>
      </w:r>
      <w:r/>
    </w:p>
    <w:p>
      <w:pPr>
        <w:ind w:firstLine="420"/>
        <w:spacing w:line="360" w:lineRule="auto"/>
        <w:rPr>
          <w:rFonts w:asciiTheme="minorEastAsia" w:hAnsiTheme="minorEastAsia" w:eastAsiaTheme="minorEastAsia"/>
          <w:color w:val="ff0000"/>
          <w:szCs w:val="21"/>
        </w:rPr>
      </w:pPr>
      <w:r>
        <w:rPr>
          <w:rFonts w:asciiTheme="minorEastAsia" w:hAnsiTheme="minorEastAsia" w:eastAsiaTheme="minorEastAsia"/>
          <w:szCs w:val="21"/>
        </w:rPr>
        <w:t xml:space="preserve">测量绝缘电阻；低压断路器、脱扣器定值整定（瞬时、长延时、热过载等）；交流耐压试验；相位检查等。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柜内互感器交接试验主要包括下列项目：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测量绕组的绝缘电阻；交流耐压试验；测量绕组的直流电阻；接线组别和极性试验；变比和误差测试；互感器励磁特性曲线测试。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③综合</w:t>
      </w:r>
      <w:r>
        <w:rPr>
          <w:rFonts w:asciiTheme="minorEastAsia" w:hAnsiTheme="minorEastAsia" w:eastAsiaTheme="minorEastAsia"/>
          <w:szCs w:val="21"/>
        </w:rPr>
        <w:t xml:space="preserve">保护器交接试验主要项目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测量绝缘电阻；</w:t>
      </w:r>
      <w:r>
        <w:rPr>
          <w:rFonts w:hint="eastAsia" w:ascii="MS Mincho" w:hAnsi="MS Mincho" w:eastAsia="MS Mincho" w:cs="MS Mincho"/>
          <w:szCs w:val="21"/>
        </w:rPr>
        <w:t xml:space="preserve">‌</w:t>
      </w:r>
      <w:r>
        <w:rPr>
          <w:rFonts w:asciiTheme="minorEastAsia" w:hAnsiTheme="minorEastAsia" w:eastAsiaTheme="minorEastAsia"/>
          <w:szCs w:val="21"/>
        </w:rPr>
        <w:t xml:space="preserve">工频耐压试验</w:t>
      </w:r>
      <w:r>
        <w:rPr>
          <w:rFonts w:hint="eastAsia" w:asciiTheme="minorEastAsia" w:hAnsiTheme="minorEastAsia" w:eastAsiaTheme="minorEastAsia"/>
          <w:szCs w:val="21"/>
        </w:rPr>
        <w:t xml:space="preserve">，试验时采</w:t>
      </w:r>
      <w:r>
        <w:rPr>
          <w:rFonts w:asciiTheme="minorEastAsia" w:hAnsiTheme="minorEastAsia" w:eastAsiaTheme="minorEastAsia"/>
          <w:szCs w:val="21"/>
        </w:rPr>
        <w:t xml:space="preserve">取保护措施（如拔出CPU、通信板等敏感插件）</w:t>
      </w:r>
      <w:r>
        <w:rPr>
          <w:rFonts w:hint="eastAsia" w:asciiTheme="minorEastAsia" w:hAnsiTheme="minorEastAsia" w:eastAsiaTheme="minorEastAsia"/>
          <w:szCs w:val="21"/>
        </w:rPr>
        <w:t xml:space="preserve">；</w:t>
      </w:r>
      <w:r>
        <w:rPr>
          <w:rFonts w:hint="eastAsia" w:ascii="MS Mincho" w:hAnsi="MS Mincho" w:eastAsia="MS Mincho" w:cs="MS Mincho"/>
          <w:szCs w:val="21"/>
        </w:rPr>
        <w:t xml:space="preserve">‌</w:t>
      </w:r>
      <w:r>
        <w:rPr>
          <w:rFonts w:asciiTheme="minorEastAsia" w:hAnsiTheme="minorEastAsia" w:eastAsiaTheme="minorEastAsia"/>
          <w:szCs w:val="21"/>
        </w:rPr>
        <w:t xml:space="preserve">模拟量采集精度校验（零漂与刻度）；保护功能逻辑校验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关量输入/输出（DI/DO）检查</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整组传动试验</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w:t>
      </w:r>
      <w:r>
        <w:rPr>
          <w:rFonts w:asciiTheme="minorEastAsia" w:hAnsiTheme="minorEastAsia" w:eastAsiaTheme="minorEastAsia"/>
          <w:szCs w:val="21"/>
        </w:rPr>
        <w:t xml:space="preserve">柜电气仪表进行精度校验，变差检验等试验。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⑤保护定制校验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系统调试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单体功能验证：拼柜及接线完成后逐柜通电检查。智能保护终端上电自检，触摸屏显示正常；电动底盘车电动推进/抽出，验证“工作位”与“试验位”定位精准、机械联锁可靠；机械特性监测模块验证行程、速度采集精度；电气特性监测模块验证线圈电流、电机电流波形采集。</w:t>
      </w:r>
      <w:r/>
    </w:p>
    <w:p>
      <w:pPr>
        <w:ind w:firstLine="420"/>
        <w:spacing w:line="360" w:lineRule="auto"/>
        <w:rPr>
          <w:rFonts w:asciiTheme="minorEastAsia" w:hAnsiTheme="minorEastAsia" w:eastAsiaTheme="minorEastAsia"/>
          <w:color w:val="ff0000"/>
          <w:szCs w:val="21"/>
        </w:rPr>
      </w:pPr>
      <w:r>
        <w:rPr>
          <w:rFonts w:asciiTheme="minorEastAsia" w:hAnsiTheme="minorEastAsia" w:eastAsiaTheme="minorEastAsia"/>
          <w:szCs w:val="21"/>
        </w:rPr>
        <w:t xml:space="preserve">后台系统对接：将新柜接入皂河站智能泵站系统通信网络，数据上传与指令下发。核对遥测量（电压、电流、温度、机械特性参数、电气特性参数）、遥信量（开关状态、底盘车位置、柜门状态）、遥控量（断路器分合闸、底盘车进退、接地开关分合）的数据格式、点号配置、品质描述。后台监控画面确保图标样式、颜色配置、布局风格、报警分级规则统一。验证遥控操作时视频画面自动切换至对应柜体画面。完成整站系统联调后，进行连续带负荷试运行，保护动作正确率须达100%，数据采集完整性≥99.9%，通信无丢包，视频系统运行可靠。</w:t>
      </w:r>
      <w:r/>
    </w:p>
    <w:p>
      <w:pPr>
        <w:ind w:left="420"/>
        <w:spacing w:line="360" w:lineRule="auto"/>
        <w:rPr>
          <w:rFonts w:asciiTheme="minorEastAsia" w:hAnsiTheme="minorEastAsia" w:eastAsiaTheme="minorEastAsia"/>
          <w:color w:val="ff0000"/>
          <w:szCs w:val="21"/>
        </w:rPr>
      </w:pPr>
      <w:r>
        <w:rPr>
          <w:rFonts w:hint="eastAsia" w:asciiTheme="minorEastAsia" w:hAnsiTheme="minorEastAsia" w:eastAsiaTheme="minorEastAsia"/>
          <w:szCs w:val="21"/>
        </w:rPr>
        <w:t xml:space="preserve">4.2.3安全保障措施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旧柜拆除阶段：确认停电、验电、接地后方可开工。拆除二次线时严防电流互感器回路开路产生高压；拆除一次线时注意残余电荷释放。拆除后的线缆悬挂于绝缘支架，严禁拖地或接触地面金属构件。旧柜吊运时防止碰撞运行设备或损伤基础。</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接线阶段：母排连接时严禁徒手触摸导电面；恢复二次线时对照原理图逐芯核对，防止误接导致误动或拒动；通信线恢复时严禁带电插拔光纤头。施工区域采用硬质围栏封闭，与带电设备保持安全距离，悬挂“</w:t>
      </w:r>
      <w:r>
        <w:rPr>
          <w:rFonts w:hint="eastAsia" w:asciiTheme="minorEastAsia" w:hAnsiTheme="minorEastAsia" w:eastAsiaTheme="minorEastAsia"/>
          <w:szCs w:val="21"/>
        </w:rPr>
        <w:t xml:space="preserve">当心触电</w:t>
      </w:r>
      <w:r>
        <w:rPr>
          <w:rFonts w:asciiTheme="minorEastAsia" w:hAnsiTheme="minorEastAsia" w:eastAsiaTheme="minorEastAsia"/>
          <w:szCs w:val="21"/>
        </w:rPr>
        <w:t xml:space="preserve">”警示标识。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调试阶段：电动底盘车或断路器遥控操作时现场设专人监护，操作前通过视频监控确认设备状态，操作后通过遥信返校确认位置。机械特性及电气特性监测模块调试时，注意传感器安装位置，避免影响断路器正常动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4.2.4验收交付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分阶段验收：拼柜接线验收检查柜体垂直度、母排接触电阻、相序标识、线缆恢复正确率及标识清晰度；单体功能验收验证终端显示、电动机构定位、传感器精度、视频清晰度动作时间、机械特性监测精度、电气特性波形质量；系统功能验收验证一键顺控、后台四遥对接、机械/电气特性数据上传及72小时试运行数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资料移交与培训：验收通过后编制《项目验收报告》，移交设计图纸（含变更）、设备合格证、检测报告、外接线恢复确认单、调试报告、录波数据、后台通信点表、操作手册、机械特性基准值报告、电气特性基准值报告等。对运行人员进行专项培训，内容包括智能终端就地操作、后台监控界面操作、一键顺控流程、常见故障处理、机械特性/电气特性数据查看及异常判断，确保熟练掌握改造后的系统操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项目交付时，须提交完整的项目成果，包括但不限于</w:t>
      </w:r>
      <w:r>
        <w:rPr>
          <w:rFonts w:hint="eastAsia" w:asciiTheme="minorEastAsia" w:hAnsiTheme="minorEastAsia" w:eastAsiaTheme="minorEastAsia"/>
          <w:szCs w:val="21"/>
        </w:rPr>
        <w:t xml:space="preserve">（如有）</w:t>
      </w:r>
      <w:r>
        <w:rPr>
          <w:rFonts w:asciiTheme="minorEastAsia" w:hAnsiTheme="minorEastAsia" w:eastAsiaTheme="minorEastAsia"/>
          <w:szCs w:val="21"/>
        </w:rPr>
        <w:t xml:space="preserve">：全部源代码（含完整注释）、系统部署包、数据库脚本、软件设计说明书、接口说明文档、用户操作手册、系统运维手册及项目验收所需的全套技术文档。所有交付物须为原始可编辑格式，不得以任何形式（包括但不限于代码加密、代码混淆、仅提供编译后文件、封装为不可编辑格式等）对交付内容进行处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交付后提供不少于1年免费运维服务，建立7×24小时应急响应机制，核心部件24小时内直达配送，平均故障修复时间控制在2小时以内，确保皂河泵站</w:t>
      </w:r>
      <w:r>
        <w:rPr>
          <w:rFonts w:hint="eastAsia" w:asciiTheme="minorEastAsia" w:hAnsiTheme="minorEastAsia" w:eastAsiaTheme="minorEastAsia"/>
          <w:szCs w:val="21"/>
        </w:rPr>
        <w:t xml:space="preserve">低压</w:t>
      </w:r>
      <w:r>
        <w:rPr>
          <w:rFonts w:asciiTheme="minorEastAsia" w:hAnsiTheme="minorEastAsia" w:eastAsiaTheme="minorEastAsia"/>
          <w:szCs w:val="21"/>
        </w:rPr>
        <w:t xml:space="preserve">系统长期安全稳定运行。</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3项目实施前的准备工作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为使项目顺利实施，保证施工进度、质量，在项目实施前，我单位已对各个项目进行了方案细化，根据机组运行情况，初步拟定了检修日期，现场水、电及道路均能满足施工要求。</w:t>
      </w:r>
      <w:r/>
    </w:p>
    <w:p>
      <w:pPr>
        <w:numPr>
          <w:ilvl w:val="255"/>
          <w:numId w:val="0"/>
        </w:num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4技术创新</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智能化改造后，低压开关柜除具备以往操控等功能外，具备以下功能：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运行监测，各回路电流、电压、功率、功率因数、谐波、电度等电参数采集，断路器合/分状态及抽屉工作/试验位置状态信号采集。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温度监测，各回路开关触头温度监测、母排温度监测，温度异常时推送告警，结合温度-电流策略，诊断分析异常原因并给出运维指导。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连成整个系统，具备四遥功能，柜顶设UPS交流小母线供智能终端、网关、交换机等。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通过配置适当的传感器、通信模块等智能终端设备实现对塑壳断路器的监控。</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柜体配置独立的空间作为通信电缆通道，控制信号线应远离主回路或大电流母线；独立空间也用于安装如网关、交换机等组网设备，以及其他通信接口器件、连接端子、电源模块等。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电气火灾剩余电流的监测，各回路的漏电流、相电流和温度监测，展示其报警状态。</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故障监测，各回路发生过压、欠压、缺相、过流、短路、失压停电、越级跳闸等故障时，均产生SOE记录并推送告警。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故障记录和显示，除超温外其他和电流电压相关的事件同时触发故障记录，可读取故障事件报文和故障显示。</w:t>
      </w:r>
      <w:r/>
    </w:p>
    <w:p>
      <w:pPr>
        <w:ind w:firstLine="420"/>
        <w:spacing w:line="360" w:lineRule="auto"/>
        <w:rPr>
          <w:rFonts w:asciiTheme="minorEastAsia" w:hAnsiTheme="minorEastAsia" w:eastAsiaTheme="minorEastAsia"/>
          <w:color w:val="ff0000"/>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电能计量和</w:t>
      </w:r>
      <w:r>
        <w:rPr>
          <w:rFonts w:hint="eastAsia" w:asciiTheme="minorEastAsia" w:hAnsiTheme="minorEastAsia" w:eastAsiaTheme="minorEastAsia"/>
          <w:szCs w:val="21"/>
        </w:rPr>
        <w:t xml:space="preserve">质量</w:t>
      </w:r>
      <w:r>
        <w:rPr>
          <w:rFonts w:asciiTheme="minorEastAsia" w:hAnsiTheme="minorEastAsia" w:eastAsiaTheme="minorEastAsia"/>
          <w:szCs w:val="21"/>
        </w:rPr>
        <w:t xml:space="preserve">分析，各回路电量采集和能耗分析</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谐波数据采集和统计分析。</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项目进度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项目工程总工期为</w:t>
      </w:r>
      <w:r>
        <w:rPr>
          <w:rFonts w:hint="eastAsia" w:asciiTheme="minorEastAsia" w:hAnsiTheme="minorEastAsia" w:eastAsiaTheme="minorEastAsia"/>
          <w:szCs w:val="21"/>
        </w:rPr>
        <w:t xml:space="preserve">60</w:t>
      </w:r>
      <w:r>
        <w:rPr>
          <w:rFonts w:asciiTheme="minorEastAsia" w:hAnsiTheme="minorEastAsia" w:eastAsiaTheme="minorEastAsia"/>
          <w:szCs w:val="21"/>
        </w:rPr>
        <w:t xml:space="preserve">日历天。工程完工后报请江苏省骆运水利工程管理处对工程进行验收。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施工期间对工程运行的影响及采取的措施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本项目施工</w:t>
      </w:r>
      <w:r>
        <w:rPr>
          <w:rFonts w:hint="eastAsia" w:asciiTheme="minorEastAsia" w:hAnsiTheme="minorEastAsia" w:eastAsiaTheme="minorEastAsia"/>
          <w:szCs w:val="21"/>
        </w:rPr>
        <w:t xml:space="preserve">需停电施工、工程无法投入运行，需</w:t>
      </w:r>
      <w:r>
        <w:rPr>
          <w:rFonts w:asciiTheme="minorEastAsia" w:hAnsiTheme="minorEastAsia" w:eastAsiaTheme="minorEastAsia"/>
          <w:szCs w:val="21"/>
        </w:rPr>
        <w:t xml:space="preserve">结合年度调水计划安排在非调水期实施</w:t>
      </w:r>
      <w:r>
        <w:rPr>
          <w:rFonts w:hint="eastAsia" w:asciiTheme="minorEastAsia" w:hAnsiTheme="minorEastAsia" w:eastAsiaTheme="minorEastAsia"/>
          <w:szCs w:val="21"/>
        </w:rPr>
        <w:t xml:space="preserve">，并在9月份完成全部施工，不影响10月份调水运行</w:t>
      </w:r>
      <w:r>
        <w:rPr>
          <w:rFonts w:asciiTheme="minorEastAsia" w:hAnsiTheme="minorEastAsia" w:eastAsiaTheme="minorEastAsia"/>
          <w:szCs w:val="21"/>
        </w:rPr>
        <w:t xml:space="preserve">。</w:t>
      </w:r>
      <w:r/>
    </w:p>
    <w:p>
      <w:pPr>
        <w:ind w:firstLine="422"/>
        <w:spacing w:line="360" w:lineRule="auto"/>
        <w:rPr>
          <w:rFonts w:asciiTheme="minorEastAsia" w:hAnsiTheme="minorEastAsia" w:eastAsiaTheme="minorEastAsia"/>
          <w:b/>
          <w:szCs w:val="21"/>
        </w:rPr>
      </w:pPr>
      <w:r>
        <w:rPr>
          <w:rFonts w:hint="eastAsia" w:cs="宋体" w:asciiTheme="minorEastAsia" w:hAnsiTheme="minorEastAsia" w:eastAsiaTheme="minorEastAsia"/>
          <w:b/>
          <w:szCs w:val="21"/>
        </w:rPr>
        <w:t xml:space="preserve">（三）皂河站辅机控制系统改造</w:t>
      </w:r>
      <w:r/>
    </w:p>
    <w:p>
      <w:pPr>
        <w:numPr>
          <w:ilvl w:val="255"/>
          <w:numId w:val="0"/>
        </w:num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质量管理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1.1质量管理责任制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结合工程的特点和施工现场情况，建立现场质量制度和质量保证体系，编制工程项目质量保证计划，在工程建设过程中认真贯彻执行国家《建设工程质量管理条例》，从而使工程目标和措施得到保证。</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建设单位：实行项目负责人质量负责制，建立健全工程质量检测责任制，建立完整的质量管理体系</w:t>
      </w:r>
      <w:r>
        <w:rPr>
          <w:rFonts w:asciiTheme="minorEastAsia" w:hAnsiTheme="minorEastAsia" w:eastAsiaTheme="minorEastAsia"/>
          <w:szCs w:val="21"/>
        </w:rPr>
        <w:t xml:space="preserve">和质量管理组织网络，明确质量管理的负责人，根据工程施工进度计划，对其进行监督和指导，对重点、隐蔽工程的全方位检查和指导，确保工程质量。进场原材料及各种成品、半成品须经发包人检查，合格后方可使用。承包人应向发包人提交所用产品、材料的合格证。发包人有权随时对工程的所有部位及其任何一项工艺和工程设备进行检查和检验。施工过程中，技术负责人跟班旁站，加强与承包方、技术人员以及现场质量验收人员的沟通，确保工程顺利完工。对维修项目的施工材料、施工工艺和工程质量按国家和行业颁布的技术标准和规程规定的技术要求进行检查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施工单位：加强工程施工</w:t>
      </w:r>
      <w:r>
        <w:rPr>
          <w:rFonts w:hint="eastAsia" w:asciiTheme="minorEastAsia" w:hAnsiTheme="minorEastAsia" w:eastAsiaTheme="minorEastAsia"/>
          <w:szCs w:val="21"/>
        </w:rPr>
        <w:t xml:space="preserve">全过</w:t>
      </w:r>
      <w:r>
        <w:rPr>
          <w:rFonts w:asciiTheme="minorEastAsia" w:hAnsiTheme="minorEastAsia" w:eastAsiaTheme="minorEastAsia"/>
          <w:szCs w:val="21"/>
        </w:rPr>
        <w:t xml:space="preserve">程质量监管，项目负责人和技术负责人应全程跟踪，实行技术、质量双向承包责任制，推行工程质量保修回访制度，工程在保修期内出现质量问题应及时维修。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1.2质量检查内容及评定方法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本工程主要参照GB/T7251.1-2013《低压成套开关设备和控制设备第1部分：总则》</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GB50150《电气装置安装工程电气设备交接试验标准》 </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GB50169《电气装置安装工程接地装置施工及验收规范》</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GB4208《外壳防护等级》</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GB/T14048.1《低压开关设备和控制设备总则》</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IEC439《低压开关设备和控制设备成套装置》</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IEC947《低压开关设备和控制设备》</w:t>
      </w:r>
      <w:r>
        <w:rPr>
          <w:rFonts w:hint="eastAsia" w:asciiTheme="minorEastAsia" w:hAnsiTheme="minorEastAsia" w:eastAsiaTheme="minorEastAsia"/>
          <w:szCs w:val="21"/>
        </w:rPr>
        <w:t xml:space="preserve">DB32/T2334.4-2013《水利工程施工质量检验与评定规范 第4部分：电气设备与自动化》</w:t>
      </w:r>
      <w:r>
        <w:rPr>
          <w:rFonts w:asciiTheme="minorEastAsia" w:hAnsiTheme="minorEastAsia" w:eastAsiaTheme="minorEastAsia"/>
          <w:szCs w:val="21"/>
        </w:rPr>
        <w:t xml:space="preserve">等对施工质量进行检查</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主要检查评定内容为：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）辅机动力箱采用智能化成套开关柜，逐台检查：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①电气交接试验符合要求。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②整定试验、定值校验、系统调试：整定参数符合设计要求，整组试验动作正确。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③仪表校验：符合设计及产品技术要求。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④通信功能正常。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⑤带电部分对地及相间距离符合要求。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⑥接地牢固、可靠。</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⑦动力箱外观：无变形及漆面受损；漆色符合设计色标要求；基础槽钢防腐完好。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⑧基础槽钢安装：直线偏差、水平偏差、位置偏差及平行度偏差符合要求；基础槽钢平面宜高出地面</w:t>
      </w:r>
      <w:r>
        <w:rPr>
          <w:rFonts w:asciiTheme="minorEastAsia" w:hAnsiTheme="minorEastAsia" w:eastAsiaTheme="minorEastAsia"/>
          <w:szCs w:val="21"/>
        </w:rPr>
        <w:t xml:space="preserve">10mm</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⑨柜体安装：垂直偏差、柜顶高差、柜面偏差、柜间接缝偏差、柜体与建筑物的距离符合要求；柜体固定牢固，柜间连接紧密；柜内安全隔板完整牢固，门锁齐全、开关灵活；辅助开关动作准确，接触可靠；柜底孔洞封堵严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⑩选用的电器元件、箱体等有出厂检测报告、合格证。</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（2）箱型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动力箱为智能化动力箱，型号为XL-21型，采用冷轧钢板弯制焊接制成，落地式靠墙安装，动力箱尺寸高*宽*深为</w:t>
      </w:r>
      <w:r>
        <w:rPr>
          <w:rFonts w:asciiTheme="minorEastAsia" w:hAnsiTheme="minorEastAsia" w:eastAsiaTheme="minorEastAsia"/>
          <w:szCs w:val="21"/>
        </w:rPr>
        <w:t xml:space="preserve">1700*600*450mm</w:t>
      </w:r>
      <w:r>
        <w:rPr>
          <w:rFonts w:hint="eastAsia" w:asciiTheme="minorEastAsia" w:hAnsiTheme="minorEastAsia" w:eastAsiaTheme="minorEastAsia"/>
          <w:szCs w:val="21"/>
        </w:rPr>
        <w:t xml:space="preserve">。箱体钢板厚度不低于</w:t>
      </w:r>
      <w:r>
        <w:rPr>
          <w:rFonts w:asciiTheme="minorEastAsia" w:hAnsiTheme="minorEastAsia" w:eastAsiaTheme="minorEastAsia"/>
          <w:szCs w:val="21"/>
        </w:rPr>
        <w:t xml:space="preserve">1.2mm</w:t>
      </w:r>
      <w:r>
        <w:rPr>
          <w:rFonts w:hint="eastAsia" w:asciiTheme="minorEastAsia" w:hAnsiTheme="minorEastAsia" w:eastAsiaTheme="minorEastAsia"/>
          <w:szCs w:val="21"/>
        </w:rPr>
        <w:t xml:space="preserve">，门板钢板厚度不低于</w:t>
      </w:r>
      <w:r>
        <w:rPr>
          <w:rFonts w:asciiTheme="minorEastAsia" w:hAnsiTheme="minorEastAsia" w:eastAsiaTheme="minorEastAsia"/>
          <w:szCs w:val="21"/>
        </w:rPr>
        <w:t xml:space="preserve">1.5mm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门上装有</w:t>
      </w:r>
      <w:r>
        <w:rPr>
          <w:rFonts w:hint="eastAsia" w:asciiTheme="minorEastAsia" w:hAnsiTheme="minorEastAsia" w:eastAsiaTheme="minorEastAsia"/>
          <w:szCs w:val="21"/>
        </w:rPr>
        <w:t xml:space="preserve">电参数显示仪表</w:t>
      </w:r>
      <w:r>
        <w:rPr>
          <w:rFonts w:asciiTheme="minorEastAsia" w:hAnsiTheme="minorEastAsia" w:eastAsiaTheme="minorEastAsia"/>
          <w:szCs w:val="21"/>
        </w:rPr>
        <w:t xml:space="preserve">、按钮、信号灯等。门打开后全部电器敞露，便于检修维护。进出线采用电缆，箱底用封板（带敲落孔）封闭，以防小动物进入。在箱内装有防潮装置，</w:t>
      </w:r>
      <w:r>
        <w:rPr>
          <w:rFonts w:hint="eastAsia" w:asciiTheme="minorEastAsia" w:hAnsiTheme="minorEastAsia" w:eastAsiaTheme="minorEastAsia"/>
          <w:szCs w:val="21"/>
        </w:rPr>
        <w:t xml:space="preserve">提供用于湿度控制的恒温空间加热器</w:t>
      </w:r>
      <w:r>
        <w:rPr>
          <w:rFonts w:asciiTheme="minorEastAsia" w:hAnsiTheme="minorEastAsia" w:eastAsiaTheme="minorEastAsia"/>
          <w:szCs w:val="21"/>
        </w:rPr>
        <w:t xml:space="preserve">，以防止箱内出现冷凝水。箱体采用环氧树脂粉末静电喷涂，应符合相应的技术规定要求。靠墙安装的柜体须采用板前接线，柜后不操作。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功能单元</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所有的设备应具有可靠的安全措施以防止意外及设备损坏。各功能单元应适合所需的电压、电流、开断容量及短路容量，并结合所需的操作辅件、</w:t>
      </w:r>
      <w:r>
        <w:rPr>
          <w:rFonts w:hint="eastAsia" w:asciiTheme="minorEastAsia" w:hAnsiTheme="minorEastAsia" w:eastAsiaTheme="minorEastAsia"/>
          <w:szCs w:val="21"/>
        </w:rPr>
        <w:t xml:space="preserve">联锁</w:t>
      </w:r>
      <w:r>
        <w:rPr>
          <w:rFonts w:asciiTheme="minorEastAsia" w:hAnsiTheme="minorEastAsia" w:eastAsiaTheme="minorEastAsia"/>
          <w:szCs w:val="21"/>
        </w:rPr>
        <w:t xml:space="preserve">装置。</w:t>
      </w:r>
      <w:r>
        <w:rPr>
          <w:rFonts w:hint="eastAsia" w:asciiTheme="minorEastAsia" w:hAnsiTheme="minorEastAsia" w:eastAsiaTheme="minorEastAsia"/>
          <w:szCs w:val="21"/>
        </w:rPr>
        <w:t xml:space="preserve">出厂检验、安装调试等资料齐全。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（4）动力箱内动力线</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箱内</w:t>
      </w:r>
      <w:r>
        <w:rPr>
          <w:rFonts w:asciiTheme="minorEastAsia" w:hAnsiTheme="minorEastAsia" w:eastAsiaTheme="minorEastAsia"/>
          <w:szCs w:val="21"/>
        </w:rPr>
        <w:t xml:space="preserve">动力线应采用铜母排，每个装置的额定电流、额定电压需满足最大故障条件。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导体</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母排系统</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母排采用刚性硬拉高导电电解铜，母排的截面在整个长度内应均匀，其截面应能承载连续的负载电流。母排连接应确保有效的导电和牢固地连接，不同金属的</w:t>
      </w:r>
      <w:r>
        <w:rPr>
          <w:rFonts w:hint="eastAsia" w:asciiTheme="minorEastAsia" w:hAnsiTheme="minorEastAsia" w:eastAsiaTheme="minorEastAsia"/>
          <w:szCs w:val="21"/>
        </w:rPr>
        <w:t xml:space="preserve">连接处</w:t>
      </w:r>
      <w:r>
        <w:rPr>
          <w:rFonts w:asciiTheme="minorEastAsia" w:hAnsiTheme="minorEastAsia" w:eastAsiaTheme="minorEastAsia"/>
          <w:szCs w:val="21"/>
        </w:rPr>
        <w:t xml:space="preserve">应防止腐蚀。母排表面采用热缩导管和环氧树脂板等加强措施，并加装绝缘板固定，使母排形成整体。母排开孔应在制造厂内预先钻好，钻孔光洁无毛口，母排的夹紧螺栓应采用高拉伸的不锈钢螺栓。母排不应由功能单元支撑，支持母排的绝缘子或其它材料应有合格的性能，以适应机械及电气的要求。母排的排列应便于电缆连接，检查及维修。为便于发展，母排终端应钻孔，并支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电缆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电缆仅用于</w:t>
      </w:r>
      <w:r>
        <w:rPr>
          <w:rFonts w:hint="eastAsia" w:asciiTheme="minorEastAsia" w:hAnsiTheme="minorEastAsia" w:eastAsiaTheme="minorEastAsia"/>
          <w:szCs w:val="21"/>
        </w:rPr>
        <w:t xml:space="preserve">箱内</w:t>
      </w:r>
      <w:r>
        <w:rPr>
          <w:rFonts w:asciiTheme="minorEastAsia" w:hAnsiTheme="minorEastAsia" w:eastAsiaTheme="minorEastAsia"/>
          <w:szCs w:val="21"/>
        </w:rPr>
        <w:t xml:space="preserve">动力线，电缆应是聚乙烯绝缘聚氯乙烯护套高导电的多股铜芯线，能耐高温并符合GB/T12706有关标准。电缆应整齐地排列和牢固地支撑以承受指定的故障条件。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w:t>
      </w:r>
      <w:r>
        <w:rPr>
          <w:rFonts w:asciiTheme="minorEastAsia" w:hAnsiTheme="minorEastAsia" w:eastAsiaTheme="minorEastAsia"/>
          <w:szCs w:val="21"/>
        </w:rPr>
        <w:t xml:space="preserve">中性和接地母排</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提供满足系统要求的中性和接地铜母排，上述母排要预先钻孔便于连接。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w:t>
      </w:r>
      <w:r>
        <w:rPr>
          <w:rFonts w:asciiTheme="minorEastAsia" w:hAnsiTheme="minorEastAsia" w:eastAsiaTheme="minorEastAsia"/>
          <w:szCs w:val="21"/>
        </w:rPr>
        <w:t xml:space="preserve">标识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在低压开关柜内的动力线采用相色识别，</w:t>
      </w:r>
      <w:r>
        <w:rPr>
          <w:rFonts w:hint="eastAsia" w:asciiTheme="minorEastAsia" w:hAnsiTheme="minorEastAsia" w:eastAsiaTheme="minorEastAsia"/>
          <w:szCs w:val="21"/>
        </w:rPr>
        <w:t xml:space="preserve">选用五指黑管封分叉，内线热缩彩管附线芯区分相色。</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w:t>
      </w:r>
      <w:r>
        <w:rPr>
          <w:rFonts w:asciiTheme="minorEastAsia" w:hAnsiTheme="minorEastAsia" w:eastAsiaTheme="minorEastAsia"/>
          <w:szCs w:val="21"/>
        </w:rPr>
        <w:t xml:space="preserve">辅助导线</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连接控制、保护及仪表设备的小线，电流回路导线截面不小于2.5mm</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的多股铜导线，其他回路导线截面不小于2.5mm</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的多股铜导线，绝缘等级为0.6kV。柜内小线应整齐地排列夹紧。所有不与主回路连接的小线应采用同一种醒目的颜色，并在端子处具有持久标记，应符合IEC446标准。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箱</w:t>
      </w:r>
      <w:r>
        <w:rPr>
          <w:rFonts w:asciiTheme="minorEastAsia" w:hAnsiTheme="minorEastAsia" w:eastAsiaTheme="minorEastAsia"/>
          <w:szCs w:val="21"/>
        </w:rPr>
        <w:t xml:space="preserve">内外小线必须在端子排上</w:t>
      </w:r>
      <w:r>
        <w:rPr>
          <w:rFonts w:hint="eastAsia" w:asciiTheme="minorEastAsia" w:hAnsiTheme="minorEastAsia" w:eastAsiaTheme="minorEastAsia"/>
          <w:szCs w:val="21"/>
        </w:rPr>
        <w:t xml:space="preserve">连接</w:t>
      </w:r>
      <w:r>
        <w:rPr>
          <w:rFonts w:asciiTheme="minorEastAsia" w:hAnsiTheme="minorEastAsia" w:eastAsiaTheme="minorEastAsia"/>
          <w:szCs w:val="21"/>
        </w:rPr>
        <w:t xml:space="preserve">、柜内留有25％以上的备用端子，每根导线将固定在专用的端子上。</w:t>
      </w:r>
      <w:r>
        <w:rPr>
          <w:rFonts w:hint="eastAsia" w:asciiTheme="minorEastAsia" w:hAnsiTheme="minorEastAsia" w:eastAsiaTheme="minorEastAsia"/>
          <w:szCs w:val="21"/>
        </w:rPr>
        <w:t xml:space="preserve">箱内</w:t>
      </w:r>
      <w:r>
        <w:rPr>
          <w:rFonts w:asciiTheme="minorEastAsia" w:hAnsiTheme="minorEastAsia" w:eastAsiaTheme="minorEastAsia"/>
          <w:szCs w:val="21"/>
        </w:rPr>
        <w:t xml:space="preserve">应留有通长通信线缆敷设的通道，并配合自动化人员进行敷设。</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智能低压断路器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①设备型号、规格、性能参数符合设计和合同要求；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②设备的技术文件和出厂检验、开箱检验等资料齐全；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③操动试验合格，动作准确、可靠、无卡阻；分闸、合闸指示正确；辅助开关动作准确可靠；</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④保护功能符合要求，交接试验合格；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⑤通信功能符合要求。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控制与保护开关</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具LED显示屏，配合通讯模块具有远程控制和就地控制功能，具有反时限、定时限和瞬时三段保护，以及断相、不平衡、接地、堵转、启动超时、报警等功能；通讯模块应采用进线取电；</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具有RS-485通讯接口（Mudbus-RTU规约），与监控系统联网。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（8）设备控制的集成</w:t>
      </w:r>
      <w:r/>
    </w:p>
    <w:p>
      <w:pPr>
        <w:ind w:firstLine="420"/>
        <w:spacing w:line="360" w:lineRule="auto"/>
        <w:rPr>
          <w:rFonts w:asciiTheme="minorEastAsia" w:hAnsiTheme="minorEastAsia" w:eastAsiaTheme="minorEastAsia"/>
          <w:szCs w:val="21"/>
          <w:shd w:val="clear" w:color="auto" w:fill="c00000"/>
        </w:rPr>
      </w:pPr>
      <w:r>
        <w:rPr>
          <w:rFonts w:hint="eastAsia" w:asciiTheme="minorEastAsia" w:hAnsiTheme="minorEastAsia" w:eastAsiaTheme="minorEastAsia"/>
          <w:szCs w:val="21"/>
        </w:rPr>
        <w:t xml:space="preserve">现有空气围带及液压减载装置设有控制器，本次工程需将其整合至辅机动力箱内，通过其通信口联至辅机智能管理系统并上传至上位机。动力及控制线缆的敷设包含在本次报价中。</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智能终端</w:t>
      </w:r>
      <w:r>
        <w:rPr>
          <w:rFonts w:hint="eastAsia" w:asciiTheme="minorEastAsia" w:hAnsiTheme="minorEastAsia" w:eastAsiaTheme="minorEastAsia"/>
          <w:szCs w:val="21"/>
        </w:rPr>
        <w:t xml:space="preserve">管理系统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①设备型号、规格、性能参数、安装位置符合设计和合同要求；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②设备的技术文件和出厂检验、开箱检验等资料齐全；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③通信功能符合要求。</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1.3施工质量控制措施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要求施工单位采用“质量第一，预防为主”的方针和“计划、执行、检查、处理”PDCA循环的工作方法，不断改进过程控制，保证工程施工质量。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质量标准：工程质量要求达到国家及行业施工验收规范合格标准。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要求施工所采购原材料具有产品合格证、质量检验报告，必要时需对所采购原材料进行见证复试，合格后方可用于本工程。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在工程开工前要求施工单位编制合理可行的</w:t>
      </w:r>
      <w:r>
        <w:rPr>
          <w:rFonts w:hint="eastAsia" w:asciiTheme="minorEastAsia" w:hAnsiTheme="minorEastAsia" w:eastAsiaTheme="minorEastAsia"/>
          <w:szCs w:val="21"/>
        </w:rPr>
        <w:t xml:space="preserve">施工组织设计</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按各工序施工质量检验评定标准制定相应的质量保证技术措施，配备具有丰富施工经验的管理人员和技术人员，明确各阶段的检验、试验、测量及验收工作。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为保证施工质量，完成</w:t>
      </w:r>
      <w:r>
        <w:rPr>
          <w:rFonts w:hint="eastAsia" w:asciiTheme="minorEastAsia" w:hAnsiTheme="minorEastAsia" w:eastAsiaTheme="minorEastAsia"/>
          <w:szCs w:val="21"/>
        </w:rPr>
        <w:t xml:space="preserve">各项</w:t>
      </w:r>
      <w:r>
        <w:rPr>
          <w:rFonts w:asciiTheme="minorEastAsia" w:hAnsiTheme="minorEastAsia" w:eastAsiaTheme="minorEastAsia"/>
          <w:szCs w:val="21"/>
        </w:rPr>
        <w:t xml:space="preserve">工序后应及时报验，待验收合格后，方可进行下一步工序。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安全管理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2.1安全管理责任制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坚持“安全第一、预防为主”和贯彻“质量第一”的方针，依靠科学管理和技术进步，制定安全生产、文明施工的管理规定，认真履行相应职责，保障人身安全和工程安全，以确定工程施工的正常进行和工程质量的完善。工程施工中，我们配备了专职的安全员负责本工程的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施工单位：设立工程施工现场专职安全员，具体负责工程的日常安全管理工作；协同技术负责人层层落实安全生产工作，加大硬件投入，确保生产安全和促进现场文明施工。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2.2现场安全设施和措施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施工现场设立规范的安全管理“五牌一图”，及时设置施工警示牌和安全防范</w:t>
      </w:r>
      <w:r>
        <w:rPr>
          <w:rFonts w:hint="eastAsia" w:asciiTheme="minorEastAsia" w:hAnsiTheme="minorEastAsia" w:eastAsiaTheme="minorEastAsia"/>
          <w:szCs w:val="21"/>
        </w:rPr>
        <w:t xml:space="preserve">标识牌</w:t>
      </w:r>
      <w:r>
        <w:rPr>
          <w:rFonts w:asciiTheme="minorEastAsia" w:hAnsiTheme="minorEastAsia" w:eastAsiaTheme="minorEastAsia"/>
          <w:szCs w:val="21"/>
        </w:rPr>
        <w:t xml:space="preserve">，落实专人管理，明确安全责任;与外来施工单位签订合同的同时签订安全告知书及安全承诺书，需临时用电的施工单位签订临时用电协议。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严格遵守《电业安全规程》的相关规定，停、送电必须填写操作票和工作票，办理相关安全手续。供电线路设置三级漏电保护，电工用电严格执行安全用电自检、漏电保护器的调试、接地电阻测试等制度，确保用电安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施工过程中，及时发放个人劳动防护用品，进场人员佩戴安全帽，登高作业必须佩戴安全带。</w:t>
      </w:r>
      <w:r/>
    </w:p>
    <w:p>
      <w:pPr>
        <w:numPr>
          <w:ilvl w:val="255"/>
          <w:numId w:val="0"/>
        </w:numPr>
        <w:ind w:left="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档案管理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3.1档案管理责任制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实施过程中形成的各类档案是项目实施过程的真实记录，是工程质量的有效见证；所形成的档案资料由档案室集中管理，做到收集齐全，制度健全，管理科学，保密安全，提供利用，积极为工程管理工作服务。由分管副所长领导档案工作，档案室配备专职管理人员，全面负责对各类档案收集整理和归档工作。档案管理人员定期对档案进行检查，发现破损、霉变或字迹模糊，要及时采取措施进行技术处理；档案管理人员变动时，要做好档案的移交工作，认真履行交接手续。</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3.2档案收集、整理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对工程中所有发生的相关资料及时进行整理和汇总，由专人负责档案管理工作，严格按照省厅文件要求做好维修工程项目管理卡，以备验收。坚持项目档案工作与项目建设同步进行，切实做到“四同步”：下达工程计划任务与提出文件材料归档要求同步；检查计划进度与检查文件材料形成情况同步；工程竣工验收与验收工程竣工档案同步；工程款支付与申请材料同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3.3档案归档和移交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工程验收后及时将资料按《科学技术档案案卷构成的一般要求》和水利厅《江苏省水利厅基本建设项目（工程）档案资料管理规定》要求进行归档；管理所档案室留存一份，报处工管科一份。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项目实施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w:t>
      </w:r>
      <w:r>
        <w:rPr>
          <w:rFonts w:asciiTheme="minorEastAsia" w:hAnsiTheme="minorEastAsia" w:eastAsiaTheme="minorEastAsia"/>
          <w:szCs w:val="21"/>
        </w:rPr>
        <w:t xml:space="preserve">项目设计</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4.1.1技术准备</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施工前全面勘查</w:t>
      </w:r>
      <w:r>
        <w:rPr>
          <w:rFonts w:hint="eastAsia" w:asciiTheme="minorEastAsia" w:hAnsiTheme="minorEastAsia" w:eastAsiaTheme="minorEastAsia"/>
          <w:szCs w:val="21"/>
        </w:rPr>
        <w:t xml:space="preserve">辅机动力箱</w:t>
      </w:r>
      <w:r>
        <w:rPr>
          <w:rFonts w:asciiTheme="minorEastAsia" w:hAnsiTheme="minorEastAsia" w:eastAsiaTheme="minorEastAsia"/>
          <w:szCs w:val="21"/>
        </w:rPr>
        <w:t xml:space="preserve">，逐柜核对</w:t>
      </w:r>
      <w:r>
        <w:rPr>
          <w:rFonts w:hint="eastAsia" w:asciiTheme="minorEastAsia" w:hAnsiTheme="minorEastAsia" w:eastAsiaTheme="minorEastAsia"/>
          <w:szCs w:val="21"/>
        </w:rPr>
        <w:t xml:space="preserve">各动力柜</w:t>
      </w:r>
      <w:r>
        <w:rPr>
          <w:rFonts w:asciiTheme="minorEastAsia" w:hAnsiTheme="minorEastAsia" w:eastAsiaTheme="minorEastAsia"/>
          <w:szCs w:val="21"/>
        </w:rPr>
        <w:t xml:space="preserve">一次主接线、安装基础、电缆走向，重点核查原有外接一次电缆（进线、出线、母排）的规格型号、相序标识，以及原有外接二次电缆（控制、信号、遥测、遥信、通信）的回路编号、芯线定义及端子排位置，形成《外接线核对清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4.1.2设备出厂预制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新</w:t>
      </w:r>
      <w:r>
        <w:rPr>
          <w:rFonts w:hint="eastAsia" w:asciiTheme="minorEastAsia" w:hAnsiTheme="minorEastAsia" w:eastAsiaTheme="minorEastAsia"/>
          <w:szCs w:val="21"/>
        </w:rPr>
        <w:t xml:space="preserve">箱</w:t>
      </w:r>
      <w:r>
        <w:rPr>
          <w:rFonts w:asciiTheme="minorEastAsia" w:hAnsiTheme="minorEastAsia" w:eastAsiaTheme="minorEastAsia"/>
          <w:szCs w:val="21"/>
        </w:rPr>
        <w:t xml:space="preserve">装配在工厂完成。型号为XL-21型，采用冷轧钢板弯制焊接制成，落地式靠</w:t>
      </w:r>
      <w:r>
        <w:rPr>
          <w:rFonts w:hint="eastAsia" w:asciiTheme="minorEastAsia" w:hAnsiTheme="minorEastAsia" w:eastAsiaTheme="minorEastAsia"/>
          <w:szCs w:val="21"/>
        </w:rPr>
        <w:t xml:space="preserve">墙安装，动力箱尺寸高</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宽</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深为</w:t>
      </w:r>
      <w:r>
        <w:rPr>
          <w:rFonts w:asciiTheme="minorEastAsia" w:hAnsiTheme="minorEastAsia" w:eastAsiaTheme="minorEastAsia"/>
          <w:szCs w:val="21"/>
        </w:rPr>
        <w:t xml:space="preserve">1700*600*450mm</w:t>
      </w:r>
      <w:r>
        <w:rPr>
          <w:rFonts w:hint="eastAsia" w:asciiTheme="minorEastAsia" w:hAnsiTheme="minorEastAsia" w:eastAsiaTheme="minorEastAsia"/>
          <w:szCs w:val="21"/>
        </w:rPr>
        <w:t xml:space="preserve">。箱体钢板厚度不低于1.2mm，门板钢板厚度不低于1.5mm。工厂内完成智能开关柜接线，并完成断路器的电气交接试验、柜内互感器交接试验、控制保护开关交接试验、低压柜电气设备交接试验等，并出具报告，在我方负责人检查通过后方可签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智能低压断路器</w:t>
      </w:r>
      <w:r>
        <w:rPr>
          <w:rFonts w:hint="eastAsia" w:asciiTheme="minorEastAsia" w:hAnsiTheme="minorEastAsia" w:eastAsiaTheme="minorEastAsia"/>
          <w:szCs w:val="21"/>
        </w:rPr>
        <w:t xml:space="preserve">设计要求（本体或者通过辅助元件实现功能都可行）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塑壳断路器：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额定电流250A以下电气寿命不低于10000次，机械寿命不低于20000次。额定电流250以上电气寿命不低于8000次，机械寿命不低于20000次；分断能力Icu≥70KA；Ics≥50KA；</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智能型塑壳断路器须具有LCD液晶显示+LED指示灯的电子脱扣器，LED灯指示合闸、故障、通讯状态，DC12V辅助电源接口</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具有LSI保护功能，过载长延时保护电流整定值设定范围 Ir =（0.4～1.0）× In 范围内连续可调；短延时电流整定值：Isd = （2 ～ 10）* Ir范围内连续可调；瞬时保护整定值： Ii = （3～12）* In 范围内连续可调；</w:t>
      </w:r>
      <w:r>
        <w:rPr>
          <w:rFonts w:hint="eastAsia" w:asciiTheme="minorEastAsia" w:hAnsiTheme="minorEastAsia" w:eastAsiaTheme="minorEastAsia"/>
          <w:szCs w:val="21"/>
        </w:rPr>
        <w:t xml:space="preserve">同时具有</w:t>
      </w:r>
      <w:r>
        <w:rPr>
          <w:rFonts w:asciiTheme="minorEastAsia" w:hAnsiTheme="minorEastAsia" w:eastAsiaTheme="minorEastAsia"/>
          <w:szCs w:val="21"/>
        </w:rPr>
        <w:t xml:space="preserve">过欠压保护功能</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缺相保护、过载预报警功能。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智能型塑壳断路器须具有测量功能，可测量电压(精度±0.5%)、电流(精度±0.5%)、有功功率(精度±1%)、无功功率(精度±1%)、视在功率(精度±1%)、功率因数(精度±1%)、频率(精度±1%)</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智能型塑壳断路器可加装LCD液晶柜门显示模块，能液晶显示断路器的分合闸状态、故障、报警、操作记录及查询电流、电压、功率、功率因数等功能；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智能型塑壳断路器具有</w:t>
      </w:r>
      <w:r>
        <w:rPr>
          <w:rFonts w:hint="eastAsia" w:asciiTheme="minorEastAsia" w:hAnsiTheme="minorEastAsia" w:eastAsiaTheme="minorEastAsia"/>
          <w:szCs w:val="21"/>
        </w:rPr>
        <w:t xml:space="preserve">不少于</w:t>
      </w:r>
      <w:r>
        <w:rPr>
          <w:rFonts w:asciiTheme="minorEastAsia" w:hAnsiTheme="minorEastAsia" w:eastAsiaTheme="minorEastAsia"/>
          <w:szCs w:val="21"/>
        </w:rPr>
        <w:t xml:space="preserve">10次跳闸故障存储，以及统计功能（</w:t>
      </w:r>
      <w:r>
        <w:rPr>
          <w:rFonts w:hint="eastAsia" w:asciiTheme="minorEastAsia" w:hAnsiTheme="minorEastAsia" w:eastAsiaTheme="minorEastAsia"/>
          <w:szCs w:val="21"/>
        </w:rPr>
        <w:t xml:space="preserve">不少于</w:t>
      </w:r>
      <w:r>
        <w:rPr>
          <w:rFonts w:asciiTheme="minorEastAsia" w:hAnsiTheme="minorEastAsia" w:eastAsiaTheme="minorEastAsia"/>
          <w:szCs w:val="21"/>
        </w:rPr>
        <w:t xml:space="preserve">30日电压、电流最大/最小值记录，80次保护功能投退时间记录、10次闸位变化事件记录、10次告警事件记录、2~31次谐波监测、电量统计、运行统计、时间功能）。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智能型塑壳断路器具有通讯功能，配备通讯型电动操作机构，无需外置附件，能够与上位机通讯实现“四遥”；基于标准Mudbus-RTU协议、配置RS485通讯接口。内置温度检测，可实时显示触头温度。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②小型</w:t>
      </w:r>
      <w:r>
        <w:rPr>
          <w:rFonts w:asciiTheme="minorEastAsia" w:hAnsiTheme="minorEastAsia" w:eastAsiaTheme="minorEastAsia"/>
          <w:szCs w:val="21"/>
        </w:rPr>
        <w:t xml:space="preserve">断路器：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具有短路、过载、过压、欠压、过温、缺相、漏电等保护功能，实时监测漏电电流、电流、电压、功率、频率、温度、电量、寿命等。分断能力Icu≥6kA</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内置AC-DC电源模块，独立交流220V供电，无需外置电源模块，本地手动操作合闸/远程电动合闸，集成一体化数据采集模块，有包括：温升、短路、过载、过欠压等异常状态的预警上报。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配置RS485通信接口，实现遥信、遥测、遥调、遥控等功能；监控系统可以对断路器进行分合控制。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智能终端</w:t>
      </w:r>
      <w:r>
        <w:rPr>
          <w:rFonts w:hint="eastAsia" w:asciiTheme="minorEastAsia" w:hAnsiTheme="minorEastAsia" w:eastAsiaTheme="minorEastAsia"/>
          <w:szCs w:val="21"/>
        </w:rPr>
        <w:t xml:space="preserve">管理系统设计要求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辅机动力箱</w:t>
      </w:r>
      <w:r>
        <w:rPr>
          <w:rFonts w:asciiTheme="minorEastAsia" w:hAnsiTheme="minorEastAsia" w:eastAsiaTheme="minorEastAsia"/>
          <w:szCs w:val="21"/>
        </w:rPr>
        <w:t xml:space="preserve">系统共设1套智能终端，安装于1#</w:t>
      </w:r>
      <w:r>
        <w:rPr>
          <w:rFonts w:hint="eastAsia" w:asciiTheme="minorEastAsia" w:hAnsiTheme="minorEastAsia" w:eastAsiaTheme="minorEastAsia"/>
          <w:szCs w:val="21"/>
        </w:rPr>
        <w:t xml:space="preserve">辅机动力箱</w:t>
      </w:r>
      <w:r>
        <w:rPr>
          <w:rFonts w:asciiTheme="minorEastAsia" w:hAnsiTheme="minorEastAsia" w:eastAsiaTheme="minorEastAsia"/>
          <w:szCs w:val="21"/>
        </w:rPr>
        <w:t xml:space="preserve">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具备PC系统处理、触控屏显示控制功能；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触摸屏采用投射式电容屏，支持10点触摸，触摸速度小于3ms，高效稳定，支持多点手势，尺寸不小于</w:t>
      </w:r>
      <w:r>
        <w:rPr>
          <w:rFonts w:hint="eastAsia" w:asciiTheme="minorEastAsia" w:hAnsiTheme="minorEastAsia" w:eastAsiaTheme="minorEastAsia"/>
          <w:szCs w:val="21"/>
        </w:rPr>
        <w:t xml:space="preserve">20</w:t>
      </w:r>
      <w:r>
        <w:rPr>
          <w:rFonts w:asciiTheme="minorEastAsia" w:hAnsiTheme="minorEastAsia" w:eastAsiaTheme="minorEastAsia"/>
          <w:szCs w:val="21"/>
        </w:rPr>
        <w:t xml:space="preserve">英寸；</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扩充性好：配置灵活，可扩充安装客户需求的各种功能配件；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操作系统兼容性强，兼容国产操作系统；固件可升级；</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芯片不低于英特尔I5，内存不小于4G，硬盘不小于8G且可扩展，清晰度不小于1080P，核显，集成1000M自适应网卡；</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内置智能配电管理系统：具备全部项目的数据总览；可实现资产的管理如配电室管理、区域管理、设备管理；可实现数据概览、配电系统图（或电气设备三维建模图实现控制、监测等功能）、电力监测、环境监测；具备异常报警汇总和系统日志等功能。系统采用B/S架构，应实现自动采集与监视、运行状态监视、报警、历史运行数据管理；可实现</w:t>
      </w:r>
      <w:r>
        <w:rPr>
          <w:rFonts w:hint="eastAsia" w:asciiTheme="minorEastAsia" w:hAnsiTheme="minorEastAsia" w:eastAsiaTheme="minorEastAsia"/>
          <w:szCs w:val="21"/>
        </w:rPr>
        <w:t xml:space="preserve">遥信、遥测、遥控</w:t>
      </w:r>
      <w:r>
        <w:rPr>
          <w:rFonts w:asciiTheme="minorEastAsia" w:hAnsiTheme="minorEastAsia" w:eastAsiaTheme="minorEastAsia"/>
          <w:szCs w:val="21"/>
        </w:rPr>
        <w:t xml:space="preserve">功能，</w:t>
      </w:r>
      <w:r>
        <w:rPr>
          <w:rFonts w:hint="eastAsia" w:asciiTheme="minorEastAsia" w:hAnsiTheme="minorEastAsia" w:eastAsiaTheme="minorEastAsia"/>
          <w:szCs w:val="21"/>
        </w:rPr>
        <w:t xml:space="preserve">本次不涉及遥调，将来如接有变频调节设备，也可实现遥调。</w:t>
      </w:r>
      <w:r>
        <w:rPr>
          <w:rFonts w:asciiTheme="minorEastAsia" w:hAnsiTheme="minorEastAsia" w:eastAsiaTheme="minorEastAsia"/>
          <w:szCs w:val="21"/>
        </w:rPr>
        <w:t xml:space="preserve">数据通讯和采集功能，智能控制内置定时配置。环境监测可接入视频、防盗、灾害、环境参数等数据；具备人机界面显示，电力系统标准的图形画面；实时显示设备运行状态和参数；支持本地逻辑编程；具备报警管理功能，趋势和曲线分析功能，数据库管理功能，设备运行报表功能，系统安全功能，电能质量监测功能，能源分析展示功能。中标人负责智能终端的界面开发、部署、系统调试以及与上位机开发的通讯，并提供点表信息；提供调试完备后的系统镜像备份，具备运行数据的定期备份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液晶触摸屏技术性能指标应不低于以下要求：</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液晶显示触摸屏不小于15.6英寸，分辨率1920×1080；电容式多点触控，不大于3ms延时；屏表面物理钢化莫氏硬度不小于7级防爆玻璃。</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亮度不小于400cd/m2，触摸寿命大于500万次，LED背光灯寿命大于25000小时。</w:t>
      </w:r>
      <w:r>
        <w:rPr>
          <w:rFonts w:hint="eastAsia" w:asciiTheme="minorEastAsia" w:hAnsiTheme="minorEastAsia" w:eastAsiaTheme="minorEastAsia"/>
          <w:szCs w:val="21"/>
          <w:lang w:bidi="ar"/>
        </w:rPr>
        <w:t xml:space="preserve">屏幕可通过外部信号进行唤醒。</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4.1.3物资准备</w:t>
      </w:r>
      <w:r/>
    </w:p>
    <w:p>
      <w:pPr>
        <w:ind w:firstLine="420"/>
        <w:spacing w:line="360" w:lineRule="auto"/>
        <w:rPr>
          <w:rFonts w:asciiTheme="minorEastAsia" w:hAnsiTheme="minorEastAsia" w:eastAsiaTheme="minorEastAsia"/>
          <w:szCs w:val="21"/>
          <w:highlight w:val="cyan"/>
        </w:rPr>
      </w:pPr>
      <w:r>
        <w:rPr>
          <w:rFonts w:hint="eastAsia" w:asciiTheme="minorEastAsia" w:hAnsiTheme="minorEastAsia" w:eastAsiaTheme="minorEastAsia"/>
          <w:szCs w:val="21"/>
        </w:rPr>
        <w:t xml:space="preserve">准备阻燃型热缩号码管、不锈钢扎带、防水标签纸、彩色标识带等线缆标记材料；准备母排连接用导电膏、搪锡工具、扭矩扳手、继电保护测试仪等。行车、叉车、吊带等搬运工器具。</w:t>
      </w:r>
      <w:r/>
    </w:p>
    <w:p>
      <w:pPr>
        <w:numPr>
          <w:ilvl w:val="255"/>
          <w:numId w:val="0"/>
        </w:num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施工方案</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1施工条件：本项目施工地点在</w:t>
      </w:r>
      <w:r>
        <w:rPr>
          <w:rFonts w:hint="eastAsia" w:asciiTheme="minorEastAsia" w:hAnsiTheme="minorEastAsia" w:eastAsiaTheme="minorEastAsia"/>
          <w:szCs w:val="21"/>
        </w:rPr>
        <w:t xml:space="preserve">皂河抽水站厂房联轴层</w:t>
      </w:r>
      <w:r>
        <w:rPr>
          <w:rFonts w:asciiTheme="minorEastAsia" w:hAnsiTheme="minorEastAsia" w:eastAsiaTheme="minorEastAsia"/>
          <w:szCs w:val="21"/>
        </w:rPr>
        <w:t xml:space="preserve">。为施工安全，施工前需做好安全组织措施及安全技术措施、办理施工安全交底工作。在施工期间需注意噪声和环境卫生等工作，做到文明施工。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rPr>
          <w:rFonts w:asciiTheme="minorEastAsia" w:hAnsiTheme="minorEastAsia" w:eastAsiaTheme="minorEastAsia"/>
          <w:szCs w:val="21"/>
        </w:rPr>
        <w:t xml:space="preserve">2施工内容</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（1）动力箱拆除</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施工前全面勘查</w:t>
      </w:r>
      <w:r>
        <w:rPr>
          <w:rFonts w:hint="eastAsia" w:asciiTheme="minorEastAsia" w:hAnsiTheme="minorEastAsia" w:eastAsiaTheme="minorEastAsia"/>
          <w:szCs w:val="21"/>
        </w:rPr>
        <w:t xml:space="preserve">辅机动力箱</w:t>
      </w:r>
      <w:r>
        <w:rPr>
          <w:rFonts w:asciiTheme="minorEastAsia" w:hAnsiTheme="minorEastAsia" w:eastAsiaTheme="minorEastAsia"/>
          <w:szCs w:val="21"/>
        </w:rPr>
        <w:t xml:space="preserve">，逐柜核对高低压柜一次主接线、安装基础、电缆走向，重点核查原有外接一次电缆（进线、出线、母排）的规格型号、相序标识，以及原有外接二次电缆（控制、信号、遥测、遥信、通信）的回路编号、芯线定义及端子排位置，形成《外接线核对清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次线标记与拆除：对连接旧柜的母排、进线电缆、出线电缆进行标记。母排采用不锈钢扎带悬挂防水标签，注明电压等级、段别及相序；电缆采用彩色标识带缠绕（黄绿红对应ABC相），并在电缆头悬挂标签注明电缆编号、对侧柜号及相序。拆除时先拆电缆头连接螺栓，再拆母排连接螺栓；拆除后的母排用防潮帆布包裹，电缆头用热缩帽或绝缘胶带密封，防止受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次线标记与拆除：对全部外接二次电缆实施双重标记。第一重在电缆本体：套入阻燃热缩号码管，打印“回路编号-对侧柜号-功能”。第二重在电缆头：每根芯线套热缩号码管标识线号，电缆头整体悬挂防水标签注明回路名称、端子排位置及芯线对照表；通信线缆额外标注协议类型及IP地址。拆除时先拆二次线，使用专用退线工具从端子排退出，避免损伤芯线；拆除后逐根整理，采用尼龙扎带捆扎，悬挂于临时绝缘支架上，严禁拖地、挤压或受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旧柜移出与场地清理：外接线全部拆除并妥善悬挂后，拆除旧柜固定螺栓，使用</w:t>
      </w:r>
      <w:r>
        <w:rPr>
          <w:rFonts w:hint="eastAsia" w:asciiTheme="minorEastAsia" w:hAnsiTheme="minorEastAsia" w:eastAsiaTheme="minorEastAsia"/>
          <w:szCs w:val="21"/>
        </w:rPr>
        <w:t xml:space="preserve">行车</w:t>
      </w:r>
      <w:r>
        <w:rPr>
          <w:rFonts w:asciiTheme="minorEastAsia" w:hAnsiTheme="minorEastAsia" w:eastAsiaTheme="minorEastAsia"/>
          <w:szCs w:val="21"/>
        </w:rPr>
        <w:t xml:space="preserve">移出</w:t>
      </w:r>
      <w:r>
        <w:rPr>
          <w:rFonts w:hint="eastAsia" w:asciiTheme="minorEastAsia" w:hAnsiTheme="minorEastAsia" w:eastAsiaTheme="minorEastAsia"/>
          <w:szCs w:val="21"/>
        </w:rPr>
        <w:t xml:space="preserve">联轴层</w:t>
      </w:r>
      <w:r>
        <w:rPr>
          <w:rFonts w:asciiTheme="minorEastAsia" w:hAnsiTheme="minorEastAsia" w:eastAsiaTheme="minorEastAsia"/>
          <w:szCs w:val="21"/>
        </w:rPr>
        <w:t xml:space="preserve">。清理基础槽钢及预埋件，检查水平度，偏差超标处采用垫铁调整，确保新柜就位条件。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（2）动力箱安装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母排连接：拆除柜间运输防护板，连接柜间螺栓，调整间隙均匀且不大于2mm。主母线按原系统相序连接，搭接面清洁、搪锡处理，涂抹导电膏，采用不锈钢螺栓紧固，扭矩扳手按标准力矩执行，接触电阻≤50μΩ。母线穿墙套管及触头盒检查洁净度，防止局放隐患。连接完成后核对相序标识正确，柜间绝缘隔板安装到位。</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原有外接线恢复：按照拆除时的标记逐根恢复。一次线恢复时核对相序，电缆头检查密封状态，必要时重新制作；母排连接核对相序标记，确保与原系统一致；恢复后检查连接点紧固力矩，抽测接触电阻。二次线恢复时对照新柜二次原理图，逐芯核对端子排编号及芯线定义，确保与原设计一致；电流互感器回路注意极性正确、严禁开路；控制回路注意分合闸线圈极性；通信回路注意屏蔽层单端接地。端子排压接采用扭矩扳手，压接部位涂抹抗氧化剂。每恢复一根电缆，做到恢复一根、核对一根、确认一根。</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通信线恢复至新柜双以太网接口，核对IP地址、子网掩码、网关参数，确保与原有网络规划一致。柜间通过通信端口级联，最终接入站端通信管理机并上传至上位机系统。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空气围带控制器保留现有可编程控制器，安装于辅机动力箱内，且空气围带通信接入智能管理终端并上传至上位机。使用二次线缆连接空气围带与对应柜内PLC。因供排水泵动力电缆老化，对供排水泵动力电缆进行更换。皂河站联轴层电缆桥架部分变形损坏，对损坏部分桥架进行更换，更换为不锈钢桥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（3）动力箱试验</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所有电气设备均应按供货商技术文件的要求和电气设备相关规程规范规定进行安装调试、检查和验收，主要电气设备安装与检验、试验的内容如下：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①</w:t>
      </w:r>
      <w:r>
        <w:rPr>
          <w:rFonts w:asciiTheme="minorEastAsia" w:hAnsiTheme="minorEastAsia" w:eastAsiaTheme="minorEastAsia"/>
          <w:szCs w:val="21"/>
        </w:rPr>
        <w:t xml:space="preserve">承包人应按照供货商技术文件及GB50147规定进行开关柜安装前检查，供货商应提交出厂合格证、说明书、出厂试验报告等资料。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②</w:t>
      </w:r>
      <w:r>
        <w:rPr>
          <w:rFonts w:asciiTheme="minorEastAsia" w:hAnsiTheme="minorEastAsia" w:eastAsiaTheme="minorEastAsia"/>
          <w:szCs w:val="21"/>
        </w:rPr>
        <w:t xml:space="preserve">成套配电柜安装应按GB50147和GB50171相关规定条文执行。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③</w:t>
      </w:r>
      <w:r>
        <w:rPr>
          <w:rFonts w:asciiTheme="minorEastAsia" w:hAnsiTheme="minorEastAsia" w:eastAsiaTheme="minorEastAsia"/>
          <w:szCs w:val="21"/>
        </w:rPr>
        <w:t xml:space="preserve">盘面标志牌、标志柜应齐全正确，油漆完整，相色标志正确，接地可靠，柜内仪表，指示灯正常，断路器及操作机构操动应正常，联动试验合格。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④</w:t>
      </w:r>
      <w:r>
        <w:rPr>
          <w:rFonts w:asciiTheme="minorEastAsia" w:hAnsiTheme="minorEastAsia" w:eastAsiaTheme="minorEastAsia"/>
          <w:szCs w:val="21"/>
        </w:rPr>
        <w:t xml:space="preserve">各导电接触面无氧化，接触良好，电气连接可靠。</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⑤</w:t>
      </w:r>
      <w:r>
        <w:rPr>
          <w:rFonts w:asciiTheme="minorEastAsia" w:hAnsiTheme="minorEastAsia" w:eastAsiaTheme="minorEastAsia"/>
          <w:szCs w:val="21"/>
        </w:rPr>
        <w:t xml:space="preserve">断路器与母排等的安装，调整检查还应符合GB/T14824规定。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⑥</w:t>
      </w:r>
      <w:r>
        <w:rPr>
          <w:rFonts w:asciiTheme="minorEastAsia" w:hAnsiTheme="minorEastAsia" w:eastAsiaTheme="minorEastAsia"/>
          <w:szCs w:val="21"/>
        </w:rPr>
        <w:t xml:space="preserve">承包人应按供货商技术文件及GB50150的规定进行电气交接试验。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⑦智能</w:t>
      </w:r>
      <w:r>
        <w:rPr>
          <w:rFonts w:asciiTheme="minorEastAsia" w:hAnsiTheme="minorEastAsia" w:eastAsiaTheme="minorEastAsia"/>
          <w:szCs w:val="21"/>
        </w:rPr>
        <w:t xml:space="preserve">断路器的电气交接试验主要包括下列内容：测量绝缘电阻；测量每相导电回路的电阻；交流耐压试验；测量断路器主触头的分、合闸时间，测量分、合闸的同期性，测量合闸时触头的弹跳时间；测量分、合闸线圈的绝缘电阻和直流电阻；断路器分、合闸最低动作电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⑧</w:t>
      </w:r>
      <w:r>
        <w:rPr>
          <w:rFonts w:asciiTheme="minorEastAsia" w:hAnsiTheme="minorEastAsia" w:eastAsiaTheme="minorEastAsia"/>
          <w:szCs w:val="21"/>
        </w:rPr>
        <w:t xml:space="preserve">柜内互感器交接试验主要包括下列项目：测量绕组的绝缘电阻；交流耐压试验；测量绕组的直流电阻；接线组别和极性试验；变比和误差测试；互感器励磁特性曲线测试。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⑨控制保护开关</w:t>
      </w:r>
      <w:r>
        <w:rPr>
          <w:rFonts w:asciiTheme="minorEastAsia" w:hAnsiTheme="minorEastAsia" w:eastAsiaTheme="minorEastAsia"/>
          <w:szCs w:val="21"/>
        </w:rPr>
        <w:t xml:space="preserve">交接试验主要项目：测量绝缘电阻；</w:t>
      </w:r>
      <w:r>
        <w:rPr>
          <w:rFonts w:hint="eastAsia" w:asciiTheme="minorEastAsia" w:hAnsiTheme="minorEastAsia" w:eastAsiaTheme="minorEastAsia"/>
          <w:szCs w:val="21"/>
        </w:rPr>
        <w:t xml:space="preserve">交流耐压试验；</w:t>
      </w:r>
      <w:r>
        <w:rPr>
          <w:rFonts w:asciiTheme="minorEastAsia" w:hAnsiTheme="minorEastAsia" w:eastAsiaTheme="minorEastAsia"/>
          <w:szCs w:val="21"/>
        </w:rPr>
        <w:t xml:space="preserve">主回路直流电阻测量</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操作与控制功能试验</w:t>
      </w:r>
      <w:r>
        <w:rPr>
          <w:rFonts w:hint="eastAsia" w:asciiTheme="minorEastAsia" w:hAnsiTheme="minorEastAsia" w:eastAsiaTheme="minorEastAsia"/>
          <w:szCs w:val="21"/>
        </w:rPr>
        <w:t xml:space="preserve">；保护特性校验；电压线圈动作值校验。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⑩</w:t>
      </w:r>
      <w:r>
        <w:rPr>
          <w:rFonts w:asciiTheme="minorEastAsia" w:hAnsiTheme="minorEastAsia" w:eastAsiaTheme="minorEastAsia"/>
          <w:szCs w:val="21"/>
        </w:rPr>
        <w:t xml:space="preserve">盘柜电气仪表进行精度校验。</w:t>
      </w:r>
      <w:r/>
    </w:p>
    <w:p>
      <w:pPr>
        <w:ind w:firstLine="420"/>
        <w:spacing w:line="360" w:lineRule="auto"/>
        <w:rPr>
          <w:rFonts w:asciiTheme="minorEastAsia" w:hAnsiTheme="minorEastAsia" w:eastAsiaTheme="minorEastAsia"/>
          <w:szCs w:val="21"/>
        </w:rPr>
      </w:pPr>
      <w:r>
        <w:rPr>
          <w:rFonts w:ascii="Cambria Math" w:hAnsi="Cambria Math" w:cs="Cambria Math" w:eastAsiaTheme="minorEastAsia"/>
          <w:szCs w:val="21"/>
        </w:rPr>
        <w:t xml:space="preserve">⑪</w:t>
      </w:r>
      <w:r>
        <w:rPr>
          <w:rFonts w:asciiTheme="minorEastAsia" w:hAnsiTheme="minorEastAsia" w:eastAsiaTheme="minorEastAsia"/>
          <w:szCs w:val="21"/>
        </w:rPr>
        <w:t xml:space="preserve">低压柜电气设备交接试验主要项目：测量绝缘电阻；低压断路器、脱扣器定值整定（瞬时、长延时、热过载等）；交流耐压试验；相位检查等。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系统调试</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单体功能验证：拼柜及接线完成后逐柜通电检查。智能保护终端上电自检，触摸屏显示正常；温湿度传感器及加热器</w:t>
      </w:r>
      <w:r>
        <w:rPr>
          <w:rFonts w:hint="eastAsia" w:asciiTheme="minorEastAsia" w:hAnsiTheme="minorEastAsia" w:eastAsiaTheme="minorEastAsia"/>
          <w:szCs w:val="21"/>
        </w:rPr>
        <w:t xml:space="preserve">、风机</w:t>
      </w:r>
      <w:r>
        <w:rPr>
          <w:rFonts w:asciiTheme="minorEastAsia" w:hAnsiTheme="minorEastAsia" w:eastAsiaTheme="minorEastAsia"/>
          <w:szCs w:val="21"/>
        </w:rPr>
        <w:t xml:space="preserve">自动启停验证；无线测温传感器通信验证；电气特性监测模块验证线圈电流、电机电流波形采集。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保护功能调试：依据设计图纸录入保护定值。使用继电保护测试仪模拟各类故障信号，验证各保护动作正确性，模拟保护动作及断路器操作，验证录波功能。</w:t>
      </w:r>
      <w:r/>
    </w:p>
    <w:p>
      <w:pPr>
        <w:ind w:firstLine="420"/>
        <w:spacing w:line="360" w:lineRule="auto"/>
        <w:rPr>
          <w:rFonts w:asciiTheme="minorEastAsia" w:hAnsiTheme="minorEastAsia" w:eastAsiaTheme="minorEastAsia"/>
          <w:color w:val="ff0000"/>
          <w:szCs w:val="21"/>
        </w:rPr>
      </w:pPr>
      <w:r>
        <w:rPr>
          <w:rFonts w:asciiTheme="minorEastAsia" w:hAnsiTheme="minorEastAsia" w:eastAsiaTheme="minorEastAsia"/>
          <w:szCs w:val="21"/>
        </w:rPr>
        <w:t xml:space="preserve">后台系统对接：将新柜接入皂河站智能泵站系统通信网络，数据上传与指令下发。核对遥测量（电压、电流、功率、电气特性参数）、遥信量（开关状态、柜门状态）、遥控量（断路器分合闸）。后台监控画面确保图标样式、颜色配置、布局风格、报警分级规则统一。验证遥控操作时视频画面自动切换至对应柜体画面</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完成整站系统联调后，进行连续带负荷试运行，保护动作正确率须达100%，数据采集完整性≥99.9%，通信无丢包，视频系统运行可靠。</w:t>
      </w:r>
      <w:r/>
    </w:p>
    <w:p>
      <w:pPr>
        <w:ind w:left="420"/>
        <w:spacing w:line="360" w:lineRule="auto"/>
        <w:rPr>
          <w:rFonts w:asciiTheme="minorEastAsia" w:hAnsiTheme="minorEastAsia" w:eastAsiaTheme="minorEastAsia"/>
          <w:color w:val="ff0000"/>
          <w:szCs w:val="21"/>
        </w:rPr>
      </w:pPr>
      <w:r>
        <w:rPr>
          <w:rFonts w:hint="eastAsia" w:asciiTheme="minorEastAsia" w:hAnsiTheme="minorEastAsia" w:eastAsiaTheme="minorEastAsia"/>
          <w:szCs w:val="21"/>
        </w:rPr>
        <w:t xml:space="preserve">4.3安全保障措施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旧柜拆除阶段：确认停电、验电、接地后方可开工。拆除二次线时严防电流互感器回路开路产生高压；拆除一次线时注意残余电荷释放。拆除后的线缆悬挂于绝缘支架，严禁拖地或接触地面金属构件。旧柜吊运时防止碰撞运行设备或损伤基础。</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拼柜与接线阶段：母排连接时严禁徒手触摸导电面；恢复二次线时对照原理图逐芯核对，防止误接导致保护误动或拒动；通信线恢复时严禁带电插拔光纤头。施工区域采用硬质围栏封闭，与带电设备保持安全距离，悬挂警示标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调试阶段：断路器遥控操作时现场设专人监护，操作前通过视频监控确认设备状态，操作后通过遥信返校确认位置。</w:t>
      </w:r>
      <w:r>
        <w:rPr>
          <w:rFonts w:hint="eastAsia" w:asciiTheme="minorEastAsia" w:hAnsiTheme="minorEastAsia" w:eastAsiaTheme="minorEastAsia"/>
          <w:szCs w:val="21"/>
        </w:rPr>
        <w:t xml:space="preserve">保护逻辑、信号传动校验时，</w:t>
      </w:r>
      <w:r>
        <w:rPr>
          <w:rFonts w:asciiTheme="minorEastAsia" w:hAnsiTheme="minorEastAsia" w:eastAsiaTheme="minorEastAsia"/>
          <w:szCs w:val="21"/>
        </w:rPr>
        <w:t xml:space="preserve">保护传动试验前断开跳闸出口压板，防止误跳运行设备</w:t>
      </w:r>
      <w:r>
        <w:rPr>
          <w:rFonts w:hint="eastAsia" w:asciiTheme="minorEastAsia" w:hAnsiTheme="minorEastAsia" w:eastAsiaTheme="minorEastAsia"/>
          <w:szCs w:val="21"/>
        </w:rPr>
        <w:t xml:space="preserve">；整组传动试验时，应投入保护压板，做好停电措施</w:t>
      </w:r>
      <w:r>
        <w:rPr>
          <w:rFonts w:asciiTheme="minorEastAsia" w:hAnsiTheme="minorEastAsia" w:eastAsiaTheme="minorEastAsia"/>
          <w:szCs w:val="21"/>
        </w:rPr>
        <w:t xml:space="preserve">。机械特性及电气特性监测模块调试时，注意传感器安装位置，避免影响断路器正常动作。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4.4验收交付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分阶段验收：拼柜接线验收检查柜体垂直度、母排接触电阻、相序标识、线缆恢复正确率及标识清晰度；单体功能验收验证终端显示、电动机构定位、联锁逻辑、传感器精度、视频清晰度动作时间、机械特性监测精度、电气特性波形质量；系统功能验收验证一键顺控、后台</w:t>
      </w:r>
      <w:r>
        <w:rPr>
          <w:rFonts w:hint="eastAsia" w:asciiTheme="minorEastAsia" w:hAnsiTheme="minorEastAsia" w:eastAsiaTheme="minorEastAsia"/>
          <w:szCs w:val="21"/>
        </w:rPr>
        <w:t xml:space="preserve">遥信、遥测、遥控对</w:t>
      </w:r>
      <w:r>
        <w:rPr>
          <w:rFonts w:asciiTheme="minorEastAsia" w:hAnsiTheme="minorEastAsia" w:eastAsiaTheme="minorEastAsia"/>
          <w:szCs w:val="21"/>
        </w:rPr>
        <w:t xml:space="preserve">接、视频联动联动、机械/电气特性数据上传及72小时试运行数据。</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资料移交与培训：验收通过后编制《项目验收报告》，移交设计图纸（含变更）、设备合格证、检测报告、外接线恢复确认单、调试报告、录波数据、后台通信点表、操作手册、机械特性基准值报告、电气特性基准值报告等。对运行人员进行专项培训，内容包括智能终端就地操作、后台监控界面操作、一键顺控流程、常见故障处理、视频系统使用动作处置、机械特性/电气特性数据查看及异常判断，确保熟练掌握改造后的系统操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交付后提供不少于1年免费运维服务，建立7×24小时应急响应机制，核心部件24小时内直达配送，平均故障修复时间控制在2小时以内，确保皂河泵站高压配电系统长期安全稳定运行。</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5项目实施前的准备工作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为使项目顺利实施，保证施工进度、质量，在项目实施前，我单位已对各个项目进行了方案细化，根据机组运行情况，初步拟定了检修日期，现场水、电及道路均能满足施工要求。</w:t>
      </w:r>
      <w:r/>
    </w:p>
    <w:p>
      <w:pPr>
        <w:ind w:left="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6技术创新</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智能化改造后，辅机动力箱除具备以往操控等功能外，具备以下功能：</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各回路电参数</w:t>
      </w:r>
      <w:r>
        <w:rPr>
          <w:rFonts w:hint="eastAsia" w:asciiTheme="minorEastAsia" w:hAnsiTheme="minorEastAsia" w:eastAsiaTheme="minorEastAsia"/>
          <w:szCs w:val="21"/>
        </w:rPr>
        <w:t xml:space="preserve">在线检测与诊断。</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.2单个柜体或元器件、整组柜体连成整个系统，具备遥信、遥测、遥控功能，</w:t>
      </w:r>
      <w:r>
        <w:rPr>
          <w:rFonts w:asciiTheme="minorEastAsia" w:hAnsiTheme="minorEastAsia" w:eastAsiaTheme="minorEastAsia"/>
          <w:szCs w:val="21"/>
        </w:rPr>
        <w:t xml:space="preserve">采用有线方式通信时，每柜内设有网络通信连接端口，柜体之间的通信应通过通信端口连接。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配置适当的传感器、通信模块等智能终端设备实现对塑壳断路器的监控。</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.4箱</w:t>
      </w:r>
      <w:r>
        <w:rPr>
          <w:rFonts w:asciiTheme="minorEastAsia" w:hAnsiTheme="minorEastAsia" w:eastAsiaTheme="minorEastAsia"/>
          <w:szCs w:val="21"/>
        </w:rPr>
        <w:t xml:space="preserve">体配置独立的空间作为通信电缆通道，控制信号线应远离主回路或大电流母线；独立空间也用于安装如网关、交换机等组网设备，以及其他通信接口器件、连接端子、电源模块等。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运行控制，现地和远方控制操作，</w:t>
      </w:r>
      <w:r>
        <w:rPr>
          <w:rFonts w:hint="eastAsia" w:asciiTheme="minorEastAsia" w:hAnsiTheme="minorEastAsia" w:eastAsiaTheme="minorEastAsia"/>
          <w:szCs w:val="21"/>
        </w:rPr>
        <w:t xml:space="preserve">接收</w:t>
      </w:r>
      <w:r>
        <w:rPr>
          <w:rFonts w:asciiTheme="minorEastAsia" w:hAnsiTheme="minorEastAsia" w:eastAsiaTheme="minorEastAsia"/>
          <w:szCs w:val="21"/>
        </w:rPr>
        <w:t xml:space="preserve">并执行远程控制命令分合闸，设置防误操作联锁装置。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运行监测，各回路电流、电压、功率、功率因数、谐波、电度等电参数采集，断路器合/分状态信号采集。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故障监测，</w:t>
      </w:r>
      <w:r>
        <w:rPr>
          <w:rFonts w:hint="eastAsia" w:asciiTheme="minorEastAsia" w:hAnsiTheme="minorEastAsia" w:eastAsiaTheme="minorEastAsia"/>
          <w:szCs w:val="21"/>
        </w:rPr>
        <w:t xml:space="preserve">各回路发生过压、欠压、缺相、过流、短路、失压停电、越级跳闸等故障时，均产生SOE记录并推送告警。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故障记录和显示，除超温外其他和电流电压相关的事件同时触发故障记录，可读取故障事件报文和故障显示。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电能计量和分析，各回路电量采集和能耗分析。</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电能质量分析，各回路谐波数据采集和统计分析。</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项目进度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项目，工程总工期为60日历天。工程完工后报请江苏省骆运水利工程管理处对工程进行验收。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施工期间对工程运行的影响及采取的措施</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本项目施工</w:t>
      </w:r>
      <w:r>
        <w:rPr>
          <w:rFonts w:hint="eastAsia" w:asciiTheme="minorEastAsia" w:hAnsiTheme="minorEastAsia" w:eastAsiaTheme="minorEastAsia"/>
          <w:szCs w:val="21"/>
        </w:rPr>
        <w:t xml:space="preserve">需停电施工、工程无法投入运行，需</w:t>
      </w:r>
      <w:r>
        <w:rPr>
          <w:rFonts w:asciiTheme="minorEastAsia" w:hAnsiTheme="minorEastAsia" w:eastAsiaTheme="minorEastAsia"/>
          <w:szCs w:val="21"/>
        </w:rPr>
        <w:t xml:space="preserve">结合年度调水计划安排在非调水期实施</w:t>
      </w:r>
      <w:r>
        <w:rPr>
          <w:rFonts w:hint="eastAsia" w:asciiTheme="minorEastAsia" w:hAnsiTheme="minorEastAsia" w:eastAsiaTheme="minorEastAsia"/>
          <w:szCs w:val="21"/>
        </w:rPr>
        <w:t xml:space="preserve">，并在9月份完成全部施工，不影响10月份调水运行</w:t>
      </w:r>
      <w:r>
        <w:rPr>
          <w:rFonts w:asciiTheme="minorEastAsia" w:hAnsiTheme="minorEastAsia" w:eastAsiaTheme="minorEastAsia"/>
          <w:szCs w:val="21"/>
        </w:rPr>
        <w:t xml:space="preserve">。</w:t>
      </w:r>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六、其他要求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（一）本项目为全费用单价合同，竞标报价应包括竞争性磋商文件所确定的采购范围内的全部内容，包括项目本身、材料费、施工费、机械费、人工费、利润、税金等以及政策性文件规定的各项应有费用。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投标人需提供具体人员配备方案，任务分配，各具体岗位职责分工明确，人员配备应包括项目负责人、技术负责人、质检员、施工员配备齐全。现场施工人员必须严格遵守一切规章制度，自觉接受检查，配合采购人完成项目所需要的其他相关服务工作。</w:t>
      </w:r>
      <w:r/>
    </w:p>
    <w:p>
      <w:pPr>
        <w:pStyle w:val="1320"/>
        <w:ind w:firstLine="420"/>
        <w:jc w:val="both"/>
        <w:spacing w:before="0" w:beforeAutospacing="0" w:after="0" w:afterAutospacing="0" w:line="360" w:lineRule="auto"/>
        <w:shd w:val="clear" w:color="auto" w:fill="ffff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（三）项目负责人（项目经理）必须满足下列条件：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bookmarkStart w:id="251" w:name="OLE_LINK20"/>
      <w:r/>
      <w:bookmarkStart w:id="252" w:name="OLE_LINK21"/>
      <w:r/>
      <w:bookmarkStart w:id="253" w:name="OLE_LINK22"/>
      <w:r>
        <w:rPr>
          <w:rFonts w:hint="eastAsia" w:cs="宋体" w:asciiTheme="minorEastAsia" w:hAnsiTheme="minorEastAsia" w:eastAsiaTheme="minorEastAsia"/>
          <w:szCs w:val="21"/>
        </w:rPr>
        <w:t xml:space="preserve">项目负责人</w:t>
      </w:r>
      <w:bookmarkEnd w:id="251"/>
      <w:r/>
      <w:bookmarkEnd w:id="252"/>
      <w:r>
        <w:rPr>
          <w:rFonts w:hint="eastAsia" w:cs="宋体" w:asciiTheme="minorEastAsia" w:hAnsiTheme="minorEastAsia" w:eastAsiaTheme="minorEastAsia"/>
          <w:szCs w:val="21"/>
        </w:rPr>
        <w:t xml:space="preserve">（项目经理）</w:t>
      </w:r>
      <w:bookmarkEnd w:id="253"/>
      <w:r>
        <w:rPr>
          <w:rFonts w:hint="eastAsia" w:cs="宋体" w:asciiTheme="minorEastAsia" w:hAnsiTheme="minorEastAsia" w:eastAsiaTheme="minorEastAsia"/>
          <w:szCs w:val="21"/>
        </w:rPr>
        <w:t xml:space="preserve">不得同时在两个或者两个以上单位受聘或者执业；</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拟任项目负责人（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具有在建工程但符合以下情形之一的，经该在建工程建设单位同意，并完善有关手续后（附在投标文件中），可以参加本项目的投标：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a.合同工程量已完成80%以上，且主体工程已完成。</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b. 通过合同完工验收。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c.工程具备合同完工验收条件，已向建设单位提出合同完工验收申请，并经建设单位确认。</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d.因非承包方原因致使工程项目停工超过120天（含）。</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注：①在建工程是指在正在施工和新承接的项目担任项目负责人职务（施工项目经理或设计施工总承包项目经理、施工负责人）的工程；</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③上述第e条款不适用于停工后已在本项目投标截止时间之前复工的情形。</w:t>
      </w:r>
      <w:bookmarkEnd w:id="249"/>
      <w:bookmarkEnd w:id="250"/>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七、附件</w:t>
      </w:r>
      <w:r/>
    </w:p>
    <w:p>
      <w:pPr>
        <w:ind w:firstLine="482"/>
        <w:spacing w:line="50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附件1、高压开关柜配置清单；</w:t>
      </w:r>
      <w:r/>
    </w:p>
    <w:p>
      <w:pPr>
        <w:ind w:firstLine="482"/>
        <w:spacing w:line="500" w:lineRule="exact"/>
        <w:rPr>
          <w:rFonts w:asciiTheme="minorEastAsia" w:hAnsiTheme="minorEastAsia" w:eastAsiaTheme="minorEastAsia" w:cstheme="minorEastAsia"/>
          <w:b/>
          <w:szCs w:val="21"/>
        </w:rPr>
        <w:outlineLvl w:val="1"/>
      </w:pPr>
      <w:r>
        <w:rPr>
          <w:rFonts w:hint="eastAsia" w:asciiTheme="minorEastAsia" w:hAnsiTheme="minorEastAsia" w:eastAsiaTheme="minorEastAsia" w:cstheme="minorEastAsia"/>
          <w:b/>
          <w:szCs w:val="21"/>
        </w:rPr>
        <w:t xml:space="preserve">附件2、低压开关柜清单；</w:t>
      </w:r>
      <w:r/>
    </w:p>
    <w:p>
      <w:pPr>
        <w:ind w:firstLine="482"/>
        <w:spacing w:line="500" w:lineRule="exact"/>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Cs w:val="21"/>
        </w:rPr>
        <w:t xml:space="preserve">附件3、辅机动力箱配置清单。</w:t>
      </w:r>
      <w:r/>
    </w:p>
    <w:p>
      <w:pP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附件1、高压开关柜配置清单</w:t>
      </w:r>
      <w:r/>
    </w:p>
    <w:tbl>
      <w:tblPr>
        <w:tblStyle w:val="719"/>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2265"/>
        <w:gridCol w:w="3867"/>
        <w:gridCol w:w="709"/>
        <w:gridCol w:w="567"/>
        <w:gridCol w:w="1013"/>
      </w:tblGrid>
      <w:tr>
        <w:trPr>
          <w:jc w:val="center"/>
          <w:trHeight w:val="312"/>
        </w:trPr>
        <w:tc>
          <w:tcPr>
            <w:tcW w:w="667" w:type="dxa"/>
            <w:vAlign w:val="center"/>
            <w:vMerge w:val="restart"/>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序号</w:t>
            </w:r>
            <w:r/>
          </w:p>
        </w:tc>
        <w:tc>
          <w:tcPr>
            <w:tcW w:w="2265" w:type="dxa"/>
            <w:vAlign w:val="center"/>
            <w:vMerge w:val="restart"/>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元器件名称</w:t>
            </w:r>
            <w:r/>
          </w:p>
        </w:tc>
        <w:tc>
          <w:tcPr>
            <w:tcW w:w="3867" w:type="dxa"/>
            <w:vAlign w:val="center"/>
            <w:vMerge w:val="restart"/>
            <w:textDirection w:val="lrTb"/>
            <w:noWrap w:val="false"/>
          </w:tcPr>
          <w:p>
            <w:pPr>
              <w:jc w:val="center"/>
              <w:rPr>
                <w:rFonts w:ascii="Times New Roman" w:hAnsi="Times New Roman"/>
                <w:b/>
                <w:bCs/>
                <w:szCs w:val="21"/>
              </w:rPr>
            </w:pPr>
            <w:r>
              <w:rPr>
                <w:rFonts w:ascii="Times New Roman" w:hAnsi="Times New Roman"/>
                <w:b/>
                <w:bCs/>
                <w:color w:val="000000"/>
                <w:szCs w:val="21"/>
              </w:rPr>
              <w:t xml:space="preserve">规格型号</w:t>
            </w:r>
            <w:r/>
          </w:p>
        </w:tc>
        <w:tc>
          <w:tcPr>
            <w:tcW w:w="709" w:type="dxa"/>
            <w:vAlign w:val="center"/>
            <w:vMerge w:val="restart"/>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单位</w:t>
            </w:r>
            <w:r/>
          </w:p>
        </w:tc>
        <w:tc>
          <w:tcPr>
            <w:tcW w:w="567" w:type="dxa"/>
            <w:vAlign w:val="center"/>
            <w:vMerge w:val="restart"/>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数量</w:t>
            </w:r>
            <w:r/>
          </w:p>
        </w:tc>
        <w:tc>
          <w:tcPr>
            <w:tcW w:w="1013" w:type="dxa"/>
            <w:vAlign w:val="center"/>
            <w:vMerge w:val="restart"/>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备注</w:t>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一</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进线开关柜 </w:t>
            </w:r>
            <w:r/>
          </w:p>
        </w:tc>
        <w:tc>
          <w:tcPr>
            <w:shd w:val="clear" w:color="auto" w:fill="auto"/>
            <w:tcW w:w="38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KYN28-12</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柜体</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KYN28-12，1000×1700×2300mm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面</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触头盒</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CH3-12/1600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一次静触头</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与触头盒配套 1600A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交流真空断路器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1600A/31.5kA-12kV  智能断路器，配套6点测温， 电动底盘车</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LZZBJ9-10  1500/5A 0.5/5P30/5P30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避雷器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HY5WZ-17/45</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314"/>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带电显示传感器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GSN-10/Q</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智能终端</w:t>
            </w:r>
            <w:r/>
          </w:p>
          <w:p>
            <w:pPr>
              <w:jc w:val="center"/>
              <w:rPr>
                <w:rFonts w:ascii="Times New Roman" w:hAnsi="Times New Roman"/>
                <w:szCs w:val="21"/>
              </w:rPr>
            </w:pPr>
            <w:r>
              <w:rPr>
                <w:rFonts w:ascii="Times New Roman" w:hAnsi="Times New Roman"/>
                <w:szCs w:val="21"/>
              </w:rPr>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≥16寸屏、单色铝面板、数据集成、综合保护、语音控制等功能，屏幕分辨率不低于</w:t>
            </w:r>
            <w:r>
              <w:rPr>
                <w:rFonts w:ascii="Times New Roman" w:hAnsi="Times New Roman"/>
                <w:szCs w:val="21"/>
              </w:rPr>
              <w:t xml:space="preserve">1920*1080,</w:t>
            </w:r>
            <w:r>
              <w:rPr>
                <w:rFonts w:hint="eastAsia" w:ascii="Times New Roman" w:hAnsi="Times New Roman"/>
                <w:szCs w:val="21"/>
              </w:rPr>
              <w:t xml:space="preserve"> LCD液晶屏幕可通过外部信号唤醒</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温湿度传感器</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精度：温度±0.5℃，湿度±3%RH，配通讯口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无线温度传感器</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线圈感应取电，精度±0.5℃，量程不小于-30℃～200℃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摄像头及配件</w:t>
            </w:r>
            <w:r/>
          </w:p>
        </w:tc>
        <w:tc>
          <w:tcPr>
            <w:shd w:val="clear" w:color="auto" w:fill="auto"/>
            <w:tcW w:w="3867" w:type="dxa"/>
            <w:vAlign w:val="center"/>
            <w:textDirection w:val="lrTb"/>
            <w:noWrap w:val="false"/>
          </w:tcPr>
          <w:p>
            <w:pPr>
              <w:jc w:val="left"/>
              <w:rPr>
                <w:rFonts w:ascii="Times New Roman" w:hAnsi="Times New Roman"/>
                <w:szCs w:val="21"/>
              </w:rPr>
            </w:pPr>
            <w:r>
              <w:rPr>
                <w:rFonts w:ascii="Times New Roman" w:hAnsi="Times New Roman"/>
                <w:szCs w:val="21"/>
              </w:rPr>
              <w:t xml:space="preserve">900线 2.8mm焦距，手车活门视频监视</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局放在线监测装置</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非接触式，监测范围不小于20米，共轭传感器采用特高频技术，检测频带覆盖范围不小于 300MHz～1.5GHz，</w:t>
            </w:r>
            <w:r/>
          </w:p>
          <w:p>
            <w:pPr>
              <w:jc w:val="left"/>
              <w:rPr>
                <w:rFonts w:ascii="Times New Roman" w:hAnsi="Times New Roman"/>
                <w:szCs w:val="21"/>
              </w:rPr>
            </w:pPr>
            <w:r>
              <w:rPr>
                <w:rFonts w:hint="eastAsia" w:ascii="Times New Roman" w:hAnsi="Times New Roman"/>
                <w:szCs w:val="21"/>
              </w:rPr>
              <w:t xml:space="preserve">485通信接口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13</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绝缘在线监测</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具有高压隔离功能，测试电压DC2500V，量程不小于10GΩ</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14</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智能除湿器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冷凝式STH，60W AC220V</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100*10mm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16</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100*10mm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30</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主接地排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30*4mm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仪表室二次接地线</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BVR-4mm² 双股</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米</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电磁锁</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DSN3-BMZ/Y，前门及后门闭锁</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柜内照明灯</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AC220V LED，仪表室照明</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23</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辅材</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绝缘件、紧固件、标识等</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二</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主机开关柜 </w:t>
            </w:r>
            <w:r/>
          </w:p>
        </w:tc>
        <w:tc>
          <w:tcPr>
            <w:shd w:val="clear" w:color="auto" w:fill="auto"/>
            <w:tcW w:w="38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KYN28-12</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hint="eastAsia" w:ascii="Times New Roman" w:hAnsi="Times New Roman"/>
                <w:color w:val="000000"/>
                <w:szCs w:val="21"/>
              </w:rPr>
              <w:t xml:space="preserve">以下为1台柜配置</w:t>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柜体</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KYN28-12，800×1500×2300mm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面</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触头盒</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CH3-12/1250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一次静触头</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与触头盒配套 1250A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交流真空断路器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1250A/31.5kA-12kV  智能断路器，配套6点测温， 电动底盘车</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LZZBJ9-10  600/5A 0.5/5P30/5P30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highlight w:val="yellow"/>
              </w:rPr>
            </w:pPr>
            <w:r>
              <w:rPr>
                <w:rFonts w:ascii="Times New Roman" w:hAnsi="Times New Roman"/>
                <w:szCs w:val="21"/>
              </w:rPr>
              <w:t xml:space="preserve">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LZZBJ9-10  </w:t>
            </w:r>
            <w:r>
              <w:rPr>
                <w:rFonts w:hint="eastAsia" w:ascii="Times New Roman" w:hAnsi="Times New Roman"/>
                <w:szCs w:val="21"/>
              </w:rPr>
              <w:t xml:space="preserve">6</w:t>
            </w:r>
            <w:r>
              <w:rPr>
                <w:rFonts w:ascii="Times New Roman" w:hAnsi="Times New Roman"/>
                <w:szCs w:val="21"/>
              </w:rPr>
              <w:t xml:space="preserve">00/5A 5P30/5P30</w:t>
            </w:r>
            <w:r/>
          </w:p>
          <w:p>
            <w:pPr>
              <w:jc w:val="center"/>
              <w:rPr>
                <w:rFonts w:ascii="Times New Roman" w:hAnsi="Times New Roman"/>
                <w:szCs w:val="21"/>
              </w:rPr>
            </w:pPr>
            <w:r>
              <w:rPr>
                <w:rFonts w:hint="eastAsia" w:ascii="Times New Roman" w:hAnsi="Times New Roman"/>
                <w:szCs w:val="21"/>
              </w:rPr>
              <w:t xml:space="preserve">（</w:t>
            </w:r>
            <w:r>
              <w:rPr>
                <w:rFonts w:ascii="Times New Roman" w:hAnsi="Times New Roman"/>
                <w:color w:val="000000"/>
                <w:szCs w:val="21"/>
              </w:rPr>
              <w:t xml:space="preserve">电机尾端</w:t>
            </w:r>
            <w:r>
              <w:rPr>
                <w:rFonts w:hint="eastAsia" w:ascii="Times New Roman" w:hAnsi="Times New Roman"/>
                <w:color w:val="000000"/>
                <w:szCs w:val="21"/>
              </w:rPr>
              <w:t xml:space="preserve">）</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零序电流互感器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LXK-Φ180  50/1A 10P10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接地开关</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JN15-12 电动操作 DC220V</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过电压保护器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JPB-HY5CD2-12.7/29</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带电显示传感器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GSN-10/Q</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11</w:t>
            </w:r>
            <w:r/>
          </w:p>
        </w:tc>
        <w:tc>
          <w:tcPr>
            <w:shd w:val="clear" w:color="auto" w:fill="auto"/>
            <w:tcW w:w="2265" w:type="dxa"/>
            <w:vAlign w:val="center"/>
            <w:textDirection w:val="lrTb"/>
            <w:noWrap w:val="false"/>
          </w:tcPr>
          <w:p>
            <w:r>
              <w:rPr>
                <w:rFonts w:ascii="Times New Roman" w:hAnsi="Times New Roman"/>
                <w:szCs w:val="21"/>
              </w:rPr>
              <w:t xml:space="preserve">智能终端</w:t>
            </w:r>
            <w:r/>
          </w:p>
          <w:p>
            <w:pPr>
              <w:jc w:val="center"/>
              <w:rPr>
                <w:rFonts w:ascii="Times New Roman" w:hAnsi="Times New Roman"/>
                <w:szCs w:val="21"/>
              </w:rPr>
            </w:pPr>
            <w:r>
              <w:rPr>
                <w:rFonts w:ascii="Times New Roman" w:hAnsi="Times New Roman"/>
                <w:szCs w:val="21"/>
              </w:rPr>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≥16寸屏、单色铝面板、数据集成、综合保护、语音控制等功能，屏幕分辨率不低于1920*1080，LCD液晶屏幕可通过外部信号唤醒,</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szCs w:val="21"/>
              </w:rPr>
              <w:t xml:space="preserve">含纵差、横差保护</w:t>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温湿度传感器</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精度：温度±0.5℃，湿度±3%RH，配通讯口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无线温度传感器</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线圈感应取电，精度±0.5℃，量程不小于-30℃～200℃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摄像头及配件</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900线 2.8mm焦距，手车活门及接地开关视频监视</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局放在线监测装置</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非接触式，监测范围不小于20米，共轭传感器采用特高频技术，检测频带覆盖范围不小于 300MHz～1.5GHz，485通信接口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16</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绝缘在线监测</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具有高压隔离功能，测试电压DC2500V，量程不小于10GΩ</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17</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智能除湿器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冷凝式，60W AC220V</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18</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80*8mm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19</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100*10mm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主接地排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30*4mm</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仪表室二次接地线</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BVR-4mm² 双股</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米</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电磁锁</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DSN3-BMZ/Y，前门及后门闭锁</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柜内照明灯</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AC220V LED，仪表室照明</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26</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辅材</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绝缘件、紧固件、标识等</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三</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母线设备柜</w:t>
            </w:r>
            <w:r/>
          </w:p>
        </w:tc>
        <w:tc>
          <w:tcPr>
            <w:shd w:val="clear" w:color="auto" w:fill="auto"/>
            <w:tcW w:w="38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KYN28-12</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hint="eastAsia"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柜体</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KYN28-12，800×1500×2300mm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面</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触头盒</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CH3-12/1250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一次静触头</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与触头盒配套 1250A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电动手车</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630A/31.5kA-12kV，电动手车</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电压互感器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JDZX9-10 10/√3/0.1/√3/0.1/3 0.5/3P 30/100VA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一次消谐器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JXQ-10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高压熔断器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XRNP-12/0.5A-50kA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避雷器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HY5WZ-17/45</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带电显示传感器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GSN-10/Q</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智能终端</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≥16寸屏、单色铝面板、数据集成、语音控制等功能，屏幕分辨率不低于1920*1080，LCD液晶屏幕可通过外部信号唤醒</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highlight w:val="yellow"/>
              </w:rPr>
            </w:pPr>
            <w:r>
              <w:rPr>
                <w:rFonts w:ascii="Times New Roman" w:hAnsi="Times New Roman"/>
                <w:szCs w:val="21"/>
              </w:rPr>
              <w:t xml:space="preserve">11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智能终端管理系统</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含20寸电容屏、网关、交换机及管理系统软件等，屏幕分辨率不低于1920*1080，LCD液晶屏幕可通过外部信号唤醒</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温湿度传感器</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精度：温度±0.5℃，湿度±3%RH，配通讯口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无线温度传感器</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线圈感应取电，精度±0.5℃，量程不小于-30℃～200℃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摄像头及配件</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900线 2.8mm焦距，手车活门视频监视</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局放在线监测装置</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非接触式，监测范围不小于20米，共轭传感器采用特高频技术，检测频带覆盖范围不小于 300MHz～1.5GHz，</w:t>
            </w:r>
            <w:r/>
          </w:p>
          <w:p>
            <w:pPr>
              <w:jc w:val="left"/>
              <w:rPr>
                <w:rFonts w:ascii="Times New Roman" w:hAnsi="Times New Roman"/>
                <w:szCs w:val="21"/>
              </w:rPr>
            </w:pPr>
            <w:r>
              <w:rPr>
                <w:rFonts w:hint="eastAsia" w:ascii="Times New Roman" w:hAnsi="Times New Roman"/>
                <w:szCs w:val="21"/>
              </w:rPr>
              <w:t xml:space="preserve">485通信接口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智能除湿器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冷凝式，60W AC220V</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100*10mm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30*4mm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仪表室二次接地线</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BVR-4mm² 双股</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米</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电磁锁</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DSN3-BMZ/Y，前门及后门闭锁</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柜内照明灯</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AC220V LED，仪表室照明</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辅材</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绝缘件、紧固件、标识等</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667"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四</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站变开关柜 </w:t>
            </w:r>
            <w:r/>
          </w:p>
        </w:tc>
        <w:tc>
          <w:tcPr>
            <w:shd w:val="clear" w:color="auto" w:fill="auto"/>
            <w:tcW w:w="38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KYN28-12</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hint="eastAsia" w:ascii="Times New Roman" w:hAnsi="Times New Roman"/>
                <w:color w:val="000000"/>
                <w:szCs w:val="21"/>
              </w:rPr>
              <w:t xml:space="preserve">以下为1台柜配置</w:t>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柜体</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KYN28-12 800×1500×2300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面</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触头盒</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CH3-12/630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一次静触头</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与触头盒配套 630A</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交流真空断路器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1250A/31.5kA-12kV  智能断路器，配套6点测温， 电动底盘车</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LZZBJ9-10  50/5A 0.5/5P30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零序电流互感器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LXK-Φ100  50/1A 10P10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过电压保护器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HY5CZ1-12.7/29</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带电显示传感器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GSN-10/Q</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接地开关</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JN15-12 电动操作 DC220V</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智能终端</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≥16寸屏、单色铝面板、数据集成、综合保护、语音控制等功能，屏幕分辨率不低于1920*1080，LCD液晶屏幕可通过外部信号唤醒</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温湿度传感器</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精度：温度±0.5℃，湿度±3%RH，配通讯口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无线温度传感器</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线圈感应取电，精度±0.5℃，量程不小于-30℃～200℃</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摄像头及配件</w:t>
            </w:r>
            <w:r/>
          </w:p>
        </w:tc>
        <w:tc>
          <w:tcPr>
            <w:shd w:val="clear" w:color="auto" w:fill="auto"/>
            <w:tcW w:w="3867" w:type="dxa"/>
            <w:vAlign w:val="center"/>
            <w:textDirection w:val="lrTb"/>
            <w:noWrap w:val="false"/>
          </w:tcPr>
          <w:p>
            <w:pPr>
              <w:jc w:val="left"/>
              <w:rPr>
                <w:rFonts w:ascii="Times New Roman" w:hAnsi="Times New Roman"/>
                <w:szCs w:val="21"/>
              </w:rPr>
            </w:pPr>
            <w:r>
              <w:rPr>
                <w:rFonts w:ascii="Times New Roman" w:hAnsi="Times New Roman"/>
                <w:szCs w:val="21"/>
              </w:rPr>
              <w:t xml:space="preserve">900线 2.8mm焦距，手车活门及接地开关视频监视</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268"/>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局放在线监测装置</w:t>
            </w:r>
            <w:r/>
          </w:p>
        </w:tc>
        <w:tc>
          <w:tcPr>
            <w:shd w:val="clear" w:color="auto" w:fill="auto"/>
            <w:tcW w:w="3867" w:type="dxa"/>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非接触式，监测范围不小于20米，共轭传感器采用特高频技术，检测频带覆盖范围不小于 300MHz～1.5GHz，</w:t>
            </w:r>
            <w:r/>
          </w:p>
          <w:p>
            <w:pPr>
              <w:jc w:val="left"/>
              <w:rPr>
                <w:rFonts w:ascii="Times New Roman" w:hAnsi="Times New Roman"/>
                <w:szCs w:val="21"/>
              </w:rPr>
            </w:pPr>
            <w:r>
              <w:rPr>
                <w:rFonts w:hint="eastAsia" w:ascii="Times New Roman" w:hAnsi="Times New Roman"/>
                <w:szCs w:val="21"/>
              </w:rPr>
              <w:t xml:space="preserve">485通信接口</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000000" w:fill="ffffff"/>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绝缘在线监测</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具有高压隔离功能，测试电压DC2500V，量程不小于10GΩ</w:t>
            </w:r>
            <w:r/>
          </w:p>
        </w:tc>
        <w:tc>
          <w:tcPr>
            <w:shd w:val="clear" w:color="000000" w:fill="ffffff"/>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left"/>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16</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智能除湿器</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冷凝式，60W AC220V</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17</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18</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19</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100*10mm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20</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主接地排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21</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仪表室二次铜排</w:t>
            </w:r>
            <w:r/>
          </w:p>
        </w:tc>
        <w:tc>
          <w:tcPr>
            <w:shd w:val="clear" w:color="auto" w:fill="auto"/>
            <w:tcW w:w="386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30*4mm</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kg</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22</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仪表室二次接地线</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BVR-4mm² 双股</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米</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23</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电磁锁</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DSN3-BMZ/Y，前门及后门闭锁</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24</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柜内照明灯</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AC220V LED，仪表室照明</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只</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667" w:type="dxa"/>
            <w:vAlign w:val="center"/>
            <w:textDirection w:val="lrTb"/>
            <w:noWrap w:val="false"/>
          </w:tcPr>
          <w:p>
            <w:pPr>
              <w:jc w:val="center"/>
              <w:rPr>
                <w:rFonts w:ascii="Times New Roman" w:hAnsi="Times New Roman"/>
                <w:szCs w:val="21"/>
              </w:rPr>
            </w:pPr>
            <w:r>
              <w:rPr>
                <w:rFonts w:ascii="Times New Roman" w:hAnsi="Times New Roman"/>
                <w:szCs w:val="21"/>
              </w:rPr>
              <w:t xml:space="preserve">25</w:t>
            </w:r>
            <w:r/>
          </w:p>
        </w:tc>
        <w:tc>
          <w:tcPr>
            <w:shd w:val="clear" w:color="auto" w:fill="auto"/>
            <w:tcW w:w="2265" w:type="dxa"/>
            <w:vAlign w:val="center"/>
            <w:textDirection w:val="lrTb"/>
            <w:noWrap w:val="false"/>
          </w:tcPr>
          <w:p>
            <w:pPr>
              <w:jc w:val="center"/>
              <w:rPr>
                <w:rFonts w:ascii="Times New Roman" w:hAnsi="Times New Roman"/>
                <w:szCs w:val="21"/>
              </w:rPr>
            </w:pPr>
            <w:r>
              <w:rPr>
                <w:rFonts w:ascii="Times New Roman" w:hAnsi="Times New Roman"/>
                <w:szCs w:val="21"/>
              </w:rPr>
              <w:t xml:space="preserve">辅材</w:t>
            </w:r>
            <w:r/>
          </w:p>
        </w:tc>
        <w:tc>
          <w:tcPr>
            <w:shd w:val="clear" w:color="auto" w:fill="auto"/>
            <w:tcW w:w="3867" w:type="dxa"/>
            <w:vAlign w:val="center"/>
            <w:textDirection w:val="lrTb"/>
            <w:noWrap w:val="false"/>
          </w:tcPr>
          <w:p>
            <w:pPr>
              <w:jc w:val="center"/>
              <w:rPr>
                <w:rFonts w:ascii="Times New Roman" w:hAnsi="Times New Roman"/>
                <w:szCs w:val="21"/>
              </w:rPr>
            </w:pPr>
            <w:r>
              <w:rPr>
                <w:rFonts w:ascii="Times New Roman" w:hAnsi="Times New Roman"/>
                <w:szCs w:val="21"/>
              </w:rPr>
              <w:t xml:space="preserve">绝缘件、紧固件、标识等</w:t>
            </w:r>
            <w:r/>
          </w:p>
        </w:tc>
        <w:tc>
          <w:tcPr>
            <w:shd w:val="clear" w:color="auto" w:fill="auto"/>
            <w:tcW w:w="709" w:type="dxa"/>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bl>
    <w:p>
      <w:pPr>
        <w:rPr>
          <w:b/>
        </w:rPr>
      </w:pPr>
      <w:r>
        <w:rPr>
          <w:b/>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附件2、低压开关柜配置清单</w:t>
      </w:r>
      <w:r/>
    </w:p>
    <w:tbl>
      <w:tblPr>
        <w:tblStyle w:val="719"/>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265"/>
        <w:gridCol w:w="3834"/>
        <w:gridCol w:w="709"/>
        <w:gridCol w:w="567"/>
        <w:gridCol w:w="1013"/>
      </w:tblGrid>
      <w:tr>
        <w:trPr>
          <w:jc w:val="center"/>
          <w:trHeight w:val="312"/>
        </w:trPr>
        <w:tc>
          <w:tcPr>
            <w:tcW w:w="700"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序号</w:t>
            </w:r>
            <w:r/>
          </w:p>
        </w:tc>
        <w:tc>
          <w:tcPr>
            <w:tcW w:w="2265"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元器件名称</w:t>
            </w:r>
            <w:r/>
          </w:p>
        </w:tc>
        <w:tc>
          <w:tcPr>
            <w:tcW w:w="3834" w:type="dxa"/>
            <w:vAlign w:val="center"/>
            <w:vMerge w:val="restart"/>
            <w:textDirection w:val="lrTb"/>
            <w:noWrap w:val="false"/>
          </w:tcPr>
          <w:p>
            <w:pPr>
              <w:jc w:val="center"/>
              <w:rPr>
                <w:rFonts w:ascii="Times New Roman" w:hAnsi="Times New Roman"/>
                <w:szCs w:val="21"/>
              </w:rPr>
            </w:pPr>
            <w:r>
              <w:rPr>
                <w:rFonts w:ascii="Times New Roman" w:hAnsi="Times New Roman"/>
                <w:color w:val="000000"/>
                <w:szCs w:val="21"/>
              </w:rPr>
              <w:t xml:space="preserve">规格型号</w:t>
            </w:r>
            <w:r/>
          </w:p>
        </w:tc>
        <w:tc>
          <w:tcPr>
            <w:tcW w:w="709"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单位</w:t>
            </w:r>
            <w:r/>
          </w:p>
        </w:tc>
        <w:tc>
          <w:tcPr>
            <w:tcW w:w="567"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数量</w:t>
            </w:r>
            <w:r/>
          </w:p>
        </w:tc>
        <w:tc>
          <w:tcPr>
            <w:tcW w:w="1013"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备注</w:t>
            </w:r>
            <w:r/>
          </w:p>
        </w:tc>
      </w:tr>
      <w:tr>
        <w:trPr>
          <w:jc w:val="center"/>
          <w:trHeight w:val="510"/>
        </w:trPr>
        <w:tc>
          <w:tcPr>
            <w:shd w:val="clear" w:color="auto" w:fill="auto"/>
            <w:tcW w:w="700"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一</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1#励磁动力柜 </w:t>
            </w:r>
            <w:r/>
          </w:p>
        </w:tc>
        <w:tc>
          <w:tcPr>
            <w:shd w:val="clear" w:color="auto" w:fill="auto"/>
            <w:tcW w:w="3834"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1</w:t>
            </w:r>
            <w:r/>
          </w:p>
        </w:tc>
        <w:tc>
          <w:tcPr>
            <w:shd w:val="clear" w:color="000000" w:fill="ffffff"/>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智能框架断路器</w:t>
            </w:r>
            <w:r/>
          </w:p>
        </w:tc>
        <w:tc>
          <w:tcPr>
            <w:shd w:val="clear" w:color="auto" w:fill="auto"/>
            <w:tcW w:w="3834" w:type="dxa"/>
            <w:vAlign w:val="center"/>
            <w:textDirection w:val="lrTb"/>
            <w:noWrap w:val="false"/>
          </w:tcPr>
          <w:p>
            <w:pPr>
              <w:jc w:val="left"/>
              <w:widowControl/>
              <w:rPr>
                <w:rFonts w:ascii="宋体" w:hAnsi="宋体" w:cs="宋体"/>
                <w:color w:val="000000"/>
                <w:szCs w:val="21"/>
              </w:rPr>
            </w:pPr>
            <w:r>
              <w:rPr>
                <w:rFonts w:hint="eastAsia" w:ascii="Times New Roman" w:hAnsi="Times New Roman"/>
                <w:color w:val="000000"/>
                <w:szCs w:val="21"/>
              </w:rPr>
              <w:t xml:space="preserve">壳</w:t>
            </w:r>
            <w:r>
              <w:rPr>
                <w:rFonts w:hint="eastAsia" w:ascii="宋体" w:hAnsi="宋体" w:cs="宋体"/>
                <w:color w:val="000000"/>
                <w:szCs w:val="21"/>
              </w:rPr>
              <w:t xml:space="preserve">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：1250A，额定电流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：800A，极数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：3P</w:t>
            </w:r>
            <w:r>
              <w:rPr>
                <w:rFonts w:ascii="Times New Roman" w:hAnsi="Times New Roman"/>
                <w:color w:val="000000"/>
                <w:szCs w:val="21"/>
              </w:rPr>
              <w:t xml:space="preserve">+电操</w:t>
            </w:r>
            <w:r>
              <w:rPr>
                <w:rFonts w:hint="eastAsia" w:ascii="宋体" w:hAnsi="宋体" w:cs="宋体"/>
                <w:color w:val="000000"/>
                <w:szCs w:val="21"/>
              </w:rPr>
              <w:t xml:space="preserve">，语音控制；可通过辅助元件实现智能，LCD液晶屏幕可通过外部信号唤醒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宋体" w:hAnsi="宋体" w:cs="宋体"/>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宋体" w:hAnsi="宋体" w:cs="宋体"/>
                <w:color w:val="000000"/>
                <w:szCs w:val="21"/>
              </w:rPr>
              <w:t xml:space="preserve">，电动抽屉，语音控制；可通过辅助元件实现智能，LCD液晶屏幕可通过外部信号唤醒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4</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highlight w:val="yellow"/>
              </w:rPr>
            </w:pPr>
            <w:r>
              <w:rPr>
                <w:rFonts w:ascii="Times New Roman" w:hAnsi="Times New Roman"/>
                <w:bCs/>
                <w:color w:val="000000"/>
                <w:szCs w:val="21"/>
                <w:highlight w:val="yellow"/>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highlight w:val="yellow"/>
              </w:rPr>
            </w:pPr>
            <w:r>
              <w:rPr>
                <w:rFonts w:ascii="Times New Roman" w:hAnsi="Times New Roman"/>
                <w:bCs/>
                <w:color w:val="000000"/>
                <w:szCs w:val="21"/>
                <w:highlight w:val="yellow"/>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电流互感器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额定电压</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：≤0.66 kV（660 V），电流比</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：800 A / 5 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低压综合保护器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具备电能质量监测、泄漏电流或零序电流监测、故障电弧探测、故障预警、故障录波等功能，可实现对常规电流电压等电参量监测，测量数据通过RS485通信接口上送到智能终端管理系统</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13</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14</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15</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6</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17</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18</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19</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二</w:t>
            </w:r>
            <w:r/>
          </w:p>
        </w:tc>
        <w:tc>
          <w:tcPr>
            <w:shd w:val="clear" w:color="000000" w:fill="ffffff"/>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供排水泵动力柜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：80A，极数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：3P+电操，电动抽屉，语音控制；可通过辅助元件实现智能，LCD液晶屏幕可通过外部信号唤醒。</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：630A，额定电流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：450A，极数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：3P+电操，电动抽屉，语音控制；可通过辅助元件实现智能，</w:t>
            </w:r>
            <w:r/>
          </w:p>
          <w:p>
            <w:pPr>
              <w:jc w:val="left"/>
              <w:widowControl/>
              <w:rPr>
                <w:rFonts w:ascii="Times New Roman" w:hAnsi="Times New Roman"/>
                <w:color w:val="000000"/>
                <w:szCs w:val="21"/>
              </w:rPr>
            </w:pPr>
            <w:r>
              <w:rPr>
                <w:rFonts w:hint="eastAsia" w:ascii="Times New Roman" w:hAnsi="Times New Roman"/>
                <w:color w:val="000000"/>
                <w:szCs w:val="21"/>
              </w:rPr>
              <w:t xml:space="preserve">LCD液晶屏幕可通过外部信号唤醒。</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智能双电源切换开关</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PC级630A/4P/500A，内置控制器及通信口，切换时间≤100ms</w:t>
            </w:r>
            <w:r/>
          </w:p>
        </w:tc>
        <w:tc>
          <w:tcPr>
            <w:shd w:val="clear" w:color="000000" w:fill="ffffff"/>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6点测温（开关触头）</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5</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3</w:t>
            </w:r>
            <w:r>
              <w:rPr>
                <w:rFonts w:ascii="Times New Roman" w:hAnsi="Times New Roman"/>
                <w:color w:val="000000"/>
                <w:szCs w:val="21"/>
              </w:rPr>
              <w:t xml:space="preserve">点测温（</w:t>
            </w:r>
            <w:r>
              <w:rPr>
                <w:rFonts w:hint="eastAsia" w:ascii="Times New Roman" w:hAnsi="Times New Roman"/>
                <w:color w:val="000000"/>
                <w:szCs w:val="21"/>
              </w:rPr>
              <w:t xml:space="preserve">电缆终端</w:t>
            </w:r>
            <w:r>
              <w:rPr>
                <w:rFonts w:ascii="Times New Roman" w:hAnsi="Times New Roman"/>
                <w:color w:val="000000"/>
                <w:szCs w:val="21"/>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widowControl/>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14</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15</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16</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17</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18</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color w:val="000000"/>
                <w:szCs w:val="21"/>
              </w:rPr>
            </w:pPr>
            <w:r>
              <w:rPr>
                <w:rFonts w:ascii="Times New Roman" w:hAnsi="Times New Roman"/>
                <w:b/>
                <w:bCs/>
                <w:color w:val="000000"/>
                <w:szCs w:val="21"/>
              </w:rPr>
              <w:t xml:space="preserve">三</w:t>
            </w:r>
            <w:r/>
          </w:p>
        </w:tc>
        <w:tc>
          <w:tcPr>
            <w:shd w:val="clear" w:color="auto" w:fill="auto"/>
            <w:tcW w:w="2265" w:type="dxa"/>
            <w:vAlign w:val="center"/>
            <w:textDirection w:val="lrTb"/>
            <w:noWrap w:val="false"/>
          </w:tcPr>
          <w:p>
            <w:pPr>
              <w:jc w:val="center"/>
              <w:widowControl/>
              <w:rPr>
                <w:rFonts w:ascii="Times New Roman" w:hAnsi="Times New Roman"/>
                <w:b/>
                <w:bCs/>
                <w:color w:val="000000"/>
                <w:szCs w:val="21"/>
              </w:rPr>
            </w:pPr>
            <w:r>
              <w:rPr>
                <w:rFonts w:ascii="Times New Roman" w:hAnsi="Times New Roman"/>
                <w:b/>
                <w:bCs/>
                <w:color w:val="000000"/>
                <w:szCs w:val="21"/>
              </w:rPr>
              <w:t xml:space="preserve">1#站变进线柜</w:t>
            </w:r>
            <w:r/>
          </w:p>
        </w:tc>
        <w:tc>
          <w:tcPr>
            <w:shd w:val="clear" w:color="auto" w:fill="auto"/>
            <w:tcW w:w="3834" w:type="dxa"/>
            <w:vAlign w:val="center"/>
            <w:textDirection w:val="lrTb"/>
            <w:noWrap w:val="false"/>
          </w:tcPr>
          <w:p>
            <w:pPr>
              <w:jc w:val="center"/>
              <w:widowControl/>
              <w:rPr>
                <w:rFonts w:ascii="Times New Roman" w:hAnsi="Times New Roman"/>
                <w:b/>
                <w:bCs/>
                <w:color w:val="000000"/>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智能框架断路器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：1250A，额定电流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1250A，极数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：4P</w:t>
            </w:r>
            <w:r>
              <w:rPr>
                <w:rFonts w:ascii="Times New Roman" w:hAnsi="Times New Roman"/>
                <w:color w:val="000000"/>
                <w:szCs w:val="21"/>
              </w:rPr>
              <w:t xml:space="preserve">+电操</w:t>
            </w:r>
            <w:r>
              <w:rPr>
                <w:rFonts w:hint="eastAsia" w:ascii="Times New Roman" w:hAnsi="Times New Roman"/>
                <w:color w:val="000000"/>
                <w:szCs w:val="21"/>
              </w:rPr>
              <w:t xml:space="preserve">，语音控制，可通过辅助元件实现智能，LCD液晶屏幕可通过外部信号唤醒。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widowControl/>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widowControl/>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lang w:bidi="ar"/>
              </w:rPr>
            </w:pPr>
            <w:r>
              <w:rPr>
                <w:rFonts w:hint="eastAsia" w:ascii="Times New Roman" w:hAnsi="Times New Roman"/>
                <w:color w:val="000000"/>
                <w:szCs w:val="21"/>
                <w:lang w:bidi="ar"/>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电流互感器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额定电压</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0.66 kV（660 V），电流比</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1500 A / 5 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低压综合保护器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具备电能质量监测、泄漏电流或零序电流监测、故障电弧探测、故障预警、故障录波等功能，可实现对常规电流电压等电参量监测，测量数据通过RS485通信接口上送到智能终端管理系统</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后备保护</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不脱扣冲击电流（Ie）</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25kA（10/350μs），四极</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浪涌保护器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Iimp=25KA(10/350us)/420V/In=100KA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智能终端</w:t>
            </w:r>
            <w:r>
              <w:rPr>
                <w:rFonts w:hint="eastAsia" w:ascii="Times New Roman" w:hAnsi="Times New Roman"/>
                <w:color w:val="000000"/>
                <w:szCs w:val="21"/>
                <w:lang w:bidi="ar"/>
              </w:rPr>
              <w:t xml:space="preserve">管理</w:t>
            </w:r>
            <w:r>
              <w:rPr>
                <w:rFonts w:ascii="Times New Roman" w:hAnsi="Times New Roman"/>
                <w:color w:val="000000"/>
                <w:szCs w:val="21"/>
                <w:lang w:bidi="ar"/>
              </w:rPr>
              <w:t xml:space="preserve">系统</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含网关，交换机和</w:t>
            </w:r>
            <w:r>
              <w:rPr>
                <w:rFonts w:hint="eastAsia" w:ascii="Times New Roman" w:hAnsi="Times New Roman"/>
                <w:color w:val="000000"/>
                <w:szCs w:val="21"/>
                <w:lang w:bidi="ar"/>
              </w:rPr>
              <w:t xml:space="preserve">20寸电容</w:t>
            </w:r>
            <w:r>
              <w:rPr>
                <w:rFonts w:ascii="Times New Roman" w:hAnsi="Times New Roman"/>
                <w:color w:val="000000"/>
                <w:szCs w:val="21"/>
                <w:lang w:bidi="ar"/>
              </w:rPr>
              <w:t xml:space="preserve">屏</w:t>
            </w:r>
            <w:r>
              <w:rPr>
                <w:rFonts w:hint="eastAsia" w:ascii="Times New Roman" w:hAnsi="Times New Roman"/>
                <w:color w:val="000000"/>
                <w:szCs w:val="21"/>
                <w:lang w:bidi="ar"/>
              </w:rPr>
              <w:t xml:space="preserve">及管理系统软件</w:t>
            </w:r>
            <w:r>
              <w:rPr>
                <w:rFonts w:ascii="Times New Roman" w:hAnsi="Times New Roman"/>
                <w:color w:val="000000"/>
                <w:szCs w:val="21"/>
                <w:lang w:bidi="ar"/>
              </w:rPr>
              <w:t xml:space="preserve">等</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40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18</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19</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四</w:t>
            </w:r>
            <w:r/>
          </w:p>
        </w:tc>
        <w:tc>
          <w:tcPr>
            <w:shd w:val="clear" w:color="auto" w:fill="auto"/>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所变进线柜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智能框架断路器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壳架电流</w:t>
            </w:r>
            <w:r>
              <w:rPr>
                <w:rFonts w:hint="eastAsia" w:ascii="MS Mincho" w:hAnsi="MS Mincho" w:eastAsia="MS Mincho" w:cs="MS Mincho"/>
                <w:szCs w:val="21"/>
              </w:rPr>
              <w:t xml:space="preserve">‌</w:t>
            </w:r>
            <w:r>
              <w:rPr>
                <w:rFonts w:hint="eastAsia" w:ascii="Times New Roman" w:hAnsi="Times New Roman"/>
                <w:szCs w:val="21"/>
              </w:rPr>
              <w:t xml:space="preserve">：1250A，额定电流</w:t>
            </w:r>
            <w:r>
              <w:rPr>
                <w:rFonts w:hint="eastAsia" w:ascii="MS Mincho" w:hAnsi="MS Mincho" w:eastAsia="MS Mincho" w:cs="MS Mincho"/>
                <w:szCs w:val="21"/>
              </w:rPr>
              <w:t xml:space="preserve">‌</w:t>
            </w:r>
            <w:r>
              <w:rPr>
                <w:rFonts w:hint="eastAsia" w:ascii="Times New Roman" w:hAnsi="Times New Roman"/>
                <w:szCs w:val="21"/>
              </w:rPr>
              <w:t xml:space="preserve">1250A，极数</w:t>
            </w:r>
            <w:r>
              <w:rPr>
                <w:rFonts w:hint="eastAsia" w:ascii="MS Mincho" w:hAnsi="MS Mincho" w:eastAsia="MS Mincho" w:cs="MS Mincho"/>
                <w:szCs w:val="21"/>
              </w:rPr>
              <w:t xml:space="preserve">‌</w:t>
            </w:r>
            <w:r>
              <w:rPr>
                <w:rFonts w:hint="eastAsia" w:ascii="Times New Roman" w:hAnsi="Times New Roman"/>
                <w:szCs w:val="21"/>
              </w:rPr>
              <w:t xml:space="preserve">：4P</w:t>
            </w:r>
            <w:r>
              <w:rPr>
                <w:rFonts w:ascii="Times New Roman" w:hAnsi="Times New Roman"/>
                <w:color w:val="000000"/>
                <w:szCs w:val="21"/>
              </w:rPr>
              <w:t xml:space="preserve">+电操</w:t>
            </w:r>
            <w:r>
              <w:rPr>
                <w:rFonts w:hint="eastAsia" w:ascii="Times New Roman" w:hAnsi="Times New Roman"/>
                <w:szCs w:val="21"/>
              </w:rPr>
              <w:t xml:space="preserve">，语音控制；可通过辅助元件实现智能，LCD液晶屏幕可通过外部信号唤醒。</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壳架电流</w:t>
            </w:r>
            <w:r>
              <w:rPr>
                <w:rFonts w:hint="eastAsia" w:ascii="MS Mincho" w:hAnsi="MS Mincho" w:eastAsia="MS Mincho" w:cs="MS Mincho"/>
                <w:szCs w:val="21"/>
              </w:rPr>
              <w:t xml:space="preserve">‌</w:t>
            </w:r>
            <w:r>
              <w:rPr>
                <w:rFonts w:hint="eastAsia" w:ascii="Times New Roman" w:hAnsi="Times New Roman"/>
                <w:szCs w:val="21"/>
              </w:rPr>
              <w:t xml:space="preserve">：630A，额定电流</w:t>
            </w:r>
            <w:r>
              <w:rPr>
                <w:rFonts w:hint="eastAsia" w:ascii="MS Mincho" w:hAnsi="MS Mincho" w:eastAsia="MS Mincho" w:cs="MS Mincho"/>
                <w:szCs w:val="21"/>
              </w:rPr>
              <w:t xml:space="preserve">‌</w:t>
            </w:r>
            <w:r>
              <w:rPr>
                <w:rFonts w:hint="eastAsia" w:ascii="Times New Roman" w:hAnsi="Times New Roman"/>
                <w:szCs w:val="21"/>
              </w:rPr>
              <w:t xml:space="preserve">：400A，极数</w:t>
            </w:r>
            <w:r>
              <w:rPr>
                <w:rFonts w:hint="eastAsia" w:ascii="MS Mincho" w:hAnsi="MS Mincho" w:eastAsia="MS Mincho" w:cs="MS Mincho"/>
                <w:szCs w:val="21"/>
              </w:rPr>
              <w:t xml:space="preserve">‌</w:t>
            </w:r>
            <w:r>
              <w:rPr>
                <w:rFonts w:hint="eastAsia" w:ascii="Times New Roman" w:hAnsi="Times New Roman"/>
                <w:szCs w:val="21"/>
              </w:rPr>
              <w:t xml:space="preserve">：3P+电操，电动抽屉，语音控制；可通过辅助元件实现智能，LCD液晶屏幕可通过外部信号唤醒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电流、电压等电参量显示及报警信息显示，≥4</w:t>
            </w:r>
            <w:r>
              <w:rPr>
                <w:rFonts w:ascii="Times New Roman" w:hAnsi="Times New Roman"/>
                <w:szCs w:val="21"/>
              </w:rPr>
              <w:t xml:space="preserve">.5</w:t>
            </w:r>
            <w:r>
              <w:rPr>
                <w:rFonts w:hint="eastAsia" w:ascii="Times New Roman" w:hAnsi="Times New Roman"/>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电流互感器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额定电压</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0.66 kV（660 V），电流比</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1500 A / 5 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低压综合保护器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电参量显示、故障预警、故障录波</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后备保护</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不脱扣冲击电流（Ie）</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25kA（10/350μs），四极</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浪涌保护器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Iimp=25KA(10/350us)/420V/In=100KA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40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18</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60*6mm，50*6mm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40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19</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20</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五</w:t>
            </w:r>
            <w:r/>
          </w:p>
        </w:tc>
        <w:tc>
          <w:tcPr>
            <w:shd w:val="clear" w:color="000000" w:fill="ffffff"/>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1#辅机动力柜</w:t>
            </w:r>
            <w:r/>
          </w:p>
        </w:tc>
        <w:tc>
          <w:tcPr>
            <w:shd w:val="clear" w:color="auto" w:fill="auto"/>
            <w:tcW w:w="3834"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壳架电流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：160A，额定电流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：80A，极数</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壳架电流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：160A，额定电流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：140A，极数</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壳架电流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：250A，额定电流：</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200A，极数</w:t>
            </w:r>
            <w:r>
              <w:rPr>
                <w:rFonts w:hint="eastAsia" w:ascii="MS Mincho" w:hAnsi="MS Mincho" w:eastAsia="MS Mincho" w:cs="MS Mincho"/>
                <w:color w:val="000000"/>
                <w:szCs w:val="21"/>
                <w:lang w:bidi="ar"/>
              </w:rPr>
              <w:t xml:space="preserve">‌</w:t>
            </w:r>
            <w:r>
              <w:rPr>
                <w:rFonts w:hint="eastAsia" w:ascii="Times New Roman" w:hAnsi="Times New Roman"/>
                <w:color w:val="000000"/>
                <w:szCs w:val="21"/>
                <w:lang w:bidi="ar"/>
              </w:rPr>
              <w:t xml:space="preserve">：3P+电操，电动抽屉，语音控制；可通过辅助元件实现智能，LCD液晶屏幕可通过外部信号唤醒。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lang w:bidi="ar"/>
              </w:rPr>
              <w:t xml:space="preserve">4</w:t>
            </w:r>
            <w:r>
              <w:rPr>
                <w:rFonts w:ascii="Times New Roman" w:hAnsi="Times New Roman"/>
                <w:color w:val="000000"/>
                <w:szCs w:val="21"/>
                <w:lang w:bidi="ar"/>
              </w:rPr>
              <w:t xml:space="preserve">.5</w:t>
            </w:r>
            <w:r>
              <w:rPr>
                <w:rFonts w:hint="eastAsia" w:ascii="Times New Roman" w:hAnsi="Times New Roman"/>
                <w:color w:val="000000"/>
                <w:szCs w:val="21"/>
                <w:lang w:bidi="ar"/>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3</w:t>
            </w:r>
            <w:r>
              <w:rPr>
                <w:rFonts w:ascii="Times New Roman" w:hAnsi="Times New Roman"/>
                <w:color w:val="000000"/>
                <w:szCs w:val="21"/>
              </w:rPr>
              <w:t xml:space="preserve">点测温（</w:t>
            </w:r>
            <w:r>
              <w:rPr>
                <w:rFonts w:hint="eastAsia" w:ascii="Times New Roman" w:hAnsi="Times New Roman"/>
                <w:color w:val="000000"/>
                <w:szCs w:val="21"/>
              </w:rPr>
              <w:t xml:space="preserve">电缆终端</w:t>
            </w:r>
            <w:r>
              <w:rPr>
                <w:rFonts w:ascii="Times New Roman" w:hAnsi="Times New Roman"/>
                <w:color w:val="000000"/>
                <w:szCs w:val="21"/>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50*6mm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六</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高压油泵动力柜</w:t>
            </w:r>
            <w:r/>
          </w:p>
        </w:tc>
        <w:tc>
          <w:tcPr>
            <w:shd w:val="clear" w:color="auto" w:fill="auto"/>
            <w:tcW w:w="3834"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：100A，极数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 +电操</w:t>
            </w:r>
            <w:r>
              <w:rPr>
                <w:rFonts w:hint="eastAsia" w:ascii="Times New Roman" w:hAnsi="Times New Roman"/>
                <w:color w:val="000000"/>
                <w:szCs w:val="21"/>
              </w:rPr>
              <w:t xml:space="preserve">，电动抽屉，语音控制；可通过辅助元件实现智能，LCD液晶屏幕可通过外部信号唤醒。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bookmarkStart w:id="254" w:name="_Hlk235113003"/>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：140A，极数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bookmarkEnd w:id="254"/>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智能双电源切换开关</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PC</w:t>
            </w:r>
            <w:r>
              <w:rPr>
                <w:rFonts w:hint="eastAsia" w:ascii="Times New Roman" w:hAnsi="Times New Roman"/>
                <w:color w:val="000000"/>
                <w:szCs w:val="21"/>
              </w:rPr>
              <w:t xml:space="preserve">级</w:t>
            </w:r>
            <w:r>
              <w:rPr>
                <w:rFonts w:ascii="Times New Roman" w:hAnsi="Times New Roman"/>
                <w:color w:val="000000"/>
                <w:szCs w:val="21"/>
              </w:rPr>
              <w:t xml:space="preserve">250A/4P/100A</w:t>
            </w:r>
            <w:r>
              <w:rPr>
                <w:rFonts w:hint="eastAsia" w:ascii="Times New Roman" w:hAnsi="Times New Roman"/>
                <w:color w:val="000000"/>
                <w:szCs w:val="21"/>
              </w:rPr>
              <w:t xml:space="preserve">，内置控制器及通信口，切换时间≤</w:t>
            </w:r>
            <w:r>
              <w:rPr>
                <w:rFonts w:ascii="Times New Roman" w:hAnsi="Times New Roman"/>
                <w:color w:val="000000"/>
                <w:szCs w:val="21"/>
              </w:rPr>
              <w:t xml:space="preserve">100ms</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13</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50*6mm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七</w:t>
            </w:r>
            <w:r/>
          </w:p>
        </w:tc>
        <w:tc>
          <w:tcPr>
            <w:shd w:val="clear" w:color="000000" w:fill="ffffff"/>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2#辅机动力柜</w:t>
            </w:r>
            <w:r/>
          </w:p>
        </w:tc>
        <w:tc>
          <w:tcPr>
            <w:shd w:val="clear" w:color="auto" w:fill="auto"/>
            <w:tcW w:w="3834"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：140A，3P+电操，电动抽屉，语音控制；可通过辅助元件实现智能，LCD液晶屏幕可通过外部信号唤醒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：400A，额定电流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：315A，3P+电操，电动抽屉，语音控制；可通过辅助元件实现智能，LCD液晶屏幕可通过外部信号唤醒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：630A，额定电流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：500A，3P+电操，电动抽屉，语音控制；可通过辅助元件实现智能，LCD液晶屏幕可通过外部信号唤醒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智能双电源切换开关</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PC</w:t>
            </w:r>
            <w:r>
              <w:rPr>
                <w:rFonts w:hint="eastAsia" w:ascii="Times New Roman" w:hAnsi="Times New Roman"/>
                <w:color w:val="000000"/>
                <w:szCs w:val="21"/>
              </w:rPr>
              <w:t xml:space="preserve">级</w:t>
            </w:r>
            <w:r>
              <w:rPr>
                <w:rFonts w:ascii="Times New Roman" w:hAnsi="Times New Roman"/>
                <w:color w:val="000000"/>
                <w:szCs w:val="21"/>
              </w:rPr>
              <w:t xml:space="preserve">630A/4P/320A</w:t>
            </w:r>
            <w:r>
              <w:rPr>
                <w:rFonts w:hint="eastAsia" w:ascii="Times New Roman" w:hAnsi="Times New Roman"/>
                <w:color w:val="000000"/>
                <w:szCs w:val="21"/>
              </w:rPr>
              <w:t xml:space="preserve">，内置控制器及通信口，切换时间≤</w:t>
            </w:r>
            <w:r>
              <w:rPr>
                <w:rFonts w:ascii="Times New Roman" w:hAnsi="Times New Roman"/>
                <w:color w:val="000000"/>
                <w:szCs w:val="21"/>
              </w:rPr>
              <w:t xml:space="preserve">100ms</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智能双电源切换开关</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PC</w:t>
            </w:r>
            <w:r>
              <w:rPr>
                <w:rFonts w:hint="eastAsia" w:ascii="Times New Roman" w:hAnsi="Times New Roman"/>
                <w:color w:val="000000"/>
                <w:szCs w:val="21"/>
              </w:rPr>
              <w:t xml:space="preserve">级</w:t>
            </w:r>
            <w:r>
              <w:rPr>
                <w:rFonts w:ascii="Times New Roman" w:hAnsi="Times New Roman"/>
                <w:color w:val="000000"/>
                <w:szCs w:val="21"/>
              </w:rPr>
              <w:t xml:space="preserve">250A/4P/160A</w:t>
            </w:r>
            <w:r>
              <w:rPr>
                <w:rFonts w:hint="eastAsia" w:ascii="Times New Roman" w:hAnsi="Times New Roman"/>
                <w:color w:val="000000"/>
                <w:szCs w:val="21"/>
              </w:rPr>
              <w:t xml:space="preserve">，内置控制器及通信口，切换时间≤</w:t>
            </w:r>
            <w:r>
              <w:rPr>
                <w:rFonts w:ascii="Times New Roman" w:hAnsi="Times New Roman"/>
                <w:color w:val="000000"/>
                <w:szCs w:val="21"/>
              </w:rPr>
              <w:t xml:space="preserve">100ms</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7</w:t>
            </w:r>
            <w:r/>
          </w:p>
        </w:tc>
        <w:tc>
          <w:tcPr>
            <w:shd w:val="clear" w:color="auto" w:fill="auto"/>
            <w:tcW w:w="1013" w:type="dxa"/>
            <w:vAlign w:val="center"/>
            <w:textDirection w:val="lrTb"/>
            <w:noWrap w:val="false"/>
          </w:tcPr>
          <w:p>
            <w:pPr>
              <w:jc w:val="center"/>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highlight w:val="yellow"/>
              </w:rPr>
            </w:pPr>
            <w:r>
              <w:rPr>
                <w:rFonts w:ascii="Times New Roman" w:hAnsi="Times New Roman"/>
                <w:color w:val="000000"/>
                <w:szCs w:val="21"/>
                <w:highlight w:val="yellow"/>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10</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lang w:bidi="ar"/>
              </w:rPr>
            </w:pPr>
            <w:r>
              <w:rPr>
                <w:rFonts w:hint="eastAsia" w:ascii="Times New Roman" w:hAnsi="Times New Roman"/>
                <w:color w:val="000000"/>
                <w:szCs w:val="21"/>
                <w:lang w:bidi="ar"/>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后备保护</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EXP-SCB60/4P</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浪涌保护器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Imax=80KA(8/20us)/385V/In=40KA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18</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19</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20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21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22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八</w:t>
            </w:r>
            <w:r/>
          </w:p>
        </w:tc>
        <w:tc>
          <w:tcPr>
            <w:shd w:val="clear" w:color="auto" w:fill="auto"/>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厂房动力柜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：40A，极数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w:t>
            </w:r>
            <w:r>
              <w:rPr>
                <w:rFonts w:hint="eastAsia" w:ascii="Times New Roman" w:hAnsi="Times New Roman"/>
                <w:color w:val="000000"/>
                <w:szCs w:val="21"/>
              </w:rPr>
              <w:t xml:space="preserve">电操，电动抽屉，语音控制；可通过辅助元件实现智能，LCD液晶屏幕可通过外部信号唤醒。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140A，极数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400A，额定电流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250A，极数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九</w:t>
            </w:r>
            <w:r/>
          </w:p>
        </w:tc>
        <w:tc>
          <w:tcPr>
            <w:shd w:val="clear" w:color="auto" w:fill="auto"/>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照明柜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：140A，极数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rPr>
              <w:t xml:space="preserve">，电动抽屉，语音控制；可通过辅助元件实现智能，LCD液晶屏幕可通过外部信号唤醒。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400A，额定电流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250A，极数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智能小型断路器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MS Mincho" w:hAnsi="MS Mincho" w:eastAsia="MS Mincho" w:cs="MS Mincho"/>
                <w:color w:val="000000"/>
                <w:szCs w:val="21"/>
              </w:rPr>
              <w:t xml:space="preserve">‌</w:t>
            </w:r>
            <w:r>
              <w:rPr>
                <w:rFonts w:hint="eastAsia" w:ascii="宋体" w:hAnsi="宋体" w:cs="宋体"/>
                <w:color w:val="000000"/>
                <w:szCs w:val="21"/>
              </w:rPr>
              <w:t xml:space="preserve">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32 A</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智能小型断路器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MS Mincho" w:hAnsi="MS Mincho" w:eastAsia="MS Mincho" w:cs="MS Mincho"/>
                <w:color w:val="000000"/>
                <w:szCs w:val="21"/>
              </w:rPr>
              <w:t xml:space="preserve">‌</w:t>
            </w:r>
            <w:r>
              <w:rPr>
                <w:rFonts w:hint="eastAsia" w:ascii="宋体" w:hAnsi="宋体" w:cs="宋体"/>
                <w:color w:val="000000"/>
                <w:szCs w:val="21"/>
              </w:rPr>
              <w:t xml:space="preserve">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32 A</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2P</w:t>
            </w:r>
            <w:r>
              <w:rPr>
                <w:rFonts w:hint="eastAsia" w:ascii="MS Mincho" w:hAnsi="MS Mincho" w:eastAsia="MS Mincho" w:cs="MS Mincho"/>
                <w:color w:val="000000"/>
                <w:szCs w:val="21"/>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lang w:bidi="ar"/>
              </w:rPr>
            </w:pPr>
            <w:r>
              <w:rPr>
                <w:rFonts w:hint="eastAsia" w:ascii="Times New Roman" w:hAnsi="Times New Roman"/>
                <w:color w:val="000000"/>
                <w:szCs w:val="21"/>
                <w:lang w:bidi="ar"/>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，黄色。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 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十</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2#站变进线柜</w:t>
            </w:r>
            <w:r/>
          </w:p>
        </w:tc>
        <w:tc>
          <w:tcPr>
            <w:shd w:val="clear" w:color="auto" w:fill="auto"/>
            <w:tcW w:w="3834"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智能框架断路器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：1250A，额定电流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1250A，极数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：4P+电操，语音控制；可通过辅助元件实现智能，LCD液晶屏幕可通过外部信号唤醒。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电流互感器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额定电压</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0.66 kV（660 V），电流比</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1500 A / 5 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6</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后备保护</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不脱扣冲击电流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25kA（10/350μs），四极</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浪涌保护器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t xml:space="preserve">Iimp=25KA(10/350us)/420V/In=100KA</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低压综合保护器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具备电能质量监测、泄漏电流或零序电流监测、故障电弧探测、故障预警、故障录波等功能，可实现对常规电流电压等电参量监测，测量数据通过RS485通信接口上送到智能终端管理系统</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2mm平头点动按钮开关，不带灯，转换就地和远方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w:t>
            </w:r>
            <w:r>
              <w:rPr>
                <w:rFonts w:ascii="Times New Roman" w:hAnsi="Times New Roman"/>
                <w:color w:val="000000"/>
                <w:szCs w:val="21"/>
              </w:rPr>
              <w:t xml:space="preserve">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w:t>
            </w:r>
            <w:r>
              <w:rPr>
                <w:rFonts w:ascii="Times New Roman" w:hAnsi="Times New Roman"/>
                <w:color w:val="000000"/>
                <w:szCs w:val="21"/>
              </w:rPr>
              <w:t xml:space="preserve">黄</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40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18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lang w:bidi="ar"/>
              </w:rPr>
              <w:t xml:space="preserve">19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十一</w:t>
            </w:r>
            <w:r/>
          </w:p>
        </w:tc>
        <w:tc>
          <w:tcPr>
            <w:shd w:val="clear" w:color="auto" w:fill="auto"/>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冷水机组动力柜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智能框架断路器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1250A，额定电流</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：630A，极数</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rPr>
              <w:t xml:space="preserve">，语音控制；可通过辅助元件实现智能，LCD液晶屏幕可通过外部信号唤醒。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628"/>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000000" w:fill="ffffff"/>
            <w:tcW w:w="709"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lang w:bidi="ar"/>
              </w:rPr>
            </w:pPr>
            <w:r>
              <w:rPr>
                <w:rFonts w:hint="eastAsia" w:ascii="Times New Roman" w:hAnsi="Times New Roman"/>
                <w:color w:val="000000"/>
                <w:szCs w:val="21"/>
                <w:lang w:bidi="ar"/>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w:t>
            </w:r>
            <w:r>
              <w:rPr>
                <w:rFonts w:ascii="Times New Roman" w:hAnsi="Times New Roman"/>
                <w:color w:val="000000"/>
                <w:szCs w:val="21"/>
              </w:rPr>
              <w:t xml:space="preserve">就地</w:t>
            </w:r>
            <w:r>
              <w:rPr>
                <w:rFonts w:hint="eastAsia" w:ascii="Times New Roman" w:hAnsi="Times New Roman"/>
                <w:color w:val="000000"/>
                <w:szCs w:val="21"/>
              </w:rPr>
              <w:t xml:space="preserve">和</w:t>
            </w:r>
            <w:r>
              <w:rPr>
                <w:rFonts w:ascii="Times New Roman" w:hAnsi="Times New Roman"/>
                <w:color w:val="000000"/>
                <w:szCs w:val="21"/>
              </w:rPr>
              <w:t xml:space="preserve">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w:t>
            </w:r>
            <w:r>
              <w:rPr>
                <w:rFonts w:ascii="Times New Roman" w:hAnsi="Times New Roman"/>
                <w:color w:val="000000"/>
                <w:szCs w:val="21"/>
              </w:rPr>
              <w:t xml:space="preserve">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w:t>
            </w:r>
            <w:r>
              <w:rPr>
                <w:rFonts w:ascii="Times New Roman" w:hAnsi="Times New Roman"/>
                <w:color w:val="000000"/>
                <w:szCs w:val="21"/>
              </w:rPr>
              <w:t xml:space="preserve">黄</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十二</w:t>
            </w:r>
            <w:r/>
          </w:p>
        </w:tc>
        <w:tc>
          <w:tcPr>
            <w:shd w:val="clear" w:color="auto" w:fill="auto"/>
            <w:tcW w:w="2265"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2#励磁动力柜</w:t>
            </w:r>
            <w:r/>
          </w:p>
        </w:tc>
        <w:tc>
          <w:tcPr>
            <w:shd w:val="clear" w:color="auto" w:fill="auto"/>
            <w:tcW w:w="3834"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MNS(800*800*2200mm)</w:t>
            </w:r>
            <w:r/>
          </w:p>
        </w:tc>
        <w:tc>
          <w:tcPr>
            <w:shd w:val="clear" w:color="auto" w:fill="auto"/>
            <w:tcW w:w="709"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567"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013"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智能框架断路器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1250A，额定电流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800A，极数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智能塑壳断路器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壳架电流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160A，额定电流</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50A，极数</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w:t>
            </w:r>
            <w:r>
              <w:rPr>
                <w:rFonts w:hint="eastAsia" w:ascii="Times New Roman" w:hAnsi="Times New Roman"/>
                <w:color w:val="000000"/>
                <w:szCs w:val="21"/>
              </w:rPr>
              <w:t xml:space="preserve">3P</w:t>
            </w:r>
            <w:r>
              <w:rPr>
                <w:rFonts w:ascii="Times New Roman" w:hAnsi="Times New Roman"/>
                <w:color w:val="000000"/>
                <w:szCs w:val="21"/>
              </w:rPr>
              <w:t xml:space="preserve">+电操</w:t>
            </w:r>
            <w:r>
              <w:rPr>
                <w:rFonts w:hint="eastAsia" w:ascii="Times New Roman" w:hAnsi="Times New Roman"/>
                <w:color w:val="000000"/>
                <w:szCs w:val="21"/>
                <w:lang w:bidi="ar"/>
              </w:rPr>
              <w:t xml:space="preserve">，</w:t>
            </w:r>
            <w:r>
              <w:rPr>
                <w:rFonts w:hint="eastAsia" w:ascii="Times New Roman" w:hAnsi="Times New Roman"/>
                <w:bCs/>
                <w:color w:val="000000"/>
                <w:szCs w:val="21"/>
              </w:rPr>
              <w:t xml:space="preserve">电动抽屉，语音控制</w:t>
            </w:r>
            <w:r>
              <w:rPr>
                <w:rFonts w:hint="eastAsia" w:ascii="Times New Roman" w:hAnsi="Times New Roman"/>
                <w:color w:val="000000"/>
                <w:szCs w:val="21"/>
              </w:rPr>
              <w:t xml:space="preserve">；可通过辅助元件实现智能，LCD液晶屏幕可通过外部信号唤醒。</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仪表显示屏</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电流、电压等电参量显示及报警信息显示，</w:t>
            </w:r>
            <w:r>
              <w:rPr>
                <w:rFonts w:hint="eastAsia" w:ascii="Times New Roman" w:hAnsi="Times New Roman"/>
                <w:szCs w:val="21"/>
              </w:rPr>
              <w:t xml:space="preserve">≥</w:t>
            </w:r>
            <w:r>
              <w:rPr>
                <w:rFonts w:hint="eastAsia" w:ascii="Times New Roman" w:hAnsi="Times New Roman"/>
                <w:color w:val="000000"/>
                <w:szCs w:val="21"/>
              </w:rPr>
              <w:t xml:space="preserve">4</w:t>
            </w:r>
            <w:r>
              <w:rPr>
                <w:rFonts w:ascii="Times New Roman" w:hAnsi="Times New Roman"/>
                <w:color w:val="000000"/>
                <w:szCs w:val="21"/>
              </w:rPr>
              <w:t xml:space="preserve">.5</w:t>
            </w:r>
            <w:r>
              <w:rPr>
                <w:rFonts w:hint="eastAsia" w:ascii="Times New Roman" w:hAnsi="Times New Roman"/>
                <w:color w:val="000000"/>
                <w:szCs w:val="21"/>
              </w:rPr>
              <w:t xml:space="preserve">寸</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lang w:bidi="ar"/>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lang w:bidi="ar"/>
              </w:rPr>
              <w:t xml:space="preserve">4</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6点测温（开关触头）</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3点测温（母线）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无线测温传感器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3</w:t>
            </w:r>
            <w:r>
              <w:rPr>
                <w:rFonts w:ascii="Times New Roman" w:hAnsi="Times New Roman"/>
                <w:color w:val="000000"/>
                <w:szCs w:val="21"/>
                <w:lang w:bidi="ar"/>
              </w:rPr>
              <w:t xml:space="preserve">点测温（</w:t>
            </w:r>
            <w:r>
              <w:rPr>
                <w:rFonts w:hint="eastAsia" w:ascii="Times New Roman" w:hAnsi="Times New Roman"/>
                <w:color w:val="000000"/>
                <w:szCs w:val="21"/>
                <w:lang w:bidi="ar"/>
              </w:rPr>
              <w:t xml:space="preserve">电缆终端</w:t>
            </w:r>
            <w:r>
              <w:rPr>
                <w:rFonts w:ascii="Times New Roman" w:hAnsi="Times New Roman"/>
                <w:color w:val="000000"/>
                <w:szCs w:val="21"/>
                <w:lang w:bidi="ar"/>
              </w:rPr>
              <w:t xml:space="preserve">）</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无线测温接收装置</w:t>
            </w:r>
            <w:r/>
          </w:p>
        </w:tc>
        <w:tc>
          <w:tcPr>
            <w:shd w:val="clear" w:color="auto" w:fill="auto"/>
            <w:tcW w:w="3834" w:type="dxa"/>
            <w:vAlign w:val="center"/>
            <w:textDirection w:val="lrTb"/>
            <w:noWrap w:val="false"/>
          </w:tcPr>
          <w:p>
            <w:pPr>
              <w:jc w:val="left"/>
              <w:rPr>
                <w:rFonts w:ascii="Times New Roman" w:hAnsi="Times New Roman"/>
                <w:color w:val="000000"/>
                <w:szCs w:val="21"/>
              </w:rPr>
            </w:pPr>
            <w:r>
              <w:rPr>
                <w:rFonts w:hint="eastAsia" w:ascii="Times New Roman" w:hAnsi="Times New Roman"/>
                <w:color w:val="000000"/>
                <w:szCs w:val="21"/>
              </w:rPr>
              <w:t xml:space="preserve">无线接收，温度采集模块的测量精度不低于±1℃，能接收不少于100 路温度传感器信号，TCP/RTU/RS485 通讯接口</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电流互感器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额定电压</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：≤0.66 kV（660 V），电流比</w:t>
            </w:r>
            <w:r>
              <w:rPr>
                <w:rFonts w:hint="eastAsia" w:ascii="MS Mincho" w:hAnsi="MS Mincho" w:eastAsia="MS Mincho" w:cs="MS Mincho"/>
                <w:color w:val="000000"/>
                <w:szCs w:val="21"/>
              </w:rPr>
              <w:t xml:space="preserve">‌</w:t>
            </w:r>
            <w:r>
              <w:rPr>
                <w:rFonts w:hint="eastAsia" w:ascii="Times New Roman" w:hAnsi="Times New Roman"/>
                <w:color w:val="000000"/>
                <w:szCs w:val="21"/>
              </w:rPr>
              <w:t xml:space="preserve">：800 A / 5 A</w:t>
            </w:r>
            <w:r/>
          </w:p>
        </w:tc>
        <w:tc>
          <w:tcPr>
            <w:shd w:val="clear" w:color="auto" w:fill="auto"/>
            <w:tcW w:w="709"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低压综合保护器</w:t>
            </w:r>
            <w:r/>
          </w:p>
        </w:tc>
        <w:tc>
          <w:tcPr>
            <w:shd w:val="clear" w:color="auto" w:fill="auto"/>
            <w:tcW w:w="3834" w:type="dxa"/>
            <w:vAlign w:val="center"/>
            <w:textDirection w:val="lrTb"/>
            <w:noWrap w:val="false"/>
          </w:tcPr>
          <w:p>
            <w:pPr>
              <w:jc w:val="left"/>
              <w:widowControl/>
              <w:rPr>
                <w:rFonts w:ascii="Times New Roman" w:hAnsi="Times New Roman"/>
                <w:color w:val="000000"/>
                <w:szCs w:val="21"/>
              </w:rPr>
            </w:pPr>
            <w:r>
              <w:rPr>
                <w:rFonts w:hint="eastAsia" w:ascii="Times New Roman" w:hAnsi="Times New Roman"/>
                <w:color w:val="000000"/>
                <w:szCs w:val="21"/>
              </w:rPr>
              <w:t xml:space="preserve">具备电能质量监测、泄漏电流或零序电流监测、故障电弧探测、故障预警、故障录波等功能，可实现对常规电流电压等电参量监测，测量数据通过RS485通信接口上送到智能终端管理系统</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套</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转换开关</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2mm平头点动按钮开关，不带灯，转换</w:t>
            </w:r>
            <w:r>
              <w:rPr>
                <w:rFonts w:ascii="Times New Roman" w:hAnsi="Times New Roman"/>
                <w:color w:val="000000"/>
                <w:szCs w:val="21"/>
              </w:rPr>
              <w:t xml:space="preserve">就地</w:t>
            </w:r>
            <w:r>
              <w:rPr>
                <w:rFonts w:hint="eastAsia" w:ascii="Times New Roman" w:hAnsi="Times New Roman"/>
                <w:color w:val="000000"/>
                <w:szCs w:val="21"/>
              </w:rPr>
              <w:t xml:space="preserve">和</w:t>
            </w:r>
            <w:r>
              <w:rPr>
                <w:rFonts w:ascii="Times New Roman" w:hAnsi="Times New Roman"/>
                <w:color w:val="000000"/>
                <w:szCs w:val="21"/>
              </w:rPr>
              <w:t xml:space="preserve">远方</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color w:val="000000"/>
                <w:szCs w:val="21"/>
                <w:lang w:bidi="ar"/>
              </w:rPr>
              <w:t xml:space="preserve">11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w:t>
            </w:r>
            <w:r>
              <w:rPr>
                <w:rFonts w:ascii="Times New Roman" w:hAnsi="Times New Roman"/>
                <w:color w:val="000000"/>
                <w:szCs w:val="21"/>
              </w:rPr>
              <w:t xml:space="preserve"> 绿</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12</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指示灯</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安装孔径 22mm；带灯按钮/指示灯结构（非复合按钮）；LED 或电子式；工作电压为AC/DC220V ，</w:t>
            </w:r>
            <w:r>
              <w:rPr>
                <w:rFonts w:ascii="Times New Roman" w:hAnsi="Times New Roman"/>
                <w:color w:val="000000"/>
                <w:szCs w:val="21"/>
              </w:rPr>
              <w:t xml:space="preserve"> 黄</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红色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14</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rPr>
              <w:t xml:space="preserve">按钮</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rPr>
              <w:t xml:space="preserve">2mm平头点动按钮开关，不带灯，触点配置为 1NO+1NC，</w:t>
            </w:r>
            <w:r>
              <w:rPr>
                <w:rFonts w:ascii="Times New Roman" w:hAnsi="Times New Roman"/>
                <w:color w:val="000000"/>
                <w:szCs w:val="21"/>
              </w:rPr>
              <w:t xml:space="preserve">绿色</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只</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rPr>
              <w:t xml:space="preserve">5</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szCs w:val="21"/>
              </w:rPr>
              <w:t xml:space="preserve">15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主铜排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60*6mm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20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szCs w:val="21"/>
              </w:rPr>
              <w:t xml:space="preserve">16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柜内铜排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50*6mm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50</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柜内地排</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40*5mm</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kg</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3</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18</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柜体</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MNS(800*800*2200mm)</w:t>
            </w:r>
            <w:r/>
          </w:p>
        </w:tc>
        <w:tc>
          <w:tcPr>
            <w:shd w:val="clear" w:color="000000" w:fill="ffffff"/>
            <w:tcW w:w="709"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台</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hint="eastAsia" w:ascii="Times New Roman" w:hAnsi="Times New Roman"/>
                <w:szCs w:val="21"/>
              </w:rPr>
              <w:t xml:space="preserve">19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834" w:type="dxa"/>
            <w:vAlign w:val="center"/>
            <w:textDirection w:val="lrTb"/>
            <w:noWrap w:val="false"/>
          </w:tcPr>
          <w:p>
            <w:pPr>
              <w:jc w:val="left"/>
              <w:widowControl/>
              <w:rPr>
                <w:rFonts w:ascii="Times New Roman" w:hAnsi="Times New Roman"/>
                <w:szCs w:val="21"/>
              </w:rPr>
            </w:pPr>
            <w:r>
              <w:rPr>
                <w:rFonts w:hint="eastAsia" w:ascii="Times New Roman" w:hAnsi="Times New Roman"/>
                <w:szCs w:val="21"/>
              </w:rPr>
              <w:t xml:space="preserve">辅材</w:t>
            </w:r>
            <w:r>
              <w:rPr>
                <w:rFonts w:ascii="Times New Roman" w:hAnsi="Times New Roman"/>
                <w:szCs w:val="21"/>
              </w:rPr>
              <w:t xml:space="preserve">、线材等</w:t>
            </w:r>
            <w:r/>
          </w:p>
        </w:tc>
        <w:tc>
          <w:tcPr>
            <w:shd w:val="clear" w:color="auto" w:fill="auto"/>
            <w:tcW w:w="709"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567"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013" w:type="dxa"/>
            <w:vAlign w:val="center"/>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r>
    </w:tbl>
    <w:p>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r>
      <w:r/>
    </w:p>
    <w:p>
      <w:pPr>
        <w:jc w:val="lef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附件3、辅机动力箱配置清单</w:t>
      </w:r>
      <w:r/>
    </w:p>
    <w:tbl>
      <w:tblPr>
        <w:tblStyle w:val="7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265"/>
        <w:gridCol w:w="3698"/>
        <w:gridCol w:w="630"/>
        <w:gridCol w:w="640"/>
        <w:gridCol w:w="1276"/>
      </w:tblGrid>
      <w:tr>
        <w:trPr>
          <w:jc w:val="center"/>
          <w:trHeight w:val="312"/>
        </w:trPr>
        <w:tc>
          <w:tcPr>
            <w:tcW w:w="700"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序号</w:t>
            </w:r>
            <w:r/>
          </w:p>
        </w:tc>
        <w:tc>
          <w:tcPr>
            <w:tcW w:w="2265"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元器件名称</w:t>
            </w:r>
            <w:r/>
          </w:p>
        </w:tc>
        <w:tc>
          <w:tcPr>
            <w:tcW w:w="3698" w:type="dxa"/>
            <w:vAlign w:val="center"/>
            <w:vMerge w:val="restart"/>
            <w:textDirection w:val="lrTb"/>
            <w:noWrap w:val="false"/>
          </w:tcPr>
          <w:p>
            <w:pPr>
              <w:jc w:val="center"/>
              <w:rPr>
                <w:rFonts w:ascii="Times New Roman" w:hAnsi="Times New Roman"/>
                <w:szCs w:val="21"/>
              </w:rPr>
            </w:pPr>
            <w:r>
              <w:rPr>
                <w:rFonts w:ascii="Times New Roman" w:hAnsi="Times New Roman"/>
                <w:color w:val="000000"/>
                <w:szCs w:val="21"/>
              </w:rPr>
              <w:t xml:space="preserve">规格型号</w:t>
            </w:r>
            <w:r/>
          </w:p>
        </w:tc>
        <w:tc>
          <w:tcPr>
            <w:tcW w:w="630"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单位</w:t>
            </w:r>
            <w:r/>
          </w:p>
        </w:tc>
        <w:tc>
          <w:tcPr>
            <w:tcW w:w="640"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数量</w:t>
            </w:r>
            <w:r/>
          </w:p>
        </w:tc>
        <w:tc>
          <w:tcPr>
            <w:tcW w:w="1276" w:type="dxa"/>
            <w:vAlign w:val="center"/>
            <w:vMerge w:val="restart"/>
            <w:textDirection w:val="lrTb"/>
            <w:noWrap w:val="false"/>
          </w:tcPr>
          <w:p>
            <w:pPr>
              <w:jc w:val="center"/>
              <w:rPr>
                <w:rFonts w:ascii="Times New Roman" w:hAnsi="Times New Roman"/>
                <w:color w:val="000000"/>
                <w:szCs w:val="21"/>
              </w:rPr>
            </w:pPr>
            <w:r>
              <w:rPr>
                <w:rFonts w:ascii="Times New Roman" w:hAnsi="Times New Roman"/>
                <w:color w:val="000000"/>
                <w:szCs w:val="21"/>
              </w:rPr>
              <w:t xml:space="preserve">备注</w:t>
            </w:r>
            <w:r/>
          </w:p>
        </w:tc>
      </w:tr>
      <w:tr>
        <w:trPr>
          <w:jc w:val="center"/>
          <w:trHeight w:val="510"/>
        </w:trPr>
        <w:tc>
          <w:tcPr>
            <w:shd w:val="clear" w:color="auto" w:fill="auto"/>
            <w:tcW w:w="700" w:type="dxa"/>
            <w:vAlign w:val="center"/>
            <w:textDirection w:val="lrTb"/>
            <w:noWrap w:val="false"/>
          </w:tcPr>
          <w:p>
            <w:pPr>
              <w:jc w:val="center"/>
              <w:rPr>
                <w:rFonts w:ascii="Times New Roman" w:hAnsi="Times New Roman"/>
                <w:b/>
                <w:bCs/>
                <w:color w:val="000000"/>
                <w:szCs w:val="21"/>
              </w:rPr>
            </w:pPr>
            <w:r>
              <w:rPr>
                <w:rFonts w:ascii="Times New Roman" w:hAnsi="Times New Roman"/>
                <w:b/>
                <w:bCs/>
                <w:color w:val="000000"/>
                <w:szCs w:val="21"/>
              </w:rPr>
              <w:t xml:space="preserve">一</w:t>
            </w:r>
            <w:r/>
          </w:p>
        </w:tc>
        <w:tc>
          <w:tcPr>
            <w:shd w:val="clear" w:color="auto" w:fill="auto"/>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1#辅机动力箱 </w:t>
            </w:r>
            <w:r/>
          </w:p>
        </w:tc>
        <w:tc>
          <w:tcPr>
            <w:shd w:val="clear" w:color="auto" w:fill="auto"/>
            <w:tcW w:w="3698"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XL-21(</w:t>
            </w:r>
            <w:r>
              <w:rPr>
                <w:rFonts w:hint="eastAsia" w:ascii="Times New Roman" w:hAnsi="Times New Roman"/>
                <w:b/>
                <w:bCs/>
                <w:szCs w:val="21"/>
              </w:rPr>
              <w:t xml:space="preserve">6</w:t>
            </w:r>
            <w:r>
              <w:rPr>
                <w:rFonts w:ascii="Times New Roman" w:hAnsi="Times New Roman"/>
                <w:b/>
                <w:bCs/>
                <w:szCs w:val="21"/>
              </w:rPr>
              <w:t xml:space="preserve">00*450*1700mm)</w:t>
            </w:r>
            <w:r/>
          </w:p>
        </w:tc>
        <w:tc>
          <w:tcPr>
            <w:shd w:val="clear" w:color="auto" w:fill="auto"/>
            <w:tcW w:w="63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64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w:t>
            </w:r>
            <w:r>
              <w:rPr>
                <w:rFonts w:hint="eastAsia" w:ascii="Times New Roman" w:hAnsi="Times New Roman"/>
                <w:color w:val="000000"/>
                <w:szCs w:val="21"/>
                <w:lang w:bidi="ar"/>
              </w:rPr>
              <w:t xml:space="preserve">塑壳</w:t>
            </w:r>
            <w:r>
              <w:rPr>
                <w:rFonts w:ascii="Times New Roman" w:hAnsi="Times New Roman"/>
                <w:color w:val="000000"/>
                <w:szCs w:val="21"/>
                <w:lang w:bidi="ar"/>
              </w:rPr>
              <w:t xml:space="preserve">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MCCB</w:t>
            </w:r>
            <w:r>
              <w:rPr>
                <w:rFonts w:ascii="Times New Roman" w:hAnsi="Times New Roman"/>
                <w:color w:val="000000"/>
                <w:szCs w:val="21"/>
                <w:lang w:bidi="ar"/>
              </w:rPr>
              <w:t xml:space="preserve">-250/3</w:t>
            </w:r>
            <w:r>
              <w:rPr>
                <w:rFonts w:hint="eastAsia" w:ascii="Times New Roman" w:hAnsi="Times New Roman"/>
                <w:color w:val="000000"/>
                <w:szCs w:val="21"/>
                <w:lang w:bidi="ar"/>
              </w:rPr>
              <w:t xml:space="preserve">P250A+电操</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-63/C32/3P</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M</w:t>
            </w:r>
            <w:r>
              <w:rPr>
                <w:rFonts w:hint="eastAsia" w:ascii="Times New Roman" w:hAnsi="Times New Roman"/>
                <w:color w:val="000000"/>
                <w:szCs w:val="21"/>
                <w:lang w:bidi="ar"/>
              </w:rPr>
              <w:t xml:space="preserve">CB</w:t>
            </w:r>
            <w:r>
              <w:rPr>
                <w:rFonts w:ascii="Times New Roman" w:hAnsi="Times New Roman"/>
                <w:color w:val="000000"/>
                <w:szCs w:val="21"/>
                <w:lang w:bidi="ar"/>
              </w:rPr>
              <w:t xml:space="preserve">-63/C40/2P</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显示屏</w:t>
            </w:r>
            <w:r/>
          </w:p>
        </w:tc>
        <w:tc>
          <w:tcPr>
            <w:shd w:val="clear" w:color="auto" w:fill="auto"/>
            <w:tcW w:w="3698" w:type="dxa"/>
            <w:vAlign w:val="center"/>
            <w:textDirection w:val="lrTb"/>
            <w:noWrap w:val="false"/>
          </w:tcPr>
          <w:p>
            <w:pPr>
              <w:numPr>
                <w:ilvl w:val="255"/>
                <w:numId w:val="0"/>
              </w:numPr>
              <w:jc w:val="left"/>
              <w:rPr>
                <w:rFonts w:ascii="Times New Roman" w:hAnsi="Times New Roman"/>
                <w:color w:val="000000"/>
                <w:szCs w:val="21"/>
                <w:lang w:bidi="ar"/>
              </w:rPr>
            </w:pPr>
            <w:r>
              <w:rPr>
                <w:rFonts w:hint="eastAsia" w:ascii="Times New Roman" w:hAnsi="Times New Roman"/>
                <w:color w:val="000000"/>
                <w:szCs w:val="21"/>
                <w:lang w:bidi="ar"/>
              </w:rPr>
              <w:t xml:space="preserve">各回路电流、电压等电参量显示，</w:t>
            </w:r>
            <w:r>
              <w:rPr>
                <w:rFonts w:hint="eastAsia" w:ascii="Times New Roman" w:hAnsi="Times New Roman"/>
                <w:szCs w:val="21"/>
              </w:rPr>
              <w:t xml:space="preserve">≥</w:t>
            </w:r>
            <w:r>
              <w:rPr>
                <w:rFonts w:hint="eastAsia" w:ascii="Times New Roman" w:hAnsi="Times New Roman"/>
                <w:color w:val="000000"/>
                <w:szCs w:val="21"/>
                <w:lang w:bidi="ar"/>
              </w:rPr>
              <w:t xml:space="preserve">16寸，</w:t>
            </w:r>
            <w:r>
              <w:rPr>
                <w:rFonts w:ascii="Times New Roman" w:hAnsi="Times New Roman"/>
                <w:color w:val="000000"/>
                <w:szCs w:val="21"/>
                <w:lang w:bidi="ar"/>
              </w:rPr>
              <w:t xml:space="preserve">分辨率1920×1080；电容式多点触控，不大于3ms延时；</w:t>
            </w:r>
            <w:r>
              <w:rPr>
                <w:rFonts w:hint="eastAsia" w:ascii="Times New Roman" w:hAnsi="Times New Roman"/>
                <w:color w:val="000000"/>
                <w:szCs w:val="21"/>
                <w:lang w:bidi="ar"/>
              </w:rPr>
              <w:t xml:space="preserve">屏幕可通过外部信号进行唤醒</w:t>
            </w:r>
            <w:r/>
          </w:p>
        </w:tc>
        <w:tc>
          <w:tcPr>
            <w:shd w:val="clear" w:color="000000" w:fill="ffffff"/>
            <w:tcW w:w="63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-45/16/N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-45/25/N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-45/10/N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单相插座</w:t>
            </w:r>
            <w:r/>
          </w:p>
        </w:tc>
        <w:tc>
          <w:tcPr>
            <w:shd w:val="clear" w:color="auto" w:fill="auto"/>
            <w:tcW w:w="3698" w:type="dxa"/>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三相插座</w:t>
            </w:r>
            <w:r/>
          </w:p>
        </w:tc>
        <w:tc>
          <w:tcPr>
            <w:shd w:val="clear" w:color="auto" w:fill="auto"/>
            <w:tcW w:w="3698" w:type="dxa"/>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智能管理终端</w:t>
            </w:r>
            <w:r/>
          </w:p>
        </w:tc>
        <w:tc>
          <w:tcPr>
            <w:shd w:val="clear" w:color="auto" w:fill="auto"/>
            <w:tcW w:w="3698" w:type="dxa"/>
            <w:vAlign w:val="center"/>
            <w:textDirection w:val="lrTb"/>
            <w:noWrap w:val="false"/>
          </w:tcPr>
          <w:p>
            <w:pPr>
              <w:jc w:val="left"/>
              <w:spacing w:line="300" w:lineRule="auto"/>
              <w:rPr>
                <w:rFonts w:ascii="Times New Roman" w:hAnsi="Times New Roman"/>
                <w:color w:val="000000"/>
                <w:szCs w:val="21"/>
                <w:lang w:bidi="ar"/>
              </w:rPr>
            </w:pPr>
            <w:r>
              <w:rPr>
                <w:rFonts w:ascii="Times New Roman" w:hAnsi="Times New Roman"/>
                <w:szCs w:val="21"/>
              </w:rPr>
              <w:t xml:space="preserve">含</w:t>
            </w:r>
            <w:r>
              <w:rPr>
                <w:rFonts w:ascii="Times New Roman" w:hAnsi="Times New Roman"/>
                <w:color w:val="000000"/>
                <w:szCs w:val="21"/>
                <w:lang w:bidi="ar"/>
              </w:rPr>
              <w:t xml:space="preserve">交换机、</w:t>
            </w:r>
            <w:r>
              <w:rPr>
                <w:rFonts w:hint="eastAsia" w:ascii="Times New Roman" w:hAnsi="Times New Roman"/>
                <w:szCs w:val="21"/>
              </w:rPr>
              <w:t xml:space="preserve">≥</w:t>
            </w:r>
            <w:r>
              <w:rPr>
                <w:rFonts w:hint="eastAsia" w:ascii="Times New Roman" w:hAnsi="Times New Roman"/>
                <w:color w:val="000000"/>
                <w:szCs w:val="21"/>
                <w:lang w:bidi="ar"/>
              </w:rPr>
              <w:t xml:space="preserve">20寸电容</w:t>
            </w:r>
            <w:r>
              <w:rPr>
                <w:rFonts w:ascii="Times New Roman" w:hAnsi="Times New Roman"/>
                <w:color w:val="000000"/>
                <w:szCs w:val="21"/>
                <w:lang w:bidi="ar"/>
              </w:rPr>
              <w:t xml:space="preserve">屏、网关</w:t>
            </w:r>
            <w:r>
              <w:rPr>
                <w:rFonts w:hint="eastAsia" w:ascii="Times New Roman" w:hAnsi="Times New Roman"/>
                <w:color w:val="000000"/>
                <w:szCs w:val="21"/>
                <w:lang w:bidi="ar"/>
              </w:rPr>
              <w:t xml:space="preserve">及管理系统软件</w:t>
            </w:r>
            <w:r>
              <w:rPr>
                <w:rFonts w:ascii="Times New Roman" w:hAnsi="Times New Roman"/>
                <w:color w:val="000000"/>
                <w:szCs w:val="21"/>
                <w:lang w:bidi="ar"/>
              </w:rPr>
              <w:t xml:space="preserve">等</w:t>
            </w:r>
            <w:r>
              <w:rPr>
                <w:rFonts w:hint="eastAsia" w:ascii="Times New Roman" w:hAnsi="Times New Roman"/>
                <w:color w:val="000000"/>
                <w:szCs w:val="21"/>
                <w:lang w:bidi="ar"/>
              </w:rPr>
              <w:t xml:space="preserve">；</w:t>
            </w:r>
            <w:r>
              <w:rPr>
                <w:rFonts w:ascii="Times New Roman" w:hAnsi="Times New Roman"/>
                <w:color w:val="000000"/>
                <w:szCs w:val="21"/>
                <w:lang w:bidi="ar"/>
              </w:rPr>
              <w:t xml:space="preserve">支持10点触摸，触摸速度小于3ms，高效稳定，支持多点手势</w:t>
            </w:r>
            <w:r>
              <w:rPr>
                <w:rFonts w:hint="eastAsia" w:ascii="Times New Roman" w:hAnsi="Times New Roman"/>
                <w:color w:val="000000"/>
                <w:szCs w:val="21"/>
                <w:lang w:bidi="ar"/>
              </w:rPr>
              <w:t xml:space="preserve">；具备全部项目的数据总览；可实现遥信、遥测、遥控功能；实时显示设备运行状态和参数；具备报警管理功能</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套</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空气围带控制器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现有设备集成</w:t>
            </w:r>
            <w:r>
              <w:rPr>
                <w:rFonts w:hint="eastAsia" w:ascii="Times New Roman" w:hAnsi="Times New Roman"/>
                <w:szCs w:val="21"/>
              </w:rPr>
              <w:t xml:space="preserve">，</w:t>
            </w:r>
            <w:r>
              <w:rPr>
                <w:rFonts w:hint="eastAsia" w:ascii="Times New Roman" w:hAnsi="Times New Roman"/>
                <w:bCs/>
                <w:color w:val="000000"/>
                <w:szCs w:val="21"/>
              </w:rPr>
              <w:t xml:space="preserve">保留现有可编程控制器，能够满足现场使用要求</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套</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箱体、铜排、线材等</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szCs w:val="21"/>
              </w:rPr>
            </w:pPr>
            <w:r>
              <w:rPr>
                <w:rFonts w:ascii="Times New Roman" w:hAnsi="Times New Roman"/>
                <w:b/>
                <w:bCs/>
                <w:szCs w:val="21"/>
              </w:rPr>
              <w:t xml:space="preserve">二</w:t>
            </w:r>
            <w:r/>
          </w:p>
        </w:tc>
        <w:tc>
          <w:tcPr>
            <w:shd w:val="clear" w:color="000000" w:fill="ffffff"/>
            <w:tcW w:w="2265"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2#辅机动力箱 </w:t>
            </w:r>
            <w:r/>
          </w:p>
        </w:tc>
        <w:tc>
          <w:tcPr>
            <w:shd w:val="clear" w:color="auto" w:fill="auto"/>
            <w:tcW w:w="3698"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XL-21(</w:t>
            </w:r>
            <w:r>
              <w:rPr>
                <w:rFonts w:hint="eastAsia" w:ascii="Times New Roman" w:hAnsi="Times New Roman"/>
                <w:b/>
                <w:bCs/>
                <w:szCs w:val="21"/>
              </w:rPr>
              <w:t xml:space="preserve">6</w:t>
            </w:r>
            <w:r>
              <w:rPr>
                <w:rFonts w:ascii="Times New Roman" w:hAnsi="Times New Roman"/>
                <w:b/>
                <w:bCs/>
                <w:szCs w:val="21"/>
              </w:rPr>
              <w:t xml:space="preserve">00*450*1700mm)</w:t>
            </w:r>
            <w:r/>
          </w:p>
        </w:tc>
        <w:tc>
          <w:tcPr>
            <w:shd w:val="clear" w:color="auto" w:fill="auto"/>
            <w:tcW w:w="63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64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w:t>
            </w:r>
            <w:r>
              <w:rPr>
                <w:rFonts w:hint="eastAsia" w:ascii="Times New Roman" w:hAnsi="Times New Roman"/>
                <w:color w:val="000000"/>
                <w:szCs w:val="21"/>
                <w:lang w:bidi="ar"/>
              </w:rPr>
              <w:t xml:space="preserve">塑壳</w:t>
            </w:r>
            <w:r>
              <w:rPr>
                <w:rFonts w:ascii="Times New Roman" w:hAnsi="Times New Roman"/>
                <w:color w:val="000000"/>
                <w:szCs w:val="21"/>
                <w:lang w:bidi="ar"/>
              </w:rPr>
              <w:t xml:space="preserve">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MCCB</w:t>
            </w:r>
            <w:r>
              <w:rPr>
                <w:rFonts w:ascii="Times New Roman" w:hAnsi="Times New Roman"/>
                <w:color w:val="000000"/>
                <w:szCs w:val="21"/>
                <w:lang w:bidi="ar"/>
              </w:rPr>
              <w:t xml:space="preserve">-250/3</w:t>
            </w:r>
            <w:r>
              <w:rPr>
                <w:rFonts w:hint="eastAsia" w:ascii="Times New Roman" w:hAnsi="Times New Roman"/>
                <w:color w:val="000000"/>
                <w:szCs w:val="21"/>
                <w:lang w:bidi="ar"/>
              </w:rPr>
              <w:t xml:space="preserve">P250A+电操</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2</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-63/C32/3P</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M</w:t>
            </w:r>
            <w:r>
              <w:rPr>
                <w:rFonts w:hint="eastAsia" w:ascii="Times New Roman" w:hAnsi="Times New Roman"/>
                <w:color w:val="000000"/>
                <w:szCs w:val="21"/>
                <w:lang w:bidi="ar"/>
              </w:rPr>
              <w:t xml:space="preserve">CB</w:t>
            </w:r>
            <w:r>
              <w:rPr>
                <w:rFonts w:ascii="Times New Roman" w:hAnsi="Times New Roman"/>
                <w:color w:val="000000"/>
                <w:szCs w:val="21"/>
                <w:lang w:bidi="ar"/>
              </w:rPr>
              <w:t xml:space="preserve">-63/C40/2P</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显示屏</w:t>
            </w:r>
            <w:r/>
          </w:p>
        </w:tc>
        <w:tc>
          <w:tcPr>
            <w:shd w:val="clear" w:color="auto" w:fill="auto"/>
            <w:tcW w:w="3698" w:type="dxa"/>
            <w:vAlign w:val="center"/>
            <w:textDirection w:val="lrTb"/>
            <w:noWrap w:val="false"/>
          </w:tcPr>
          <w:p>
            <w:pPr>
              <w:numPr>
                <w:ilvl w:val="255"/>
                <w:numId w:val="0"/>
              </w:numPr>
              <w:jc w:val="left"/>
              <w:rPr>
                <w:rFonts w:ascii="Times New Roman" w:hAnsi="Times New Roman"/>
                <w:color w:val="000000"/>
                <w:szCs w:val="21"/>
                <w:lang w:bidi="ar"/>
              </w:rPr>
            </w:pPr>
            <w:r>
              <w:rPr>
                <w:rFonts w:hint="eastAsia" w:ascii="Times New Roman" w:hAnsi="Times New Roman"/>
                <w:color w:val="000000"/>
                <w:szCs w:val="21"/>
                <w:lang w:bidi="ar"/>
              </w:rPr>
              <w:t xml:space="preserve">各回路电流、电压等电参量显示，</w:t>
            </w:r>
            <w:r>
              <w:rPr>
                <w:rFonts w:hint="eastAsia" w:ascii="Times New Roman" w:hAnsi="Times New Roman"/>
                <w:szCs w:val="21"/>
              </w:rPr>
              <w:t xml:space="preserve">≥</w:t>
            </w:r>
            <w:r>
              <w:rPr>
                <w:rFonts w:hint="eastAsia" w:ascii="Times New Roman" w:hAnsi="Times New Roman"/>
                <w:color w:val="000000"/>
                <w:szCs w:val="21"/>
                <w:lang w:bidi="ar"/>
              </w:rPr>
              <w:t xml:space="preserve">16寸，</w:t>
            </w:r>
            <w:r>
              <w:rPr>
                <w:rFonts w:ascii="Times New Roman" w:hAnsi="Times New Roman"/>
                <w:color w:val="000000"/>
                <w:szCs w:val="21"/>
                <w:lang w:bidi="ar"/>
              </w:rPr>
              <w:t xml:space="preserve">分辨率1920×1080；电容式多点触控，不大于3ms延时；</w:t>
            </w:r>
            <w:r>
              <w:rPr>
                <w:rFonts w:hint="eastAsia" w:ascii="Times New Roman" w:hAnsi="Times New Roman"/>
                <w:color w:val="000000"/>
                <w:szCs w:val="21"/>
                <w:lang w:bidi="ar"/>
              </w:rPr>
              <w:t xml:space="preserve">屏幕可通过外部信号进行唤醒</w:t>
            </w:r>
            <w:r/>
          </w:p>
        </w:tc>
        <w:tc>
          <w:tcPr>
            <w:shd w:val="clear" w:color="000000" w:fill="ffffff"/>
            <w:tcW w:w="63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-45/16/N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-45/25/N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-45/10/N</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单相插座</w:t>
            </w:r>
            <w:r/>
          </w:p>
        </w:tc>
        <w:tc>
          <w:tcPr>
            <w:shd w:val="clear" w:color="auto" w:fill="auto"/>
            <w:tcW w:w="3698" w:type="dxa"/>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auto" w:fill="auto"/>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三相插座</w:t>
            </w:r>
            <w:r/>
          </w:p>
        </w:tc>
        <w:tc>
          <w:tcPr>
            <w:shd w:val="clear" w:color="auto" w:fill="auto"/>
            <w:tcW w:w="3698" w:type="dxa"/>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空气围带控制器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现有设备集成</w:t>
            </w:r>
            <w:r>
              <w:rPr>
                <w:rFonts w:hint="eastAsia" w:ascii="Times New Roman" w:hAnsi="Times New Roman"/>
                <w:szCs w:val="21"/>
              </w:rPr>
              <w:t xml:space="preserve">，</w:t>
            </w:r>
            <w:r>
              <w:rPr>
                <w:rFonts w:hint="eastAsia" w:ascii="Times New Roman" w:hAnsi="Times New Roman"/>
                <w:bCs/>
                <w:color w:val="000000"/>
                <w:szCs w:val="21"/>
              </w:rPr>
              <w:t xml:space="preserve">保留现有可编程控制器，能够满足现场使用要求</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套</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箱体、铜排、线材等</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color w:val="000000"/>
                <w:szCs w:val="21"/>
                <w:lang w:bidi="ar"/>
              </w:rPr>
            </w:pPr>
            <w:r>
              <w:rPr>
                <w:rFonts w:ascii="Times New Roman" w:hAnsi="Times New Roman"/>
                <w:b/>
                <w:bCs/>
                <w:color w:val="000000"/>
                <w:szCs w:val="21"/>
                <w:lang w:bidi="ar"/>
              </w:rPr>
              <w:t xml:space="preserve">三</w:t>
            </w:r>
            <w:r/>
          </w:p>
        </w:tc>
        <w:tc>
          <w:tcPr>
            <w:shd w:val="clear" w:color="auto" w:fill="auto"/>
            <w:tcW w:w="2265" w:type="dxa"/>
            <w:vAlign w:val="center"/>
            <w:textDirection w:val="lrTb"/>
            <w:noWrap w:val="false"/>
          </w:tcPr>
          <w:p>
            <w:pPr>
              <w:jc w:val="center"/>
              <w:widowControl/>
              <w:rPr>
                <w:rFonts w:ascii="Times New Roman" w:hAnsi="Times New Roman"/>
                <w:b/>
                <w:bCs/>
                <w:color w:val="000000"/>
                <w:szCs w:val="21"/>
                <w:lang w:bidi="ar"/>
              </w:rPr>
            </w:pPr>
            <w:r>
              <w:rPr>
                <w:rFonts w:ascii="Times New Roman" w:hAnsi="Times New Roman"/>
                <w:b/>
                <w:bCs/>
                <w:color w:val="000000"/>
                <w:szCs w:val="21"/>
                <w:lang w:bidi="ar"/>
              </w:rPr>
              <w:t xml:space="preserve">供排水泵动力箱</w:t>
            </w:r>
            <w:r/>
          </w:p>
        </w:tc>
        <w:tc>
          <w:tcPr>
            <w:shd w:val="clear" w:color="auto" w:fill="auto"/>
            <w:tcW w:w="3698" w:type="dxa"/>
            <w:vAlign w:val="center"/>
            <w:textDirection w:val="lrTb"/>
            <w:noWrap w:val="false"/>
          </w:tcPr>
          <w:p>
            <w:pPr>
              <w:jc w:val="center"/>
              <w:rPr>
                <w:rFonts w:ascii="Times New Roman" w:hAnsi="Times New Roman"/>
                <w:b/>
                <w:bCs/>
                <w:color w:val="000000"/>
                <w:szCs w:val="21"/>
                <w:lang w:bidi="ar"/>
              </w:rPr>
            </w:pPr>
            <w:r>
              <w:rPr>
                <w:rFonts w:ascii="Times New Roman" w:hAnsi="Times New Roman"/>
                <w:b/>
                <w:bCs/>
                <w:szCs w:val="21"/>
              </w:rPr>
              <w:t xml:space="preserve">XL-21(</w:t>
            </w:r>
            <w:r>
              <w:rPr>
                <w:rFonts w:hint="eastAsia" w:ascii="Times New Roman" w:hAnsi="Times New Roman"/>
                <w:b/>
                <w:bCs/>
                <w:szCs w:val="21"/>
              </w:rPr>
              <w:t xml:space="preserve">6</w:t>
            </w:r>
            <w:r>
              <w:rPr>
                <w:rFonts w:ascii="Times New Roman" w:hAnsi="Times New Roman"/>
                <w:b/>
                <w:bCs/>
                <w:szCs w:val="21"/>
              </w:rPr>
              <w:t xml:space="preserve">00*450*1700mm)</w:t>
            </w:r>
            <w:r/>
          </w:p>
        </w:tc>
        <w:tc>
          <w:tcPr>
            <w:shd w:val="clear" w:color="auto" w:fill="auto"/>
            <w:tcW w:w="63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64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w:t>
            </w:r>
            <w:r>
              <w:rPr>
                <w:rFonts w:hint="eastAsia" w:ascii="Times New Roman" w:hAnsi="Times New Roman"/>
                <w:color w:val="000000"/>
                <w:szCs w:val="21"/>
                <w:lang w:bidi="ar"/>
              </w:rPr>
              <w:t xml:space="preserve">塑壳</w:t>
            </w:r>
            <w:r>
              <w:rPr>
                <w:rFonts w:ascii="Times New Roman" w:hAnsi="Times New Roman"/>
                <w:color w:val="000000"/>
                <w:szCs w:val="21"/>
                <w:lang w:bidi="ar"/>
              </w:rPr>
              <w:t xml:space="preserve">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MCCB</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40</w:t>
            </w:r>
            <w:r>
              <w:rPr>
                <w:rFonts w:ascii="Times New Roman" w:hAnsi="Times New Roman"/>
                <w:color w:val="000000"/>
                <w:szCs w:val="21"/>
                <w:lang w:bidi="ar"/>
              </w:rPr>
              <w:t xml:space="preserve">0/3</w:t>
            </w:r>
            <w:r>
              <w:rPr>
                <w:rFonts w:hint="eastAsia" w:ascii="Times New Roman" w:hAnsi="Times New Roman"/>
                <w:color w:val="000000"/>
                <w:szCs w:val="21"/>
                <w:lang w:bidi="ar"/>
              </w:rPr>
              <w:t xml:space="preserve">P  360A+电操</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MCCB-160/3P 125A +电操</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-63/C32/3P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-63/C40/2P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显示屏</w:t>
            </w:r>
            <w:r/>
          </w:p>
        </w:tc>
        <w:tc>
          <w:tcPr>
            <w:shd w:val="clear" w:color="auto" w:fill="auto"/>
            <w:tcW w:w="3698" w:type="dxa"/>
            <w:vAlign w:val="center"/>
            <w:textDirection w:val="lrTb"/>
            <w:noWrap w:val="false"/>
          </w:tcPr>
          <w:p>
            <w:pPr>
              <w:numPr>
                <w:ilvl w:val="255"/>
                <w:numId w:val="0"/>
              </w:numPr>
              <w:jc w:val="left"/>
              <w:rPr>
                <w:rFonts w:ascii="Times New Roman" w:hAnsi="Times New Roman"/>
                <w:color w:val="000000"/>
                <w:szCs w:val="21"/>
                <w:lang w:bidi="ar"/>
              </w:rPr>
            </w:pPr>
            <w:r>
              <w:rPr>
                <w:rFonts w:hint="eastAsia" w:ascii="Times New Roman" w:hAnsi="Times New Roman"/>
                <w:color w:val="000000"/>
                <w:szCs w:val="21"/>
                <w:lang w:bidi="ar"/>
              </w:rPr>
              <w:t xml:space="preserve">各回路电流、电压等电参量显示，</w:t>
            </w:r>
            <w:r>
              <w:rPr>
                <w:rFonts w:hint="eastAsia" w:ascii="Times New Roman" w:hAnsi="Times New Roman"/>
                <w:szCs w:val="21"/>
              </w:rPr>
              <w:t xml:space="preserve">≥</w:t>
            </w:r>
            <w:r>
              <w:rPr>
                <w:rFonts w:hint="eastAsia" w:ascii="Times New Roman" w:hAnsi="Times New Roman"/>
                <w:color w:val="000000"/>
                <w:szCs w:val="21"/>
                <w:lang w:bidi="ar"/>
              </w:rPr>
              <w:t xml:space="preserve">16寸，</w:t>
            </w:r>
            <w:r>
              <w:rPr>
                <w:rFonts w:ascii="Times New Roman" w:hAnsi="Times New Roman"/>
                <w:color w:val="000000"/>
                <w:szCs w:val="21"/>
                <w:lang w:bidi="ar"/>
              </w:rPr>
              <w:t xml:space="preserve">分辨率1920×1080；电容式多点触控，不大于3ms延时；</w:t>
            </w:r>
            <w:r>
              <w:rPr>
                <w:rFonts w:hint="eastAsia" w:ascii="Times New Roman" w:hAnsi="Times New Roman"/>
                <w:color w:val="000000"/>
                <w:szCs w:val="21"/>
                <w:lang w:bidi="ar"/>
              </w:rPr>
              <w:t xml:space="preserve">屏幕可通过外部信号进行唤醒</w:t>
            </w:r>
            <w:r/>
          </w:p>
        </w:tc>
        <w:tc>
          <w:tcPr>
            <w:shd w:val="clear" w:color="000000" w:fill="ffffff"/>
            <w:tcW w:w="63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-100/100/N</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-45/25/N</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-160/125/N</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单相插座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三相插座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1</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箱体、铜排、线材等</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color w:val="000000"/>
                <w:szCs w:val="21"/>
                <w:lang w:bidi="ar"/>
              </w:rPr>
            </w:pPr>
            <w:r>
              <w:rPr>
                <w:rFonts w:hint="eastAsia" w:ascii="Times New Roman" w:hAnsi="Times New Roman"/>
                <w:b/>
                <w:bCs/>
                <w:color w:val="000000"/>
                <w:szCs w:val="21"/>
                <w:lang w:bidi="ar"/>
              </w:rPr>
              <w:t xml:space="preserve">四</w:t>
            </w:r>
            <w:r/>
          </w:p>
        </w:tc>
        <w:tc>
          <w:tcPr>
            <w:shd w:val="clear" w:color="auto" w:fill="auto"/>
            <w:tcW w:w="2265" w:type="dxa"/>
            <w:vAlign w:val="center"/>
            <w:textDirection w:val="lrTb"/>
            <w:noWrap w:val="false"/>
          </w:tcPr>
          <w:p>
            <w:pPr>
              <w:jc w:val="center"/>
              <w:widowControl/>
              <w:rPr>
                <w:rFonts w:ascii="Times New Roman" w:hAnsi="Times New Roman"/>
                <w:b/>
                <w:bCs/>
                <w:color w:val="000000"/>
                <w:szCs w:val="21"/>
                <w:lang w:bidi="ar"/>
              </w:rPr>
            </w:pPr>
            <w:r>
              <w:rPr>
                <w:rFonts w:hint="eastAsia" w:ascii="Times New Roman" w:hAnsi="Times New Roman"/>
                <w:b/>
                <w:bCs/>
                <w:color w:val="000000"/>
                <w:szCs w:val="21"/>
                <w:lang w:bidi="ar"/>
              </w:rPr>
              <w:t xml:space="preserve">空压机</w:t>
            </w:r>
            <w:r>
              <w:rPr>
                <w:rFonts w:ascii="Times New Roman" w:hAnsi="Times New Roman"/>
                <w:b/>
                <w:bCs/>
                <w:color w:val="000000"/>
                <w:szCs w:val="21"/>
                <w:lang w:bidi="ar"/>
              </w:rPr>
              <w:t xml:space="preserve">动力箱</w:t>
            </w:r>
            <w:r/>
          </w:p>
        </w:tc>
        <w:tc>
          <w:tcPr>
            <w:shd w:val="clear" w:color="auto" w:fill="auto"/>
            <w:tcW w:w="3698" w:type="dxa"/>
            <w:vAlign w:val="center"/>
            <w:textDirection w:val="lrTb"/>
            <w:noWrap w:val="false"/>
          </w:tcPr>
          <w:p>
            <w:pPr>
              <w:jc w:val="center"/>
              <w:rPr>
                <w:rFonts w:ascii="Times New Roman" w:hAnsi="Times New Roman"/>
                <w:b/>
                <w:bCs/>
                <w:color w:val="000000"/>
                <w:szCs w:val="21"/>
                <w:lang w:bidi="ar"/>
              </w:rPr>
            </w:pPr>
            <w:r>
              <w:rPr>
                <w:rFonts w:ascii="Times New Roman" w:hAnsi="Times New Roman"/>
                <w:b/>
                <w:bCs/>
                <w:szCs w:val="21"/>
              </w:rPr>
              <w:t xml:space="preserve">XL-21(</w:t>
            </w:r>
            <w:r>
              <w:rPr>
                <w:rFonts w:hint="eastAsia" w:ascii="Times New Roman" w:hAnsi="Times New Roman"/>
                <w:b/>
                <w:bCs/>
                <w:szCs w:val="21"/>
              </w:rPr>
              <w:t xml:space="preserve">6</w:t>
            </w:r>
            <w:r>
              <w:rPr>
                <w:rFonts w:ascii="Times New Roman" w:hAnsi="Times New Roman"/>
                <w:b/>
                <w:bCs/>
                <w:szCs w:val="21"/>
              </w:rPr>
              <w:t xml:space="preserve">00*450*1700mm)</w:t>
            </w:r>
            <w:r/>
          </w:p>
        </w:tc>
        <w:tc>
          <w:tcPr>
            <w:shd w:val="clear" w:color="auto" w:fill="auto"/>
            <w:tcW w:w="63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台</w:t>
            </w:r>
            <w:r/>
          </w:p>
        </w:tc>
        <w:tc>
          <w:tcPr>
            <w:shd w:val="clear" w:color="auto" w:fill="auto"/>
            <w:tcW w:w="640" w:type="dxa"/>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2265" w:type="dxa"/>
            <w:vAlign w:val="center"/>
            <w:textDirection w:val="lrTb"/>
            <w:noWrap w:val="false"/>
          </w:tcPr>
          <w:p>
            <w:pPr>
              <w:jc w:val="left"/>
              <w:widowControl/>
              <w:rPr>
                <w:rFonts w:ascii="Times New Roman" w:hAnsi="Times New Roman"/>
                <w:szCs w:val="21"/>
              </w:rPr>
            </w:pPr>
            <w:r>
              <w:rPr>
                <w:rFonts w:ascii="Times New Roman" w:hAnsi="Times New Roman"/>
                <w:color w:val="000000"/>
                <w:szCs w:val="21"/>
                <w:lang w:bidi="ar"/>
              </w:rPr>
              <w:t xml:space="preserve">智能</w:t>
            </w:r>
            <w:r>
              <w:rPr>
                <w:rFonts w:hint="eastAsia" w:ascii="Times New Roman" w:hAnsi="Times New Roman"/>
                <w:color w:val="000000"/>
                <w:szCs w:val="21"/>
                <w:lang w:bidi="ar"/>
              </w:rPr>
              <w:t xml:space="preserve">塑壳</w:t>
            </w:r>
            <w:r>
              <w:rPr>
                <w:rFonts w:ascii="Times New Roman" w:hAnsi="Times New Roman"/>
                <w:color w:val="000000"/>
                <w:szCs w:val="21"/>
                <w:lang w:bidi="ar"/>
              </w:rPr>
              <w:t xml:space="preserve">断路器</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hint="eastAsia" w:ascii="Times New Roman" w:hAnsi="Times New Roman"/>
                <w:color w:val="000000"/>
                <w:szCs w:val="21"/>
                <w:lang w:bidi="ar"/>
              </w:rPr>
              <w:t xml:space="preserve">MCCB</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16</w:t>
            </w:r>
            <w:r>
              <w:rPr>
                <w:rFonts w:ascii="Times New Roman" w:hAnsi="Times New Roman"/>
                <w:color w:val="000000"/>
                <w:szCs w:val="21"/>
                <w:lang w:bidi="ar"/>
              </w:rPr>
              <w:t xml:space="preserve">0/3</w:t>
            </w:r>
            <w:r>
              <w:rPr>
                <w:rFonts w:hint="eastAsia" w:ascii="Times New Roman" w:hAnsi="Times New Roman"/>
                <w:color w:val="000000"/>
                <w:szCs w:val="21"/>
                <w:lang w:bidi="ar"/>
              </w:rPr>
              <w:t xml:space="preserve">P 125A+电操</w:t>
            </w:r>
            <w:r/>
          </w:p>
        </w:tc>
        <w:tc>
          <w:tcPr>
            <w:shd w:val="clear" w:color="auto" w:fill="auto"/>
            <w:tcW w:w="63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MCCB-160/3P </w:t>
            </w:r>
            <w:r>
              <w:rPr>
                <w:rFonts w:hint="eastAsia" w:ascii="Times New Roman" w:hAnsi="Times New Roman"/>
                <w:color w:val="000000"/>
                <w:szCs w:val="21"/>
                <w:lang w:bidi="ar"/>
              </w:rPr>
              <w:t xml:space="preserve">80</w:t>
            </w:r>
            <w:r>
              <w:rPr>
                <w:rFonts w:ascii="Times New Roman" w:hAnsi="Times New Roman"/>
                <w:color w:val="000000"/>
                <w:szCs w:val="21"/>
                <w:lang w:bidi="ar"/>
              </w:rPr>
              <w:t xml:space="preserve">A +电操</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MCCB-160/3P </w:t>
            </w:r>
            <w:r>
              <w:rPr>
                <w:rFonts w:hint="eastAsia" w:ascii="Times New Roman" w:hAnsi="Times New Roman"/>
                <w:color w:val="000000"/>
                <w:szCs w:val="21"/>
                <w:lang w:bidi="ar"/>
              </w:rPr>
              <w:t xml:space="preserve">50</w:t>
            </w:r>
            <w:r>
              <w:rPr>
                <w:rFonts w:ascii="Times New Roman" w:hAnsi="Times New Roman"/>
                <w:color w:val="000000"/>
                <w:szCs w:val="21"/>
                <w:lang w:bidi="ar"/>
              </w:rPr>
              <w:t xml:space="preserve">A +电操</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-63/C32/3P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-63/C40/2P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显示屏</w:t>
            </w:r>
            <w:r/>
          </w:p>
        </w:tc>
        <w:tc>
          <w:tcPr>
            <w:shd w:val="clear" w:color="auto" w:fill="auto"/>
            <w:tcW w:w="3698" w:type="dxa"/>
            <w:vAlign w:val="center"/>
            <w:textDirection w:val="lrTb"/>
            <w:noWrap w:val="false"/>
          </w:tcPr>
          <w:p>
            <w:pPr>
              <w:numPr>
                <w:ilvl w:val="255"/>
                <w:numId w:val="0"/>
              </w:numPr>
              <w:jc w:val="left"/>
              <w:rPr>
                <w:rFonts w:ascii="Times New Roman" w:hAnsi="Times New Roman"/>
                <w:color w:val="000000"/>
                <w:szCs w:val="21"/>
                <w:lang w:bidi="ar"/>
              </w:rPr>
            </w:pPr>
            <w:r>
              <w:rPr>
                <w:rFonts w:hint="eastAsia" w:ascii="Times New Roman" w:hAnsi="Times New Roman"/>
                <w:color w:val="000000"/>
                <w:szCs w:val="21"/>
                <w:lang w:bidi="ar"/>
              </w:rPr>
              <w:t xml:space="preserve">各回路电流、电压等电参量显示，</w:t>
            </w:r>
            <w:r>
              <w:rPr>
                <w:rFonts w:hint="eastAsia" w:ascii="Times New Roman" w:hAnsi="Times New Roman"/>
                <w:szCs w:val="21"/>
              </w:rPr>
              <w:t xml:space="preserve">≥</w:t>
            </w:r>
            <w:r>
              <w:rPr>
                <w:rFonts w:hint="eastAsia" w:ascii="Times New Roman" w:hAnsi="Times New Roman"/>
                <w:color w:val="000000"/>
                <w:szCs w:val="21"/>
                <w:lang w:bidi="ar"/>
              </w:rPr>
              <w:t xml:space="preserve">16寸；</w:t>
            </w:r>
            <w:r>
              <w:rPr>
                <w:rFonts w:ascii="Times New Roman" w:hAnsi="Times New Roman"/>
                <w:color w:val="000000"/>
                <w:szCs w:val="21"/>
                <w:lang w:bidi="ar"/>
              </w:rPr>
              <w:t xml:space="preserve">分辨率1920×1080；电容式多点触控，不大于3ms延时；</w:t>
            </w:r>
            <w:r>
              <w:rPr>
                <w:rFonts w:hint="eastAsia" w:ascii="Times New Roman" w:hAnsi="Times New Roman"/>
                <w:color w:val="000000"/>
                <w:szCs w:val="21"/>
                <w:lang w:bidi="ar"/>
              </w:rPr>
              <w:t xml:space="preserve">屏幕可通过外部信号进行唤醒</w:t>
            </w:r>
            <w:r/>
          </w:p>
        </w:tc>
        <w:tc>
          <w:tcPr>
            <w:shd w:val="clear" w:color="000000" w:fill="ffffff"/>
            <w:tcW w:w="63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4</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7</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-100/</w:t>
            </w:r>
            <w:r>
              <w:rPr>
                <w:rFonts w:hint="eastAsia" w:ascii="Times New Roman" w:hAnsi="Times New Roman"/>
                <w:color w:val="000000"/>
                <w:szCs w:val="21"/>
                <w:lang w:bidi="ar"/>
              </w:rPr>
              <w:t xml:space="preserve">8</w:t>
            </w:r>
            <w:r>
              <w:rPr>
                <w:rFonts w:ascii="Times New Roman" w:hAnsi="Times New Roman"/>
                <w:color w:val="000000"/>
                <w:szCs w:val="21"/>
                <w:lang w:bidi="ar"/>
              </w:rPr>
              <w:t xml:space="preserve">0/N</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8</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控制保护开关</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CPS</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100</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50</w:t>
            </w:r>
            <w:r>
              <w:rPr>
                <w:rFonts w:ascii="Times New Roman" w:hAnsi="Times New Roman"/>
                <w:color w:val="000000"/>
                <w:szCs w:val="21"/>
                <w:lang w:bidi="ar"/>
              </w:rPr>
              <w:t xml:space="preserve">/N</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9</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单相插座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10</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三相插座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10</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箱体、铜排、线材等</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b/>
                <w:bCs/>
                <w:color w:val="000000"/>
                <w:szCs w:val="21"/>
                <w:lang w:bidi="ar"/>
              </w:rPr>
            </w:pPr>
            <w:r>
              <w:rPr>
                <w:rFonts w:hint="eastAsia" w:ascii="Times New Roman" w:hAnsi="Times New Roman"/>
                <w:b/>
                <w:bCs/>
                <w:color w:val="000000"/>
                <w:szCs w:val="21"/>
                <w:lang w:bidi="ar"/>
              </w:rPr>
              <w:t xml:space="preserve">五</w:t>
            </w:r>
            <w:r/>
          </w:p>
        </w:tc>
        <w:tc>
          <w:tcPr>
            <w:shd w:val="clear" w:color="auto" w:fill="auto"/>
            <w:tcW w:w="2265" w:type="dxa"/>
            <w:vAlign w:val="center"/>
            <w:textDirection w:val="lrTb"/>
            <w:noWrap w:val="false"/>
          </w:tcPr>
          <w:p>
            <w:pPr>
              <w:jc w:val="center"/>
              <w:widowControl/>
              <w:rPr>
                <w:rFonts w:ascii="Times New Roman" w:hAnsi="Times New Roman"/>
                <w:b/>
                <w:bCs/>
                <w:color w:val="000000"/>
                <w:szCs w:val="21"/>
                <w:lang w:bidi="ar"/>
              </w:rPr>
            </w:pPr>
            <w:r>
              <w:rPr>
                <w:rFonts w:ascii="Times New Roman" w:hAnsi="Times New Roman"/>
                <w:b/>
                <w:bCs/>
                <w:color w:val="000000"/>
                <w:szCs w:val="21"/>
                <w:lang w:bidi="ar"/>
              </w:rPr>
              <w:t xml:space="preserve">检修动力箱</w:t>
            </w:r>
            <w:r/>
          </w:p>
        </w:tc>
        <w:tc>
          <w:tcPr>
            <w:shd w:val="clear" w:color="auto" w:fill="auto"/>
            <w:tcW w:w="3698" w:type="dxa"/>
            <w:vAlign w:val="center"/>
            <w:textDirection w:val="lrTb"/>
            <w:noWrap w:val="false"/>
          </w:tcPr>
          <w:p>
            <w:pPr>
              <w:jc w:val="center"/>
              <w:widowControl/>
              <w:rPr>
                <w:rFonts w:ascii="Times New Roman" w:hAnsi="Times New Roman"/>
                <w:b/>
                <w:bCs/>
                <w:color w:val="000000"/>
                <w:szCs w:val="21"/>
                <w:lang w:bidi="ar"/>
              </w:rPr>
            </w:pPr>
            <w:r>
              <w:rPr>
                <w:rFonts w:ascii="Times New Roman" w:hAnsi="Times New Roman"/>
                <w:b/>
                <w:bCs/>
                <w:szCs w:val="21"/>
              </w:rPr>
              <w:t xml:space="preserve">XL-21(</w:t>
            </w:r>
            <w:r>
              <w:rPr>
                <w:rFonts w:hint="eastAsia" w:ascii="Times New Roman" w:hAnsi="Times New Roman"/>
                <w:b/>
                <w:bCs/>
                <w:szCs w:val="21"/>
              </w:rPr>
              <w:t xml:space="preserve">60</w:t>
            </w:r>
            <w:r>
              <w:rPr>
                <w:rFonts w:ascii="Times New Roman" w:hAnsi="Times New Roman"/>
                <w:b/>
                <w:bCs/>
                <w:szCs w:val="21"/>
              </w:rPr>
              <w:t xml:space="preserve">0*450*1700mm)</w:t>
            </w:r>
            <w:r/>
          </w:p>
        </w:tc>
        <w:tc>
          <w:tcPr>
            <w:shd w:val="clear" w:color="auto" w:fill="auto"/>
            <w:tcW w:w="630" w:type="dxa"/>
            <w:vAlign w:val="center"/>
            <w:textDirection w:val="lrTb"/>
            <w:noWrap w:val="false"/>
          </w:tcPr>
          <w:p>
            <w:pPr>
              <w:jc w:val="center"/>
              <w:widowControl/>
              <w:rPr>
                <w:rFonts w:ascii="Times New Roman" w:hAnsi="Times New Roman"/>
                <w:b/>
                <w:bCs/>
                <w:color w:val="000000"/>
                <w:szCs w:val="21"/>
                <w:lang w:bidi="ar"/>
              </w:rPr>
            </w:pPr>
            <w:r>
              <w:rPr>
                <w:rFonts w:hint="eastAsia" w:ascii="Times New Roman" w:hAnsi="Times New Roman"/>
                <w:b/>
                <w:bCs/>
                <w:color w:val="000000"/>
                <w:szCs w:val="21"/>
                <w:lang w:bidi="ar"/>
              </w:rPr>
              <w:t xml:space="preserve">台</w:t>
            </w:r>
            <w:r/>
          </w:p>
        </w:tc>
        <w:tc>
          <w:tcPr>
            <w:shd w:val="clear" w:color="auto" w:fill="auto"/>
            <w:tcW w:w="640" w:type="dxa"/>
            <w:vAlign w:val="center"/>
            <w:textDirection w:val="lrTb"/>
            <w:noWrap w:val="false"/>
          </w:tcPr>
          <w:p>
            <w:pPr>
              <w:jc w:val="center"/>
              <w:widowControl/>
              <w:rPr>
                <w:rFonts w:ascii="Times New Roman" w:hAnsi="Times New Roman"/>
                <w:b/>
                <w:bCs/>
                <w:color w:val="000000"/>
                <w:szCs w:val="21"/>
                <w:lang w:bidi="ar"/>
              </w:rPr>
            </w:pPr>
            <w:r>
              <w:rPr>
                <w:rFonts w:hint="eastAsia" w:ascii="Times New Roman" w:hAnsi="Times New Roman"/>
                <w:b/>
                <w:bCs/>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w:t>
            </w:r>
            <w:r>
              <w:rPr>
                <w:rFonts w:hint="eastAsia" w:ascii="Times New Roman" w:hAnsi="Times New Roman"/>
                <w:color w:val="000000"/>
                <w:szCs w:val="21"/>
                <w:lang w:bidi="ar"/>
              </w:rPr>
              <w:t xml:space="preserve">塑壳</w:t>
            </w:r>
            <w:r>
              <w:rPr>
                <w:rFonts w:ascii="Times New Roman" w:hAnsi="Times New Roman"/>
                <w:color w:val="000000"/>
                <w:szCs w:val="21"/>
                <w:lang w:bidi="ar"/>
              </w:rPr>
              <w:t xml:space="preserve">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MCCB</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16</w:t>
            </w:r>
            <w:r>
              <w:rPr>
                <w:rFonts w:ascii="Times New Roman" w:hAnsi="Times New Roman"/>
                <w:color w:val="000000"/>
                <w:szCs w:val="21"/>
                <w:lang w:bidi="ar"/>
              </w:rPr>
              <w:t xml:space="preserve">0/3</w:t>
            </w:r>
            <w:r>
              <w:rPr>
                <w:rFonts w:hint="eastAsia" w:ascii="Times New Roman" w:hAnsi="Times New Roman"/>
                <w:color w:val="000000"/>
                <w:szCs w:val="21"/>
                <w:lang w:bidi="ar"/>
              </w:rPr>
              <w:t xml:space="preserve">P160A+电操</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left"/>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智能塑壳断路器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MCCB-160/3P 50A +电操</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-63/C32/3P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智能小型断路器</w:t>
            </w:r>
            <w:r/>
          </w:p>
        </w:tc>
        <w:tc>
          <w:tcPr>
            <w:shd w:val="clear" w:color="auto" w:fill="auto"/>
            <w:tcW w:w="3698"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MCB</w:t>
            </w:r>
            <w:r>
              <w:rPr>
                <w:rFonts w:ascii="Times New Roman" w:hAnsi="Times New Roman"/>
                <w:color w:val="000000"/>
                <w:szCs w:val="21"/>
                <w:lang w:bidi="ar"/>
              </w:rPr>
              <w:t xml:space="preserve">-63/C40/2P</w:t>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shd w:val="clear" w:color="auto" w:fill="auto"/>
            <w:tcW w:w="1276" w:type="dxa"/>
            <w:vAlign w:val="center"/>
            <w:textDirection w:val="lrTb"/>
            <w:noWrap w:val="false"/>
          </w:tcPr>
          <w:p>
            <w:pPr>
              <w:jc w:val="left"/>
              <w:rPr>
                <w:rFonts w:ascii="Times New Roman" w:hAnsi="Times New Roman"/>
                <w:bCs/>
                <w:color w:val="000000"/>
                <w:szCs w:val="21"/>
              </w:rPr>
            </w:pPr>
            <w:r>
              <w:rPr>
                <w:rFonts w:ascii="Times New Roman" w:hAnsi="Times New Roman"/>
                <w:bCs/>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hint="eastAsia" w:ascii="Times New Roman" w:hAnsi="Times New Roman"/>
                <w:color w:val="000000"/>
                <w:szCs w:val="21"/>
                <w:lang w:bidi="ar"/>
              </w:rPr>
              <w:t xml:space="preserve">显示屏</w:t>
            </w:r>
            <w:r/>
          </w:p>
        </w:tc>
        <w:tc>
          <w:tcPr>
            <w:shd w:val="clear" w:color="auto" w:fill="auto"/>
            <w:tcW w:w="3698" w:type="dxa"/>
            <w:vAlign w:val="center"/>
            <w:textDirection w:val="lrTb"/>
            <w:noWrap w:val="false"/>
          </w:tcPr>
          <w:p>
            <w:pPr>
              <w:numPr>
                <w:ilvl w:val="255"/>
                <w:numId w:val="0"/>
              </w:numPr>
              <w:jc w:val="left"/>
              <w:rPr>
                <w:rFonts w:ascii="Times New Roman" w:hAnsi="Times New Roman"/>
                <w:color w:val="000000"/>
                <w:szCs w:val="21"/>
                <w:lang w:bidi="ar"/>
              </w:rPr>
            </w:pPr>
            <w:r>
              <w:rPr>
                <w:rFonts w:hint="eastAsia" w:ascii="Times New Roman" w:hAnsi="Times New Roman"/>
                <w:color w:val="000000"/>
                <w:szCs w:val="21"/>
                <w:lang w:bidi="ar"/>
              </w:rPr>
              <w:t xml:space="preserve">各回路电流、电压等电参量显示，</w:t>
            </w:r>
            <w:r>
              <w:rPr>
                <w:rFonts w:hint="eastAsia" w:ascii="Times New Roman" w:hAnsi="Times New Roman"/>
                <w:szCs w:val="21"/>
              </w:rPr>
              <w:t xml:space="preserve">≥</w:t>
            </w:r>
            <w:r>
              <w:rPr>
                <w:rFonts w:hint="eastAsia" w:ascii="Times New Roman" w:hAnsi="Times New Roman"/>
                <w:color w:val="000000"/>
                <w:szCs w:val="21"/>
                <w:lang w:bidi="ar"/>
              </w:rPr>
              <w:t xml:space="preserve">16寸，</w:t>
            </w:r>
            <w:r>
              <w:rPr>
                <w:rFonts w:ascii="Times New Roman" w:hAnsi="Times New Roman"/>
                <w:color w:val="000000"/>
                <w:szCs w:val="21"/>
                <w:lang w:bidi="ar"/>
              </w:rPr>
              <w:t xml:space="preserve">分辨率1920×1080；电容式多点触控，不大于3ms延时；</w:t>
            </w:r>
            <w:r>
              <w:rPr>
                <w:rFonts w:hint="eastAsia" w:ascii="Times New Roman" w:hAnsi="Times New Roman"/>
                <w:color w:val="000000"/>
                <w:szCs w:val="21"/>
                <w:lang w:bidi="ar"/>
              </w:rPr>
              <w:t xml:space="preserve">屏幕可通过外部信号进行唤醒</w:t>
            </w:r>
            <w:r/>
          </w:p>
        </w:tc>
        <w:tc>
          <w:tcPr>
            <w:shd w:val="clear" w:color="000000" w:fill="ffffff"/>
            <w:tcW w:w="63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6</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5</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单相插座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6</w:t>
            </w:r>
            <w:r/>
          </w:p>
        </w:tc>
        <w:tc>
          <w:tcPr>
            <w:shd w:val="clear" w:color="auto" w:fill="auto"/>
            <w:tcW w:w="2265" w:type="dxa"/>
            <w:vAlign w:val="center"/>
            <w:textDirection w:val="lrTb"/>
            <w:noWrap w:val="false"/>
          </w:tcPr>
          <w:p>
            <w:pPr>
              <w:jc w:val="left"/>
              <w:widowControl/>
              <w:rPr>
                <w:rFonts w:ascii="Times New Roman" w:hAnsi="Times New Roman"/>
                <w:color w:val="000000"/>
                <w:szCs w:val="21"/>
                <w:lang w:bidi="ar"/>
              </w:rPr>
            </w:pPr>
            <w:r>
              <w:rPr>
                <w:rFonts w:ascii="Times New Roman" w:hAnsi="Times New Roman"/>
                <w:color w:val="000000"/>
                <w:szCs w:val="21"/>
                <w:lang w:bidi="ar"/>
              </w:rPr>
              <w:t xml:space="preserve">三相插座</w:t>
            </w:r>
            <w:r/>
          </w:p>
        </w:tc>
        <w:tc>
          <w:tcPr>
            <w:shd w:val="clear" w:color="auto" w:fill="auto"/>
            <w:tcW w:w="3698" w:type="dxa"/>
            <w:vAlign w:val="center"/>
            <w:textDirection w:val="lrTb"/>
            <w:noWrap w:val="false"/>
          </w:tcPr>
          <w:p>
            <w:pPr>
              <w:jc w:val="left"/>
              <w:rPr>
                <w:rFonts w:ascii="Times New Roman" w:hAnsi="Times New Roman"/>
                <w:color w:val="000000"/>
                <w:szCs w:val="21"/>
                <w:lang w:bidi="ar"/>
              </w:rPr>
            </w:pPr>
            <w:r>
              <w:rPr>
                <w:rFonts w:ascii="Times New Roman" w:hAnsi="Times New Roman"/>
                <w:color w:val="000000"/>
                <w:szCs w:val="21"/>
                <w:lang w:bidi="ar"/>
              </w:rPr>
            </w:r>
            <w:r/>
          </w:p>
        </w:tc>
        <w:tc>
          <w:tcPr>
            <w:shd w:val="clear" w:color="auto" w:fill="auto"/>
            <w:tcW w:w="63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只</w:t>
            </w:r>
            <w:r/>
          </w:p>
        </w:tc>
        <w:tc>
          <w:tcPr>
            <w:shd w:val="clear" w:color="auto" w:fill="auto"/>
            <w:tcW w:w="640" w:type="dxa"/>
            <w:vAlign w:val="center"/>
            <w:textDirection w:val="lrTb"/>
            <w:noWrap w:val="false"/>
          </w:tcPr>
          <w:p>
            <w:pPr>
              <w:jc w:val="center"/>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r>
        <w:trPr>
          <w:jc w:val="center"/>
          <w:trHeight w:val="510"/>
        </w:trPr>
        <w:tc>
          <w:tcPr>
            <w:shd w:val="clear" w:color="000000" w:fill="ffffff"/>
            <w:tcW w:w="700" w:type="dxa"/>
            <w:vAlign w:val="center"/>
            <w:textDirection w:val="lrTb"/>
            <w:noWrap w:val="false"/>
          </w:tcPr>
          <w:p>
            <w:pPr>
              <w:jc w:val="center"/>
              <w:widowControl/>
              <w:rPr>
                <w:rFonts w:ascii="Times New Roman" w:hAnsi="Times New Roman"/>
                <w:color w:val="000000"/>
                <w:szCs w:val="21"/>
                <w:lang w:bidi="ar"/>
              </w:rPr>
            </w:pPr>
            <w:r>
              <w:rPr>
                <w:rFonts w:hint="eastAsia" w:ascii="Times New Roman" w:hAnsi="Times New Roman"/>
                <w:color w:val="000000"/>
                <w:szCs w:val="21"/>
                <w:lang w:bidi="ar"/>
              </w:rPr>
              <w:t xml:space="preserve">7</w:t>
            </w:r>
            <w:r/>
          </w:p>
        </w:tc>
        <w:tc>
          <w:tcPr>
            <w:shd w:val="clear" w:color="000000" w:fill="ffffff"/>
            <w:tcW w:w="2265"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其他</w:t>
            </w:r>
            <w:r/>
          </w:p>
        </w:tc>
        <w:tc>
          <w:tcPr>
            <w:shd w:val="clear" w:color="auto" w:fill="auto"/>
            <w:tcW w:w="3698" w:type="dxa"/>
            <w:vAlign w:val="center"/>
            <w:textDirection w:val="lrTb"/>
            <w:noWrap w:val="false"/>
          </w:tcPr>
          <w:p>
            <w:pPr>
              <w:jc w:val="left"/>
              <w:widowControl/>
              <w:rPr>
                <w:rFonts w:ascii="Times New Roman" w:hAnsi="Times New Roman"/>
                <w:szCs w:val="21"/>
              </w:rPr>
            </w:pPr>
            <w:r>
              <w:rPr>
                <w:rFonts w:ascii="Times New Roman" w:hAnsi="Times New Roman"/>
                <w:szCs w:val="21"/>
              </w:rPr>
              <w:t xml:space="preserve">箱体、铜排、线材等</w:t>
            </w:r>
            <w:r/>
          </w:p>
        </w:tc>
        <w:tc>
          <w:tcPr>
            <w:shd w:val="clear" w:color="000000" w:fill="ffffff"/>
            <w:tcW w:w="63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项</w:t>
            </w:r>
            <w:r/>
          </w:p>
        </w:tc>
        <w:tc>
          <w:tcPr>
            <w:shd w:val="clear" w:color="auto" w:fill="auto"/>
            <w:tcW w:w="640"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1</w:t>
            </w:r>
            <w:r/>
          </w:p>
        </w:tc>
        <w:tc>
          <w:tcPr>
            <w:shd w:val="clear" w:color="auto" w:fill="auto"/>
            <w:tcW w:w="1276"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480"/>
        <w:spacing w:line="400" w:lineRule="exact"/>
        <w:rPr>
          <w:rFonts w:ascii="宋体" w:hAnsi="宋体" w:cs="宋体"/>
          <w:bCs/>
          <w:sz w:val="24"/>
          <w:szCs w:val="24"/>
        </w:rPr>
      </w:pPr>
      <w:r/>
      <w:bookmarkStart w:id="255" w:name="_Toc160457394"/>
      <w:r/>
      <w:bookmarkStart w:id="256" w:name="_Toc120614281"/>
      <w:r/>
      <w:r/>
    </w:p>
    <w:p>
      <w:pPr>
        <w:ind w:firstLine="480"/>
        <w:jc w:val="center"/>
        <w:spacing w:line="400" w:lineRule="exact"/>
        <w:rPr>
          <w:rFonts w:ascii="Times New Roman" w:hAnsi="Times New Roman" w:eastAsia="黑体"/>
          <w:sz w:val="36"/>
          <w:szCs w:val="36"/>
        </w:rPr>
      </w:pPr>
      <w:r>
        <w:rPr>
          <w:rFonts w:hint="eastAsia" w:ascii="Times New Roman" w:hAnsi="Times New Roman" w:eastAsia="黑体"/>
          <w:sz w:val="36"/>
          <w:szCs w:val="36"/>
        </w:rPr>
        <w:t xml:space="preserve">第五章</w:t>
      </w:r>
      <w:r>
        <w:rPr>
          <w:rFonts w:ascii="Times New Roman" w:hAnsi="Times New Roman" w:eastAsia="黑体"/>
          <w:sz w:val="36"/>
          <w:szCs w:val="36"/>
        </w:rPr>
        <w:t xml:space="preserve">  </w:t>
      </w:r>
      <w:r>
        <w:rPr>
          <w:rFonts w:hint="eastAsia" w:ascii="Times New Roman" w:hAnsi="Times New Roman" w:eastAsia="黑体"/>
          <w:sz w:val="36"/>
          <w:szCs w:val="36"/>
        </w:rPr>
        <w:t xml:space="preserve">评审方法与评审标准</w:t>
      </w:r>
      <w:bookmarkEnd w:id="255"/>
      <w:r/>
      <w:r/>
    </w:p>
    <w:p>
      <w:pPr>
        <w:jc w:val="center"/>
        <w:rPr>
          <w:rFonts w:ascii="Times New Roman" w:hAnsi="Times New Roman"/>
          <w:sz w:val="36"/>
          <w:szCs w:val="36"/>
        </w:rPr>
      </w:pPr>
      <w:r>
        <w:rPr>
          <w:rFonts w:ascii="Times New Roman" w:hAnsi="Times New Roman"/>
          <w:sz w:val="36"/>
          <w:szCs w:val="36"/>
        </w:rPr>
      </w:r>
      <w:r/>
    </w:p>
    <w:p>
      <w:pPr>
        <w:ind w:firstLine="482"/>
        <w:jc w:val="left"/>
        <w:spacing w:line="400" w:lineRule="exact"/>
        <w:rPr>
          <w:rFonts w:ascii="宋体" w:hAnsi="宋体" w:cs="宋体"/>
          <w:sz w:val="24"/>
          <w:szCs w:val="24"/>
        </w:rPr>
      </w:pPr>
      <w:r>
        <w:rPr>
          <w:rFonts w:hint="eastAsia" w:ascii="宋体" w:hAnsi="宋体" w:cs="宋体"/>
          <w:b/>
          <w:sz w:val="24"/>
          <w:szCs w:val="24"/>
        </w:rPr>
        <w:t xml:space="preserve">一、资格审查。</w:t>
      </w:r>
      <w:r>
        <w:rPr>
          <w:rFonts w:hint="eastAsia" w:ascii="宋体" w:hAnsi="宋体" w:cs="宋体"/>
          <w:sz w:val="24"/>
          <w:szCs w:val="24"/>
        </w:rPr>
        <w:t xml:space="preserve">资格审查人员按照下列指标对各供应商的资格进行审查，未通过审查的为无效标，不参与评审。</w:t>
      </w:r>
      <w:r/>
    </w:p>
    <w:tbl>
      <w:tblPr>
        <w:tblStyle w:val="719"/>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307"/>
        <w:gridCol w:w="3569"/>
      </w:tblGrid>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审查标准</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本项目不接受联合体响应</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供应商资质</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项目负责人资格</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项目负责人无在建承诺函</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hint="eastAsia" w:ascii="宋体" w:hAnsi="宋体" w:cs="宋体"/>
                <w:sz w:val="24"/>
                <w:szCs w:val="24"/>
              </w:rPr>
            </w:pPr>
            <w:r>
              <w:rPr>
                <w:rFonts w:hint="eastAsia" w:ascii="宋体" w:hAnsi="宋体" w:cs="宋体"/>
                <w:sz w:val="24"/>
                <w:szCs w:val="24"/>
              </w:rPr>
              <w:t xml:space="preserve">项目负责人社会养老保险或医疗保险缴纳证明材料</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307"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安全生产许可证</w:t>
            </w:r>
            <w:r/>
          </w:p>
        </w:tc>
        <w:tc>
          <w:tcPr>
            <w:tcBorders>
              <w:top w:val="single" w:color="000000" w:sz="6" w:space="0"/>
              <w:left w:val="single" w:color="000000" w:sz="6" w:space="0"/>
              <w:bottom w:val="single" w:color="000000" w:sz="6" w:space="0"/>
              <w:right w:val="single" w:color="000000" w:sz="6" w:space="0"/>
            </w:tcBorders>
            <w:tcW w:w="3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bl>
    <w:p>
      <w:pPr>
        <w:ind w:firstLine="482"/>
        <w:jc w:val="left"/>
        <w:spacing w:line="400" w:lineRule="exact"/>
        <w:rPr>
          <w:rFonts w:ascii="宋体" w:hAnsi="宋体" w:cs="宋体"/>
          <w:sz w:val="24"/>
          <w:szCs w:val="24"/>
        </w:rPr>
      </w:pPr>
      <w:r>
        <w:rPr>
          <w:rFonts w:hint="eastAsia" w:ascii="宋体" w:hAnsi="宋体" w:cs="宋体"/>
          <w:b/>
          <w:sz w:val="24"/>
          <w:szCs w:val="24"/>
        </w:rPr>
        <w:t xml:space="preserve">二、符合性审查。</w:t>
      </w:r>
      <w:r>
        <w:rPr>
          <w:rFonts w:hint="eastAsia" w:ascii="宋体" w:hAnsi="宋体" w:cs="宋体"/>
          <w:sz w:val="24"/>
          <w:szCs w:val="24"/>
        </w:rPr>
        <w:t xml:space="preserve">磋商小组首先按照下列指标对各供应商进行初步评审，未通过评审的为无效标，不再参与评审。</w:t>
      </w:r>
      <w:r/>
    </w:p>
    <w:tbl>
      <w:tblPr>
        <w:tblStyle w:val="719"/>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293"/>
        <w:gridCol w:w="3599"/>
      </w:tblGrid>
      <w:tr>
        <w:trPr>
          <w:trHeight w:val="567"/>
        </w:trPr>
        <w:tc>
          <w:tcPr>
            <w:tcBorders>
              <w:top w:val="single" w:color="000000" w:sz="6" w:space="0"/>
              <w:left w:val="single" w:color="000000" w:sz="6" w:space="0"/>
              <w:bottom w:val="single" w:color="000000" w:sz="6" w:space="0"/>
              <w:right w:val="single" w:color="000000" w:sz="6" w:space="0"/>
            </w:tcBorders>
            <w:tcW w:w="529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35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评审标准</w:t>
            </w:r>
            <w:r/>
          </w:p>
        </w:tc>
      </w:tr>
      <w:tr>
        <w:trPr>
          <w:trHeight w:val="567"/>
        </w:trPr>
        <w:tc>
          <w:tcPr>
            <w:tcBorders>
              <w:top w:val="single" w:color="000000" w:sz="6" w:space="0"/>
              <w:left w:val="single" w:color="000000" w:sz="6" w:space="0"/>
              <w:bottom w:val="single" w:color="000000" w:sz="6" w:space="0"/>
              <w:right w:val="single" w:color="000000" w:sz="6" w:space="0"/>
            </w:tcBorders>
            <w:tcW w:w="5293"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35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293"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35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r>
        <w:trPr>
          <w:trHeight w:val="567"/>
        </w:trPr>
        <w:tc>
          <w:tcPr>
            <w:tcBorders>
              <w:top w:val="single" w:color="000000" w:sz="6" w:space="0"/>
              <w:left w:val="single" w:color="000000" w:sz="6" w:space="0"/>
              <w:bottom w:val="single" w:color="000000" w:sz="6" w:space="0"/>
              <w:right w:val="single" w:color="000000" w:sz="6" w:space="0"/>
            </w:tcBorders>
            <w:tcW w:w="5293"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35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符合磋商文件要求</w:t>
            </w:r>
            <w:r/>
          </w:p>
        </w:tc>
      </w:tr>
    </w:tbl>
    <w:p>
      <w:pPr>
        <w:ind w:firstLine="482"/>
        <w:spacing w:line="400" w:lineRule="exact"/>
        <w:rPr>
          <w:rFonts w:ascii="宋体" w:hAnsi="宋体" w:cs="宋体"/>
          <w:b/>
          <w:sz w:val="24"/>
          <w:szCs w:val="24"/>
        </w:rPr>
      </w:pPr>
      <w:r>
        <w:rPr>
          <w:rFonts w:hint="eastAsia" w:ascii="宋体" w:hAnsi="宋体" w:cs="宋体"/>
          <w:b/>
          <w:sz w:val="24"/>
          <w:szCs w:val="24"/>
        </w:rPr>
        <w:t xml:space="preserve">三、评分办法—综合评分法</w:t>
      </w:r>
      <w:r/>
    </w:p>
    <w:p>
      <w:pPr>
        <w:ind w:firstLine="482"/>
        <w:jc w:val="left"/>
        <w:spacing w:line="400" w:lineRule="exact"/>
        <w:rPr>
          <w:rFonts w:ascii="宋体" w:hAnsi="宋体" w:cs="宋体"/>
          <w:sz w:val="24"/>
          <w:szCs w:val="24"/>
        </w:rPr>
      </w:pPr>
      <w:r>
        <w:rPr>
          <w:rFonts w:hint="eastAsia" w:ascii="宋体" w:hAnsi="宋体" w:cs="宋体"/>
          <w:b/>
          <w:sz w:val="24"/>
          <w:szCs w:val="24"/>
        </w:rPr>
        <w:t xml:space="preserve">（一）评标办法：</w:t>
      </w:r>
      <w:r>
        <w:rPr>
          <w:rFonts w:hint="eastAsia" w:ascii="宋体" w:hAnsi="宋体" w:cs="宋体"/>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按得分高低顺序推荐成交候选人。得分相同的，按报价从低到高顺序排列；得分且报价相同的，按技术指标优劣顺序排列。</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综合评分保留至小数点后两位。 </w:t>
      </w:r>
      <w:r/>
    </w:p>
    <w:p>
      <w:pPr>
        <w:numPr>
          <w:ilvl w:val="0"/>
          <w:numId w:val="9"/>
        </w:numPr>
        <w:ind w:firstLine="482"/>
        <w:jc w:val="left"/>
        <w:spacing w:line="400" w:lineRule="exact"/>
        <w:rPr>
          <w:rFonts w:ascii="宋体" w:hAnsi="宋体" w:cs="宋体"/>
          <w:sz w:val="24"/>
          <w:szCs w:val="24"/>
        </w:rPr>
      </w:pPr>
      <w:r>
        <w:rPr>
          <w:rFonts w:hint="eastAsia" w:ascii="宋体" w:hAnsi="宋体" w:cs="宋体"/>
          <w:b/>
          <w:sz w:val="24"/>
          <w:szCs w:val="24"/>
        </w:rPr>
        <w:t xml:space="preserve">详细评审。</w:t>
      </w:r>
      <w:r>
        <w:rPr>
          <w:rFonts w:hint="eastAsia" w:ascii="宋体" w:hAnsi="宋体" w:cs="宋体"/>
          <w:sz w:val="24"/>
          <w:szCs w:val="24"/>
        </w:rPr>
        <w:t xml:space="preserve">磋商小组按照竞争性磋商文件规定的评分标准，对各响应文件进行详细评审打分。磋商小组组长对各评审专家的打分情况进行复核无误后汇总。</w:t>
      </w:r>
      <w:r/>
    </w:p>
    <w:tbl>
      <w:tblPr>
        <w:tblStyle w:val="719"/>
        <w:tblW w:w="5247"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28"/>
        <w:gridCol w:w="1456"/>
        <w:gridCol w:w="1107"/>
        <w:gridCol w:w="5794"/>
      </w:tblGrid>
      <w:tr>
        <w:trPr>
          <w:trHeight w:val="147"/>
        </w:trPr>
        <w:tc>
          <w:tcPr>
            <w:gridSpan w:val="2"/>
            <w:tcW w:w="24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评审因素</w:t>
            </w:r>
            <w:r/>
          </w:p>
        </w:tc>
        <w:tc>
          <w:tcPr>
            <w:tcW w:w="11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分数</w:t>
            </w:r>
            <w:r/>
          </w:p>
        </w:tc>
        <w:tc>
          <w:tcPr>
            <w:tcW w:w="579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评审标准</w:t>
            </w:r>
            <w:r/>
          </w:p>
        </w:tc>
      </w:tr>
      <w:tr>
        <w:trPr>
          <w:trHeight w:val="423"/>
        </w:trPr>
        <w:tc>
          <w:tcPr>
            <w:tcW w:w="10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报价分</w:t>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磋商报价</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60</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采用低价优先计算法，即满足磋商文件要求且最终报价最低的报价为评审基准价，其价格分为满分。其他供应商报价得分=（评分基准价/供应商最终报价）*</w:t>
            </w:r>
            <w:r>
              <w:rPr>
                <w:rFonts w:ascii="宋体" w:hAnsi="宋体" w:cs="宋体"/>
                <w:sz w:val="24"/>
                <w:szCs w:val="24"/>
              </w:rPr>
              <w:t xml:space="preserve">60</w:t>
            </w:r>
            <w:r>
              <w:rPr>
                <w:rFonts w:hint="eastAsia" w:ascii="宋体" w:hAnsi="宋体" w:cs="宋体"/>
                <w:sz w:val="24"/>
                <w:szCs w:val="24"/>
              </w:rPr>
              <w:t xml:space="preserve">。</w:t>
            </w:r>
            <w:r/>
          </w:p>
          <w:p>
            <w:pPr>
              <w:jc w:val="left"/>
              <w:rPr>
                <w:rFonts w:ascii="宋体" w:hAnsi="宋体" w:cs="宋体"/>
                <w:sz w:val="24"/>
                <w:szCs w:val="24"/>
              </w:rPr>
            </w:pPr>
            <w:r>
              <w:rPr>
                <w:rFonts w:ascii="宋体" w:hAnsi="宋体" w:cs="宋体"/>
                <w:sz w:val="24"/>
                <w:szCs w:val="24"/>
              </w:rPr>
              <w:t xml:space="preserve">注：符合条件的小微型企业、监狱企业或残疾人福利性单位参与投标的，对其报价给</w:t>
            </w:r>
            <w:r>
              <w:rPr>
                <w:rFonts w:ascii="宋体" w:hAnsi="宋体" w:cs="宋体"/>
                <w:sz w:val="24"/>
                <w:szCs w:val="24"/>
                <w:highlight w:val="yellow"/>
              </w:rPr>
              <w:t xml:space="preserve">予</w:t>
            </w:r>
            <w:r>
              <w:rPr>
                <w:rFonts w:ascii="宋体" w:hAnsi="宋体" w:cs="宋体"/>
                <w:b/>
                <w:sz w:val="24"/>
                <w:szCs w:val="24"/>
                <w:highlight w:val="yellow"/>
              </w:rPr>
              <w:t xml:space="preserve">5%</w:t>
            </w:r>
            <w:r>
              <w:rPr>
                <w:rFonts w:ascii="宋体" w:hAnsi="宋体" w:cs="宋体"/>
                <w:sz w:val="24"/>
                <w:szCs w:val="24"/>
                <w:highlight w:val="yellow"/>
              </w:rPr>
              <w:t xml:space="preserve">的</w:t>
            </w:r>
            <w:r>
              <w:rPr>
                <w:rFonts w:ascii="宋体" w:hAnsi="宋体" w:cs="宋体"/>
                <w:sz w:val="24"/>
                <w:szCs w:val="24"/>
              </w:rPr>
              <w:t xml:space="preserve">扣除，用扣除后的价格参与评审。</w:t>
            </w:r>
            <w:r/>
          </w:p>
        </w:tc>
      </w:tr>
      <w:tr>
        <w:trPr>
          <w:trHeight w:val="90"/>
        </w:trPr>
        <w:tc>
          <w:tcPr>
            <w:tcW w:w="102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企业经营业绩、信誉</w:t>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企业业绩</w:t>
            </w:r>
            <w:r/>
          </w:p>
        </w:tc>
        <w:tc>
          <w:tcPr>
            <w:tcW w:w="1107"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.00</w:t>
            </w:r>
            <w:r/>
          </w:p>
        </w:tc>
        <w:tc>
          <w:tcPr>
            <w:tcW w:w="579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供应商自2023年1月1日（以合同签订时间为准）以来，承担过类似工程项目业绩的，每有一个业绩得</w:t>
            </w:r>
            <w:r>
              <w:rPr>
                <w:rFonts w:ascii="宋体" w:hAnsi="宋体" w:cs="宋体"/>
                <w:sz w:val="24"/>
                <w:szCs w:val="24"/>
              </w:rPr>
              <w:t xml:space="preserve">2</w:t>
            </w:r>
            <w:r>
              <w:rPr>
                <w:rFonts w:hint="eastAsia" w:ascii="宋体" w:hAnsi="宋体" w:cs="宋体"/>
                <w:sz w:val="24"/>
                <w:szCs w:val="24"/>
              </w:rPr>
              <w:t xml:space="preserve">分，本项最高得</w:t>
            </w:r>
            <w:r>
              <w:rPr>
                <w:rFonts w:ascii="宋体" w:hAnsi="宋体" w:cs="宋体"/>
                <w:sz w:val="24"/>
                <w:szCs w:val="24"/>
              </w:rPr>
              <w:t xml:space="preserve">6</w:t>
            </w:r>
            <w:r>
              <w:rPr>
                <w:rFonts w:hint="eastAsia" w:ascii="宋体" w:hAnsi="宋体" w:cs="宋体"/>
                <w:sz w:val="24"/>
                <w:szCs w:val="24"/>
              </w:rPr>
              <w:t xml:space="preserve">分。</w:t>
            </w:r>
            <w:r/>
          </w:p>
          <w:p>
            <w:pPr>
              <w:jc w:val="left"/>
              <w:rPr>
                <w:rFonts w:ascii="宋体" w:hAnsi="宋体" w:cs="宋体"/>
                <w:sz w:val="24"/>
                <w:szCs w:val="24"/>
              </w:rPr>
            </w:pPr>
            <w:r>
              <w:rPr>
                <w:rFonts w:hint="eastAsia" w:ascii="宋体" w:hAnsi="宋体" w:cs="宋体"/>
                <w:sz w:val="24"/>
                <w:szCs w:val="24"/>
              </w:rPr>
              <w:t xml:space="preserve">注：（1）响应文件中同时提供合同、中标（成交）通知书、工程完工(或竣工)验收证明</w:t>
            </w:r>
            <w:r>
              <w:rPr>
                <w:rFonts w:hint="eastAsia" w:ascii="宋体" w:hAnsi="宋体" w:cs="宋体"/>
                <w:color w:val="000000" w:themeColor="text1"/>
                <w:sz w:val="24"/>
                <w:szCs w:val="24"/>
                <w14:textFill>
                  <w14:solidFill>
                    <w14:schemeClr w14:val="tx1"/>
                  </w14:solidFill>
                </w14:textFill>
              </w:rPr>
              <w:t xml:space="preserve">等证明材料</w:t>
            </w:r>
            <w:r>
              <w:rPr>
                <w:rFonts w:hint="eastAsia" w:ascii="宋体" w:hAnsi="宋体" w:cs="宋体"/>
                <w:sz w:val="24"/>
                <w:szCs w:val="24"/>
              </w:rPr>
              <w:t xml:space="preserve">电子件，未提供或提供不齐全不得分；</w:t>
            </w:r>
            <w:r/>
          </w:p>
          <w:p>
            <w:pPr>
              <w:jc w:val="lef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）业绩证明材料应能够反映供应商名称、项目内容、合同签订时间等内容清晰可见，否则不得分。</w:t>
            </w:r>
            <w:r/>
          </w:p>
          <w:p>
            <w:pPr>
              <w:jc w:val="left"/>
              <w:rPr>
                <w:rFonts w:ascii="宋体" w:hAnsi="宋体" w:cs="宋体"/>
                <w:sz w:val="24"/>
                <w:szCs w:val="24"/>
              </w:rPr>
            </w:pPr>
            <w:r>
              <w:rPr>
                <w:rFonts w:hint="eastAsia" w:ascii="宋体" w:hAnsi="宋体" w:cs="宋体"/>
                <w:sz w:val="24"/>
                <w:szCs w:val="24"/>
              </w:rPr>
              <w:t xml:space="preserve">（3）供应商业绩与项目负责人业绩不重复计分。</w:t>
            </w:r>
            <w:r/>
          </w:p>
        </w:tc>
      </w:tr>
      <w:tr>
        <w:trPr>
          <w:trHeight w:val="90"/>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项目负责人</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业绩</w:t>
            </w:r>
            <w:r/>
          </w:p>
        </w:tc>
        <w:tc>
          <w:tcPr>
            <w:tcW w:w="1107"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.00</w:t>
            </w:r>
            <w:r/>
          </w:p>
        </w:tc>
        <w:tc>
          <w:tcPr>
            <w:tcW w:w="5794" w:type="dxa"/>
            <w:vAlign w:val="center"/>
            <w:textDirection w:val="lrTb"/>
            <w:noWrap w:val="false"/>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供应商拟派的项目负责人自202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年1月1日以来（以合同签订日期为准）具有类似工程项目业绩的每有一个得</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分，本项最高得</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注：（1）响应文件中同时提供合同、</w:t>
            </w:r>
            <w:r>
              <w:rPr>
                <w:rFonts w:hint="eastAsia" w:ascii="宋体" w:hAnsi="宋体" w:cs="宋体"/>
                <w:sz w:val="24"/>
                <w:szCs w:val="24"/>
              </w:rPr>
              <w:t xml:space="preserve">中标（成交）通知书、</w:t>
            </w:r>
            <w:r>
              <w:rPr>
                <w:rFonts w:hint="eastAsia" w:ascii="宋体" w:hAnsi="宋体" w:cs="宋体"/>
                <w:color w:val="000000" w:themeColor="text1"/>
                <w:sz w:val="24"/>
                <w:szCs w:val="24"/>
                <w14:textFill>
                  <w14:solidFill>
                    <w14:schemeClr w14:val="tx1"/>
                  </w14:solidFill>
                </w14:textFill>
              </w:rPr>
              <w:t xml:space="preserve">工程完工(或竣工)验收证明</w:t>
            </w:r>
            <w:bookmarkStart w:id="257" w:name="OLE_LINK8"/>
            <w:r/>
            <w:bookmarkStart w:id="258" w:name="OLE_LINK7"/>
            <w:r>
              <w:rPr>
                <w:rFonts w:hint="eastAsia" w:ascii="宋体" w:hAnsi="宋体" w:cs="宋体"/>
                <w:color w:val="000000" w:themeColor="text1"/>
                <w:sz w:val="24"/>
                <w:szCs w:val="24"/>
                <w14:textFill>
                  <w14:solidFill>
                    <w14:schemeClr w14:val="tx1"/>
                  </w14:solidFill>
                </w14:textFill>
              </w:rPr>
              <w:t xml:space="preserve">等证明材料</w:t>
            </w:r>
            <w:bookmarkEnd w:id="257"/>
            <w:r/>
            <w:bookmarkEnd w:id="258"/>
            <w:r>
              <w:rPr>
                <w:rFonts w:hint="eastAsia" w:ascii="宋体" w:hAnsi="宋体" w:cs="宋体"/>
                <w:color w:val="000000" w:themeColor="text1"/>
                <w:sz w:val="24"/>
                <w:szCs w:val="24"/>
                <w14:textFill>
                  <w14:solidFill>
                    <w14:schemeClr w14:val="tx1"/>
                  </w14:solidFill>
                </w14:textFill>
              </w:rPr>
              <w:t xml:space="preserve">电子件，未提供或提供不齐全不得分；</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）业绩证明材料应能够反映供应商名称、项目内容、合同签订时间等内容清晰可见，否则不得分。</w:t>
            </w:r>
            <w:r/>
          </w:p>
          <w:p>
            <w:pPr>
              <w:jc w:val="left"/>
              <w:tabs>
                <w:tab w:val="left" w:pos="312"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（3）供应商业绩与项目负责人业绩不重复计分。</w:t>
            </w:r>
            <w:r/>
          </w:p>
        </w:tc>
      </w:tr>
      <w:tr>
        <w:trPr>
          <w:trHeight w:val="90"/>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项目组人员</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配置</w:t>
            </w:r>
            <w:r/>
          </w:p>
        </w:tc>
        <w:tc>
          <w:tcPr>
            <w:tcW w:w="1107"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.00分</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1.供应商拟派的技术负责人具有</w:t>
            </w:r>
            <w:bookmarkStart w:id="259" w:name="OLE_LINK25"/>
            <w:r/>
            <w:bookmarkStart w:id="260" w:name="OLE_LINK23"/>
            <w:r/>
            <w:bookmarkStart w:id="261" w:name="OLE_LINK24"/>
            <w:r>
              <w:rPr>
                <w:rFonts w:ascii="宋体" w:hAnsi="宋体" w:cs="宋体"/>
                <w:sz w:val="24"/>
                <w:szCs w:val="24"/>
              </w:rPr>
              <w:t xml:space="preserve">电力工程电气类</w:t>
            </w:r>
            <w:bookmarkEnd w:id="259"/>
            <w:r>
              <w:rPr>
                <w:rFonts w:hint="eastAsia" w:ascii="宋体" w:hAnsi="宋体" w:cs="宋体"/>
                <w:sz w:val="24"/>
                <w:szCs w:val="24"/>
              </w:rPr>
              <w:t xml:space="preserve">相关专业高级工程师及以上职称的得</w:t>
            </w:r>
            <w:r>
              <w:rPr>
                <w:rFonts w:ascii="宋体" w:hAnsi="宋体" w:cs="宋体"/>
                <w:sz w:val="24"/>
                <w:szCs w:val="24"/>
              </w:rPr>
              <w:t xml:space="preserve">3</w:t>
            </w:r>
            <w:r>
              <w:rPr>
                <w:rFonts w:hint="eastAsia" w:ascii="宋体" w:hAnsi="宋体" w:cs="宋体"/>
                <w:sz w:val="24"/>
                <w:szCs w:val="24"/>
              </w:rPr>
              <w:t xml:space="preserve">分。</w:t>
            </w:r>
            <w:bookmarkEnd w:id="260"/>
            <w:bookmarkEnd w:id="261"/>
            <w:r/>
          </w:p>
          <w:p>
            <w:pPr>
              <w:jc w:val="left"/>
              <w:rPr>
                <w:rFonts w:ascii="宋体" w:hAnsi="宋体" w:cs="宋体"/>
                <w:sz w:val="24"/>
                <w:szCs w:val="24"/>
              </w:rPr>
            </w:pPr>
            <w:r>
              <w:rPr>
                <w:rFonts w:hint="eastAsia" w:ascii="宋体" w:hAnsi="宋体" w:cs="宋体"/>
                <w:sz w:val="24"/>
                <w:szCs w:val="24"/>
              </w:rPr>
              <w:t xml:space="preserve">2.项目组人员（技术负责人除外）具有</w:t>
            </w:r>
            <w:r>
              <w:rPr>
                <w:rFonts w:ascii="宋体" w:hAnsi="宋体" w:cs="宋体"/>
                <w:sz w:val="24"/>
                <w:szCs w:val="24"/>
              </w:rPr>
              <w:t xml:space="preserve">电力工程电气类</w:t>
            </w:r>
            <w:r>
              <w:rPr>
                <w:rFonts w:hint="eastAsia" w:ascii="宋体" w:hAnsi="宋体" w:cs="宋体"/>
                <w:color w:val="000000" w:themeColor="text1"/>
                <w:sz w:val="24"/>
                <w:szCs w:val="24"/>
                <w14:textFill>
                  <w14:solidFill>
                    <w14:schemeClr w14:val="tx1"/>
                  </w14:solidFill>
                </w14:textFill>
              </w:rPr>
              <w:t xml:space="preserve">相关专业中级及以上职称的，每有一人得</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分，最高得</w:t>
            </w: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）以上须提供证书证明材料电子件；2.如职称证书没有专业的，需提供《专业技术资格评审申请表》等证明材料，以评审专业为准，否则不得分；3.</w:t>
            </w:r>
            <w:r>
              <w:rPr>
                <w:rFonts w:hint="eastAsia" w:ascii="宋体" w:hAnsi="宋体" w:cs="宋体"/>
                <w:sz w:val="24"/>
                <w:szCs w:val="24"/>
              </w:rPr>
              <w:t xml:space="preserve">项目组人员必须为本单位人员，</w:t>
            </w:r>
            <w:r>
              <w:rPr>
                <w:rFonts w:hint="eastAsia" w:ascii="宋体" w:hAnsi="宋体" w:cs="宋体"/>
                <w:color w:val="000000" w:themeColor="text1"/>
                <w:sz w:val="24"/>
                <w:szCs w:val="24"/>
                <w14:textFill>
                  <w14:solidFill>
                    <w14:schemeClr w14:val="tx1"/>
                  </w14:solidFill>
                </w14:textFill>
              </w:rPr>
              <w:t xml:space="preserve">须提供近六个月以来任意一个月供应商为其办理的社会保险缴纳证明。</w:t>
            </w:r>
            <w:r/>
          </w:p>
        </w:tc>
      </w:tr>
      <w:tr>
        <w:trPr>
          <w:trHeight w:val="416"/>
        </w:trPr>
        <w:tc>
          <w:tcPr>
            <w:tcW w:w="102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项目实施方案</w:t>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总体概述</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总体概述：总体施工布置及规划、施工组织内容应完整、具体、合理、施工流程应符合要求、各分部分项工程工序应符合要求。①方案内容完整、详细具体、合理可行、措施可靠、组织严谨的，优于采购需求的，得</w:t>
            </w:r>
            <w:r>
              <w:rPr>
                <w:rFonts w:ascii="宋体" w:hAnsi="宋体" w:cs="宋体"/>
                <w:sz w:val="24"/>
                <w:szCs w:val="24"/>
              </w:rPr>
              <w:t xml:space="preserve">5</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3</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施工重点难点分析和解决方案</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4.00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施工重点难点分析和解决方案：本项目主要工程项目的施工方案、施工方法与技术措施，特别是重点难点工程的施工方案、方法应完整、具体、合理、流程应符合要求。①方案内容完整、详细具体、合理可行、措施可靠、组织严谨的，优于采购需求的，得</w:t>
            </w:r>
            <w:r>
              <w:rPr>
                <w:rFonts w:ascii="宋体" w:hAnsi="宋体" w:cs="宋体"/>
                <w:sz w:val="24"/>
                <w:szCs w:val="24"/>
              </w:rPr>
              <w:t xml:space="preserve">4</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3</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2</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工期保证体系及保证措施</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工期保证体系及保证措施：工期保证体系及保证措施等应完整、详细具体、科学合理、进度应符合要求。①方案内容完整、详细具体、合理可行、措施可靠、组织严谨的，优于采购需求的，得</w:t>
            </w:r>
            <w:r>
              <w:rPr>
                <w:rFonts w:ascii="宋体" w:hAnsi="宋体" w:cs="宋体"/>
                <w:sz w:val="24"/>
                <w:szCs w:val="24"/>
              </w:rPr>
              <w:t xml:space="preserve">3</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2</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环境保护、安全、文明施工等措施</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环境保护、安全、文明施工等措施：环境保护、安全、文明施工等应完整、详细具体、科学合理、方式方法应符合要求。①方案内容完整、详细具体、合理可行、措施可靠、组织严谨的，优于采购需求的，得</w:t>
            </w:r>
            <w:r>
              <w:rPr>
                <w:rFonts w:ascii="宋体" w:hAnsi="宋体" w:cs="宋体"/>
                <w:sz w:val="24"/>
                <w:szCs w:val="24"/>
              </w:rPr>
              <w:t xml:space="preserve">3</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2</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r>
        <w:trPr>
          <w:trHeight w:val="251"/>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拟投入本工程的机械、设备的种类</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拟投入本工程的机械、设备的种类：拟投入本工程的机械、设备的种类应齐全、数量应满足工程施工要求、符合本地区施工现场特点。①方案内容完整、详细具体、合理可行、措施可靠、组织严谨的，优于采购需求的，得</w:t>
            </w:r>
            <w:r>
              <w:rPr>
                <w:rFonts w:ascii="宋体" w:hAnsi="宋体" w:cs="宋体"/>
                <w:sz w:val="24"/>
                <w:szCs w:val="24"/>
              </w:rPr>
              <w:t xml:space="preserve">3</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2</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r>
        <w:trPr>
          <w:trHeight w:val="416"/>
        </w:trPr>
        <w:tc>
          <w:tcPr>
            <w:tcW w:w="102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工程质量管理体系、工程质量保证措施</w:t>
            </w:r>
            <w:r/>
          </w:p>
        </w:tc>
        <w:tc>
          <w:tcPr>
            <w:tcW w:w="110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.00</w:t>
            </w:r>
            <w:r/>
          </w:p>
        </w:tc>
        <w:tc>
          <w:tcPr>
            <w:tcW w:w="5794" w:type="dxa"/>
            <w:vAlign w:val="center"/>
            <w:textDirection w:val="lrTb"/>
            <w:noWrap w:val="false"/>
          </w:tcPr>
          <w:p>
            <w:pPr>
              <w:jc w:val="left"/>
              <w:rPr>
                <w:rFonts w:ascii="宋体" w:hAnsi="宋体" w:cs="宋体"/>
                <w:color w:val="0000ff"/>
                <w:sz w:val="24"/>
                <w:szCs w:val="24"/>
              </w:rPr>
            </w:pPr>
            <w:r>
              <w:rPr>
                <w:rFonts w:hint="eastAsia" w:ascii="宋体" w:hAnsi="宋体" w:cs="宋体"/>
                <w:sz w:val="24"/>
                <w:szCs w:val="24"/>
              </w:rPr>
              <w:t xml:space="preserve">工程质量管理体系、工程质量保证措施：工程质量管理体系、工程质量保证措施等应完整、详细具体、科学合理、方式方法应符合要求。①方案内容完整、详细具体、合理可行、措施可靠、组织严谨的，优于采购需求的，得</w:t>
            </w:r>
            <w:r>
              <w:rPr>
                <w:rFonts w:ascii="宋体" w:hAnsi="宋体" w:cs="宋体"/>
                <w:sz w:val="24"/>
                <w:szCs w:val="24"/>
              </w:rPr>
              <w:t xml:space="preserve">3</w:t>
            </w:r>
            <w:r>
              <w:rPr>
                <w:rFonts w:hint="eastAsia" w:ascii="宋体" w:hAnsi="宋体" w:cs="宋体"/>
                <w:sz w:val="24"/>
                <w:szCs w:val="24"/>
              </w:rPr>
              <w:t xml:space="preserve">分；②方案内容较完整、较详细具体、较合理可行、措施较可靠、组织较严谨的，能够满足采购需求的，得</w:t>
            </w:r>
            <w:r>
              <w:rPr>
                <w:rFonts w:ascii="宋体" w:hAnsi="宋体" w:cs="宋体"/>
                <w:sz w:val="24"/>
                <w:szCs w:val="24"/>
              </w:rPr>
              <w:t xml:space="preserve">2</w:t>
            </w:r>
            <w:r>
              <w:rPr>
                <w:rFonts w:hint="eastAsia" w:ascii="宋体" w:hAnsi="宋体" w:cs="宋体"/>
                <w:sz w:val="24"/>
                <w:szCs w:val="24"/>
              </w:rPr>
              <w:t xml:space="preserve">分；③方案笼统，措施不完善，但经后期优化能够满足采购需求的，得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其他内容不得分。</w:t>
            </w:r>
            <w:r/>
          </w:p>
        </w:tc>
      </w:tr>
    </w:tbl>
    <w:p>
      <w:pPr>
        <w:spacing w:line="400" w:lineRule="exact"/>
        <w:rPr>
          <w:rFonts w:ascii="宋体" w:hAnsi="宋体" w:cs="宋体"/>
          <w:b/>
          <w:sz w:val="24"/>
          <w:szCs w:val="24"/>
        </w:rPr>
      </w:pPr>
      <w:r>
        <w:rPr>
          <w:rFonts w:ascii="宋体" w:hAnsi="宋体" w:cs="宋体"/>
          <w:b/>
          <w:sz w:val="24"/>
          <w:szCs w:val="24"/>
        </w:rPr>
      </w:r>
      <w:r/>
    </w:p>
    <w:p>
      <w:pPr>
        <w:spacing w:line="400" w:lineRule="exact"/>
        <w:rPr>
          <w:rFonts w:ascii="宋体" w:hAnsi="宋体" w:cs="宋体"/>
          <w:b/>
          <w:sz w:val="24"/>
          <w:szCs w:val="24"/>
        </w:rPr>
      </w:pPr>
      <w:r>
        <w:rPr>
          <w:rFonts w:hint="eastAsia" w:ascii="宋体" w:hAnsi="宋体" w:cs="宋体"/>
          <w:b/>
          <w:sz w:val="24"/>
          <w:szCs w:val="24"/>
        </w:rPr>
        <w:t xml:space="preserve">（三）评标结果。</w:t>
      </w:r>
      <w:r>
        <w:rPr>
          <w:rFonts w:hint="eastAsia" w:ascii="宋体" w:hAnsi="宋体" w:cs="宋体"/>
          <w:sz w:val="24"/>
          <w:szCs w:val="24"/>
        </w:rPr>
        <w:t xml:space="preserve">磋商小组按照本办法规定推荐成交候选人，并形成评标报告。</w:t>
      </w:r>
      <w:r/>
    </w:p>
    <w:p>
      <w:pPr>
        <w:spacing w:line="400" w:lineRule="exact"/>
        <w:rPr>
          <w:rFonts w:ascii="宋体" w:hAnsi="宋体" w:cs="宋体"/>
          <w:b/>
          <w:sz w:val="24"/>
          <w:szCs w:val="24"/>
        </w:rPr>
      </w:pPr>
      <w:r>
        <w:rPr>
          <w:rFonts w:hint="eastAsia" w:ascii="宋体" w:hAnsi="宋体" w:cs="宋体"/>
          <w:b/>
          <w:sz w:val="24"/>
          <w:szCs w:val="24"/>
        </w:rPr>
        <w:t xml:space="preserve">（四）政府采购政策功能落实</w:t>
      </w:r>
      <w:r/>
    </w:p>
    <w:p>
      <w:pPr>
        <w:ind w:firstLine="241"/>
        <w:spacing w:line="400" w:lineRule="exact"/>
        <w:rPr>
          <w:rFonts w:ascii="宋体" w:hAnsi="宋体" w:cs="宋体"/>
          <w:b/>
          <w:sz w:val="24"/>
          <w:szCs w:val="24"/>
        </w:rPr>
      </w:pPr>
      <w:r>
        <w:rPr>
          <w:rFonts w:hint="eastAsia" w:ascii="宋体" w:hAnsi="宋体" w:cs="宋体"/>
          <w:b/>
          <w:bCs/>
          <w:sz w:val="24"/>
          <w:szCs w:val="24"/>
        </w:rPr>
        <w:t xml:space="preserve">本项目落实的政府采购政策对应以下序号为</w:t>
      </w:r>
      <w:r>
        <w:rPr>
          <w:rFonts w:hint="eastAsia" w:ascii="宋体" w:hAnsi="宋体" w:cs="宋体"/>
          <w:b/>
          <w:bCs/>
          <w:sz w:val="24"/>
          <w:szCs w:val="24"/>
          <w:u w:val="single"/>
        </w:rPr>
        <w:t xml:space="preserve">1、2、3、4、</w:t>
      </w:r>
      <w:r/>
    </w:p>
    <w:p>
      <w:pPr>
        <w:ind w:firstLine="480"/>
        <w:spacing w:line="400" w:lineRule="exact"/>
        <w:rPr>
          <w:rFonts w:ascii="宋体" w:hAnsi="宋体" w:cs="宋体"/>
          <w:sz w:val="24"/>
          <w:szCs w:val="24"/>
        </w:rPr>
      </w:pPr>
      <w:r>
        <w:rPr>
          <w:rFonts w:hint="eastAsia" w:ascii="宋体" w:hAnsi="宋体" w:cs="宋体"/>
          <w:sz w:val="24"/>
          <w:szCs w:val="24"/>
        </w:rPr>
        <w:t xml:space="preserve">1.采购本国货物、工程和服务</w:t>
      </w:r>
      <w:r/>
    </w:p>
    <w:p>
      <w:pPr>
        <w:ind w:firstLine="480"/>
        <w:spacing w:line="400" w:lineRule="exact"/>
        <w:rPr>
          <w:rFonts w:ascii="宋体" w:hAnsi="宋体" w:cs="宋体"/>
          <w:sz w:val="24"/>
          <w:szCs w:val="24"/>
        </w:rPr>
      </w:pPr>
      <w:r>
        <w:rPr>
          <w:rFonts w:hint="eastAsia" w:ascii="宋体" w:hAnsi="宋体" w:cs="宋体"/>
          <w:sz w:val="24"/>
          <w:szCs w:val="24"/>
        </w:rPr>
        <w:t xml:space="preserve">政府采购应当采购本国货物、工程和服务，但有《中华人民共和国政府采购法》第十条规定情形的除外。</w:t>
      </w:r>
      <w:r/>
    </w:p>
    <w:p>
      <w:pPr>
        <w:ind w:firstLine="480"/>
        <w:spacing w:line="400" w:lineRule="exact"/>
        <w:rPr>
          <w:rFonts w:ascii="宋体" w:hAnsi="宋体" w:cs="宋体"/>
          <w:sz w:val="24"/>
          <w:szCs w:val="24"/>
        </w:rPr>
      </w:pPr>
      <w:r>
        <w:rPr>
          <w:rFonts w:hint="eastAsia" w:ascii="宋体" w:hAnsi="宋体" w:cs="宋体"/>
          <w:sz w:val="24"/>
          <w:szCs w:val="24"/>
        </w:rPr>
        <w:t xml:space="preserve">2.中小企业政策</w:t>
      </w:r>
      <w:r/>
    </w:p>
    <w:p>
      <w:pPr>
        <w:ind w:firstLine="480"/>
        <w:spacing w:line="400" w:lineRule="exact"/>
        <w:rPr>
          <w:rFonts w:ascii="宋体" w:hAnsi="宋体" w:cs="宋体"/>
          <w:sz w:val="24"/>
          <w:szCs w:val="24"/>
        </w:rPr>
      </w:pPr>
      <w:r>
        <w:rPr>
          <w:rFonts w:hint="eastAsia" w:ascii="宋体" w:hAnsi="宋体" w:cs="宋体"/>
          <w:sz w:val="24"/>
          <w:szCs w:val="24"/>
        </w:rPr>
        <w:t xml:space="preserve">本项目按以下第</w:t>
      </w:r>
      <w:r>
        <w:rPr>
          <w:rFonts w:hint="eastAsia" w:ascii="宋体" w:hAnsi="宋体" w:cs="宋体"/>
          <w:sz w:val="24"/>
          <w:szCs w:val="24"/>
          <w:u w:val="single"/>
        </w:rPr>
        <w:t xml:space="preserve">（</w:t>
      </w:r>
      <w:r>
        <w:rPr>
          <w:rFonts w:ascii="宋体" w:hAnsi="宋体" w:cs="宋体"/>
          <w:sz w:val="24"/>
          <w:szCs w:val="24"/>
          <w:u w:val="single"/>
        </w:rPr>
        <w:t xml:space="preserve">2</w:t>
      </w:r>
      <w:r>
        <w:rPr>
          <w:rFonts w:hint="eastAsia" w:ascii="宋体" w:hAnsi="宋体" w:cs="宋体"/>
          <w:sz w:val="24"/>
          <w:szCs w:val="24"/>
          <w:u w:val="single"/>
        </w:rPr>
        <w:t xml:space="preserve">）</w:t>
      </w:r>
      <w:r>
        <w:rPr>
          <w:rFonts w:hint="eastAsia" w:ascii="宋体" w:hAnsi="宋体" w:cs="宋体"/>
          <w:b/>
          <w:bCs/>
          <w:sz w:val="24"/>
          <w:szCs w:val="24"/>
          <w:u w:val="single"/>
        </w:rPr>
        <w:t xml:space="preserve"> </w:t>
      </w:r>
      <w:r>
        <w:rPr>
          <w:rFonts w:hint="eastAsia" w:ascii="宋体" w:hAnsi="宋体" w:cs="宋体"/>
          <w:sz w:val="24"/>
          <w:szCs w:val="24"/>
        </w:rPr>
        <w:t xml:space="preserve">种政策确定本项目落实的中小企业政策：</w:t>
      </w:r>
      <w:r/>
    </w:p>
    <w:p>
      <w:pPr>
        <w:ind w:firstLine="480"/>
        <w:spacing w:line="400" w:lineRule="exact"/>
        <w:rPr>
          <w:rFonts w:ascii="宋体" w:hAnsi="宋体" w:cs="宋体"/>
          <w:sz w:val="24"/>
          <w:szCs w:val="24"/>
        </w:rPr>
      </w:pPr>
      <w:r>
        <w:rPr>
          <w:rFonts w:hint="eastAsia" w:ascii="宋体" w:hAnsi="宋体" w:cs="宋体"/>
          <w:sz w:val="24"/>
          <w:szCs w:val="24"/>
        </w:rPr>
        <w:t xml:space="preserve">（1）本项目专门面向中小企业（含监狱企业、残疾人福利企业）采购。</w:t>
      </w:r>
      <w:r/>
    </w:p>
    <w:p>
      <w:pPr>
        <w:ind w:firstLine="480"/>
        <w:spacing w:line="400" w:lineRule="exact"/>
        <w:rPr>
          <w:rFonts w:ascii="宋体" w:hAnsi="宋体" w:cs="宋体"/>
          <w:sz w:val="24"/>
          <w:szCs w:val="24"/>
        </w:rPr>
      </w:pPr>
      <w:r>
        <w:rPr>
          <w:rFonts w:hint="eastAsia" w:ascii="宋体" w:hAnsi="宋体" w:cs="宋体"/>
          <w:sz w:val="24"/>
          <w:szCs w:val="24"/>
        </w:rPr>
        <w:t xml:space="preserve">（2）竞标人提供的货物、工程或者服务符合下列情形的，对小微企业报价给予</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highlight w:val="yellow"/>
        </w:rPr>
        <w:t xml:space="preserve">（工程项目为</w:t>
      </w:r>
      <w:r>
        <w:rPr>
          <w:rFonts w:hint="eastAsia" w:ascii="宋体" w:hAnsi="宋体" w:cs="宋体"/>
          <w:b/>
          <w:sz w:val="24"/>
          <w:szCs w:val="24"/>
          <w:highlight w:val="yellow"/>
          <w:u w:val="single"/>
        </w:rPr>
        <w:t xml:space="preserve"> </w:t>
      </w:r>
      <w:r>
        <w:rPr>
          <w:rFonts w:ascii="宋体" w:hAnsi="宋体" w:cs="宋体"/>
          <w:b/>
          <w:sz w:val="24"/>
          <w:szCs w:val="24"/>
          <w:highlight w:val="yellow"/>
          <w:u w:val="single"/>
        </w:rPr>
        <w:t xml:space="preserve">5</w:t>
      </w:r>
      <w:r>
        <w:rPr>
          <w:rFonts w:hint="eastAsia" w:ascii="宋体" w:hAnsi="宋体" w:cs="宋体"/>
          <w:b/>
          <w:sz w:val="24"/>
          <w:szCs w:val="24"/>
          <w:highlight w:val="yellow"/>
          <w:u w:val="single"/>
        </w:rPr>
        <w:t xml:space="preserve"> </w:t>
      </w:r>
      <w:r>
        <w:rPr>
          <w:rFonts w:hint="eastAsia" w:ascii="宋体" w:hAnsi="宋体" w:cs="宋体"/>
          <w:b/>
          <w:sz w:val="24"/>
          <w:szCs w:val="24"/>
          <w:highlight w:val="yellow"/>
        </w:rPr>
        <w:t xml:space="preserve">%</w:t>
      </w:r>
      <w:r>
        <w:rPr>
          <w:rFonts w:hint="eastAsia" w:ascii="宋体" w:hAnsi="宋体" w:cs="宋体"/>
          <w:sz w:val="24"/>
          <w:szCs w:val="24"/>
          <w:highlight w:val="yellow"/>
        </w:rPr>
        <w:t xml:space="preserve">）</w:t>
      </w:r>
      <w:r>
        <w:rPr>
          <w:rFonts w:hint="eastAsia" w:ascii="宋体" w:hAnsi="宋体" w:cs="宋体"/>
          <w:sz w:val="24"/>
          <w:szCs w:val="24"/>
        </w:rPr>
        <w:t xml:space="preserve">的扣除，用扣除后的价格参加评审。</w:t>
      </w:r>
      <w:r/>
    </w:p>
    <w:p>
      <w:pPr>
        <w:ind w:firstLine="480"/>
        <w:spacing w:line="400" w:lineRule="exact"/>
        <w:rPr>
          <w:rFonts w:ascii="宋体" w:hAnsi="宋体" w:cs="宋体"/>
          <w:sz w:val="24"/>
          <w:szCs w:val="24"/>
        </w:rPr>
      </w:pPr>
      <w:r>
        <w:rPr>
          <w:rFonts w:hint="eastAsia" w:ascii="宋体" w:hAnsi="宋体" w:cs="宋体"/>
          <w:sz w:val="24"/>
          <w:szCs w:val="24"/>
        </w:rPr>
        <w:t xml:space="preserve">在工程采购项目中，工程由中小企业承建，即工程施工单位为中小企业；</w:t>
      </w:r>
      <w:r/>
    </w:p>
    <w:p>
      <w:pPr>
        <w:ind w:firstLine="480"/>
        <w:spacing w:line="400" w:lineRule="exact"/>
        <w:rPr>
          <w:rFonts w:ascii="宋体" w:hAnsi="宋体" w:cs="宋体"/>
          <w:sz w:val="24"/>
          <w:szCs w:val="24"/>
        </w:rPr>
      </w:pPr>
      <w:r>
        <w:rPr>
          <w:rFonts w:hint="eastAsia" w:ascii="宋体" w:hAnsi="宋体" w:cs="宋体"/>
          <w:sz w:val="24"/>
          <w:szCs w:val="24"/>
        </w:rPr>
        <w:t xml:space="preserve">注：①参加竞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宋体" w:hAnsi="宋体" w:cs="宋体"/>
          <w:sz w:val="24"/>
          <w:szCs w:val="24"/>
        </w:rPr>
      </w:pPr>
      <w:r>
        <w:rPr>
          <w:rFonts w:hint="eastAsia" w:ascii="宋体" w:hAnsi="宋体" w:cs="宋体"/>
          <w:sz w:val="24"/>
          <w:szCs w:val="24"/>
        </w:rPr>
        <w:t xml:space="preserve">②参加竞标的监狱企业，视同小型、微型企业。监狱企业应当按照《财政部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宋体" w:hAnsi="宋体" w:cs="宋体"/>
          <w:sz w:val="24"/>
          <w:szCs w:val="24"/>
        </w:rPr>
      </w:pPr>
      <w:r>
        <w:rPr>
          <w:rFonts w:hint="eastAsia" w:ascii="宋体" w:hAnsi="宋体" w:cs="宋体"/>
          <w:sz w:val="24"/>
          <w:szCs w:val="24"/>
        </w:rPr>
        <w:t xml:space="preserve">③参加竞标的残疾人福利性单位，视同小型、微型企业。残疾人福利性单位应当按照《财政部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cs="仿宋_GB2312"/>
          <w:sz w:val="24"/>
          <w:highlight w:val="white"/>
        </w:rPr>
        <w:outlineLvl w:val="1"/>
      </w:pPr>
      <w:r>
        <w:rPr>
          <w:rFonts w:hint="eastAsia" w:cs="仿宋_GB2312"/>
          <w:sz w:val="24"/>
          <w:highlight w:val="white"/>
        </w:rPr>
        <w:t xml:space="preserve">3、政府采购节能产品、环境标志产品</w:t>
      </w:r>
      <w:r/>
    </w:p>
    <w:p>
      <w:pPr>
        <w:ind w:firstLine="480"/>
        <w:spacing w:line="360" w:lineRule="auto"/>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360" w:lineRule="auto"/>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360" w:lineRule="auto"/>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360" w:lineRule="auto"/>
        <w:rPr>
          <w:rFonts w:cs="仿宋_GB2312"/>
          <w:sz w:val="24"/>
          <w:highlight w:val="white"/>
        </w:rPr>
        <w:outlineLvl w:val="1"/>
      </w:pPr>
      <w:r>
        <w:rPr>
          <w:rFonts w:hint="eastAsia" w:cs="仿宋_GB2312"/>
          <w:sz w:val="24"/>
          <w:highlight w:val="white"/>
        </w:rPr>
        <w:t xml:space="preserve">4、商品包装、快递包装政府采购需求标准（试行）</w:t>
      </w:r>
      <w:r/>
    </w:p>
    <w:p>
      <w:pPr>
        <w:ind w:firstLine="480"/>
        <w:spacing w:line="360" w:lineRule="auto"/>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cs="仿宋_GB2312"/>
          <w:sz w:val="24"/>
          <w:highlight w:val="white"/>
        </w:rPr>
        <w:outlineLvl w:val="1"/>
      </w:pPr>
      <w:r>
        <w:rPr>
          <w:rFonts w:hint="eastAsia" w:cs="仿宋_GB2312"/>
          <w:sz w:val="24"/>
          <w:highlight w:val="white"/>
        </w:rPr>
        <w:t xml:space="preserve">5、绿色数据中心政府采购需求标准（试行）</w:t>
      </w:r>
      <w:r/>
    </w:p>
    <w:p>
      <w:pPr>
        <w:ind w:firstLine="480"/>
        <w:spacing w:line="360" w:lineRule="auto"/>
        <w:rPr>
          <w:rFonts w:cs="仿宋_GB2312"/>
          <w:sz w:val="24"/>
          <w:highlight w:val="white"/>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360" w:lineRule="auto"/>
        <w:rPr>
          <w:rFonts w:ascii="宋体" w:hAnsi="宋体" w:cs="宋体"/>
          <w:b/>
          <w:bCs/>
          <w:sz w:val="24"/>
          <w:highlight w:val="white"/>
        </w:rPr>
      </w:pPr>
      <w:r>
        <w:rPr>
          <w:rFonts w:hint="eastAsia" w:cs="仿宋_GB2312"/>
          <w:sz w:val="24"/>
          <w:highlight w:val="white"/>
        </w:rPr>
        <w:t xml:space="preserve">6、</w:t>
      </w:r>
      <w:r>
        <w:rPr>
          <w:rFonts w:hint="eastAsia" w:ascii="宋体" w:hAnsi="宋体" w:cs="宋体"/>
          <w:b/>
          <w:bCs/>
          <w:sz w:val="24"/>
          <w:highlight w:val="white"/>
        </w:rPr>
        <w:t xml:space="preserve">关于启动异常低价审查</w:t>
      </w:r>
      <w:r/>
    </w:p>
    <w:p>
      <w:pPr>
        <w:ind w:firstLine="480"/>
        <w:spacing w:line="440" w:lineRule="exact"/>
        <w:rPr>
          <w:rFonts w:ascii="宋体" w:hAnsi="宋体" w:cs="宋体"/>
          <w:bCs/>
          <w:color w:val="ff0000"/>
          <w:sz w:val="24"/>
          <w:szCs w:val="24"/>
        </w:rPr>
      </w:pPr>
      <w:r>
        <w:rPr>
          <w:rFonts w:hint="eastAsia" w:ascii="宋体" w:hAnsi="宋体" w:cs="宋体"/>
          <w:bCs/>
          <w:color w:val="000000" w:themeColor="text1"/>
          <w:sz w:val="24"/>
          <w:szCs w:val="24"/>
          <w14:textFill>
            <w14:solidFill>
              <w14:schemeClr w14:val="tx1"/>
            </w14:solidFill>
          </w14:textFill>
        </w:rPr>
        <w:t xml:space="preserve">（依据财库（2026）2号关于推动解决政府采购异常低价问题的通知）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（1）评审过程中出现下列情形之一的，磋商小组应当启动异常低价投标(响应)审查程序：</w:t>
      </w:r>
      <w:r/>
    </w:p>
    <w:p>
      <w:pPr>
        <w:ind w:firstLine="480"/>
        <w:spacing w:line="440" w:lineRule="exact"/>
        <w:rPr>
          <w:rFonts w:ascii="宋体" w:hAnsi="宋体" w:cs="宋体"/>
          <w:bCs/>
          <w:sz w:val="24"/>
          <w:szCs w:val="24"/>
        </w:rPr>
      </w:pPr>
      <w:r>
        <w:rPr>
          <w:rFonts w:ascii="宋体" w:hAnsi="宋体" w:cs="宋体"/>
          <w:bCs/>
          <w:sz w:val="24"/>
          <w:szCs w:val="24"/>
        </w:rPr>
        <w:t xml:space="preserve">①</w:t>
      </w:r>
      <w:r>
        <w:rPr>
          <w:rFonts w:hint="eastAsia" w:ascii="宋体" w:hAnsi="宋体" w:cs="宋体"/>
          <w:bCs/>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cs="宋体"/>
          <w:bCs/>
          <w:sz w:val="24"/>
          <w:szCs w:val="24"/>
        </w:rPr>
      </w:pPr>
      <w:r>
        <w:rPr>
          <w:rFonts w:ascii="宋体" w:hAnsi="宋体" w:cs="宋体"/>
          <w:bCs/>
          <w:sz w:val="24"/>
          <w:szCs w:val="24"/>
        </w:rPr>
        <w:t xml:space="preserve">②</w:t>
      </w:r>
      <w:r>
        <w:rPr>
          <w:rFonts w:hint="eastAsia" w:ascii="宋体" w:hAnsi="宋体" w:cs="宋体"/>
          <w:bCs/>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bCs/>
          <w:sz w:val="24"/>
          <w:szCs w:val="24"/>
        </w:rPr>
      </w:pPr>
      <w:r>
        <w:rPr>
          <w:rFonts w:ascii="宋体" w:hAnsi="宋体" w:cs="宋体"/>
          <w:bCs/>
          <w:sz w:val="24"/>
          <w:szCs w:val="24"/>
        </w:rPr>
        <w:t xml:space="preserve">③</w:t>
      </w:r>
      <w:r>
        <w:rPr>
          <w:rFonts w:hint="eastAsia" w:ascii="宋体" w:hAnsi="宋体" w:cs="宋体"/>
          <w:bCs/>
          <w:sz w:val="24"/>
          <w:szCs w:val="24"/>
        </w:rPr>
        <w:t xml:space="preserve">投标（响应）报价低于采购项目最高限价45%的，即投标（响应）报价&lt;采购项目最高限价×45%；</w:t>
      </w:r>
      <w:r/>
    </w:p>
    <w:p>
      <w:pPr>
        <w:ind w:firstLine="480"/>
        <w:spacing w:line="440" w:lineRule="exact"/>
        <w:rPr>
          <w:rFonts w:ascii="宋体" w:hAnsi="宋体" w:cs="宋体"/>
          <w:bCs/>
          <w:sz w:val="24"/>
          <w:szCs w:val="24"/>
        </w:rPr>
      </w:pPr>
      <w:r>
        <w:rPr>
          <w:rFonts w:hint="eastAsia" w:ascii="宋体" w:hAnsi="宋体" w:cs="宋体"/>
          <w:bCs/>
          <w:sz w:val="24"/>
          <w:szCs w:val="24"/>
        </w:rPr>
        <w:t xml:space="preserve">④磋商小组基于专业判断，认为供应商报价过低，有可能影响产品质量或者不能诚信履约的其他情形。</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cs="宋体"/>
          <w:bCs/>
          <w:sz w:val="24"/>
          <w:szCs w:val="24"/>
        </w:rPr>
        <w:t xml:space="preserve">③</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r/>
    </w:p>
    <w:p>
      <w:pPr>
        <w:ind w:firstLine="480"/>
        <w:spacing w:line="480" w:lineRule="exact"/>
        <w:rPr>
          <w:rFonts w:ascii="宋体" w:hAnsi="宋体" w:cs="宋体"/>
          <w:bCs/>
          <w:sz w:val="24"/>
          <w:szCs w:val="24"/>
        </w:rPr>
      </w:pPr>
      <w:r>
        <w:rPr>
          <w:rFonts w:hint="eastAsia" w:ascii="宋体" w:hAnsi="宋体" w:cs="宋体"/>
          <w:bCs/>
          <w:sz w:val="24"/>
          <w:szCs w:val="24"/>
        </w:rPr>
        <w:t xml:space="preserve">（4）异常低价响应审查的启动原因、审查意见和审查结果应当在评审报告中记录，并随供应商提供的相关书面说明及证明材料，以及磋商小组有关互联网浏览、查询历史一并归档。</w:t>
      </w:r>
      <w:r/>
    </w:p>
    <w:p>
      <w:pPr>
        <w:ind w:firstLine="482"/>
        <w:jc w:val="left"/>
        <w:spacing w:line="360" w:lineRule="auto"/>
        <w:rPr>
          <w:rFonts w:ascii="宋体" w:hAnsi="宋体" w:cs="宋体"/>
          <w:b/>
          <w:bCs/>
          <w:sz w:val="24"/>
          <w:highlight w:val="white"/>
        </w:rPr>
        <w:outlineLvl w:val="1"/>
      </w:pPr>
      <w:r>
        <w:rPr>
          <w:rFonts w:hint="eastAsia" w:ascii="宋体" w:hAnsi="宋体" w:cs="宋体"/>
          <w:b/>
          <w:bCs/>
          <w:sz w:val="24"/>
          <w:highlight w:val="white"/>
        </w:rPr>
        <w:t xml:space="preserve">7、采购本国产品的支持政策</w:t>
      </w:r>
      <w:r/>
    </w:p>
    <w:p>
      <w:pPr>
        <w:ind w:firstLine="482"/>
        <w:jc w:val="left"/>
        <w:spacing w:line="360" w:lineRule="auto"/>
        <w:rPr>
          <w:rFonts w:ascii="宋体" w:hAnsi="宋体" w:cs="宋体"/>
          <w:b/>
          <w:bCs/>
          <w:sz w:val="24"/>
          <w:highlight w:val="white"/>
        </w:rPr>
      </w:pPr>
      <w:r>
        <w:rPr>
          <w:rFonts w:hint="eastAsia" w:ascii="宋体" w:hAnsi="宋体" w:cs="宋体"/>
          <w:b/>
          <w:bCs/>
          <w:sz w:val="24"/>
          <w:highlight w:val="whit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cs="宋体"/>
          <w:sz w:val="24"/>
        </w:rPr>
      </w:pPr>
      <w:r>
        <w:rPr>
          <w:rFonts w:hint="eastAsia" w:ascii="宋体" w:hAnsi="宋体" w:cs="宋体"/>
          <w:sz w:val="24"/>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262" w:name="_Toc160457395"/>
      <w:r/>
      <w:r/>
    </w:p>
    <w:p>
      <w:pPr>
        <w:ind w:firstLine="480"/>
        <w:jc w:val="left"/>
        <w:spacing w:line="360" w:lineRule="auto"/>
        <w:rPr>
          <w:rFonts w:ascii="Times New Roman" w:hAnsi="Times New Roman" w:eastAsia="黑体"/>
          <w:sz w:val="44"/>
          <w:szCs w:val="44"/>
        </w:rPr>
      </w:pPr>
      <w:r>
        <w:rPr>
          <w:rFonts w:ascii="Times New Roman" w:hAnsi="Times New Roman" w:eastAsia="黑体"/>
          <w:sz w:val="44"/>
          <w:szCs w:val="44"/>
        </w:rPr>
      </w:r>
      <w:r/>
    </w:p>
    <w:p>
      <w:pPr>
        <w:ind w:firstLine="480"/>
        <w:jc w:val="left"/>
        <w:spacing w:line="360" w:lineRule="auto"/>
        <w:rPr>
          <w:rFonts w:ascii="Times New Roman" w:hAnsi="Times New Roman" w:eastAsia="黑体"/>
          <w:sz w:val="44"/>
          <w:szCs w:val="44"/>
        </w:rPr>
      </w:pPr>
      <w:r>
        <w:rPr>
          <w:rFonts w:ascii="Times New Roman" w:hAnsi="Times New Roman" w:eastAsia="黑体"/>
          <w:sz w:val="44"/>
          <w:szCs w:val="44"/>
        </w:rPr>
      </w:r>
      <w:r/>
    </w:p>
    <w:p>
      <w:pPr>
        <w:jc w:val="center"/>
        <w:spacing w:line="480" w:lineRule="auto"/>
        <w:rPr>
          <w:rFonts w:ascii="Times New Roman" w:hAnsi="Times New Roman" w:eastAsia="黑体"/>
          <w:sz w:val="44"/>
          <w:szCs w:val="44"/>
        </w:rPr>
        <w:outlineLvl w:val="0"/>
      </w:pPr>
      <w:r>
        <w:rPr>
          <w:rFonts w:hint="eastAsia" w:ascii="Times New Roman" w:hAnsi="Times New Roman" w:eastAsia="黑体"/>
          <w:sz w:val="44"/>
          <w:szCs w:val="44"/>
        </w:rPr>
        <w:t xml:space="preserve">第六章</w:t>
      </w:r>
      <w:bookmarkEnd w:id="222"/>
      <w:r/>
      <w:bookmarkEnd w:id="223"/>
      <w:r/>
      <w:bookmarkEnd w:id="256"/>
      <w:r>
        <w:rPr>
          <w:rFonts w:ascii="Times New Roman" w:hAnsi="Times New Roman" w:eastAsia="黑体"/>
          <w:sz w:val="44"/>
          <w:szCs w:val="44"/>
        </w:rPr>
        <w:t xml:space="preserve">  </w:t>
      </w:r>
      <w:r>
        <w:rPr>
          <w:rFonts w:hint="eastAsia" w:ascii="Times New Roman" w:hAnsi="Times New Roman" w:eastAsia="黑体"/>
          <w:sz w:val="44"/>
          <w:szCs w:val="44"/>
        </w:rPr>
        <w:t xml:space="preserve">响应文件格式</w:t>
      </w:r>
      <w:bookmarkEnd w:id="262"/>
      <w:r/>
      <w:r/>
    </w:p>
    <w:p>
      <w:pPr>
        <w:jc w:val="center"/>
        <w:rPr>
          <w:rFonts w:ascii="Times New Roman" w:hAnsi="Times New Roman"/>
          <w:b/>
          <w:sz w:val="72"/>
          <w:szCs w:val="21"/>
        </w:rPr>
      </w:pPr>
      <w:r/>
      <w:bookmarkStart w:id="263" w:name="_Hlt26955039"/>
      <w:r/>
      <w:bookmarkEnd w:id="263"/>
      <w:r/>
      <w:bookmarkStart w:id="264" w:name="_Hlt26671244"/>
      <w:r/>
      <w:bookmarkEnd w:id="264"/>
      <w:r/>
      <w:bookmarkStart w:id="265" w:name="_Toc120614282"/>
      <w:r/>
      <w:bookmarkStart w:id="266" w:name="_Toc26554094"/>
      <w:r/>
      <w:bookmarkStart w:id="267" w:name="_Toc49090576"/>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jc w:val="center"/>
        <w:rPr>
          <w:rFonts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响应文件目录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一、磋商申请及声明</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二、供应商基本信息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三、特定资格要求的证明文件</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四、法人授权书</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五、中小企业声明函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六、磋商报价表及分项报价表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七</w:t>
      </w:r>
      <w:r>
        <w:rPr>
          <w:rFonts w:ascii="Times New Roman" w:hAnsi="Times New Roman"/>
          <w:sz w:val="24"/>
          <w:szCs w:val="21"/>
        </w:rPr>
        <w:t xml:space="preserve">、响应偏离表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八、项目实施方案</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九、项目组人员</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十、业绩</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十一、承诺函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十二、磋商所需其他材料</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1011"/>
        <w:rPr>
          <w:rFonts w:ascii="Times New Roman" w:hAnsi="Times New Roman"/>
          <w:iCs/>
          <w:szCs w:val="32"/>
        </w:rPr>
        <w:outlineLvl w:val="1"/>
      </w:pPr>
      <w:r>
        <w:rPr>
          <w:rFonts w:ascii="Times New Roman" w:hAnsi="Times New Roman"/>
          <w:iCs/>
          <w:szCs w:val="32"/>
        </w:rPr>
        <w:br w:type="page" w:clear="all"/>
      </w:r>
      <w:bookmarkStart w:id="268" w:name="_Toc160457396"/>
      <w:r>
        <w:rPr>
          <w:rFonts w:hint="eastAsia" w:ascii="Times New Roman" w:hAnsi="Times New Roman"/>
          <w:iCs/>
          <w:szCs w:val="32"/>
        </w:rPr>
        <w:t xml:space="preserve">一、</w:t>
      </w:r>
      <w:r>
        <w:rPr>
          <w:rFonts w:ascii="Times New Roman" w:hAnsi="Times New Roman"/>
          <w:iCs/>
          <w:szCs w:val="32"/>
        </w:rPr>
        <w:t xml:space="preserve">磋商申请及声明</w:t>
      </w:r>
      <w:bookmarkEnd w:id="268"/>
      <w:r/>
      <w:r/>
    </w:p>
    <w:p>
      <w:pPr>
        <w:pStyle w:val="998"/>
        <w:jc w:val="center"/>
        <w:rPr>
          <w:rFonts w:ascii="仿宋" w:hAnsi="仿宋" w:eastAsia="仿宋"/>
          <w:b/>
          <w:sz w:val="32"/>
          <w:szCs w:val="32"/>
        </w:rPr>
      </w:pPr>
      <w:r>
        <w:rPr>
          <w:rFonts w:hint="eastAsia" w:ascii="仿宋" w:hAnsi="仿宋" w:eastAsia="仿宋"/>
          <w:b/>
          <w:sz w:val="32"/>
          <w:szCs w:val="32"/>
        </w:rPr>
        <w:t xml:space="preserve">响应声明及承诺函</w:t>
      </w:r>
      <w:r/>
    </w:p>
    <w:p>
      <w:pPr>
        <w:pStyle w:val="998"/>
        <w:jc w:val="left"/>
        <w:spacing w:line="500" w:lineRule="exact"/>
        <w:rPr>
          <w:rFonts w:ascii="宋体" w:hAnsi="宋体" w:cs="宋体"/>
          <w:sz w:val="24"/>
          <w:szCs w:val="24"/>
          <w:u w:val="single"/>
        </w:rPr>
      </w:pPr>
      <w:r>
        <w:rPr>
          <w:rFonts w:hint="eastAsia" w:ascii="宋体" w:hAnsi="宋体" w:cs="宋体"/>
          <w:sz w:val="24"/>
          <w:szCs w:val="24"/>
          <w:u w:val="single"/>
        </w:rPr>
        <w:t xml:space="preserve">（采购单位名称）：</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项目的竞争性磋商文件，我单位在参加本项目竞争性磋商活动中，特做出如下承诺：</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998"/>
        <w:ind w:firstLine="480"/>
        <w:jc w:val="left"/>
        <w:spacing w:line="500" w:lineRule="exact"/>
        <w:rPr>
          <w:rFonts w:ascii="宋体" w:hAnsi="宋体" w:cs="宋体"/>
          <w:sz w:val="24"/>
          <w:szCs w:val="24"/>
        </w:rPr>
      </w:pPr>
      <w:r>
        <w:rPr>
          <w:rFonts w:ascii="宋体" w:hAnsi="宋体" w:cs="宋体"/>
          <w:sz w:val="24"/>
          <w:szCs w:val="24"/>
        </w:rPr>
      </w:r>
      <w:r/>
    </w:p>
    <w:p>
      <w:pPr>
        <w:pStyle w:val="998"/>
        <w:jc w:val="left"/>
        <w:spacing w:line="500" w:lineRule="exact"/>
        <w:rPr>
          <w:rFonts w:ascii="宋体" w:hAnsi="宋体" w:cs="宋体"/>
          <w:sz w:val="24"/>
          <w:szCs w:val="24"/>
        </w:rPr>
      </w:pPr>
      <w:r>
        <w:rPr>
          <w:rFonts w:ascii="宋体" w:hAnsi="宋体" w:cs="宋体"/>
          <w:sz w:val="24"/>
          <w:szCs w:val="24"/>
        </w:rPr>
      </w:r>
      <w:r/>
    </w:p>
    <w:p>
      <w:pPr>
        <w:pStyle w:val="998"/>
        <w:ind w:firstLine="480"/>
        <w:jc w:val="left"/>
        <w:spacing w:line="500" w:lineRule="exact"/>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ind w:firstLine="480"/>
        <w:spacing w:line="440" w:lineRule="exact"/>
        <w:rPr>
          <w:rFonts w:ascii="宋体" w:hAnsi="宋体" w:cs="宋体"/>
          <w:sz w:val="24"/>
          <w:szCs w:val="24"/>
        </w:rPr>
      </w:pPr>
      <w:r>
        <w:rPr>
          <w:rFonts w:hint="eastAsia" w:ascii="宋体" w:hAnsi="宋体" w:cs="宋体"/>
          <w:sz w:val="24"/>
          <w:szCs w:val="24"/>
        </w:rPr>
        <w:t xml:space="preserve">日期：    年    月   日</w:t>
      </w:r>
      <w:bookmarkEnd w:id="265"/>
      <w:r/>
      <w:bookmarkEnd w:id="266"/>
      <w:r/>
      <w:bookmarkEnd w:id="267"/>
      <w:r/>
      <w:r/>
    </w:p>
    <w:p>
      <w:pPr>
        <w:pStyle w:val="1011"/>
        <w:outlineLvl w:val="1"/>
      </w:pPr>
      <w:r/>
      <w:bookmarkStart w:id="269" w:name="_Toc27399"/>
      <w:r/>
      <w:bookmarkStart w:id="270" w:name="_Toc120614284"/>
      <w:r>
        <w:rPr>
          <w:rFonts w:hint="eastAsia" w:ascii="宋体" w:hAnsi="宋体" w:eastAsia="宋体" w:cs="宋体"/>
          <w:iCs/>
          <w:szCs w:val="32"/>
        </w:rPr>
        <w:br w:type="page" w:clear="all"/>
      </w:r>
      <w:bookmarkStart w:id="271" w:name="_Toc160457397"/>
      <w:r>
        <w:rPr>
          <w:rFonts w:hint="eastAsia" w:ascii="Times New Roman" w:hAnsi="Times New Roman"/>
          <w:iCs/>
          <w:szCs w:val="32"/>
        </w:rPr>
        <w:t xml:space="preserve">二</w:t>
      </w:r>
      <w:r>
        <w:t xml:space="preserve">、供应商基本信息</w:t>
      </w:r>
      <w:bookmarkEnd w:id="269"/>
      <w:r/>
      <w:bookmarkEnd w:id="271"/>
      <w:r/>
      <w:r/>
    </w:p>
    <w:p>
      <w:pPr>
        <w:pStyle w:val="1012"/>
        <w:jc w:val="center"/>
        <w:rPr>
          <w:rFonts w:ascii="宋体" w:hAnsi="宋体" w:cs="宋体"/>
          <w:sz w:val="32"/>
          <w:szCs w:val="24"/>
        </w:rPr>
      </w:pPr>
      <w:r>
        <w:rPr>
          <w:rFonts w:hint="eastAsia" w:ascii="宋体" w:hAnsi="宋体" w:cs="宋体"/>
          <w:sz w:val="32"/>
          <w:szCs w:val="24"/>
        </w:rPr>
        <w:t xml:space="preserve">供应商基本情况表</w:t>
      </w:r>
      <w:r/>
    </w:p>
    <w:tbl>
      <w:tblPr>
        <w:tblStyle w:val="71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供应商名称</w:t>
            </w:r>
            <w:r/>
          </w:p>
        </w:tc>
        <w:tc>
          <w:tcPr>
            <w:gridSpan w:val="3"/>
            <w:tcW w:w="699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法定代表人</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注册地区</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地址</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邮政编码</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成立时间</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单位性质</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注册号或社会信用代码</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注册资本（万元）</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供应商类别</w:t>
            </w:r>
            <w:r/>
          </w:p>
        </w:tc>
        <w:tc>
          <w:tcPr>
            <w:gridSpan w:val="3"/>
            <w:tcW w:w="699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开户银行</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账号</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联系人</w:t>
            </w:r>
            <w:r/>
          </w:p>
        </w:tc>
        <w:tc>
          <w:tcPr>
            <w:tcW w:w="3118"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联系电话</w:t>
            </w:r>
            <w:r/>
          </w:p>
        </w:tc>
        <w:tc>
          <w:tcPr>
            <w:tcW w:w="2604" w:type="dxa"/>
            <w:vAlign w:val="center"/>
            <w:textDirection w:val="lrTb"/>
            <w:noWrap w:val="false"/>
          </w:tcPr>
          <w:p>
            <w:pPr>
              <w:pStyle w:val="1012"/>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Height w:val="2376"/>
        </w:trPr>
        <w:tc>
          <w:tcPr>
            <w:tcW w:w="1526" w:type="dxa"/>
            <w:vAlign w:val="center"/>
            <w:textDirection w:val="lrTb"/>
            <w:noWrap w:val="false"/>
          </w:tcPr>
          <w:p>
            <w:pPr>
              <w:pStyle w:val="1012"/>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经营范围</w:t>
            </w:r>
            <w:r/>
          </w:p>
        </w:tc>
        <w:tc>
          <w:tcPr>
            <w:gridSpan w:val="3"/>
            <w:tcW w:w="6998" w:type="dxa"/>
            <w:vAlign w:val="center"/>
            <w:textDirection w:val="lrTb"/>
            <w:noWrap w:val="false"/>
          </w:tcPr>
          <w:p>
            <w:pPr>
              <w:pStyle w:val="1012"/>
              <w:ind w:firstLine="1433"/>
              <w:spacing w:line="560" w:lineRule="exact"/>
              <w:rPr>
                <w:rFonts w:ascii="宋体" w:hAnsi="宋体" w:cs="宋体"/>
                <w:color w:val="000000"/>
                <w:sz w:val="24"/>
                <w:szCs w:val="24"/>
              </w:rPr>
            </w:pPr>
            <w:r>
              <w:rPr>
                <w:rFonts w:ascii="宋体" w:hAnsi="宋体" w:cs="宋体"/>
                <w:color w:val="000000"/>
                <w:sz w:val="24"/>
                <w:szCs w:val="24"/>
              </w:rPr>
            </w:r>
            <w:r/>
          </w:p>
        </w:tc>
      </w:tr>
      <w:tr>
        <w:trPr>
          <w:jc w:val="center"/>
          <w:trHeight w:val="1134"/>
        </w:trPr>
        <w:tc>
          <w:tcPr>
            <w:tcW w:w="1526" w:type="dxa"/>
            <w:vAlign w:val="center"/>
            <w:textDirection w:val="lrTb"/>
            <w:noWrap w:val="false"/>
          </w:tcPr>
          <w:p>
            <w:pPr>
              <w:pStyle w:val="1012"/>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备注</w:t>
            </w:r>
            <w:r/>
          </w:p>
        </w:tc>
        <w:tc>
          <w:tcPr>
            <w:gridSpan w:val="3"/>
            <w:tcW w:w="6998" w:type="dxa"/>
            <w:vAlign w:val="center"/>
            <w:textDirection w:val="lrTb"/>
            <w:noWrap w:val="false"/>
          </w:tcPr>
          <w:p>
            <w:pPr>
              <w:pStyle w:val="1012"/>
              <w:jc w:val="center"/>
              <w:spacing w:line="500" w:lineRule="exact"/>
              <w:rPr>
                <w:rFonts w:ascii="宋体" w:hAnsi="宋体" w:cs="宋体"/>
                <w:color w:val="000000"/>
                <w:sz w:val="24"/>
                <w:szCs w:val="24"/>
              </w:rPr>
            </w:pPr>
            <w:r>
              <w:rPr>
                <w:rFonts w:ascii="宋体" w:hAnsi="宋体" w:cs="宋体"/>
                <w:color w:val="000000"/>
                <w:sz w:val="24"/>
                <w:szCs w:val="24"/>
              </w:rPr>
            </w:r>
            <w:r/>
          </w:p>
        </w:tc>
      </w:tr>
    </w:tbl>
    <w:p>
      <w:pPr>
        <w:pStyle w:val="1011"/>
        <w:rPr>
          <w:rFonts w:ascii="Times New Roman" w:hAnsi="Times New Roman"/>
          <w:szCs w:val="32"/>
        </w:rPr>
        <w:outlineLvl w:val="1"/>
      </w:pPr>
      <w:r>
        <w:rPr>
          <w:rFonts w:hint="eastAsia" w:ascii="仿宋" w:hAnsi="仿宋" w:eastAsia="仿宋"/>
          <w:iCs/>
          <w:sz w:val="24"/>
        </w:rPr>
        <w:br w:type="page" w:clear="all"/>
      </w:r>
      <w:bookmarkStart w:id="272" w:name="_Toc160457398"/>
      <w:r>
        <w:rPr>
          <w:rFonts w:hint="eastAsia" w:ascii="Times New Roman" w:hAnsi="Times New Roman"/>
          <w:szCs w:val="32"/>
        </w:rPr>
        <w:t xml:space="preserve">三、特定资格要求的证明文件</w:t>
      </w:r>
      <w:bookmarkEnd w:id="272"/>
      <w:r/>
      <w:r/>
    </w:p>
    <w:p>
      <w:pPr>
        <w:pStyle w:val="1011"/>
        <w:rPr>
          <w:rFonts w:ascii="Times New Roman" w:hAnsi="Times New Roman"/>
          <w:szCs w:val="32"/>
        </w:rPr>
        <w:outlineLvl w:val="1"/>
      </w:pPr>
      <w:r>
        <w:rPr>
          <w:rFonts w:ascii="Times New Roman" w:hAnsi="Times New Roman"/>
          <w:szCs w:val="32"/>
        </w:rPr>
      </w:r>
      <w:r/>
    </w:p>
    <w:p>
      <w:pPr>
        <w:ind w:firstLine="480"/>
        <w:spacing w:line="460" w:lineRule="exact"/>
        <w:rPr>
          <w:rFonts w:ascii="宋体" w:hAnsi="宋体" w:cs="宋体"/>
          <w:bCs/>
          <w:sz w:val="24"/>
          <w:szCs w:val="24"/>
        </w:rPr>
      </w:pPr>
      <w:r>
        <w:rPr>
          <w:rFonts w:hint="eastAsia" w:ascii="宋体" w:hAnsi="宋体" w:cs="宋体"/>
          <w:sz w:val="24"/>
          <w:szCs w:val="24"/>
        </w:rPr>
        <w:t xml:space="preserve">附营业执照、资质证书、安全生产许可证等资料。</w:t>
      </w:r>
      <w:r/>
    </w:p>
    <w:p>
      <w:pPr>
        <w:pStyle w:val="1011"/>
        <w:rPr>
          <w:rFonts w:ascii="Times New Roman" w:hAnsi="Times New Roman"/>
          <w:iCs/>
          <w:szCs w:val="32"/>
        </w:rPr>
        <w:outlineLvl w:val="1"/>
      </w:pPr>
      <w:r>
        <w:rPr>
          <w:rFonts w:hint="eastAsia" w:ascii="Times New Roman" w:hAnsi="Times New Roman"/>
          <w:iCs/>
          <w:szCs w:val="32"/>
        </w:rPr>
        <w:br w:type="page" w:clear="all"/>
      </w:r>
      <w:bookmarkStart w:id="273" w:name="_Toc160457399"/>
      <w:r>
        <w:rPr>
          <w:rFonts w:hint="eastAsia" w:ascii="Times New Roman" w:hAnsi="Times New Roman"/>
          <w:iCs/>
          <w:szCs w:val="32"/>
        </w:rPr>
        <w:t xml:space="preserve">四、法人授权书</w:t>
      </w:r>
      <w:bookmarkEnd w:id="273"/>
      <w:r/>
      <w:r/>
    </w:p>
    <w:p>
      <w:pPr>
        <w:ind w:firstLine="480"/>
        <w:tabs>
          <w:tab w:val="left" w:pos="360" w:leader="none"/>
        </w:tabs>
        <w:rPr>
          <w:rFonts w:ascii="宋体" w:hAnsi="宋体" w:cs="宋体"/>
          <w:sz w:val="24"/>
          <w:szCs w:val="24"/>
        </w:rPr>
      </w:pPr>
      <w:r>
        <w:rPr>
          <w:rFonts w:ascii="宋体" w:hAnsi="宋体" w:cs="宋体"/>
          <w:sz w:val="24"/>
          <w:szCs w:val="24"/>
        </w:rPr>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ind w:firstLine="1200"/>
        <w:spacing w:line="36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ind w:firstLine="480"/>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日期：</w:t>
      </w:r>
      <w:bookmarkStart w:id="274" w:name="_格式3__银行出具的资信证明"/>
      <w:r/>
      <w:bookmarkEnd w:id="274"/>
      <w:r/>
      <w:bookmarkStart w:id="275" w:name="_Hlt26955070"/>
      <w:r/>
      <w:bookmarkEnd w:id="275"/>
      <w:r/>
      <w:bookmarkStart w:id="276" w:name="_Hlt26671380"/>
      <w:r/>
      <w:bookmarkEnd w:id="276"/>
      <w:r>
        <w:rPr>
          <w:rFonts w:hint="eastAsia" w:ascii="宋体" w:hAnsi="宋体" w:cs="宋体"/>
          <w:sz w:val="24"/>
          <w:szCs w:val="24"/>
          <w:u w:val="single"/>
        </w:rPr>
        <w:t xml:space="preserve">                                            </w:t>
      </w:r>
      <w:r/>
    </w:p>
    <w:p>
      <w:pPr>
        <w:pStyle w:val="1011"/>
        <w:rPr>
          <w:rFonts w:ascii="Times New Roman" w:hAnsi="Times New Roman"/>
          <w:szCs w:val="32"/>
        </w:rPr>
        <w:outlineLvl w:val="1"/>
      </w:pPr>
      <w:r>
        <w:rPr>
          <w:rFonts w:hint="eastAsia" w:ascii="宋体" w:hAnsi="宋体" w:eastAsia="宋体" w:cs="宋体"/>
          <w:b w:val="0"/>
          <w:sz w:val="24"/>
          <w:szCs w:val="44"/>
        </w:rPr>
        <w:br w:type="page" w:clear="all"/>
      </w:r>
      <w:bookmarkStart w:id="277" w:name="_Toc160457400"/>
      <w:r>
        <w:rPr>
          <w:rFonts w:hint="eastAsia" w:ascii="Times New Roman" w:hAnsi="Times New Roman"/>
          <w:iCs/>
          <w:szCs w:val="32"/>
        </w:rPr>
        <w:t xml:space="preserve">五、中小（微）企业声明函（工程）</w:t>
      </w:r>
      <w:bookmarkEnd w:id="277"/>
      <w:r/>
      <w:r/>
    </w:p>
    <w:p>
      <w:pPr>
        <w:ind w:firstLine="360"/>
        <w:jc w:val="center"/>
        <w:spacing w:line="560" w:lineRule="exact"/>
        <w:rPr>
          <w:rFonts w:ascii="宋体" w:hAnsi="宋体" w:cs="宋体"/>
          <w:sz w:val="32"/>
          <w:szCs w:val="24"/>
        </w:rPr>
      </w:pPr>
      <w:r>
        <w:rPr>
          <w:rFonts w:hint="eastAsia" w:ascii="Times New Roman" w:hAnsi="Times New Roman"/>
          <w:iCs/>
          <w:sz w:val="24"/>
          <w:szCs w:val="32"/>
        </w:rPr>
        <w:t xml:space="preserve">中小（微）企业声明函（工程）</w:t>
      </w:r>
      <w:r/>
    </w:p>
    <w:p>
      <w:pPr>
        <w:ind w:firstLine="360"/>
        <w:spacing w:line="560" w:lineRule="exact"/>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（项目名称）          </w:t>
      </w:r>
      <w:r>
        <w:rPr>
          <w:rFonts w:hint="eastAsia" w:ascii="宋体" w:hAnsi="宋体" w:cs="宋体"/>
          <w:sz w:val="24"/>
          <w:szCs w:val="24"/>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560" w:lineRule="exact"/>
        <w:rPr>
          <w:rFonts w:ascii="宋体" w:hAnsi="宋体" w:cs="宋体"/>
          <w:sz w:val="24"/>
          <w:szCs w:val="24"/>
        </w:rPr>
      </w:pPr>
      <w:r>
        <w:rPr>
          <w:rFonts w:hint="eastAsia" w:ascii="宋体" w:hAnsi="宋体" w:cs="宋体"/>
          <w:sz w:val="24"/>
          <w:szCs w:val="24"/>
        </w:rPr>
        <w:t xml:space="preserve">……</w:t>
      </w:r>
      <w:r/>
    </w:p>
    <w:p>
      <w:pPr>
        <w:ind w:firstLine="360"/>
        <w:spacing w:line="5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60" w:lineRule="exact"/>
        <w:rPr>
          <w:rFonts w:ascii="宋体" w:hAnsi="宋体" w:cs="宋体"/>
          <w:sz w:val="24"/>
          <w:szCs w:val="24"/>
        </w:rPr>
      </w:pPr>
      <w:r>
        <w:rPr>
          <w:rFonts w:ascii="宋体" w:hAnsi="宋体" w:cs="宋体"/>
          <w:sz w:val="24"/>
          <w:szCs w:val="24"/>
        </w:rPr>
      </w:r>
      <w:r/>
    </w:p>
    <w:p>
      <w:pPr>
        <w:ind w:right="180" w:firstLine="360"/>
        <w:jc w:val="right"/>
        <w:spacing w:line="560" w:lineRule="exact"/>
        <w:rPr>
          <w:rFonts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60" w:lineRule="exact"/>
        <w:rPr>
          <w:rFonts w:ascii="宋体" w:hAnsi="宋体" w:cs="宋体"/>
          <w:sz w:val="24"/>
          <w:szCs w:val="24"/>
        </w:rPr>
      </w:pPr>
      <w:r>
        <w:rPr>
          <w:rFonts w:hint="eastAsia" w:ascii="宋体" w:hAnsi="宋体" w:cs="宋体"/>
          <w:sz w:val="24"/>
          <w:szCs w:val="24"/>
        </w:rPr>
        <w:t xml:space="preserve">日  期：</w:t>
      </w:r>
      <w:r/>
    </w:p>
    <w:p>
      <w:pPr>
        <w:ind w:firstLine="24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s="宋体"/>
          <w:sz w:val="24"/>
          <w:szCs w:val="24"/>
        </w:rPr>
      </w:pPr>
      <w:r>
        <w:rPr>
          <w:rFonts w:hint="eastAsia" w:ascii="宋体" w:hAnsi="宋体" w:cs="宋体"/>
          <w:sz w:val="24"/>
          <w:szCs w:val="24"/>
        </w:rPr>
        <w:t xml:space="preserve">备注2：供应商如不提供此声明函，价格将不做相应扣除。</w:t>
      </w:r>
      <w:r/>
    </w:p>
    <w:p>
      <w:pPr>
        <w:pStyle w:val="1011"/>
        <w:rPr>
          <w:rFonts w:ascii="Times New Roman" w:hAnsi="Times New Roman"/>
          <w:b w:val="0"/>
          <w:szCs w:val="32"/>
        </w:rPr>
        <w:outlineLvl w:val="1"/>
      </w:pPr>
      <w:r>
        <w:rPr>
          <w:rFonts w:hint="eastAsia" w:ascii="宋体" w:hAnsi="宋体" w:eastAsia="宋体" w:cs="宋体"/>
          <w:b w:val="0"/>
          <w:szCs w:val="32"/>
        </w:rPr>
        <w:br w:type="page" w:clear="all"/>
      </w:r>
      <w:bookmarkStart w:id="278" w:name="_Toc160457401"/>
      <w:r>
        <w:rPr>
          <w:rFonts w:hint="eastAsia" w:ascii="Times New Roman" w:hAnsi="Times New Roman"/>
          <w:iCs/>
          <w:szCs w:val="32"/>
        </w:rPr>
        <w:t xml:space="preserve">五、</w:t>
      </w:r>
      <w:r>
        <w:rPr>
          <w:rFonts w:hint="eastAsia" w:ascii="Times New Roman" w:hAnsi="Times New Roman"/>
          <w:b w:val="0"/>
          <w:szCs w:val="32"/>
        </w:rPr>
        <w:t xml:space="preserve">残疾人福利性单位声明函</w:t>
      </w:r>
      <w:bookmarkEnd w:id="278"/>
      <w:r/>
      <w:r/>
    </w:p>
    <w:p>
      <w:pPr>
        <w:ind w:firstLine="480"/>
        <w:spacing w:line="588" w:lineRule="exact"/>
        <w:rPr>
          <w:rFonts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ascii="宋体" w:hAnsi="宋体" w:cs="宋体"/>
          <w:sz w:val="24"/>
          <w:szCs w:val="21"/>
        </w:rPr>
      </w:pPr>
      <w:r>
        <w:rPr>
          <w:rFonts w:ascii="宋体" w:hAnsi="宋体" w:cs="宋体"/>
          <w:sz w:val="24"/>
          <w:szCs w:val="21"/>
        </w:rPr>
      </w:r>
      <w:r/>
    </w:p>
    <w:p>
      <w:pPr>
        <w:ind w:firstLine="480"/>
        <w:spacing w:line="588" w:lineRule="exact"/>
        <w:rPr>
          <w:rFonts w:ascii="宋体" w:hAnsi="宋体" w:cs="宋体"/>
          <w:sz w:val="24"/>
          <w:szCs w:val="21"/>
        </w:rPr>
      </w:pPr>
      <w:r>
        <w:rPr>
          <w:rFonts w:hint="eastAsia" w:ascii="宋体" w:hAnsi="宋体" w:cs="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88"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ind w:right="1560" w:firstLine="480"/>
        <w:jc w:val="center"/>
        <w:spacing w:line="588" w:lineRule="exact"/>
        <w:tabs>
          <w:tab w:val="left" w:pos="4860" w:leader="none"/>
        </w:tabs>
        <w:rPr>
          <w:rFonts w:ascii="宋体" w:hAnsi="宋体" w:cs="宋体"/>
          <w:sz w:val="24"/>
          <w:szCs w:val="21"/>
        </w:rPr>
      </w:pPr>
      <w:r>
        <w:rPr>
          <w:rFonts w:hint="eastAsia" w:ascii="宋体" w:hAnsi="宋体" w:cs="宋体"/>
          <w:sz w:val="24"/>
          <w:szCs w:val="21"/>
        </w:rPr>
        <w:t xml:space="preserve"> 日  期：</w:t>
      </w:r>
      <w:r/>
    </w:p>
    <w:p>
      <w:pPr>
        <w:pStyle w:val="1011"/>
        <w:outlineLvl w:val="1"/>
      </w:pPr>
      <w:r>
        <w:rPr>
          <w:rFonts w:hint="eastAsia" w:ascii="宋体" w:hAnsi="宋体" w:eastAsia="宋体" w:cs="宋体"/>
          <w:b w:val="0"/>
          <w:szCs w:val="32"/>
        </w:rPr>
        <w:br w:type="page" w:clear="all"/>
      </w:r>
      <w:bookmarkStart w:id="279" w:name="_Toc160457402"/>
      <w:r>
        <w:rPr>
          <w:rFonts w:hint="eastAsia"/>
          <w:b w:val="0"/>
        </w:rPr>
        <w:t xml:space="preserve">六</w:t>
      </w:r>
      <w:r>
        <w:t xml:space="preserve">、</w:t>
      </w:r>
      <w:r>
        <w:rPr>
          <w:rFonts w:hint="eastAsia"/>
        </w:rPr>
        <w:t xml:space="preserve">磋商报价表及分项报价</w:t>
      </w:r>
      <w:r>
        <w:t xml:space="preserve">表</w:t>
      </w:r>
      <w:r/>
    </w:p>
    <w:p>
      <w:pPr>
        <w:pStyle w:val="1319"/>
        <w:spacing w:line="48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pStyle w:val="1319"/>
        <w:jc w:val="center"/>
        <w:spacing w:line="480" w:lineRule="exact"/>
        <w:rPr>
          <w:rFonts w:ascii="黑体" w:hAnsi="黑体" w:eastAsia="黑体" w:cs="黑体"/>
          <w:sz w:val="32"/>
        </w:rPr>
      </w:pPr>
      <w:r>
        <w:rPr>
          <w:rFonts w:hint="eastAsia" w:ascii="方正仿宋_GBK" w:hAnsi="方正仿宋_GBK" w:eastAsia="方正仿宋_GBK" w:cs="方正仿宋_GBK"/>
          <w:b/>
          <w:sz w:val="32"/>
          <w:szCs w:val="24"/>
        </w:rPr>
        <w:t xml:space="preserve">（一）磋商报价表</w:t>
      </w:r>
      <w:r/>
    </w:p>
    <w:p>
      <w:pPr>
        <w:pStyle w:val="1319"/>
        <w:spacing w:line="480" w:lineRule="exact"/>
        <w:rPr>
          <w:rFonts w:ascii="宋体" w:hAnsi="宋体"/>
          <w:sz w:val="24"/>
          <w:szCs w:val="24"/>
        </w:rPr>
      </w:pPr>
      <w:r>
        <w:rPr>
          <w:rFonts w:hint="eastAsia" w:ascii="宋体" w:hAnsi="宋体"/>
          <w:sz w:val="24"/>
          <w:szCs w:val="24"/>
        </w:rPr>
        <w:t xml:space="preserve">本次为首次报价</w:t>
      </w:r>
      <w:r/>
    </w:p>
    <w:p>
      <w:pPr>
        <w:pStyle w:val="1319"/>
        <w:spacing w:line="480" w:lineRule="exact"/>
        <w:rPr>
          <w:rFonts w:ascii="宋体" w:hAnsi="宋体"/>
          <w:sz w:val="24"/>
          <w:szCs w:val="24"/>
        </w:rPr>
      </w:pPr>
      <w:r>
        <w:rPr>
          <w:rFonts w:hint="eastAsia" w:ascii="宋体" w:hAnsi="宋体"/>
          <w:sz w:val="24"/>
          <w:szCs w:val="24"/>
        </w:rPr>
        <w:t xml:space="preserve">货币单位：人民币元</w:t>
      </w:r>
      <w:r/>
    </w:p>
    <w:p>
      <w:pPr>
        <w:spacing w:line="360" w:lineRule="auto"/>
        <w:rPr>
          <w:rFonts w:ascii="宋体" w:hAnsi="宋体" w:cs="宋体"/>
          <w:szCs w:val="21"/>
        </w:rPr>
      </w:pPr>
      <w:r>
        <w:rPr>
          <w:rFonts w:hint="eastAsia" w:ascii="宋体" w:hAnsi="宋体" w:cs="宋体"/>
          <w:szCs w:val="21"/>
        </w:rPr>
        <w:t xml:space="preserve">                               </w:t>
      </w:r>
      <w:r/>
    </w:p>
    <w:tbl>
      <w:tblPr>
        <w:tblStyle w:val="71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val="false"/>
          </w:tcPr>
          <w:p>
            <w:pPr>
              <w:pStyle w:val="734"/>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76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1071"/>
        </w:trPr>
        <w:tc>
          <w:tcPr>
            <w:tcW w:w="1913" w:type="dxa"/>
            <w:vAlign w:val="center"/>
            <w:textDirection w:val="lrTb"/>
            <w:noWrap w:val="false"/>
          </w:tcPr>
          <w:p>
            <w:pPr>
              <w:pStyle w:val="734"/>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项目编号：    </w:t>
            </w:r>
            <w:r/>
          </w:p>
        </w:tc>
        <w:tc>
          <w:tcPr>
            <w:tcW w:w="676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1964"/>
        </w:trPr>
        <w:tc>
          <w:tcPr>
            <w:tcW w:w="1913" w:type="dxa"/>
            <w:vAlign w:val="center"/>
            <w:textDirection w:val="lrTb"/>
            <w:noWrap w:val="false"/>
          </w:tcPr>
          <w:p>
            <w:pPr>
              <w:pStyle w:val="734"/>
              <w:spacing w:line="360" w:lineRule="auto"/>
              <w:rPr>
                <w:rFonts w:ascii="宋体" w:hAnsi="宋体" w:eastAsia="宋体" w:cs="宋体"/>
                <w:sz w:val="24"/>
                <w:szCs w:val="24"/>
              </w:rPr>
            </w:pPr>
            <w:r>
              <w:rPr>
                <w:rFonts w:hint="eastAsia" w:ascii="宋体" w:hAnsi="宋体" w:eastAsia="宋体" w:cs="宋体"/>
                <w:sz w:val="24"/>
                <w:szCs w:val="24"/>
              </w:rPr>
              <w:t xml:space="preserve">磋商</w:t>
            </w:r>
            <w:r>
              <w:rPr>
                <w:rFonts w:ascii="宋体" w:hAnsi="宋体" w:eastAsia="宋体" w:cs="宋体"/>
                <w:sz w:val="24"/>
                <w:szCs w:val="24"/>
              </w:rPr>
              <w:t xml:space="preserve">报价</w:t>
            </w:r>
            <w:r/>
          </w:p>
        </w:tc>
        <w:tc>
          <w:tcPr>
            <w:tcW w:w="6765" w:type="dxa"/>
            <w:vAlign w:val="center"/>
            <w:textDirection w:val="lrTb"/>
            <w:noWrap w:val="false"/>
          </w:tcPr>
          <w:p>
            <w:pPr>
              <w:pStyle w:val="734"/>
              <w:spacing w:line="360" w:lineRule="auto"/>
              <w:rPr>
                <w:rFonts w:ascii="宋体" w:hAnsi="宋体" w:eastAsia="宋体" w:cs="宋体"/>
                <w:sz w:val="24"/>
                <w:szCs w:val="24"/>
                <w:u w:val="single"/>
              </w:rPr>
            </w:pPr>
            <w:r>
              <w:rPr>
                <w:rFonts w:hint="eastAsia" w:ascii="宋体" w:hAnsi="宋体" w:eastAsia="宋体" w:cs="宋体"/>
                <w:sz w:val="24"/>
                <w:szCs w:val="24"/>
              </w:rPr>
              <w:t xml:space="preserve">大写： </w:t>
            </w:r>
            <w:r>
              <w:rPr>
                <w:rFonts w:ascii="宋体" w:hAnsi="宋体" w:eastAsia="宋体" w:cs="宋体"/>
                <w:sz w:val="24"/>
                <w:szCs w:val="24"/>
              </w:rPr>
              <w:t xml:space="preserve">        </w:t>
            </w:r>
            <w:r/>
          </w:p>
          <w:p>
            <w:pPr>
              <w:pStyle w:val="968"/>
              <w:ind w:firstLine="0"/>
              <w:spacing w:before="0" w:after="0"/>
              <w:rPr>
                <w:rFonts w:ascii="宋体" w:hAnsi="宋体" w:cs="宋体"/>
              </w:rPr>
            </w:pPr>
            <w:r>
              <w:rPr>
                <w:rFonts w:hint="eastAsia" w:ascii="宋体" w:hAnsi="宋体" w:cs="宋体"/>
              </w:rPr>
              <w:t xml:space="preserve">小写：                             （人民币）</w:t>
            </w:r>
            <w:r/>
          </w:p>
        </w:tc>
      </w:tr>
      <w:tr>
        <w:trPr>
          <w:cantSplit/>
          <w:jc w:val="center"/>
          <w:trHeight w:val="1362"/>
        </w:trPr>
        <w:tc>
          <w:tcPr>
            <w:tcW w:w="1913" w:type="dxa"/>
            <w:vAlign w:val="center"/>
            <w:textDirection w:val="lrTb"/>
            <w:noWrap w:val="false"/>
          </w:tcPr>
          <w:p>
            <w:pPr>
              <w:pStyle w:val="734"/>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c>
          <w:tcPr>
            <w:tcW w:w="6765" w:type="dxa"/>
            <w:vAlign w:val="center"/>
            <w:textDirection w:val="lrTb"/>
            <w:noWrap w:val="false"/>
          </w:tcPr>
          <w:p>
            <w:pPr>
              <w:pStyle w:val="734"/>
              <w:ind w:firstLine="1365"/>
              <w:spacing w:line="360" w:lineRule="auto"/>
              <w:rPr>
                <w:rFonts w:ascii="宋体" w:hAnsi="宋体" w:eastAsia="宋体" w:cs="宋体"/>
                <w:sz w:val="24"/>
                <w:szCs w:val="24"/>
              </w:rPr>
            </w:pPr>
            <w:r>
              <w:rPr>
                <w:rFonts w:ascii="宋体" w:hAnsi="宋体" w:eastAsia="宋体" w:cs="宋体"/>
                <w:sz w:val="24"/>
                <w:szCs w:val="24"/>
              </w:rPr>
            </w:r>
            <w:r/>
          </w:p>
        </w:tc>
      </w:tr>
    </w:tbl>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1319"/>
        <w:spacing w:line="480" w:lineRule="exact"/>
        <w:rPr>
          <w:rFonts w:ascii="宋体" w:hAnsi="宋体"/>
          <w:sz w:val="24"/>
          <w:szCs w:val="24"/>
        </w:rPr>
      </w:pPr>
      <w:r>
        <w:rPr>
          <w:rFonts w:hint="eastAsia" w:ascii="宋体" w:hAnsi="宋体"/>
          <w:sz w:val="24"/>
          <w:szCs w:val="24"/>
        </w:rPr>
        <w:t xml:space="preserve">供应商（CA电子签章）：</w:t>
      </w:r>
      <w:r/>
    </w:p>
    <w:p>
      <w:pPr>
        <w:pStyle w:val="1319"/>
        <w:spacing w:line="480" w:lineRule="exact"/>
        <w:rPr>
          <w:rFonts w:ascii="宋体" w:hAnsi="宋体"/>
          <w:sz w:val="24"/>
          <w:szCs w:val="24"/>
        </w:rPr>
      </w:pPr>
      <w:r>
        <w:rPr>
          <w:rFonts w:hint="eastAsia" w:ascii="宋体" w:hAnsi="宋体"/>
          <w:sz w:val="24"/>
          <w:szCs w:val="24"/>
        </w:rPr>
        <w:t xml:space="preserve">供应商名称：</w:t>
      </w:r>
      <w:r/>
    </w:p>
    <w:p>
      <w:pPr>
        <w:pStyle w:val="1319"/>
        <w:spacing w:line="480" w:lineRule="exact"/>
        <w:rPr>
          <w:rFonts w:ascii="宋体" w:hAnsi="宋体"/>
          <w:sz w:val="24"/>
          <w:szCs w:val="24"/>
        </w:rPr>
      </w:pPr>
      <w:r>
        <w:rPr>
          <w:rFonts w:hint="eastAsia" w:ascii="宋体" w:hAnsi="宋体"/>
          <w:sz w:val="24"/>
          <w:szCs w:val="24"/>
        </w:rPr>
        <w:t xml:space="preserve">日期：   年   月   日</w:t>
      </w:r>
      <w:r/>
    </w:p>
    <w:p>
      <w:pPr>
        <w:pStyle w:val="1011"/>
        <w:outlineLvl w:val="1"/>
      </w:pPr>
      <w:r/>
      <w:r/>
    </w:p>
    <w:p>
      <w:pPr>
        <w:pStyle w:val="1011"/>
        <w:outlineLvl w:val="1"/>
      </w:pPr>
      <w:r/>
      <w:r/>
    </w:p>
    <w:p>
      <w:pPr>
        <w:pStyle w:val="1011"/>
        <w:outlineLvl w:val="1"/>
      </w:pPr>
      <w:r/>
      <w:r/>
    </w:p>
    <w:p>
      <w:pPr>
        <w:pStyle w:val="1011"/>
        <w:outlineLvl w:val="1"/>
      </w:pPr>
      <w:r/>
      <w:r/>
    </w:p>
    <w:p>
      <w:pPr>
        <w:pStyle w:val="1011"/>
        <w:outlineLvl w:val="1"/>
      </w:pPr>
      <w:r/>
      <w:r/>
    </w:p>
    <w:p>
      <w:pPr>
        <w:pStyle w:val="1011"/>
        <w:outlineLvl w:val="1"/>
      </w:pPr>
      <w:r/>
      <w:r/>
    </w:p>
    <w:p>
      <w:pPr>
        <w:pStyle w:val="1011"/>
        <w:outlineLvl w:val="1"/>
      </w:pPr>
      <w:r/>
      <w:r/>
    </w:p>
    <w:p>
      <w:pPr>
        <w:pStyle w:val="1011"/>
        <w:outlineLvl w:val="1"/>
      </w:pPr>
      <w:r/>
      <w:r/>
    </w:p>
    <w:p>
      <w:pPr>
        <w:pStyle w:val="1319"/>
        <w:jc w:val="center"/>
        <w:spacing w:line="480" w:lineRule="exact"/>
        <w:rPr>
          <w:rFonts w:ascii="方正仿宋_GBK" w:hAnsi="方正仿宋_GBK" w:eastAsia="方正仿宋_GBK" w:cs="方正仿宋_GBK"/>
          <w:b/>
          <w:sz w:val="32"/>
          <w:szCs w:val="24"/>
        </w:rPr>
        <w:sectPr>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pPr>
      <w:r>
        <w:rPr>
          <w:rFonts w:ascii="方正仿宋_GBK" w:hAnsi="方正仿宋_GBK" w:eastAsia="方正仿宋_GBK" w:cs="方正仿宋_GBK"/>
          <w:b/>
          <w:sz w:val="32"/>
          <w:szCs w:val="24"/>
        </w:rPr>
      </w:r>
      <w:r/>
    </w:p>
    <w:p>
      <w:pPr>
        <w:pStyle w:val="1319"/>
        <w:jc w:val="center"/>
        <w:spacing w:line="480" w:lineRule="exact"/>
        <w:rPr>
          <w:rFonts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t xml:space="preserve">（二）分项报价表</w:t>
      </w:r>
      <w:r/>
    </w:p>
    <w:p>
      <w:pPr>
        <w:pStyle w:val="735"/>
        <w:rPr>
          <w:rFonts w:ascii="宋体" w:hAnsi="宋体" w:cs="宋体"/>
          <w:szCs w:val="21"/>
        </w:rPr>
      </w:pPr>
      <w:r>
        <w:rPr>
          <w:rFonts w:ascii="宋体" w:hAnsi="宋体" w:cs="宋体"/>
          <w:szCs w:val="21"/>
        </w:rPr>
      </w:r>
      <w:r/>
    </w:p>
    <w:tbl>
      <w:tblPr>
        <w:tblStyle w:val="775"/>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378"/>
        <w:gridCol w:w="4626"/>
        <w:gridCol w:w="993"/>
        <w:gridCol w:w="992"/>
        <w:gridCol w:w="1417"/>
        <w:gridCol w:w="1560"/>
        <w:gridCol w:w="1249"/>
      </w:tblGrid>
      <w:tr>
        <w:trPr>
          <w:trHeight w:val="514"/>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序号</w:t>
            </w:r>
            <w:r/>
          </w:p>
        </w:tc>
        <w:tc>
          <w:tcPr>
            <w:tcW w:w="237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分项工程名称</w:t>
            </w:r>
            <w:r/>
          </w:p>
        </w:tc>
        <w:tc>
          <w:tcPr>
            <w:tcW w:w="462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规格型号</w:t>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单位</w:t>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数量</w:t>
            </w:r>
            <w:r/>
          </w:p>
        </w:tc>
        <w:tc>
          <w:tcPr>
            <w:tcBorders>
              <w:right w:val="single" w:color="auto" w:sz="4" w:space="0"/>
            </w:tcBorders>
            <w:tcW w:w="141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单价（元）</w:t>
            </w:r>
            <w:r/>
          </w:p>
        </w:tc>
        <w:tc>
          <w:tcPr>
            <w:tcBorders>
              <w:left w:val="single" w:color="auto" w:sz="4" w:space="0"/>
              <w:right w:val="single" w:color="auto" w:sz="4" w:space="0"/>
            </w:tcBorders>
            <w:tcW w:w="15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合价（元）</w:t>
            </w:r>
            <w:r/>
          </w:p>
        </w:tc>
        <w:tc>
          <w:tcPr>
            <w:tcBorders>
              <w:left w:val="single" w:color="auto" w:sz="4" w:space="0"/>
            </w:tcBorders>
            <w:tcW w:w="12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备注</w:t>
            </w:r>
            <w:r/>
          </w:p>
        </w:tc>
      </w:tr>
      <w:tr>
        <w:trPr>
          <w:trHeight w:val="514"/>
        </w:trPr>
        <w:tc>
          <w:tcPr>
            <w:gridSpan w:val="8"/>
            <w:tcW w:w="1414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分项目一：皂河站高压开关柜改造</w:t>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6"/>
            <w:tcBorders>
              <w:right w:val="single" w:color="auto" w:sz="4" w:space="0"/>
            </w:tcBorders>
            <w:tcW w:w="1133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小计</w:t>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8"/>
            <w:tcW w:w="141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分项目二：皂河站低压开关柜改造</w:t>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6"/>
            <w:tcBorders>
              <w:right w:val="single" w:color="auto" w:sz="4" w:space="0"/>
            </w:tcBorders>
            <w:tcW w:w="1133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小计</w:t>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8"/>
            <w:tcW w:w="141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分项目三：皂河站辅机控制系统改造</w:t>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tcW w:w="92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78"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62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1417"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6"/>
            <w:tcBorders>
              <w:right w:val="single" w:color="auto" w:sz="4" w:space="0"/>
            </w:tcBorders>
            <w:tcW w:w="1133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小计</w:t>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90"/>
        </w:trPr>
        <w:tc>
          <w:tcPr>
            <w:gridSpan w:val="6"/>
            <w:tcBorders>
              <w:right w:val="single" w:color="auto" w:sz="4" w:space="0"/>
            </w:tcBorders>
            <w:tcW w:w="1133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合计</w:t>
            </w:r>
            <w:r/>
          </w:p>
        </w:tc>
        <w:tc>
          <w:tcPr>
            <w:tcBorders>
              <w:left w:val="single" w:color="auto" w:sz="4" w:space="0"/>
              <w:right w:val="single" w:color="auto" w:sz="4" w:space="0"/>
            </w:tcBorders>
            <w:tcW w:w="156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24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szCs w:val="21"/>
        </w:rPr>
      </w:pPr>
      <w:r>
        <w:rPr>
          <w:rFonts w:hint="eastAsia" w:ascii="宋体" w:hAnsi="宋体"/>
          <w:szCs w:val="21"/>
        </w:rPr>
        <w:t xml:space="preserve">注：本次为首轮报价，分项报价表即按照附件提供的工程量清单的格式进行填报，分别填报单价和合价，要求填报完整，漏报项视为价格已分摊到其他清单项中。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1、供应商必须按表中规定格式完整、清晰、正确填写，没有的应注明“无”字样，不得缺项。</w:t>
      </w:r>
      <w:r/>
    </w:p>
    <w:p>
      <w:pPr>
        <w:ind w:firstLine="420"/>
        <w:spacing w:line="360" w:lineRule="auto"/>
        <w:rPr>
          <w:rFonts w:ascii="宋体" w:hAnsi="宋体"/>
          <w:szCs w:val="21"/>
        </w:rPr>
      </w:pPr>
      <w:r>
        <w:rPr>
          <w:rFonts w:hint="eastAsia" w:ascii="宋体" w:hAnsi="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ascii="宋体" w:hAnsi="宋体" w:cs="宋体"/>
          <w:szCs w:val="21"/>
        </w:rPr>
      </w:pPr>
      <w:r>
        <w:rPr>
          <w:rFonts w:hint="eastAsia" w:ascii="宋体" w:hAnsi="宋体" w:cs="宋体"/>
          <w:szCs w:val="21"/>
        </w:rPr>
        <w:t xml:space="preserve">3、单价和总价均应包括但不限于所有施工、设备、材料、税金、包装费、运杂费、保险费、卸力费、安装调试费、资料费、保修期内维修费用等直至完全交付采购人使用的所有费用。</w:t>
      </w:r>
      <w:r/>
    </w:p>
    <w:p>
      <w:pPr>
        <w:ind w:firstLine="420"/>
        <w:spacing w:line="360" w:lineRule="auto"/>
        <w:rPr>
          <w:rFonts w:ascii="宋体" w:hAnsi="宋体"/>
          <w:szCs w:val="21"/>
        </w:rPr>
      </w:pPr>
      <w:r>
        <w:rPr>
          <w:rFonts w:hint="eastAsia" w:ascii="宋体" w:hAnsi="宋体"/>
          <w:szCs w:val="21"/>
        </w:rPr>
        <w:t xml:space="preserve">4、</w:t>
      </w:r>
      <w:r>
        <w:rPr>
          <w:rFonts w:ascii="Segoe UI" w:hAnsi="Segoe UI" w:cs="Segoe UI"/>
          <w:color w:val="0f1115"/>
          <w:shd w:val="clear" w:color="auto" w:fill="ffffff"/>
        </w:rPr>
        <w:t xml:space="preserve">我方承诺：成交后以最终总报价为结算总价上限，并依据首轮投标报价的明细构成，按同一比例将各分项单价统一下调至合价总额与最终总报价一致；调整后的明细报价提交采购人书面审核，审核通过后即作为本项目后期按实结算的固定单价标准，结算时以该单价和采购人确认的实际验收数量据实计算，最终支付总额不超出成交总报价。</w:t>
      </w:r>
      <w:r/>
    </w:p>
    <w:p>
      <w:pPr>
        <w:pStyle w:val="1319"/>
        <w:spacing w:line="480" w:lineRule="exact"/>
        <w:rPr>
          <w:rFonts w:ascii="宋体" w:hAnsi="宋体"/>
          <w:sz w:val="24"/>
          <w:szCs w:val="24"/>
        </w:rPr>
      </w:pPr>
      <w:r>
        <w:rPr>
          <w:rFonts w:ascii="宋体" w:hAnsi="宋体"/>
          <w:sz w:val="24"/>
          <w:szCs w:val="24"/>
        </w:rPr>
      </w:r>
      <w:r/>
    </w:p>
    <w:p>
      <w:pPr>
        <w:pStyle w:val="1319"/>
        <w:spacing w:line="480" w:lineRule="exact"/>
        <w:rPr>
          <w:rFonts w:ascii="宋体" w:hAnsi="宋体"/>
          <w:sz w:val="24"/>
          <w:szCs w:val="24"/>
        </w:rPr>
      </w:pPr>
      <w:r>
        <w:rPr>
          <w:rFonts w:ascii="宋体" w:hAnsi="宋体"/>
          <w:sz w:val="24"/>
          <w:szCs w:val="24"/>
        </w:rPr>
      </w:r>
      <w:r/>
    </w:p>
    <w:p>
      <w:pPr>
        <w:pStyle w:val="1319"/>
        <w:spacing w:line="480" w:lineRule="exact"/>
        <w:rPr>
          <w:rFonts w:ascii="宋体" w:hAnsi="宋体"/>
          <w:sz w:val="24"/>
          <w:szCs w:val="24"/>
        </w:rPr>
      </w:pPr>
      <w:r>
        <w:rPr>
          <w:rFonts w:hint="eastAsia" w:ascii="宋体" w:hAnsi="宋体"/>
          <w:sz w:val="24"/>
          <w:szCs w:val="24"/>
        </w:rPr>
        <w:t xml:space="preserve">供应商（CA电子签章）：</w:t>
      </w:r>
      <w:r/>
    </w:p>
    <w:p>
      <w:pPr>
        <w:pStyle w:val="1319"/>
        <w:spacing w:line="480" w:lineRule="exact"/>
        <w:rPr>
          <w:rFonts w:ascii="宋体" w:hAnsi="宋体"/>
          <w:sz w:val="24"/>
          <w:szCs w:val="24"/>
        </w:rPr>
      </w:pPr>
      <w:r>
        <w:rPr>
          <w:rFonts w:hint="eastAsia" w:ascii="宋体" w:hAnsi="宋体"/>
          <w:sz w:val="24"/>
          <w:szCs w:val="24"/>
        </w:rPr>
        <w:t xml:space="preserve">供应商名称：</w:t>
      </w:r>
      <w:r/>
    </w:p>
    <w:p>
      <w:pPr>
        <w:pStyle w:val="1319"/>
        <w:spacing w:line="480" w:lineRule="exact"/>
        <w:rPr>
          <w:rFonts w:ascii="宋体" w:hAnsi="宋体"/>
          <w:sz w:val="24"/>
          <w:szCs w:val="24"/>
        </w:rPr>
      </w:pPr>
      <w:r>
        <w:rPr>
          <w:rFonts w:hint="eastAsia" w:ascii="宋体" w:hAnsi="宋体"/>
          <w:sz w:val="24"/>
          <w:szCs w:val="24"/>
        </w:rPr>
        <w:t xml:space="preserve">日期：   年   月   日</w:t>
      </w:r>
      <w:r/>
    </w:p>
    <w:p>
      <w:pPr>
        <w:pStyle w:val="1011"/>
        <w:outlineLvl w:val="1"/>
      </w:pPr>
      <w:r/>
      <w:r/>
    </w:p>
    <w:p>
      <w:pPr>
        <w:pStyle w:val="1011"/>
        <w:outlineLvl w:val="1"/>
      </w:pPr>
      <w:r/>
      <w:bookmarkEnd w:id="279"/>
      <w:r/>
    </w:p>
    <w:p>
      <w:pPr>
        <w:rPr>
          <w:rFonts w:ascii="Times New Roman" w:hAnsi="Times New Roman" w:cs="黑体"/>
        </w:rPr>
        <w:outlineLvl w:val="1"/>
      </w:pPr>
      <w:r>
        <w:rPr>
          <w:rFonts w:hint="eastAsia" w:ascii="Times New Roman" w:hAnsi="Times New Roman" w:cs="黑体"/>
        </w:rPr>
        <w:br w:type="page" w:clear="all"/>
      </w:r>
      <w:bookmarkEnd w:id="270"/>
      <w:r/>
      <w:r/>
    </w:p>
    <w:p>
      <w:pPr>
        <w:keepLines/>
        <w:keepNext/>
        <w:spacing w:before="145" w:after="145" w:line="360" w:lineRule="auto"/>
        <w:rPr>
          <w:rFonts w:ascii="Times New Roman" w:hAnsi="Times New Roman"/>
          <w:b/>
          <w:bCs/>
          <w:color w:val="000000"/>
          <w:sz w:val="32"/>
          <w:szCs w:val="32"/>
        </w:rPr>
        <w:sectPr>
          <w:footnotePr/>
          <w:endnotePr/>
          <w:type w:val="nextPage"/>
          <w:pgSz w:w="16838" w:h="11906" w:orient="landscape"/>
          <w:pgMar w:top="1366" w:right="1418" w:bottom="1588" w:left="1418" w:header="851" w:footer="907" w:gutter="0"/>
          <w:cols w:num="1" w:sep="0" w:space="720" w:equalWidth="1"/>
          <w:docGrid w:linePitch="360"/>
          <w:titlePg/>
        </w:sectPr>
        <w:outlineLvl w:val="2"/>
      </w:pPr>
      <w:r/>
      <w:bookmarkStart w:id="280" w:name="_Toc160457403"/>
      <w:r/>
      <w:bookmarkStart w:id="281" w:name="_Toc157694912"/>
      <w:r/>
      <w:r/>
    </w:p>
    <w:p>
      <w:pPr>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七、响应偏离表</w:t>
      </w:r>
      <w:bookmarkEnd w:id="280"/>
      <w:r/>
      <w:bookmarkEnd w:id="281"/>
      <w:r/>
      <w:r/>
    </w:p>
    <w:tbl>
      <w:tblPr>
        <w:tblStyle w:val="71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77"/>
        <w:gridCol w:w="2852"/>
        <w:gridCol w:w="2634"/>
      </w:tblGrid>
      <w:tr>
        <w:trPr>
          <w:cantSplit/>
          <w:trHeight w:val="789"/>
        </w:trPr>
        <w:tc>
          <w:tcPr>
            <w:tcW w:w="959" w:type="dxa"/>
            <w:vAlign w:val="center"/>
            <w:textDirection w:val="lrTb"/>
            <w:noWrap w:val="false"/>
          </w:tcPr>
          <w:p>
            <w:pPr>
              <w:jc w:val="center"/>
              <w:rPr>
                <w:rFonts w:ascii="宋体" w:hAnsi="宋体" w:cs="宋体"/>
                <w:sz w:val="24"/>
                <w:szCs w:val="24"/>
              </w:rPr>
            </w:pPr>
            <w:r/>
            <w:bookmarkStart w:id="282" w:name="_Hlt26782999"/>
            <w:r/>
            <w:bookmarkEnd w:id="282"/>
            <w:r/>
            <w:bookmarkStart w:id="283" w:name="_Hlt26580838"/>
            <w:r/>
            <w:bookmarkEnd w:id="283"/>
            <w:r/>
            <w:bookmarkStart w:id="284" w:name="_Hlt26671343"/>
            <w:r/>
            <w:bookmarkEnd w:id="284"/>
            <w:r/>
            <w:bookmarkStart w:id="285" w:name="_Hlt26955056"/>
            <w:r/>
            <w:bookmarkEnd w:id="285"/>
            <w:r/>
            <w:bookmarkStart w:id="286" w:name="_Hlt24879081"/>
            <w:r/>
            <w:bookmarkEnd w:id="286"/>
            <w:r/>
            <w:bookmarkStart w:id="287" w:name="_Hlt26671372"/>
            <w:r/>
            <w:bookmarkEnd w:id="287"/>
            <w:r/>
            <w:bookmarkStart w:id="288" w:name="_Hlt26955054"/>
            <w:r/>
            <w:bookmarkEnd w:id="288"/>
            <w:r/>
            <w:bookmarkStart w:id="289" w:name="_Hlt26955064"/>
            <w:r/>
            <w:bookmarkEnd w:id="289"/>
            <w:r/>
            <w:bookmarkStart w:id="290" w:name="_Hlt26609391"/>
            <w:r/>
            <w:bookmarkEnd w:id="290"/>
            <w:r>
              <w:rPr>
                <w:rFonts w:hint="eastAsia" w:ascii="宋体" w:hAnsi="宋体" w:cs="宋体"/>
                <w:sz w:val="24"/>
                <w:szCs w:val="24"/>
              </w:rPr>
              <w:t xml:space="preserve">序号</w:t>
            </w:r>
            <w:r/>
          </w:p>
        </w:tc>
        <w:tc>
          <w:tcPr>
            <w:tcW w:w="2877" w:type="dxa"/>
            <w:vAlign w:val="center"/>
            <w:textDirection w:val="lrTb"/>
            <w:noWrap w:val="false"/>
          </w:tcPr>
          <w:p>
            <w:pPr>
              <w:pStyle w:val="769"/>
              <w:jc w:val="center"/>
              <w:spacing w:before="0" w:beforeAutospacing="0" w:after="0" w:afterAutospacing="0"/>
            </w:pPr>
            <w:r>
              <w:rPr>
                <w:rFonts w:hint="eastAsia"/>
              </w:rPr>
              <w:t xml:space="preserve">采购文件的要求</w:t>
            </w:r>
            <w:r/>
          </w:p>
        </w:tc>
        <w:tc>
          <w:tcPr>
            <w:tcW w:w="2852" w:type="dxa"/>
            <w:vAlign w:val="center"/>
            <w:textDirection w:val="lrTb"/>
            <w:noWrap w:val="false"/>
          </w:tcPr>
          <w:p>
            <w:pPr>
              <w:pStyle w:val="769"/>
              <w:jc w:val="center"/>
              <w:spacing w:before="0" w:beforeAutospacing="0" w:after="0" w:afterAutospacing="0"/>
            </w:pPr>
            <w:r>
              <w:rPr>
                <w:rFonts w:hint="eastAsia"/>
              </w:rPr>
              <w:t xml:space="preserve">响应情况（填报“响应或完全响应”）</w:t>
            </w:r>
            <w:r/>
          </w:p>
        </w:tc>
        <w:tc>
          <w:tcPr>
            <w:tcW w:w="2634" w:type="dxa"/>
            <w:vAlign w:val="center"/>
            <w:textDirection w:val="lrTb"/>
            <w:noWrap w:val="false"/>
          </w:tcPr>
          <w:p>
            <w:pPr>
              <w:pStyle w:val="769"/>
              <w:jc w:val="center"/>
              <w:spacing w:before="0" w:beforeAutospacing="0" w:after="0" w:afterAutospacing="0"/>
            </w:pPr>
            <w:r>
              <w:rPr>
                <w:rFonts w:hint="eastAsia"/>
              </w:rPr>
              <w:t xml:space="preserve">偏离（填报“正偏离、符合或负偏离”）</w:t>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959" w:type="dxa"/>
            <w:textDirection w:val="lrTb"/>
            <w:noWrap w:val="false"/>
          </w:tcPr>
          <w:p>
            <w:pPr>
              <w:jc w:val="center"/>
              <w:rPr>
                <w:rFonts w:ascii="宋体" w:hAnsi="宋体" w:cs="宋体"/>
                <w:sz w:val="24"/>
                <w:szCs w:val="24"/>
              </w:rPr>
            </w:pPr>
            <w:r>
              <w:rPr>
                <w:rFonts w:ascii="宋体" w:hAnsi="宋体" w:cs="宋体"/>
                <w:sz w:val="24"/>
                <w:szCs w:val="24"/>
              </w:rPr>
            </w:r>
            <w:r/>
          </w:p>
        </w:tc>
        <w:tc>
          <w:tcPr>
            <w:tcW w:w="2877"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634" w:type="dxa"/>
            <w:textDirection w:val="lrTb"/>
            <w:noWrap w:val="false"/>
          </w:tcPr>
          <w:p>
            <w:pPr>
              <w:jc w:val="center"/>
              <w:rPr>
                <w:rFonts w:ascii="宋体" w:hAnsi="宋体" w:cs="宋体"/>
                <w:sz w:val="24"/>
                <w:szCs w:val="24"/>
              </w:rPr>
            </w:pPr>
            <w:r>
              <w:rPr>
                <w:rFonts w:ascii="宋体" w:hAnsi="宋体" w:cs="宋体"/>
                <w:sz w:val="24"/>
                <w:szCs w:val="24"/>
              </w:rPr>
            </w:r>
            <w:r/>
          </w:p>
        </w:tc>
      </w:tr>
    </w:tbl>
    <w:p>
      <w:pPr>
        <w:spacing w:line="588" w:lineRule="exact"/>
        <w:rPr>
          <w:rFonts w:ascii="宋体" w:hAnsi="宋体" w:cs="宋体"/>
          <w:color w:val="000000"/>
          <w:sz w:val="24"/>
        </w:rPr>
      </w:pPr>
      <w:r>
        <w:rPr>
          <w:rFonts w:hint="eastAsia" w:ascii="宋体" w:hAnsi="宋体" w:cs="宋体"/>
          <w:color w:val="000000"/>
          <w:sz w:val="24"/>
        </w:rPr>
        <w:t xml:space="preserve">1、凡响应文件中所提供工程或服务与磋商文件有偏离的，均应在此表中详细列出并说明理由（内容较多的可以标注见响应文件第几页），未在此表中列出的视同完全满足磋商文件要求。</w:t>
      </w:r>
      <w:r/>
    </w:p>
    <w:p>
      <w:pPr>
        <w:spacing w:line="588" w:lineRule="exact"/>
        <w:rPr>
          <w:rFonts w:ascii="宋体" w:hAnsi="宋体" w:cs="宋体"/>
          <w:color w:val="000000"/>
          <w:sz w:val="24"/>
        </w:rPr>
      </w:pPr>
      <w:r>
        <w:rPr>
          <w:rFonts w:hint="eastAsia" w:ascii="宋体" w:hAnsi="宋体" w:cs="宋体"/>
          <w:color w:val="000000"/>
          <w:sz w:val="24"/>
        </w:rPr>
        <w:t xml:space="preserve">2、如果磋商文件要求提供证明材料，供应商须在响应文件中提供证明材料。</w:t>
      </w:r>
      <w:r/>
    </w:p>
    <w:p>
      <w:pPr>
        <w:spacing w:line="588" w:lineRule="exact"/>
        <w:rPr>
          <w:rFonts w:ascii="宋体" w:hAnsi="宋体" w:cs="宋体"/>
          <w:color w:val="000000"/>
          <w:sz w:val="24"/>
        </w:rPr>
      </w:pPr>
      <w:r>
        <w:rPr>
          <w:rFonts w:hint="eastAsia" w:ascii="宋体" w:hAnsi="宋体" w:cs="宋体"/>
          <w:color w:val="000000"/>
          <w:sz w:val="24"/>
        </w:rPr>
        <w:t xml:space="preserve">3、投标人未对实质性要求作出明确响应的，或未按采购文件要求提供证明材料的，该分包作无效响应处理。</w:t>
      </w:r>
      <w:r/>
    </w:p>
    <w:p>
      <w:pPr>
        <w:spacing w:line="588" w:lineRule="exact"/>
        <w:rPr>
          <w:rFonts w:ascii="Times New Roman" w:hAnsi="Times New Roman"/>
          <w:color w:val="000000"/>
          <w:sz w:val="24"/>
        </w:rPr>
      </w:pPr>
      <w:r>
        <w:rPr>
          <w:rFonts w:hint="eastAsia" w:ascii="宋体" w:hAnsi="宋体" w:cs="宋体"/>
          <w:color w:val="000000"/>
          <w:sz w:val="24"/>
        </w:rPr>
        <w:t xml:space="preserve">4、行数不够，可自行添加。</w:t>
      </w:r>
      <w:bookmarkStart w:id="291" w:name="_Hlt26671374"/>
      <w:r/>
      <w:bookmarkEnd w:id="291"/>
      <w:r/>
      <w:bookmarkStart w:id="292" w:name="_Hlt26955066"/>
      <w:r/>
      <w:bookmarkEnd w:id="292"/>
      <w:r/>
      <w:bookmarkStart w:id="293" w:name="_Hlt26609389"/>
      <w:r/>
      <w:bookmarkEnd w:id="293"/>
      <w:r/>
      <w:r/>
    </w:p>
    <w:p>
      <w:pPr>
        <w:jc w:val="left"/>
        <w:widowControl/>
        <w:rPr>
          <w:rFonts w:ascii="Times New Roman" w:hAnsi="Times New Roman"/>
          <w:color w:val="000000"/>
          <w:sz w:val="24"/>
        </w:rPr>
      </w:pPr>
      <w:r>
        <w:rPr>
          <w:rFonts w:ascii="Times New Roman" w:hAnsi="Times New Roman"/>
          <w:color w:val="000000"/>
          <w:sz w:val="24"/>
        </w:rPr>
        <w:br w:type="page" w:clear="all"/>
      </w:r>
      <w:r/>
    </w:p>
    <w:p>
      <w:pPr>
        <w:jc w:val="left"/>
        <w:widowControl/>
        <w:rPr>
          <w:rFonts w:ascii="黑体" w:hAnsi="黑体" w:eastAsia="黑体"/>
          <w:b/>
          <w:sz w:val="32"/>
          <w:szCs w:val="24"/>
        </w:rPr>
        <w:outlineLvl w:val="1"/>
      </w:pPr>
      <w:r/>
      <w:bookmarkStart w:id="294" w:name="_Toc160457404"/>
      <w:r>
        <w:rPr>
          <w:rFonts w:hint="eastAsia" w:ascii="黑体" w:hAnsi="黑体" w:eastAsia="黑体"/>
          <w:b/>
          <w:sz w:val="32"/>
          <w:szCs w:val="24"/>
        </w:rPr>
        <w:t xml:space="preserve">八</w:t>
      </w:r>
      <w:r>
        <w:rPr>
          <w:rFonts w:ascii="黑体" w:hAnsi="黑体" w:eastAsia="黑体"/>
          <w:b/>
          <w:sz w:val="32"/>
          <w:szCs w:val="24"/>
        </w:rPr>
        <w:t xml:space="preserve">、项目实施方案</w:t>
      </w:r>
      <w:bookmarkEnd w:id="294"/>
      <w:r/>
      <w:r/>
    </w:p>
    <w:p>
      <w:pPr>
        <w:spacing w:line="588" w:lineRule="exact"/>
        <w:rPr>
          <w:rFonts w:ascii="仿宋" w:hAnsi="仿宋" w:eastAsia="仿宋"/>
          <w:sz w:val="24"/>
        </w:rPr>
      </w:pPr>
      <w:r>
        <w:br w:type="page" w:clear="all"/>
      </w:r>
      <w:bookmarkEnd w:id="216"/>
      <w:r/>
      <w:bookmarkEnd w:id="217"/>
      <w:r/>
      <w:r/>
    </w:p>
    <w:p>
      <w:pPr>
        <w:pStyle w:val="1011"/>
        <w:rPr>
          <w:rFonts w:ascii="Times New Roman" w:hAnsi="Times New Roman" w:cs="黑体"/>
          <w:b w:val="0"/>
        </w:rPr>
        <w:outlineLvl w:val="1"/>
      </w:pPr>
      <w:r/>
      <w:bookmarkStart w:id="295" w:name="_格式2__法定代表人授权书"/>
      <w:r/>
      <w:bookmarkEnd w:id="295"/>
      <w:r/>
      <w:bookmarkStart w:id="296" w:name="_Toc160457405"/>
      <w:r>
        <w:rPr>
          <w:rFonts w:hint="eastAsia" w:ascii="Times New Roman" w:hAnsi="Times New Roman" w:cs="黑体"/>
          <w:b w:val="0"/>
        </w:rPr>
        <w:t xml:space="preserve">九、</w:t>
      </w:r>
      <w:r>
        <w:rPr>
          <w:rFonts w:ascii="Times New Roman" w:hAnsi="Times New Roman" w:cs="黑体"/>
          <w:b w:val="0"/>
        </w:rPr>
        <w:t xml:space="preserve">项目组人员</w:t>
      </w:r>
      <w:bookmarkEnd w:id="296"/>
      <w:r/>
      <w:r/>
    </w:p>
    <w:p>
      <w:pPr>
        <w:pStyle w:val="769"/>
        <w:jc w:val="center"/>
        <w:spacing w:line="600" w:lineRule="exact"/>
        <w:rPr>
          <w:rFonts w:ascii="仿宋" w:hAnsi="仿宋" w:eastAsia="仿宋"/>
          <w:b/>
          <w:bCs/>
          <w:sz w:val="32"/>
        </w:rPr>
      </w:pPr>
      <w:r>
        <w:rPr>
          <w:rFonts w:hint="eastAsia" w:ascii="仿宋" w:hAnsi="仿宋" w:eastAsia="仿宋"/>
          <w:b/>
          <w:bCs/>
          <w:sz w:val="32"/>
          <w:lang w:bidi="ar"/>
        </w:rPr>
        <w:t xml:space="preserve">项目组成员</w:t>
      </w:r>
      <w:r/>
    </w:p>
    <w:tbl>
      <w:tblPr>
        <w:tblStyle w:val="71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769"/>
        <w:ind w:firstLine="398"/>
        <w:spacing w:line="460" w:lineRule="exact"/>
        <w:rPr>
          <w:rFonts w:ascii="仿宋" w:hAnsi="仿宋" w:eastAsia="仿宋" w:cs="仿宋_GB2312"/>
        </w:rPr>
      </w:pPr>
      <w:r>
        <w:rPr>
          <w:rFonts w:hint="eastAsia" w:asciiTheme="minorEastAsia" w:hAnsiTheme="minorEastAsia" w:eastAsiaTheme="minorEastAsia" w:cstheme="minorEastAsia"/>
          <w:b/>
          <w:lang w:bidi="ar"/>
        </w:rPr>
        <w:t xml:space="preserve">注：如供应商成交，项目组成员必须按本表承诺人员操作，不得随意更换。按磋商文件要求附相关人员证书。</w:t>
      </w:r>
      <w:r/>
    </w:p>
    <w:p>
      <w:pPr>
        <w:pStyle w:val="769"/>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1"/>
        <w:rPr>
          <w:rFonts w:cs="黑体"/>
          <w:b w:val="0"/>
        </w:rPr>
        <w:outlineLvl w:val="1"/>
      </w:pPr>
      <w:r>
        <w:br w:type="page" w:clear="all"/>
      </w:r>
      <w:bookmarkStart w:id="297" w:name="_Toc11176"/>
      <w:r/>
      <w:bookmarkStart w:id="298" w:name="_Toc160457406"/>
      <w:r>
        <w:rPr>
          <w:rFonts w:hint="eastAsia" w:cs="黑体"/>
          <w:b w:val="0"/>
        </w:rPr>
        <w:t xml:space="preserve">十、</w:t>
      </w:r>
      <w:bookmarkEnd w:id="297"/>
      <w:r>
        <w:rPr>
          <w:rFonts w:hint="eastAsia" w:cs="黑体"/>
          <w:b w:val="0"/>
        </w:rPr>
        <w:t xml:space="preserve">业绩</w:t>
      </w:r>
      <w:bookmarkEnd w:id="298"/>
      <w:r/>
      <w:r/>
    </w:p>
    <w:p>
      <w:pPr>
        <w:pStyle w:val="1007"/>
        <w:jc w:val="center"/>
        <w:rPr>
          <w:rFonts w:ascii="仿宋" w:hAnsi="仿宋" w:eastAsia="仿宋"/>
          <w:b/>
          <w:sz w:val="32"/>
          <w:szCs w:val="24"/>
        </w:rPr>
      </w:pPr>
      <w:r>
        <w:rPr>
          <w:rFonts w:hint="eastAsia" w:ascii="仿宋" w:hAnsi="仿宋" w:eastAsia="仿宋"/>
          <w:b/>
          <w:sz w:val="32"/>
          <w:szCs w:val="24"/>
        </w:rPr>
        <w:t xml:space="preserve">投标人及项目负责人承担类似项目业绩一览表</w:t>
      </w:r>
      <w:r/>
    </w:p>
    <w:tbl>
      <w:tblPr>
        <w:tblStyle w:val="71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08"/>
              <w:jc w:val="center"/>
              <w:spacing w:line="560" w:lineRule="exact"/>
              <w:rPr>
                <w:rFonts w:ascii="宋体" w:hAnsi="宋体" w:cs="宋体"/>
                <w:sz w:val="24"/>
              </w:rPr>
            </w:pPr>
            <w:r>
              <w:rPr>
                <w:rFonts w:hint="eastAsia" w:ascii="宋体" w:hAnsi="宋体" w:cs="宋体"/>
                <w:sz w:val="24"/>
              </w:rPr>
              <w:t xml:space="preserve">序号</w:t>
            </w:r>
            <w:r/>
          </w:p>
        </w:tc>
        <w:tc>
          <w:tcPr>
            <w:tcW w:w="3827" w:type="dxa"/>
            <w:vAlign w:val="center"/>
            <w:textDirection w:val="lrTb"/>
            <w:noWrap w:val="false"/>
          </w:tcPr>
          <w:p>
            <w:pPr>
              <w:pStyle w:val="1008"/>
              <w:jc w:val="center"/>
              <w:spacing w:line="560" w:lineRule="exact"/>
              <w:rPr>
                <w:rFonts w:ascii="宋体" w:hAnsi="宋体" w:cs="宋体"/>
                <w:sz w:val="24"/>
              </w:rPr>
            </w:pPr>
            <w:r>
              <w:rPr>
                <w:rFonts w:hint="eastAsia" w:ascii="宋体" w:hAnsi="宋体" w:cs="宋体"/>
                <w:sz w:val="24"/>
              </w:rPr>
              <w:t xml:space="preserve">项目名称</w:t>
            </w:r>
            <w:r/>
          </w:p>
        </w:tc>
        <w:tc>
          <w:tcPr>
            <w:tcW w:w="2433" w:type="dxa"/>
            <w:vAlign w:val="center"/>
            <w:textDirection w:val="lrTb"/>
            <w:noWrap w:val="false"/>
          </w:tcPr>
          <w:p>
            <w:pPr>
              <w:pStyle w:val="1008"/>
              <w:jc w:val="center"/>
              <w:spacing w:line="560" w:lineRule="exact"/>
              <w:rPr>
                <w:rFonts w:ascii="宋体" w:hAnsi="宋体" w:cs="宋体"/>
                <w:sz w:val="24"/>
              </w:rPr>
            </w:pPr>
            <w:r>
              <w:rPr>
                <w:rFonts w:hint="eastAsia" w:ascii="宋体" w:hAnsi="宋体" w:cs="宋体"/>
                <w:sz w:val="24"/>
              </w:rPr>
              <w:t xml:space="preserve">采购单位</w:t>
            </w:r>
            <w:r/>
          </w:p>
        </w:tc>
        <w:tc>
          <w:tcPr>
            <w:tcW w:w="1395" w:type="dxa"/>
            <w:vAlign w:val="center"/>
            <w:textDirection w:val="lrTb"/>
            <w:noWrap w:val="false"/>
          </w:tcPr>
          <w:p>
            <w:pPr>
              <w:pStyle w:val="1008"/>
              <w:jc w:val="center"/>
              <w:spacing w:line="560" w:lineRule="exact"/>
              <w:rPr>
                <w:rFonts w:ascii="宋体" w:hAnsi="宋体" w:cs="宋体"/>
                <w:sz w:val="24"/>
              </w:rPr>
            </w:pPr>
            <w:r>
              <w:rPr>
                <w:rFonts w:hint="eastAsia" w:ascii="宋体" w:hAnsi="宋体" w:cs="宋体"/>
                <w:sz w:val="24"/>
              </w:rPr>
              <w:t xml:space="preserve">合同金额</w:t>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3827"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2433"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1395"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3827"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2433"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1395"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3827"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2433"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1395"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r>
      <w:tr>
        <w:trPr>
          <w:jc w:val="center"/>
          <w:trHeight w:val="1525"/>
        </w:trPr>
        <w:tc>
          <w:tcPr>
            <w:tcW w:w="1229"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3827"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2433"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c>
          <w:tcPr>
            <w:tcW w:w="1395" w:type="dxa"/>
            <w:vAlign w:val="center"/>
            <w:textDirection w:val="lrTb"/>
            <w:noWrap w:val="false"/>
          </w:tcPr>
          <w:p>
            <w:pPr>
              <w:pStyle w:val="1008"/>
              <w:jc w:val="center"/>
              <w:spacing w:line="560" w:lineRule="exact"/>
              <w:rPr>
                <w:rFonts w:ascii="宋体" w:hAnsi="宋体" w:cs="宋体"/>
                <w:sz w:val="24"/>
              </w:rPr>
            </w:pPr>
            <w:r>
              <w:rPr>
                <w:rFonts w:ascii="宋体" w:hAnsi="宋体" w:cs="宋体"/>
                <w:sz w:val="24"/>
              </w:rPr>
            </w:r>
            <w:r/>
          </w:p>
        </w:tc>
      </w:tr>
    </w:tbl>
    <w:p>
      <w:pPr>
        <w:pStyle w:val="1007"/>
        <w:rPr>
          <w:rFonts w:ascii="仿宋" w:hAnsi="仿宋" w:eastAsia="仿宋"/>
          <w:sz w:val="24"/>
          <w:szCs w:val="24"/>
        </w:rPr>
      </w:pPr>
      <w:r>
        <w:rPr>
          <w:rFonts w:hint="eastAsia" w:ascii="宋体" w:hAnsi="宋体" w:cs="宋体"/>
          <w:b/>
          <w:sz w:val="24"/>
          <w:szCs w:val="24"/>
        </w:rPr>
        <w:t xml:space="preserve">注：请填写此表，并按要求上传业绩资料电子件。</w:t>
      </w:r>
      <w:r/>
    </w:p>
    <w:p>
      <w:pPr>
        <w:pStyle w:val="1011"/>
        <w:rPr>
          <w:rFonts w:ascii="Times New Roman" w:hAnsi="Times New Roman"/>
          <w:b w:val="0"/>
          <w:szCs w:val="32"/>
        </w:rPr>
        <w:outlineLvl w:val="1"/>
      </w:pPr>
      <w:r>
        <w:rPr>
          <w:rFonts w:hint="eastAsia" w:ascii="Times New Roman" w:hAnsi="Times New Roman"/>
          <w:b w:val="0"/>
          <w:szCs w:val="32"/>
        </w:rPr>
        <w:br w:type="page" w:clear="all"/>
      </w:r>
      <w:bookmarkStart w:id="299" w:name="_Toc160457407"/>
      <w:r/>
      <w:bookmarkStart w:id="300" w:name="_Toc28140"/>
      <w:r/>
      <w:r/>
    </w:p>
    <w:p>
      <w:pPr>
        <w:pStyle w:val="1011"/>
        <w:numPr>
          <w:ilvl w:val="0"/>
          <w:numId w:val="10"/>
        </w:numPr>
        <w:rPr>
          <w:rFonts w:ascii="Times New Roman" w:hAnsi="Times New Roman" w:cs="黑体"/>
          <w:b w:val="0"/>
        </w:rPr>
        <w:outlineLvl w:val="1"/>
      </w:pPr>
      <w:r>
        <w:rPr>
          <w:rFonts w:hint="eastAsia" w:ascii="Times New Roman" w:hAnsi="Times New Roman" w:cs="黑体"/>
          <w:b w:val="0"/>
        </w:rPr>
        <w:t xml:space="preserve">承诺函</w:t>
      </w:r>
      <w:r/>
    </w:p>
    <w:p>
      <w:pPr>
        <w:pStyle w:val="1011"/>
        <w:rPr>
          <w:rFonts w:ascii="Times New Roman" w:hAnsi="Times New Roman" w:cs="黑体"/>
          <w:b w:val="0"/>
        </w:rPr>
        <w:outlineLvl w:val="1"/>
      </w:pPr>
      <w:r>
        <w:rPr>
          <w:rFonts w:hint="eastAsia" w:ascii="Times New Roman" w:hAnsi="Times New Roman" w:cs="黑体"/>
          <w:b w:val="0"/>
        </w:rPr>
        <w:t xml:space="preserve">   </w:t>
      </w:r>
      <w:r/>
    </w:p>
    <w:p>
      <w:pPr>
        <w:pStyle w:val="1306"/>
        <w:spacing w:line="500" w:lineRule="exact"/>
        <w:rPr>
          <w:rFonts w:ascii="仿宋" w:hAnsi="仿宋" w:eastAsia="仿宋" w:cs="仿宋"/>
          <w:color w:val="000000"/>
          <w:sz w:val="24"/>
        </w:rPr>
      </w:pPr>
      <w:r>
        <w:rPr>
          <w:rFonts w:ascii="仿宋" w:hAnsi="仿宋" w:eastAsia="仿宋" w:cs="仿宋"/>
          <w:color w:val="000000"/>
          <w:sz w:val="24"/>
        </w:rPr>
      </w:r>
      <w:r/>
    </w:p>
    <w:p>
      <w:pPr>
        <w:ind w:firstLine="755"/>
        <w:jc w:val="center"/>
        <w:spacing w:line="500" w:lineRule="exact"/>
        <w:widowControl/>
        <w:rPr>
          <w:rFonts w:ascii="仿宋" w:hAnsi="仿宋" w:eastAsia="仿宋" w:cs="仿宋"/>
          <w:b/>
          <w:bCs/>
          <w:sz w:val="24"/>
          <w:szCs w:val="24"/>
        </w:rPr>
      </w:pPr>
      <w:r/>
      <w:bookmarkStart w:id="301" w:name="_Toc129177764"/>
      <w:r/>
      <w:bookmarkStart w:id="302" w:name="_Toc256000089"/>
      <w:r>
        <w:rPr>
          <w:rFonts w:hint="eastAsia" w:ascii="仿宋" w:hAnsi="仿宋" w:eastAsia="仿宋" w:cs="仿宋"/>
          <w:b/>
          <w:bCs/>
          <w:sz w:val="24"/>
          <w:szCs w:val="24"/>
        </w:rPr>
        <w:t xml:space="preserve">项目经理无在建工程承诺</w:t>
      </w:r>
      <w:bookmarkEnd w:id="301"/>
      <w:r/>
      <w:bookmarkEnd w:id="302"/>
      <w:r/>
      <w:r/>
    </w:p>
    <w:p>
      <w:pPr>
        <w:spacing w:line="500" w:lineRule="exact"/>
        <w:rPr>
          <w:rFonts w:ascii="仿宋" w:hAnsi="仿宋" w:eastAsia="仿宋" w:cs="仿宋"/>
          <w:sz w:val="24"/>
          <w:szCs w:val="24"/>
          <w:u w:val="single"/>
        </w:rPr>
      </w:pPr>
      <w:r>
        <w:rPr>
          <w:rFonts w:hint="eastAsia" w:ascii="仿宋" w:hAnsi="仿宋" w:eastAsia="仿宋" w:cs="仿宋"/>
          <w:sz w:val="24"/>
          <w:szCs w:val="24"/>
          <w:u w:val="single"/>
        </w:rPr>
        <w:t xml:space="preserve">（采购人名称）：</w:t>
      </w:r>
      <w:r/>
    </w:p>
    <w:p>
      <w:pPr>
        <w:ind w:firstLine="566"/>
        <w:spacing w:line="500" w:lineRule="exact"/>
        <w:widowControl/>
        <w:rPr>
          <w:rFonts w:ascii="仿宋" w:hAnsi="仿宋" w:eastAsia="仿宋" w:cs="仿宋"/>
          <w:sz w:val="24"/>
          <w:szCs w:val="24"/>
        </w:rPr>
      </w:pPr>
      <w:r>
        <w:rPr>
          <w:rFonts w:hint="eastAsia" w:ascii="仿宋" w:hAnsi="仿宋" w:eastAsia="仿宋" w:cs="仿宋"/>
          <w:sz w:val="24"/>
          <w:szCs w:val="24"/>
        </w:rPr>
        <w:t xml:space="preserve">我方已仔细研读了</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磋商文件全部内容。经严格审查，我方拟派本项目经理 </w:t>
      </w:r>
      <w:r>
        <w:rPr>
          <w:rFonts w:hint="eastAsia" w:ascii="仿宋" w:hAnsi="仿宋" w:eastAsia="仿宋" w:cs="仿宋"/>
          <w:sz w:val="24"/>
          <w:szCs w:val="24"/>
          <w:u w:val="single"/>
        </w:rPr>
        <w:t xml:space="preserve"> （姓名）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（身份证号）   </w:t>
      </w:r>
      <w:r>
        <w:rPr>
          <w:rFonts w:hint="eastAsia" w:ascii="仿宋" w:hAnsi="仿宋" w:eastAsia="仿宋" w:cs="仿宋"/>
          <w:sz w:val="24"/>
          <w:szCs w:val="24"/>
        </w:rPr>
        <w:t xml:space="preserve">，自本项目响应文件递交截止时间起，已无在建工程，且符合下列规定条件中第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条规定（如符合第2条，另在响应文件中提供相关证明资料）：</w:t>
      </w:r>
      <w:r/>
    </w:p>
    <w:p>
      <w:pPr>
        <w:ind w:firstLine="566"/>
        <w:spacing w:line="500" w:lineRule="exact"/>
        <w:widowControl/>
        <w:rPr>
          <w:rFonts w:ascii="仿宋" w:hAnsi="仿宋" w:eastAsia="仿宋" w:cs="仿宋"/>
          <w:sz w:val="24"/>
          <w:szCs w:val="24"/>
        </w:rPr>
      </w:pPr>
      <w:r>
        <w:rPr>
          <w:rFonts w:hint="eastAsia" w:ascii="仿宋" w:hAnsi="仿宋" w:eastAsia="仿宋" w:cs="仿宋"/>
          <w:sz w:val="24"/>
          <w:szCs w:val="24"/>
        </w:rPr>
        <w:t xml:space="preserve">1、项目经理是非变更后无在建工程的。</w:t>
      </w:r>
      <w:r/>
    </w:p>
    <w:p>
      <w:pPr>
        <w:ind w:firstLine="566"/>
        <w:spacing w:line="500" w:lineRule="exact"/>
        <w:widowControl/>
        <w:rPr>
          <w:rFonts w:ascii="仿宋" w:hAnsi="仿宋" w:eastAsia="仿宋" w:cs="仿宋"/>
          <w:sz w:val="24"/>
          <w:szCs w:val="24"/>
        </w:rPr>
      </w:pPr>
      <w:r>
        <w:rPr>
          <w:rFonts w:hint="eastAsia" w:ascii="仿宋" w:hAnsi="仿宋" w:eastAsia="仿宋" w:cs="仿宋"/>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仿宋"/>
          <w:sz w:val="24"/>
          <w:szCs w:val="24"/>
        </w:rPr>
      </w:pPr>
      <w:r>
        <w:rPr>
          <w:rFonts w:hint="eastAsia" w:ascii="仿宋" w:hAnsi="仿宋" w:eastAsia="仿宋" w:cs="仿宋"/>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仿宋"/>
          <w:sz w:val="24"/>
          <w:szCs w:val="24"/>
        </w:rPr>
      </w:pPr>
      <w:r>
        <w:rPr>
          <w:rFonts w:ascii="仿宋" w:hAnsi="仿宋" w:eastAsia="仿宋" w:cs="仿宋"/>
          <w:sz w:val="24"/>
          <w:szCs w:val="24"/>
        </w:rPr>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单位名称：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法定代表人（或授权代表人）：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（签字或签章）</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298"/>
        <w:jc w:val="right"/>
        <w:spacing w:line="520" w:lineRule="exact"/>
        <w:rPr>
          <w:rFonts w:ascii="宋体" w:hAnsi="宋体" w:eastAsia="宋体" w:cs="宋体"/>
          <w:b w:val="0"/>
          <w:color w:val="000000"/>
          <w:sz w:val="24"/>
        </w:rPr>
      </w:pPr>
      <w:r>
        <w:rPr>
          <w:rFonts w:ascii="仿宋" w:hAnsi="仿宋" w:eastAsia="仿宋"/>
        </w:rPr>
        <w:br w:type="page" w:clear="all"/>
      </w:r>
      <w:r/>
    </w:p>
    <w:p>
      <w:pPr>
        <w:pStyle w:val="1011"/>
        <w:rPr>
          <w:rFonts w:ascii="Times New Roman" w:hAnsi="Times New Roman"/>
          <w:b w:val="0"/>
          <w:szCs w:val="32"/>
        </w:rPr>
        <w:outlineLvl w:val="1"/>
      </w:pPr>
      <w:r>
        <w:rPr>
          <w:rFonts w:ascii="Times New Roman" w:hAnsi="Times New Roman"/>
          <w:b w:val="0"/>
          <w:szCs w:val="32"/>
        </w:rPr>
      </w:r>
      <w:r/>
    </w:p>
    <w:p>
      <w:pPr>
        <w:pStyle w:val="1011"/>
        <w:rPr>
          <w:rFonts w:ascii="Times New Roman" w:hAnsi="Times New Roman" w:cs="黑体"/>
        </w:rPr>
        <w:outlineLvl w:val="1"/>
      </w:pPr>
      <w:r>
        <w:rPr>
          <w:rFonts w:hint="eastAsia" w:ascii="Times New Roman" w:hAnsi="Times New Roman" w:cs="黑体"/>
          <w:b w:val="0"/>
        </w:rPr>
        <w:t xml:space="preserve">十二</w:t>
      </w:r>
      <w:r>
        <w:rPr>
          <w:rFonts w:ascii="Times New Roman" w:hAnsi="Times New Roman" w:cs="黑体"/>
          <w:b w:val="0"/>
        </w:rPr>
        <w:t xml:space="preserve">、</w:t>
      </w:r>
      <w:r>
        <w:rPr>
          <w:rFonts w:hint="eastAsia" w:ascii="Times New Roman" w:hAnsi="Times New Roman" w:cs="黑体"/>
          <w:b w:val="0"/>
        </w:rPr>
        <w:t xml:space="preserve">磋商</w:t>
      </w:r>
      <w:r>
        <w:rPr>
          <w:rFonts w:ascii="Times New Roman" w:hAnsi="Times New Roman" w:cs="黑体"/>
          <w:b w:val="0"/>
        </w:rPr>
        <w:t xml:space="preserve">所需其他材料</w:t>
      </w:r>
      <w:bookmarkEnd w:id="299"/>
      <w:r/>
      <w:bookmarkEnd w:id="300"/>
      <w:r/>
      <w:r/>
    </w:p>
    <w:p>
      <w:pPr>
        <w:pStyle w:val="1003"/>
        <w:ind w:firstLine="480"/>
        <w:spacing w:line="360" w:lineRule="auto"/>
        <w:rPr>
          <w:rFonts w:ascii="宋体" w:hAnsi="宋体" w:cs="宋体"/>
          <w:sz w:val="24"/>
          <w:szCs w:val="24"/>
        </w:rPr>
      </w:pPr>
      <w:r>
        <w:rPr>
          <w:rFonts w:ascii="宋体" w:hAnsi="宋体" w:cs="宋体"/>
          <w:sz w:val="24"/>
          <w:szCs w:val="24"/>
        </w:rPr>
      </w:r>
      <w:r/>
    </w:p>
    <w:p>
      <w:pPr>
        <w:pStyle w:val="1003"/>
        <w:ind w:firstLine="480"/>
        <w:spacing w:line="360" w:lineRule="auto"/>
        <w:rPr>
          <w:rFonts w:ascii="仿宋" w:hAnsi="仿宋" w:eastAsia="仿宋"/>
          <w:sz w:val="24"/>
          <w:szCs w:val="24"/>
        </w:rPr>
      </w:pPr>
      <w:r>
        <w:rPr>
          <w:rFonts w:hint="eastAsia" w:ascii="宋体" w:hAnsi="宋体" w:cs="宋体"/>
          <w:sz w:val="24"/>
          <w:szCs w:val="24"/>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ascii="Times New Roman" w:hAnsi="Times New Roman" w:cs="仿宋"/>
          <w:b/>
          <w:bCs/>
          <w:color w:val="000000"/>
          <w:sz w:val="32"/>
          <w:szCs w:val="32"/>
        </w:rPr>
      </w:r>
      <w:r/>
    </w:p>
    <w:p>
      <w:pPr>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t xml:space="preserve">质疑函范本</w:t>
      </w:r>
      <w:r/>
    </w:p>
    <w:p>
      <w:pPr>
        <w:ind w:firstLine="482"/>
        <w:spacing w:line="480" w:lineRule="exact"/>
        <w:rPr>
          <w:rFonts w:ascii="宋体" w:hAnsi="宋体" w:cs="仿宋"/>
          <w:b/>
          <w:bCs/>
          <w:color w:val="000000"/>
          <w:sz w:val="24"/>
          <w:szCs w:val="24"/>
        </w:rPr>
      </w:pPr>
      <w:r>
        <w:rPr>
          <w:rFonts w:ascii="宋体" w:hAnsi="宋体" w:cs="仿宋"/>
          <w:b/>
          <w:bCs/>
          <w:color w:val="000000"/>
          <w:sz w:val="24"/>
          <w:szCs w:val="24"/>
        </w:rPr>
      </w:r>
      <w:r/>
    </w:p>
    <w:p>
      <w:pPr>
        <w:ind w:firstLine="482"/>
        <w:spacing w:line="480" w:lineRule="exact"/>
        <w:rPr>
          <w:rFonts w:ascii="宋体" w:hAnsi="宋体" w:cs="仿宋"/>
          <w:b/>
          <w:bCs/>
          <w:color w:val="000000"/>
          <w:sz w:val="24"/>
          <w:szCs w:val="24"/>
        </w:rPr>
      </w:pPr>
      <w:r>
        <w:rPr>
          <w:rFonts w:hint="eastAsia" w:ascii="宋体" w:hAnsi="宋体" w:cs="仿宋"/>
          <w:b/>
          <w:bCs/>
          <w:color w:val="000000"/>
          <w:sz w:val="24"/>
          <w:szCs w:val="24"/>
        </w:rPr>
        <w:t xml:space="preserve">一、质疑供应商基本信息</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  邮编：</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  联系电话：</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   邮编：</w:t>
      </w:r>
      <w:r/>
    </w:p>
    <w:p>
      <w:pPr>
        <w:ind w:firstLine="482"/>
        <w:spacing w:line="480" w:lineRule="exact"/>
        <w:rPr>
          <w:rFonts w:ascii="宋体" w:hAnsi="宋体" w:cs="仿宋"/>
          <w:b/>
          <w:bCs/>
          <w:color w:val="000000"/>
          <w:sz w:val="24"/>
          <w:szCs w:val="24"/>
        </w:rPr>
      </w:pPr>
      <w:r>
        <w:rPr>
          <w:rFonts w:hint="eastAsia" w:ascii="宋体" w:hAnsi="宋体" w:cs="仿宋"/>
          <w:b/>
          <w:bCs/>
          <w:color w:val="000000"/>
          <w:sz w:val="24"/>
          <w:szCs w:val="24"/>
        </w:rPr>
        <w:t xml:space="preserve">二、质疑项目基本情况</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   包号：</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ind w:firstLine="482"/>
        <w:spacing w:line="480" w:lineRule="exact"/>
        <w:rPr>
          <w:rFonts w:ascii="宋体" w:hAnsi="宋体" w:cs="仿宋"/>
          <w:b/>
          <w:bCs/>
          <w:color w:val="000000"/>
          <w:sz w:val="24"/>
          <w:szCs w:val="24"/>
        </w:rPr>
      </w:pPr>
      <w:r>
        <w:rPr>
          <w:rFonts w:hint="eastAsia" w:ascii="宋体" w:hAnsi="宋体" w:cs="仿宋"/>
          <w:b/>
          <w:bCs/>
          <w:color w:val="000000"/>
          <w:sz w:val="24"/>
          <w:szCs w:val="24"/>
        </w:rPr>
        <w:t xml:space="preserve">三、质疑事项具体内容</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事实依据：</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w:t>
      </w:r>
      <w:r/>
    </w:p>
    <w:p>
      <w:pPr>
        <w:ind w:firstLine="482"/>
        <w:spacing w:line="480" w:lineRule="exact"/>
        <w:rPr>
          <w:rFonts w:ascii="宋体" w:hAnsi="宋体" w:cs="仿宋"/>
          <w:b/>
          <w:bCs/>
          <w:color w:val="000000"/>
          <w:sz w:val="24"/>
          <w:szCs w:val="24"/>
        </w:rPr>
      </w:pPr>
      <w:r>
        <w:rPr>
          <w:rFonts w:hint="eastAsia" w:ascii="宋体" w:hAnsi="宋体" w:cs="仿宋"/>
          <w:b/>
          <w:bCs/>
          <w:color w:val="000000"/>
          <w:sz w:val="24"/>
          <w:szCs w:val="24"/>
        </w:rPr>
        <w:t xml:space="preserve">四、与质疑事项相关的质疑请求</w:t>
      </w:r>
      <w:r/>
    </w:p>
    <w:p>
      <w:pPr>
        <w:ind w:firstLine="480"/>
        <w:spacing w:line="48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签字(签章)：                   公章：</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日期：</w:t>
      </w:r>
      <w:r/>
    </w:p>
    <w:p>
      <w:pPr>
        <w:ind w:firstLine="482"/>
        <w:spacing w:line="48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spacing w:line="48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spacing w:line="48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spacing w:line="48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spacing w:line="48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spacing w:line="480" w:lineRule="exact"/>
        <w:widowControl/>
        <w:rPr>
          <w:rFonts w:ascii="Times New Roman" w:hAnsi="Times New Roman"/>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03"/>
        <w:ind w:firstLine="480"/>
        <w:spacing w:line="360" w:lineRule="auto"/>
        <w:rPr>
          <w:rFonts w:ascii="仿宋" w:hAnsi="仿宋" w:eastAsia="仿宋"/>
          <w:sz w:val="24"/>
          <w:szCs w:val="24"/>
        </w:rPr>
      </w:pPr>
      <w:r>
        <w:rPr>
          <w:rFonts w:ascii="仿宋" w:hAnsi="仿宋" w:eastAsia="仿宋"/>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方正仿宋_GB2312">
    <w:panose1 w:val="020B0503020202020204"/>
  </w:font>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MS Mincho">
    <w:panose1 w:val="020206030504050903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___WRD_EMBED_SUB_55">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49</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p>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rPr>
        <w:lang w:val="zh-CN"/>
      </w:rPr>
      <w:t xml:space="preserve">115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89"/>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102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102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abstractNum w:abstractNumId="8">
    <w:multiLevelType w:val="hybridMultilevel"/>
    <w:lvl w:ilvl="0">
      <w:start w:val="1"/>
      <w:numFmt w:val="bullet"/>
      <w:pStyle w:val="117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0"/>
  </w:num>
  <w:num w:numId="4">
    <w:abstractNumId w:val="8"/>
  </w:num>
  <w:num w:numId="5">
    <w:abstractNumId w:val="1"/>
  </w:num>
  <w:num w:numId="6">
    <w:abstractNumId w:val="3"/>
  </w:num>
  <w:num w:numId="7">
    <w:abstractNumId w:val="2"/>
  </w:num>
  <w:num w:numId="8">
    <w:abstractNumId w:val="6"/>
    <w:lvlOverride w:ilvl="0">
      <w:startOverride w:val="5"/>
    </w:lvlOverride>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9">
    <w:name w:val="Heading 1"/>
    <w:basedOn w:val="708"/>
    <w:next w:val="708"/>
    <w:link w:val="931"/>
    <w:uiPriority w:val="0"/>
    <w:qFormat/>
    <w:pPr>
      <w:jc w:val="center"/>
      <w:keepNext/>
      <w:outlineLvl w:val="0"/>
    </w:pPr>
    <w:rPr>
      <w:rFonts w:ascii="楷体_GB2312" w:hAnsi="Times New Roman" w:eastAsia="楷体_GB2312"/>
      <w:sz w:val="28"/>
      <w:szCs w:val="28"/>
    </w:rPr>
  </w:style>
  <w:style w:type="paragraph" w:styleId="710">
    <w:name w:val="Heading 2"/>
    <w:basedOn w:val="708"/>
    <w:next w:val="720"/>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0"/>
    <w:link w:val="934"/>
    <w:uiPriority w:val="0"/>
    <w:qFormat/>
    <w:pPr>
      <w:keepLines/>
      <w:keepNext/>
      <w:spacing w:before="260" w:after="260" w:line="416" w:lineRule="auto"/>
      <w:outlineLvl w:val="2"/>
    </w:pPr>
    <w:rPr>
      <w:rFonts w:ascii="Times New Roman" w:hAnsi="Times New Roman"/>
      <w:b/>
      <w:bCs/>
      <w:sz w:val="32"/>
      <w:szCs w:val="32"/>
    </w:rPr>
  </w:style>
  <w:style w:type="paragraph" w:styleId="712">
    <w:name w:val="Heading 4"/>
    <w:basedOn w:val="708"/>
    <w:next w:val="720"/>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0"/>
    <w:link w:val="936"/>
    <w:uiPriority w:val="0"/>
    <w:qFormat/>
    <w:pPr>
      <w:keepNext/>
      <w:outlineLvl w:val="4"/>
    </w:pPr>
    <w:rPr>
      <w:rFonts w:ascii="宋体" w:hAnsi="Times New Roman"/>
      <w:color w:val="000000"/>
      <w:sz w:val="28"/>
      <w:szCs w:val="28"/>
    </w:rPr>
  </w:style>
  <w:style w:type="paragraph" w:styleId="714">
    <w:name w:val="Heading 6"/>
    <w:basedOn w:val="708"/>
    <w:next w:val="708"/>
    <w:link w:val="9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3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6">
    <w:name w:val="Heading 8"/>
    <w:basedOn w:val="708"/>
    <w:next w:val="708"/>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0"/>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Normal Indent"/>
    <w:basedOn w:val="708"/>
    <w:link w:val="933"/>
    <w:uiPriority w:val="0"/>
    <w:qFormat/>
    <w:pPr>
      <w:ind w:firstLine="420"/>
    </w:pPr>
    <w:rPr>
      <w:szCs w:val="21"/>
    </w:rPr>
  </w:style>
  <w:style w:type="paragraph" w:styleId="721">
    <w:name w:val="List 3"/>
    <w:basedOn w:val="708"/>
    <w:uiPriority w:val="0"/>
    <w:qFormat/>
    <w:pPr>
      <w:ind w:left="100" w:hanging="200"/>
    </w:pPr>
    <w:rPr>
      <w:rFonts w:ascii="Times New Roman" w:hAnsi="Times New Roman"/>
      <w:szCs w:val="21"/>
    </w:rPr>
  </w:style>
  <w:style w:type="paragraph" w:styleId="722">
    <w:name w:val="toc 7"/>
    <w:basedOn w:val="708"/>
    <w:next w:val="708"/>
    <w:uiPriority w:val="0"/>
    <w:qFormat/>
    <w:pPr>
      <w:ind w:left="1260"/>
      <w:jc w:val="left"/>
    </w:pPr>
    <w:rPr>
      <w:rFonts w:ascii="Times New Roman" w:hAnsi="Times New Roman"/>
      <w:szCs w:val="21"/>
    </w:rPr>
  </w:style>
  <w:style w:type="paragraph" w:styleId="723">
    <w:name w:val="List Bullet 4"/>
    <w:basedOn w:val="708"/>
    <w:uiPriority w:val="0"/>
    <w:qFormat/>
    <w:pPr>
      <w:ind w:left="360" w:hanging="360"/>
      <w:spacing w:line="380" w:lineRule="exact"/>
      <w:tabs>
        <w:tab w:val="left" w:pos="360" w:leader="none"/>
      </w:tabs>
    </w:pPr>
    <w:rPr>
      <w:sz w:val="28"/>
    </w:rPr>
  </w:style>
  <w:style w:type="paragraph" w:styleId="724">
    <w:name w:val="index 8"/>
    <w:basedOn w:val="708"/>
    <w:next w:val="708"/>
    <w:uiPriority w:val="0"/>
    <w:qFormat/>
    <w:pPr>
      <w:ind w:left="1400"/>
    </w:pPr>
  </w:style>
  <w:style w:type="paragraph" w:styleId="725">
    <w:name w:val="List Number"/>
    <w:basedOn w:val="708"/>
    <w:uiPriority w:val="0"/>
    <w:qFormat/>
    <w:pPr>
      <w:spacing w:line="360" w:lineRule="auto"/>
      <w:tabs>
        <w:tab w:val="left" w:pos="0" w:leader="none"/>
        <w:tab w:val="left" w:pos="840" w:leader="none"/>
      </w:tabs>
    </w:pPr>
  </w:style>
  <w:style w:type="paragraph" w:styleId="726">
    <w:name w:val="Caption"/>
    <w:basedOn w:val="708"/>
    <w:next w:val="708"/>
    <w:link w:val="1210"/>
    <w:uiPriority w:val="0"/>
    <w:qFormat/>
    <w:pPr>
      <w:spacing w:line="360" w:lineRule="auto"/>
      <w:tabs>
        <w:tab w:val="left" w:pos="0" w:leader="none"/>
      </w:tabs>
    </w:pPr>
    <w:rPr>
      <w:rFonts w:ascii="Arial" w:hAnsi="Arial" w:eastAsia="黑体"/>
      <w:sz w:val="20"/>
      <w:szCs w:val="20"/>
      <w:lang w:eastAsia="en-US"/>
    </w:rPr>
  </w:style>
  <w:style w:type="paragraph" w:styleId="727">
    <w:name w:val="index 5"/>
    <w:basedOn w:val="708"/>
    <w:next w:val="708"/>
    <w:uiPriority w:val="0"/>
    <w:qFormat/>
    <w:pPr>
      <w:ind w:left="800"/>
    </w:pPr>
  </w:style>
  <w:style w:type="paragraph" w:styleId="728">
    <w:name w:val="List Bullet"/>
    <w:basedOn w:val="708"/>
    <w:uiPriority w:val="0"/>
    <w:qFormat/>
    <w:pPr>
      <w:ind w:left="962" w:hanging="480"/>
      <w:spacing w:line="360" w:lineRule="auto"/>
      <w:tabs>
        <w:tab w:val="left" w:pos="840" w:leader="none"/>
      </w:tabs>
    </w:pPr>
    <w:rPr>
      <w:sz w:val="24"/>
    </w:rPr>
  </w:style>
  <w:style w:type="paragraph" w:styleId="729">
    <w:name w:val="Document Map"/>
    <w:basedOn w:val="708"/>
    <w:link w:val="941"/>
    <w:uiPriority w:val="0"/>
    <w:qFormat/>
    <w:pPr>
      <w:shd w:val="clear" w:color="auto" w:fill="000080"/>
    </w:pPr>
    <w:rPr>
      <w:rFonts w:ascii="Times New Roman" w:hAnsi="Times New Roman"/>
      <w:szCs w:val="21"/>
    </w:rPr>
  </w:style>
  <w:style w:type="paragraph" w:styleId="730">
    <w:name w:val="annotation text"/>
    <w:basedOn w:val="708"/>
    <w:link w:val="942"/>
    <w:uiPriority w:val="99"/>
    <w:unhideWhenUsed/>
    <w:qFormat/>
    <w:pPr>
      <w:jc w:val="left"/>
    </w:pPr>
  </w:style>
  <w:style w:type="paragraph" w:styleId="731">
    <w:name w:val="index 6"/>
    <w:basedOn w:val="708"/>
    <w:next w:val="708"/>
    <w:uiPriority w:val="0"/>
    <w:qFormat/>
    <w:pPr>
      <w:ind w:left="1000"/>
    </w:pPr>
  </w:style>
  <w:style w:type="paragraph" w:styleId="732">
    <w:name w:val="Body Text 3"/>
    <w:basedOn w:val="708"/>
    <w:link w:val="943"/>
    <w:uiPriority w:val="0"/>
    <w:qFormat/>
    <w:rPr>
      <w:rFonts w:ascii="仿宋_GB2312" w:hAnsi="Arial" w:eastAsia="仿宋_GB2312"/>
      <w:sz w:val="32"/>
      <w:szCs w:val="32"/>
    </w:rPr>
  </w:style>
  <w:style w:type="paragraph" w:styleId="733">
    <w:name w:val="List Bullet 3"/>
    <w:basedOn w:val="708"/>
    <w:uiPriority w:val="0"/>
    <w:qFormat/>
    <w:pPr>
      <w:ind w:left="1200" w:hanging="360"/>
      <w:spacing w:line="380" w:lineRule="exact"/>
      <w:tabs>
        <w:tab w:val="left" w:pos="1200" w:leader="none"/>
      </w:tabs>
    </w:pPr>
    <w:rPr>
      <w:sz w:val="28"/>
    </w:rPr>
  </w:style>
  <w:style w:type="paragraph" w:styleId="734">
    <w:name w:val="Body Text"/>
    <w:basedOn w:val="708"/>
    <w:link w:val="944"/>
    <w:uiPriority w:val="99"/>
    <w:qFormat/>
    <w:rPr>
      <w:rFonts w:ascii="楷体_GB2312" w:hAnsi="Arial" w:eastAsia="楷体_GB2312"/>
      <w:sz w:val="28"/>
      <w:szCs w:val="28"/>
    </w:rPr>
  </w:style>
  <w:style w:type="paragraph" w:styleId="735">
    <w:name w:val="Body Text Indent"/>
    <w:basedOn w:val="708"/>
    <w:link w:val="945"/>
    <w:uiPriority w:val="0"/>
    <w:unhideWhenUsed/>
    <w:qFormat/>
    <w:pPr>
      <w:ind w:left="420"/>
      <w:spacing w:after="120"/>
    </w:pPr>
  </w:style>
  <w:style w:type="paragraph" w:styleId="736">
    <w:name w:val="List 2"/>
    <w:basedOn w:val="708"/>
    <w:uiPriority w:val="0"/>
    <w:qFormat/>
    <w:pPr>
      <w:ind w:left="100" w:hanging="200"/>
    </w:pPr>
    <w:rPr>
      <w:rFonts w:ascii="Times New Roman" w:hAnsi="Times New Roman"/>
      <w:szCs w:val="21"/>
    </w:rPr>
  </w:style>
  <w:style w:type="paragraph" w:styleId="737">
    <w:name w:val="Block Text"/>
    <w:basedOn w:val="708"/>
    <w:uiPriority w:val="0"/>
    <w:qFormat/>
    <w:pPr>
      <w:ind w:left="1548" w:right="12" w:hanging="2405"/>
      <w:spacing w:line="360" w:lineRule="exact"/>
    </w:pPr>
    <w:rPr>
      <w:rFonts w:ascii="宋体"/>
      <w:bCs/>
      <w:sz w:val="28"/>
    </w:rPr>
  </w:style>
  <w:style w:type="paragraph" w:styleId="738">
    <w:name w:val="List Bullet 2"/>
    <w:basedOn w:val="708"/>
    <w:uiPriority w:val="0"/>
    <w:qFormat/>
    <w:pPr>
      <w:ind w:left="720" w:hanging="360"/>
      <w:spacing w:line="360" w:lineRule="auto"/>
      <w:tabs>
        <w:tab w:val="left" w:pos="720" w:leader="none"/>
      </w:tabs>
    </w:pPr>
    <w:rPr>
      <w:sz w:val="24"/>
    </w:rPr>
  </w:style>
  <w:style w:type="paragraph" w:styleId="739">
    <w:name w:val="HTML Address"/>
    <w:basedOn w:val="708"/>
    <w:link w:val="1065"/>
    <w:uiPriority w:val="0"/>
    <w:qFormat/>
    <w:rPr>
      <w:i/>
      <w:iCs/>
    </w:rPr>
  </w:style>
  <w:style w:type="paragraph" w:styleId="740">
    <w:name w:val="index 4"/>
    <w:basedOn w:val="708"/>
    <w:next w:val="708"/>
    <w:uiPriority w:val="0"/>
    <w:qFormat/>
    <w:pPr>
      <w:ind w:left="600"/>
    </w:pPr>
  </w:style>
  <w:style w:type="paragraph" w:styleId="741">
    <w:name w:val="toc 5"/>
    <w:basedOn w:val="708"/>
    <w:next w:val="708"/>
    <w:uiPriority w:val="0"/>
    <w:qFormat/>
    <w:pPr>
      <w:ind w:left="840"/>
      <w:jc w:val="left"/>
    </w:pPr>
    <w:rPr>
      <w:rFonts w:ascii="Times New Roman" w:hAnsi="Times New Roman"/>
      <w:szCs w:val="21"/>
    </w:rPr>
  </w:style>
  <w:style w:type="paragraph" w:styleId="742">
    <w:name w:val="toc 3"/>
    <w:basedOn w:val="708"/>
    <w:next w:val="708"/>
    <w:uiPriority w:val="39"/>
    <w:qFormat/>
    <w:pPr>
      <w:ind w:left="420"/>
      <w:jc w:val="left"/>
    </w:pPr>
    <w:rPr>
      <w:rFonts w:ascii="Times New Roman" w:hAnsi="Times New Roman"/>
      <w:i/>
      <w:iCs/>
      <w:szCs w:val="24"/>
    </w:rPr>
  </w:style>
  <w:style w:type="paragraph" w:styleId="743">
    <w:name w:val="List Bullet 5"/>
    <w:basedOn w:val="708"/>
    <w:uiPriority w:val="0"/>
    <w:qFormat/>
    <w:pPr>
      <w:ind w:left="720" w:hanging="360"/>
      <w:spacing w:line="380" w:lineRule="exact"/>
      <w:tabs>
        <w:tab w:val="left" w:pos="720" w:leader="none"/>
      </w:tabs>
    </w:pPr>
    <w:rPr>
      <w:sz w:val="28"/>
    </w:rPr>
  </w:style>
  <w:style w:type="paragraph" w:styleId="744">
    <w:name w:val="toc 8"/>
    <w:basedOn w:val="708"/>
    <w:next w:val="708"/>
    <w:uiPriority w:val="0"/>
    <w:qFormat/>
    <w:pPr>
      <w:ind w:left="1470"/>
      <w:jc w:val="left"/>
    </w:pPr>
    <w:rPr>
      <w:rFonts w:ascii="Times New Roman" w:hAnsi="Times New Roman"/>
      <w:szCs w:val="21"/>
    </w:rPr>
  </w:style>
  <w:style w:type="paragraph" w:styleId="745">
    <w:name w:val="index 3"/>
    <w:basedOn w:val="708"/>
    <w:next w:val="708"/>
    <w:uiPriority w:val="0"/>
    <w:qFormat/>
    <w:pPr>
      <w:ind w:left="400"/>
    </w:pPr>
  </w:style>
  <w:style w:type="paragraph" w:styleId="746">
    <w:name w:val="Date"/>
    <w:basedOn w:val="708"/>
    <w:next w:val="708"/>
    <w:link w:val="948"/>
    <w:uiPriority w:val="0"/>
    <w:qFormat/>
    <w:rPr>
      <w:rFonts w:ascii="Times New Roman" w:hAnsi="Times New Roman"/>
      <w:sz w:val="24"/>
      <w:szCs w:val="24"/>
    </w:rPr>
  </w:style>
  <w:style w:type="paragraph" w:styleId="747">
    <w:name w:val="Body Text Indent 2"/>
    <w:basedOn w:val="708"/>
    <w:link w:val="949"/>
    <w:uiPriority w:val="0"/>
    <w:qFormat/>
    <w:pPr>
      <w:ind w:left="630" w:firstLine="645"/>
    </w:pPr>
    <w:rPr>
      <w:rFonts w:ascii="Arial" w:hAnsi="Arial" w:eastAsia="仿宋_GB2312" w:cs="Arial"/>
      <w:sz w:val="32"/>
      <w:szCs w:val="32"/>
    </w:rPr>
  </w:style>
  <w:style w:type="paragraph" w:styleId="748">
    <w:name w:val="endnote text"/>
    <w:basedOn w:val="708"/>
    <w:link w:val="1077"/>
    <w:uiPriority w:val="0"/>
    <w:qFormat/>
    <w:pPr>
      <w:jc w:val="left"/>
      <w:widowControl/>
    </w:pPr>
    <w:rPr>
      <w:rFonts w:ascii="宋体"/>
      <w:bCs/>
      <w:szCs w:val="21"/>
    </w:rPr>
  </w:style>
  <w:style w:type="paragraph" w:styleId="749">
    <w:name w:val="Balloon Text"/>
    <w:basedOn w:val="708"/>
    <w:link w:val="950"/>
    <w:uiPriority w:val="0"/>
    <w:qFormat/>
    <w:rPr>
      <w:rFonts w:ascii="Times New Roman" w:hAnsi="Times New Roman"/>
      <w:sz w:val="18"/>
      <w:szCs w:val="18"/>
    </w:rPr>
  </w:style>
  <w:style w:type="paragraph" w:styleId="750">
    <w:name w:val="Footer"/>
    <w:basedOn w:val="708"/>
    <w:link w:val="951"/>
    <w:uiPriority w:val="99"/>
    <w:qFormat/>
    <w:pPr>
      <w:jc w:val="left"/>
      <w:tabs>
        <w:tab w:val="center" w:pos="4153" w:leader="none"/>
        <w:tab w:val="right" w:pos="8306" w:leader="none"/>
      </w:tabs>
    </w:pPr>
    <w:rPr>
      <w:rFonts w:ascii="Times New Roman" w:hAnsi="Times New Roman"/>
      <w:sz w:val="18"/>
      <w:szCs w:val="18"/>
    </w:rPr>
  </w:style>
  <w:style w:type="paragraph" w:styleId="751">
    <w:name w:val="Header"/>
    <w:basedOn w:val="708"/>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2">
    <w:name w:val="toc 1"/>
    <w:basedOn w:val="708"/>
    <w:next w:val="708"/>
    <w:uiPriority w:val="39"/>
    <w:qFormat/>
    <w:pPr>
      <w:jc w:val="left"/>
      <w:spacing w:before="120" w:after="120" w:line="400" w:lineRule="exact"/>
      <w:tabs>
        <w:tab w:val="right" w:pos="8720" w:leader="dot"/>
      </w:tabs>
    </w:pPr>
    <w:rPr>
      <w:rFonts w:ascii="宋体" w:hAnsi="宋体"/>
      <w:caps/>
      <w:sz w:val="24"/>
      <w:szCs w:val="24"/>
    </w:rPr>
  </w:style>
  <w:style w:type="paragraph" w:styleId="753">
    <w:name w:val="toc 4"/>
    <w:basedOn w:val="708"/>
    <w:next w:val="708"/>
    <w:uiPriority w:val="0"/>
    <w:qFormat/>
    <w:pPr>
      <w:ind w:left="630"/>
      <w:jc w:val="left"/>
    </w:pPr>
    <w:rPr>
      <w:rFonts w:ascii="Times New Roman" w:hAnsi="Times New Roman"/>
      <w:szCs w:val="21"/>
    </w:rPr>
  </w:style>
  <w:style w:type="paragraph" w:styleId="754">
    <w:name w:val="index heading"/>
    <w:basedOn w:val="708"/>
    <w:next w:val="755"/>
    <w:uiPriority w:val="0"/>
    <w:qFormat/>
  </w:style>
  <w:style w:type="paragraph" w:styleId="755">
    <w:name w:val="index 1"/>
    <w:basedOn w:val="708"/>
    <w:next w:val="708"/>
    <w:uiPriority w:val="0"/>
    <w:qFormat/>
    <w:pPr>
      <w:spacing w:line="240" w:lineRule="atLeast"/>
    </w:pPr>
    <w:rPr>
      <w:rFonts w:ascii="Times New Roman" w:hAnsi="Times New Roman"/>
      <w:b/>
      <w:bCs/>
      <w:szCs w:val="21"/>
    </w:rPr>
  </w:style>
  <w:style w:type="paragraph" w:styleId="756">
    <w:name w:val="Subtitle"/>
    <w:basedOn w:val="708"/>
    <w:next w:val="708"/>
    <w:link w:val="816"/>
    <w:uiPriority w:val="11"/>
    <w:qFormat/>
    <w:pPr>
      <w:spacing w:before="200" w:after="200"/>
    </w:pPr>
    <w:rPr>
      <w:sz w:val="24"/>
      <w:szCs w:val="24"/>
    </w:rPr>
  </w:style>
  <w:style w:type="paragraph" w:styleId="757">
    <w:name w:val="List"/>
    <w:basedOn w:val="708"/>
    <w:uiPriority w:val="0"/>
    <w:qFormat/>
    <w:pPr>
      <w:ind w:left="200" w:hanging="200"/>
    </w:pPr>
    <w:rPr>
      <w:rFonts w:ascii="Times New Roman" w:hAnsi="Times New Roman"/>
      <w:szCs w:val="21"/>
    </w:rPr>
  </w:style>
  <w:style w:type="paragraph" w:styleId="758">
    <w:name w:val="footnote text"/>
    <w:basedOn w:val="708"/>
    <w:link w:val="1066"/>
    <w:uiPriority w:val="0"/>
    <w:qFormat/>
    <w:pPr>
      <w:jc w:val="left"/>
    </w:pPr>
    <w:rPr>
      <w:rFonts w:ascii="宋体"/>
      <w:bCs/>
      <w:sz w:val="18"/>
      <w:szCs w:val="18"/>
    </w:rPr>
  </w:style>
  <w:style w:type="paragraph" w:styleId="759">
    <w:name w:val="toc 6"/>
    <w:basedOn w:val="708"/>
    <w:next w:val="708"/>
    <w:uiPriority w:val="0"/>
    <w:qFormat/>
    <w:pPr>
      <w:ind w:left="1050"/>
      <w:jc w:val="left"/>
    </w:pPr>
    <w:rPr>
      <w:rFonts w:ascii="Times New Roman" w:hAnsi="Times New Roman"/>
      <w:szCs w:val="21"/>
    </w:rPr>
  </w:style>
  <w:style w:type="paragraph" w:styleId="760">
    <w:name w:val="Body Text Indent 3"/>
    <w:basedOn w:val="708"/>
    <w:link w:val="953"/>
    <w:uiPriority w:val="0"/>
    <w:qFormat/>
    <w:pPr>
      <w:ind w:left="645" w:firstLine="645"/>
    </w:pPr>
    <w:rPr>
      <w:rFonts w:ascii="Arial" w:hAnsi="Arial" w:eastAsia="仿宋_GB2312" w:cs="Arial"/>
      <w:color w:val="ffff00"/>
      <w:sz w:val="32"/>
      <w:szCs w:val="32"/>
    </w:rPr>
  </w:style>
  <w:style w:type="paragraph" w:styleId="761">
    <w:name w:val="index 7"/>
    <w:basedOn w:val="708"/>
    <w:next w:val="708"/>
    <w:uiPriority w:val="0"/>
    <w:qFormat/>
    <w:pPr>
      <w:ind w:left="1200"/>
    </w:pPr>
  </w:style>
  <w:style w:type="paragraph" w:styleId="762">
    <w:name w:val="index 9"/>
    <w:basedOn w:val="708"/>
    <w:next w:val="708"/>
    <w:uiPriority w:val="0"/>
    <w:qFormat/>
    <w:pPr>
      <w:ind w:left="1600"/>
    </w:pPr>
  </w:style>
  <w:style w:type="paragraph" w:styleId="763">
    <w:name w:val="table of figures"/>
    <w:basedOn w:val="708"/>
    <w:next w:val="708"/>
    <w:uiPriority w:val="0"/>
    <w:qFormat/>
    <w:pPr>
      <w:ind w:left="840" w:hanging="420"/>
    </w:pPr>
    <w:rPr>
      <w:rFonts w:ascii="Times New Roman" w:hAnsi="Times New Roman"/>
      <w:szCs w:val="21"/>
    </w:rPr>
  </w:style>
  <w:style w:type="paragraph" w:styleId="764">
    <w:name w:val="toc 2"/>
    <w:basedOn w:val="708"/>
    <w:next w:val="708"/>
    <w:uiPriority w:val="39"/>
    <w:qFormat/>
    <w:pPr>
      <w:ind w:left="210"/>
      <w:jc w:val="left"/>
    </w:pPr>
    <w:rPr>
      <w:rFonts w:ascii="Times New Roman" w:hAnsi="Times New Roman"/>
      <w:smallCaps/>
      <w:szCs w:val="24"/>
    </w:rPr>
  </w:style>
  <w:style w:type="paragraph" w:styleId="765">
    <w:name w:val="toc 9"/>
    <w:basedOn w:val="708"/>
    <w:next w:val="708"/>
    <w:uiPriority w:val="0"/>
    <w:qFormat/>
    <w:pPr>
      <w:ind w:left="1680"/>
      <w:jc w:val="left"/>
    </w:pPr>
    <w:rPr>
      <w:rFonts w:ascii="Times New Roman" w:hAnsi="Times New Roman"/>
      <w:szCs w:val="21"/>
    </w:rPr>
  </w:style>
  <w:style w:type="paragraph" w:styleId="766">
    <w:name w:val="Body Text 2"/>
    <w:basedOn w:val="708"/>
    <w:link w:val="954"/>
    <w:uiPriority w:val="0"/>
    <w:qFormat/>
    <w:pPr>
      <w:jc w:val="center"/>
      <w:widowControl/>
    </w:pPr>
    <w:rPr>
      <w:rFonts w:ascii="楷体_GB2312" w:hAnsi="Times New Roman" w:eastAsia="楷体_GB2312"/>
      <w:sz w:val="28"/>
      <w:szCs w:val="28"/>
    </w:rPr>
  </w:style>
  <w:style w:type="paragraph" w:styleId="767">
    <w:name w:val="List Continue 2"/>
    <w:basedOn w:val="708"/>
    <w:uiPriority w:val="0"/>
    <w:qFormat/>
    <w:pPr>
      <w:ind w:left="840"/>
      <w:spacing w:after="120"/>
    </w:pPr>
  </w:style>
  <w:style w:type="paragraph" w:styleId="768">
    <w:name w:val="HTML Preformatted"/>
    <w:basedOn w:val="708"/>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9">
    <w:name w:val="Normal (Web)"/>
    <w:basedOn w:val="708"/>
    <w:link w:val="1303"/>
    <w:uiPriority w:val="0"/>
    <w:qFormat/>
    <w:pPr>
      <w:jc w:val="left"/>
      <w:spacing w:before="100" w:beforeAutospacing="1" w:after="100" w:afterAutospacing="1"/>
      <w:widowControl/>
    </w:pPr>
    <w:rPr>
      <w:rFonts w:ascii="宋体" w:hAnsi="宋体" w:cs="宋体"/>
      <w:sz w:val="24"/>
      <w:szCs w:val="24"/>
    </w:rPr>
  </w:style>
  <w:style w:type="paragraph" w:styleId="770">
    <w:name w:val="index 2"/>
    <w:basedOn w:val="708"/>
    <w:next w:val="708"/>
    <w:uiPriority w:val="0"/>
    <w:qFormat/>
    <w:pPr>
      <w:ind w:left="200"/>
    </w:pPr>
  </w:style>
  <w:style w:type="paragraph" w:styleId="771">
    <w:name w:val="Title"/>
    <w:basedOn w:val="708"/>
    <w:link w:val="1176"/>
    <w:uiPriority w:val="0"/>
    <w:qFormat/>
    <w:pPr>
      <w:jc w:val="center"/>
      <w:spacing w:before="240" w:after="60"/>
      <w:outlineLvl w:val="0"/>
    </w:pPr>
    <w:rPr>
      <w:rFonts w:ascii="Cambria" w:hAnsi="Cambria"/>
      <w:b/>
      <w:bCs/>
      <w:sz w:val="32"/>
      <w:szCs w:val="32"/>
    </w:rPr>
  </w:style>
  <w:style w:type="paragraph" w:styleId="772">
    <w:name w:val="annotation subject"/>
    <w:basedOn w:val="730"/>
    <w:next w:val="730"/>
    <w:link w:val="955"/>
    <w:uiPriority w:val="0"/>
    <w:qFormat/>
    <w:rPr>
      <w:rFonts w:ascii="Times New Roman" w:hAnsi="Times New Roman"/>
      <w:b/>
      <w:bCs/>
      <w:szCs w:val="21"/>
    </w:rPr>
  </w:style>
  <w:style w:type="paragraph" w:styleId="773">
    <w:name w:val="Body Text First Indent"/>
    <w:basedOn w:val="708"/>
    <w:link w:val="956"/>
    <w:uiPriority w:val="0"/>
    <w:qFormat/>
    <w:pPr>
      <w:ind w:firstLine="200"/>
      <w:spacing w:line="360" w:lineRule="auto"/>
    </w:pPr>
    <w:rPr>
      <w:rFonts w:ascii="仿宋_GB2312" w:hAnsi="Times New Roman" w:eastAsia="仿宋_GB2312"/>
      <w:sz w:val="30"/>
      <w:szCs w:val="30"/>
    </w:rPr>
  </w:style>
  <w:style w:type="paragraph" w:styleId="774">
    <w:name w:val="Body Text First Indent 2"/>
    <w:basedOn w:val="735"/>
    <w:link w:val="957"/>
    <w:uiPriority w:val="0"/>
    <w:qFormat/>
    <w:pPr>
      <w:ind w:left="0" w:firstLine="420"/>
      <w:spacing w:after="0" w:line="360" w:lineRule="auto"/>
    </w:pPr>
    <w:rPr>
      <w:rFonts w:ascii="宋体" w:hAnsi="宋体"/>
      <w:szCs w:val="20"/>
    </w:rPr>
  </w:style>
  <w:style w:type="table" w:styleId="775">
    <w:name w:val="Table Grid"/>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uiPriority w:val="22"/>
    <w:qFormat/>
    <w:rPr>
      <w:b/>
      <w:bCs/>
    </w:rPr>
  </w:style>
  <w:style w:type="character" w:styleId="777">
    <w:name w:val="endnote reference"/>
    <w:uiPriority w:val="0"/>
    <w:qFormat/>
    <w:rPr>
      <w:vertAlign w:val="superscript"/>
    </w:rPr>
  </w:style>
  <w:style w:type="character" w:styleId="778">
    <w:name w:val="page number"/>
    <w:uiPriority w:val="0"/>
    <w:qFormat/>
  </w:style>
  <w:style w:type="character" w:styleId="779">
    <w:name w:val="FollowedHyperlink"/>
    <w:uiPriority w:val="0"/>
    <w:qFormat/>
    <w:rPr>
      <w:color w:val="800080"/>
      <w:u w:val="single"/>
    </w:rPr>
  </w:style>
  <w:style w:type="character" w:styleId="780">
    <w:name w:val="Emphasis"/>
    <w:uiPriority w:val="0"/>
    <w:qFormat/>
    <w:rPr>
      <w:color w:val="cc0033"/>
    </w:rPr>
  </w:style>
  <w:style w:type="character" w:styleId="781">
    <w:name w:val="HTML Typewriter"/>
    <w:uiPriority w:val="0"/>
    <w:qFormat/>
    <w:rPr>
      <w:rFonts w:ascii="宋体" w:eastAsia="宋体" w:cs="宋体"/>
      <w:sz w:val="24"/>
      <w:szCs w:val="24"/>
      <w:lang w:bidi="ar-SA"/>
    </w:rPr>
  </w:style>
  <w:style w:type="character" w:styleId="782">
    <w:name w:val="Hyperlink"/>
    <w:uiPriority w:val="99"/>
    <w:qFormat/>
    <w:rPr>
      <w:color w:val="0000ff"/>
      <w:u w:val="single"/>
    </w:rPr>
  </w:style>
  <w:style w:type="character" w:styleId="783">
    <w:name w:val="annotation reference"/>
    <w:uiPriority w:val="0"/>
    <w:qFormat/>
    <w:rPr>
      <w:sz w:val="21"/>
      <w:szCs w:val="21"/>
    </w:rPr>
  </w:style>
  <w:style w:type="character" w:styleId="784">
    <w:name w:val="footnote reference"/>
    <w:uiPriority w:val="0"/>
    <w:qFormat/>
    <w:rPr>
      <w:vertAlign w:val="superscript"/>
    </w:rPr>
  </w:style>
  <w:style w:type="table" w:styleId="785"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1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71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Subtitle Char"/>
    <w:basedOn w:val="718"/>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ing 1 Char"/>
    <w:uiPriority w:val="9"/>
    <w:qFormat/>
    <w:rPr>
      <w:rFonts w:ascii="Arial" w:hAnsi="Arial" w:eastAsia="Arial" w:cs="Arial"/>
      <w:sz w:val="40"/>
      <w:szCs w:val="40"/>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Heading 8 Char"/>
    <w:uiPriority w:val="9"/>
    <w:qFormat/>
    <w:rPr>
      <w:rFonts w:ascii="Arial" w:hAnsi="Arial" w:eastAsia="Arial" w:cs="Arial"/>
      <w:i/>
      <w:iCs/>
      <w:sz w:val="22"/>
      <w:szCs w:val="22"/>
    </w:rPr>
  </w:style>
  <w:style w:type="character" w:styleId="813" w:customStyle="1">
    <w:name w:val="Heading 9 Char"/>
    <w:uiPriority w:val="9"/>
    <w:qFormat/>
    <w:rPr>
      <w:rFonts w:ascii="Arial" w:hAnsi="Arial" w:eastAsia="Arial" w:cs="Arial"/>
      <w:i/>
      <w:iCs/>
      <w:sz w:val="21"/>
      <w:szCs w:val="21"/>
    </w:rPr>
  </w:style>
  <w:style w:type="paragraph" w:styleId="814">
    <w:name w:val="No Spacing"/>
    <w:link w:val="1216"/>
    <w:uiPriority w:val="0"/>
    <w:qFormat/>
    <w:pPr>
      <w:jc w:val="both"/>
      <w:widowControl w:val="off"/>
    </w:pPr>
    <w:rPr>
      <w:rFonts w:ascii="Times New Roman" w:hAnsi="Times New Roman" w:eastAsia="宋体" w:cs="Times New Roman"/>
      <w:sz w:val="21"/>
      <w:szCs w:val="21"/>
      <w:lang w:val="en-US" w:eastAsia="zh-CN" w:bidi="ar-SA"/>
    </w:rPr>
  </w:style>
  <w:style w:type="character" w:styleId="815" w:customStyle="1">
    <w:name w:val="Title Char"/>
    <w:uiPriority w:val="10"/>
    <w:qFormat/>
    <w:rPr>
      <w:sz w:val="48"/>
      <w:szCs w:val="48"/>
    </w:rPr>
  </w:style>
  <w:style w:type="character" w:styleId="816" w:customStyle="1">
    <w:name w:val="副标题 Char"/>
    <w:link w:val="756"/>
    <w:uiPriority w:val="11"/>
    <w:qFormat/>
    <w:rPr>
      <w:sz w:val="24"/>
      <w:szCs w:val="24"/>
    </w:rPr>
  </w:style>
  <w:style w:type="paragraph" w:styleId="817">
    <w:name w:val="Quote"/>
    <w:basedOn w:val="708"/>
    <w:next w:val="708"/>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08"/>
    <w:next w:val="70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1"/>
    <w:basedOn w:val="709"/>
    <w:next w:val="708"/>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31" w:customStyle="1">
    <w:name w:val="标题 1 Char"/>
    <w:link w:val="709"/>
    <w:uiPriority w:val="0"/>
    <w:qFormat/>
    <w:rPr>
      <w:rFonts w:ascii="楷体_GB2312" w:hAnsi="Times New Roman" w:eastAsia="楷体_GB2312" w:cs="Times New Roman"/>
      <w:sz w:val="28"/>
      <w:szCs w:val="28"/>
    </w:rPr>
  </w:style>
  <w:style w:type="character" w:styleId="932" w:customStyle="1">
    <w:name w:val="标题 2 Char"/>
    <w:link w:val="710"/>
    <w:uiPriority w:val="0"/>
    <w:qFormat/>
    <w:rPr>
      <w:rFonts w:ascii="Arial" w:hAnsi="Arial" w:eastAsia="幼圆" w:cs="Arial"/>
      <w:b/>
      <w:bCs/>
      <w:sz w:val="44"/>
      <w:szCs w:val="44"/>
    </w:rPr>
  </w:style>
  <w:style w:type="character" w:styleId="933" w:customStyle="1">
    <w:name w:val="正文缩进 Char"/>
    <w:link w:val="720"/>
    <w:uiPriority w:val="0"/>
    <w:qFormat/>
    <w:rPr>
      <w:szCs w:val="21"/>
    </w:rPr>
  </w:style>
  <w:style w:type="character" w:styleId="934" w:customStyle="1">
    <w:name w:val="标题 3 Char"/>
    <w:link w:val="711"/>
    <w:uiPriority w:val="0"/>
    <w:qFormat/>
    <w:rPr>
      <w:rFonts w:ascii="Times New Roman" w:hAnsi="Times New Roman" w:eastAsia="宋体" w:cs="Times New Roman"/>
      <w:b/>
      <w:bCs/>
      <w:sz w:val="32"/>
      <w:szCs w:val="32"/>
    </w:rPr>
  </w:style>
  <w:style w:type="character" w:styleId="935" w:customStyle="1">
    <w:name w:val="标题 4 Char"/>
    <w:link w:val="712"/>
    <w:uiPriority w:val="0"/>
    <w:qFormat/>
    <w:rPr>
      <w:rFonts w:ascii="Arial" w:hAnsi="Arial" w:eastAsia="黑体" w:cs="Arial"/>
      <w:b/>
      <w:bCs/>
      <w:sz w:val="28"/>
      <w:szCs w:val="28"/>
    </w:rPr>
  </w:style>
  <w:style w:type="character" w:styleId="936" w:customStyle="1">
    <w:name w:val="标题 5 Char"/>
    <w:link w:val="713"/>
    <w:uiPriority w:val="0"/>
    <w:qFormat/>
    <w:rPr>
      <w:rFonts w:ascii="宋体" w:hAnsi="Times New Roman" w:eastAsia="宋体" w:cs="Times New Roman"/>
      <w:color w:val="000000"/>
      <w:sz w:val="28"/>
      <w:szCs w:val="28"/>
    </w:rPr>
  </w:style>
  <w:style w:type="character" w:styleId="937" w:customStyle="1">
    <w:name w:val="标题 6 Char"/>
    <w:link w:val="714"/>
    <w:uiPriority w:val="0"/>
    <w:qFormat/>
    <w:rPr>
      <w:rFonts w:ascii="Arial" w:hAnsi="Arial" w:eastAsia="黑体" w:cs="Times New Roman"/>
      <w:b/>
      <w:bCs/>
      <w:sz w:val="24"/>
      <w:szCs w:val="24"/>
    </w:rPr>
  </w:style>
  <w:style w:type="character" w:styleId="938" w:customStyle="1">
    <w:name w:val="标题 7 Char"/>
    <w:link w:val="715"/>
    <w:uiPriority w:val="0"/>
    <w:qFormat/>
    <w:rPr>
      <w:rFonts w:ascii="Times New Roman" w:hAnsi="Times New Roman" w:eastAsia="宋体" w:cs="Times New Roman"/>
      <w:b/>
      <w:bCs/>
      <w:sz w:val="24"/>
      <w:szCs w:val="24"/>
    </w:rPr>
  </w:style>
  <w:style w:type="character" w:styleId="939" w:customStyle="1">
    <w:name w:val="标题 8 Char"/>
    <w:link w:val="716"/>
    <w:uiPriority w:val="0"/>
    <w:qFormat/>
    <w:rPr>
      <w:rFonts w:ascii="Arial" w:hAnsi="Arial" w:eastAsia="黑体" w:cs="Times New Roman"/>
      <w:sz w:val="24"/>
      <w:szCs w:val="24"/>
    </w:rPr>
  </w:style>
  <w:style w:type="character" w:styleId="940" w:customStyle="1">
    <w:name w:val="标题 9 Char"/>
    <w:link w:val="717"/>
    <w:uiPriority w:val="0"/>
    <w:qFormat/>
    <w:rPr>
      <w:rFonts w:ascii="Arial" w:hAnsi="Arial" w:eastAsia="黑体" w:cs="Times New Roman"/>
      <w:szCs w:val="21"/>
    </w:rPr>
  </w:style>
  <w:style w:type="character" w:styleId="941" w:customStyle="1">
    <w:name w:val="文档结构图 Char"/>
    <w:link w:val="729"/>
    <w:uiPriority w:val="0"/>
    <w:semiHidden/>
    <w:qFormat/>
    <w:rPr>
      <w:rFonts w:ascii="Times New Roman" w:hAnsi="Times New Roman" w:eastAsia="宋体" w:cs="Times New Roman"/>
      <w:szCs w:val="21"/>
      <w:shd w:val="clear" w:color="auto" w:fill="000080"/>
    </w:rPr>
  </w:style>
  <w:style w:type="character" w:styleId="942" w:customStyle="1">
    <w:name w:val="批注文字 Char"/>
    <w:link w:val="730"/>
    <w:uiPriority w:val="99"/>
    <w:qFormat/>
  </w:style>
  <w:style w:type="character" w:styleId="943" w:customStyle="1">
    <w:name w:val="正文文本 3 Char"/>
    <w:link w:val="732"/>
    <w:uiPriority w:val="0"/>
    <w:qFormat/>
    <w:rPr>
      <w:rFonts w:ascii="仿宋_GB2312" w:hAnsi="Arial" w:eastAsia="仿宋_GB2312" w:cs="Times New Roman"/>
      <w:sz w:val="32"/>
      <w:szCs w:val="32"/>
    </w:rPr>
  </w:style>
  <w:style w:type="character" w:styleId="944" w:customStyle="1">
    <w:name w:val="正文文本 Char"/>
    <w:link w:val="734"/>
    <w:uiPriority w:val="99"/>
    <w:qFormat/>
    <w:rPr>
      <w:rFonts w:ascii="楷体_GB2312" w:hAnsi="Arial" w:eastAsia="楷体_GB2312" w:cs="Times New Roman"/>
      <w:sz w:val="28"/>
      <w:szCs w:val="28"/>
    </w:rPr>
  </w:style>
  <w:style w:type="character" w:styleId="945" w:customStyle="1">
    <w:name w:val="正文文本缩进 Char"/>
    <w:link w:val="735"/>
    <w:uiPriority w:val="99"/>
    <w:semiHidden/>
    <w:qFormat/>
  </w:style>
  <w:style w:type="paragraph" w:styleId="946" w:customStyle="1">
    <w:name w:val="纯文本1"/>
    <w:basedOn w:val="708"/>
    <w:link w:val="947"/>
    <w:uiPriority w:val="0"/>
    <w:qFormat/>
    <w:rPr>
      <w:rFonts w:ascii="宋体" w:hAnsi="Courier New" w:cs="Courier New"/>
      <w:szCs w:val="21"/>
    </w:rPr>
  </w:style>
  <w:style w:type="character" w:styleId="947" w:customStyle="1">
    <w:name w:val="纯文本 Char"/>
    <w:link w:val="946"/>
    <w:uiPriority w:val="0"/>
    <w:qFormat/>
    <w:rPr>
      <w:rFonts w:ascii="宋体" w:hAnsi="Courier New" w:eastAsia="宋体" w:cs="Courier New"/>
      <w:szCs w:val="21"/>
    </w:rPr>
  </w:style>
  <w:style w:type="character" w:styleId="948" w:customStyle="1">
    <w:name w:val="日期 Char"/>
    <w:link w:val="746"/>
    <w:uiPriority w:val="0"/>
    <w:qFormat/>
    <w:rPr>
      <w:rFonts w:ascii="Times New Roman" w:hAnsi="Times New Roman" w:eastAsia="宋体" w:cs="Times New Roman"/>
      <w:sz w:val="24"/>
      <w:szCs w:val="24"/>
    </w:rPr>
  </w:style>
  <w:style w:type="character" w:styleId="949" w:customStyle="1">
    <w:name w:val="正文文本缩进 2 Char"/>
    <w:link w:val="747"/>
    <w:uiPriority w:val="0"/>
    <w:qFormat/>
    <w:rPr>
      <w:rFonts w:ascii="Arial" w:hAnsi="Arial" w:eastAsia="仿宋_GB2312" w:cs="Arial"/>
      <w:sz w:val="32"/>
      <w:szCs w:val="32"/>
    </w:rPr>
  </w:style>
  <w:style w:type="character" w:styleId="950" w:customStyle="1">
    <w:name w:val="批注框文本 Char"/>
    <w:link w:val="749"/>
    <w:uiPriority w:val="0"/>
    <w:semiHidden/>
    <w:qFormat/>
    <w:rPr>
      <w:rFonts w:ascii="Times New Roman" w:hAnsi="Times New Roman" w:eastAsia="宋体" w:cs="Times New Roman"/>
      <w:sz w:val="18"/>
      <w:szCs w:val="18"/>
    </w:rPr>
  </w:style>
  <w:style w:type="character" w:styleId="951" w:customStyle="1">
    <w:name w:val="页脚 Char"/>
    <w:link w:val="750"/>
    <w:uiPriority w:val="99"/>
    <w:qFormat/>
    <w:rPr>
      <w:rFonts w:ascii="Times New Roman" w:hAnsi="Times New Roman" w:eastAsia="宋体" w:cs="Times New Roman"/>
      <w:sz w:val="18"/>
      <w:szCs w:val="18"/>
    </w:rPr>
  </w:style>
  <w:style w:type="character" w:styleId="952" w:customStyle="1">
    <w:name w:val="页眉 Char"/>
    <w:link w:val="751"/>
    <w:uiPriority w:val="0"/>
    <w:qFormat/>
    <w:rPr>
      <w:rFonts w:ascii="Times New Roman" w:hAnsi="Times New Roman" w:eastAsia="宋体" w:cs="Times New Roman"/>
      <w:sz w:val="18"/>
      <w:szCs w:val="18"/>
    </w:rPr>
  </w:style>
  <w:style w:type="character" w:styleId="953" w:customStyle="1">
    <w:name w:val="正文文本缩进 3 Char"/>
    <w:link w:val="760"/>
    <w:uiPriority w:val="0"/>
    <w:qFormat/>
    <w:rPr>
      <w:rFonts w:ascii="Arial" w:hAnsi="Arial" w:eastAsia="仿宋_GB2312" w:cs="Arial"/>
      <w:color w:val="ffff00"/>
      <w:sz w:val="32"/>
      <w:szCs w:val="32"/>
    </w:rPr>
  </w:style>
  <w:style w:type="character" w:styleId="954" w:customStyle="1">
    <w:name w:val="正文文本 2 Char"/>
    <w:link w:val="766"/>
    <w:uiPriority w:val="0"/>
    <w:qFormat/>
    <w:rPr>
      <w:rFonts w:ascii="楷体_GB2312" w:hAnsi="Times New Roman" w:eastAsia="楷体_GB2312" w:cs="Times New Roman"/>
      <w:sz w:val="28"/>
      <w:szCs w:val="28"/>
    </w:rPr>
  </w:style>
  <w:style w:type="character" w:styleId="955" w:customStyle="1">
    <w:name w:val="批注主题 Char"/>
    <w:link w:val="772"/>
    <w:uiPriority w:val="0"/>
    <w:semiHidden/>
    <w:qFormat/>
    <w:rPr>
      <w:rFonts w:ascii="Times New Roman" w:hAnsi="Times New Roman" w:eastAsia="宋体" w:cs="Times New Roman"/>
      <w:b/>
      <w:bCs/>
      <w:szCs w:val="21"/>
    </w:rPr>
  </w:style>
  <w:style w:type="character" w:styleId="956" w:customStyle="1">
    <w:name w:val="正文首行缩进 Char"/>
    <w:link w:val="773"/>
    <w:uiPriority w:val="0"/>
    <w:qFormat/>
    <w:rPr>
      <w:rFonts w:ascii="仿宋_GB2312" w:hAnsi="Times New Roman" w:eastAsia="仿宋_GB2312" w:cs="Times New Roman"/>
      <w:sz w:val="30"/>
      <w:szCs w:val="30"/>
    </w:rPr>
  </w:style>
  <w:style w:type="character" w:styleId="957" w:customStyle="1">
    <w:name w:val="正文首行缩进 2 Char"/>
    <w:link w:val="774"/>
    <w:uiPriority w:val="0"/>
    <w:qFormat/>
    <w:rPr>
      <w:rFonts w:ascii="宋体" w:hAnsi="宋体" w:eastAsia="宋体" w:cs="Times New Roman"/>
      <w:szCs w:val="20"/>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708"/>
    <w:link w:val="95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8"/>
    <w:link w:val="961"/>
    <w:uiPriority w:val="0"/>
    <w:qFormat/>
    <w:pPr>
      <w:contextualSpacing/>
      <w:ind w:left="720"/>
      <w:jc w:val="left"/>
      <w:widowControl/>
    </w:pPr>
    <w:rPr>
      <w:sz w:val="24"/>
      <w:szCs w:val="24"/>
      <w:lang w:eastAsia="en-US" w:bidi="en-US"/>
    </w:rPr>
  </w:style>
  <w:style w:type="paragraph" w:styleId="963" w:customStyle="1">
    <w:name w:val="Body Text(ch)"/>
    <w:basedOn w:val="708"/>
    <w:next w:val="734"/>
    <w:uiPriority w:val="0"/>
    <w:qFormat/>
    <w:pPr>
      <w:spacing w:after="120"/>
    </w:pPr>
    <w:rPr>
      <w:rFonts w:ascii="宋体" w:hAnsi="Arial"/>
      <w:bCs/>
      <w:iCs/>
      <w:szCs w:val="24"/>
    </w:rPr>
  </w:style>
  <w:style w:type="paragraph" w:styleId="96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08"/>
    <w:uiPriority w:val="0"/>
    <w:qFormat/>
    <w:pPr>
      <w:ind w:firstLine="200"/>
      <w:tabs>
        <w:tab w:val="left" w:pos="360" w:leader="none"/>
      </w:tabs>
    </w:pPr>
    <w:rPr>
      <w:rFonts w:ascii="Times New Roman" w:hAnsi="Times New Roman"/>
      <w:sz w:val="28"/>
      <w:szCs w:val="30"/>
    </w:rPr>
  </w:style>
  <w:style w:type="paragraph" w:styleId="967" w:customStyle="1">
    <w:name w:val="Char111"/>
    <w:basedOn w:val="729"/>
    <w:uiPriority w:val="0"/>
    <w:qFormat/>
    <w:rPr>
      <w:rFonts w:ascii="Tahoma" w:hAnsi="Tahoma"/>
      <w:sz w:val="24"/>
      <w:szCs w:val="24"/>
    </w:rPr>
  </w:style>
  <w:style w:type="paragraph" w:styleId="968"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08"/>
    <w:uiPriority w:val="0"/>
    <w:qFormat/>
    <w:pPr>
      <w:jc w:val="left"/>
      <w:widowControl/>
    </w:pPr>
    <w:rPr>
      <w:rFonts w:ascii="Times New Roman" w:hAnsi="Times New Roman"/>
      <w:sz w:val="20"/>
      <w:szCs w:val="20"/>
      <w:lang w:val="de-DE" w:eastAsia="de-DE"/>
    </w:rPr>
  </w:style>
  <w:style w:type="paragraph" w:styleId="97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1"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29"/>
    <w:uiPriority w:val="0"/>
    <w:qFormat/>
    <w:pPr>
      <w:spacing w:line="360" w:lineRule="auto"/>
    </w:pPr>
    <w:rPr>
      <w:rFonts w:ascii="Tahoma" w:hAnsi="Tahoma"/>
      <w:sz w:val="24"/>
      <w:szCs w:val="24"/>
    </w:rPr>
  </w:style>
  <w:style w:type="paragraph" w:styleId="973">
    <w:name w:val="List Paragraph"/>
    <w:basedOn w:val="708"/>
    <w:uiPriority w:val="0"/>
    <w:qFormat/>
    <w:pPr>
      <w:ind w:firstLine="200"/>
    </w:pPr>
  </w:style>
  <w:style w:type="paragraph" w:styleId="974" w:customStyle="1">
    <w:name w:val="4"/>
    <w:basedOn w:val="708"/>
    <w:next w:val="760"/>
    <w:uiPriority w:val="0"/>
    <w:qFormat/>
    <w:pPr>
      <w:ind w:firstLine="420"/>
      <w:spacing w:line="360" w:lineRule="auto"/>
    </w:pPr>
    <w:rPr>
      <w:rFonts w:ascii="Times New Roman" w:hAnsi="Times New Roman"/>
      <w:color w:val="ff0000"/>
      <w:sz w:val="24"/>
      <w:szCs w:val="24"/>
    </w:rPr>
  </w:style>
  <w:style w:type="paragraph" w:styleId="975"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708"/>
    <w:uiPriority w:val="0"/>
    <w:qFormat/>
    <w:pPr>
      <w:spacing w:line="360" w:lineRule="auto"/>
    </w:pPr>
    <w:rPr>
      <w:rFonts w:ascii="Times New Roman" w:hAnsi="Times New Roman"/>
      <w:sz w:val="24"/>
      <w:szCs w:val="20"/>
    </w:rPr>
  </w:style>
  <w:style w:type="paragraph" w:styleId="977" w:customStyle="1">
    <w:name w:val="样式1"/>
    <w:basedOn w:val="708"/>
    <w:uiPriority w:val="0"/>
    <w:qFormat/>
    <w:pPr>
      <w:numPr>
        <w:ilvl w:val="0"/>
        <w:numId w:val="3"/>
      </w:numPr>
    </w:pPr>
    <w:rPr>
      <w:rFonts w:ascii="宋体" w:hAnsi="宋体"/>
      <w:szCs w:val="21"/>
    </w:rPr>
  </w:style>
  <w:style w:type="paragraph" w:styleId="978"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708"/>
    <w:next w:val="708"/>
    <w:uiPriority w:val="0"/>
    <w:qFormat/>
    <w:pPr>
      <w:ind w:firstLine="624"/>
      <w:spacing w:line="590" w:lineRule="atLeast"/>
    </w:pPr>
    <w:rPr>
      <w:rFonts w:ascii="方正黑体_GBK" w:hAnsi="Times New Roman" w:eastAsia="方正黑体_GBK"/>
      <w:sz w:val="32"/>
      <w:szCs w:val="32"/>
    </w:rPr>
  </w:style>
  <w:style w:type="paragraph" w:styleId="982"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1"/>
    <w:basedOn w:val="729"/>
    <w:uiPriority w:val="0"/>
    <w:qFormat/>
    <w:pPr>
      <w:spacing w:line="360" w:lineRule="auto"/>
    </w:pPr>
    <w:rPr>
      <w:rFonts w:ascii="Tahoma" w:hAnsi="Tahoma"/>
      <w:sz w:val="24"/>
      <w:szCs w:val="24"/>
    </w:rPr>
  </w:style>
  <w:style w:type="paragraph" w:styleId="989" w:customStyle="1">
    <w:name w:val="table_1stline"/>
    <w:basedOn w:val="708"/>
    <w:uiPriority w:val="0"/>
    <w:qFormat/>
    <w:pPr>
      <w:jc w:val="left"/>
      <w:spacing w:before="120"/>
      <w:widowControl/>
    </w:pPr>
    <w:rPr>
      <w:rFonts w:ascii="Times New Roman" w:hAnsi="Times New Roman"/>
      <w:bCs/>
      <w:sz w:val="20"/>
      <w:szCs w:val="20"/>
      <w:lang w:val="de-DE" w:eastAsia="de-DE"/>
    </w:rPr>
  </w:style>
  <w:style w:type="paragraph" w:styleId="990"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customStyle="1">
    <w:name w:val="修订1"/>
    <w:uiPriority w:val="0"/>
    <w:qFormat/>
    <w:rPr>
      <w:rFonts w:ascii="Times New Roman" w:hAnsi="Times New Roman" w:eastAsia="宋体" w:cs="Times New Roman"/>
      <w:sz w:val="21"/>
      <w:szCs w:val="21"/>
      <w:lang w:val="en-US" w:eastAsia="zh-CN" w:bidi="ar-SA"/>
    </w:rPr>
  </w:style>
  <w:style w:type="paragraph" w:styleId="993" w:customStyle="1">
    <w:name w:val="标题 21"/>
    <w:basedOn w:val="708"/>
    <w:next w:val="708"/>
    <w:link w:val="994"/>
    <w:uiPriority w:val="0"/>
    <w:qFormat/>
    <w:pPr>
      <w:keepLines/>
      <w:keepNext/>
      <w:spacing w:before="260" w:after="260" w:line="413" w:lineRule="auto"/>
      <w:outlineLvl w:val="1"/>
    </w:pPr>
    <w:rPr>
      <w:rFonts w:ascii="Arial" w:hAnsi="Arial" w:eastAsia="黑体"/>
      <w:b/>
      <w:sz w:val="32"/>
      <w:szCs w:val="20"/>
    </w:rPr>
  </w:style>
  <w:style w:type="character" w:styleId="994" w:customStyle="1">
    <w:name w:val="标题 2 字符"/>
    <w:link w:val="993"/>
    <w:uiPriority w:val="0"/>
    <w:qFormat/>
    <w:rPr>
      <w:rFonts w:ascii="Arial" w:hAnsi="Arial" w:eastAsia="黑体"/>
      <w:b/>
      <w:sz w:val="32"/>
    </w:rPr>
  </w:style>
  <w:style w:type="paragraph" w:styleId="995" w:customStyle="1">
    <w:name w:val="批注文字1"/>
    <w:basedOn w:val="708"/>
    <w:link w:val="996"/>
    <w:uiPriority w:val="99"/>
    <w:qFormat/>
    <w:pPr>
      <w:jc w:val="left"/>
    </w:pPr>
    <w:rPr>
      <w:szCs w:val="20"/>
    </w:rPr>
  </w:style>
  <w:style w:type="character" w:styleId="996" w:customStyle="1">
    <w:name w:val="批注文字 字符"/>
    <w:link w:val="995"/>
    <w:uiPriority w:val="99"/>
    <w:qFormat/>
    <w:rPr>
      <w:sz w:val="21"/>
    </w:rPr>
  </w:style>
  <w:style w:type="paragraph" w:styleId="997" w:customStyle="1">
    <w:name w:val="Normal_0_1"/>
    <w:uiPriority w:val="0"/>
    <w:qFormat/>
    <w:rPr>
      <w:rFonts w:ascii="黑体" w:hAnsi="黑体" w:eastAsia="黑体" w:cs="Times New Roman"/>
      <w:b/>
      <w:sz w:val="32"/>
      <w:szCs w:val="24"/>
      <w:lang w:val="en-US" w:eastAsia="zh-CN" w:bidi="ar-SA"/>
    </w:rPr>
  </w:style>
  <w:style w:type="paragraph" w:styleId="99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空2字"/>
    <w:basedOn w:val="70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1" w:customStyle="1">
    <w:name w:val="标题 4 字符"/>
    <w:uiPriority w:val="0"/>
    <w:qFormat/>
    <w:rPr>
      <w:rFonts w:ascii="Arial" w:hAnsi="Arial" w:eastAsia="黑体" w:cs="Arial"/>
      <w:b/>
      <w:bCs/>
      <w:sz w:val="28"/>
      <w:szCs w:val="28"/>
    </w:rPr>
  </w:style>
  <w:style w:type="paragraph" w:styleId="1002" w:customStyle="1">
    <w:name w:val="Normal_20"/>
    <w:uiPriority w:val="0"/>
    <w:qFormat/>
    <w:rPr>
      <w:rFonts w:ascii="黑体" w:hAnsi="黑体" w:eastAsia="黑体" w:cs="黑体"/>
      <w:b/>
      <w:sz w:val="32"/>
      <w:szCs w:val="24"/>
      <w:lang w:val="en-US" w:eastAsia="zh-CN" w:bidi="ar-SA"/>
    </w:rPr>
  </w:style>
  <w:style w:type="paragraph" w:styleId="100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Normal_18_0"/>
    <w:uiPriority w:val="0"/>
    <w:qFormat/>
    <w:rPr>
      <w:rFonts w:ascii="黑体" w:hAnsi="黑体" w:eastAsia="黑体" w:cs="黑体"/>
      <w:b/>
      <w:sz w:val="32"/>
      <w:szCs w:val="24"/>
      <w:lang w:val="en-US" w:eastAsia="zh-CN" w:bidi="ar-SA"/>
    </w:rPr>
  </w:style>
  <w:style w:type="paragraph" w:styleId="1005" w:customStyle="1">
    <w:name w:val="正文_12_0_0_0_0"/>
    <w:basedOn w:val="708"/>
    <w:uiPriority w:val="0"/>
    <w:qFormat/>
    <w:rPr>
      <w:rFonts w:ascii="Times New Roman" w:hAnsi="Times New Roman"/>
      <w:szCs w:val="24"/>
    </w:rPr>
  </w:style>
  <w:style w:type="paragraph" w:styleId="100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0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010" w:customStyle="1">
    <w:name w:val="正文_16_0_0"/>
    <w:next w:val="1009"/>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Normal_3_0"/>
    <w:uiPriority w:val="0"/>
    <w:qFormat/>
    <w:rPr>
      <w:rFonts w:ascii="黑体" w:hAnsi="黑体" w:eastAsia="黑体" w:cs="Times New Roman"/>
      <w:b/>
      <w:sz w:val="32"/>
      <w:szCs w:val="24"/>
      <w:lang w:val="en-US" w:eastAsia="zh-CN" w:bidi="ar-SA"/>
    </w:rPr>
  </w:style>
  <w:style w:type="paragraph" w:styleId="101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标记）"/>
    <w:basedOn w:val="708"/>
    <w:link w:val="121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14" w:customStyle="1">
    <w:name w:val="Char Char2"/>
    <w:uiPriority w:val="0"/>
    <w:qFormat/>
    <w:rPr>
      <w:sz w:val="18"/>
      <w:szCs w:val="18"/>
    </w:rPr>
  </w:style>
  <w:style w:type="character" w:styleId="1015" w:customStyle="1">
    <w:name w:val="maywed421"/>
    <w:uiPriority w:val="0"/>
    <w:qFormat/>
    <w:rPr>
      <w:color w:val="366fb6"/>
      <w:u w:val="none"/>
    </w:rPr>
  </w:style>
  <w:style w:type="paragraph" w:styleId="101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1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18" w:customStyle="1">
    <w:name w:val="Comment Text Char"/>
    <w:uiPriority w:val="0"/>
    <w:qFormat/>
    <w:rPr>
      <w:rFonts w:cs="Times New Roman"/>
      <w:sz w:val="21"/>
      <w:szCs w:val="21"/>
      <w:lang w:bidi="ar-SA"/>
    </w:rPr>
  </w:style>
  <w:style w:type="character" w:styleId="1019" w:customStyle="1">
    <w:name w:val="Footer Char"/>
    <w:uiPriority w:val="0"/>
    <w:qFormat/>
    <w:rPr>
      <w:rFonts w:eastAsia="宋体"/>
      <w:sz w:val="18"/>
      <w:lang w:val="en-US" w:eastAsia="zh-CN"/>
    </w:rPr>
  </w:style>
  <w:style w:type="character" w:styleId="1020" w:customStyle="1">
    <w:name w:val="ca-41"/>
    <w:uiPriority w:val="0"/>
    <w:qFormat/>
    <w:rPr>
      <w:rFonts w:ascii="宋体" w:eastAsia="宋体"/>
      <w:b/>
      <w:bCs/>
      <w:color w:val="000000"/>
      <w:spacing w:val="-20"/>
      <w:sz w:val="21"/>
      <w:szCs w:val="21"/>
    </w:rPr>
  </w:style>
  <w:style w:type="character" w:styleId="1021" w:customStyle="1">
    <w:name w:val="ca-1"/>
    <w:basedOn w:val="718"/>
    <w:uiPriority w:val="0"/>
    <w:qFormat/>
  </w:style>
  <w:style w:type="character" w:styleId="1022" w:customStyle="1">
    <w:name w:val="Plain Text Char"/>
    <w:uiPriority w:val="0"/>
    <w:qFormat/>
    <w:rPr>
      <w:rFonts w:ascii="宋体" w:eastAsia="宋体"/>
      <w:sz w:val="21"/>
      <w:lang w:val="en-US" w:eastAsia="zh-CN"/>
    </w:rPr>
  </w:style>
  <w:style w:type="character" w:styleId="1023" w:customStyle="1">
    <w:name w:val="Header Char"/>
    <w:uiPriority w:val="0"/>
    <w:qFormat/>
    <w:rPr>
      <w:rFonts w:eastAsia="宋体"/>
      <w:sz w:val="18"/>
      <w:lang w:val="en-US" w:eastAsia="zh-CN"/>
    </w:rPr>
  </w:style>
  <w:style w:type="character" w:styleId="1024" w:customStyle="1">
    <w:name w:val="marklong"/>
    <w:basedOn w:val="718"/>
    <w:uiPriority w:val="0"/>
    <w:qFormat/>
  </w:style>
  <w:style w:type="character" w:styleId="1025" w:customStyle="1">
    <w:name w:val="普通文字1 Char"/>
    <w:uiPriority w:val="0"/>
    <w:qFormat/>
    <w:rPr>
      <w:rFonts w:ascii="宋体" w:eastAsia="宋体" w:cs="Courier New"/>
      <w:sz w:val="21"/>
      <w:szCs w:val="21"/>
      <w:lang w:val="en-US" w:eastAsia="zh-CN" w:bidi="ar-SA"/>
    </w:rPr>
  </w:style>
  <w:style w:type="character" w:styleId="1026" w:customStyle="1">
    <w:name w:val="ca-21"/>
    <w:uiPriority w:val="0"/>
    <w:qFormat/>
    <w:rPr>
      <w:rFonts w:ascii="宋体" w:eastAsia="宋体"/>
      <w:sz w:val="21"/>
    </w:rPr>
  </w:style>
  <w:style w:type="paragraph" w:styleId="1027" w:customStyle="1">
    <w:name w:val="正文（缩进）"/>
    <w:basedOn w:val="708"/>
    <w:uiPriority w:val="0"/>
    <w:qFormat/>
    <w:pPr>
      <w:ind w:firstLine="200"/>
      <w:spacing w:before="50" w:after="50" w:line="360" w:lineRule="auto"/>
    </w:pPr>
    <w:rPr>
      <w:sz w:val="24"/>
    </w:rPr>
  </w:style>
  <w:style w:type="character" w:styleId="1028" w:customStyle="1">
    <w:name w:val="Heading 3 Char"/>
    <w:uiPriority w:val="0"/>
    <w:qFormat/>
    <w:rPr>
      <w:rFonts w:cs="Times New Roman"/>
      <w:b/>
      <w:bCs/>
      <w:sz w:val="32"/>
      <w:szCs w:val="32"/>
      <w:lang w:bidi="ar-SA"/>
    </w:rPr>
  </w:style>
  <w:style w:type="character" w:styleId="1029" w:customStyle="1">
    <w:name w:val="z12 style23"/>
    <w:basedOn w:val="718"/>
    <w:uiPriority w:val="0"/>
    <w:qFormat/>
  </w:style>
  <w:style w:type="paragraph" w:styleId="1030" w:customStyle="1">
    <w:name w:val="Indent Normal"/>
    <w:basedOn w:val="708"/>
    <w:uiPriority w:val="0"/>
    <w:qFormat/>
    <w:pPr>
      <w:ind w:firstLine="150"/>
    </w:pPr>
    <w:rPr>
      <w:sz w:val="24"/>
      <w:szCs w:val="20"/>
      <w:lang w:eastAsia="en-US"/>
    </w:rPr>
  </w:style>
  <w:style w:type="character" w:styleId="1031" w:customStyle="1">
    <w:name w:val="Char Char21"/>
    <w:uiPriority w:val="0"/>
    <w:qFormat/>
    <w:rPr>
      <w:sz w:val="18"/>
      <w:szCs w:val="18"/>
    </w:rPr>
  </w:style>
  <w:style w:type="character" w:styleId="1032" w:customStyle="1">
    <w:name w:val="ca-31"/>
    <w:uiPriority w:val="0"/>
    <w:qFormat/>
    <w:rPr>
      <w:rFonts w:ascii="宋体" w:eastAsia="宋体"/>
      <w:color w:val="000000"/>
      <w:sz w:val="21"/>
      <w:szCs w:val="21"/>
    </w:rPr>
  </w:style>
  <w:style w:type="character" w:styleId="1033" w:customStyle="1">
    <w:name w:val="apple-converted-space"/>
    <w:basedOn w:val="718"/>
    <w:uiPriority w:val="0"/>
    <w:qFormat/>
  </w:style>
  <w:style w:type="character" w:styleId="1034" w:customStyle="1">
    <w:name w:val="Char Char1"/>
    <w:uiPriority w:val="0"/>
    <w:qFormat/>
    <w:rPr>
      <w:rFonts w:ascii="宋体" w:eastAsia="宋体"/>
      <w:sz w:val="21"/>
      <w:lang w:val="en-US" w:eastAsia="zh-CN"/>
    </w:rPr>
  </w:style>
  <w:style w:type="character" w:styleId="1035" w:customStyle="1">
    <w:name w:val="font21"/>
    <w:uiPriority w:val="0"/>
    <w:qFormat/>
    <w:rPr>
      <w:rFonts w:ascii="Times New Roman" w:hAnsi="Times New Roman"/>
      <w:color w:val="000000"/>
      <w:sz w:val="20"/>
      <w:u w:val="none"/>
    </w:rPr>
  </w:style>
  <w:style w:type="character" w:styleId="1036" w:customStyle="1">
    <w:name w:val="ca-01"/>
    <w:uiPriority w:val="0"/>
    <w:qFormat/>
    <w:rPr>
      <w:rFonts w:ascii="宋体" w:eastAsia="宋体"/>
      <w:b/>
      <w:bCs/>
      <w:spacing w:val="-20"/>
      <w:sz w:val="24"/>
      <w:szCs w:val="24"/>
    </w:rPr>
  </w:style>
  <w:style w:type="character" w:styleId="1037" w:customStyle="1">
    <w:name w:val="Char Char23"/>
    <w:uiPriority w:val="0"/>
    <w:qFormat/>
    <w:rPr>
      <w:sz w:val="24"/>
      <w:szCs w:val="21"/>
      <w:lang w:bidi="ar-SA"/>
    </w:rPr>
  </w:style>
  <w:style w:type="character" w:styleId="1038" w:customStyle="1">
    <w:name w:val="Char Char"/>
    <w:uiPriority w:val="0"/>
    <w:qFormat/>
    <w:rPr>
      <w:rFonts w:eastAsia="宋体"/>
      <w:sz w:val="18"/>
      <w:lang w:val="en-US" w:eastAsia="zh-CN"/>
    </w:rPr>
  </w:style>
  <w:style w:type="character" w:styleId="1039" w:customStyle="1">
    <w:name w:val="Char Char3"/>
    <w:uiPriority w:val="0"/>
    <w:qFormat/>
    <w:rPr>
      <w:rFonts w:ascii="宋体" w:eastAsia="宋体"/>
      <w:sz w:val="18"/>
      <w:szCs w:val="18"/>
      <w:lang w:val="en-US" w:eastAsia="zh-CN" w:bidi="ar-SA"/>
    </w:rPr>
  </w:style>
  <w:style w:type="paragraph" w:styleId="104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1" w:customStyle="1">
    <w:name w:val="Heading 4 Char"/>
    <w:uiPriority w:val="0"/>
    <w:qFormat/>
    <w:rPr>
      <w:rFonts w:ascii="Cambria" w:hAnsi="Cambria" w:eastAsia="宋体" w:cs="Cambria"/>
      <w:b/>
      <w:bCs/>
      <w:sz w:val="28"/>
      <w:szCs w:val="28"/>
      <w:lang w:bidi="ar-SA"/>
    </w:rPr>
  </w:style>
  <w:style w:type="character" w:styleId="1042" w:customStyle="1">
    <w:name w:val="Header Char1"/>
    <w:uiPriority w:val="0"/>
    <w:qFormat/>
    <w:rPr>
      <w:rFonts w:cs="Times New Roman"/>
      <w:sz w:val="18"/>
      <w:szCs w:val="18"/>
      <w:lang w:bidi="ar-SA"/>
    </w:rPr>
  </w:style>
  <w:style w:type="character" w:styleId="1043" w:customStyle="1">
    <w:name w:val="Footer Char1"/>
    <w:uiPriority w:val="0"/>
    <w:qFormat/>
    <w:rPr>
      <w:rFonts w:cs="Times New Roman"/>
      <w:sz w:val="18"/>
      <w:szCs w:val="18"/>
      <w:lang w:bidi="ar-SA"/>
    </w:rPr>
  </w:style>
  <w:style w:type="character" w:styleId="1044" w:customStyle="1">
    <w:name w:val="wj1"/>
    <w:uiPriority w:val="0"/>
    <w:qFormat/>
    <w:rPr>
      <w:color w:val="000000"/>
      <w:sz w:val="18"/>
      <w:szCs w:val="18"/>
      <w:u w:val="none"/>
    </w:rPr>
  </w:style>
  <w:style w:type="character" w:styleId="1045" w:customStyle="1">
    <w:name w:val="ca-11"/>
    <w:uiPriority w:val="0"/>
    <w:qFormat/>
    <w:rPr>
      <w:rFonts w:ascii="宋体" w:eastAsia="宋体"/>
      <w:b/>
      <w:bCs/>
      <w:color w:val="000000"/>
      <w:spacing w:val="-20"/>
      <w:sz w:val="28"/>
      <w:szCs w:val="28"/>
    </w:rPr>
  </w:style>
  <w:style w:type="paragraph" w:styleId="104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47" w:customStyle="1">
    <w:name w:val="Plain Text Char1"/>
    <w:uiPriority w:val="0"/>
    <w:qFormat/>
    <w:rPr>
      <w:rFonts w:ascii="宋体" w:eastAsia="宋体"/>
      <w:sz w:val="21"/>
      <w:szCs w:val="21"/>
      <w:lang w:val="en-US" w:eastAsia="zh-CN" w:bidi="ar-SA"/>
    </w:rPr>
  </w:style>
  <w:style w:type="character" w:styleId="1048" w:customStyle="1">
    <w:name w:val="段落 Char"/>
    <w:uiPriority w:val="0"/>
    <w:qFormat/>
    <w:rPr>
      <w:rFonts w:ascii="仿宋_GB2312" w:eastAsia="仿宋_GB2312"/>
      <w:sz w:val="24"/>
      <w:szCs w:val="24"/>
      <w:lang w:val="en-US" w:eastAsia="zh-CN" w:bidi="ar-SA"/>
    </w:rPr>
  </w:style>
  <w:style w:type="character" w:styleId="1049" w:customStyle="1">
    <w:name w:val="Heading 2 Char"/>
    <w:uiPriority w:val="0"/>
    <w:qFormat/>
    <w:rPr>
      <w:rFonts w:ascii="Arial" w:hAnsi="Arial" w:eastAsia="黑体"/>
      <w:b/>
      <w:bCs/>
      <w:sz w:val="32"/>
      <w:szCs w:val="32"/>
      <w:lang w:val="en-US" w:eastAsia="zh-CN" w:bidi="ar-SA"/>
    </w:rPr>
  </w:style>
  <w:style w:type="paragraph" w:styleId="105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51" w:customStyle="1">
    <w:name w:val="Char Char31"/>
    <w:uiPriority w:val="0"/>
    <w:qFormat/>
    <w:rPr>
      <w:rFonts w:ascii="Arial" w:hAnsi="Arial" w:eastAsia="黑体" w:cs="Times New Roman"/>
      <w:b/>
      <w:bCs/>
      <w:sz w:val="32"/>
      <w:szCs w:val="32"/>
      <w:lang w:val="en-US" w:eastAsia="zh-CN" w:bidi="ar-SA"/>
    </w:rPr>
  </w:style>
  <w:style w:type="paragraph" w:styleId="1052" w:customStyle="1">
    <w:name w:val="正文（黑体）"/>
    <w:basedOn w:val="708"/>
    <w:next w:val="708"/>
    <w:uiPriority w:val="0"/>
    <w:qFormat/>
    <w:pPr>
      <w:ind w:firstLine="200"/>
      <w:spacing w:before="50" w:after="50" w:line="360" w:lineRule="auto"/>
    </w:pPr>
    <w:rPr>
      <w:rFonts w:ascii="黑体" w:eastAsia="黑体"/>
      <w:color w:val="000080"/>
      <w:sz w:val="24"/>
    </w:rPr>
  </w:style>
  <w:style w:type="character" w:styleId="1053" w:customStyle="1">
    <w:name w:val="ca-51"/>
    <w:uiPriority w:val="0"/>
    <w:qFormat/>
    <w:rPr>
      <w:rFonts w:ascii="楷体_GB2312" w:eastAsia="楷体_GB2312"/>
      <w:b/>
      <w:bCs/>
      <w:spacing w:val="-20"/>
      <w:sz w:val="24"/>
      <w:szCs w:val="24"/>
    </w:rPr>
  </w:style>
  <w:style w:type="paragraph" w:styleId="1054" w:customStyle="1">
    <w:name w:val="加点正文缩进"/>
    <w:basedOn w:val="708"/>
    <w:uiPriority w:val="0"/>
    <w:qFormat/>
    <w:pPr>
      <w:ind w:left="962" w:hanging="480"/>
      <w:spacing w:line="300" w:lineRule="auto"/>
      <w:tabs>
        <w:tab w:val="left" w:pos="840" w:leader="none"/>
      </w:tabs>
    </w:pPr>
    <w:rPr>
      <w:sz w:val="24"/>
    </w:rPr>
  </w:style>
  <w:style w:type="paragraph" w:styleId="1055" w:customStyle="1">
    <w:name w:val="默认段落字体 Para Char Char Char Char Char Char Char Char Char Char Char Char Char Char"/>
    <w:basedOn w:val="729"/>
    <w:uiPriority w:val="0"/>
    <w:qFormat/>
    <w:rPr>
      <w:rFonts w:ascii="Tahoma" w:hAnsi="Tahoma"/>
      <w:sz w:val="24"/>
      <w:szCs w:val="22"/>
    </w:rPr>
  </w:style>
  <w:style w:type="paragraph" w:styleId="1056" w:customStyle="1">
    <w:name w:val="序号"/>
    <w:next w:val="708"/>
    <w:uiPriority w:val="0"/>
    <w:qFormat/>
    <w:pPr>
      <w:jc w:val="center"/>
    </w:pPr>
    <w:rPr>
      <w:rFonts w:ascii="Times New Roman" w:hAnsi="Times New Roman" w:eastAsia="仿宋_GB2312" w:cs="Times New Roman"/>
      <w:bCs/>
      <w:sz w:val="21"/>
      <w:szCs w:val="44"/>
      <w:lang w:val="en-US" w:eastAsia="zh-CN" w:bidi="ar-SA"/>
    </w:rPr>
  </w:style>
  <w:style w:type="paragraph" w:styleId="1057" w:customStyle="1">
    <w:name w:val="xl3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xl36"/>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Char Char Char"/>
    <w:basedOn w:val="708"/>
    <w:uiPriority w:val="0"/>
    <w:qFormat/>
    <w:rPr>
      <w:rFonts w:ascii="Tahoma" w:hAnsi="Tahoma"/>
      <w:sz w:val="24"/>
      <w:szCs w:val="20"/>
    </w:rPr>
  </w:style>
  <w:style w:type="paragraph" w:styleId="1060" w:customStyle="1">
    <w:name w:val="Char12"/>
    <w:basedOn w:val="708"/>
    <w:uiPriority w:val="0"/>
    <w:qFormat/>
    <w:pPr>
      <w:ind w:left="360" w:right="202" w:firstLine="360"/>
      <w:spacing w:line="480" w:lineRule="auto"/>
      <w:tabs>
        <w:tab w:val="left" w:pos="360" w:leader="none"/>
      </w:tabs>
    </w:pPr>
    <w:rPr>
      <w:sz w:val="24"/>
    </w:rPr>
  </w:style>
  <w:style w:type="character" w:styleId="1061" w:customStyle="1">
    <w:name w:val="HTML 预设格式 Char"/>
    <w:link w:val="768"/>
    <w:uiPriority w:val="0"/>
    <w:qFormat/>
    <w:rPr>
      <w:rFonts w:ascii="Arial" w:hAnsi="Arial" w:cs="Arial"/>
      <w:sz w:val="24"/>
      <w:szCs w:val="22"/>
    </w:rPr>
  </w:style>
  <w:style w:type="paragraph" w:styleId="1062" w:customStyle="1">
    <w:name w:val="Char Char Char Char Char Char Char Char Char Char11"/>
    <w:basedOn w:val="708"/>
    <w:uiPriority w:val="0"/>
    <w:qFormat/>
    <w:rPr>
      <w:rFonts w:ascii="Tahoma" w:hAnsi="Tahoma"/>
      <w:sz w:val="24"/>
      <w:szCs w:val="20"/>
    </w:rPr>
  </w:style>
  <w:style w:type="paragraph" w:styleId="1063" w:customStyle="1">
    <w:name w:val="正文段"/>
    <w:basedOn w:val="708"/>
    <w:uiPriority w:val="0"/>
    <w:qFormat/>
    <w:pPr>
      <w:ind w:firstLine="425"/>
      <w:spacing w:after="240" w:line="240" w:lineRule="atLeast"/>
      <w:widowControl/>
    </w:pPr>
    <w:rPr>
      <w:sz w:val="24"/>
      <w:szCs w:val="20"/>
    </w:rPr>
  </w:style>
  <w:style w:type="paragraph" w:styleId="1064" w:customStyle="1">
    <w:name w:val="段"/>
    <w:uiPriority w:val="0"/>
    <w:qFormat/>
    <w:pPr>
      <w:ind w:firstLine="200"/>
      <w:jc w:val="both"/>
    </w:pPr>
    <w:rPr>
      <w:rFonts w:ascii="宋体" w:hAnsi="Times New Roman" w:eastAsia="宋体" w:cs="Times New Roman"/>
      <w:sz w:val="21"/>
      <w:lang w:val="en-US" w:eastAsia="zh-CN" w:bidi="ar-SA"/>
    </w:rPr>
  </w:style>
  <w:style w:type="character" w:styleId="1065" w:customStyle="1">
    <w:name w:val="HTML 地址 Char"/>
    <w:link w:val="739"/>
    <w:uiPriority w:val="0"/>
    <w:qFormat/>
    <w:rPr>
      <w:i/>
      <w:iCs/>
      <w:sz w:val="21"/>
      <w:szCs w:val="22"/>
    </w:rPr>
  </w:style>
  <w:style w:type="character" w:styleId="1066" w:customStyle="1">
    <w:name w:val="脚注文本 Char"/>
    <w:link w:val="758"/>
    <w:uiPriority w:val="0"/>
    <w:qFormat/>
    <w:rPr>
      <w:rFonts w:ascii="宋体"/>
      <w:bCs/>
      <w:sz w:val="18"/>
      <w:szCs w:val="18"/>
    </w:rPr>
  </w:style>
  <w:style w:type="paragraph" w:styleId="1067" w:customStyle="1">
    <w:name w:val="Char Char Char Char Char Char Char Char Char Char1"/>
    <w:basedOn w:val="708"/>
    <w:uiPriority w:val="0"/>
    <w:qFormat/>
    <w:rPr>
      <w:rFonts w:ascii="Tahoma" w:hAnsi="Tahoma" w:cs="Tahoma"/>
      <w:sz w:val="24"/>
    </w:rPr>
  </w:style>
  <w:style w:type="paragraph" w:styleId="1068" w:customStyle="1">
    <w:name w:val="xl34"/>
    <w:basedOn w:val="708"/>
    <w:uiPriority w:val="0"/>
    <w:qFormat/>
    <w:pPr>
      <w:jc w:val="center"/>
      <w:spacing w:before="100" w:beforeAutospacing="1" w:after="100" w:afterAutospacing="1"/>
      <w:widowControl/>
    </w:pPr>
    <w:rPr>
      <w:rFonts w:ascii="Arial Unicode MS" w:hAnsi="Arial Unicode MS" w:eastAsia="Arial Unicode MS"/>
      <w:sz w:val="24"/>
    </w:rPr>
  </w:style>
  <w:style w:type="paragraph" w:styleId="1069" w:customStyle="1">
    <w:name w:val="前言、引言标题"/>
    <w:next w:val="70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0" w:customStyle="1">
    <w:name w:val="Char Char Char Char Char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71" w:customStyle="1">
    <w:name w:val="pa-0"/>
    <w:basedOn w:val="708"/>
    <w:uiPriority w:val="0"/>
    <w:qFormat/>
    <w:pPr>
      <w:ind w:firstLine="480"/>
      <w:spacing w:line="360" w:lineRule="atLeast"/>
      <w:widowControl/>
    </w:pPr>
    <w:rPr>
      <w:rFonts w:ascii="宋体" w:cs="宋体"/>
      <w:sz w:val="24"/>
    </w:rPr>
  </w:style>
  <w:style w:type="paragraph" w:styleId="1072" w:customStyle="1">
    <w:name w:val="三级条标题"/>
    <w:basedOn w:val="1073"/>
    <w:next w:val="1064"/>
    <w:uiPriority w:val="0"/>
    <w:qFormat/>
    <w:pPr>
      <w:ind w:left="1050"/>
      <w:outlineLvl w:val="4"/>
    </w:pPr>
  </w:style>
  <w:style w:type="paragraph" w:styleId="1073" w:customStyle="1">
    <w:name w:val="二级条标题"/>
    <w:basedOn w:val="1074"/>
    <w:next w:val="1064"/>
    <w:uiPriority w:val="0"/>
    <w:qFormat/>
    <w:pPr>
      <w:ind w:left="360"/>
      <w:outlineLvl w:val="3"/>
    </w:pPr>
  </w:style>
  <w:style w:type="paragraph" w:styleId="1074" w:customStyle="1">
    <w:name w:val="一级条标题"/>
    <w:next w:val="1064"/>
    <w:uiPriority w:val="0"/>
    <w:qFormat/>
    <w:pPr>
      <w:outlineLvl w:val="2"/>
    </w:pPr>
    <w:rPr>
      <w:rFonts w:ascii="Times New Roman" w:hAnsi="Times New Roman" w:eastAsia="黑体" w:cs="Times New Roman"/>
      <w:sz w:val="21"/>
      <w:lang w:val="en-US" w:eastAsia="zh-CN" w:bidi="ar-SA"/>
    </w:rPr>
  </w:style>
  <w:style w:type="paragraph" w:styleId="1075" w:customStyle="1">
    <w:name w:val="FA正文+标号"/>
    <w:basedOn w:val="70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6" w:customStyle="1">
    <w:name w:val="表文1"/>
    <w:basedOn w:val="708"/>
    <w:uiPriority w:val="0"/>
    <w:qFormat/>
    <w:pPr>
      <w:ind w:firstLine="196"/>
      <w:spacing w:line="360" w:lineRule="auto"/>
      <w:widowControl/>
    </w:pPr>
    <w:rPr>
      <w:rFonts w:ascii="宋体"/>
      <w:sz w:val="24"/>
    </w:rPr>
  </w:style>
  <w:style w:type="character" w:styleId="1077" w:customStyle="1">
    <w:name w:val="尾注文本 Char"/>
    <w:link w:val="748"/>
    <w:uiPriority w:val="0"/>
    <w:qFormat/>
    <w:rPr>
      <w:rFonts w:ascii="宋体"/>
      <w:bCs/>
      <w:sz w:val="21"/>
      <w:szCs w:val="21"/>
    </w:rPr>
  </w:style>
  <w:style w:type="paragraph" w:styleId="1078" w:customStyle="1">
    <w:name w:val="表内容"/>
    <w:basedOn w:val="1079"/>
    <w:uiPriority w:val="0"/>
    <w:qFormat/>
    <w:pPr>
      <w:ind w:left="0" w:firstLine="0"/>
      <w:spacing w:line="320" w:lineRule="exact"/>
    </w:pPr>
    <w:rPr>
      <w:sz w:val="20"/>
    </w:rPr>
  </w:style>
  <w:style w:type="paragraph" w:styleId="1079" w:customStyle="1">
    <w:name w:val="正文1"/>
    <w:basedOn w:val="708"/>
    <w:uiPriority w:val="0"/>
    <w:qFormat/>
    <w:pPr>
      <w:ind w:left="357" w:firstLine="420"/>
      <w:jc w:val="left"/>
      <w:spacing w:line="360" w:lineRule="auto"/>
      <w:widowControl/>
    </w:pPr>
    <w:rPr>
      <w:rFonts w:cs="Arial"/>
      <w:szCs w:val="20"/>
    </w:rPr>
  </w:style>
  <w:style w:type="paragraph" w:styleId="1080" w:customStyle="1">
    <w:name w:val="Char Char1 Char Char Char Char Char Char"/>
    <w:basedOn w:val="708"/>
    <w:uiPriority w:val="0"/>
    <w:qFormat/>
    <w:pPr>
      <w:jc w:val="center"/>
      <w:widowControl/>
    </w:pPr>
    <w:rPr>
      <w:szCs w:val="20"/>
    </w:rPr>
  </w:style>
  <w:style w:type="paragraph" w:styleId="108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82" w:customStyle="1">
    <w:name w:val="附图标题"/>
    <w:basedOn w:val="726"/>
    <w:next w:val="720"/>
    <w:uiPriority w:val="0"/>
    <w:qFormat/>
    <w:pPr>
      <w:ind w:left="780" w:hanging="480"/>
      <w:jc w:val="center"/>
      <w:spacing w:after="100"/>
      <w:tabs>
        <w:tab w:val="clear" w:pos="0" w:leader="none"/>
        <w:tab w:val="left" w:pos="780" w:leader="none"/>
      </w:tabs>
    </w:pPr>
    <w:rPr>
      <w:b/>
      <w:sz w:val="21"/>
    </w:rPr>
  </w:style>
  <w:style w:type="paragraph" w:styleId="1083" w:customStyle="1">
    <w:name w:val="图号"/>
    <w:basedOn w:val="70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4" w:customStyle="1">
    <w:name w:val="xl40"/>
    <w:basedOn w:val="70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5" w:customStyle="1">
    <w:name w:val="缩进正文"/>
    <w:basedOn w:val="708"/>
    <w:uiPriority w:val="0"/>
    <w:qFormat/>
    <w:pPr>
      <w:ind w:left="1418" w:firstLine="425"/>
      <w:jc w:val="left"/>
      <w:spacing w:after="200" w:line="400" w:lineRule="exact"/>
      <w:widowControl/>
    </w:pPr>
    <w:rPr>
      <w:rFonts w:ascii="宋体"/>
      <w:sz w:val="24"/>
      <w:szCs w:val="20"/>
    </w:rPr>
  </w:style>
  <w:style w:type="paragraph" w:styleId="1086" w:customStyle="1">
    <w:name w:val="Char1"/>
    <w:basedOn w:val="708"/>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ascii="宋体" w:hAnsi="Times New Roman" w:eastAsia="宋体" w:cs="宋体"/>
      <w:sz w:val="72"/>
      <w:szCs w:val="72"/>
      <w:lang w:val="en-US" w:eastAsia="zh-CN" w:bidi="ar-SA"/>
    </w:rPr>
  </w:style>
  <w:style w:type="paragraph" w:styleId="1088" w:customStyle="1">
    <w:name w:val="pa-10"/>
    <w:basedOn w:val="708"/>
    <w:uiPriority w:val="0"/>
    <w:qFormat/>
    <w:pPr>
      <w:spacing w:line="240" w:lineRule="atLeast"/>
      <w:widowControl/>
    </w:pPr>
    <w:rPr>
      <w:rFonts w:ascii="宋体" w:cs="宋体"/>
      <w:sz w:val="24"/>
    </w:rPr>
  </w:style>
  <w:style w:type="paragraph" w:styleId="1089" w:customStyle="1">
    <w:name w:val="特点"/>
    <w:basedOn w:val="708"/>
    <w:next w:val="708"/>
    <w:uiPriority w:val="0"/>
    <w:qFormat/>
    <w:pPr>
      <w:jc w:val="center"/>
      <w:spacing w:line="360" w:lineRule="auto"/>
    </w:pPr>
    <w:rPr>
      <w:rFonts w:ascii="Arial" w:hAnsi="Arial"/>
      <w:sz w:val="24"/>
      <w:szCs w:val="20"/>
    </w:rPr>
  </w:style>
  <w:style w:type="paragraph" w:styleId="1090" w:customStyle="1">
    <w:name w:val="pa-4"/>
    <w:basedOn w:val="708"/>
    <w:uiPriority w:val="0"/>
    <w:qFormat/>
    <w:pPr>
      <w:jc w:val="center"/>
      <w:spacing w:line="280" w:lineRule="atLeast"/>
      <w:widowControl/>
    </w:pPr>
    <w:rPr>
      <w:rFonts w:ascii="宋体" w:cs="宋体"/>
      <w:sz w:val="24"/>
    </w:rPr>
  </w:style>
  <w:style w:type="paragraph" w:styleId="1091" w:customStyle="1">
    <w:name w:val="编号"/>
    <w:basedOn w:val="708"/>
    <w:next w:val="1040"/>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93" w:customStyle="1">
    <w:name w:val="xl33"/>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4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95" w:customStyle="1">
    <w:name w:val="xl3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08"/>
    <w:next w:val="708"/>
    <w:uiPriority w:val="0"/>
    <w:qFormat/>
    <w:pPr>
      <w:jc w:val="left"/>
      <w:spacing w:after="273" w:line="360" w:lineRule="auto"/>
    </w:pPr>
    <w:rPr>
      <w:rFonts w:ascii="宋体"/>
      <w:sz w:val="24"/>
    </w:rPr>
  </w:style>
  <w:style w:type="paragraph" w:styleId="1097" w:customStyle="1">
    <w:name w:val="xl38"/>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08"/>
    <w:uiPriority w:val="0"/>
    <w:qFormat/>
    <w:pPr>
      <w:spacing w:line="360" w:lineRule="auto"/>
    </w:pPr>
    <w:rPr>
      <w:rFonts w:ascii="Arial" w:hAnsi="Arial"/>
      <w:i/>
      <w:iCs/>
      <w:color w:val="0000ff"/>
      <w:szCs w:val="21"/>
    </w:rPr>
  </w:style>
  <w:style w:type="paragraph" w:styleId="109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00" w:customStyle="1">
    <w:name w:val="pa-8"/>
    <w:basedOn w:val="708"/>
    <w:uiPriority w:val="0"/>
    <w:qFormat/>
    <w:pPr>
      <w:ind w:firstLine="480"/>
      <w:spacing w:line="280" w:lineRule="atLeast"/>
      <w:widowControl/>
    </w:pPr>
    <w:rPr>
      <w:rFonts w:ascii="宋体" w:cs="宋体"/>
      <w:sz w:val="24"/>
    </w:rPr>
  </w:style>
  <w:style w:type="paragraph" w:styleId="1101" w:customStyle="1">
    <w:name w:val="标书2"/>
    <w:next w:val="1040"/>
    <w:uiPriority w:val="0"/>
    <w:qFormat/>
    <w:rPr>
      <w:rFonts w:ascii="Times New Roman" w:hAnsi="Times New Roman" w:eastAsia="黑体" w:cs="宋体"/>
      <w:b/>
      <w:sz w:val="44"/>
      <w:lang w:val="en-US" w:eastAsia="zh-CN" w:bidi="ar-SA"/>
    </w:rPr>
  </w:style>
  <w:style w:type="paragraph" w:styleId="1102" w:customStyle="1">
    <w:name w:val="表格文字"/>
    <w:basedOn w:val="708"/>
    <w:uiPriority w:val="0"/>
    <w:qFormat/>
    <w:pPr>
      <w:jc w:val="left"/>
    </w:pPr>
    <w:rPr>
      <w:sz w:val="18"/>
    </w:rPr>
  </w:style>
  <w:style w:type="paragraph" w:styleId="1103" w:customStyle="1">
    <w:name w:val="首页空格"/>
    <w:uiPriority w:val="0"/>
    <w:qFormat/>
    <w:pPr>
      <w:jc w:val="center"/>
    </w:pPr>
    <w:rPr>
      <w:rFonts w:ascii="Times New Roman" w:hAnsi="Times New Roman" w:eastAsia="宋体" w:cs="宋体"/>
      <w:sz w:val="72"/>
      <w:lang w:val="en-US" w:eastAsia="zh-CN" w:bidi="ar-SA"/>
    </w:rPr>
  </w:style>
  <w:style w:type="paragraph" w:styleId="1104" w:customStyle="1">
    <w:name w:val="保密事宜格式"/>
    <w:basedOn w:val="726"/>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06" w:customStyle="1">
    <w:name w:val="È±Ê¡ÎÄ±¾"/>
    <w:basedOn w:val="708"/>
    <w:uiPriority w:val="0"/>
    <w:qFormat/>
    <w:pPr>
      <w:jc w:val="left"/>
      <w:spacing w:line="360" w:lineRule="auto"/>
      <w:widowControl/>
    </w:pPr>
    <w:rPr>
      <w:sz w:val="24"/>
      <w:szCs w:val="20"/>
    </w:rPr>
  </w:style>
  <w:style w:type="paragraph" w:styleId="1107" w:customStyle="1">
    <w:name w:val="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108" w:customStyle="1">
    <w:name w:val="附图居中"/>
    <w:basedOn w:val="708"/>
    <w:next w:val="1082"/>
    <w:uiPriority w:val="0"/>
    <w:qFormat/>
    <w:pPr>
      <w:ind w:left="1271" w:hanging="420"/>
      <w:jc w:val="center"/>
      <w:keepNext/>
      <w:spacing w:line="360" w:lineRule="auto"/>
      <w:tabs>
        <w:tab w:val="left" w:pos="0" w:leader="none"/>
      </w:tabs>
    </w:pPr>
    <w:rPr>
      <w:caps/>
      <w:sz w:val="24"/>
    </w:rPr>
  </w:style>
  <w:style w:type="paragraph" w:styleId="1109" w:customStyle="1">
    <w:name w:val="pa-6"/>
    <w:basedOn w:val="708"/>
    <w:uiPriority w:val="0"/>
    <w:qFormat/>
    <w:pPr>
      <w:spacing w:line="360" w:lineRule="atLeast"/>
      <w:widowControl/>
    </w:pPr>
    <w:rPr>
      <w:rFonts w:ascii="宋体"/>
      <w:sz w:val="24"/>
      <w:szCs w:val="20"/>
    </w:rPr>
  </w:style>
  <w:style w:type="paragraph" w:styleId="1110" w:customStyle="1">
    <w:name w:val="规范正文"/>
    <w:basedOn w:val="708"/>
    <w:uiPriority w:val="0"/>
    <w:qFormat/>
    <w:pPr>
      <w:ind w:left="480"/>
      <w:spacing w:line="360" w:lineRule="auto"/>
    </w:pPr>
    <w:rPr>
      <w:sz w:val="24"/>
      <w:szCs w:val="20"/>
    </w:rPr>
  </w:style>
  <w:style w:type="paragraph" w:styleId="1111" w:customStyle="1">
    <w:name w:val="缺省文本"/>
    <w:basedOn w:val="708"/>
    <w:uiPriority w:val="0"/>
    <w:qFormat/>
    <w:pPr>
      <w:jc w:val="left"/>
    </w:pPr>
    <w:rPr>
      <w:sz w:val="24"/>
      <w:szCs w:val="20"/>
    </w:rPr>
  </w:style>
  <w:style w:type="paragraph" w:styleId="1112" w:customStyle="1">
    <w:name w:val="序号-----------"/>
    <w:basedOn w:val="708"/>
    <w:uiPriority w:val="0"/>
    <w:qFormat/>
    <w:pPr>
      <w:jc w:val="left"/>
      <w:widowControl/>
    </w:pPr>
    <w:rPr>
      <w:rFonts w:ascii="宋体"/>
      <w:bCs/>
      <w:szCs w:val="21"/>
    </w:rPr>
  </w:style>
  <w:style w:type="paragraph" w:styleId="1113" w:customStyle="1">
    <w:name w:val="font8"/>
    <w:basedOn w:val="708"/>
    <w:uiPriority w:val="0"/>
    <w:qFormat/>
    <w:pPr>
      <w:jc w:val="left"/>
      <w:spacing w:before="100" w:beforeAutospacing="1" w:after="100" w:afterAutospacing="1"/>
      <w:widowControl/>
    </w:pPr>
    <w:rPr>
      <w:rFonts w:ascii="Arial" w:hAnsi="Arial" w:cs="Arial"/>
      <w:color w:val="000000"/>
      <w:sz w:val="18"/>
      <w:szCs w:val="18"/>
    </w:rPr>
  </w:style>
  <w:style w:type="paragraph" w:styleId="1114" w:customStyle="1">
    <w:name w:val="表格标题"/>
    <w:basedOn w:val="708"/>
    <w:uiPriority w:val="0"/>
    <w:qFormat/>
    <w:pPr>
      <w:jc w:val="center"/>
    </w:pPr>
    <w:rPr>
      <w:b/>
    </w:rPr>
  </w:style>
  <w:style w:type="paragraph" w:styleId="1115" w:customStyle="1">
    <w:name w:val="章标题"/>
    <w:next w:val="106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16" w:customStyle="1">
    <w:name w:val="首页单位日期"/>
    <w:basedOn w:val="708"/>
    <w:uiPriority w:val="0"/>
    <w:qFormat/>
    <w:pPr>
      <w:jc w:val="center"/>
      <w:widowControl/>
    </w:pPr>
    <w:rPr>
      <w:rFonts w:ascii="宋体" w:cs="宋体"/>
      <w:bCs/>
      <w:sz w:val="28"/>
      <w:szCs w:val="20"/>
    </w:rPr>
  </w:style>
  <w:style w:type="paragraph" w:styleId="1117" w:customStyle="1">
    <w:name w:val="样式 正文缩进 + (中文) 仿宋_GB2312 小四 Char"/>
    <w:basedOn w:val="720"/>
    <w:uiPriority w:val="0"/>
    <w:qFormat/>
    <w:pPr>
      <w:ind w:firstLine="200"/>
      <w:spacing w:line="360" w:lineRule="auto"/>
    </w:pPr>
    <w:rPr>
      <w:rFonts w:ascii="宋体"/>
      <w:sz w:val="24"/>
      <w:szCs w:val="24"/>
    </w:rPr>
  </w:style>
  <w:style w:type="paragraph" w:styleId="1118" w:customStyle="1">
    <w:name w:val="项目"/>
    <w:basedOn w:val="708"/>
    <w:uiPriority w:val="0"/>
    <w:qFormat/>
    <w:pPr>
      <w:ind w:left="840" w:hanging="420"/>
      <w:spacing w:before="60" w:after="60" w:line="360" w:lineRule="auto"/>
      <w:tabs>
        <w:tab w:val="left" w:pos="840" w:leader="none"/>
      </w:tabs>
    </w:pPr>
    <w:rPr>
      <w:rFonts w:ascii="宋体"/>
      <w:szCs w:val="20"/>
    </w:rPr>
  </w:style>
  <w:style w:type="paragraph" w:styleId="1119" w:customStyle="1">
    <w:name w:val="默认段落字体 Para Char"/>
    <w:basedOn w:val="708"/>
    <w:uiPriority w:val="0"/>
    <w:qFormat/>
    <w:rPr>
      <w:rFonts w:ascii="宋体"/>
      <w:b/>
      <w:sz w:val="28"/>
      <w:szCs w:val="28"/>
    </w:rPr>
  </w:style>
  <w:style w:type="paragraph" w:styleId="1120" w:customStyle="1">
    <w:name w:val="篇名"/>
    <w:next w:val="70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1" w:customStyle="1">
    <w:name w:val="Char13"/>
    <w:basedOn w:val="708"/>
    <w:uiPriority w:val="0"/>
    <w:qFormat/>
  </w:style>
  <w:style w:type="paragraph" w:styleId="1122" w:customStyle="1">
    <w:name w:val="表头"/>
    <w:basedOn w:val="1079"/>
    <w:uiPriority w:val="0"/>
    <w:qFormat/>
    <w:pPr>
      <w:ind w:left="0" w:firstLine="0"/>
      <w:spacing w:line="240" w:lineRule="auto"/>
    </w:pPr>
    <w:rPr>
      <w:sz w:val="20"/>
    </w:rPr>
  </w:style>
  <w:style w:type="paragraph" w:styleId="1123" w:customStyle="1">
    <w:name w:val="表格序号"/>
    <w:uiPriority w:val="0"/>
    <w:qFormat/>
    <w:rPr>
      <w:rFonts w:ascii="Times New Roman" w:hAnsi="Times New Roman" w:eastAsia="仿宋_GB2312" w:cs="宋体"/>
      <w:sz w:val="21"/>
      <w:lang w:val="en-US" w:eastAsia="zh-CN" w:bidi="ar-SA"/>
    </w:rPr>
  </w:style>
  <w:style w:type="paragraph" w:styleId="1124" w:customStyle="1">
    <w:name w:val="Char Char Char Char1"/>
    <w:basedOn w:val="708"/>
    <w:uiPriority w:val="0"/>
    <w:qFormat/>
    <w:pPr>
      <w:ind w:firstLine="200"/>
      <w:spacing w:line="360" w:lineRule="auto"/>
    </w:pPr>
    <w:rPr>
      <w:sz w:val="24"/>
      <w:szCs w:val="20"/>
    </w:rPr>
  </w:style>
  <w:style w:type="paragraph" w:styleId="1125" w:customStyle="1">
    <w:name w:val="标书3"/>
    <w:next w:val="1040"/>
    <w:uiPriority w:val="0"/>
    <w:qFormat/>
    <w:pPr>
      <w:jc w:val="center"/>
      <w:widowControl w:val="off"/>
    </w:pPr>
    <w:rPr>
      <w:rFonts w:ascii="Times New Roman" w:hAnsi="Times New Roman" w:eastAsia="黑体" w:cs="Times New Roman"/>
      <w:b/>
      <w:sz w:val="44"/>
      <w:szCs w:val="24"/>
      <w:lang w:val="en-US" w:eastAsia="zh-CN" w:bidi="ar-SA"/>
    </w:rPr>
  </w:style>
  <w:style w:type="paragraph" w:styleId="1126" w:customStyle="1">
    <w:name w:val="首页小标题"/>
    <w:next w:val="1103"/>
    <w:uiPriority w:val="0"/>
    <w:qFormat/>
    <w:pPr>
      <w:jc w:val="center"/>
    </w:pPr>
    <w:rPr>
      <w:rFonts w:ascii="Times New Roman" w:hAnsi="Times New Roman" w:eastAsia="宋体" w:cs="宋体"/>
      <w:sz w:val="44"/>
      <w:lang w:val="en-US" w:eastAsia="zh-CN" w:bidi="ar-SA"/>
    </w:rPr>
  </w:style>
  <w:style w:type="paragraph" w:styleId="1127" w:customStyle="1">
    <w:name w:val="新段落缩进"/>
    <w:basedOn w:val="708"/>
    <w:uiPriority w:val="0"/>
    <w:qFormat/>
    <w:pPr>
      <w:ind w:firstLine="200"/>
      <w:spacing w:line="400" w:lineRule="exact"/>
    </w:pPr>
    <w:rPr>
      <w:rFonts w:ascii="仿宋_GB2312" w:eastAsia="仿宋_GB2312"/>
      <w:sz w:val="24"/>
    </w:rPr>
  </w:style>
  <w:style w:type="paragraph" w:styleId="1128" w:customStyle="1">
    <w:name w:val="pa-2"/>
    <w:basedOn w:val="708"/>
    <w:uiPriority w:val="0"/>
    <w:qFormat/>
    <w:pPr>
      <w:spacing w:line="360" w:lineRule="atLeast"/>
      <w:widowControl/>
    </w:pPr>
    <w:rPr>
      <w:rFonts w:ascii="宋体" w:cs="宋体"/>
      <w:sz w:val="24"/>
    </w:rPr>
  </w:style>
  <w:style w:type="paragraph" w:styleId="1129" w:customStyle="1">
    <w:name w:val="四级条标题"/>
    <w:basedOn w:val="1072"/>
    <w:next w:val="1064"/>
    <w:uiPriority w:val="0"/>
    <w:qFormat/>
    <w:pPr>
      <w:ind w:left="0"/>
      <w:outlineLvl w:val="5"/>
    </w:pPr>
  </w:style>
  <w:style w:type="paragraph" w:styleId="1130" w:customStyle="1">
    <w:name w:val="保密事宜内容"/>
    <w:basedOn w:val="70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1" w:customStyle="1">
    <w:name w:val="Char1 Char Char Char"/>
    <w:basedOn w:val="708"/>
    <w:uiPriority w:val="0"/>
    <w:qFormat/>
    <w:rPr>
      <w:szCs w:val="20"/>
    </w:rPr>
  </w:style>
  <w:style w:type="paragraph" w:styleId="1132" w:customStyle="1">
    <w:name w:val="正文 + 宋体"/>
    <w:basedOn w:val="708"/>
    <w:uiPriority w:val="0"/>
    <w:qFormat/>
    <w:pPr>
      <w:ind w:firstLine="250"/>
    </w:pPr>
    <w:rPr>
      <w:rFonts w:ascii="宋体"/>
      <w:szCs w:val="21"/>
    </w:rPr>
  </w:style>
  <w:style w:type="paragraph" w:styleId="1133" w:customStyle="1">
    <w:name w:val="xl31"/>
    <w:basedOn w:val="70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4" w:customStyle="1">
    <w:name w:val="pbody"/>
    <w:basedOn w:val="708"/>
    <w:uiPriority w:val="0"/>
    <w:qFormat/>
    <w:pPr>
      <w:jc w:val="left"/>
      <w:spacing w:before="100" w:beforeAutospacing="1" w:after="100" w:afterAutospacing="1" w:line="360" w:lineRule="auto"/>
      <w:widowControl/>
    </w:pPr>
    <w:rPr>
      <w:rFonts w:ascii="宋体" w:cs="宋体"/>
      <w:sz w:val="24"/>
    </w:rPr>
  </w:style>
  <w:style w:type="paragraph" w:styleId="1135" w:customStyle="1">
    <w:name w:val="xl42"/>
    <w:basedOn w:val="70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6" w:customStyle="1">
    <w:name w:val="txt"/>
    <w:basedOn w:val="708"/>
    <w:uiPriority w:val="0"/>
    <w:qFormat/>
    <w:pPr>
      <w:jc w:val="left"/>
      <w:spacing w:before="100" w:beforeAutospacing="1" w:after="100" w:afterAutospacing="1"/>
      <w:widowControl/>
    </w:pPr>
    <w:rPr>
      <w:rFonts w:ascii="宋体" w:cs="宋体"/>
      <w:sz w:val="24"/>
    </w:rPr>
  </w:style>
  <w:style w:type="paragraph" w:styleId="1137" w:customStyle="1">
    <w:name w:val="xl37"/>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8" w:customStyle="1">
    <w:name w:val="图表目录1"/>
    <w:uiPriority w:val="0"/>
    <w:qFormat/>
    <w:pPr>
      <w:ind w:left="840" w:hanging="420"/>
    </w:pPr>
    <w:rPr>
      <w:rFonts w:ascii="Times New Roman" w:hAnsi="Times New Roman" w:eastAsia="宋体" w:cs="宋体"/>
      <w:sz w:val="21"/>
      <w:lang w:val="en-US" w:eastAsia="zh-CN" w:bidi="ar-SA"/>
    </w:rPr>
  </w:style>
  <w:style w:type="paragraph" w:styleId="1139" w:customStyle="1">
    <w:name w:val="样式 序号----------- + 仿宋_GB2312"/>
    <w:basedOn w:val="1112"/>
    <w:uiPriority w:val="0"/>
    <w:qFormat/>
    <w:pPr>
      <w:ind w:firstLine="200"/>
      <w:spacing w:line="360" w:lineRule="auto"/>
    </w:pPr>
    <w:rPr>
      <w:rFonts w:ascii="仿宋_GB2312" w:eastAsia="仿宋_GB2312"/>
      <w:bCs w:val="0"/>
    </w:rPr>
  </w:style>
  <w:style w:type="paragraph" w:styleId="1140" w:customStyle="1">
    <w:name w:val="xl41"/>
    <w:basedOn w:val="70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1" w:customStyle="1">
    <w:name w:val="Char11"/>
    <w:basedOn w:val="708"/>
    <w:uiPriority w:val="0"/>
    <w:qFormat/>
    <w:rPr>
      <w:szCs w:val="21"/>
    </w:rPr>
  </w:style>
  <w:style w:type="paragraph" w:styleId="1142" w:customStyle="1">
    <w:name w:val="样式 序号----------- + 仿宋_GB23121"/>
    <w:basedOn w:val="1112"/>
    <w:uiPriority w:val="0"/>
    <w:qFormat/>
    <w:pPr>
      <w:spacing w:line="360" w:lineRule="auto"/>
    </w:pPr>
    <w:rPr>
      <w:rFonts w:ascii="仿宋_GB2312" w:eastAsia="仿宋_GB2312"/>
      <w:bCs w:val="0"/>
    </w:rPr>
  </w:style>
  <w:style w:type="paragraph" w:styleId="1143" w:customStyle="1">
    <w:name w:val="pa-9"/>
    <w:basedOn w:val="708"/>
    <w:uiPriority w:val="0"/>
    <w:qFormat/>
    <w:pPr>
      <w:jc w:val="center"/>
      <w:spacing w:line="360" w:lineRule="atLeast"/>
      <w:widowControl/>
    </w:pPr>
    <w:rPr>
      <w:rFonts w:ascii="宋体" w:cs="宋体"/>
      <w:sz w:val="24"/>
    </w:rPr>
  </w:style>
  <w:style w:type="paragraph" w:styleId="1144" w:customStyle="1">
    <w:name w:val="pa-3"/>
    <w:basedOn w:val="708"/>
    <w:uiPriority w:val="0"/>
    <w:qFormat/>
    <w:pPr>
      <w:jc w:val="left"/>
      <w:spacing w:before="150" w:after="150"/>
      <w:widowControl/>
    </w:pPr>
    <w:rPr>
      <w:rFonts w:ascii="宋体" w:cs="宋体"/>
      <w:sz w:val="24"/>
    </w:rPr>
  </w:style>
  <w:style w:type="paragraph" w:styleId="1145" w:customStyle="1">
    <w:name w:val="pa-5"/>
    <w:basedOn w:val="708"/>
    <w:uiPriority w:val="0"/>
    <w:qFormat/>
    <w:pPr>
      <w:spacing w:line="280" w:lineRule="atLeast"/>
      <w:widowControl/>
    </w:pPr>
    <w:rPr>
      <w:rFonts w:ascii="宋体" w:cs="宋体"/>
      <w:sz w:val="24"/>
    </w:rPr>
  </w:style>
  <w:style w:type="paragraph" w:styleId="1146" w:customStyle="1">
    <w:name w:val="xl39"/>
    <w:basedOn w:val="70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7" w:customStyle="1">
    <w:name w:val="font9"/>
    <w:basedOn w:val="708"/>
    <w:uiPriority w:val="0"/>
    <w:qFormat/>
    <w:pPr>
      <w:jc w:val="left"/>
      <w:spacing w:before="100" w:beforeAutospacing="1" w:after="100" w:afterAutospacing="1"/>
      <w:widowControl/>
    </w:pPr>
    <w:rPr>
      <w:rFonts w:ascii="宋体"/>
      <w:color w:val="000000"/>
      <w:sz w:val="18"/>
      <w:szCs w:val="18"/>
    </w:rPr>
  </w:style>
  <w:style w:type="paragraph" w:styleId="1148" w:customStyle="1">
    <w:name w:val="p0"/>
    <w:basedOn w:val="708"/>
    <w:uiPriority w:val="0"/>
    <w:qFormat/>
    <w:pPr>
      <w:widowControl/>
    </w:pPr>
    <w:rPr>
      <w:szCs w:val="21"/>
    </w:rPr>
  </w:style>
  <w:style w:type="paragraph" w:styleId="114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50" w:customStyle="1">
    <w:name w:val="表格正文"/>
    <w:basedOn w:val="708"/>
    <w:uiPriority w:val="0"/>
    <w:qFormat/>
    <w:pPr>
      <w:spacing w:line="300" w:lineRule="auto"/>
      <w:tabs>
        <w:tab w:val="left" w:pos="420" w:leader="none"/>
      </w:tabs>
    </w:pPr>
  </w:style>
  <w:style w:type="paragraph" w:styleId="1151" w:customStyle="1">
    <w:name w:val="首页标题小初"/>
    <w:uiPriority w:val="0"/>
    <w:qFormat/>
    <w:pPr>
      <w:jc w:val="center"/>
    </w:pPr>
    <w:rPr>
      <w:rFonts w:ascii="黑体" w:hAnsi="Times New Roman" w:eastAsia="黑体" w:cs="宋体"/>
      <w:sz w:val="72"/>
      <w:lang w:val="en-US" w:eastAsia="zh-CN" w:bidi="ar-SA"/>
    </w:rPr>
  </w:style>
  <w:style w:type="paragraph" w:styleId="1152" w:customStyle="1">
    <w:name w:val="五级条标题"/>
    <w:basedOn w:val="1129"/>
    <w:next w:val="1064"/>
    <w:uiPriority w:val="0"/>
    <w:qFormat/>
    <w:pPr>
      <w:outlineLvl w:val="6"/>
    </w:pPr>
  </w:style>
  <w:style w:type="paragraph" w:styleId="1153" w:customStyle="1">
    <w:name w:val="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154" w:customStyle="1">
    <w:name w:val="ibm-list-next"/>
    <w:basedOn w:val="708"/>
    <w:uiPriority w:val="0"/>
    <w:qFormat/>
    <w:pPr>
      <w:jc w:val="left"/>
      <w:spacing w:before="100" w:beforeAutospacing="1" w:after="100" w:afterAutospacing="1"/>
      <w:widowControl/>
    </w:pPr>
    <w:rPr>
      <w:rFonts w:ascii="宋体" w:cs="宋体"/>
      <w:sz w:val="24"/>
    </w:rPr>
  </w:style>
  <w:style w:type="paragraph" w:styleId="1155" w:customStyle="1">
    <w:name w:val="首页标题 一号"/>
    <w:basedOn w:val="1151"/>
    <w:uiPriority w:val="0"/>
    <w:qFormat/>
    <w:rPr>
      <w:sz w:val="52"/>
    </w:rPr>
  </w:style>
  <w:style w:type="paragraph" w:styleId="1156" w:customStyle="1">
    <w:name w:val="Char Char Char Char Char Char Char Char Char Char2"/>
    <w:basedOn w:val="708"/>
    <w:uiPriority w:val="0"/>
    <w:qFormat/>
    <w:rPr>
      <w:rFonts w:ascii="Tahoma" w:hAnsi="Tahoma"/>
      <w:sz w:val="24"/>
      <w:szCs w:val="20"/>
    </w:rPr>
  </w:style>
  <w:style w:type="paragraph" w:styleId="1157" w:customStyle="1">
    <w:name w:val="正文（编号）"/>
    <w:basedOn w:val="1027"/>
    <w:link w:val="1212"/>
    <w:uiPriority w:val="0"/>
    <w:qFormat/>
    <w:pPr>
      <w:ind w:left="720" w:firstLine="0"/>
      <w:tabs>
        <w:tab w:val="left" w:pos="720" w:leader="none"/>
        <w:tab w:val="left" w:pos="780" w:leader="none"/>
      </w:tabs>
    </w:pPr>
    <w:rPr>
      <w:rFonts w:ascii="Times New Roman" w:hAnsi="Times New Roman"/>
      <w:szCs w:val="24"/>
      <w:lang w:eastAsia="en-US"/>
    </w:rPr>
  </w:style>
  <w:style w:type="paragraph" w:styleId="1158" w:customStyle="1">
    <w:name w:val="表格"/>
    <w:basedOn w:val="708"/>
    <w:uiPriority w:val="0"/>
    <w:qFormat/>
    <w:pPr>
      <w:ind w:firstLine="21"/>
    </w:pPr>
    <w:rPr>
      <w:rFonts w:ascii="宋体"/>
      <w:szCs w:val="20"/>
    </w:rPr>
  </w:style>
  <w:style w:type="character" w:styleId="1159" w:customStyle="1">
    <w:name w:val="正文（缩进） Char Char"/>
    <w:uiPriority w:val="0"/>
    <w:qFormat/>
    <w:rPr>
      <w:rFonts w:eastAsia="宋体"/>
      <w:sz w:val="24"/>
      <w:szCs w:val="24"/>
      <w:lang w:val="en-US" w:eastAsia="zh-CN" w:bidi="ar-SA"/>
    </w:rPr>
  </w:style>
  <w:style w:type="paragraph" w:styleId="1160" w:customStyle="1">
    <w:name w:val="Char Char Char1"/>
    <w:basedOn w:val="708"/>
    <w:uiPriority w:val="0"/>
    <w:qFormat/>
    <w:rPr>
      <w:szCs w:val="21"/>
    </w:rPr>
  </w:style>
  <w:style w:type="paragraph" w:styleId="1161" w:customStyle="1">
    <w:name w:val="样式 正文2 + 首行缩进:  0 厘米 段后: 1.5 行"/>
    <w:basedOn w:val="70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62" w:customStyle="1">
    <w:name w:val="表中文字"/>
    <w:basedOn w:val="708"/>
    <w:uiPriority w:val="0"/>
    <w:qFormat/>
    <w:pPr>
      <w:widowControl/>
    </w:pPr>
    <w:rPr>
      <w:szCs w:val="20"/>
    </w:rPr>
  </w:style>
  <w:style w:type="character" w:styleId="1163" w:customStyle="1">
    <w:name w:val="z1"/>
    <w:basedOn w:val="718"/>
    <w:uiPriority w:val="0"/>
    <w:qFormat/>
  </w:style>
  <w:style w:type="paragraph" w:styleId="1164" w:customStyle="1">
    <w:name w:val="a1"/>
    <w:basedOn w:val="708"/>
    <w:uiPriority w:val="0"/>
    <w:qFormat/>
    <w:pPr>
      <w:jc w:val="left"/>
      <w:spacing w:before="100" w:beforeAutospacing="1" w:after="100" w:afterAutospacing="1"/>
      <w:widowControl/>
    </w:pPr>
    <w:rPr>
      <w:rFonts w:ascii="宋体"/>
      <w:sz w:val="24"/>
    </w:rPr>
  </w:style>
  <w:style w:type="paragraph" w:styleId="1165" w:customStyle="1">
    <w:name w:val="a0"/>
    <w:basedOn w:val="708"/>
    <w:uiPriority w:val="0"/>
    <w:qFormat/>
    <w:pPr>
      <w:jc w:val="left"/>
      <w:spacing w:before="100" w:beforeAutospacing="1" w:after="100" w:afterAutospacing="1"/>
      <w:widowControl/>
    </w:pPr>
    <w:rPr>
      <w:rFonts w:ascii="宋体"/>
      <w:sz w:val="24"/>
    </w:rPr>
  </w:style>
  <w:style w:type="paragraph" w:styleId="1166" w:customStyle="1">
    <w:name w:val="tabletext"/>
    <w:basedOn w:val="708"/>
    <w:uiPriority w:val="0"/>
    <w:qFormat/>
    <w:pPr>
      <w:jc w:val="left"/>
      <w:spacing w:before="100" w:beforeAutospacing="1" w:after="100" w:afterAutospacing="1"/>
      <w:widowControl/>
    </w:pPr>
    <w:rPr>
      <w:rFonts w:ascii="宋体"/>
      <w:sz w:val="24"/>
    </w:rPr>
  </w:style>
  <w:style w:type="paragraph" w:styleId="1167" w:customStyle="1">
    <w:name w:val="我的样式"/>
    <w:basedOn w:val="708"/>
    <w:uiPriority w:val="0"/>
    <w:qFormat/>
    <w:pPr>
      <w:ind w:firstLine="420"/>
      <w:jc w:val="left"/>
      <w:spacing w:after="120"/>
      <w:widowControl/>
    </w:pPr>
    <w:rPr>
      <w:rFonts w:ascii="宋体"/>
      <w:color w:val="000000"/>
      <w:sz w:val="24"/>
      <w:szCs w:val="16"/>
    </w:rPr>
  </w:style>
  <w:style w:type="paragraph" w:styleId="1168" w:customStyle="1">
    <w:name w:val="Figure and Table Title"/>
    <w:basedOn w:val="708"/>
    <w:uiPriority w:val="0"/>
    <w:qFormat/>
    <w:pPr>
      <w:ind w:left="2160"/>
      <w:jc w:val="left"/>
      <w:widowControl/>
    </w:pPr>
    <w:rPr>
      <w:rFonts w:ascii="Helvetica-Light" w:hAnsi="Helvetica-Light"/>
      <w:b/>
      <w:bCs/>
      <w:sz w:val="20"/>
      <w:lang w:eastAsia="en-US"/>
    </w:rPr>
  </w:style>
  <w:style w:type="paragraph" w:styleId="1169" w:customStyle="1">
    <w:name w:val="Table Text/Title"/>
    <w:basedOn w:val="708"/>
    <w:uiPriority w:val="0"/>
    <w:qFormat/>
    <w:pPr>
      <w:jc w:val="left"/>
      <w:widowControl/>
    </w:pPr>
    <w:rPr>
      <w:rFonts w:ascii="宋体"/>
      <w:b/>
      <w:bCs/>
      <w:sz w:val="20"/>
      <w:szCs w:val="20"/>
      <w:lang w:eastAsia="en-US"/>
    </w:rPr>
  </w:style>
  <w:style w:type="paragraph" w:styleId="1170" w:customStyle="1">
    <w:name w:val="Sourcetext bullet"/>
    <w:basedOn w:val="70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1" w:customStyle="1">
    <w:name w:val="无标题正文 Char Char Char Char Char Char Char Char Char Char Char Char Char Char Char Char Char Char Char Char Char Char Char Char Char Char Char1 Char"/>
    <w:basedOn w:val="708"/>
    <w:uiPriority w:val="0"/>
    <w:qFormat/>
    <w:pPr>
      <w:jc w:val="center"/>
      <w:spacing w:after="160" w:line="240" w:lineRule="exact"/>
      <w:widowControl/>
    </w:pPr>
    <w:rPr>
      <w:rFonts w:ascii="Arial" w:hAnsi="Arial"/>
      <w:sz w:val="20"/>
      <w:szCs w:val="20"/>
      <w:lang w:eastAsia="en-US"/>
    </w:rPr>
  </w:style>
  <w:style w:type="character" w:styleId="1172" w:customStyle="1">
    <w:name w:val="style91"/>
    <w:uiPriority w:val="0"/>
    <w:qFormat/>
    <w:rPr>
      <w:color w:val="2060c0"/>
      <w:sz w:val="24"/>
      <w:szCs w:val="24"/>
    </w:rPr>
  </w:style>
  <w:style w:type="paragraph" w:styleId="1173" w:customStyle="1">
    <w:name w:val="标准小四"/>
    <w:basedOn w:val="708"/>
    <w:uiPriority w:val="0"/>
    <w:qFormat/>
    <w:pPr>
      <w:ind w:firstLine="200"/>
      <w:spacing w:line="360" w:lineRule="auto"/>
    </w:pPr>
    <w:rPr>
      <w:rFonts w:ascii="Arial" w:hAnsi="Arial"/>
      <w:sz w:val="24"/>
      <w:szCs w:val="21"/>
    </w:rPr>
  </w:style>
  <w:style w:type="paragraph" w:styleId="1174" w:customStyle="1">
    <w:name w:val="样式 正文首行缩进 + 宋体 首行缩进:  0.74 厘米"/>
    <w:basedOn w:val="773"/>
    <w:uiPriority w:val="0"/>
    <w:qFormat/>
    <w:pPr>
      <w:ind w:firstLine="210"/>
      <w:spacing w:before="120" w:line="380" w:lineRule="exact"/>
    </w:pPr>
    <w:rPr>
      <w:rFonts w:ascii="宋体" w:eastAsia="宋体" w:cs="宋体"/>
      <w:sz w:val="24"/>
      <w:szCs w:val="20"/>
    </w:rPr>
  </w:style>
  <w:style w:type="paragraph" w:styleId="1175" w:customStyle="1">
    <w:name w:val="默认段落字体 Para Char Char Char Char Char Char Char Char Char1"/>
    <w:basedOn w:val="708"/>
    <w:uiPriority w:val="0"/>
    <w:qFormat/>
    <w:rPr>
      <w:rFonts w:ascii="Tahoma" w:hAnsi="Tahoma"/>
      <w:sz w:val="24"/>
      <w:szCs w:val="20"/>
    </w:rPr>
  </w:style>
  <w:style w:type="character" w:styleId="1176" w:customStyle="1">
    <w:name w:val="标题 Char"/>
    <w:link w:val="771"/>
    <w:uiPriority w:val="0"/>
    <w:qFormat/>
    <w:rPr>
      <w:rFonts w:ascii="Cambria" w:hAnsi="Cambria"/>
      <w:b/>
      <w:bCs/>
      <w:sz w:val="32"/>
      <w:szCs w:val="32"/>
    </w:rPr>
  </w:style>
  <w:style w:type="paragraph" w:styleId="1177" w:customStyle="1">
    <w:name w:val="正文小四"/>
    <w:basedOn w:val="708"/>
    <w:uiPriority w:val="0"/>
    <w:qFormat/>
    <w:pPr>
      <w:spacing w:line="312" w:lineRule="auto"/>
    </w:pPr>
    <w:rPr>
      <w:sz w:val="24"/>
    </w:rPr>
  </w:style>
  <w:style w:type="paragraph" w:styleId="1178" w:customStyle="1">
    <w:name w:val="ul"/>
    <w:basedOn w:val="708"/>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79" w:customStyle="1">
    <w:name w:val="Bullet"/>
    <w:basedOn w:val="70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0" w:customStyle="1">
    <w:name w:val="正文（首行缩进）"/>
    <w:basedOn w:val="708"/>
    <w:uiPriority w:val="0"/>
    <w:qFormat/>
    <w:pPr>
      <w:ind w:firstLine="482"/>
      <w:spacing w:before="120" w:line="360" w:lineRule="auto"/>
      <w:widowControl/>
    </w:pPr>
    <w:rPr>
      <w:sz w:val="24"/>
      <w:szCs w:val="20"/>
    </w:rPr>
  </w:style>
  <w:style w:type="character" w:styleId="1181" w:customStyle="1">
    <w:name w:val="style161"/>
    <w:uiPriority w:val="0"/>
    <w:qFormat/>
    <w:rPr>
      <w:rFonts w:ascii="Verdana" w:hAnsi="Verdana" w:eastAsia="宋体"/>
      <w:b/>
      <w:color w:val="0a246a"/>
      <w:sz w:val="24"/>
      <w:szCs w:val="24"/>
      <w:lang w:val="en-US" w:eastAsia="zh-CN" w:bidi="ar-SA"/>
    </w:rPr>
  </w:style>
  <w:style w:type="paragraph" w:styleId="1182" w:customStyle="1">
    <w:name w:val="正文（首行缩进两字）"/>
    <w:basedOn w:val="708"/>
    <w:uiPriority w:val="0"/>
    <w:qFormat/>
    <w:pPr>
      <w:spacing w:line="312" w:lineRule="auto"/>
    </w:pPr>
    <w:rPr>
      <w:rFonts w:ascii="宋体" w:cs="宋体"/>
      <w:sz w:val="24"/>
    </w:rPr>
  </w:style>
  <w:style w:type="paragraph" w:styleId="1183" w:customStyle="1">
    <w:name w:val="正文文字缩进 3"/>
    <w:basedOn w:val="708"/>
    <w:uiPriority w:val="0"/>
    <w:qFormat/>
    <w:pPr>
      <w:ind w:left="420" w:firstLine="420"/>
      <w:spacing w:line="312" w:lineRule="auto"/>
    </w:pPr>
    <w:rPr>
      <w:rFonts w:ascii="黑体" w:hAnsi="黑体" w:cs="宋体"/>
      <w:bCs/>
      <w:color w:val="000000"/>
      <w:sz w:val="24"/>
    </w:rPr>
  </w:style>
  <w:style w:type="paragraph" w:styleId="1184" w:customStyle="1">
    <w:name w:val="技术方案3"/>
    <w:basedOn w:val="708"/>
    <w:uiPriority w:val="0"/>
    <w:qFormat/>
    <w:pPr>
      <w:spacing w:line="360" w:lineRule="auto"/>
    </w:pPr>
    <w:rPr>
      <w:rFonts w:ascii="宋体"/>
      <w:b/>
      <w:bCs/>
      <w:sz w:val="32"/>
    </w:rPr>
  </w:style>
  <w:style w:type="paragraph" w:styleId="1185" w:customStyle="1">
    <w:name w:val="技术方案2"/>
    <w:basedOn w:val="708"/>
    <w:uiPriority w:val="0"/>
    <w:qFormat/>
    <w:pPr>
      <w:spacing w:line="480" w:lineRule="auto"/>
    </w:pPr>
    <w:rPr>
      <w:rFonts w:ascii="宋体"/>
      <w:b/>
      <w:bCs/>
      <w:sz w:val="36"/>
    </w:rPr>
  </w:style>
  <w:style w:type="paragraph" w:styleId="1186" w:customStyle="1">
    <w:name w:val="技术方案正文"/>
    <w:basedOn w:val="708"/>
    <w:uiPriority w:val="0"/>
    <w:qFormat/>
    <w:pPr>
      <w:ind w:firstLine="480"/>
      <w:spacing w:line="360" w:lineRule="auto"/>
    </w:pPr>
    <w:rPr>
      <w:rFonts w:ascii="宋体"/>
      <w:sz w:val="24"/>
    </w:rPr>
  </w:style>
  <w:style w:type="paragraph" w:styleId="11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8" w:customStyle="1">
    <w:name w:val="Normal Paragraph"/>
    <w:basedOn w:val="708"/>
    <w:uiPriority w:val="0"/>
    <w:qFormat/>
    <w:pPr>
      <w:ind w:firstLine="425"/>
      <w:spacing w:before="120" w:line="360" w:lineRule="auto"/>
      <w:widowControl/>
    </w:pPr>
    <w:rPr>
      <w:sz w:val="24"/>
      <w:szCs w:val="20"/>
    </w:rPr>
  </w:style>
  <w:style w:type="paragraph" w:styleId="1189" w:customStyle="1">
    <w:name w:val="Normal Paragraph Char"/>
    <w:basedOn w:val="708"/>
    <w:uiPriority w:val="0"/>
    <w:qFormat/>
    <w:pPr>
      <w:ind w:firstLine="425"/>
      <w:spacing w:before="120" w:line="360" w:lineRule="auto"/>
      <w:widowControl/>
    </w:pPr>
    <w:rPr>
      <w:sz w:val="24"/>
    </w:rPr>
  </w:style>
  <w:style w:type="paragraph" w:styleId="1190" w:customStyle="1">
    <w:name w:val="文档正文"/>
    <w:basedOn w:val="708"/>
    <w:uiPriority w:val="0"/>
    <w:qFormat/>
    <w:rPr>
      <w:rFonts w:ascii="宋体"/>
      <w:szCs w:val="20"/>
    </w:rPr>
  </w:style>
  <w:style w:type="paragraph" w:styleId="1191" w:customStyle="1">
    <w:name w:val="默认段落字体 Para Char Char Char Char Char"/>
    <w:basedOn w:val="708"/>
    <w:uiPriority w:val="0"/>
    <w:qFormat/>
    <w:pPr>
      <w:ind w:firstLine="200"/>
      <w:jc w:val="left"/>
      <w:spacing w:before="100" w:beforeAutospacing="1" w:after="100" w:afterAutospacing="1" w:line="360" w:lineRule="auto"/>
    </w:pPr>
    <w:rPr>
      <w:rFonts w:ascii="Arial" w:hAnsi="Arial"/>
      <w:sz w:val="24"/>
      <w:lang w:eastAsia="en-US"/>
    </w:rPr>
  </w:style>
  <w:style w:type="paragraph" w:styleId="1192" w:customStyle="1">
    <w:name w:val="标题2"/>
    <w:basedOn w:val="708"/>
    <w:uiPriority w:val="0"/>
    <w:qFormat/>
    <w:pPr>
      <w:tabs>
        <w:tab w:val="left" w:pos="0" w:leader="none"/>
      </w:tabs>
    </w:pPr>
    <w:rPr>
      <w:rFonts w:ascii="黑体" w:eastAsia="黑体"/>
      <w:sz w:val="24"/>
    </w:rPr>
  </w:style>
  <w:style w:type="paragraph" w:styleId="1193" w:customStyle="1">
    <w:name w:val="Char Char Char Char Char Char Char Char Char Char Char Char Char1"/>
    <w:basedOn w:val="708"/>
    <w:uiPriority w:val="0"/>
    <w:qFormat/>
    <w:pPr>
      <w:jc w:val="left"/>
      <w:spacing w:after="160" w:line="240" w:lineRule="exact"/>
      <w:widowControl/>
    </w:pPr>
    <w:rPr>
      <w:rFonts w:ascii="Arial" w:hAnsi="Arial" w:eastAsia="Times New Roman" w:cs="Verdana"/>
      <w:b/>
      <w:sz w:val="24"/>
      <w:szCs w:val="32"/>
      <w:lang w:eastAsia="en-US"/>
    </w:rPr>
  </w:style>
  <w:style w:type="paragraph" w:styleId="1194" w:customStyle="1">
    <w:name w:val="样式2"/>
    <w:basedOn w:val="711"/>
    <w:uiPriority w:val="0"/>
    <w:qFormat/>
    <w:pPr>
      <w:spacing w:line="415" w:lineRule="auto"/>
    </w:pPr>
    <w:rPr>
      <w:rFonts w:ascii="Calibri" w:hAnsi="Calibri"/>
      <w:sz w:val="28"/>
      <w:szCs w:val="28"/>
      <w:lang w:eastAsia="en-US"/>
    </w:rPr>
  </w:style>
  <w:style w:type="paragraph" w:styleId="1195" w:customStyle="1">
    <w:name w:val="样式3"/>
    <w:basedOn w:val="711"/>
    <w:uiPriority w:val="0"/>
    <w:qFormat/>
    <w:pPr>
      <w:spacing w:line="415" w:lineRule="auto"/>
    </w:pPr>
    <w:rPr>
      <w:rFonts w:ascii="Calibri" w:hAnsi="Calibri"/>
      <w:sz w:val="28"/>
      <w:szCs w:val="28"/>
      <w:lang w:eastAsia="en-US"/>
    </w:rPr>
  </w:style>
  <w:style w:type="paragraph" w:styleId="1196" w:customStyle="1">
    <w:name w:val="样式4"/>
    <w:basedOn w:val="711"/>
    <w:uiPriority w:val="0"/>
    <w:qFormat/>
    <w:pPr>
      <w:spacing w:line="415" w:lineRule="auto"/>
    </w:pPr>
    <w:rPr>
      <w:rFonts w:ascii="Calibri" w:hAnsi="Calibri"/>
      <w:sz w:val="28"/>
      <w:szCs w:val="28"/>
      <w:lang w:eastAsia="en-US"/>
    </w:rPr>
  </w:style>
  <w:style w:type="paragraph" w:styleId="1197" w:customStyle="1">
    <w:name w:val="样式5"/>
    <w:basedOn w:val="711"/>
    <w:uiPriority w:val="0"/>
    <w:qFormat/>
    <w:pPr>
      <w:spacing w:line="415" w:lineRule="auto"/>
    </w:pPr>
    <w:rPr>
      <w:rFonts w:ascii="Calibri" w:hAnsi="Calibri"/>
      <w:sz w:val="28"/>
      <w:szCs w:val="28"/>
      <w:lang w:eastAsia="en-US"/>
    </w:rPr>
  </w:style>
  <w:style w:type="paragraph" w:styleId="1198" w:customStyle="1">
    <w:name w:val="样式6"/>
    <w:basedOn w:val="977"/>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199" w:customStyle="1">
    <w:name w:val="大汉方案正文 Char"/>
    <w:basedOn w:val="708"/>
    <w:uiPriority w:val="0"/>
    <w:qFormat/>
    <w:pPr>
      <w:ind w:firstLine="200"/>
      <w:spacing w:line="360" w:lineRule="auto"/>
    </w:pPr>
    <w:rPr>
      <w:rFonts w:ascii="Arial" w:hAnsi="Arial"/>
      <w:sz w:val="24"/>
    </w:rPr>
  </w:style>
  <w:style w:type="character" w:styleId="1200" w:customStyle="1">
    <w:name w:val="标题 2 Char Char Char"/>
    <w:uiPriority w:val="0"/>
    <w:qFormat/>
    <w:rPr>
      <w:rFonts w:ascii="Arial" w:hAnsi="Arial" w:eastAsia="宋体" w:cs="Arial"/>
      <w:b/>
      <w:bCs/>
      <w:i/>
      <w:iCs/>
      <w:sz w:val="28"/>
      <w:szCs w:val="28"/>
      <w:lang w:val="en-US" w:eastAsia="zh-CN" w:bidi="ar-SA"/>
    </w:rPr>
  </w:style>
  <w:style w:type="character" w:styleId="1201" w:customStyle="1">
    <w:name w:val="question-title"/>
    <w:basedOn w:val="718"/>
    <w:uiPriority w:val="0"/>
    <w:qFormat/>
  </w:style>
  <w:style w:type="paragraph" w:styleId="1202" w:customStyle="1">
    <w:name w:val="说明书2级标题"/>
    <w:basedOn w:val="708"/>
    <w:next w:val="1203"/>
    <w:uiPriority w:val="0"/>
    <w:qFormat/>
    <w:pPr>
      <w:numPr>
        <w:ilvl w:val="2"/>
        <w:numId w:val="5"/>
      </w:numPr>
      <w:spacing w:before="100"/>
    </w:pPr>
    <w:rPr>
      <w:rFonts w:eastAsia="黑体"/>
      <w:sz w:val="28"/>
      <w:szCs w:val="28"/>
    </w:rPr>
  </w:style>
  <w:style w:type="paragraph" w:styleId="1203" w:customStyle="1">
    <w:name w:val="说明书3级标题"/>
    <w:basedOn w:val="708"/>
    <w:next w:val="708"/>
    <w:uiPriority w:val="0"/>
    <w:qFormat/>
    <w:pPr>
      <w:numPr>
        <w:ilvl w:val="2"/>
        <w:numId w:val="6"/>
      </w:numPr>
      <w:spacing w:line="360" w:lineRule="auto"/>
    </w:pPr>
    <w:rPr>
      <w:rFonts w:eastAsia="黑体"/>
      <w:sz w:val="24"/>
    </w:rPr>
  </w:style>
  <w:style w:type="character" w:styleId="1204" w:customStyle="1">
    <w:name w:val="style15"/>
    <w:basedOn w:val="718"/>
    <w:uiPriority w:val="0"/>
    <w:qFormat/>
  </w:style>
  <w:style w:type="paragraph" w:styleId="1205" w:customStyle="1">
    <w:name w:val="列出段落[858D7CFB-ED40-4347-BF05-701D383B685F][858D7CFB-ED40-4347-BF05-701D383B685F]"/>
    <w:basedOn w:val="708"/>
    <w:uiPriority w:val="0"/>
    <w:qFormat/>
    <w:pPr>
      <w:ind w:firstLine="200"/>
    </w:pPr>
  </w:style>
  <w:style w:type="paragraph" w:styleId="1206" w:customStyle="1">
    <w:name w:val="默认段落字体 Para Char Char Char Char Char Char Char Char Char1 Char Char Char Char Char Char Char Char"/>
    <w:basedOn w:val="729"/>
    <w:uiPriority w:val="0"/>
    <w:qFormat/>
    <w:rPr>
      <w:rFonts w:ascii="Calibri" w:hAnsi="Calibri"/>
      <w:szCs w:val="22"/>
    </w:rPr>
  </w:style>
  <w:style w:type="paragraph" w:styleId="1207" w:customStyle="1">
    <w:name w:val="style42"/>
    <w:basedOn w:val="708"/>
    <w:uiPriority w:val="0"/>
    <w:qFormat/>
    <w:pPr>
      <w:jc w:val="left"/>
      <w:spacing w:before="100" w:beforeAutospacing="1" w:after="100" w:afterAutospacing="1"/>
      <w:widowControl/>
    </w:pPr>
    <w:rPr>
      <w:rFonts w:ascii="宋体" w:cs="宋体"/>
      <w:color w:val="000000"/>
      <w:sz w:val="15"/>
      <w:szCs w:val="15"/>
    </w:rPr>
  </w:style>
  <w:style w:type="paragraph" w:styleId="1208" w:customStyle="1">
    <w:name w:val="Char Char1 Char Char Char Char Char Char Char Char"/>
    <w:basedOn w:val="708"/>
    <w:uiPriority w:val="0"/>
    <w:qFormat/>
    <w:pPr>
      <w:jc w:val="left"/>
      <w:spacing w:after="160" w:line="240" w:lineRule="exact"/>
      <w:widowControl/>
    </w:pPr>
  </w:style>
  <w:style w:type="paragraph" w:styleId="1209" w:customStyle="1">
    <w:name w:val="技术方案正文样式"/>
    <w:basedOn w:val="708"/>
    <w:uiPriority w:val="0"/>
    <w:qFormat/>
    <w:pPr>
      <w:ind w:firstLine="200"/>
      <w:spacing w:line="400" w:lineRule="exact"/>
    </w:pPr>
    <w:rPr>
      <w:rFonts w:ascii="宋体" w:cs="宋体"/>
      <w:sz w:val="24"/>
      <w:szCs w:val="21"/>
    </w:rPr>
  </w:style>
  <w:style w:type="character" w:styleId="1210" w:customStyle="1">
    <w:name w:val="题注 Char"/>
    <w:link w:val="726"/>
    <w:uiPriority w:val="0"/>
    <w:qFormat/>
    <w:rPr>
      <w:rFonts w:ascii="Arial" w:hAnsi="Arial" w:eastAsia="黑体"/>
      <w:lang w:val="en-US" w:eastAsia="en-US"/>
    </w:rPr>
  </w:style>
  <w:style w:type="character" w:styleId="1211" w:customStyle="1">
    <w:name w:val="正文（标记） Char2"/>
    <w:link w:val="1013"/>
    <w:uiPriority w:val="0"/>
    <w:qFormat/>
    <w:rPr>
      <w:rFonts w:ascii="Times New Roman" w:hAnsi="Times New Roman"/>
      <w:sz w:val="24"/>
      <w:szCs w:val="24"/>
      <w:lang w:val="en-US" w:eastAsia="en-US"/>
    </w:rPr>
  </w:style>
  <w:style w:type="character" w:styleId="1212" w:customStyle="1">
    <w:name w:val="正文（编号） Char Char"/>
    <w:link w:val="1157"/>
    <w:uiPriority w:val="0"/>
    <w:qFormat/>
    <w:rPr>
      <w:rFonts w:ascii="Times New Roman" w:hAnsi="Times New Roman"/>
      <w:sz w:val="24"/>
      <w:szCs w:val="24"/>
      <w:lang w:val="en-US" w:eastAsia="en-US"/>
    </w:rPr>
  </w:style>
  <w:style w:type="paragraph" w:styleId="1213" w:customStyle="1">
    <w:name w:val="D&amp;L"/>
    <w:basedOn w:val="751"/>
    <w:uiPriority w:val="0"/>
    <w:qFormat/>
    <w:pPr>
      <w:spacing w:line="240" w:lineRule="atLeast"/>
      <w:pBdr>
        <w:bottom w:val="single" w:color="000000" w:sz="18" w:space="1"/>
      </w:pBdr>
    </w:pPr>
    <w:rPr>
      <w:rFonts w:ascii="Calibri" w:hAnsi="Calibri"/>
      <w:sz w:val="24"/>
      <w:szCs w:val="20"/>
    </w:rPr>
  </w:style>
  <w:style w:type="paragraph" w:styleId="1214" w:customStyle="1">
    <w:name w:val="样式 标题 2 + Times New Roman 四号 非加粗 段前: 5 磅 段后: 0 磅 行距: 固定值 20..."/>
    <w:basedOn w:val="710"/>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15" w:customStyle="1">
    <w:name w:val="Char Char Char Char Char Char Char1 Char"/>
    <w:basedOn w:val="708"/>
    <w:uiPriority w:val="0"/>
    <w:qFormat/>
    <w:rPr>
      <w:rFonts w:ascii="Tahoma" w:hAnsi="Tahoma"/>
      <w:sz w:val="24"/>
      <w:szCs w:val="20"/>
    </w:rPr>
  </w:style>
  <w:style w:type="character" w:styleId="1216" w:customStyle="1">
    <w:name w:val="无间隔 Char"/>
    <w:link w:val="814"/>
    <w:uiPriority w:val="0"/>
    <w:qFormat/>
    <w:rPr>
      <w:rFonts w:ascii="Times New Roman" w:hAnsi="Times New Roman"/>
      <w:sz w:val="21"/>
      <w:szCs w:val="21"/>
    </w:rPr>
  </w:style>
  <w:style w:type="table" w:styleId="1217" w:customStyle="1">
    <w:name w:val="网格型1"/>
    <w:basedOn w:val="719"/>
    <w:uiPriority w:val="0"/>
    <w:qFormat/>
    <w:tblPr>
      <w:tblCellMar>
        <w:left w:w="108" w:type="dxa"/>
        <w:top w:w="0" w:type="dxa"/>
        <w:right w:w="108" w:type="dxa"/>
        <w:bottom w:w="0" w:type="dxa"/>
      </w:tblCellMar>
    </w:tblPr>
  </w:style>
  <w:style w:type="paragraph" w:styleId="1218" w:customStyle="1">
    <w:name w:val="Normal_0"/>
    <w:uiPriority w:val="0"/>
    <w:qFormat/>
    <w:rPr>
      <w:rFonts w:ascii="黑体" w:hAnsi="黑体" w:eastAsia="黑体" w:cs="Times New Roman"/>
      <w:b/>
      <w:sz w:val="32"/>
      <w:szCs w:val="24"/>
      <w:lang w:val="en-US" w:eastAsia="zh-CN" w:bidi="ar-SA"/>
    </w:rPr>
  </w:style>
  <w:style w:type="paragraph" w:styleId="12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Normal_1"/>
    <w:uiPriority w:val="0"/>
    <w:qFormat/>
    <w:rPr>
      <w:rFonts w:ascii="黑体" w:hAnsi="黑体" w:eastAsia="黑体" w:cs="Times New Roman"/>
      <w:b/>
      <w:sz w:val="32"/>
      <w:szCs w:val="24"/>
      <w:lang w:val="en-US" w:eastAsia="zh-CN" w:bidi="ar-SA"/>
    </w:rPr>
  </w:style>
  <w:style w:type="paragraph" w:styleId="122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Normal_2"/>
    <w:uiPriority w:val="0"/>
    <w:qFormat/>
    <w:rPr>
      <w:rFonts w:ascii="黑体" w:hAnsi="黑体" w:eastAsia="黑体" w:cs="Times New Roman"/>
      <w:b/>
      <w:sz w:val="32"/>
      <w:szCs w:val="24"/>
      <w:lang w:val="en-US" w:eastAsia="zh-CN" w:bidi="ar-SA"/>
    </w:rPr>
  </w:style>
  <w:style w:type="paragraph" w:styleId="122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Normal_3"/>
    <w:uiPriority w:val="0"/>
    <w:qFormat/>
    <w:rPr>
      <w:rFonts w:ascii="黑体" w:hAnsi="黑体" w:eastAsia="黑体" w:cs="Times New Roman"/>
      <w:b/>
      <w:sz w:val="32"/>
      <w:szCs w:val="24"/>
      <w:lang w:val="en-US" w:eastAsia="zh-CN" w:bidi="ar-SA"/>
    </w:rPr>
  </w:style>
  <w:style w:type="paragraph" w:styleId="1227" w:customStyle="1">
    <w:name w:val="Normal_4"/>
    <w:uiPriority w:val="0"/>
    <w:qFormat/>
    <w:rPr>
      <w:rFonts w:ascii="黑体" w:hAnsi="黑体" w:eastAsia="黑体" w:cs="Times New Roman"/>
      <w:b/>
      <w:sz w:val="32"/>
      <w:szCs w:val="24"/>
      <w:lang w:val="en-US" w:eastAsia="zh-CN" w:bidi="ar-SA"/>
    </w:rPr>
  </w:style>
  <w:style w:type="paragraph" w:styleId="1228" w:customStyle="1">
    <w:name w:val="Normal_5"/>
    <w:uiPriority w:val="0"/>
    <w:qFormat/>
    <w:rPr>
      <w:rFonts w:ascii="黑体" w:hAnsi="黑体" w:eastAsia="黑体" w:cs="Times New Roman"/>
      <w:b/>
      <w:sz w:val="32"/>
      <w:szCs w:val="24"/>
      <w:lang w:val="en-US" w:eastAsia="zh-CN" w:bidi="ar-SA"/>
    </w:rPr>
  </w:style>
  <w:style w:type="paragraph" w:styleId="122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6"/>
    <w:uiPriority w:val="0"/>
    <w:qFormat/>
    <w:rPr>
      <w:rFonts w:ascii="黑体" w:hAnsi="黑体" w:eastAsia="黑体" w:cs="Times New Roman"/>
      <w:b/>
      <w:sz w:val="32"/>
      <w:szCs w:val="24"/>
      <w:lang w:val="en-US" w:eastAsia="zh-CN" w:bidi="ar-SA"/>
    </w:rPr>
  </w:style>
  <w:style w:type="paragraph" w:styleId="123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2" w:customStyle="1">
    <w:name w:val="Normal_7"/>
    <w:uiPriority w:val="0"/>
    <w:qFormat/>
    <w:rPr>
      <w:rFonts w:ascii="黑体" w:hAnsi="黑体" w:eastAsia="黑体" w:cs="Times New Roman"/>
      <w:b/>
      <w:sz w:val="32"/>
      <w:szCs w:val="24"/>
      <w:lang w:val="en-US" w:eastAsia="zh-CN" w:bidi="ar-SA"/>
    </w:rPr>
  </w:style>
  <w:style w:type="paragraph" w:styleId="1233" w:customStyle="1">
    <w:name w:val="Normal_8"/>
    <w:uiPriority w:val="0"/>
    <w:qFormat/>
    <w:rPr>
      <w:rFonts w:ascii="Times New Roman" w:hAnsi="Times New Roman" w:eastAsia="Times New Roman" w:cs="Times New Roman"/>
      <w:sz w:val="24"/>
      <w:szCs w:val="24"/>
      <w:lang w:val="en-US" w:eastAsia="zh-CN" w:bidi="ar-SA"/>
    </w:rPr>
  </w:style>
  <w:style w:type="paragraph" w:styleId="1234" w:customStyle="1">
    <w:name w:val="Normal_9"/>
    <w:uiPriority w:val="0"/>
    <w:qFormat/>
    <w:rPr>
      <w:rFonts w:ascii="黑体" w:hAnsi="黑体" w:eastAsia="黑体" w:cs="Times New Roman"/>
      <w:b/>
      <w:sz w:val="32"/>
      <w:szCs w:val="24"/>
      <w:lang w:val="en-US" w:eastAsia="zh-CN" w:bidi="ar-SA"/>
    </w:rPr>
  </w:style>
  <w:style w:type="paragraph" w:styleId="123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36" w:customStyle="1">
    <w:name w:val="Normal_10"/>
    <w:uiPriority w:val="0"/>
    <w:qFormat/>
    <w:rPr>
      <w:rFonts w:ascii="黑体" w:hAnsi="黑体" w:eastAsia="黑体" w:cs="Times New Roman"/>
      <w:b/>
      <w:sz w:val="32"/>
      <w:szCs w:val="24"/>
      <w:lang w:val="en-US" w:eastAsia="zh-CN" w:bidi="ar-SA"/>
    </w:rPr>
  </w:style>
  <w:style w:type="paragraph" w:styleId="123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正文缩进_0"/>
    <w:basedOn w:val="1237"/>
    <w:link w:val="1239"/>
    <w:uiPriority w:val="0"/>
    <w:unhideWhenUsed/>
    <w:qFormat/>
    <w:pPr>
      <w:ind w:firstLine="420"/>
    </w:pPr>
    <w:rPr>
      <w:szCs w:val="22"/>
      <w:lang w:eastAsia="en-US"/>
    </w:rPr>
  </w:style>
  <w:style w:type="character" w:styleId="1239" w:customStyle="1">
    <w:name w:val="正文缩进 Char1_0"/>
    <w:link w:val="1238"/>
    <w:uiPriority w:val="0"/>
    <w:qFormat/>
    <w:rPr>
      <w:rFonts w:ascii="Times New Roman" w:hAnsi="Times New Roman"/>
      <w:sz w:val="21"/>
      <w:szCs w:val="22"/>
      <w:lang w:val="en-US" w:eastAsia="en-US"/>
    </w:rPr>
  </w:style>
  <w:style w:type="paragraph" w:styleId="1240" w:customStyle="1">
    <w:name w:val="纯文本_0"/>
    <w:basedOn w:val="1237"/>
    <w:link w:val="1241"/>
    <w:uiPriority w:val="0"/>
    <w:unhideWhenUsed/>
    <w:qFormat/>
    <w:rPr>
      <w:rFonts w:ascii="宋体" w:hAnsi="Courier New"/>
      <w:szCs w:val="21"/>
      <w:lang w:eastAsia="en-US"/>
    </w:rPr>
  </w:style>
  <w:style w:type="character" w:styleId="1241" w:customStyle="1">
    <w:name w:val="纯文本 Char_0"/>
    <w:link w:val="1240"/>
    <w:uiPriority w:val="0"/>
    <w:qFormat/>
    <w:rPr>
      <w:rFonts w:ascii="宋体" w:hAnsi="Courier New"/>
      <w:sz w:val="21"/>
      <w:szCs w:val="21"/>
      <w:lang w:val="en-US" w:eastAsia="en-US"/>
    </w:rPr>
  </w:style>
  <w:style w:type="paragraph" w:styleId="1242" w:customStyle="1">
    <w:name w:val="Normal_11"/>
    <w:uiPriority w:val="0"/>
    <w:qFormat/>
    <w:rPr>
      <w:rFonts w:ascii="黑体" w:hAnsi="黑体" w:eastAsia="黑体" w:cs="Times New Roman"/>
      <w:b/>
      <w:sz w:val="32"/>
      <w:szCs w:val="24"/>
      <w:lang w:val="en-US" w:eastAsia="zh-CN" w:bidi="ar-SA"/>
    </w:rPr>
  </w:style>
  <w:style w:type="paragraph" w:styleId="124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Normal_12"/>
    <w:uiPriority w:val="0"/>
    <w:qFormat/>
    <w:rPr>
      <w:rFonts w:ascii="黑体" w:hAnsi="黑体" w:eastAsia="黑体" w:cs="Times New Roman"/>
      <w:b/>
      <w:sz w:val="32"/>
      <w:szCs w:val="24"/>
      <w:lang w:val="en-US" w:eastAsia="zh-CN" w:bidi="ar-SA"/>
    </w:rPr>
  </w:style>
  <w:style w:type="paragraph" w:styleId="124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13"/>
    <w:uiPriority w:val="0"/>
    <w:qFormat/>
    <w:rPr>
      <w:rFonts w:ascii="黑体" w:hAnsi="黑体" w:eastAsia="黑体" w:cs="Times New Roman"/>
      <w:b/>
      <w:sz w:val="32"/>
      <w:szCs w:val="24"/>
      <w:lang w:val="en-US" w:eastAsia="zh-CN" w:bidi="ar-SA"/>
    </w:rPr>
  </w:style>
  <w:style w:type="paragraph" w:styleId="124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14"/>
    <w:uiPriority w:val="0"/>
    <w:qFormat/>
    <w:rPr>
      <w:rFonts w:ascii="黑体" w:hAnsi="黑体" w:eastAsia="黑体" w:cs="Times New Roman"/>
      <w:b/>
      <w:sz w:val="32"/>
      <w:szCs w:val="24"/>
      <w:lang w:val="en-US" w:eastAsia="zh-CN" w:bidi="ar-SA"/>
    </w:rPr>
  </w:style>
  <w:style w:type="paragraph" w:styleId="124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15"/>
    <w:uiPriority w:val="0"/>
    <w:qFormat/>
    <w:rPr>
      <w:rFonts w:ascii="黑体" w:hAnsi="黑体" w:eastAsia="黑体" w:cs="Times New Roman"/>
      <w:b/>
      <w:sz w:val="32"/>
      <w:szCs w:val="24"/>
      <w:lang w:val="en-US" w:eastAsia="zh-CN" w:bidi="ar-SA"/>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16"/>
    <w:uiPriority w:val="0"/>
    <w:qFormat/>
    <w:rPr>
      <w:rFonts w:ascii="黑体" w:hAnsi="黑体" w:eastAsia="黑体" w:cs="Times New Roman"/>
      <w:b/>
      <w:sz w:val="32"/>
      <w:szCs w:val="24"/>
      <w:lang w:val="en-US" w:eastAsia="zh-CN" w:bidi="ar-SA"/>
    </w:rPr>
  </w:style>
  <w:style w:type="paragraph" w:styleId="125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Normal_17"/>
    <w:uiPriority w:val="0"/>
    <w:qFormat/>
    <w:rPr>
      <w:rFonts w:ascii="黑体" w:hAnsi="黑体" w:eastAsia="黑体" w:cs="Times New Roman"/>
      <w:b/>
      <w:sz w:val="32"/>
      <w:szCs w:val="24"/>
      <w:lang w:val="en-US" w:eastAsia="zh-CN" w:bidi="ar-SA"/>
    </w:rPr>
  </w:style>
  <w:style w:type="paragraph" w:styleId="1256" w:customStyle="1">
    <w:name w:val="Normal_18"/>
    <w:uiPriority w:val="0"/>
    <w:qFormat/>
    <w:rPr>
      <w:rFonts w:ascii="黑体" w:hAnsi="黑体" w:eastAsia="黑体" w:cs="Times New Roman"/>
      <w:b/>
      <w:sz w:val="32"/>
      <w:szCs w:val="24"/>
      <w:lang w:val="en-US" w:eastAsia="zh-CN" w:bidi="ar-SA"/>
    </w:rPr>
  </w:style>
  <w:style w:type="paragraph" w:styleId="125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58" w:customStyle="1">
    <w:name w:val="Normal_0_0"/>
    <w:uiPriority w:val="0"/>
    <w:qFormat/>
    <w:rPr>
      <w:rFonts w:ascii="黑体" w:hAnsi="黑体" w:eastAsia="黑体" w:cs="Times New Roman"/>
      <w:b/>
      <w:sz w:val="40"/>
      <w:szCs w:val="24"/>
      <w:lang w:val="en-US" w:eastAsia="zh-CN" w:bidi="ar-SA"/>
    </w:rPr>
  </w:style>
  <w:style w:type="paragraph" w:styleId="1259" w:customStyle="1">
    <w:name w:val="Normal_1_0"/>
    <w:uiPriority w:val="0"/>
    <w:qFormat/>
    <w:rPr>
      <w:rFonts w:ascii="Times New Roman" w:hAnsi="Times New Roman" w:eastAsia="Times New Roman" w:cs="Times New Roman"/>
      <w:sz w:val="24"/>
      <w:szCs w:val="24"/>
      <w:lang w:val="en-US" w:eastAsia="zh-CN" w:bidi="ar-SA"/>
    </w:rPr>
  </w:style>
  <w:style w:type="character" w:styleId="1260" w:customStyle="1">
    <w:name w:val="纯文本 Char1"/>
    <w:uiPriority w:val="0"/>
    <w:qFormat/>
    <w:rPr>
      <w:rFonts w:ascii="宋体" w:hAnsi="Calibri" w:eastAsia="宋体"/>
      <w:sz w:val="21"/>
      <w:szCs w:val="21"/>
      <w:lang w:val="en-US" w:eastAsia="zh-CN" w:bidi="ar-SA"/>
    </w:rPr>
  </w:style>
  <w:style w:type="paragraph" w:styleId="1261" w:customStyle="1">
    <w:name w:val="Normal1"/>
    <w:uiPriority w:val="0"/>
    <w:qFormat/>
    <w:rPr>
      <w:rFonts w:ascii="Times New Roman" w:hAnsi="Times New Roman" w:eastAsia="Times New Roman" w:cs="Times New Roman"/>
      <w:sz w:val="24"/>
      <w:szCs w:val="24"/>
      <w:lang w:val="en-US" w:eastAsia="zh-CN" w:bidi="ar-SA"/>
    </w:rPr>
  </w:style>
  <w:style w:type="paragraph" w:styleId="126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Normal_19"/>
    <w:uiPriority w:val="0"/>
    <w:qFormat/>
    <w:rPr>
      <w:rFonts w:ascii="Times New Roman" w:hAnsi="Times New Roman" w:eastAsia="Times New Roman" w:cs="Times New Roman"/>
      <w:sz w:val="24"/>
      <w:szCs w:val="24"/>
      <w:lang w:val="en-US" w:eastAsia="zh-CN" w:bidi="ar-SA"/>
    </w:rPr>
  </w:style>
  <w:style w:type="paragraph" w:styleId="1266" w:customStyle="1">
    <w:name w:val="Normal_2_0"/>
    <w:uiPriority w:val="0"/>
    <w:qFormat/>
    <w:rPr>
      <w:rFonts w:ascii="黑体" w:hAnsi="黑体" w:eastAsia="黑体" w:cs="Times New Roman"/>
      <w:b/>
      <w:sz w:val="32"/>
      <w:szCs w:val="24"/>
      <w:lang w:val="en-US" w:eastAsia="zh-CN" w:bidi="ar-SA"/>
    </w:rPr>
  </w:style>
  <w:style w:type="paragraph" w:styleId="126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6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26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71" w:customStyle="1">
    <w:name w:val="Normal_5_0"/>
    <w:uiPriority w:val="0"/>
    <w:qFormat/>
    <w:rPr>
      <w:rFonts w:ascii="黑体" w:hAnsi="黑体" w:eastAsia="黑体" w:cs="Times New Roman"/>
      <w:b/>
      <w:sz w:val="32"/>
      <w:szCs w:val="24"/>
      <w:lang w:val="en-US" w:eastAsia="zh-CN" w:bidi="ar-SA"/>
    </w:rPr>
  </w:style>
  <w:style w:type="paragraph" w:styleId="127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74" w:customStyle="1">
    <w:name w:val="Normal_6_0"/>
    <w:uiPriority w:val="0"/>
    <w:qFormat/>
    <w:rPr>
      <w:rFonts w:ascii="黑体" w:hAnsi="黑体" w:eastAsia="黑体" w:cs="Times New Roman"/>
      <w:b/>
      <w:sz w:val="32"/>
      <w:szCs w:val="24"/>
      <w:lang w:val="en-US" w:eastAsia="zh-CN" w:bidi="ar-SA"/>
    </w:rPr>
  </w:style>
  <w:style w:type="paragraph" w:styleId="1275" w:customStyle="1">
    <w:name w:val="Normal_7_0"/>
    <w:uiPriority w:val="0"/>
    <w:qFormat/>
    <w:rPr>
      <w:rFonts w:ascii="Times New Roman" w:hAnsi="Times New Roman" w:eastAsia="Times New Roman" w:cs="Times New Roman"/>
      <w:sz w:val="24"/>
      <w:szCs w:val="24"/>
      <w:lang w:val="en-US" w:eastAsia="zh-CN" w:bidi="ar-SA"/>
    </w:rPr>
  </w:style>
  <w:style w:type="paragraph" w:styleId="1276" w:customStyle="1">
    <w:name w:val="Normal_8_0"/>
    <w:uiPriority w:val="0"/>
    <w:qFormat/>
    <w:rPr>
      <w:rFonts w:ascii="Times New Roman" w:hAnsi="Times New Roman" w:eastAsia="Times New Roman" w:cs="Times New Roman"/>
      <w:sz w:val="24"/>
      <w:szCs w:val="24"/>
      <w:lang w:val="en-US" w:eastAsia="zh-CN" w:bidi="ar-SA"/>
    </w:rPr>
  </w:style>
  <w:style w:type="paragraph" w:styleId="1277" w:customStyle="1">
    <w:name w:val="Normal_9_0"/>
    <w:uiPriority w:val="0"/>
    <w:qFormat/>
    <w:rPr>
      <w:rFonts w:ascii="黑体" w:hAnsi="黑体" w:eastAsia="黑体" w:cs="Times New Roman"/>
      <w:b/>
      <w:sz w:val="32"/>
      <w:szCs w:val="24"/>
      <w:lang w:val="en-US" w:eastAsia="zh-CN" w:bidi="ar-SA"/>
    </w:rPr>
  </w:style>
  <w:style w:type="paragraph" w:styleId="127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82" w:customStyle="1">
    <w:name w:val="列出段落_2"/>
    <w:basedOn w:val="1280"/>
    <w:uiPriority w:val="34"/>
    <w:qFormat/>
    <w:pPr>
      <w:ind w:firstLine="420"/>
    </w:pPr>
  </w:style>
  <w:style w:type="paragraph" w:styleId="1283" w:customStyle="1">
    <w:name w:val="Normal_10_0"/>
    <w:uiPriority w:val="0"/>
    <w:qFormat/>
    <w:rPr>
      <w:rFonts w:ascii="黑体" w:hAnsi="黑体" w:eastAsia="黑体" w:cs="Times New Roman"/>
      <w:b/>
      <w:sz w:val="32"/>
      <w:szCs w:val="24"/>
      <w:lang w:val="en-US" w:eastAsia="zh-CN" w:bidi="ar-SA"/>
    </w:rPr>
  </w:style>
  <w:style w:type="paragraph" w:styleId="128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缩进_0_0"/>
    <w:basedOn w:val="1284"/>
    <w:link w:val="1286"/>
    <w:uiPriority w:val="0"/>
    <w:unhideWhenUsed/>
    <w:qFormat/>
    <w:pPr>
      <w:ind w:firstLine="420"/>
    </w:pPr>
    <w:rPr>
      <w:rFonts w:ascii="Calibri" w:hAnsi="Calibri"/>
      <w:szCs w:val="22"/>
      <w:lang w:eastAsia="en-US"/>
    </w:rPr>
  </w:style>
  <w:style w:type="character" w:styleId="1286" w:customStyle="1">
    <w:name w:val="正文缩进 Char1_0_0"/>
    <w:link w:val="1285"/>
    <w:uiPriority w:val="0"/>
    <w:qFormat/>
    <w:rPr>
      <w:sz w:val="21"/>
      <w:szCs w:val="22"/>
      <w:lang w:val="en-US" w:eastAsia="en-US"/>
    </w:rPr>
  </w:style>
  <w:style w:type="paragraph" w:styleId="1287" w:customStyle="1">
    <w:name w:val="纯文本_0_0"/>
    <w:basedOn w:val="1288"/>
    <w:link w:val="1289"/>
    <w:uiPriority w:val="0"/>
    <w:unhideWhenUsed/>
    <w:qFormat/>
    <w:rPr>
      <w:rFonts w:ascii="宋体" w:hAnsi="Courier New"/>
      <w:szCs w:val="21"/>
      <w:lang w:eastAsia="en-US"/>
    </w:rPr>
  </w:style>
  <w:style w:type="paragraph" w:styleId="128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89" w:customStyle="1">
    <w:name w:val="纯文本 Char_0_0"/>
    <w:link w:val="1287"/>
    <w:uiPriority w:val="0"/>
    <w:qFormat/>
    <w:rPr>
      <w:rFonts w:ascii="宋体" w:hAnsi="Courier New"/>
      <w:sz w:val="21"/>
      <w:szCs w:val="21"/>
      <w:lang w:val="en-US" w:eastAsia="en-US"/>
    </w:rPr>
  </w:style>
  <w:style w:type="paragraph" w:styleId="1290" w:customStyle="1">
    <w:name w:val="Normal_11_0"/>
    <w:uiPriority w:val="0"/>
    <w:qFormat/>
    <w:rPr>
      <w:rFonts w:ascii="黑体" w:hAnsi="黑体" w:eastAsia="黑体" w:cs="Times New Roman"/>
      <w:b/>
      <w:sz w:val="32"/>
      <w:szCs w:val="24"/>
      <w:lang w:val="en-US" w:eastAsia="zh-CN" w:bidi="ar-SA"/>
    </w:rPr>
  </w:style>
  <w:style w:type="paragraph" w:styleId="1291" w:customStyle="1">
    <w:name w:val="Normal_13_0"/>
    <w:uiPriority w:val="0"/>
    <w:qFormat/>
    <w:rPr>
      <w:rFonts w:ascii="黑体" w:hAnsi="黑体" w:eastAsia="黑体" w:cs="Times New Roman"/>
      <w:b/>
      <w:sz w:val="32"/>
      <w:szCs w:val="24"/>
      <w:lang w:val="en-US" w:eastAsia="zh-CN" w:bidi="ar-SA"/>
    </w:rPr>
  </w:style>
  <w:style w:type="paragraph" w:styleId="129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14_0"/>
    <w:uiPriority w:val="0"/>
    <w:qFormat/>
    <w:rPr>
      <w:rFonts w:ascii="黑体" w:hAnsi="黑体" w:eastAsia="黑体" w:cs="Times New Roman"/>
      <w:b/>
      <w:sz w:val="32"/>
      <w:szCs w:val="24"/>
      <w:lang w:val="en-US" w:eastAsia="zh-CN" w:bidi="ar-SA"/>
    </w:rPr>
  </w:style>
  <w:style w:type="paragraph" w:styleId="1295"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15_0"/>
    <w:uiPriority w:val="0"/>
    <w:qFormat/>
    <w:rPr>
      <w:rFonts w:ascii="黑体" w:hAnsi="黑体" w:eastAsia="黑体" w:cs="Times New Roman"/>
      <w:b/>
      <w:sz w:val="32"/>
      <w:szCs w:val="24"/>
      <w:lang w:val="en-US" w:eastAsia="zh-CN" w:bidi="ar-SA"/>
    </w:rPr>
  </w:style>
  <w:style w:type="paragraph" w:styleId="129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16_0"/>
    <w:uiPriority w:val="0"/>
    <w:qFormat/>
    <w:rPr>
      <w:rFonts w:ascii="黑体" w:hAnsi="黑体" w:eastAsia="黑体" w:cs="Times New Roman"/>
      <w:b/>
      <w:sz w:val="32"/>
      <w:szCs w:val="24"/>
      <w:lang w:val="en-US" w:eastAsia="zh-CN" w:bidi="ar-SA"/>
    </w:rPr>
  </w:style>
  <w:style w:type="paragraph" w:styleId="1299" w:customStyle="1">
    <w:name w:val="Normal_0_2"/>
    <w:uiPriority w:val="0"/>
    <w:qFormat/>
    <w:rPr>
      <w:rFonts w:ascii="黑体" w:hAnsi="黑体" w:eastAsia="黑体" w:cs="Times New Roman"/>
      <w:b/>
      <w:sz w:val="32"/>
      <w:szCs w:val="24"/>
      <w:lang w:val="en-US" w:eastAsia="zh-CN" w:bidi="ar-SA"/>
    </w:rPr>
  </w:style>
  <w:style w:type="paragraph" w:styleId="1300" w:customStyle="1">
    <w:name w:val="Normal_1_2"/>
    <w:uiPriority w:val="0"/>
    <w:qFormat/>
    <w:rPr>
      <w:rFonts w:ascii="Times New Roman" w:hAnsi="Times New Roman" w:eastAsia="Times New Roman" w:cs="Times New Roman"/>
      <w:sz w:val="24"/>
      <w:szCs w:val="24"/>
      <w:lang w:val="en-US" w:eastAsia="zh-CN" w:bidi="ar-SA"/>
    </w:rPr>
  </w:style>
  <w:style w:type="paragraph" w:styleId="1301" w:customStyle="1">
    <w:name w:val="Normal_0_3"/>
    <w:uiPriority w:val="0"/>
    <w:qFormat/>
    <w:rPr>
      <w:rFonts w:ascii="黑体" w:hAnsi="黑体" w:eastAsia="黑体" w:cs="Times New Roman"/>
      <w:b/>
      <w:sz w:val="32"/>
      <w:szCs w:val="24"/>
      <w:lang w:val="en-US" w:eastAsia="zh-CN" w:bidi="ar-SA"/>
    </w:rPr>
  </w:style>
  <w:style w:type="paragraph" w:styleId="1302"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303" w:customStyle="1">
    <w:name w:val="普通(网站) Char"/>
    <w:link w:val="769"/>
    <w:uiPriority w:val="0"/>
    <w:qFormat/>
    <w:rPr>
      <w:rFonts w:ascii="宋体" w:hAnsi="宋体" w:cs="宋体"/>
      <w:sz w:val="24"/>
      <w:szCs w:val="24"/>
    </w:rPr>
  </w:style>
  <w:style w:type="paragraph" w:styleId="1304" w:customStyle="1">
    <w:name w:val="正文_21"/>
    <w:uiPriority w:val="0"/>
    <w:qFormat/>
    <w:pPr>
      <w:jc w:val="both"/>
      <w:widowControl w:val="off"/>
    </w:pPr>
    <w:rPr>
      <w:rFonts w:ascii="Calibri" w:hAnsi="Calibri" w:eastAsia="宋体" w:cs="Times New Roman"/>
      <w:lang w:val="en-US" w:eastAsia="zh-CN" w:bidi="ar-SA"/>
    </w:rPr>
  </w:style>
  <w:style w:type="paragraph" w:styleId="1305" w:customStyle="1">
    <w:name w:val="普通(网站)1"/>
    <w:basedOn w:val="1272"/>
    <w:uiPriority w:val="0"/>
    <w:semiHidden/>
    <w:qFormat/>
    <w:pPr>
      <w:jc w:val="left"/>
      <w:spacing w:before="100" w:beforeAutospacing="1" w:after="100" w:afterAutospacing="1"/>
      <w:widowControl/>
    </w:pPr>
    <w:rPr>
      <w:rFonts w:ascii="Times New Roman" w:hAnsi="Times New Roman" w:eastAsia="微软雅黑"/>
      <w:sz w:val="24"/>
      <w:szCs w:val="24"/>
    </w:rPr>
  </w:style>
  <w:style w:type="paragraph" w:styleId="1306"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307" w:customStyle="1">
    <w:name w:val="正文_2_1"/>
    <w:uiPriority w:val="99"/>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_21_0"/>
    <w:next w:val="1309"/>
    <w:uiPriority w:val="0"/>
    <w:qFormat/>
    <w:pPr>
      <w:jc w:val="both"/>
      <w:widowControl w:val="off"/>
    </w:pPr>
    <w:rPr>
      <w:rFonts w:ascii="Times New Roman" w:hAnsi="Times New Roman" w:eastAsia="宋体" w:cs="Times New Roman"/>
      <w:sz w:val="21"/>
      <w:szCs w:val="22"/>
      <w:lang w:val="en-US" w:eastAsia="zh-CN" w:bidi="ar-SA"/>
    </w:rPr>
  </w:style>
  <w:style w:type="paragraph" w:styleId="1309" w:customStyle="1">
    <w:name w:val="正文文本缩进_1_0"/>
    <w:basedOn w:val="1308"/>
    <w:uiPriority w:val="0"/>
    <w:qFormat/>
    <w:pPr>
      <w:ind w:left="420"/>
      <w:spacing w:after="120"/>
    </w:pPr>
  </w:style>
  <w:style w:type="paragraph" w:styleId="1310" w:customStyle="1">
    <w:name w:val="正文文本1"/>
    <w:basedOn w:val="708"/>
    <w:uiPriority w:val="0"/>
    <w:qFormat/>
    <w:rPr>
      <w:rFonts w:ascii="楷体_GB2312" w:hAnsi="Arial" w:eastAsia="楷体_GB2312"/>
      <w:sz w:val="28"/>
      <w:szCs w:val="28"/>
    </w:rPr>
  </w:style>
  <w:style w:type="table" w:styleId="1311" w:customStyle="1">
    <w:name w:val="Table Normal"/>
    <w:uiPriority w:val="0"/>
    <w:semiHidden/>
    <w:unhideWhenUsed/>
    <w:qFormat/>
    <w:tblPr>
      <w:tblCellMar>
        <w:left w:w="0" w:type="dxa"/>
        <w:top w:w="0" w:type="dxa"/>
        <w:right w:w="0" w:type="dxa"/>
        <w:bottom w:w="0" w:type="dxa"/>
      </w:tblCellMar>
    </w:tblPr>
  </w:style>
  <w:style w:type="paragraph" w:styleId="1312" w:customStyle="1">
    <w:name w:val="二级标题_0_0"/>
    <w:basedOn w:val="1313"/>
    <w:uiPriority w:val="99"/>
    <w:qFormat/>
    <w:pPr>
      <w:keepLines/>
      <w:keepNext/>
      <w:spacing w:line="500" w:lineRule="exact"/>
      <w:outlineLvl w:val="1"/>
    </w:pPr>
    <w:rPr>
      <w:rFonts w:ascii="黑体" w:hAnsi="黑体" w:eastAsia="黑体"/>
      <w:b/>
      <w:sz w:val="28"/>
      <w:szCs w:val="32"/>
    </w:rPr>
  </w:style>
  <w:style w:type="paragraph" w:styleId="1313" w:customStyle="1">
    <w:name w:val="标题 2_0_0"/>
    <w:basedOn w:val="1314"/>
    <w:uiPriority w:val="0"/>
    <w:qFormat/>
  </w:style>
  <w:style w:type="paragraph" w:styleId="1314" w:customStyle="1">
    <w:name w:val="正文_25_0"/>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页脚1"/>
    <w:basedOn w:val="708"/>
    <w:uiPriority w:val="0"/>
    <w:qFormat/>
    <w:pPr>
      <w:jc w:val="left"/>
      <w:tabs>
        <w:tab w:val="center" w:pos="4153" w:leader="none"/>
        <w:tab w:val="right" w:pos="8306" w:leader="none"/>
      </w:tabs>
    </w:pPr>
    <w:rPr>
      <w:rFonts w:ascii="Times New Roman" w:hAnsi="Times New Roman"/>
      <w:sz w:val="18"/>
      <w:szCs w:val="18"/>
    </w:rPr>
  </w:style>
  <w:style w:type="paragraph" w:styleId="1316" w:customStyle="1">
    <w:name w:val="正文文本_0"/>
    <w:basedOn w:val="1264"/>
    <w:uiPriority w:val="0"/>
    <w:qFormat/>
    <w:pPr>
      <w:spacing w:after="120"/>
    </w:pPr>
  </w:style>
  <w:style w:type="paragraph" w:styleId="1317" w:customStyle="1">
    <w:name w:val="正文3"/>
    <w:next w:val="70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18" w:customStyle="1">
    <w:name w:val="标题 2111"/>
    <w:basedOn w:val="708"/>
    <w:next w:val="708"/>
    <w:uiPriority w:val="0"/>
    <w:qFormat/>
    <w:pPr>
      <w:keepLines/>
      <w:keepNext/>
      <w:spacing w:before="260" w:after="260" w:line="413" w:lineRule="auto"/>
      <w:outlineLvl w:val="1"/>
    </w:pPr>
    <w:rPr>
      <w:rFonts w:ascii="Arial" w:hAnsi="Arial" w:eastAsia="黑体"/>
      <w:b/>
      <w:sz w:val="32"/>
      <w:szCs w:val="20"/>
    </w:rPr>
  </w:style>
  <w:style w:type="paragraph" w:styleId="1319" w:customStyle="1">
    <w:name w:val="正文2"/>
    <w:next w:val="708"/>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ds-markdown-paragraph"/>
    <w:basedOn w:val="708"/>
    <w:uiPriority w:val="0"/>
    <w:qFormat/>
    <w:pPr>
      <w:jc w:val="left"/>
      <w:spacing w:before="100" w:beforeAutospacing="1" w:after="100" w:afterAutospacing="1"/>
      <w:widowControl/>
    </w:pPr>
    <w:rPr>
      <w:rFonts w:ascii="宋体" w:hAnsi="宋体" w:cs="宋体"/>
      <w:sz w:val="24"/>
      <w:szCs w:val="24"/>
    </w:rPr>
  </w:style>
  <w:style w:type="numbering" w:styleId="40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0BCD75A-3860-4C66-B9DF-9C0954F6D6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董田田</cp:lastModifiedBy>
  <cp:revision>11</cp:revision>
  <dcterms:created xsi:type="dcterms:W3CDTF">2026-07-27T09:22:00Z</dcterms:created>
  <dcterms:modified xsi:type="dcterms:W3CDTF">2026-07-30T03:55:35Z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0D0874BF06634D7AAE82D749955A0A6C_13</vt:lpwstr>
  </property>
  <property fmtid="{D5CDD505-2E9C-101B-9397-08002B2CF9AE}" pid="4" name="KSOTemplateDocerSaveRecord">
    <vt:lpwstr>eyJoZGlkIjoiNmNhMjY1MjUzN2ZiNGVjMTFiNzdhZTkyYjcwZTQ2M2EiLCJ1c2VySWQiOiIxMjk0NzI0NDk2In0=</vt:lpwstr>
  </property>
</Properties>
</file>