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hint="eastAsia" w:eastAsia="黑体"/>
          <w:b/>
          <w:bCs/>
          <w:sz w:val="84"/>
          <w:lang w:val="en-US" w:eastAsia="zh-CN"/>
        </w:rPr>
      </w:pPr>
      <w:r>
        <w:rPr>
          <w:rFonts w:hint="eastAsia" w:eastAsia="黑体"/>
          <w:b/>
          <w:bCs/>
          <w:sz w:val="84"/>
          <w:lang w:val="en-US" w:eastAsia="zh-CN"/>
        </w:rPr>
        <w:t xml:space="preserve"> </w:t>
      </w:r>
      <w:r>
        <w:rPr>
          <w:rFonts w:hint="eastAsia" w:eastAsia="黑体"/>
          <w:b/>
          <w:bCs/>
          <w:sz w:val="84"/>
          <w:lang w:val="en-US" w:eastAsia="zh-CN"/>
        </w:rPr>
      </w:r>
      <w:r/>
    </w:p>
    <w:p>
      <w:pPr>
        <w:pStyle w:val="105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53"/>
        <w:ind w:firstLine="2249"/>
        <w:rPr>
          <w:rFonts w:hint="eastAsia"/>
          <w:b/>
          <w:bCs/>
          <w:sz w:val="32"/>
        </w:rPr>
      </w:pPr>
      <w:r>
        <w:rPr>
          <w:rFonts w:hint="eastAsia"/>
          <w:b/>
          <w:bCs/>
          <w:sz w:val="32"/>
        </w:rPr>
        <w:t xml:space="preserve">项目名称：</w:t>
      </w:r>
      <w:r>
        <w:rPr>
          <w:rFonts w:hint="eastAsia" w:ascii="Arial" w:hAnsi="Arial" w:eastAsia="宋体" w:cs="Times New Roman"/>
          <w:b/>
          <w:bCs/>
          <w:sz w:val="32"/>
          <w:u w:val="single"/>
        </w:rPr>
        <w:t xml:space="preserve">南通市公安局算力租赁</w:t>
      </w:r>
      <w:r>
        <w:rPr>
          <w:rFonts w:hint="eastAsia" w:ascii="Arial" w:hAnsi="Arial" w:eastAsia="宋体" w:cs="Times New Roman"/>
          <w:b/>
          <w:bCs/>
          <w:sz w:val="32"/>
          <w:u w:val="single"/>
          <w:lang w:val="en-US" w:eastAsia="zh-CN"/>
        </w:rPr>
        <w:t xml:space="preserve">服务</w:t>
      </w:r>
      <w:r>
        <w:rPr>
          <w:rFonts w:hint="eastAsia" w:ascii="Arial" w:hAnsi="Arial" w:eastAsia="宋体" w:cs="Times New Roman"/>
          <w:b/>
          <w:bCs/>
          <w:sz w:val="32"/>
          <w:u w:val="single"/>
        </w:rPr>
        <w:t xml:space="preserve">项目</w:t>
      </w:r>
      <w:r>
        <w:rPr>
          <w:rFonts w:hint="eastAsia"/>
          <w:b/>
          <w:bCs/>
          <w:sz w:val="32"/>
        </w:rPr>
      </w:r>
      <w:r/>
    </w:p>
    <w:p>
      <w:pPr>
        <w:pStyle w:val="964"/>
        <w:ind w:left="2100" w:firstLine="161"/>
        <w:rPr>
          <w:b/>
          <w:color w:val="000000"/>
          <w:sz w:val="30"/>
          <w:szCs w:val="30"/>
        </w:rPr>
      </w:pPr>
      <w:r>
        <w:rPr>
          <w:rFonts w:hint="eastAsia"/>
          <w:b/>
          <w:bCs/>
          <w:color w:val="000000"/>
          <w:sz w:val="32"/>
        </w:rPr>
        <w:t xml:space="preserve">项目编号：JSZC-320</w:t>
      </w:r>
      <w:r>
        <w:rPr>
          <w:rFonts w:hint="eastAsia"/>
          <w:b/>
          <w:bCs/>
          <w:color w:val="000000"/>
          <w:sz w:val="32"/>
          <w:lang w:val="en-US" w:eastAsia="zh-CN"/>
        </w:rPr>
        <w:t xml:space="preserve">6</w:t>
      </w:r>
      <w:r>
        <w:rPr>
          <w:rFonts w:hint="eastAsia" w:ascii="Times New Roman" w:hAnsi="Times New Roman" w:eastAsia="宋体" w:cs="Times New Roman"/>
          <w:b/>
          <w:bCs/>
          <w:color w:val="000000"/>
          <w:sz w:val="32"/>
        </w:rPr>
        <w:t xml:space="preserve">00-JZCG-G2026-0063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64"/>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spacing w:before="0" w:after="0"/>
        <w:rPr>
          <w:rFonts w:hint="eastAsia" w:ascii="宋体" w:hAnsi="宋体"/>
        </w:rPr>
      </w:pPr>
      <w:r>
        <w:rPr>
          <w:rFonts w:hint="eastAsia" w:ascii="宋体" w:hAnsi="宋体"/>
        </w:rPr>
      </w:r>
      <w:r/>
    </w:p>
    <w:p>
      <w:pPr>
        <w:pStyle w:val="105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105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105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rPr>
      </w:r>
      <w:r/>
    </w:p>
    <w:p>
      <w:pPr>
        <w:pStyle w:val="1053"/>
        <w:ind w:firstLine="0"/>
        <w:rPr>
          <w:rFonts w:hint="eastAsia"/>
          <w:u w:val="single"/>
        </w:rPr>
      </w:pPr>
      <w:r>
        <w:rPr>
          <w:rFonts w:hint="eastAsia"/>
        </w:rPr>
        <w:t xml:space="preserve">                        </w:t>
      </w:r>
      <w:r>
        <w:rPr>
          <w:rFonts w:hint="eastAsia"/>
          <w:u w:val="single"/>
        </w:rPr>
      </w:r>
      <w:r/>
    </w:p>
    <w:p>
      <w:pPr>
        <w:pStyle w:val="1053"/>
        <w:ind w:firstLine="0"/>
        <w:jc w:val="center"/>
        <w:rPr>
          <w:rFonts w:hint="eastAsia"/>
        </w:rPr>
      </w:pPr>
      <w:r>
        <w:rPr>
          <w:rFonts w:hint="eastAsia"/>
        </w:rPr>
      </w:r>
      <w:r/>
    </w:p>
    <w:p>
      <w:pPr>
        <w:pStyle w:val="964"/>
        <w:jc w:val="center"/>
        <w:spacing w:line="480" w:lineRule="auto"/>
        <w:outlineLvl w:val="0"/>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
    </w:p>
    <w:p>
      <w:pPr>
        <w:pStyle w:val="964"/>
        <w:jc w:val="center"/>
        <w:spacing w:line="480" w:lineRule="auto"/>
        <w:outlineLvl w:val="0"/>
      </w:pPr>
      <w:r/>
      <w:r/>
    </w:p>
    <w:p>
      <w:pPr>
        <w:pStyle w:val="964"/>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4"/>
        <w:spacing w:line="480" w:lineRule="auto"/>
        <w:rPr>
          <w:rFonts w:hint="eastAsia" w:ascii="仿宋_GB2312" w:hAnsi="Arial" w:eastAsia="仿宋_GB2312"/>
          <w:b/>
          <w:sz w:val="28"/>
        </w:rPr>
      </w:pPr>
      <w:r>
        <w:rPr>
          <w:rFonts w:hint="eastAsia" w:ascii="仿宋_GB2312" w:hAnsi="Arial" w:eastAsia="仿宋_GB2312"/>
          <w:b/>
          <w:sz w:val="28"/>
        </w:rPr>
      </w:r>
      <w:r/>
    </w:p>
    <w:p>
      <w:pPr>
        <w:pStyle w:val="96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27</w:t>
      </w:r>
      <w:r>
        <w:rPr>
          <w:rFonts w:hint="eastAsia" w:ascii="黑体" w:hAnsi="Showcard Gothic" w:eastAsia="黑体"/>
          <w:sz w:val="36"/>
        </w:rPr>
      </w:r>
      <w:r/>
    </w:p>
    <w:p>
      <w:pPr>
        <w:pStyle w:val="9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5"/>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965"/>
        <w:jc w:val="center"/>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64"/>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南通市公安局</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eastAsia="方正仿宋_GBK"/>
          <w:color w:val="000000"/>
          <w:sz w:val="24"/>
          <w:szCs w:val="24"/>
        </w:rPr>
        <w:t xml:space="preserve">南通市公安局算力租赁</w:t>
      </w:r>
      <w:r>
        <w:rPr>
          <w:rFonts w:hint="eastAsia" w:eastAsia="方正仿宋_GBK"/>
          <w:color w:val="000000"/>
          <w:sz w:val="24"/>
          <w:szCs w:val="24"/>
          <w:lang w:val="en-US" w:eastAsia="zh-CN"/>
        </w:rPr>
        <w:t xml:space="preserve">服务</w:t>
      </w:r>
      <w:r>
        <w:rPr>
          <w:rFonts w:eastAsia="方正仿宋_GBK"/>
          <w:color w:val="000000"/>
          <w:sz w:val="24"/>
          <w:szCs w:val="24"/>
        </w:rPr>
        <w:t xml:space="preserve">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color w:val="000000"/>
          <w:sz w:val="24"/>
          <w:szCs w:val="24"/>
        </w:rPr>
        <w:t xml:space="preserve">JSZC-320</w:t>
      </w:r>
      <w:r>
        <w:rPr>
          <w:rFonts w:hint="eastAsia" w:ascii="Times New Roman" w:hAnsi="Times New Roman" w:eastAsia="方正仿宋_GBK" w:cs="Times New Roman"/>
          <w:color w:val="000000"/>
          <w:sz w:val="24"/>
          <w:szCs w:val="24"/>
          <w:lang w:val="en-US" w:eastAsia="zh-CN"/>
        </w:rPr>
        <w:t xml:space="preserve">6</w:t>
      </w:r>
      <w:r>
        <w:rPr>
          <w:rFonts w:hint="eastAsia" w:ascii="Times New Roman" w:hAnsi="Times New Roman" w:eastAsia="方正仿宋_GBK" w:cs="Times New Roman"/>
          <w:color w:val="000000"/>
          <w:sz w:val="24"/>
          <w:szCs w:val="24"/>
        </w:rPr>
        <w:t xml:space="preserve">00-JZCG-G2026-0063 </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eastAsia="方正仿宋_GBK"/>
          <w:color w:val="000000"/>
          <w:sz w:val="24"/>
          <w:szCs w:val="24"/>
          <w:u w:val="single"/>
        </w:rPr>
        <w:t xml:space="preserve">南通市公安局算力租赁</w:t>
      </w:r>
      <w:r>
        <w:rPr>
          <w:rFonts w:hint="eastAsia" w:eastAsia="方正仿宋_GBK"/>
          <w:color w:val="000000"/>
          <w:sz w:val="24"/>
          <w:szCs w:val="24"/>
          <w:u w:val="single"/>
          <w:lang w:val="en-US" w:eastAsia="zh-CN"/>
        </w:rPr>
        <w:t xml:space="preserve">服务</w:t>
      </w:r>
      <w:r>
        <w:rPr>
          <w:rFonts w:eastAsia="方正仿宋_GBK"/>
          <w:color w:val="000000"/>
          <w:sz w:val="24"/>
          <w:szCs w:val="24"/>
          <w:u w:val="single"/>
        </w:rPr>
        <w:t xml:space="preserve">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年8</w:t>
      </w:r>
      <w:r>
        <w:rPr>
          <w:rFonts w:ascii="Times New Roman" w:hAnsi="Times New Roman" w:eastAsia="方正仿宋_GBK" w:cs="Times New Roman"/>
          <w:bCs/>
          <w:sz w:val="24"/>
          <w:szCs w:val="24"/>
          <w:u w:val="single"/>
        </w:rPr>
        <w:t xml:space="preserve">月5</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7"/>
        <w:ind w:firstLine="498"/>
        <w:spacing w:before="145" w:after="145" w:line="360" w:lineRule="auto"/>
        <w:rPr>
          <w:rFonts w:ascii="Times New Roman" w:hAnsi="Times New Roman" w:eastAsia="方正仿宋_GBK" w:cs="Times New Roman"/>
        </w:rPr>
      </w:pPr>
      <w:r/>
      <w:bookmarkStart w:id="6" w:name="_Toc38985263"/>
      <w:r/>
      <w:bookmarkStart w:id="7" w:name="_Toc35393790"/>
      <w:r/>
      <w:bookmarkStart w:id="8" w:name="_Toc28359079"/>
      <w:r/>
      <w:bookmarkStart w:id="9" w:name="_Toc28359002"/>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64"/>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rPr>
        <w:t xml:space="preserve">JSZC-320</w:t>
      </w:r>
      <w:r>
        <w:rPr>
          <w:rFonts w:hint="eastAsia" w:ascii="Times New Roman" w:hAnsi="Times New Roman" w:eastAsia="方正仿宋_GBK" w:cs="Times New Roman"/>
          <w:color w:val="000000"/>
          <w:sz w:val="24"/>
          <w:szCs w:val="24"/>
          <w:lang w:val="en-US" w:eastAsia="zh-CN"/>
        </w:rPr>
        <w:t xml:space="preserve">6</w:t>
      </w:r>
      <w:r>
        <w:rPr>
          <w:rFonts w:hint="eastAsia" w:ascii="Times New Roman" w:hAnsi="Times New Roman" w:eastAsia="方正仿宋_GBK" w:cs="Times New Roman"/>
          <w:color w:val="000000"/>
          <w:sz w:val="24"/>
          <w:szCs w:val="24"/>
        </w:rPr>
        <w:t xml:space="preserve">00-JZCG-G2026-0063 </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eastAsia="方正仿宋_GBK"/>
          <w:color w:val="000000"/>
          <w:sz w:val="24"/>
          <w:szCs w:val="24"/>
        </w:rPr>
        <w:t xml:space="preserve">南通市公安局算力租赁</w:t>
      </w:r>
      <w:r>
        <w:rPr>
          <w:rFonts w:hint="eastAsia" w:eastAsia="方正仿宋_GBK"/>
          <w:color w:val="000000"/>
          <w:sz w:val="24"/>
          <w:szCs w:val="24"/>
          <w:lang w:val="en-US" w:eastAsia="zh-CN"/>
        </w:rPr>
        <w:t xml:space="preserve">服务</w:t>
      </w:r>
      <w:r>
        <w:rPr>
          <w:rFonts w:eastAsia="方正仿宋_GBK"/>
          <w:color w:val="000000"/>
          <w:sz w:val="24"/>
          <w:szCs w:val="24"/>
        </w:rPr>
        <w:t xml:space="preserve">项目</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350万元</w:t>
      </w:r>
      <w:r>
        <w:rPr>
          <w:rFonts w:ascii="Times New Roman" w:hAnsi="Times New Roman" w:eastAsia="方正仿宋_GBK" w:cs="Times New Roman"/>
          <w:sz w:val="24"/>
          <w:szCs w:val="24"/>
          <w:highlight w:val="yellow"/>
        </w:rPr>
      </w:r>
      <w:r/>
    </w:p>
    <w:p>
      <w:pPr>
        <w:pStyle w:val="964"/>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u w:val="none"/>
          <w:lang w:val="en-US" w:eastAsia="zh-CN"/>
        </w:rPr>
        <w:t xml:space="preserve">342</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964"/>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eastAsia="方正仿宋_GBK"/>
          <w:color w:val="000000"/>
          <w:sz w:val="24"/>
          <w:szCs w:val="24"/>
        </w:rPr>
        <w:t xml:space="preserve">本项目拟通过算力</w:t>
      </w:r>
      <w:r>
        <w:rPr>
          <w:rFonts w:hint="eastAsia" w:eastAsia="方正仿宋_GBK"/>
          <w:color w:val="000000"/>
          <w:sz w:val="24"/>
          <w:szCs w:val="24"/>
        </w:rPr>
        <w:t xml:space="preserve">卡</w:t>
      </w:r>
      <w:r>
        <w:rPr>
          <w:rFonts w:eastAsia="方正仿宋_GBK"/>
          <w:color w:val="000000"/>
          <w:sz w:val="24"/>
          <w:szCs w:val="24"/>
        </w:rPr>
        <w:t xml:space="preserve">租赁服务模式，提升智算能力，算力卡的FP16 总算力不低于13PFLOPS，总显存不低于</w:t>
      </w:r>
      <w:r>
        <w:rPr>
          <w:rFonts w:hint="eastAsia" w:eastAsia="方正仿宋_GBK"/>
          <w:color w:val="000000"/>
          <w:sz w:val="24"/>
          <w:szCs w:val="24"/>
        </w:rPr>
        <w:t xml:space="preserve">2500</w:t>
      </w:r>
      <w:r>
        <w:rPr>
          <w:rFonts w:eastAsia="方正仿宋_GBK"/>
          <w:color w:val="000000"/>
          <w:sz w:val="24"/>
          <w:szCs w:val="24"/>
        </w:rPr>
        <w:t xml:space="preserve">GB。支撑运行的总内存不低于3T。算力卡不高于32张。为了最大程度的提升算力利用率，模型训练性能，AI处理器之间的双向互联带宽均达400GB/s</w:t>
      </w:r>
      <w:r>
        <w:rPr>
          <w:rFonts w:hint="eastAsia" w:eastAsia="方正仿宋_GBK"/>
          <w:color w:val="000000"/>
          <w:sz w:val="24"/>
          <w:szCs w:val="24"/>
        </w:rPr>
        <w:t xml:space="preserve">，</w:t>
      </w:r>
      <w:r>
        <w:rPr>
          <w:rFonts w:hint="eastAsia" w:ascii="仿宋" w:hAnsi="仿宋" w:eastAsia="仿宋" w:cs="仿宋"/>
          <w:color w:val="000000"/>
          <w:sz w:val="24"/>
          <w:szCs w:val="24"/>
          <w:lang w:bidi="ar"/>
        </w:rPr>
        <w:t xml:space="preserve">提供不低于16个AI处理器的对等互联服务。</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964"/>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eastAsia="方正仿宋_GBK"/>
          <w:color w:val="000000"/>
          <w:sz w:val="24"/>
          <w:szCs w:val="24"/>
        </w:rPr>
        <w:t xml:space="preserve">12个月</w:t>
      </w:r>
      <w:r>
        <w:rPr>
          <w:rFonts w:ascii="Times New Roman" w:hAnsi="Times New Roman" w:eastAsia="方正仿宋_GBK" w:cs="Times New Roman"/>
          <w:sz w:val="24"/>
          <w:szCs w:val="24"/>
          <w:u w:val="single"/>
        </w:rPr>
      </w:r>
      <w:r/>
    </w:p>
    <w:p>
      <w:pPr>
        <w:pStyle w:val="967"/>
        <w:ind w:firstLine="498"/>
        <w:spacing w:before="145" w:after="145" w:line="360" w:lineRule="auto"/>
        <w:rPr>
          <w:rFonts w:ascii="Times New Roman" w:hAnsi="Times New Roman" w:eastAsia="方正仿宋_GBK" w:cs="Times New Roman"/>
        </w:rPr>
      </w:pPr>
      <w:r/>
      <w:bookmarkStart w:id="12" w:name="_Toc35393791"/>
      <w:r/>
      <w:bookmarkStart w:id="13" w:name="_Toc38985264"/>
      <w:r/>
      <w:bookmarkStart w:id="14" w:name="_Toc28359003"/>
      <w:r/>
      <w:bookmarkStart w:id="15" w:name="_Toc28359080"/>
      <w:r/>
      <w:bookmarkStart w:id="16" w:name="_Toc35393622"/>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64"/>
        <w:ind w:firstLine="480"/>
        <w:rPr>
          <w:rFonts w:ascii="Times New Roman" w:hAnsi="Times New Roman" w:eastAsia="方正仿宋_GBK" w:cs="Times New Roman"/>
          <w:sz w:val="24"/>
          <w:szCs w:val="24"/>
        </w:rPr>
      </w:pPr>
      <w:r/>
      <w:bookmarkStart w:id="17" w:name="_Toc38985265"/>
      <w:r/>
      <w:bookmarkStart w:id="18" w:name="_Toc28359004"/>
      <w:r/>
      <w:bookmarkStart w:id="19" w:name="_Toc35393623"/>
      <w:r/>
      <w:bookmarkStart w:id="20" w:name="_Toc35393792"/>
      <w:r/>
      <w:bookmarkStart w:id="21" w:name="_Toc28359081"/>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64"/>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3.落实政府采购政策需满足的资格要求：无</w:t>
      </w:r>
      <w:r>
        <w:rPr>
          <w:rFonts w:ascii="Times New Roman" w:hAnsi="Times New Roman" w:eastAsia="方正仿宋_GBK" w:cs="Times New Roman"/>
          <w:sz w:val="24"/>
          <w:szCs w:val="24"/>
        </w:rPr>
      </w:r>
      <w:r/>
    </w:p>
    <w:p>
      <w:pPr>
        <w:pStyle w:val="1041"/>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4.</w:t>
      </w:r>
      <w:r>
        <w:rPr>
          <w:rFonts w:hint="eastAsia" w:ascii="Times New Roman" w:hAnsi="Times New Roman" w:eastAsia="方正仿宋_GBK" w:cs="Times New Roman"/>
          <w:sz w:val="24"/>
          <w:szCs w:val="24"/>
        </w:rPr>
        <w:t xml:space="preserve">对银行、保险、石油、石化、电力、电信等有行业特殊情况的，其分支机构在取得法人授权后，可以分支机构身份参加本次采购活动。同一法人仅可授权一家分支机构参与竞标，否则均视为无效投标。</w:t>
      </w:r>
      <w:r>
        <w:rPr>
          <w:rFonts w:ascii="Times New Roman" w:hAnsi="Times New Roman" w:eastAsia="方正仿宋_GBK" w:cs="Times New Roman"/>
          <w:sz w:val="24"/>
          <w:szCs w:val="24"/>
        </w:rPr>
      </w:r>
      <w:r/>
    </w:p>
    <w:p>
      <w:pPr>
        <w:pStyle w:val="964"/>
        <w:numPr>
          <w:ilvl w:val="0"/>
          <w:numId w:val="0"/>
        </w:numPr>
        <w:ind w:firstLine="480"/>
        <w:spacing w:line="360" w:lineRule="auto"/>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本项目</w:t>
      </w:r>
      <w:r>
        <w:rPr>
          <w:rFonts w:ascii="Times New Roman" w:hAnsi="Times New Roman" w:eastAsia="方正仿宋_GBK" w:cs="Times New Roman"/>
          <w:color w:val="000000"/>
          <w:sz w:val="24"/>
          <w:szCs w:val="24"/>
          <w:highlight w:val="none"/>
        </w:rPr>
        <w:t xml:space="preserve">不接受分包</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1041"/>
        <w:rPr>
          <w:rFonts w:hint="eastAsia" w:eastAsia="方正仿宋_GBK"/>
          <w:lang w:val="en-US" w:eastAsia="zh-CN"/>
        </w:rPr>
      </w:pPr>
      <w:r>
        <w:rPr>
          <w:rFonts w:hint="eastAsia"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highlight w:val="none"/>
        </w:rPr>
        <w:t xml:space="preserve">不接受联</w:t>
      </w:r>
      <w:r>
        <w:rPr>
          <w:rFonts w:ascii="Times New Roman" w:hAnsi="Times New Roman" w:eastAsia="方正仿宋_GBK" w:cs="Times New Roman"/>
          <w:sz w:val="24"/>
          <w:szCs w:val="24"/>
        </w:rPr>
        <w:t xml:space="preserve">合体投标。</w:t>
      </w:r>
      <w:r>
        <w:rPr>
          <w:rFonts w:hint="eastAsia" w:eastAsia="方正仿宋_GBK"/>
          <w:lang w:val="en-US" w:eastAsia="zh-CN"/>
        </w:rPr>
      </w:r>
      <w:r/>
    </w:p>
    <w:p>
      <w:pPr>
        <w:pStyle w:val="964"/>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64"/>
        <w:ind w:firstLine="480"/>
        <w:rPr>
          <w:rFonts w:ascii="Times New Roman" w:hAnsi="Times New Roman" w:eastAsia="方正仿宋_GBK" w:cs="Times New Roman"/>
          <w:sz w:val="24"/>
          <w:szCs w:val="24"/>
          <w:lang w:val="en-US" w:eastAsia="zh-CN"/>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lang w:val="en-US" w:eastAsia="zh-CN"/>
        </w:rPr>
      </w:r>
      <w:r/>
    </w:p>
    <w:p>
      <w:pPr>
        <w:pStyle w:val="967"/>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64"/>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64"/>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67"/>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64"/>
        <w:ind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8</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5</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sz w:val="24"/>
          <w:szCs w:val="24"/>
        </w:rPr>
      </w:r>
      <w:r/>
    </w:p>
    <w:p>
      <w:pPr>
        <w:pStyle w:val="964"/>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67"/>
        <w:ind w:firstLine="498"/>
        <w:spacing w:before="145" w:after="145" w:line="360" w:lineRule="auto"/>
        <w:rPr>
          <w:rFonts w:ascii="Times New Roman" w:hAnsi="Times New Roman" w:eastAsia="方正仿宋_GBK" w:cs="Times New Roman"/>
        </w:rPr>
      </w:pPr>
      <w:r/>
      <w:bookmarkStart w:id="27" w:name="_Toc35393625"/>
      <w:r/>
      <w:bookmarkStart w:id="28" w:name="_Toc28359084"/>
      <w:r/>
      <w:bookmarkStart w:id="29" w:name="_Toc38985267"/>
      <w:r/>
      <w:bookmarkStart w:id="30" w:name="_Toc35393794"/>
      <w:r/>
      <w:bookmarkStart w:id="31" w:name="_Toc2835900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64"/>
        <w:ind w:firstLine="480"/>
        <w:rPr>
          <w:rFonts w:ascii="Times New Roman" w:hAnsi="Times New Roman" w:eastAsia="方正仿宋_GBK" w:cs="Times New Roman"/>
          <w:sz w:val="24"/>
          <w:szCs w:val="24"/>
        </w:rPr>
      </w:pPr>
      <w:r/>
      <w:bookmarkStart w:id="32" w:name="_Toc35393795"/>
      <w:r/>
      <w:bookmarkStart w:id="33" w:name="_Toc35393626"/>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67"/>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64"/>
        <w:ind w:firstLine="480"/>
        <w:spacing w:line="480" w:lineRule="exact"/>
        <w:rPr>
          <w:rFonts w:ascii="Times New Roman" w:hAnsi="Times New Roman" w:eastAsia="方正仿宋_GBK" w:cs="Times New Roman"/>
          <w:sz w:val="24"/>
          <w:szCs w:val="24"/>
        </w:rPr>
      </w:pPr>
      <w:r/>
      <w:bookmarkStart w:id="35" w:name="_Toc38985269"/>
      <w:r/>
      <w:bookmarkStart w:id="36" w:name="_Toc35393796"/>
      <w:r/>
      <w:bookmarkStart w:id="37" w:name="_Toc28359085"/>
      <w:r/>
      <w:bookmarkStart w:id="38" w:name="_Toc35393627"/>
      <w:r/>
      <w:bookmarkStart w:id="39" w:name="_Toc28359008"/>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64"/>
        <w:ind w:firstLine="482"/>
        <w:spacing w:line="480" w:lineRule="exact"/>
        <w:rPr>
          <w:rFonts w:ascii="Times New Roman" w:hAnsi="Times New Roman" w:eastAsia="方正仿宋_GBK" w:cs="Times New Roman"/>
          <w:b/>
          <w:bCs/>
          <w:sz w:val="24"/>
          <w:szCs w:val="24"/>
          <w:highlight w:val="yellow"/>
          <w:lang w:val="en-US" w:eastAsia="zh-CN"/>
        </w:rPr>
      </w:pPr>
      <w:r>
        <w:rPr>
          <w:rFonts w:ascii="Times New Roman" w:hAnsi="Times New Roman" w:eastAsia="方正仿宋_GBK" w:cs="Times New Roman"/>
          <w:b/>
          <w:bCs/>
          <w:sz w:val="24"/>
          <w:szCs w:val="24"/>
          <w:highlight w:val="none"/>
        </w:rPr>
        <w:t xml:space="preserve">2. 项目演示：</w:t>
      </w:r>
      <w:r>
        <w:rPr>
          <w:rFonts w:ascii="Times New Roman" w:hAnsi="Times New Roman" w:eastAsia="方正仿宋_GBK" w:cs="Times New Roman"/>
          <w:b/>
          <w:bCs/>
          <w:sz w:val="24"/>
          <w:szCs w:val="24"/>
          <w:highlight w:val="none"/>
          <w:lang w:val="en-US" w:eastAsia="zh-CN"/>
        </w:rPr>
        <w:t xml:space="preserve">详见第四章采购需求。</w:t>
      </w:r>
      <w:r>
        <w:rPr>
          <w:rFonts w:ascii="Times New Roman" w:hAnsi="Times New Roman" w:eastAsia="方正仿宋_GBK" w:cs="Times New Roman"/>
          <w:b/>
          <w:bCs/>
          <w:sz w:val="24"/>
          <w:szCs w:val="24"/>
          <w:highlight w:val="yellow"/>
          <w:lang w:val="en-US" w:eastAsia="zh-CN"/>
        </w:rPr>
      </w:r>
      <w:r/>
    </w:p>
    <w:p>
      <w:pPr>
        <w:pStyle w:val="964"/>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964"/>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64"/>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64"/>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64"/>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64"/>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64"/>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64"/>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67"/>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64"/>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64"/>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hint="eastAsia" w:eastAsia="方正仿宋_GBK"/>
          <w:color w:val="000000"/>
          <w:sz w:val="24"/>
          <w:szCs w:val="24"/>
          <w:u w:val="single"/>
        </w:rPr>
        <w:t xml:space="preserve">南通市公安局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w:t>
      </w:r>
      <w:r>
        <w:rPr>
          <w:rFonts w:hint="eastAsia" w:eastAsia="方正仿宋_GBK"/>
          <w:color w:val="000000"/>
          <w:sz w:val="24"/>
          <w:szCs w:val="24"/>
          <w:u w:val="single"/>
        </w:rPr>
        <w:t xml:space="preserve">青年中路99号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olor w:val="000000"/>
          <w:sz w:val="24"/>
          <w:szCs w:val="24"/>
          <w:u w:val="single"/>
        </w:rPr>
        <w:t xml:space="preserve">高警官</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ind w:left="1079" w:hanging="300"/>
        <w:jc w:val="left"/>
        <w:spacing w:line="360" w:lineRule="auto"/>
        <w:rPr>
          <w:rFonts w:hint="eastAsia"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olor w:val="000000"/>
          <w:sz w:val="24"/>
          <w:szCs w:val="24"/>
          <w:u w:val="single"/>
        </w:rPr>
        <w:t xml:space="preserve">18816268039</w:t>
      </w:r>
      <w:r>
        <w:rPr>
          <w:rFonts w:ascii="Times New Roman" w:hAnsi="Times New Roman" w:eastAsia="方正仿宋_GBK" w:cs="Times New Roman"/>
          <w:sz w:val="24"/>
          <w:szCs w:val="24"/>
          <w:u w:val="single"/>
        </w:rPr>
        <w:t xml:space="preserve">　　　　　　　</w:t>
      </w:r>
      <w:bookmarkStart w:id="40" w:name="_Toc28359086"/>
      <w:r/>
      <w:bookmarkStart w:id="41" w:name="_Toc28359009"/>
      <w:r>
        <w:rPr>
          <w:rFonts w:hint="eastAsia" w:eastAsia="方正仿宋_GBK" w:cs="Times New Roman"/>
          <w:sz w:val="24"/>
          <w:szCs w:val="24"/>
          <w:u w:val="single"/>
          <w:lang w:val="en-US" w:eastAsia="zh-CN"/>
        </w:rPr>
        <w:t xml:space="preserve"> </w:t>
      </w:r>
      <w:r>
        <w:rPr>
          <w:rFonts w:hint="eastAsia" w:ascii="Times New Roman" w:hAnsi="Times New Roman" w:eastAsia="方正仿宋_GBK" w:cs="Times New Roman"/>
          <w:sz w:val="24"/>
          <w:szCs w:val="24"/>
          <w:u w:val="single"/>
          <w:lang w:val="en-US" w:eastAsia="zh-CN"/>
        </w:rPr>
      </w:r>
      <w:r/>
    </w:p>
    <w:p>
      <w:pPr>
        <w:pStyle w:val="964"/>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64"/>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964"/>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964"/>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64"/>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4"/>
        <w:ind w:firstLine="480"/>
        <w:spacing w:line="560" w:lineRule="exact"/>
        <w:rPr>
          <w:rFonts w:hint="eastAsia" w:ascii="宋体" w:hAnsi="宋体"/>
          <w:sz w:val="24"/>
        </w:rPr>
      </w:pPr>
      <w:r/>
      <w:bookmarkEnd w:id="42"/>
      <w:r/>
      <w:bookmarkEnd w:id="43"/>
      <w:r>
        <w:rPr>
          <w:rFonts w:hint="eastAsia" w:ascii="宋体" w:hAnsi="宋体"/>
          <w:sz w:val="24"/>
        </w:rPr>
      </w:r>
      <w:r/>
    </w:p>
    <w:p>
      <w:pPr>
        <w:pStyle w:val="964"/>
        <w:ind w:right="840"/>
        <w:rPr>
          <w:rFonts w:hint="eastAsia" w:ascii="宋体" w:hAnsi="宋体"/>
          <w:sz w:val="24"/>
          <w:szCs w:val="24"/>
        </w:rPr>
      </w:pPr>
      <w:r>
        <w:rPr>
          <w:rFonts w:hint="eastAsia" w:ascii="宋体" w:hAnsi="宋体"/>
          <w:sz w:val="24"/>
          <w:szCs w:val="24"/>
        </w:rPr>
      </w:r>
      <w:r/>
    </w:p>
    <w:p>
      <w:pPr>
        <w:pStyle w:val="1030"/>
        <w:rPr>
          <w:rFonts w:hint="eastAsia" w:ascii="宋体" w:hAnsi="宋体"/>
          <w:sz w:val="24"/>
          <w:szCs w:val="24"/>
        </w:rPr>
      </w:pPr>
      <w:r>
        <w:rPr>
          <w:rFonts w:hint="eastAsia" w:ascii="宋体" w:hAnsi="宋体"/>
          <w:sz w:val="24"/>
          <w:szCs w:val="24"/>
        </w:rPr>
      </w:r>
      <w:r/>
    </w:p>
    <w:p>
      <w:pPr>
        <w:pStyle w:val="1030"/>
        <w:rPr>
          <w:rFonts w:hint="eastAsia" w:ascii="宋体" w:hAnsi="宋体"/>
          <w:sz w:val="24"/>
          <w:szCs w:val="24"/>
        </w:rPr>
      </w:pPr>
      <w:r>
        <w:rPr>
          <w:rFonts w:hint="eastAsia" w:ascii="宋体" w:hAnsi="宋体"/>
          <w:sz w:val="24"/>
          <w:szCs w:val="24"/>
        </w:rPr>
      </w:r>
      <w:r/>
    </w:p>
    <w:p>
      <w:pPr>
        <w:pStyle w:val="966"/>
        <w:jc w:val="both"/>
        <w:rPr>
          <w:rFonts w:hint="eastAsia" w:ascii="黑体" w:eastAsia="黑体"/>
        </w:rPr>
      </w:pPr>
      <w:r/>
      <w:bookmarkStart w:id="44" w:name="_Toc120614211"/>
      <w:r>
        <w:rPr>
          <w:rFonts w:hint="eastAsia" w:ascii="黑体" w:eastAsia="黑体"/>
        </w:rPr>
      </w:r>
      <w:r/>
    </w:p>
    <w:p>
      <w:pPr>
        <w:pStyle w:val="978"/>
        <w:rPr>
          <w:rFonts w:hint="eastAsia"/>
        </w:rPr>
      </w:pPr>
      <w:r>
        <w:rPr>
          <w:rFonts w:hint="eastAsia"/>
        </w:rPr>
      </w:r>
      <w:r/>
    </w:p>
    <w:p>
      <w:pPr>
        <w:pStyle w:val="966"/>
        <w:ind w:firstLine="2429"/>
        <w:jc w:val="both"/>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67"/>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16938519"/>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68"/>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68"/>
        <w:ind w:firstLine="420"/>
        <w:spacing w:before="0" w:after="0" w:line="240" w:lineRule="auto"/>
        <w:rPr>
          <w:rFonts w:ascii="Times New Roman" w:hAnsi="Times New Roman" w:eastAsia="方正仿宋_GBK" w:cs="Times New Roman"/>
          <w:b w:val="0"/>
          <w:bCs w:val="0"/>
        </w:rPr>
      </w:pPr>
      <w:r/>
      <w:bookmarkStart w:id="58" w:name="_Toc16938521"/>
      <w:r/>
      <w:bookmarkStart w:id="59" w:name="_Toc20823277"/>
      <w:r/>
      <w:bookmarkStart w:id="60" w:name="_Toc513029205"/>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64"/>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64"/>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68"/>
        <w:ind w:firstLine="422"/>
        <w:spacing w:before="0" w:after="0" w:line="240" w:lineRule="auto"/>
        <w:rPr>
          <w:rFonts w:ascii="Times New Roman" w:hAnsi="Times New Roman" w:eastAsia="方正仿宋_GBK" w:cs="Times New Roman"/>
          <w:b/>
          <w:bCs/>
        </w:rPr>
      </w:pPr>
      <w:r/>
      <w:bookmarkStart w:id="61" w:name="_Toc462564067"/>
      <w:r/>
      <w:bookmarkStart w:id="62" w:name="_Toc20823279"/>
      <w:r/>
      <w:bookmarkStart w:id="63" w:name="_Toc16938523"/>
      <w:r/>
      <w:bookmarkStart w:id="64" w:name="_Toc513029207"/>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968"/>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68"/>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67"/>
        <w:ind w:firstLine="321"/>
        <w:spacing w:before="145" w:after="145" w:line="360" w:lineRule="auto"/>
        <w:rPr>
          <w:rFonts w:ascii="Times New Roman" w:hAnsi="Times New Roman" w:eastAsia="方正仿宋_GBK" w:cs="Times New Roman"/>
        </w:rPr>
      </w:pPr>
      <w:r/>
      <w:bookmarkStart w:id="65" w:name="_Toc120614215"/>
      <w:r/>
      <w:bookmarkStart w:id="66" w:name="_Toc513029209"/>
      <w:r/>
      <w:bookmarkStart w:id="67" w:name="_Toc16938525"/>
      <w:r/>
      <w:bookmarkStart w:id="68" w:name="_Toc20823281"/>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68"/>
        <w:ind w:firstLine="420"/>
        <w:spacing w:before="0" w:after="0" w:line="240" w:lineRule="auto"/>
        <w:rPr>
          <w:rFonts w:ascii="Times New Roman" w:hAnsi="Times New Roman" w:eastAsia="方正仿宋_GBK" w:cs="Times New Roman"/>
          <w:b w:val="0"/>
          <w:bCs w:val="0"/>
        </w:rPr>
      </w:pPr>
      <w:r/>
      <w:bookmarkStart w:id="69" w:name="_Toc20823282"/>
      <w:r/>
      <w:bookmarkStart w:id="70" w:name="_Toc513029210"/>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64"/>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64"/>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64"/>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64"/>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64"/>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64"/>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68"/>
        <w:ind w:firstLine="560"/>
        <w:spacing w:before="0" w:after="0" w:line="240" w:lineRule="auto"/>
        <w:rPr>
          <w:rFonts w:ascii="Times New Roman" w:hAnsi="Times New Roman" w:eastAsia="方正仿宋_GBK" w:cs="Times New Roman"/>
          <w:b w:val="0"/>
          <w:bCs w:val="0"/>
        </w:rPr>
      </w:pPr>
      <w:r/>
      <w:bookmarkStart w:id="72" w:name="_Toc20823283"/>
      <w:r/>
      <w:bookmarkStart w:id="73" w:name="_Toc513029211"/>
      <w:r/>
      <w:bookmarkStart w:id="74" w:name="_Toc462564070"/>
      <w:r/>
      <w:bookmarkStart w:id="75" w:name="_Toc16938527"/>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964"/>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68"/>
        <w:ind w:firstLine="560"/>
        <w:spacing w:before="0" w:after="0" w:line="240" w:lineRule="auto"/>
        <w:rPr>
          <w:rFonts w:ascii="Times New Roman" w:hAnsi="Times New Roman" w:eastAsia="方正仿宋_GBK" w:cs="Times New Roman"/>
          <w:b w:val="0"/>
          <w:bCs w:val="0"/>
        </w:rPr>
      </w:pPr>
      <w:r/>
      <w:bookmarkStart w:id="76" w:name="_Toc20823284"/>
      <w:r/>
      <w:bookmarkStart w:id="77" w:name="_Toc513029212"/>
      <w:r/>
      <w:bookmarkStart w:id="78" w:name="_Toc16938528"/>
      <w:r/>
      <w:bookmarkStart w:id="79" w:name="_Toc462564071"/>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67"/>
        <w:ind w:firstLine="482"/>
        <w:spacing w:before="145" w:after="145" w:line="360" w:lineRule="auto"/>
        <w:rPr>
          <w:rFonts w:ascii="Times New Roman" w:hAnsi="Times New Roman" w:eastAsia="方正仿宋_GBK" w:cs="Times New Roman"/>
        </w:rPr>
      </w:pPr>
      <w:r/>
      <w:bookmarkStart w:id="80" w:name="_Toc462564072"/>
      <w:r/>
      <w:bookmarkStart w:id="81" w:name="_Toc513029213"/>
      <w:r/>
      <w:bookmarkStart w:id="82" w:name="_Toc120614216"/>
      <w:r/>
      <w:bookmarkStart w:id="83" w:name="_Toc16938529"/>
      <w:r/>
      <w:bookmarkStart w:id="84" w:name="_Toc20823285"/>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68"/>
        <w:ind w:firstLine="280"/>
        <w:spacing w:before="0" w:after="0" w:line="240" w:lineRule="auto"/>
        <w:rPr>
          <w:rFonts w:ascii="Times New Roman" w:hAnsi="Times New Roman" w:eastAsia="方正仿宋_GBK" w:cs="Times New Roman"/>
          <w:bCs w:val="0"/>
        </w:rPr>
      </w:pPr>
      <w:r/>
      <w:bookmarkStart w:id="85" w:name="_Toc462564073"/>
      <w:r/>
      <w:bookmarkStart w:id="86" w:name="_Toc513029214"/>
      <w:r/>
      <w:bookmarkStart w:id="87" w:name="_Toc16938530"/>
      <w:r/>
      <w:bookmarkStart w:id="88" w:name="_Toc20823286"/>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68"/>
        <w:ind w:firstLine="420"/>
        <w:spacing w:before="0" w:after="0" w:line="240" w:lineRule="auto"/>
        <w:rPr>
          <w:rFonts w:ascii="Times New Roman" w:hAnsi="Times New Roman" w:eastAsia="方正仿宋_GBK" w:cs="Times New Roman"/>
          <w:b w:val="0"/>
          <w:bCs w:val="0"/>
        </w:rPr>
      </w:pPr>
      <w:r/>
      <w:bookmarkStart w:id="89" w:name="_Toc20823287"/>
      <w:r/>
      <w:bookmarkStart w:id="90" w:name="_Toc513029215"/>
      <w:r/>
      <w:bookmarkStart w:id="91" w:name="_Toc462564074"/>
      <w:r/>
      <w:bookmarkStart w:id="92" w:name="_Toc16938531"/>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964"/>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64"/>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68"/>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964"/>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68"/>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68"/>
        <w:ind w:firstLine="420"/>
        <w:spacing w:before="0" w:after="0" w:line="240" w:lineRule="auto"/>
        <w:rPr>
          <w:rFonts w:ascii="Times New Roman" w:hAnsi="Times New Roman" w:eastAsia="方正仿宋_GBK" w:cs="Times New Roman"/>
          <w:b w:val="0"/>
          <w:bCs w:val="0"/>
        </w:rPr>
      </w:pPr>
      <w:r/>
      <w:bookmarkStart w:id="107" w:name="_Hlt26954844"/>
      <w:r/>
      <w:bookmarkEnd w:id="107"/>
      <w:r/>
      <w:bookmarkStart w:id="108" w:name="_Hlt26954731"/>
      <w:r/>
      <w:bookmarkEnd w:id="108"/>
      <w:r/>
      <w:bookmarkStart w:id="109" w:name="_Hlt26954848"/>
      <w:r/>
      <w:bookmarkEnd w:id="109"/>
      <w:r/>
      <w:bookmarkStart w:id="110" w:name="_Hlt26670425"/>
      <w:r/>
      <w:bookmarkEnd w:id="110"/>
      <w:r/>
      <w:bookmarkStart w:id="111" w:name="_Hlt26670486"/>
      <w:r/>
      <w:bookmarkEnd w:id="111"/>
      <w:r/>
      <w:bookmarkStart w:id="112" w:name="_Hlt26954846"/>
      <w:r/>
      <w:bookmarkEnd w:id="112"/>
      <w:r/>
      <w:bookmarkStart w:id="113" w:name="_Hlt26670482"/>
      <w:r/>
      <w:bookmarkEnd w:id="113"/>
      <w:r/>
      <w:bookmarkStart w:id="114" w:name="_Hlt26670403"/>
      <w:r/>
      <w:bookmarkEnd w:id="114"/>
      <w:r/>
      <w:bookmarkStart w:id="115" w:name="_Hlt26954842"/>
      <w:r/>
      <w:bookmarkEnd w:id="115"/>
      <w:r/>
      <w:bookmarkStart w:id="116" w:name="_Hlt2666898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64"/>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68"/>
        <w:ind w:firstLine="420"/>
        <w:spacing w:before="0" w:after="0" w:line="240" w:lineRule="auto"/>
        <w:rPr>
          <w:rFonts w:ascii="Times New Roman" w:hAnsi="Times New Roman" w:eastAsia="方正仿宋_GBK" w:cs="Times New Roman"/>
          <w:b w:val="0"/>
          <w:bCs w:val="0"/>
        </w:rPr>
      </w:pPr>
      <w:r/>
      <w:bookmarkStart w:id="117" w:name="_Toc14577359"/>
      <w:r/>
      <w:bookmarkStart w:id="118" w:name="_Toc49090510"/>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68"/>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68"/>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67"/>
        <w:ind w:firstLine="482"/>
        <w:spacing w:before="145" w:after="145" w:line="360" w:lineRule="auto"/>
        <w:rPr>
          <w:rFonts w:ascii="Times New Roman" w:hAnsi="Times New Roman" w:eastAsia="方正仿宋_GBK" w:cs="Times New Roman"/>
        </w:rPr>
      </w:pPr>
      <w:r/>
      <w:bookmarkStart w:id="124" w:name="_Hlt26954739"/>
      <w:r/>
      <w:bookmarkEnd w:id="124"/>
      <w:r/>
      <w:bookmarkStart w:id="125" w:name="_Hlt26954852"/>
      <w:r/>
      <w:bookmarkEnd w:id="125"/>
      <w:r/>
      <w:bookmarkStart w:id="126" w:name="_Toc20823296"/>
      <w:r/>
      <w:bookmarkStart w:id="127" w:name="_Toc16938540"/>
      <w:r/>
      <w:bookmarkStart w:id="128" w:name="_Toc120614217"/>
      <w:r/>
      <w:bookmarkStart w:id="129" w:name="_Toc513029224"/>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68"/>
        <w:ind w:firstLine="560"/>
        <w:spacing w:before="0" w:after="0" w:line="240" w:lineRule="auto"/>
        <w:rPr>
          <w:rFonts w:ascii="Times New Roman" w:hAnsi="Times New Roman" w:eastAsia="方正仿宋_GBK" w:cs="Times New Roman"/>
          <w:b w:val="0"/>
          <w:bCs w:val="0"/>
        </w:rPr>
      </w:pPr>
      <w:r/>
      <w:bookmarkStart w:id="130" w:name="_Toc513029225"/>
      <w:r/>
      <w:bookmarkStart w:id="131" w:name="_Toc20823297"/>
      <w:r/>
      <w:bookmarkStart w:id="132" w:name="_Toc462564084"/>
      <w:r/>
      <w:bookmarkStart w:id="133" w:name="_Toc16938541"/>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78"/>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513029226"/>
      <w:r/>
      <w:bookmarkStart w:id="136" w:name="_Toc16938542"/>
      <w:r>
        <w:rPr>
          <w:rFonts w:ascii="Times New Roman" w:hAnsi="Times New Roman" w:eastAsia="方正仿宋_GBK" w:cs="Times New Roman"/>
          <w:bCs/>
          <w:sz w:val="24"/>
        </w:rPr>
      </w:r>
      <w:r/>
    </w:p>
    <w:p>
      <w:pPr>
        <w:pStyle w:val="968"/>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64"/>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68"/>
        <w:ind w:firstLine="420"/>
        <w:spacing w:before="0" w:after="0" w:line="240" w:lineRule="auto"/>
        <w:rPr>
          <w:rFonts w:ascii="Times New Roman" w:hAnsi="Times New Roman" w:eastAsia="方正仿宋_GBK" w:cs="Times New Roman"/>
          <w:b w:val="0"/>
          <w:bCs w:val="0"/>
        </w:rPr>
      </w:pPr>
      <w:r/>
      <w:bookmarkStart w:id="137" w:name="_Toc16938543"/>
      <w:r/>
      <w:bookmarkStart w:id="138" w:name="_Toc20823299"/>
      <w:r/>
      <w:bookmarkStart w:id="139" w:name="_Toc513029227"/>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68"/>
        <w:ind w:firstLine="420"/>
        <w:spacing w:before="0" w:after="0" w:line="240" w:lineRule="auto"/>
        <w:rPr>
          <w:rFonts w:ascii="Times New Roman" w:hAnsi="Times New Roman" w:eastAsia="方正仿宋_GBK" w:cs="Times New Roman"/>
          <w:b w:val="0"/>
          <w:bCs w:val="0"/>
        </w:rPr>
      </w:pPr>
      <w:r/>
      <w:bookmarkStart w:id="140" w:name="_Toc16938544"/>
      <w:r/>
      <w:bookmarkStart w:id="141" w:name="_Toc20823300"/>
      <w:r/>
      <w:bookmarkStart w:id="142" w:name="_Toc513029228"/>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964"/>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64"/>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64"/>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64"/>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67"/>
        <w:ind w:firstLine="482"/>
        <w:spacing w:before="145" w:after="145" w:line="360" w:lineRule="auto"/>
        <w:rPr>
          <w:rFonts w:ascii="Times New Roman" w:hAnsi="Times New Roman" w:eastAsia="方正仿宋_GBK" w:cs="Times New Roman"/>
        </w:rPr>
      </w:pPr>
      <w:r/>
      <w:bookmarkStart w:id="143" w:name="_Toc513029229"/>
      <w:r/>
      <w:bookmarkStart w:id="144" w:name="_Toc20823301"/>
      <w:r/>
      <w:bookmarkStart w:id="145" w:name="_Toc16938545"/>
      <w:r/>
      <w:bookmarkStart w:id="146" w:name="_Toc120614218"/>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68"/>
        <w:ind w:firstLine="420"/>
        <w:spacing w:before="0" w:after="0" w:line="240" w:lineRule="auto"/>
        <w:rPr>
          <w:rFonts w:ascii="Times New Roman" w:hAnsi="Times New Roman" w:eastAsia="方正仿宋_GBK" w:cs="Times New Roman"/>
          <w:b w:val="0"/>
          <w:bCs w:val="0"/>
        </w:rPr>
      </w:pPr>
      <w:r/>
      <w:bookmarkStart w:id="147" w:name="_Toc16938546"/>
      <w:r/>
      <w:bookmarkStart w:id="148" w:name="_Toc20823302"/>
      <w:r/>
      <w:bookmarkStart w:id="149" w:name="_Toc513029230"/>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964"/>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64"/>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64"/>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68"/>
        <w:ind w:firstLine="420"/>
        <w:spacing w:before="0" w:after="0" w:line="240" w:lineRule="auto"/>
        <w:rPr>
          <w:rFonts w:ascii="Times New Roman" w:hAnsi="Times New Roman" w:eastAsia="方正仿宋_GBK" w:cs="Times New Roman"/>
          <w:b w:val="0"/>
          <w:bCs w:val="0"/>
        </w:rPr>
      </w:pPr>
      <w:r/>
      <w:bookmarkStart w:id="150" w:name="_Toc16938547"/>
      <w:r/>
      <w:bookmarkStart w:id="151" w:name="_Toc513029231"/>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64"/>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64"/>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64"/>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968"/>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64"/>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68"/>
        <w:ind w:firstLine="420"/>
        <w:spacing w:before="0" w:after="0" w:line="240" w:lineRule="auto"/>
        <w:rPr>
          <w:rFonts w:ascii="Times New Roman" w:hAnsi="Times New Roman" w:eastAsia="方正仿宋_GBK" w:cs="Times New Roman"/>
          <w:b w:val="0"/>
          <w:bCs w:val="0"/>
        </w:rPr>
      </w:pPr>
      <w:r/>
      <w:bookmarkStart w:id="153" w:name="_Toc16938548"/>
      <w:r/>
      <w:bookmarkStart w:id="154" w:name="_Toc20823304"/>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64"/>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68"/>
        <w:ind w:firstLine="420"/>
        <w:spacing w:before="0" w:after="0" w:line="240" w:lineRule="auto"/>
        <w:rPr>
          <w:rFonts w:ascii="Times New Roman" w:hAnsi="Times New Roman" w:eastAsia="方正仿宋_GBK" w:cs="Times New Roman"/>
          <w:b w:val="0"/>
          <w:bCs w:val="0"/>
        </w:rPr>
      </w:pPr>
      <w:r/>
      <w:bookmarkStart w:id="156" w:name="_Toc20823305"/>
      <w:r/>
      <w:bookmarkStart w:id="157" w:name="_Toc513029233"/>
      <w:r/>
      <w:bookmarkStart w:id="158" w:name="_Toc16938549"/>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64"/>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64"/>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64"/>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64"/>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64"/>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68"/>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64"/>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964"/>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964"/>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964"/>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964"/>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964"/>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964"/>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964"/>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968"/>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64"/>
        <w:ind w:left="479"/>
        <w:spacing w:line="440" w:lineRule="exact"/>
        <w:rPr>
          <w:rFonts w:ascii="Times New Roman" w:hAnsi="Times New Roman" w:eastAsia="方正仿宋_GBK" w:cs="Times New Roman"/>
          <w:bCs/>
          <w:sz w:val="24"/>
        </w:rPr>
      </w:pPr>
      <w:r/>
      <w:bookmarkStart w:id="162" w:name="_Toc16938551"/>
      <w:r/>
      <w:bookmarkStart w:id="163" w:name="_Toc20823307"/>
      <w:r/>
      <w:bookmarkStart w:id="164" w:name="_Toc513029235"/>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64"/>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64"/>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64"/>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67"/>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68"/>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64"/>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68"/>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64"/>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68"/>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64"/>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64"/>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67"/>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20823308"/>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68"/>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64"/>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64"/>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64"/>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68"/>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64"/>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68"/>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479757207"/>
      <w:r/>
      <w:bookmarkStart w:id="178" w:name="_Toc20823314"/>
      <w:r/>
      <w:bookmarkStart w:id="179" w:name="_Toc513029242"/>
      <w:r/>
      <w:bookmarkStart w:id="180" w:name="_Toc16938558"/>
      <w:r/>
      <w:bookmarkStart w:id="181" w:name="_Toc120614221"/>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78"/>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78"/>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64"/>
        <w:rPr>
          <w:rFonts w:ascii="Times New Roman" w:hAnsi="Times New Roman" w:eastAsia="方正仿宋_GBK" w:cs="Times New Roman"/>
        </w:rPr>
      </w:pPr>
      <w:r>
        <w:rPr>
          <w:rFonts w:ascii="Times New Roman" w:hAnsi="Times New Roman" w:eastAsia="方正仿宋_GBK" w:cs="Times New Roman"/>
        </w:rPr>
      </w:r>
      <w:r/>
    </w:p>
    <w:p>
      <w:pPr>
        <w:pStyle w:val="964"/>
        <w:rPr>
          <w:rFonts w:ascii="Times New Roman" w:hAnsi="Times New Roman" w:eastAsia="方正仿宋_GBK" w:cs="Times New Roman"/>
        </w:rPr>
      </w:pPr>
      <w:r>
        <w:rPr>
          <w:rFonts w:ascii="Times New Roman" w:hAnsi="Times New Roman" w:eastAsia="方正仿宋_GBK" w:cs="Times New Roman"/>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pPr>
      <w:r/>
      <w:r/>
    </w:p>
    <w:p>
      <w:pPr>
        <w:pStyle w:val="964"/>
      </w:pPr>
      <w:r/>
      <w:r/>
    </w:p>
    <w:p>
      <w:pPr>
        <w:pStyle w:val="964"/>
      </w:pPr>
      <w:r/>
      <w:r/>
    </w:p>
    <w:p>
      <w:pPr>
        <w:pStyle w:val="964"/>
      </w:pPr>
      <w:r/>
      <w:r/>
    </w:p>
    <w:p>
      <w:pPr>
        <w:pStyle w:val="964"/>
      </w:pPr>
      <w:r/>
      <w:r/>
    </w:p>
    <w:p>
      <w:pPr>
        <w:pStyle w:val="964"/>
        <w:rPr>
          <w:rFonts w:hint="eastAsia"/>
        </w:rPr>
      </w:pPr>
      <w:r>
        <w:rPr>
          <w:rFonts w:hint="eastAsia"/>
        </w:rPr>
      </w:r>
      <w:r/>
    </w:p>
    <w:p>
      <w:pPr>
        <w:pStyle w:val="964"/>
        <w:rPr>
          <w:rFonts w:hint="eastAsia"/>
        </w:rPr>
      </w:pPr>
      <w:r>
        <w:rPr>
          <w:rFonts w:hint="eastAsia"/>
        </w:rPr>
      </w:r>
      <w:r/>
    </w:p>
    <w:p>
      <w:pPr>
        <w:pStyle w:val="1030"/>
        <w:ind w:left="0" w:firstLine="0"/>
      </w:pPr>
      <w:r/>
      <w:r/>
    </w:p>
    <w:p>
      <w:pPr>
        <w:pStyle w:val="965"/>
        <w:rPr>
          <w:rFonts w:hint="eastAsia" w:ascii="黑体" w:eastAsia="黑体"/>
          <w:bCs/>
          <w:sz w:val="44"/>
        </w:rPr>
      </w:pPr>
      <w:r>
        <w:rPr>
          <w:rFonts w:hint="eastAsia" w:ascii="黑体" w:eastAsia="黑体"/>
          <w:bCs/>
          <w:sz w:val="44"/>
        </w:rPr>
      </w:r>
      <w:r/>
    </w:p>
    <w:p>
      <w:pPr>
        <w:pStyle w:val="965"/>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964"/>
        <w:ind w:firstLine="480"/>
        <w:spacing w:line="500" w:lineRule="exact"/>
        <w:rPr>
          <w:rFonts w:ascii="Times New Roman" w:hAnsi="Times New Roman" w:eastAsia="方正仿宋_GBK" w:cs="Times New Roman"/>
          <w:bCs/>
          <w:sz w:val="24"/>
        </w:rPr>
      </w:pPr>
      <w:r/>
      <w:bookmarkStart w:id="182" w:name="_Toc16938559"/>
      <w:r/>
      <w:bookmarkStart w:id="183" w:name="_Toc513029243"/>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64"/>
        <w:ind w:firstLine="562"/>
        <w:jc w:val="center"/>
        <w:spacing w:line="500" w:lineRule="exact"/>
        <w:rPr>
          <w:rFonts w:hint="eastAsia" w:ascii="宋体" w:hAnsi="宋体" w:cs="宋体"/>
          <w:b/>
          <w:bCs/>
          <w:color w:val="000000"/>
          <w:sz w:val="28"/>
          <w:szCs w:val="28"/>
        </w:rPr>
      </w:pPr>
      <w:r/>
      <w:bookmarkEnd w:id="182"/>
      <w:r/>
      <w:bookmarkEnd w:id="183"/>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宋体" w:hAnsi="宋体" w:cs="宋体"/>
          <w:b/>
          <w:color w:val="000000"/>
          <w:sz w:val="28"/>
          <w:szCs w:val="28"/>
        </w:rPr>
        <w:t xml:space="preserve">南通市公安局政府采购合同</w:t>
      </w:r>
      <w:r>
        <w:rPr>
          <w:rFonts w:hint="eastAsia" w:ascii="宋体" w:hAnsi="宋体" w:cs="宋体"/>
          <w:b/>
          <w:bCs/>
          <w:color w:val="000000"/>
          <w:sz w:val="28"/>
          <w:szCs w:val="28"/>
        </w:rPr>
      </w:r>
      <w:r/>
    </w:p>
    <w:p>
      <w:pPr>
        <w:pStyle w:val="1079"/>
        <w:ind w:firstLine="560"/>
        <w:spacing w:line="500" w:lineRule="exact"/>
        <w:rPr>
          <w:rFonts w:hint="eastAsia" w:hAnsi="宋体"/>
          <w:color w:val="000000"/>
          <w:sz w:val="28"/>
          <w:szCs w:val="28"/>
        </w:rPr>
      </w:pPr>
      <w:r>
        <w:rPr>
          <w:rFonts w:hint="eastAsia" w:hAnsi="宋体"/>
          <w:color w:val="000000"/>
          <w:sz w:val="28"/>
          <w:szCs w:val="28"/>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甲方：_________</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乙方：_________</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甲、乙双方根据</w:t>
      </w:r>
      <w:r>
        <w:rPr>
          <w:rFonts w:eastAsia="方正仿宋_GBK"/>
          <w:color w:val="000000"/>
          <w:sz w:val="24"/>
          <w:szCs w:val="24"/>
          <w:u w:val="single"/>
        </w:rPr>
        <w:t xml:space="preserve">南通市公安局算力租赁</w:t>
      </w:r>
      <w:r>
        <w:rPr>
          <w:rFonts w:hint="eastAsia" w:eastAsia="方正仿宋_GBK"/>
          <w:color w:val="000000"/>
          <w:sz w:val="24"/>
          <w:szCs w:val="24"/>
          <w:u w:val="single"/>
          <w:lang w:val="en-US" w:eastAsia="zh-CN"/>
        </w:rPr>
        <w:t xml:space="preserve">服务</w:t>
      </w:r>
      <w:r>
        <w:rPr>
          <w:rFonts w:eastAsia="方正仿宋_GBK"/>
          <w:color w:val="000000"/>
          <w:sz w:val="24"/>
          <w:szCs w:val="24"/>
          <w:u w:val="single"/>
        </w:rPr>
        <w:t xml:space="preserve">项目</w:t>
      </w:r>
      <w:r>
        <w:rPr>
          <w:rFonts w:hint="eastAsia" w:ascii="Times New Roman" w:hAnsi="Times New Roman" w:eastAsia="方正仿宋_GBK" w:cs="Times New Roman"/>
          <w:bCs/>
          <w:color w:val="000000"/>
          <w:sz w:val="24"/>
        </w:rPr>
        <w:t xml:space="preserve">（项目编号：</w:t>
      </w:r>
      <w:r>
        <w:rPr>
          <w:rFonts w:hint="eastAsia" w:ascii="Times New Roman" w:hAnsi="Times New Roman" w:eastAsia="方正仿宋_GBK" w:cs="Times New Roman"/>
          <w:bCs/>
          <w:color w:val="000000"/>
          <w:sz w:val="24"/>
          <w:u w:val="single"/>
          <w:lang w:val="en-US" w:eastAsia="zh-CN"/>
        </w:rPr>
        <w:t xml:space="preserve">      </w:t>
      </w:r>
      <w:r>
        <w:rPr>
          <w:rFonts w:hint="eastAsia" w:ascii="Times New Roman" w:hAnsi="Times New Roman" w:eastAsia="方正仿宋_GBK" w:cs="Times New Roman"/>
          <w:bCs/>
          <w:color w:val="000000"/>
          <w:sz w:val="24"/>
        </w:rPr>
        <w:t xml:space="preserve">）公开招标的结果，签署本合同。</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一、合同内容</w:t>
      </w:r>
      <w:r>
        <w:rPr>
          <w:rFonts w:ascii="Times New Roman" w:hAnsi="Times New Roman" w:eastAsia="方正仿宋_GBK"/>
          <w:bCs/>
          <w:color w:val="000000"/>
          <w:sz w:val="24"/>
          <w:szCs w:val="21"/>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1.1 标的名称：</w:t>
      </w:r>
      <w:r>
        <w:rPr>
          <w:rFonts w:eastAsia="方正仿宋_GBK"/>
          <w:bCs/>
          <w:color w:val="000000"/>
          <w:sz w:val="24"/>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1.2标的质量：符合采购文件要求的服务产品</w:t>
      </w:r>
      <w:r>
        <w:rPr>
          <w:rFonts w:eastAsia="方正仿宋_GBK"/>
          <w:bCs/>
          <w:color w:val="000000"/>
          <w:sz w:val="24"/>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1.3 标的数量（规模）：套</w:t>
      </w:r>
      <w:r>
        <w:rPr>
          <w:rFonts w:eastAsia="方正仿宋_GBK"/>
          <w:bCs/>
          <w:color w:val="000000"/>
          <w:sz w:val="24"/>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1.4 履行时间（期限）： 年</w:t>
      </w:r>
      <w:r>
        <w:rPr>
          <w:rFonts w:eastAsia="方正仿宋_GBK"/>
          <w:bCs/>
          <w:color w:val="000000"/>
          <w:sz w:val="24"/>
        </w:rPr>
      </w:r>
      <w:r/>
    </w:p>
    <w:p>
      <w:pPr>
        <w:pStyle w:val="1082"/>
        <w:ind w:firstLine="560"/>
        <w:spacing w:line="500" w:lineRule="exact"/>
        <w:rPr>
          <w:rFonts w:ascii="Times New Roman" w:hAnsi="Times New Roman" w:eastAsia="方正仿宋_GBK"/>
          <w:bCs/>
          <w:color w:val="000000"/>
          <w:sz w:val="24"/>
        </w:rPr>
      </w:pPr>
      <w:r>
        <w:rPr>
          <w:rFonts w:hint="eastAsia" w:ascii="Times New Roman" w:hAnsi="Times New Roman" w:eastAsia="方正仿宋_GBK"/>
          <w:bCs/>
          <w:color w:val="000000"/>
          <w:sz w:val="24"/>
        </w:rPr>
        <w:t xml:space="preserve">1.5 履行地点：甲方指定地点。</w:t>
      </w:r>
      <w:r>
        <w:rPr>
          <w:rFonts w:ascii="Times New Roman" w:hAnsi="Times New Roman" w:eastAsia="方正仿宋_GBK"/>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1.6履行方式：</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二、合同金额</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2.1 本合同金额为（大写）：___________圆（__________元）人民币或其他币种。</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三、技术资料</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3.1乙方应按招标文件规定的时间向甲方提供服务（包含与服务相关的货物）的有关技术资料。</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四、知识产权</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五、产权担保</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5.1乙方保证所交付的服务（包含与服务相关的货物）的所有权完全属于乙方且无任何抵押、查封等产权瑕疵。</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六、合同转包或分包</w:t>
      </w:r>
      <w:r>
        <w:rPr>
          <w:rFonts w:ascii="Times New Roman" w:hAnsi="Times New Roman" w:eastAsia="方正仿宋_GBK"/>
          <w:bCs/>
          <w:color w:val="000000"/>
          <w:sz w:val="24"/>
          <w:szCs w:val="21"/>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6.1乙方不得将合同标的转包给他人履行。</w:t>
      </w:r>
      <w:r>
        <w:rPr>
          <w:rFonts w:eastAsia="方正仿宋_GBK"/>
          <w:bCs/>
          <w:color w:val="000000"/>
          <w:sz w:val="24"/>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6.2乙方服务子项目如需分包，需经甲方同意。</w:t>
      </w:r>
      <w:r>
        <w:rPr>
          <w:rFonts w:eastAsia="方正仿宋_GBK"/>
          <w:bCs/>
          <w:color w:val="000000"/>
          <w:sz w:val="24"/>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6.3乙方如有转包或未经甲方同意的分包行为，甲方有权解除合同。</w:t>
      </w:r>
      <w:r>
        <w:rPr>
          <w:rFonts w:eastAsia="方正仿宋_GBK"/>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七、合同款项支付</w:t>
      </w:r>
      <w:r>
        <w:rPr>
          <w:rFonts w:ascii="Times New Roman" w:hAnsi="Times New Roman" w:eastAsia="方正仿宋_GBK"/>
          <w:bCs/>
          <w:color w:val="000000"/>
          <w:sz w:val="24"/>
          <w:szCs w:val="21"/>
        </w:rPr>
      </w:r>
      <w:r/>
    </w:p>
    <w:p>
      <w:pPr>
        <w:pStyle w:val="1080"/>
        <w:ind w:firstLine="560"/>
        <w:spacing w:before="0" w:after="0" w:line="500" w:lineRule="exact"/>
        <w:rPr>
          <w:rFonts w:eastAsia="方正仿宋_GBK"/>
          <w:bCs/>
          <w:color w:val="000000"/>
          <w:sz w:val="24"/>
          <w:lang w:val="zh-CN"/>
        </w:rPr>
      </w:pPr>
      <w:r>
        <w:rPr>
          <w:rFonts w:hint="eastAsia" w:eastAsia="方正仿宋_GBK"/>
          <w:bCs/>
          <w:color w:val="000000"/>
          <w:sz w:val="24"/>
          <w:lang w:val="zh-CN"/>
        </w:rPr>
        <w:t xml:space="preserve">本项目服务期为12个月，服务期满后，在预算保障的前提下，经双方协商一致后可续签合同，续签次数不超过两次。若采购政策变化或预算调整，则不续签合同，按新要求重新采购。</w:t>
      </w:r>
      <w:r>
        <w:rPr>
          <w:rFonts w:eastAsia="方正仿宋_GBK"/>
          <w:bCs/>
          <w:color w:val="000000"/>
          <w:sz w:val="24"/>
          <w:lang w:val="zh-CN"/>
        </w:rPr>
      </w:r>
      <w:r/>
    </w:p>
    <w:p>
      <w:pPr>
        <w:pStyle w:val="1080"/>
        <w:ind w:firstLine="560"/>
        <w:spacing w:before="0" w:after="0" w:line="500" w:lineRule="exact"/>
        <w:rPr>
          <w:rFonts w:eastAsia="方正仿宋_GBK"/>
          <w:bCs/>
          <w:color w:val="000000"/>
          <w:sz w:val="24"/>
          <w:lang w:val="zh-CN"/>
        </w:rPr>
      </w:pPr>
      <w:r>
        <w:rPr>
          <w:rFonts w:hint="eastAsia" w:eastAsia="方正仿宋_GBK"/>
          <w:bCs/>
          <w:color w:val="000000"/>
          <w:sz w:val="24"/>
          <w:lang w:val="zh-CN"/>
        </w:rPr>
        <w:t xml:space="preserve">合同签订后，按月支付服务费（根据甲方确认的实际使用情况据实结算，如算力卡总数为b张，实际使用a张，则支付合同金额的a/b；服务期内最终结算金额不超过原合同的110%）。</w:t>
      </w:r>
      <w:r>
        <w:rPr>
          <w:rFonts w:eastAsia="方正仿宋_GBK"/>
          <w:bCs/>
          <w:color w:val="000000"/>
          <w:sz w:val="24"/>
          <w:lang w:val="zh-CN"/>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八、税费</w:t>
      </w:r>
      <w:r>
        <w:rPr>
          <w:rFonts w:ascii="Times New Roman" w:hAnsi="Times New Roman" w:eastAsia="方正仿宋_GBK"/>
          <w:bCs/>
          <w:color w:val="000000"/>
          <w:sz w:val="24"/>
          <w:szCs w:val="21"/>
        </w:rPr>
      </w:r>
      <w:r/>
    </w:p>
    <w:p>
      <w:pPr>
        <w:pStyle w:val="964"/>
        <w:ind w:firstLine="560"/>
        <w:spacing w:line="500" w:lineRule="exact"/>
        <w:rPr>
          <w:rFonts w:eastAsia="方正仿宋_GBK"/>
          <w:bCs/>
          <w:color w:val="000000"/>
          <w:sz w:val="24"/>
        </w:rPr>
      </w:pPr>
      <w:r>
        <w:rPr>
          <w:rFonts w:hint="eastAsia" w:eastAsia="方正仿宋_GBK"/>
          <w:bCs/>
          <w:color w:val="000000"/>
          <w:sz w:val="24"/>
        </w:rPr>
        <w:t xml:space="preserve">本合同执行中相关的一切税费均由乙方负担。</w:t>
      </w:r>
      <w:r>
        <w:rPr>
          <w:rFonts w:eastAsia="方正仿宋_GBK"/>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九、项目验收</w:t>
      </w:r>
      <w:r>
        <w:rPr>
          <w:rFonts w:ascii="Times New Roman" w:hAnsi="Times New Roman" w:eastAsia="方正仿宋_GBK"/>
          <w:bCs/>
          <w:color w:val="000000"/>
          <w:sz w:val="24"/>
          <w:szCs w:val="21"/>
        </w:rPr>
      </w:r>
      <w:r/>
    </w:p>
    <w:p>
      <w:pPr>
        <w:pStyle w:val="964"/>
        <w:ind w:firstLine="560"/>
        <w:spacing w:line="500" w:lineRule="exact"/>
        <w:rPr>
          <w:rFonts w:eastAsia="方正仿宋_GBK"/>
          <w:bCs/>
          <w:color w:val="000000"/>
          <w:sz w:val="24"/>
          <w:lang w:val="zh-CN"/>
        </w:rPr>
      </w:pPr>
      <w:r>
        <w:rPr>
          <w:rFonts w:hint="eastAsia" w:eastAsia="方正仿宋_GBK"/>
          <w:bCs/>
          <w:color w:val="000000"/>
          <w:sz w:val="24"/>
        </w:rPr>
        <w:t xml:space="preserve">乙方</w:t>
      </w:r>
      <w:r>
        <w:rPr>
          <w:rFonts w:hint="eastAsia" w:eastAsia="方正仿宋_GBK"/>
          <w:bCs/>
          <w:color w:val="000000"/>
          <w:sz w:val="24"/>
          <w:lang w:val="zh-CN"/>
        </w:rPr>
        <w:t xml:space="preserve">履约到位后，以书面形式提出验收申请，</w:t>
      </w:r>
      <w:r>
        <w:rPr>
          <w:rFonts w:hint="eastAsia" w:eastAsia="方正仿宋_GBK"/>
          <w:bCs/>
          <w:color w:val="000000"/>
          <w:sz w:val="24"/>
        </w:rPr>
        <w:t xml:space="preserve">甲方</w:t>
      </w:r>
      <w:r>
        <w:rPr>
          <w:rFonts w:hint="eastAsia" w:eastAsia="方正仿宋_GBK"/>
          <w:bCs/>
          <w:color w:val="000000"/>
          <w:sz w:val="24"/>
          <w:lang w:val="zh-CN"/>
        </w:rPr>
        <w:t xml:space="preserve">接到申请后原则上在5个工作日内及时组织验收。</w:t>
      </w:r>
      <w:r>
        <w:rPr>
          <w:rFonts w:eastAsia="方正仿宋_GBK"/>
          <w:bCs/>
          <w:color w:val="000000"/>
          <w:sz w:val="24"/>
          <w:lang w:val="zh-CN"/>
        </w:rPr>
      </w:r>
      <w:r/>
    </w:p>
    <w:p>
      <w:pPr>
        <w:pStyle w:val="964"/>
        <w:ind w:firstLine="560"/>
        <w:spacing w:line="500" w:lineRule="exact"/>
        <w:rPr>
          <w:rFonts w:eastAsia="方正仿宋_GBK"/>
          <w:bCs/>
          <w:color w:val="000000"/>
          <w:sz w:val="24"/>
          <w:lang w:val="zh-CN"/>
        </w:rPr>
      </w:pPr>
      <w:r>
        <w:rPr>
          <w:rFonts w:hint="eastAsia" w:eastAsia="方正仿宋_GBK"/>
          <w:bCs/>
          <w:color w:val="000000"/>
          <w:sz w:val="24"/>
        </w:rPr>
        <w:t xml:space="preserve">甲方</w:t>
      </w:r>
      <w:r>
        <w:rPr>
          <w:rFonts w:hint="eastAsia" w:eastAsia="方正仿宋_GBK"/>
          <w:bCs/>
          <w:color w:val="000000"/>
          <w:sz w:val="24"/>
          <w:lang w:val="zh-CN"/>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eastAsia="方正仿宋_GBK"/>
          <w:bCs/>
          <w:color w:val="000000"/>
          <w:sz w:val="24"/>
        </w:rPr>
        <w:t xml:space="preserve">乙方</w:t>
      </w:r>
      <w:r>
        <w:rPr>
          <w:rFonts w:hint="eastAsia" w:eastAsia="方正仿宋_GBK"/>
          <w:bCs/>
          <w:color w:val="000000"/>
          <w:sz w:val="24"/>
          <w:lang w:val="zh-CN"/>
        </w:rPr>
        <w:t xml:space="preserve">应根据验收方案内容做好相应配合工作。</w:t>
      </w:r>
      <w:r>
        <w:rPr>
          <w:rFonts w:eastAsia="方正仿宋_GBK"/>
          <w:bCs/>
          <w:color w:val="000000"/>
          <w:sz w:val="24"/>
          <w:lang w:val="zh-CN"/>
        </w:rPr>
      </w:r>
      <w:r/>
    </w:p>
    <w:p>
      <w:pPr>
        <w:pStyle w:val="964"/>
        <w:ind w:firstLine="560"/>
        <w:spacing w:line="500" w:lineRule="exact"/>
        <w:rPr>
          <w:rFonts w:eastAsia="方正仿宋_GBK"/>
          <w:bCs/>
          <w:color w:val="000000"/>
          <w:sz w:val="24"/>
          <w:lang w:val="zh-CN"/>
        </w:rPr>
      </w:pPr>
      <w:r>
        <w:rPr>
          <w:rFonts w:hint="eastAsia" w:eastAsia="方正仿宋_GBK"/>
          <w:bCs/>
          <w:color w:val="000000"/>
          <w:sz w:val="24"/>
          <w:lang w:val="zh-CN"/>
        </w:rPr>
        <w:t xml:space="preserve">如有必要，</w:t>
      </w:r>
      <w:r>
        <w:rPr>
          <w:rFonts w:hint="eastAsia" w:eastAsia="方正仿宋_GBK"/>
          <w:bCs/>
          <w:color w:val="000000"/>
          <w:sz w:val="24"/>
        </w:rPr>
        <w:t xml:space="preserve">甲方</w:t>
      </w:r>
      <w:r>
        <w:rPr>
          <w:rFonts w:hint="eastAsia" w:eastAsia="方正仿宋_GBK"/>
          <w:bCs/>
          <w:color w:val="000000"/>
          <w:sz w:val="24"/>
          <w:lang w:val="zh-CN"/>
        </w:rPr>
        <w:t xml:space="preserve">邀请参加本项目的其他服务商或第三方专业机构及专家参与验收，相关意见将作为验收书的参考资料。</w:t>
      </w:r>
      <w:r>
        <w:rPr>
          <w:rFonts w:eastAsia="方正仿宋_GBK"/>
          <w:bCs/>
          <w:color w:val="000000"/>
          <w:sz w:val="24"/>
          <w:lang w:val="zh-CN"/>
        </w:rPr>
      </w:r>
      <w:r/>
    </w:p>
    <w:p>
      <w:pPr>
        <w:pStyle w:val="964"/>
        <w:ind w:firstLine="560"/>
        <w:spacing w:line="500" w:lineRule="exact"/>
        <w:rPr>
          <w:rFonts w:eastAsia="方正仿宋_GBK"/>
          <w:bCs/>
          <w:color w:val="000000"/>
          <w:sz w:val="24"/>
          <w:lang w:val="zh-CN"/>
        </w:rPr>
      </w:pPr>
      <w:r>
        <w:rPr>
          <w:rFonts w:hint="eastAsia" w:eastAsia="方正仿宋_GBK"/>
          <w:bCs/>
          <w:color w:val="000000"/>
          <w:sz w:val="24"/>
        </w:rPr>
        <w:t xml:space="preserve">甲方</w:t>
      </w:r>
      <w:r>
        <w:rPr>
          <w:rFonts w:hint="eastAsia" w:eastAsia="方正仿宋_GBK"/>
          <w:bCs/>
          <w:color w:val="000000"/>
          <w:sz w:val="24"/>
          <w:lang w:val="zh-CN"/>
        </w:rPr>
        <w:t xml:space="preserve">成立验收小组，按照采购合同的约定对乙方的履约情况进行验收。验收时,</w:t>
      </w:r>
      <w:r>
        <w:rPr>
          <w:rFonts w:hint="eastAsia" w:eastAsia="方正仿宋_GBK"/>
          <w:bCs/>
          <w:color w:val="000000"/>
          <w:sz w:val="24"/>
        </w:rPr>
        <w:t xml:space="preserve">甲方</w:t>
      </w:r>
      <w:r>
        <w:rPr>
          <w:rFonts w:hint="eastAsia" w:eastAsia="方正仿宋_GBK"/>
          <w:bCs/>
          <w:color w:val="000000"/>
          <w:sz w:val="24"/>
          <w:lang w:val="zh-CN"/>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eastAsia="方正仿宋_GBK"/>
          <w:bCs/>
          <w:color w:val="000000"/>
          <w:sz w:val="24"/>
          <w:lang w:val="zh-CN"/>
        </w:rPr>
      </w:r>
      <w:r/>
    </w:p>
    <w:p>
      <w:pPr>
        <w:pStyle w:val="964"/>
        <w:ind w:firstLine="560"/>
        <w:spacing w:line="500" w:lineRule="exact"/>
        <w:rPr>
          <w:rFonts w:eastAsia="方正仿宋_GBK"/>
          <w:bCs/>
          <w:color w:val="000000"/>
          <w:sz w:val="24"/>
          <w:lang w:val="zh-CN"/>
        </w:rPr>
      </w:pPr>
      <w:r>
        <w:rPr>
          <w:rFonts w:hint="eastAsia" w:eastAsia="方正仿宋_GBK"/>
          <w:bCs/>
          <w:color w:val="000000"/>
          <w:sz w:val="24"/>
          <w:lang w:val="zh-CN"/>
        </w:rPr>
        <w:t xml:space="preserve">验收合格的项目,</w:t>
      </w:r>
      <w:r>
        <w:rPr>
          <w:rFonts w:hint="eastAsia" w:eastAsia="方正仿宋_GBK"/>
          <w:bCs/>
          <w:color w:val="000000"/>
          <w:sz w:val="24"/>
        </w:rPr>
        <w:t xml:space="preserve">甲方</w:t>
      </w:r>
      <w:r>
        <w:rPr>
          <w:rFonts w:hint="eastAsia" w:eastAsia="方正仿宋_GBK"/>
          <w:bCs/>
          <w:color w:val="000000"/>
          <w:sz w:val="24"/>
          <w:lang w:val="zh-CN"/>
        </w:rPr>
        <w:t xml:space="preserve">根据采购合同的约定及时向</w:t>
      </w:r>
      <w:r>
        <w:rPr>
          <w:rFonts w:hint="eastAsia" w:eastAsia="方正仿宋_GBK"/>
          <w:bCs/>
          <w:color w:val="000000"/>
          <w:sz w:val="24"/>
        </w:rPr>
        <w:t xml:space="preserve">乙方</w:t>
      </w:r>
      <w:r>
        <w:rPr>
          <w:rFonts w:hint="eastAsia" w:eastAsia="方正仿宋_GBK"/>
          <w:bCs/>
          <w:color w:val="000000"/>
          <w:sz w:val="24"/>
          <w:lang w:val="zh-CN"/>
        </w:rPr>
        <w:t xml:space="preserve">支付合同款项。验收不合格的项目，</w:t>
      </w:r>
      <w:r>
        <w:rPr>
          <w:rFonts w:hint="eastAsia" w:eastAsia="方正仿宋_GBK"/>
          <w:bCs/>
          <w:color w:val="000000"/>
          <w:sz w:val="24"/>
        </w:rPr>
        <w:t xml:space="preserve">甲方</w:t>
      </w:r>
      <w:r>
        <w:rPr>
          <w:rFonts w:hint="eastAsia" w:eastAsia="方正仿宋_GBK"/>
          <w:bCs/>
          <w:color w:val="000000"/>
          <w:sz w:val="24"/>
          <w:lang w:val="zh-CN"/>
        </w:rPr>
        <w:t xml:space="preserve">依法及时处理。采购合同的履行、违约责任和解决争议的方式等适用《中华人民共和国民法典》。</w:t>
      </w:r>
      <w:r>
        <w:rPr>
          <w:rFonts w:hint="eastAsia" w:eastAsia="方正仿宋_GBK"/>
          <w:bCs/>
          <w:color w:val="000000"/>
          <w:sz w:val="24"/>
        </w:rPr>
        <w:t xml:space="preserve">乙方</w:t>
      </w:r>
      <w:r>
        <w:rPr>
          <w:rFonts w:hint="eastAsia" w:eastAsia="方正仿宋_GBK"/>
          <w:bCs/>
          <w:color w:val="000000"/>
          <w:sz w:val="24"/>
          <w:lang w:val="zh-CN"/>
        </w:rPr>
        <w:t xml:space="preserve">在履约过程中有政府采购法律法规规定的违法违规情形的,</w:t>
      </w:r>
      <w:r>
        <w:rPr>
          <w:rFonts w:hint="eastAsia" w:eastAsia="方正仿宋_GBK"/>
          <w:bCs/>
          <w:color w:val="000000"/>
          <w:sz w:val="24"/>
        </w:rPr>
        <w:t xml:space="preserve">甲方</w:t>
      </w:r>
      <w:r>
        <w:rPr>
          <w:rFonts w:hint="eastAsia" w:eastAsia="方正仿宋_GBK"/>
          <w:bCs/>
          <w:color w:val="000000"/>
          <w:sz w:val="24"/>
          <w:lang w:val="zh-CN"/>
        </w:rPr>
        <w:t xml:space="preserve">将及时报告本级财政部门。</w:t>
      </w:r>
      <w:r>
        <w:rPr>
          <w:rFonts w:eastAsia="方正仿宋_GBK"/>
          <w:bCs/>
          <w:color w:val="000000"/>
          <w:sz w:val="24"/>
          <w:lang w:val="zh-CN"/>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十、违约责任</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10.1 甲方无正当理由拒绝接受乙方提供服务的，甲方向乙方偿付拒绝接受服务合同价款总值20%  的违约金。</w:t>
      </w:r>
      <w:r>
        <w:rPr>
          <w:rFonts w:ascii="Times New Roman" w:hAnsi="Times New Roman" w:eastAsia="方正仿宋_GBK" w:cs="Times New Roman"/>
          <w:bCs/>
          <w:color w:val="000000"/>
          <w:sz w:val="24"/>
        </w:rPr>
      </w:r>
      <w:r/>
    </w:p>
    <w:p>
      <w:pPr>
        <w:pStyle w:val="1082"/>
        <w:ind w:firstLine="560"/>
        <w:spacing w:line="500" w:lineRule="exact"/>
        <w:rPr>
          <w:rFonts w:ascii="Times New Roman" w:hAnsi="Times New Roman" w:eastAsia="方正仿宋_GBK"/>
          <w:bCs/>
          <w:color w:val="000000"/>
          <w:sz w:val="24"/>
        </w:rPr>
      </w:pPr>
      <w:r>
        <w:rPr>
          <w:rFonts w:hint="eastAsia" w:ascii="Times New Roman" w:hAnsi="Times New Roman" w:eastAsia="方正仿宋_GBK"/>
          <w:bCs/>
          <w:color w:val="000000"/>
          <w:sz w:val="24"/>
        </w:rPr>
        <w:t xml:space="preserve">10.2 甲方无故逾期验收和办理合同款项支付手续的,甲方应按逾期付款总额0.1% 每日向乙方支付违约金。</w:t>
      </w:r>
      <w:r>
        <w:rPr>
          <w:rFonts w:ascii="Times New Roman" w:hAnsi="Times New Roman" w:eastAsia="方正仿宋_GBK"/>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10.3 乙方逾期提供服务的，乙方应按逾期提供服务合同总额每日0.1%向甲方支付违约金，由甲方从待付合同款项中扣除。逾期超过约定日期10个工作日不能提供服务的，甲方可解除本合同。乙方因逾期提供服务或因其他违约行为导致甲方解除合同的，乙方应向甲方支付合同价款总额20% 的违约金，如造成甲方损失超过违约金的，超出部分由乙方继续承担赔偿责任。 </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10.4 乙方所提供服务的标准不符合合同规定及招标文件规定标准的，甲方有权拒绝接受服务，并可单方面解除合同。</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十一、不可抗力事件处理</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11.1 在合同有效期内，任何一方因不可抗力事件导致不能履行合同，则合同履行期可延长，其延长期与不可抗力影响期相同。</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11.2 不可抗力事件发生后，应立即通知对方，并寄送有关权威机构出具的证明。</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11.3 不可抗力事件延续120天以上，双方应通过友好协商，确定是否继续履行合同。</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十二、解决争议的方法</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12.1双方在签订、履行合同中所发生的一切争议，应通过友好协商解决。如协商不成，由甲方住所地人民法院管辖。</w:t>
      </w:r>
      <w:r>
        <w:rPr>
          <w:rFonts w:ascii="Times New Roman" w:hAnsi="Times New Roman" w:eastAsia="方正仿宋_GBK" w:cs="Times New Roman"/>
          <w:bCs/>
          <w:color w:val="000000"/>
          <w:sz w:val="24"/>
        </w:rPr>
      </w:r>
      <w:r/>
    </w:p>
    <w:p>
      <w:pPr>
        <w:pStyle w:val="1080"/>
        <w:ind w:firstLine="560"/>
        <w:spacing w:before="0" w:after="0" w:line="500" w:lineRule="exact"/>
        <w:rPr>
          <w:rFonts w:ascii="Times New Roman" w:hAnsi="Times New Roman" w:eastAsia="方正仿宋_GBK"/>
          <w:bCs/>
          <w:color w:val="000000"/>
          <w:sz w:val="24"/>
          <w:szCs w:val="21"/>
        </w:rPr>
      </w:pPr>
      <w:r>
        <w:rPr>
          <w:rFonts w:hint="eastAsia" w:ascii="Times New Roman" w:hAnsi="Times New Roman" w:eastAsia="方正仿宋_GBK"/>
          <w:bCs/>
          <w:color w:val="000000"/>
          <w:sz w:val="24"/>
          <w:szCs w:val="21"/>
        </w:rPr>
        <w:t xml:space="preserve">十三、合同生效及其它</w:t>
      </w:r>
      <w:r>
        <w:rPr>
          <w:rFonts w:ascii="Times New Roman" w:hAnsi="Times New Roman" w:eastAsia="方正仿宋_GBK"/>
          <w:bCs/>
          <w:color w:val="000000"/>
          <w:sz w:val="24"/>
          <w:szCs w:val="21"/>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13.1 合同经双方法定代表人或授权委托代表人签字并加盖单位公章后生效。</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13.2本合同未尽事宜，遵照中华人民共和国现行法律法规有关条文执行。</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13.3 本合同正本一式两份，具有同等法律效力，甲方、乙方各执一份。</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甲方：                        乙方： </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地址：                        地址： </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法定代表人或授权代表：        法定代表人或授权代表：</w:t>
      </w:r>
      <w:r>
        <w:rPr>
          <w:rFonts w:ascii="Times New Roman" w:hAnsi="Times New Roman" w:eastAsia="方正仿宋_GBK" w:cs="Times New Roman"/>
          <w:bCs/>
          <w:color w:val="000000"/>
          <w:sz w:val="24"/>
        </w:rPr>
      </w:r>
      <w:r/>
    </w:p>
    <w:p>
      <w:pPr>
        <w:pStyle w:val="1079"/>
        <w:ind w:firstLine="560"/>
        <w:spacing w:line="500" w:lineRule="exact"/>
        <w:rPr>
          <w:rFonts w:ascii="Times New Roman" w:hAnsi="Times New Roman" w:eastAsia="方正仿宋_GBK" w:cs="Times New Roman"/>
          <w:bCs/>
          <w:color w:val="000000"/>
          <w:sz w:val="24"/>
        </w:rPr>
      </w:pPr>
      <w:r>
        <w:rPr>
          <w:rFonts w:hint="eastAsia" w:ascii="Times New Roman" w:hAnsi="Times New Roman" w:eastAsia="方正仿宋_GBK" w:cs="Times New Roman"/>
          <w:bCs/>
          <w:color w:val="000000"/>
          <w:sz w:val="24"/>
        </w:rPr>
        <w:t xml:space="preserve">联系电话：                    联系电话：          </w:t>
      </w:r>
      <w:r>
        <w:rPr>
          <w:rFonts w:ascii="Times New Roman" w:hAnsi="Times New Roman" w:eastAsia="方正仿宋_GBK" w:cs="Times New Roman"/>
          <w:bCs/>
          <w:color w:val="000000"/>
          <w:sz w:val="24"/>
        </w:rPr>
      </w:r>
      <w:r/>
    </w:p>
    <w:p>
      <w:pPr>
        <w:pStyle w:val="1002"/>
        <w:jc w:val="center"/>
        <w:spacing w:before="120" w:after="120" w:line="0" w:lineRule="atLeast"/>
        <w:rPr>
          <w:rFonts w:hint="eastAsia" w:ascii="黑体" w:eastAsia="黑体"/>
          <w:bCs/>
          <w:sz w:val="44"/>
        </w:rPr>
      </w:pPr>
      <w:r>
        <w:rPr>
          <w:rFonts w:hint="eastAsia" w:ascii="Times New Roman" w:eastAsia="方正仿宋_GBK"/>
          <w:bCs/>
          <w:color w:val="000000"/>
          <w:sz w:val="24"/>
        </w:rPr>
        <w:t xml:space="preserve">签订日期：   年 月 日         签订日期：   年  月  日</w:t>
      </w: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ascii="黑体" w:eastAsia="黑体"/>
          <w:bCs/>
          <w:sz w:val="44"/>
        </w:rPr>
      </w:pPr>
      <w:r>
        <w:rPr>
          <w:rFonts w:hint="eastAsia" w:ascii="黑体" w:eastAsia="黑体"/>
          <w:bCs/>
          <w:sz w:val="44"/>
        </w:rPr>
      </w:r>
      <w:r/>
    </w:p>
    <w:p>
      <w:pPr>
        <w:pStyle w:val="1002"/>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4"/>
        <w:spacing w:line="0" w:lineRule="atLeast"/>
        <w:rPr>
          <w:rFonts w:ascii="Times New Roman" w:hAnsi="Times New Roman" w:eastAsia="方正仿宋_GBK" w:cs="Times New Roman"/>
          <w:color w:val="000000"/>
          <w:sz w:val="24"/>
          <w:szCs w:val="24"/>
          <w:highlight w:val="yellow"/>
        </w:rPr>
      </w:pPr>
      <w:r/>
      <w:bookmarkStart w:id="191" w:name="_Toc26554093"/>
      <w:r/>
      <w:bookmarkStart w:id="192"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64"/>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964"/>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964"/>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964"/>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964"/>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964"/>
              <w:jc w:val="left"/>
              <w:spacing w:line="480" w:lineRule="exact"/>
              <w:tabs>
                <w:tab w:val="left" w:pos="2020" w:leader="none"/>
              </w:tabs>
              <w:rPr>
                <w:rFonts w:ascii="Times New Roman" w:hAnsi="Times New Roman" w:eastAsia="方正仿宋_GBK" w:cs="Times New Roman"/>
                <w:color w:val="000000"/>
                <w:sz w:val="24"/>
                <w:szCs w:val="24"/>
              </w:rPr>
            </w:pPr>
            <w:r>
              <w:rPr>
                <w:rFonts w:eastAsia="方正仿宋_GBK"/>
                <w:color w:val="000000"/>
                <w:sz w:val="24"/>
                <w:szCs w:val="24"/>
              </w:rPr>
              <w:t xml:space="preserve">算力服务（含环境服务、管理服务）</w:t>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964"/>
              <w:jc w:val="center"/>
              <w:spacing w:line="480" w:lineRule="exact"/>
              <w:rPr>
                <w:rFonts w:ascii="Times New Roman" w:hAnsi="Times New Roman" w:eastAsia="方正仿宋_GBK" w:cs="Times New Roman"/>
                <w:color w:val="000000"/>
                <w:sz w:val="24"/>
                <w:szCs w:val="24"/>
              </w:rPr>
            </w:pPr>
            <w:r>
              <w:rPr>
                <w:rFonts w:hint="eastAsia" w:eastAsia="方正仿宋_GBK"/>
                <w:color w:val="000000"/>
                <w:sz w:val="24"/>
                <w:szCs w:val="24"/>
              </w:rPr>
              <w:t xml:space="preserve">软件和信息技术服务业</w:t>
            </w:r>
            <w:r>
              <w:rPr>
                <w:rFonts w:ascii="Times New Roman" w:hAnsi="Times New Roman" w:eastAsia="方正仿宋_GBK" w:cs="Times New Roman"/>
                <w:color w:val="000000"/>
                <w:sz w:val="24"/>
                <w:szCs w:val="24"/>
              </w:rPr>
            </w:r>
            <w:r/>
          </w:p>
        </w:tc>
      </w:tr>
    </w:tbl>
    <w:p>
      <w:pPr>
        <w:pStyle w:val="964"/>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964"/>
        <w:spacing w:line="480" w:lineRule="exact"/>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二、政府采购中实施本国产品标准及相关政策</w:t>
      </w:r>
      <w:r>
        <w:rPr>
          <w:rFonts w:hint="eastAsia" w:ascii="方正仿宋_GBK" w:hAnsi="方正仿宋_GBK" w:eastAsia="方正仿宋_GBK" w:cs="方正仿宋_GBK"/>
          <w:b/>
          <w:color w:val="000000"/>
          <w:sz w:val="24"/>
          <w:szCs w:val="24"/>
          <w:highlight w:val="none"/>
        </w:rPr>
      </w:r>
      <w:r/>
    </w:p>
    <w:p>
      <w:pPr>
        <w:pStyle w:val="964"/>
        <w:ind w:firstLine="480"/>
        <w:spacing w:line="0" w:lineRule="atLeast"/>
        <w:rPr>
          <w:rFonts w:ascii="Times New Roman" w:hAnsi="Times New Roman" w:eastAsia="方正仿宋_GBK" w:cs="Times New Roman"/>
          <w:bCs/>
          <w:color w:val="000000"/>
          <w:sz w:val="24"/>
          <w:szCs w:val="24"/>
          <w:highlight w:val="none"/>
          <w:lang w:val="en-US" w:eastAsia="zh-CN"/>
        </w:rPr>
      </w:pPr>
      <w:r>
        <w:rPr>
          <w:rFonts w:hint="eastAsia" w:ascii="Times New Roman" w:hAnsi="Times New Roman" w:eastAsia="方正仿宋_GBK" w:cs="Times New Roman"/>
          <w:bCs/>
          <w:color w:val="000000"/>
          <w:sz w:val="24"/>
          <w:szCs w:val="24"/>
          <w:highlight w:val="none"/>
          <w:lang w:val="en-US" w:eastAsia="zh-CN"/>
        </w:rPr>
        <w:t xml:space="preserve">1、</w:t>
      </w:r>
      <w:r>
        <w:rPr>
          <w:rFonts w:hint="eastAsia" w:ascii="Times New Roman" w:hAnsi="Times New Roman" w:eastAsia="方正仿宋_GBK" w:cs="Times New Roman"/>
          <w:b/>
          <w:bCs w:val="0"/>
          <w:color w:val="000000"/>
          <w:sz w:val="24"/>
          <w:szCs w:val="24"/>
          <w:highlight w:val="none"/>
          <w:u w:val="single"/>
          <w:lang w:val="en-US" w:eastAsia="zh-CN"/>
        </w:rPr>
        <w:t xml:space="preserve">本项目属于纯服务采购，不涉及本国产品支持政策。</w:t>
      </w:r>
      <w:r>
        <w:rPr>
          <w:rFonts w:ascii="Times New Roman" w:hAnsi="Times New Roman" w:eastAsia="方正仿宋_GBK" w:cs="Times New Roman"/>
          <w:bCs/>
          <w:color w:val="000000"/>
          <w:sz w:val="24"/>
          <w:szCs w:val="24"/>
          <w:highlight w:val="none"/>
          <w:lang w:val="en-US" w:eastAsia="zh-CN"/>
        </w:rPr>
      </w:r>
      <w:r/>
    </w:p>
    <w:p>
      <w:pPr>
        <w:pStyle w:val="964"/>
        <w:ind w:firstLine="480"/>
        <w:spacing w:line="0" w:lineRule="atLeast"/>
        <w:rPr>
          <w:rFonts w:eastAsia="方正仿宋_GBK"/>
          <w:bCs/>
          <w:color w:val="000000"/>
          <w:sz w:val="24"/>
          <w:szCs w:val="24"/>
        </w:rPr>
      </w:pPr>
      <w:r>
        <w:rPr>
          <w:rFonts w:hint="eastAsia" w:ascii="Times New Roman" w:hAnsi="Times New Roman" w:eastAsia="方正仿宋_GBK" w:cs="Times New Roman"/>
          <w:bCs/>
          <w:color w:val="000000"/>
          <w:sz w:val="24"/>
          <w:szCs w:val="24"/>
          <w:lang w:val="en-US" w:eastAsia="zh-CN"/>
        </w:rPr>
        <w:t xml:space="preserve">2、遵</w:t>
      </w:r>
      <w:r>
        <w:rPr>
          <w:rFonts w:hint="eastAsia" w:eastAsia="方正仿宋_GBK"/>
          <w:bCs/>
          <w:color w:val="000000"/>
          <w:sz w:val="24"/>
          <w:szCs w:val="24"/>
        </w:rPr>
        <w:t xml:space="preserve">循国家、行业及地方现行的规范和标准。</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《中华人民共和国计算机信息系统安全保护条例》（国务院147号令）</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《计算机信息系统 安全等级保护划分准则》GB/17859-1999</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《信息安全技术 信息安全管理体系要求》GB/T 22080-2016</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《信息技术服务 运行维护》（GB/T 28827.1-2022）</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《关于信息安全等级保护工作的实施意见》（公通字[2004]66号）</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《网络安全技术 生成式人工智能服务安全基本要求》GB/T 45654-2025</w:t>
      </w:r>
      <w:r>
        <w:rPr>
          <w:rFonts w:eastAsia="方正仿宋_GBK"/>
          <w:bCs/>
          <w:color w:val="000000"/>
          <w:sz w:val="24"/>
          <w:szCs w:val="24"/>
        </w:rPr>
      </w:r>
      <w:r/>
    </w:p>
    <w:p>
      <w:pPr>
        <w:pStyle w:val="964"/>
        <w:ind w:firstLine="480"/>
        <w:spacing w:line="0" w:lineRule="atLeast"/>
        <w:rPr>
          <w:rFonts w:hint="eastAsia" w:eastAsia="方正仿宋_GBK" w:cs="Times New Roman"/>
          <w:b/>
          <w:color w:val="000000"/>
          <w:sz w:val="24"/>
          <w:szCs w:val="24"/>
          <w:lang w:val="en-US" w:eastAsia="zh-CN"/>
        </w:rPr>
      </w:pPr>
      <w:r>
        <w:rPr>
          <w:rFonts w:hint="eastAsia" w:eastAsia="方正仿宋_GBK"/>
          <w:bCs/>
          <w:color w:val="000000"/>
          <w:sz w:val="24"/>
          <w:szCs w:val="24"/>
        </w:rPr>
        <w:t xml:space="preserve">《网络安全技术 人工智能计算平台安全框架》GB/T 45958-2025</w:t>
      </w:r>
      <w:r>
        <w:rPr>
          <w:rFonts w:hint="eastAsia" w:eastAsia="方正仿宋_GBK" w:cs="Times New Roman"/>
          <w:b/>
          <w:color w:val="000000"/>
          <w:sz w:val="24"/>
          <w:szCs w:val="24"/>
          <w:lang w:val="en-US" w:eastAsia="zh-CN"/>
        </w:rPr>
      </w:r>
      <w:r/>
    </w:p>
    <w:p>
      <w:pPr>
        <w:pStyle w:val="964"/>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964"/>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964"/>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964"/>
        <w:spacing w:line="0" w:lineRule="atLeast"/>
        <w:rPr>
          <w:rFonts w:eastAsia="方正仿宋_GBK"/>
          <w:bCs/>
          <w:color w:val="000000"/>
          <w:sz w:val="28"/>
          <w:szCs w:val="28"/>
        </w:rPr>
      </w:pPr>
      <w:r>
        <w:rPr>
          <w:rFonts w:hint="eastAsia" w:eastAsia="方正仿宋_GBK"/>
          <w:bCs/>
          <w:color w:val="000000"/>
          <w:sz w:val="28"/>
          <w:szCs w:val="28"/>
        </w:rPr>
        <w:t xml:space="preserve">3</w:t>
      </w:r>
      <w:r>
        <w:rPr>
          <w:rFonts w:eastAsia="方正仿宋_GBK"/>
          <w:bCs/>
          <w:color w:val="000000"/>
          <w:sz w:val="28"/>
          <w:szCs w:val="28"/>
        </w:rPr>
        <w:t xml:space="preserve">.1.算力服务</w:t>
      </w:r>
      <w:r>
        <w:rPr>
          <w:rFonts w:eastAsia="方正仿宋_GBK"/>
          <w:bCs/>
          <w:color w:val="000000"/>
          <w:sz w:val="28"/>
          <w:szCs w:val="28"/>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3.1.1.</w:t>
      </w:r>
      <w:r>
        <w:rPr>
          <w:rFonts w:hint="eastAsia" w:ascii="仿宋" w:hAnsi="仿宋" w:eastAsia="仿宋" w:cs="仿宋"/>
          <w:color w:val="000000"/>
          <w:sz w:val="24"/>
          <w:szCs w:val="24"/>
          <w:lang w:bidi="ar"/>
        </w:rPr>
        <w:t xml:space="preserve">算力规模及要求</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算力服务提供全栈国产的智算卡，满足自主可控要求。</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1</w:t>
      </w:r>
      <w:r>
        <w:rPr>
          <w:rFonts w:hint="eastAsia" w:ascii="仿宋" w:hAnsi="仿宋" w:eastAsia="仿宋" w:cs="仿宋"/>
          <w:color w:val="000000"/>
          <w:sz w:val="24"/>
          <w:szCs w:val="24"/>
          <w:lang w:bidi="ar"/>
        </w:rPr>
        <w:t xml:space="preserve">、总算力要求：</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★算力卡的FP16 总算力不低于13PFLOPS，总显存不低于2</w:t>
      </w:r>
      <w:r>
        <w:rPr>
          <w:rFonts w:hint="eastAsia" w:ascii="仿宋" w:hAnsi="仿宋" w:eastAsia="仿宋" w:cs="仿宋"/>
          <w:color w:val="000000"/>
          <w:sz w:val="24"/>
          <w:szCs w:val="24"/>
          <w:lang w:bidi="ar"/>
        </w:rPr>
        <w:t xml:space="preserve">50</w:t>
      </w:r>
      <w:r>
        <w:rPr>
          <w:rFonts w:ascii="仿宋" w:hAnsi="仿宋" w:eastAsia="仿宋" w:cs="仿宋"/>
          <w:color w:val="000000"/>
          <w:sz w:val="24"/>
          <w:szCs w:val="24"/>
          <w:lang w:bidi="ar"/>
        </w:rPr>
        <w:t xml:space="preserve">0GB，支撑运行的总内存不低于3T。为了最大程度的提升算力利用率和模型训练性能，AI处理器之间的双向互联带宽均不低于400GB/s</w:t>
      </w:r>
      <w:r>
        <w:rPr>
          <w:rFonts w:hint="eastAsia" w:ascii="仿宋" w:hAnsi="仿宋" w:eastAsia="仿宋" w:cs="仿宋"/>
          <w:color w:val="000000"/>
          <w:sz w:val="24"/>
          <w:szCs w:val="24"/>
          <w:lang w:bidi="ar"/>
        </w:rPr>
        <w:t xml:space="preserve">，提供不低于16个AI处理器的对等互联服务</w:t>
      </w:r>
      <w:r>
        <w:rPr>
          <w:rFonts w:ascii="仿宋" w:hAnsi="仿宋" w:eastAsia="仿宋" w:cs="仿宋"/>
          <w:color w:val="000000"/>
          <w:sz w:val="24"/>
          <w:szCs w:val="24"/>
          <w:lang w:bidi="ar"/>
        </w:rPr>
        <w:t xml:space="preserve">。</w:t>
      </w:r>
      <w:r>
        <w:rPr>
          <w:rFonts w:hint="eastAsia" w:ascii="仿宋" w:hAnsi="仿宋" w:eastAsia="仿宋" w:cs="仿宋"/>
          <w:color w:val="000000"/>
          <w:sz w:val="24"/>
          <w:szCs w:val="24"/>
          <w:lang w:bidi="ar"/>
        </w:rPr>
        <w:t xml:space="preserve">算力卡总数不超过32张。</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rPr>
          <w:rFonts w:ascii="仿宋" w:hAnsi="仿宋" w:eastAsia="仿宋" w:cs="仿宋"/>
          <w:color w:val="000000"/>
          <w:sz w:val="24"/>
          <w:szCs w:val="24"/>
          <w:lang w:bidi="ar"/>
        </w:rPr>
        <w:t xml:space="preserve">、大模型服务要求：</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★支持主流的开源大模型，如DeepSeeK V4 Pro及其他参数版本、Qwen3.5及其他参数版本为代表的各类国内主流开源大模型以及公安部公安专业大模型1.0等。</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rPr>
          <w:rFonts w:ascii="仿宋" w:hAnsi="仿宋" w:eastAsia="仿宋" w:cs="仿宋"/>
          <w:b w:val="0"/>
          <w:bCs w:val="0"/>
          <w:color w:val="000000"/>
          <w:sz w:val="24"/>
          <w:szCs w:val="24"/>
          <w:lang w:bidi="ar"/>
        </w:rPr>
        <w:t xml:space="preserve">、技术支撑服务要求</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（1）模型部署与运行基础技术支撑</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提供主流开源大模型本地部署、版本迁移基础技术支持；协助业务人员完成基座模型上传、参数配置、微调任务启动、推理服务发布、镜像制作基础操作；针对模型加载失败、训练中断、推理卡顿、显存溢出等常见基础故障提供远程排查与优化方案。</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（2）文档配套技术支撑</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交付全套算力平台基础技术文档，包含平台部署手册、平台操作手册、故障处置手册；服务过程中按需更新文档，同步提供各类配置模板。</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b w:val="0"/>
          <w:bCs w:val="0"/>
          <w:color w:val="000000"/>
          <w:sz w:val="24"/>
          <w:szCs w:val="24"/>
          <w:lang w:bidi="ar"/>
        </w:rPr>
      </w:pPr>
      <w:r>
        <w:rPr>
          <w:rFonts w:ascii="仿宋" w:hAnsi="仿宋" w:eastAsia="仿宋" w:cs="仿宋"/>
          <w:b w:val="0"/>
          <w:bCs w:val="0"/>
          <w:color w:val="000000"/>
          <w:sz w:val="24"/>
          <w:szCs w:val="24"/>
          <w:lang w:bidi="ar"/>
        </w:rPr>
        <w:t xml:space="preserve">整体算力服务待市本级政务云算力租赁确定后，</w:t>
      </w:r>
      <w:r>
        <w:rPr>
          <w:rFonts w:hint="eastAsia" w:ascii="仿宋" w:hAnsi="仿宋" w:eastAsia="仿宋" w:cs="仿宋"/>
          <w:b w:val="0"/>
          <w:bCs w:val="0"/>
          <w:color w:val="000000"/>
          <w:sz w:val="24"/>
          <w:szCs w:val="24"/>
          <w:lang w:bidi="ar"/>
        </w:rPr>
        <w:t xml:space="preserve">可</w:t>
      </w:r>
      <w:r>
        <w:rPr>
          <w:rFonts w:ascii="仿宋" w:hAnsi="仿宋" w:eastAsia="仿宋" w:cs="仿宋"/>
          <w:b w:val="0"/>
          <w:bCs w:val="0"/>
          <w:color w:val="000000"/>
          <w:sz w:val="24"/>
          <w:szCs w:val="24"/>
          <w:lang w:bidi="ar"/>
        </w:rPr>
        <w:t xml:space="preserve">根据双方服务内容，动态确定调整事宜。</w:t>
      </w:r>
      <w:r>
        <w:rPr>
          <w:rFonts w:hint="eastAsia" w:ascii="仿宋" w:hAnsi="仿宋" w:eastAsia="仿宋" w:cs="仿宋"/>
          <w:b w:val="0"/>
          <w:bCs w:val="0"/>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3.1.2.</w:t>
      </w:r>
      <w:r>
        <w:rPr>
          <w:rFonts w:hint="eastAsia" w:ascii="仿宋" w:hAnsi="仿宋" w:eastAsia="仿宋" w:cs="仿宋"/>
          <w:color w:val="000000"/>
          <w:sz w:val="24"/>
          <w:szCs w:val="24"/>
          <w:lang w:bidi="ar"/>
        </w:rPr>
        <w:t xml:space="preserve">承载网络</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▲1、算力服务通过专线（由中标方免费提供）对接至公安机房内部网络，采用主备双线路冗余模式，实现整体部署、统一管理。（提供承诺函并加盖投标人公章，格式自拟）</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▲2、机房网络通道接入层统一采用不低于25G网络传输带宽，同时配置主备双线路冗余模式，有效规避单点故障，保障算力传输高速、稳定、不间断运行。</w:t>
      </w:r>
      <w:r>
        <w:rPr>
          <w:rFonts w:hint="eastAsia" w:ascii="仿宋" w:hAnsi="仿宋" w:eastAsia="仿宋" w:cs="仿宋"/>
          <w:b/>
          <w:bCs/>
          <w:color w:val="000000"/>
          <w:sz w:val="24"/>
          <w:szCs w:val="24"/>
          <w:lang w:bidi="ar"/>
        </w:rPr>
        <w:t xml:space="preserve">（提供承诺函并加盖投标人公章，格式自拟）</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3、网络的业务承载内容覆盖算力运行全流程，包含前端任务指令的下发传输、各类业务的API接口请求调用、算力运算完成后的结果数据回传；同时兼顾平台及算力节点的日常运维管理操作等各类数据交互场景。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p>
      <w:pPr>
        <w:pStyle w:val="964"/>
        <w:spacing w:line="0" w:lineRule="atLeast"/>
        <w:rPr>
          <w:rFonts w:eastAsia="方正仿宋_GBK"/>
          <w:bCs/>
          <w:color w:val="000000"/>
          <w:sz w:val="28"/>
          <w:szCs w:val="28"/>
        </w:rPr>
      </w:pPr>
      <w:r>
        <w:rPr>
          <w:rFonts w:hint="eastAsia" w:eastAsia="方正仿宋_GBK"/>
          <w:bCs/>
          <w:color w:val="000000"/>
          <w:sz w:val="28"/>
          <w:szCs w:val="28"/>
        </w:rPr>
        <w:t xml:space="preserve">3</w:t>
      </w:r>
      <w:r>
        <w:rPr>
          <w:rFonts w:eastAsia="方正仿宋_GBK"/>
          <w:bCs/>
          <w:color w:val="000000"/>
          <w:sz w:val="28"/>
          <w:szCs w:val="28"/>
        </w:rPr>
        <w:t xml:space="preserve">.2.算力管理服务</w:t>
      </w:r>
      <w:r>
        <w:rPr>
          <w:rFonts w:eastAsia="方正仿宋_GBK"/>
          <w:bCs/>
          <w:color w:val="000000"/>
          <w:sz w:val="28"/>
          <w:szCs w:val="28"/>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3.2.1.</w:t>
      </w:r>
      <w:r>
        <w:rPr>
          <w:rFonts w:hint="eastAsia" w:ascii="仿宋" w:hAnsi="仿宋" w:eastAsia="仿宋" w:cs="仿宋"/>
          <w:color w:val="000000"/>
          <w:sz w:val="24"/>
          <w:szCs w:val="24"/>
          <w:lang w:bidi="ar"/>
        </w:rPr>
        <w:t xml:space="preserve">算力分配</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▲1、提供统一的算力调度平台，实现对租用算力资源统一管理调度，包括CPU、GPU、NPU、内存等硬件资源的统一纳管与调度。（提供承诺函并加盖投标人公章，格式自拟）</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2、具备智能调度算法，能够根据任务类型、优先级、资源利用率等因素，自动匹配最优算力资源，确保算力资源的弹性伸缩和高效利用。</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3、支持针对时间、模型、警种（部门）等多种维度的算力使用率、使用量的统计，并作为项目结算的参考依据。</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4、提供集群资源使用的统一监控功能，支持查看资源总量、分配情况、使用情况；支持查看集群下机器节点数量及每个节点资源情况，并支持调度条件的配置。</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3.2.2.</w:t>
      </w:r>
      <w:r>
        <w:rPr>
          <w:rFonts w:hint="eastAsia" w:ascii="仿宋" w:hAnsi="仿宋" w:eastAsia="仿宋" w:cs="仿宋"/>
          <w:color w:val="000000"/>
          <w:sz w:val="24"/>
          <w:szCs w:val="24"/>
          <w:lang w:bidi="ar"/>
        </w:rPr>
        <w:t xml:space="preserve">资源池管理</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1、提供资源池化管理功能，支持多警种共享资源池，可按使用场景配置独占或共享策略。</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2、支持为特定任务创建专属物理隔离资源池，管理员可基于业务需求构建多级隔离架构，实现资源的精细化切割与场景化部署。</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3、提供节点分配和配额分配两种资源分配模式，并支持对资源池使用情况进行实时监控。</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4、提供团队管理功能，支持团队绑定子节点的二级资源池，并支持使用时长的配置。</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3.2.3.</w:t>
      </w:r>
      <w:r>
        <w:rPr>
          <w:rFonts w:hint="eastAsia" w:ascii="仿宋" w:hAnsi="仿宋" w:eastAsia="仿宋" w:cs="仿宋"/>
          <w:color w:val="000000"/>
          <w:sz w:val="24"/>
          <w:szCs w:val="24"/>
          <w:lang w:bidi="ar"/>
        </w:rPr>
        <w:t xml:space="preserve">模型服务</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1、支持模型新增，配置模型的名称、类型、框架、标签、描述。</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2、支持模型版本管理，同一模型下可创建多个版本。</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3、支持镜像与模型关联，指定模型使用时，特定场景的启动指令、参数、资源信息。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3.2.4.</w:t>
      </w:r>
      <w:r>
        <w:rPr>
          <w:rFonts w:hint="eastAsia" w:ascii="仿宋" w:hAnsi="仿宋" w:eastAsia="仿宋" w:cs="仿宋"/>
          <w:color w:val="000000"/>
          <w:sz w:val="24"/>
          <w:szCs w:val="24"/>
          <w:lang w:bidi="ar"/>
        </w:rPr>
        <w:t xml:space="preserve">模型训练及微调</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1、支持配置自定义调优参数，基座模型可选择预置大模型、图像类模型、数据集拆分等，针对不同业务场景优化模型适配性，贴合实际业务落地需求。</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2、服务遵循规范化、安全化运维标准，实行训练数据、模型文件权限分级管理，全流程操作留痕，保障数据与模型资产安全。</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3.2.5.</w:t>
      </w:r>
      <w:r>
        <w:rPr>
          <w:rFonts w:hint="eastAsia" w:ascii="仿宋" w:hAnsi="仿宋" w:eastAsia="仿宋" w:cs="仿宋"/>
          <w:color w:val="000000"/>
          <w:sz w:val="24"/>
          <w:szCs w:val="24"/>
          <w:lang w:bidi="ar"/>
        </w:rPr>
        <w:t xml:space="preserve">推理服务</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1、支持按权限区分平台服务与警种服务，预置的平台服务全平台用户均可调用。</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2、支持三方服务接入，具备服务部署、测试、运维调试、弹性扩缩容、流量与QPS/Token限流、任务队列等能力。</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3、支持将模型版本一键部署到推理服务中。</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4、Token服务支持调用限额分配、模型上下架，同时可查询调用日志。</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3.2.6.</w:t>
      </w:r>
      <w:r>
        <w:rPr>
          <w:rFonts w:hint="eastAsia" w:ascii="仿宋" w:hAnsi="仿宋" w:eastAsia="仿宋" w:cs="仿宋"/>
          <w:color w:val="000000"/>
          <w:sz w:val="24"/>
          <w:szCs w:val="24"/>
          <w:lang w:bidi="ar"/>
        </w:rPr>
        <w:t xml:space="preserve">数据标注</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1、支持图像标注，提供目标检测、人脸检测及关键点标注、图像分割、OCR场景；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2、支持视频标注，提供视频追踪、视频连续帧检测场景；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3、支持语音标注，提供语音分割、语音自动识别、音频分类标注场景；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4、支持大模型对话标注，提供会议纪要标注、问答生成、多轮对话、思维链标注场景；</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5、支持基础信息配置，包含项目名称、描述、任务类型、关联数据集和标签配置。标签配置支持从标签模板选择或自定义创建。</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6、提供标签模版功能，支持创建三级标注标签模版，并在任务创建时提供选择。支持对标签任务进行基本管理，包括增加、删除和修改标签。</w:t>
      </w:r>
      <w:r>
        <w:rPr>
          <w:rFonts w:hint="eastAsia" w:ascii="仿宋" w:hAnsi="仿宋" w:eastAsia="仿宋" w:cs="仿宋"/>
          <w:color w:val="000000"/>
          <w:sz w:val="24"/>
          <w:szCs w:val="24"/>
          <w:lang w:bidi="ar"/>
        </w:rPr>
      </w:r>
      <w:r/>
    </w:p>
    <w:p>
      <w:pPr>
        <w:pStyle w:val="964"/>
        <w:ind w:firstLine="480"/>
        <w:spacing w:line="0" w:lineRule="atLeas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p>
      <w:pPr>
        <w:pStyle w:val="964"/>
        <w:spacing w:line="0" w:lineRule="atLeast"/>
        <w:rPr>
          <w:rFonts w:eastAsia="方正仿宋_GBK"/>
          <w:bCs/>
          <w:color w:val="000000"/>
          <w:sz w:val="28"/>
          <w:szCs w:val="28"/>
        </w:rPr>
      </w:pPr>
      <w:r>
        <w:rPr>
          <w:rFonts w:hint="eastAsia" w:eastAsia="方正仿宋_GBK"/>
          <w:bCs/>
          <w:color w:val="000000"/>
          <w:sz w:val="28"/>
          <w:szCs w:val="28"/>
        </w:rPr>
        <w:t xml:space="preserve">3</w:t>
      </w:r>
      <w:r>
        <w:rPr>
          <w:rFonts w:eastAsia="方正仿宋_GBK"/>
          <w:bCs/>
          <w:color w:val="000000"/>
          <w:sz w:val="28"/>
          <w:szCs w:val="28"/>
        </w:rPr>
        <w:t xml:space="preserve">.3.配套机房环境</w:t>
      </w:r>
      <w:r>
        <w:rPr>
          <w:rFonts w:eastAsia="方正仿宋_GBK"/>
          <w:bCs/>
          <w:color w:val="000000"/>
          <w:sz w:val="28"/>
          <w:szCs w:val="28"/>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t xml:space="preserve">▲1、机柜采用双路由供电，单机柜功率不低于20KW，配备12路16A电源，其中至少一路为不间断电源；电池后备时间不少于30分钟；</w:t>
      </w:r>
      <w:r>
        <w:rPr>
          <w:rFonts w:hint="eastAsia" w:eastAsia="方正仿宋_GBK"/>
          <w:bCs/>
          <w:color w:val="000000"/>
          <w:sz w:val="24"/>
          <w:szCs w:val="24"/>
        </w:rPr>
        <w:t xml:space="preserve">（提供承诺函并加盖投标人公章，格式自拟）</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t xml:space="preserve">2、配电系统要求：</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t xml:space="preserve">（1）IT设备主机设备、网络设备供电选用A级标准（电压变动范围220V±5%、频率变化范围50Hz±0.2、波形失真率&lt;±5%），数据机房应架设专用可靠的供电电源。</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t xml:space="preserve">（2）机房配电系统采用频率50Hz、电压380V/220V的 TN-S系统，要求能7×24小时供电。</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t xml:space="preserve">（3）动力照明、空调、办公设备由市电供电，IT设备设备和网络设备由不间断稳压电源（UPS）供电。</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eastAsia="方正仿宋_GBK"/>
          <w:bCs/>
          <w:color w:val="000000"/>
          <w:sz w:val="24"/>
          <w:szCs w:val="24"/>
        </w:rPr>
      </w:r>
      <w:r/>
    </w:p>
    <w:p>
      <w:pPr>
        <w:pStyle w:val="964"/>
        <w:spacing w:line="0" w:lineRule="atLeast"/>
        <w:rPr>
          <w:rFonts w:eastAsia="方正仿宋_GBK"/>
          <w:bCs/>
          <w:color w:val="000000"/>
          <w:sz w:val="28"/>
          <w:szCs w:val="28"/>
        </w:rPr>
      </w:pPr>
      <w:r>
        <w:rPr>
          <w:rFonts w:hint="eastAsia" w:eastAsia="方正仿宋_GBK"/>
          <w:bCs/>
          <w:color w:val="000000"/>
          <w:sz w:val="28"/>
          <w:szCs w:val="28"/>
        </w:rPr>
        <w:t xml:space="preserve">3</w:t>
      </w:r>
      <w:r>
        <w:rPr>
          <w:rFonts w:eastAsia="方正仿宋_GBK"/>
          <w:bCs/>
          <w:color w:val="000000"/>
          <w:sz w:val="28"/>
          <w:szCs w:val="28"/>
        </w:rPr>
        <w:t xml:space="preserve">.4.网络安全</w:t>
      </w:r>
      <w:r>
        <w:rPr>
          <w:rFonts w:eastAsia="方正仿宋_GBK"/>
          <w:bCs/>
          <w:color w:val="000000"/>
          <w:sz w:val="28"/>
          <w:szCs w:val="28"/>
        </w:rPr>
      </w:r>
      <w:r/>
    </w:p>
    <w:p>
      <w:pPr>
        <w:pStyle w:val="964"/>
        <w:ind w:firstLine="480"/>
        <w:spacing w:line="0" w:lineRule="atLeast"/>
        <w:rPr>
          <w:rFonts w:hint="eastAsia" w:ascii="仿宋" w:hAnsi="仿宋" w:eastAsia="仿宋"/>
          <w:bCs/>
          <w:color w:val="000000"/>
          <w:sz w:val="24"/>
          <w:szCs w:val="24"/>
        </w:rPr>
      </w:pPr>
      <w:r>
        <w:rPr>
          <w:rFonts w:hint="eastAsia" w:ascii="仿宋" w:hAnsi="仿宋" w:eastAsia="仿宋"/>
          <w:bCs/>
          <w:color w:val="000000"/>
          <w:sz w:val="24"/>
          <w:szCs w:val="24"/>
        </w:rPr>
        <w:t xml:space="preserve">▲1、具备安全接入服务能力，配备相应的安全设施，具备双链路接入专线吞吐量须达到80Gbps，IPsec吞吐量须达到30Gbps,安全设施具备安全策</w:t>
      </w:r>
      <w:r>
        <w:rPr>
          <w:rFonts w:hint="eastAsia" w:ascii="仿宋" w:hAnsi="仿宋" w:eastAsia="仿宋" w:cs="宋体"/>
          <w:bCs/>
          <w:color w:val="000000"/>
          <w:sz w:val="24"/>
          <w:szCs w:val="24"/>
        </w:rPr>
        <w:t xml:space="preserve">略阻</w:t>
      </w:r>
      <w:r>
        <w:rPr>
          <w:rFonts w:hint="eastAsia" w:ascii="仿宋" w:hAnsi="仿宋" w:eastAsia="仿宋" w:cs="___WRD_EMBED_SUB_60"/>
          <w:bCs/>
          <w:color w:val="000000"/>
          <w:sz w:val="24"/>
          <w:szCs w:val="24"/>
        </w:rPr>
        <w:t xml:space="preserve">断时发送反馈报文功能；（提供安全设施官网截图证明或检测报告证明并加盖投标人公章）</w:t>
      </w:r>
      <w:r>
        <w:rPr>
          <w:rFonts w:hint="eastAsia" w:ascii="仿宋" w:hAnsi="仿宋" w:eastAsia="仿宋"/>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2、提供DDOS基础攻击防护功能、多协议病毒检测功能、逃逸检测功能、病毒文件压缩格式检测等功能。</w:t>
      </w:r>
      <w:r>
        <w:rPr>
          <w:rFonts w:eastAsia="方正仿宋_GBK"/>
          <w:bCs/>
          <w:color w:val="000000"/>
          <w:sz w:val="24"/>
          <w:szCs w:val="24"/>
        </w:rPr>
      </w:r>
      <w:r/>
    </w:p>
    <w:p>
      <w:pPr>
        <w:pStyle w:val="964"/>
        <w:spacing w:line="0" w:lineRule="atLeast"/>
        <w:rPr>
          <w:rFonts w:eastAsia="方正仿宋_GBK"/>
          <w:bCs/>
          <w:color w:val="000000"/>
          <w:sz w:val="24"/>
          <w:szCs w:val="24"/>
        </w:rPr>
      </w:pPr>
      <w:r>
        <w:rPr>
          <w:rFonts w:eastAsia="方正仿宋_GBK"/>
          <w:bCs/>
          <w:color w:val="000000"/>
          <w:sz w:val="24"/>
          <w:szCs w:val="24"/>
        </w:rPr>
      </w:r>
      <w:r/>
    </w:p>
    <w:p>
      <w:pPr>
        <w:pStyle w:val="964"/>
        <w:spacing w:line="0" w:lineRule="atLeast"/>
        <w:rPr>
          <w:rFonts w:eastAsia="方正仿宋_GBK"/>
          <w:bCs/>
          <w:color w:val="000000"/>
          <w:sz w:val="28"/>
          <w:szCs w:val="28"/>
        </w:rPr>
      </w:pPr>
      <w:r>
        <w:rPr>
          <w:rFonts w:hint="eastAsia" w:eastAsia="方正仿宋_GBK"/>
          <w:bCs/>
          <w:color w:val="000000"/>
          <w:sz w:val="28"/>
          <w:szCs w:val="28"/>
        </w:rPr>
        <w:t xml:space="preserve">3</w:t>
      </w:r>
      <w:r>
        <w:rPr>
          <w:rFonts w:eastAsia="方正仿宋_GBK"/>
          <w:bCs/>
          <w:color w:val="000000"/>
          <w:sz w:val="28"/>
          <w:szCs w:val="28"/>
        </w:rPr>
        <w:t xml:space="preserve">.5.合规审计服务</w:t>
      </w:r>
      <w:r>
        <w:rPr>
          <w:rFonts w:eastAsia="方正仿宋_GBK"/>
          <w:bCs/>
          <w:color w:val="000000"/>
          <w:sz w:val="28"/>
          <w:szCs w:val="28"/>
        </w:rPr>
      </w:r>
      <w:r/>
    </w:p>
    <w:p>
      <w:pPr>
        <w:pStyle w:val="964"/>
        <w:ind w:firstLine="480"/>
        <w:spacing w:line="0" w:lineRule="atLeast"/>
        <w:rPr>
          <w:rFonts w:hint="eastAsia" w:ascii="仿宋" w:hAnsi="仿宋" w:eastAsia="仿宋" w:cs="___WRD_EMBED_SUB_464"/>
          <w:bCs/>
          <w:color w:val="000000"/>
          <w:sz w:val="24"/>
          <w:szCs w:val="24"/>
        </w:rPr>
      </w:pPr>
      <w:r>
        <w:rPr>
          <w:rFonts w:hint="eastAsia" w:eastAsia="方正仿宋_GBK"/>
          <w:bCs/>
          <w:color w:val="000000"/>
          <w:sz w:val="24"/>
          <w:szCs w:val="24"/>
        </w:rPr>
        <w:t xml:space="preserve">▲</w:t>
      </w:r>
      <w:r>
        <w:rPr>
          <w:rFonts w:hint="eastAsia" w:ascii="仿宋" w:hAnsi="仿宋" w:eastAsia="仿宋"/>
          <w:bCs/>
          <w:color w:val="000000"/>
          <w:sz w:val="24"/>
          <w:szCs w:val="24"/>
        </w:rPr>
        <w:t xml:space="preserve">1、用于对智能体的安全性、合规性和可靠性开展系统化评估、检测、拦截与阻断。支持单轮/多轮对话、任务与模板管理、AI组件漏洞扫描以及Skill脚本等安全评估，支持内容安全检测（包括文本图片内容检测、图文混合攻击检测等能力），可围绕有害/敏感信息等风险进行全面识别、分析、告警及多种方式的阻断，支持模型安全风险告警展示、对话记录及操作日志留存，支持模型自身安全（如算力消耗攻击、填充垃圾字符）的检测和防护。（提供承诺函并加盖投标人公章，格式自拟）</w:t>
      </w:r>
      <w:r>
        <w:rPr>
          <w:rFonts w:hint="eastAsia" w:ascii="仿宋" w:hAnsi="仿宋" w:eastAsia="仿宋" w:cs="___WRD_EMBED_SUB_464"/>
          <w:bCs/>
          <w:color w:val="000000"/>
          <w:sz w:val="24"/>
          <w:szCs w:val="24"/>
        </w:rPr>
      </w:r>
      <w:r/>
    </w:p>
    <w:p>
      <w:pPr>
        <w:pStyle w:val="964"/>
        <w:ind w:firstLine="562"/>
        <w:spacing w:line="0" w:lineRule="atLeast"/>
        <w:rPr>
          <w:rFonts w:eastAsia="方正仿宋_GBK"/>
          <w:b/>
          <w:bCs w:val="0"/>
          <w:color w:val="000000"/>
          <w:sz w:val="28"/>
          <w:szCs w:val="28"/>
          <w:u w:val="single"/>
        </w:rPr>
      </w:pPr>
      <w:r>
        <w:rPr>
          <w:rFonts w:hint="eastAsia" w:eastAsia="方正仿宋_GBK"/>
          <w:b/>
          <w:bCs w:val="0"/>
          <w:color w:val="000000"/>
          <w:sz w:val="28"/>
          <w:szCs w:val="28"/>
          <w:u w:val="single"/>
        </w:rPr>
        <w:t xml:space="preserve">注：带★的为重要技术服务指标，若有负偏离，按无效投标处理。</w:t>
      </w:r>
      <w:r>
        <w:rPr>
          <w:rFonts w:eastAsia="方正仿宋_GBK"/>
          <w:b/>
          <w:bCs w:val="0"/>
          <w:color w:val="000000"/>
          <w:sz w:val="28"/>
          <w:szCs w:val="28"/>
          <w:u w:val="single"/>
        </w:rPr>
      </w:r>
      <w:r/>
    </w:p>
    <w:p>
      <w:pPr>
        <w:pStyle w:val="964"/>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964"/>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四</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964"/>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964"/>
        <w:ind w:firstLine="482"/>
        <w:spacing w:line="0" w:lineRule="atLeast"/>
        <w:rPr>
          <w:rFonts w:eastAsia="方正仿宋_GBK"/>
          <w:b/>
          <w:bCs w:val="0"/>
          <w:color w:val="000000"/>
          <w:sz w:val="24"/>
          <w:szCs w:val="24"/>
        </w:rPr>
      </w:pPr>
      <w:r>
        <w:rPr>
          <w:rFonts w:hint="eastAsia" w:eastAsia="方正仿宋_GBK"/>
          <w:b/>
          <w:bCs w:val="0"/>
          <w:color w:val="000000"/>
          <w:sz w:val="24"/>
          <w:szCs w:val="24"/>
        </w:rPr>
        <w:t xml:space="preserve">（一）采购标的数量、采购项目交付或者实施的时间和地点</w:t>
      </w:r>
      <w:r>
        <w:rPr>
          <w:rFonts w:eastAsia="方正仿宋_GBK"/>
          <w:b/>
          <w:bCs w:val="0"/>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1.采购标的清单及数量：</w:t>
      </w:r>
      <w:r>
        <w:rPr>
          <w:rFonts w:eastAsia="方正仿宋_GBK"/>
          <w:bCs/>
          <w:color w:val="000000"/>
          <w:sz w:val="24"/>
          <w:szCs w:val="24"/>
        </w:rPr>
      </w:r>
      <w:r/>
    </w:p>
    <w:tbl>
      <w:tblPr>
        <w:tblW w:w="4681" w:type="pct"/>
        <w:tblInd w:w="43" w:type="dxa"/>
        <w:tblLayout w:type="fixed"/>
        <w:tblCellMar>
          <w:left w:w="108" w:type="dxa"/>
          <w:top w:w="0" w:type="dxa"/>
          <w:right w:w="108" w:type="dxa"/>
          <w:bottom w:w="0" w:type="dxa"/>
        </w:tblCellMar>
        <w:tblLook w:val="04A0" w:firstRow="1" w:lastRow="0" w:firstColumn="1" w:lastColumn="0" w:noHBand="0" w:noVBand="1"/>
      </w:tblPr>
      <w:tblGrid>
        <w:gridCol w:w="747"/>
        <w:gridCol w:w="1304"/>
        <w:gridCol w:w="4524"/>
        <w:gridCol w:w="2009"/>
      </w:tblGrid>
      <w:tr>
        <w:trPr>
          <w:trHeight w:val="99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序号</w:t>
            </w:r>
            <w:r>
              <w:rPr>
                <w:rFonts w:eastAsia="方正仿宋_GBK"/>
                <w:bCs/>
                <w:color w:val="000000"/>
                <w:sz w:val="24"/>
                <w:szCs w:val="24"/>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名称</w:t>
            </w:r>
            <w:r>
              <w:rPr>
                <w:rFonts w:eastAsia="方正仿宋_GBK"/>
                <w:bCs/>
                <w:color w:val="000000"/>
                <w:sz w:val="24"/>
                <w:szCs w:val="24"/>
              </w:rPr>
            </w:r>
            <w:r/>
          </w:p>
        </w:tc>
        <w:tc>
          <w:tcPr>
            <w:tcBorders>
              <w:top w:val="single" w:color="000000" w:sz="4" w:space="0"/>
              <w:left w:val="none" w:color="000000" w:sz="4" w:space="0"/>
              <w:bottom w:val="single" w:color="000000" w:sz="4" w:space="0"/>
              <w:right w:val="single" w:color="000000" w:sz="4" w:space="0"/>
            </w:tcBorders>
            <w:tcW w:w="2634"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服务内容</w:t>
            </w:r>
            <w:r>
              <w:rPr>
                <w:rFonts w:eastAsia="方正仿宋_GBK"/>
                <w:bCs/>
                <w:color w:val="000000"/>
                <w:sz w:val="24"/>
                <w:szCs w:val="24"/>
              </w:rPr>
            </w:r>
            <w:r/>
          </w:p>
        </w:tc>
        <w:tc>
          <w:tcPr>
            <w:tcBorders>
              <w:top w:val="single" w:color="000000" w:sz="4" w:space="0"/>
              <w:left w:val="none" w:color="000000" w:sz="4" w:space="0"/>
              <w:bottom w:val="single" w:color="000000" w:sz="4" w:space="0"/>
              <w:right w:val="single" w:color="000000" w:sz="4" w:space="0"/>
            </w:tcBorders>
            <w:tcW w:w="1170"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算力卡数量</w:t>
            </w:r>
            <w:r>
              <w:rPr>
                <w:rFonts w:eastAsia="方正仿宋_GBK"/>
                <w:bCs/>
                <w:color w:val="000000"/>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435" w:type="dxa"/>
            <w:vAlign w:val="center"/>
            <w:textDirection w:val="lrTb"/>
            <w:noWrap/>
          </w:tcPr>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1</w:t>
            </w:r>
            <w:r>
              <w:rPr>
                <w:rFonts w:eastAsia="方正仿宋_GBK"/>
                <w:bCs/>
                <w:color w:val="000000"/>
                <w:sz w:val="24"/>
                <w:szCs w:val="24"/>
              </w:rPr>
            </w:r>
            <w:r/>
          </w:p>
        </w:tc>
        <w:tc>
          <w:tcPr>
            <w:tcBorders>
              <w:top w:val="none" w:color="000000" w:sz="4" w:space="0"/>
              <w:left w:val="none" w:color="000000" w:sz="4" w:space="0"/>
              <w:bottom w:val="single" w:color="000000" w:sz="4" w:space="0"/>
              <w:right w:val="single" w:color="000000" w:sz="4" w:space="0"/>
            </w:tcBorders>
            <w:tcW w:w="759"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算力服务（含环境服务、管理服务）</w:t>
            </w:r>
            <w:r>
              <w:rPr>
                <w:rFonts w:eastAsia="方正仿宋_GBK"/>
                <w:bCs/>
                <w:color w:val="000000"/>
                <w:sz w:val="24"/>
                <w:szCs w:val="24"/>
              </w:rPr>
            </w:r>
            <w:r/>
          </w:p>
        </w:tc>
        <w:tc>
          <w:tcPr>
            <w:tcBorders>
              <w:top w:val="none" w:color="000000" w:sz="4" w:space="0"/>
              <w:left w:val="none" w:color="000000" w:sz="4" w:space="0"/>
              <w:bottom w:val="single" w:color="000000" w:sz="4" w:space="0"/>
              <w:right w:val="single" w:color="000000" w:sz="4" w:space="0"/>
            </w:tcBorders>
            <w:tcW w:w="2634" w:type="dxa"/>
            <w:vAlign w:val="center"/>
            <w:textDirection w:val="lrTb"/>
            <w:noWrap w:val="false"/>
          </w:tcPr>
          <w:p>
            <w:pPr>
              <w:pStyle w:val="964"/>
              <w:ind w:firstLine="480"/>
              <w:spacing w:line="0" w:lineRule="atLeast"/>
              <w:rPr>
                <w:rFonts w:eastAsia="仿宋"/>
                <w:bCs/>
                <w:color w:val="000000"/>
                <w:sz w:val="24"/>
                <w:szCs w:val="24"/>
              </w:rPr>
            </w:pPr>
            <w:r>
              <w:rPr>
                <w:rFonts w:hint="eastAsia" w:eastAsia="方正仿宋_GBK"/>
                <w:bCs/>
                <w:color w:val="000000"/>
                <w:sz w:val="24"/>
                <w:szCs w:val="24"/>
              </w:rPr>
              <w:t xml:space="preserve">提供全栈国产服务：算力卡的FP16总算力不低于13PFLOPS，总显存不低于2500GB,AI处理器之间的双向互联带宽均达400GB/s。</w:t>
            </w:r>
            <w:r>
              <w:rPr>
                <w:rFonts w:hint="eastAsia" w:ascii="仿宋" w:hAnsi="仿宋" w:eastAsia="仿宋" w:cs="仿宋"/>
                <w:color w:val="000000"/>
                <w:sz w:val="24"/>
                <w:szCs w:val="24"/>
                <w:lang w:bidi="ar"/>
              </w:rPr>
              <w:t xml:space="preserve">提供不低于16个AI处理器的对等互联服务。</w:t>
            </w:r>
            <w:r>
              <w:rPr>
                <w:rFonts w:eastAsia="仿宋"/>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包含算力资源调度、模型训练推理、算力所需电力、安全防护、公安网络接入、合规审计等。</w:t>
            </w:r>
            <w:r>
              <w:rPr>
                <w:rFonts w:eastAsia="方正仿宋_GBK"/>
                <w:bCs/>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4"/>
              <w:spacing w:line="0" w:lineRule="atLeast"/>
              <w:rPr>
                <w:rFonts w:eastAsia="方正仿宋_GBK"/>
                <w:bCs/>
                <w:color w:val="000000"/>
                <w:sz w:val="24"/>
                <w:szCs w:val="24"/>
              </w:rPr>
            </w:pPr>
            <w:r>
              <w:rPr>
                <w:rFonts w:hint="eastAsia" w:eastAsia="方正仿宋_GBK"/>
                <w:bCs/>
                <w:color w:val="000000"/>
                <w:sz w:val="24"/>
                <w:szCs w:val="24"/>
              </w:rPr>
              <w:t xml:space="preserve">不高于32张</w:t>
            </w:r>
            <w:r>
              <w:rPr>
                <w:rFonts w:eastAsia="方正仿宋_GBK"/>
                <w:bCs/>
                <w:color w:val="000000"/>
                <w:sz w:val="24"/>
                <w:szCs w:val="24"/>
              </w:rPr>
            </w:r>
            <w:r/>
          </w:p>
        </w:tc>
      </w:tr>
    </w:tbl>
    <w:p>
      <w:pPr>
        <w:pStyle w:val="964"/>
        <w:ind w:firstLine="480"/>
        <w:spacing w:line="0" w:lineRule="atLeast"/>
        <w:rPr>
          <w:rFonts w:eastAsia="方正仿宋_GBK"/>
          <w:bCs/>
          <w:color w:val="000000"/>
          <w:sz w:val="24"/>
          <w:szCs w:val="24"/>
        </w:rPr>
      </w:pP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2.交货期（服务时间）：30日内完成供货及安装调试工作。</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3.交货（服务）地点：南通市公安局。</w:t>
      </w:r>
      <w:r>
        <w:rPr>
          <w:rFonts w:eastAsia="方正仿宋_GBK"/>
          <w:bCs/>
          <w:color w:val="000000"/>
          <w:sz w:val="24"/>
          <w:szCs w:val="24"/>
        </w:rPr>
      </w:r>
      <w:r/>
    </w:p>
    <w:p>
      <w:pPr>
        <w:pStyle w:val="964"/>
        <w:ind w:firstLine="482"/>
        <w:spacing w:line="0" w:lineRule="atLeast"/>
        <w:rPr>
          <w:rFonts w:eastAsia="方正仿宋_GBK"/>
          <w:b/>
          <w:bCs w:val="0"/>
          <w:color w:val="000000"/>
          <w:sz w:val="24"/>
          <w:szCs w:val="24"/>
        </w:rPr>
      </w:pPr>
      <w:r>
        <w:rPr>
          <w:rFonts w:hint="eastAsia" w:eastAsia="方正仿宋_GBK"/>
          <w:b/>
          <w:bCs w:val="0"/>
          <w:color w:val="000000"/>
          <w:sz w:val="24"/>
          <w:szCs w:val="24"/>
        </w:rPr>
        <w:t xml:space="preserve">（二）采购标的需满足的服务标准、期限、效率等要求</w:t>
      </w:r>
      <w:r>
        <w:rPr>
          <w:rFonts w:eastAsia="方正仿宋_GBK"/>
          <w:b/>
          <w:bCs w:val="0"/>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1.投标人须提供1年平台管理运维服务。需提供专线（由中标方免费提供）对接至公安现有机房内部网络，采用主备双线路冗余模式。投标人投标时提供承诺函。并根据自身条件和能力提交详细的售后服务计划。售后服务计划应包括提供售后服务的保障措施，要求提供专业维修队伍的规模、业务经验、技术人员等详细情况。</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3.质保期间，中标人须对项目采购清单中的设备每季度进行巡检，确保相关设备处于正常运行状态。巡检后招标人对巡检内容签字确认。</w:t>
      </w:r>
      <w:r>
        <w:rPr>
          <w:rFonts w:eastAsia="方正仿宋_GBK"/>
          <w:bCs/>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4.所有故障报修应及时处理，中标人设置24小时服务热线，15分钟内响应服务需求，一般故障4小时内解决，紧急救援1小时内到达服务现场。并按照甲方要求，对重大安保任务或重大活动，进行全程免费现场保障服务。</w:t>
      </w:r>
      <w:r>
        <w:rPr>
          <w:rFonts w:eastAsia="方正仿宋_GBK"/>
          <w:bCs/>
          <w:color w:val="000000"/>
          <w:sz w:val="24"/>
          <w:szCs w:val="24"/>
        </w:rPr>
      </w:r>
      <w:r/>
    </w:p>
    <w:p>
      <w:pPr>
        <w:pStyle w:val="964"/>
        <w:ind w:firstLine="482"/>
        <w:spacing w:line="0" w:lineRule="atLeast"/>
        <w:rPr>
          <w:rFonts w:eastAsia="方正仿宋_GBK"/>
          <w:b/>
          <w:color w:val="000000"/>
          <w:sz w:val="24"/>
          <w:szCs w:val="24"/>
        </w:rPr>
      </w:pPr>
      <w:r>
        <w:rPr>
          <w:rFonts w:hint="eastAsia" w:eastAsia="方正仿宋_GBK"/>
          <w:b/>
          <w:color w:val="000000"/>
          <w:sz w:val="24"/>
          <w:szCs w:val="24"/>
        </w:rPr>
        <w:t xml:space="preserve">5.项目团队要求：投标人提供拟派项目团队总人数应不少于5人，其中1名为项目负责人，1名为技术负责人。</w:t>
      </w:r>
      <w:r>
        <w:rPr>
          <w:rFonts w:eastAsia="方正仿宋_GBK"/>
          <w:b/>
          <w:color w:val="000000"/>
          <w:sz w:val="24"/>
          <w:szCs w:val="24"/>
        </w:rPr>
      </w:r>
      <w:r/>
    </w:p>
    <w:p>
      <w:pPr>
        <w:pStyle w:val="964"/>
        <w:ind w:firstLine="482"/>
        <w:spacing w:line="0" w:lineRule="atLeast"/>
        <w:rPr>
          <w:rFonts w:eastAsia="方正仿宋_GBK"/>
          <w:b/>
          <w:bCs w:val="0"/>
          <w:color w:val="000000"/>
          <w:sz w:val="24"/>
          <w:szCs w:val="24"/>
        </w:rPr>
      </w:pPr>
      <w:r>
        <w:rPr>
          <w:rFonts w:hint="eastAsia" w:eastAsia="方正仿宋_GBK"/>
          <w:b/>
          <w:bCs w:val="0"/>
          <w:color w:val="000000"/>
          <w:sz w:val="24"/>
          <w:szCs w:val="24"/>
        </w:rPr>
        <w:t xml:space="preserve">（三）采购标的的验收标准</w:t>
      </w:r>
      <w:r>
        <w:rPr>
          <w:rFonts w:eastAsia="方正仿宋_GBK"/>
          <w:b/>
          <w:bCs w:val="0"/>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在接到中标人以书面形式提出验收申请后，在5个工作日内及时组织验收，并出具验收报告，作为支付货款的依据。</w:t>
      </w:r>
      <w:r>
        <w:rPr>
          <w:rFonts w:eastAsia="方正仿宋_GBK"/>
          <w:bCs/>
          <w:color w:val="000000"/>
          <w:sz w:val="24"/>
          <w:szCs w:val="24"/>
        </w:rPr>
      </w:r>
      <w:r/>
    </w:p>
    <w:p>
      <w:pPr>
        <w:pStyle w:val="964"/>
        <w:ind w:firstLine="482"/>
        <w:spacing w:line="0" w:lineRule="atLeast"/>
        <w:rPr>
          <w:rFonts w:eastAsia="方正仿宋_GBK"/>
          <w:b/>
          <w:bCs w:val="0"/>
          <w:color w:val="000000"/>
          <w:sz w:val="24"/>
          <w:szCs w:val="24"/>
        </w:rPr>
      </w:pPr>
      <w:r>
        <w:rPr>
          <w:rFonts w:hint="eastAsia" w:eastAsia="方正仿宋_GBK"/>
          <w:b/>
          <w:bCs w:val="0"/>
          <w:color w:val="000000"/>
          <w:sz w:val="24"/>
          <w:szCs w:val="24"/>
        </w:rPr>
        <w:t xml:space="preserve">（</w:t>
      </w:r>
      <w:r>
        <w:rPr>
          <w:rFonts w:hint="eastAsia" w:eastAsia="方正仿宋_GBK"/>
          <w:b/>
          <w:bCs w:val="0"/>
          <w:color w:val="000000"/>
          <w:sz w:val="24"/>
          <w:szCs w:val="24"/>
          <w:lang w:val="en-US" w:eastAsia="zh-CN"/>
        </w:rPr>
        <w:t xml:space="preserve">四</w:t>
      </w:r>
      <w:r>
        <w:rPr>
          <w:rFonts w:hint="eastAsia" w:eastAsia="方正仿宋_GBK"/>
          <w:b/>
          <w:bCs w:val="0"/>
          <w:color w:val="000000"/>
          <w:sz w:val="24"/>
          <w:szCs w:val="24"/>
        </w:rPr>
        <w:t xml:space="preserve">）付款方式</w:t>
      </w:r>
      <w:r>
        <w:rPr>
          <w:rFonts w:eastAsia="方正仿宋_GBK"/>
          <w:b/>
          <w:bCs w:val="0"/>
          <w:color w:val="000000"/>
          <w:sz w:val="24"/>
          <w:szCs w:val="24"/>
        </w:rPr>
      </w:r>
      <w:r/>
    </w:p>
    <w:p>
      <w:pPr>
        <w:pStyle w:val="964"/>
        <w:ind w:firstLine="480"/>
        <w:spacing w:line="0" w:lineRule="atLeast"/>
        <w:rPr>
          <w:rFonts w:eastAsia="方正仿宋_GBK"/>
          <w:bCs/>
          <w:color w:val="000000"/>
          <w:sz w:val="24"/>
          <w:szCs w:val="24"/>
        </w:rPr>
      </w:pPr>
      <w:r>
        <w:rPr>
          <w:rFonts w:hint="eastAsia" w:eastAsia="方正仿宋_GBK"/>
          <w:bCs/>
          <w:color w:val="000000"/>
          <w:sz w:val="24"/>
          <w:szCs w:val="24"/>
        </w:rPr>
        <w:t xml:space="preserve">本项目服务期为12个月，服务期满后，在预算保障的前提下，经双方协商一致后可续签合同，续签次数不超过两次。若采购政策变化或预算调整，则不续签合同，按新要求重新采购。</w:t>
      </w:r>
      <w:r>
        <w:rPr>
          <w:rFonts w:eastAsia="方正仿宋_GBK"/>
          <w:bCs/>
          <w:color w:val="000000"/>
          <w:sz w:val="24"/>
          <w:szCs w:val="24"/>
        </w:rPr>
      </w:r>
      <w:r/>
    </w:p>
    <w:p>
      <w:pPr>
        <w:pStyle w:val="964"/>
        <w:ind w:firstLine="480"/>
        <w:spacing w:line="0" w:lineRule="atLeast"/>
        <w:rPr>
          <w:rFonts w:eastAsia="方正仿宋_GBK"/>
          <w:bCs/>
          <w:color w:val="000000"/>
          <w:sz w:val="24"/>
          <w:lang w:val="zh-CN"/>
        </w:rPr>
      </w:pPr>
      <w:r>
        <w:rPr>
          <w:rFonts w:hint="eastAsia" w:ascii="仿宋" w:hAnsi="仿宋" w:eastAsia="仿宋"/>
          <w:bCs/>
          <w:color w:val="000000"/>
          <w:sz w:val="24"/>
          <w:lang w:val="zh-CN"/>
        </w:rPr>
        <w:t xml:space="preserve">合同签订后，按月支付服务费（根据甲方</w:t>
      </w:r>
      <w:r>
        <w:rPr>
          <w:rFonts w:hint="eastAsia" w:ascii="仿宋" w:hAnsi="仿宋" w:eastAsia="仿宋" w:cs="宋体"/>
          <w:bCs/>
          <w:color w:val="000000"/>
          <w:sz w:val="24"/>
          <w:lang w:val="zh-CN"/>
        </w:rPr>
        <w:t xml:space="preserve">确认的</w:t>
      </w:r>
      <w:r>
        <w:rPr>
          <w:rFonts w:hint="eastAsia" w:ascii="仿宋" w:hAnsi="仿宋" w:eastAsia="仿宋"/>
          <w:bCs/>
          <w:color w:val="000000"/>
          <w:sz w:val="24"/>
          <w:lang w:val="zh-CN"/>
        </w:rPr>
        <w:t xml:space="preserve">实际使用情况据实结算，如算力卡总数为b张，实际使用a张，则支付合同金额的a/b；服务期内最终结算金额不超过原合同的110%）。</w:t>
      </w:r>
      <w:r>
        <w:rPr>
          <w:rFonts w:eastAsia="方正仿宋_GBK"/>
          <w:bCs/>
          <w:color w:val="000000"/>
          <w:sz w:val="24"/>
          <w:lang w:val="zh-CN"/>
        </w:rPr>
      </w:r>
      <w:r/>
    </w:p>
    <w:p>
      <w:pPr>
        <w:pStyle w:val="964"/>
        <w:ind w:firstLine="482"/>
        <w:spacing w:line="0" w:lineRule="atLeast"/>
        <w:rPr>
          <w:rFonts w:eastAsia="方正仿宋_GBK"/>
          <w:bCs/>
          <w:color w:val="000000"/>
          <w:sz w:val="24"/>
          <w:szCs w:val="24"/>
        </w:rPr>
      </w:pPr>
      <w:r>
        <w:rPr>
          <w:rFonts w:hint="eastAsia" w:ascii="Times New Roman" w:hAnsi="Times New Roman" w:eastAsia="方正仿宋_GBK" w:cs="Times New Roman"/>
          <w:b/>
          <w:bCs w:val="0"/>
          <w:color w:val="000000"/>
          <w:sz w:val="24"/>
          <w:szCs w:val="24"/>
        </w:rPr>
        <w:t xml:space="preserve">（</w:t>
      </w:r>
      <w:r>
        <w:rPr>
          <w:rFonts w:hint="eastAsia" w:ascii="Times New Roman" w:hAnsi="Times New Roman" w:eastAsia="方正仿宋_GBK" w:cs="Times New Roman"/>
          <w:b/>
          <w:bCs w:val="0"/>
          <w:color w:val="000000"/>
          <w:sz w:val="24"/>
          <w:szCs w:val="24"/>
          <w:lang w:val="en-US" w:eastAsia="zh-CN"/>
        </w:rPr>
        <w:t xml:space="preserve">五</w:t>
      </w:r>
      <w:r>
        <w:rPr>
          <w:rFonts w:hint="eastAsia" w:ascii="Times New Roman" w:hAnsi="Times New Roman" w:eastAsia="方正仿宋_GBK" w:cs="Times New Roman"/>
          <w:b/>
          <w:bCs w:val="0"/>
          <w:color w:val="000000"/>
          <w:sz w:val="24"/>
          <w:szCs w:val="24"/>
        </w:rPr>
        <w:t xml:space="preserve">）本项目不收取履约保证金</w:t>
      </w:r>
      <w:r>
        <w:rPr>
          <w:rFonts w:hint="eastAsia" w:ascii="Times New Roman" w:hAnsi="Times New Roman" w:eastAsia="方正仿宋_GBK" w:cs="Times New Roman"/>
          <w:b/>
          <w:bCs w:val="0"/>
          <w:color w:val="000000"/>
          <w:sz w:val="24"/>
          <w:szCs w:val="24"/>
          <w:lang w:eastAsia="zh-CN"/>
        </w:rPr>
        <w:t xml:space="preserve">。</w:t>
      </w:r>
      <w:r>
        <w:rPr>
          <w:rFonts w:eastAsia="方正仿宋_GBK"/>
          <w:bCs/>
          <w:color w:val="000000"/>
          <w:sz w:val="24"/>
          <w:szCs w:val="24"/>
        </w:rPr>
      </w:r>
      <w:r/>
    </w:p>
    <w:p>
      <w:pPr>
        <w:pStyle w:val="964"/>
        <w:ind w:firstLine="482"/>
        <w:spacing w:line="0" w:lineRule="atLeast"/>
        <w:rPr>
          <w:rFonts w:eastAsia="方正仿宋_GBK"/>
          <w:b/>
          <w:bCs w:val="0"/>
          <w:color w:val="000000"/>
          <w:sz w:val="24"/>
          <w:szCs w:val="24"/>
        </w:rPr>
      </w:pPr>
      <w:r>
        <w:rPr>
          <w:rFonts w:hint="eastAsia" w:eastAsia="方正仿宋_GBK"/>
          <w:b/>
          <w:bCs w:val="0"/>
          <w:color w:val="000000"/>
          <w:sz w:val="24"/>
          <w:szCs w:val="24"/>
        </w:rPr>
        <w:t xml:space="preserve">（</w:t>
      </w:r>
      <w:r>
        <w:rPr>
          <w:rFonts w:hint="eastAsia" w:eastAsia="方正仿宋_GBK"/>
          <w:b/>
          <w:bCs w:val="0"/>
          <w:color w:val="000000"/>
          <w:sz w:val="24"/>
          <w:szCs w:val="24"/>
          <w:lang w:val="en-US" w:eastAsia="zh-CN"/>
        </w:rPr>
        <w:t xml:space="preserve">六</w:t>
      </w:r>
      <w:r>
        <w:rPr>
          <w:rFonts w:hint="eastAsia" w:eastAsia="方正仿宋_GBK"/>
          <w:b/>
          <w:bCs w:val="0"/>
          <w:color w:val="000000"/>
          <w:sz w:val="24"/>
          <w:szCs w:val="24"/>
        </w:rPr>
        <w:t xml:space="preserve">）本项目不接受进口产品投标。</w:t>
      </w:r>
      <w:r>
        <w:rPr>
          <w:rFonts w:eastAsia="方正仿宋_GBK"/>
          <w:b/>
          <w:bCs w:val="0"/>
          <w:color w:val="000000"/>
          <w:sz w:val="24"/>
          <w:szCs w:val="24"/>
        </w:rPr>
      </w:r>
      <w:r/>
    </w:p>
    <w:p>
      <w:pPr>
        <w:pStyle w:val="964"/>
        <w:ind w:firstLine="482"/>
        <w:spacing w:line="0" w:lineRule="atLeast"/>
        <w:rPr>
          <w:rFonts w:hint="eastAsia" w:ascii="Times New Roman" w:hAnsi="Times New Roman" w:eastAsia="方正仿宋_GBK" w:cs="Times New Roman"/>
          <w:b/>
          <w:bCs w:val="0"/>
          <w:color w:val="000000"/>
          <w:sz w:val="24"/>
          <w:szCs w:val="24"/>
          <w:lang w:eastAsia="zh-CN"/>
        </w:rPr>
      </w:pPr>
      <w:r>
        <w:rPr>
          <w:rFonts w:hint="eastAsia" w:ascii="Times New Roman" w:hAnsi="Times New Roman" w:eastAsia="方正仿宋_GBK" w:cs="Times New Roman"/>
          <w:b/>
          <w:bCs w:val="0"/>
          <w:color w:val="000000"/>
          <w:sz w:val="24"/>
          <w:szCs w:val="24"/>
          <w:lang w:eastAsia="zh-CN"/>
        </w:rPr>
        <w:t xml:space="preserve">（</w:t>
      </w:r>
      <w:r>
        <w:rPr>
          <w:rFonts w:hint="eastAsia" w:ascii="Times New Roman" w:hAnsi="Times New Roman" w:eastAsia="方正仿宋_GBK" w:cs="Times New Roman"/>
          <w:b/>
          <w:bCs w:val="0"/>
          <w:color w:val="000000"/>
          <w:sz w:val="24"/>
          <w:szCs w:val="24"/>
          <w:lang w:val="en-US" w:eastAsia="zh-CN"/>
        </w:rPr>
        <w:t xml:space="preserve">七</w:t>
      </w:r>
      <w:r>
        <w:rPr>
          <w:rFonts w:hint="eastAsia" w:ascii="Times New Roman" w:hAnsi="Times New Roman" w:eastAsia="方正仿宋_GBK" w:cs="Times New Roman"/>
          <w:b/>
          <w:bCs w:val="0"/>
          <w:color w:val="000000"/>
          <w:sz w:val="24"/>
          <w:szCs w:val="24"/>
          <w:lang w:eastAsia="zh-CN"/>
        </w:rPr>
        <w:t xml:space="preserve">）</w:t>
      </w:r>
      <w:r>
        <w:rPr>
          <w:rFonts w:ascii="Times New Roman" w:hAnsi="Times New Roman" w:eastAsia="方正仿宋_GBK" w:cs="Times New Roman"/>
          <w:b/>
          <w:bCs w:val="0"/>
          <w:color w:val="000000"/>
          <w:sz w:val="24"/>
          <w:szCs w:val="24"/>
        </w:rPr>
        <w:t xml:space="preserve">演示要求</w:t>
      </w:r>
      <w:r>
        <w:rPr>
          <w:rFonts w:hint="eastAsia" w:ascii="Times New Roman" w:hAnsi="Times New Roman" w:eastAsia="方正仿宋_GBK" w:cs="Times New Roman"/>
          <w:b/>
          <w:bCs w:val="0"/>
          <w:color w:val="000000"/>
          <w:sz w:val="24"/>
          <w:szCs w:val="24"/>
          <w:lang w:eastAsia="zh-CN"/>
        </w:rPr>
      </w:r>
      <w:r/>
    </w:p>
    <w:p>
      <w:pPr>
        <w:pStyle w:val="964"/>
        <w:ind w:firstLine="482"/>
        <w:spacing w:line="0" w:lineRule="atLeast"/>
        <w:rPr>
          <w:rFonts w:ascii="Times New Roman" w:hAnsi="Times New Roman" w:eastAsia="方正仿宋_GBK" w:cs="Times New Roman"/>
          <w:b/>
          <w:bCs/>
          <w:color w:val="000000"/>
          <w:sz w:val="24"/>
        </w:rPr>
      </w:pPr>
      <w:r>
        <w:rPr>
          <w:rFonts w:ascii="Times New Roman" w:hAnsi="Times New Roman" w:eastAsia="方正仿宋_GBK" w:cs="Times New Roman"/>
          <w:b/>
          <w:bCs/>
          <w:color w:val="000000"/>
          <w:sz w:val="24"/>
        </w:rPr>
        <w:t xml:space="preserve">演示方式</w:t>
      </w:r>
      <w:r>
        <w:rPr>
          <w:rFonts w:hint="eastAsia" w:ascii="Times New Roman" w:hAnsi="Times New Roman" w:eastAsia="方正仿宋_GBK" w:cs="Times New Roman"/>
          <w:b/>
          <w:bCs/>
          <w:color w:val="000000"/>
          <w:sz w:val="24"/>
          <w:lang w:eastAsia="zh-CN"/>
        </w:rPr>
        <w:t xml:space="preserve">：</w:t>
      </w:r>
      <w:r>
        <w:rPr>
          <w:rFonts w:ascii="Times New Roman" w:hAnsi="Times New Roman" w:eastAsia="方正仿宋_GBK" w:cs="Times New Roman"/>
          <w:b/>
          <w:bCs/>
          <w:color w:val="000000"/>
          <w:sz w:val="24"/>
        </w:rPr>
        <w:t xml:space="preserve">上传视频演示</w:t>
      </w:r>
      <w:r>
        <w:rPr>
          <w:rFonts w:ascii="Times New Roman" w:hAnsi="Times New Roman" w:eastAsia="方正仿宋_GBK" w:cs="Times New Roman"/>
          <w:b/>
          <w:bCs/>
          <w:color w:val="000000"/>
          <w:sz w:val="24"/>
        </w:rPr>
      </w:r>
      <w:r/>
    </w:p>
    <w:p>
      <w:pPr>
        <w:pStyle w:val="964"/>
        <w:ind w:firstLine="480"/>
        <w:spacing w:line="0" w:lineRule="atLeast"/>
        <w:rPr>
          <w:rFonts w:eastAsia="方正仿宋_GBK"/>
          <w:color w:val="000000"/>
          <w:sz w:val="24"/>
        </w:rPr>
      </w:pPr>
      <w:r>
        <w:rPr>
          <w:rFonts w:hint="eastAsia" w:eastAsia="方正仿宋_GBK"/>
          <w:color w:val="000000"/>
          <w:sz w:val="24"/>
          <w:lang w:val="en-US" w:eastAsia="zh-CN"/>
        </w:rPr>
        <w:t xml:space="preserve">1、</w:t>
      </w:r>
      <w:r>
        <w:rPr>
          <w:rFonts w:eastAsia="方正仿宋_GBK"/>
          <w:color w:val="000000"/>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eastAsia="方正仿宋_GBK"/>
          <w:color w:val="000000"/>
          <w:sz w:val="24"/>
          <w:u w:val="single"/>
        </w:rPr>
        <w:t xml:space="preserve">15</w:t>
      </w:r>
      <w:r>
        <w:rPr>
          <w:rFonts w:eastAsia="方正仿宋_GBK"/>
          <w:color w:val="000000"/>
          <w:sz w:val="24"/>
        </w:rPr>
        <w:t xml:space="preserve">分钟</w:t>
      </w:r>
      <w:r>
        <w:rPr>
          <w:rFonts w:hint="eastAsia" w:eastAsia="方正仿宋_GBK"/>
          <w:color w:val="000000"/>
          <w:sz w:val="24"/>
        </w:rPr>
        <w:t xml:space="preserve">。演示内容详见评分办法。</w:t>
      </w:r>
      <w:r>
        <w:rPr>
          <w:rFonts w:eastAsia="方正仿宋_GBK"/>
          <w:color w:val="000000"/>
          <w:sz w:val="24"/>
        </w:rPr>
      </w:r>
      <w:r/>
    </w:p>
    <w:p>
      <w:pPr>
        <w:pStyle w:val="964"/>
        <w:ind w:firstLine="480"/>
        <w:spacing w:line="0" w:lineRule="atLeast"/>
        <w:rPr>
          <w:rFonts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2、</w:t>
      </w:r>
      <w:r>
        <w:rPr>
          <w:rFonts w:hint="eastAsia" w:ascii="Times New Roman" w:hAnsi="Times New Roman" w:eastAsia="方正仿宋_GBK" w:cs="Times New Roman"/>
          <w:color w:val="000000"/>
          <w:sz w:val="24"/>
        </w:rPr>
        <w:t xml:space="preserve">演示</w:t>
      </w:r>
      <w:r>
        <w:rPr>
          <w:rFonts w:ascii="Times New Roman" w:hAnsi="Times New Roman" w:eastAsia="方正仿宋_GBK" w:cs="Times New Roman"/>
          <w:color w:val="000000"/>
          <w:sz w:val="24"/>
        </w:rPr>
        <w:t xml:space="preserve">内容如下：</w:t>
      </w:r>
      <w:r>
        <w:rPr>
          <w:rFonts w:ascii="Times New Roman" w:hAnsi="Times New Roman" w:eastAsia="方正仿宋_GBK" w:cs="Times New Roman"/>
          <w:color w:val="000000"/>
          <w:sz w:val="24"/>
        </w:rPr>
      </w:r>
      <w:r/>
    </w:p>
    <w:p>
      <w:pPr>
        <w:pStyle w:val="964"/>
        <w:ind w:firstLine="482"/>
        <w:spacing w:line="0" w:lineRule="atLeast"/>
        <w:rPr>
          <w:rFonts w:hint="eastAsia" w:ascii="Times New Roman" w:hAnsi="Times New Roman" w:eastAsia="方正仿宋_GBK" w:cs="Times New Roman"/>
          <w:b/>
          <w:bCs/>
          <w:color w:val="000000"/>
          <w:sz w:val="24"/>
          <w:lang w:val="en-US" w:eastAsia="zh-CN"/>
        </w:rPr>
      </w:pPr>
      <w:r>
        <w:rPr>
          <w:rFonts w:hint="eastAsia" w:ascii="Times New Roman" w:hAnsi="Times New Roman" w:eastAsia="方正仿宋_GBK" w:cs="Times New Roman"/>
          <w:b/>
          <w:bCs/>
          <w:color w:val="000000"/>
          <w:sz w:val="24"/>
          <w:lang w:eastAsia="zh-CN"/>
        </w:rPr>
        <w:t xml:space="preserve">（</w:t>
      </w:r>
      <w:r>
        <w:rPr>
          <w:rFonts w:hint="eastAsia" w:ascii="Times New Roman" w:hAnsi="Times New Roman" w:eastAsia="方正仿宋_GBK" w:cs="Times New Roman"/>
          <w:b/>
          <w:bCs/>
          <w:color w:val="000000"/>
          <w:sz w:val="24"/>
          <w:lang w:val="en-US" w:eastAsia="zh-CN"/>
        </w:rPr>
        <w:t xml:space="preserve">1</w:t>
      </w:r>
      <w:r>
        <w:rPr>
          <w:rFonts w:hint="eastAsia" w:ascii="Times New Roman" w:hAnsi="Times New Roman" w:eastAsia="方正仿宋_GBK" w:cs="Times New Roman"/>
          <w:b/>
          <w:bCs/>
          <w:color w:val="000000"/>
          <w:sz w:val="24"/>
          <w:lang w:eastAsia="zh-CN"/>
        </w:rPr>
        <w:t xml:space="preserve">）</w:t>
      </w:r>
      <w:r>
        <w:rPr>
          <w:rFonts w:hint="eastAsia" w:ascii="Times New Roman" w:hAnsi="Times New Roman" w:eastAsia="方正仿宋_GBK" w:cs="Times New Roman"/>
          <w:b/>
          <w:bCs/>
          <w:color w:val="000000"/>
          <w:sz w:val="24"/>
        </w:rPr>
        <w:t xml:space="preserve">算力管理服务</w:t>
      </w:r>
      <w:r>
        <w:rPr>
          <w:rFonts w:hint="eastAsia" w:ascii="Times New Roman" w:hAnsi="Times New Roman" w:eastAsia="方正仿宋_GBK" w:cs="Times New Roman"/>
          <w:b/>
          <w:bCs/>
          <w:color w:val="000000"/>
          <w:sz w:val="24"/>
          <w:lang w:val="en-US" w:eastAsia="zh-CN"/>
        </w:rPr>
        <w:t xml:space="preserve">演示</w:t>
      </w:r>
      <w:r>
        <w:rPr>
          <w:rFonts w:hint="eastAsia" w:ascii="Times New Roman" w:hAnsi="Times New Roman" w:eastAsia="方正仿宋_GBK" w:cs="Times New Roman"/>
          <w:b/>
          <w:bCs/>
          <w:color w:val="000000"/>
          <w:sz w:val="24"/>
          <w:lang w:val="en-US" w:eastAsia="zh-CN"/>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a、</w:t>
      </w:r>
      <w:r>
        <w:rPr>
          <w:rFonts w:hint="eastAsia" w:ascii="Times New Roman" w:hAnsi="Times New Roman" w:eastAsia="方正仿宋_GBK" w:cs="Times New Roman"/>
          <w:color w:val="000000"/>
          <w:sz w:val="24"/>
        </w:rPr>
        <w:t xml:space="preserve">算力分配：演示智能调度算法根据任务类型与优先级自动匹配算力资源，并展示CPU/GPU/NPU等硬件资源统一纳管与集群使用监控；</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b、</w:t>
      </w:r>
      <w:r>
        <w:rPr>
          <w:rFonts w:hint="eastAsia" w:ascii="Times New Roman" w:hAnsi="Times New Roman" w:eastAsia="方正仿宋_GBK" w:cs="Times New Roman"/>
          <w:color w:val="000000"/>
          <w:sz w:val="24"/>
        </w:rPr>
        <w:t xml:space="preserve">资源池管理：演示多警种资源池独占与共享策略配置，以及团队绑定二级资源池并配置使用时长；</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c、</w:t>
      </w:r>
      <w:r>
        <w:rPr>
          <w:rFonts w:hint="eastAsia" w:ascii="Times New Roman" w:hAnsi="Times New Roman" w:eastAsia="方正仿宋_GBK" w:cs="Times New Roman"/>
          <w:color w:val="000000"/>
          <w:sz w:val="24"/>
        </w:rPr>
        <w:t xml:space="preserve">推理服务：演示模型一键部署到推理服务，以及按权限划分平台服务与警种服务；</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d、</w:t>
      </w:r>
      <w:r>
        <w:rPr>
          <w:rFonts w:hint="eastAsia" w:ascii="Times New Roman" w:hAnsi="Times New Roman" w:eastAsia="方正仿宋_GBK" w:cs="Times New Roman"/>
          <w:color w:val="000000"/>
          <w:sz w:val="24"/>
        </w:rPr>
        <w:t xml:space="preserve">数据标注：演示图像标注（含目标检测、人脸关键点）、视频标注（含视频追踪）、大模型对话标注（含会议纪要标注、问答生成）。</w:t>
      </w:r>
      <w:r>
        <w:rPr>
          <w:rFonts w:hint="eastAsia" w:ascii="Times New Roman" w:hAnsi="Times New Roman" w:eastAsia="方正仿宋_GBK" w:cs="Times New Roman"/>
          <w:color w:val="000000"/>
          <w:sz w:val="24"/>
        </w:rPr>
      </w:r>
      <w:r/>
    </w:p>
    <w:p>
      <w:pPr>
        <w:pStyle w:val="964"/>
        <w:ind w:firstLine="482"/>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b/>
          <w:bCs/>
          <w:color w:val="000000"/>
          <w:sz w:val="24"/>
          <w:lang w:eastAsia="zh-CN"/>
        </w:rPr>
        <w:t xml:space="preserve">（</w:t>
      </w:r>
      <w:r>
        <w:rPr>
          <w:rFonts w:hint="eastAsia" w:ascii="Times New Roman" w:hAnsi="Times New Roman" w:eastAsia="方正仿宋_GBK" w:cs="Times New Roman"/>
          <w:b/>
          <w:bCs/>
          <w:color w:val="000000"/>
          <w:sz w:val="24"/>
          <w:lang w:val="en-US" w:eastAsia="zh-CN"/>
        </w:rPr>
        <w:t xml:space="preserve">2</w:t>
      </w:r>
      <w:r>
        <w:rPr>
          <w:rFonts w:hint="eastAsia" w:ascii="Times New Roman" w:hAnsi="Times New Roman" w:eastAsia="方正仿宋_GBK" w:cs="Times New Roman"/>
          <w:b/>
          <w:bCs/>
          <w:color w:val="000000"/>
          <w:sz w:val="24"/>
          <w:lang w:eastAsia="zh-CN"/>
        </w:rPr>
        <w:t xml:space="preserve">）</w:t>
      </w:r>
      <w:r>
        <w:rPr>
          <w:rFonts w:hint="eastAsia" w:ascii="Times New Roman" w:hAnsi="Times New Roman" w:eastAsia="方正仿宋_GBK" w:cs="Times New Roman"/>
          <w:b/>
          <w:bCs/>
          <w:color w:val="000000"/>
          <w:sz w:val="24"/>
        </w:rPr>
        <w:t xml:space="preserve">合规审计功能演示</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a、</w:t>
      </w:r>
      <w:r>
        <w:rPr>
          <w:rFonts w:hint="eastAsia" w:ascii="Times New Roman" w:hAnsi="Times New Roman" w:eastAsia="方正仿宋_GBK" w:cs="Times New Roman"/>
          <w:color w:val="000000"/>
          <w:sz w:val="24"/>
        </w:rPr>
        <w:t xml:space="preserve">智能体风险评估能力1：支持对智能体开展体检式风险评估，可从单轮对话、多轮对话和组件安全（如组件漏洞）等方面，对其安全性、稳定性和风险隐患进行检查。</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b、</w:t>
      </w:r>
      <w:r>
        <w:rPr>
          <w:rFonts w:hint="eastAsia" w:ascii="Times New Roman" w:hAnsi="Times New Roman" w:eastAsia="方正仿宋_GBK" w:cs="Times New Roman"/>
          <w:color w:val="000000"/>
          <w:sz w:val="24"/>
        </w:rPr>
        <w:t xml:space="preserve">智能体风险评估能力2：支持按模板开展评估，对评估任务、测试语料、评估对象和执行计划进行统一配置和管理。</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c、</w:t>
      </w:r>
      <w:r>
        <w:rPr>
          <w:rFonts w:hint="eastAsia" w:ascii="Times New Roman" w:hAnsi="Times New Roman" w:eastAsia="方正仿宋_GBK" w:cs="Times New Roman"/>
          <w:color w:val="000000"/>
          <w:sz w:val="24"/>
        </w:rPr>
        <w:t xml:space="preserve">skill(智能体的工具)安全评估能力：支持对Skill源码进行安全扫描 ，识别潜在安全风险，保障Skill使用安全。</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d、</w:t>
      </w:r>
      <w:r>
        <w:rPr>
          <w:rFonts w:hint="eastAsia" w:ascii="Times New Roman" w:hAnsi="Times New Roman" w:eastAsia="方正仿宋_GBK" w:cs="Times New Roman"/>
          <w:color w:val="000000"/>
          <w:sz w:val="24"/>
        </w:rPr>
        <w:t xml:space="preserve">内容安全评估及保护能力1：支持通过上下文、对抗测试模拟 ，对模型输出内容的安全性、合规性进行综合评估。</w:t>
      </w:r>
      <w:r>
        <w:rPr>
          <w:rFonts w:hint="eastAsia" w:ascii="Times New Roman" w:hAnsi="Times New Roman" w:eastAsia="方正仿宋_GBK" w:cs="Times New Roman"/>
          <w:color w:val="000000"/>
          <w:sz w:val="24"/>
        </w:rPr>
      </w:r>
      <w:r/>
    </w:p>
    <w:p>
      <w:pPr>
        <w:pStyle w:val="964"/>
        <w:ind w:firstLine="480"/>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e、</w:t>
      </w:r>
      <w:r>
        <w:rPr>
          <w:rFonts w:hint="eastAsia" w:ascii="Times New Roman" w:hAnsi="Times New Roman" w:eastAsia="方正仿宋_GBK" w:cs="Times New Roman"/>
          <w:color w:val="000000"/>
          <w:sz w:val="24"/>
        </w:rPr>
        <w:t xml:space="preserve">内容安全评估及保护能力2：可面向提示词注入、多模态混合攻击（图文混合攻击检测，能够对无害文本和无害图片组合形成的图文混合模态攻击行为进行检测与防护）等风险场景进行分析 ，覆盖敏感词安全问题。</w:t>
      </w:r>
      <w:r>
        <w:rPr>
          <w:rFonts w:hint="eastAsia" w:ascii="Times New Roman" w:hAnsi="Times New Roman" w:eastAsia="方正仿宋_GBK" w:cs="Times New Roman"/>
          <w:color w:val="000000"/>
          <w:sz w:val="24"/>
        </w:rPr>
      </w:r>
      <w:r/>
    </w:p>
    <w:p>
      <w:pPr>
        <w:pStyle w:val="964"/>
        <w:ind w:firstLine="480"/>
        <w:spacing w:line="0" w:lineRule="atLeast"/>
        <w:rPr>
          <w:rFonts w:ascii="Times New Roman" w:hAnsi="Times New Roman" w:eastAsia="方正仿宋_GBK" w:cs="Times New Roman"/>
          <w:bCs/>
          <w:sz w:val="24"/>
          <w:szCs w:val="24"/>
        </w:rPr>
      </w:pPr>
      <w:r>
        <w:rPr>
          <w:rFonts w:hint="eastAsia" w:ascii="Times New Roman" w:hAnsi="Times New Roman" w:eastAsia="方正仿宋_GBK" w:cs="Times New Roman"/>
          <w:color w:val="000000"/>
          <w:sz w:val="24"/>
          <w:lang w:val="en-US" w:eastAsia="zh-CN"/>
        </w:rPr>
        <w:t xml:space="preserve">f、</w:t>
      </w:r>
      <w:r>
        <w:rPr>
          <w:rFonts w:hint="eastAsia" w:ascii="Times New Roman" w:hAnsi="Times New Roman" w:eastAsia="方正仿宋_GBK" w:cs="Times New Roman"/>
          <w:color w:val="000000"/>
          <w:sz w:val="24"/>
        </w:rPr>
        <w:t xml:space="preserve">内容安全评估及保护能力3：支持逐段token进行检测和展示，未发现风险则输出下一段，发现风险则立即进行阻断，支持对风险内容进行识别、阻断和告警处置。</w:t>
      </w:r>
      <w:r>
        <w:rPr>
          <w:rFonts w:ascii="Times New Roman" w:hAnsi="Times New Roman" w:eastAsia="方正仿宋_GBK" w:cs="Times New Roman"/>
          <w:bCs/>
          <w:sz w:val="24"/>
          <w:szCs w:val="24"/>
        </w:rPr>
      </w:r>
      <w:r/>
    </w:p>
    <w:p>
      <w:pPr>
        <w:pStyle w:val="964"/>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五</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964"/>
        <w:ind w:firstLine="562"/>
        <w:spacing w:line="480" w:lineRule="exact"/>
        <w:rPr>
          <w:rFonts w:ascii="Times New Roman" w:hAnsi="Times New Roman" w:eastAsia="方正仿宋_GBK" w:cs="Times New Roman"/>
          <w:b/>
          <w:bCs/>
          <w:i/>
          <w:color w:val="000000"/>
          <w:sz w:val="28"/>
          <w:szCs w:val="28"/>
          <w:highlight w:val="none"/>
          <w:u w:val="single"/>
        </w:rPr>
      </w:pPr>
      <w:r>
        <w:rPr>
          <w:rFonts w:ascii="Times New Roman" w:hAnsi="Times New Roman" w:eastAsia="方正仿宋_GBK" w:cs="Times New Roman"/>
          <w:b/>
          <w:bCs/>
          <w:i/>
          <w:sz w:val="28"/>
          <w:szCs w:val="28"/>
          <w:highlight w:val="none"/>
          <w:u w:val="single"/>
        </w:rPr>
        <w:t xml:space="preserve">4.1技术部分实质性要求</w:t>
      </w:r>
      <w:r>
        <w:rPr>
          <w:rFonts w:ascii="Times New Roman" w:hAnsi="Times New Roman" w:eastAsia="方正仿宋_GBK" w:cs="Times New Roman"/>
          <w:b/>
          <w:bCs/>
          <w:i/>
          <w:color w:val="000000"/>
          <w:sz w:val="28"/>
          <w:szCs w:val="28"/>
          <w:highlight w:val="none"/>
          <w:u w:val="single"/>
        </w:rPr>
      </w:r>
      <w:r/>
    </w:p>
    <w:p>
      <w:pPr>
        <w:pStyle w:val="964"/>
        <w:ind w:firstLine="560"/>
        <w:spacing w:line="480" w:lineRule="exact"/>
        <w:rPr>
          <w:rFonts w:ascii="Times New Roman" w:hAnsi="Times New Roman" w:eastAsia="方正仿宋_GBK" w:cs="Times New Roman"/>
          <w:b/>
          <w:bCs/>
          <w:i/>
          <w:sz w:val="28"/>
          <w:szCs w:val="28"/>
          <w:highlight w:val="none"/>
          <w:u w:val="single"/>
        </w:rPr>
      </w:pPr>
      <w:r>
        <w:rPr>
          <w:rFonts w:hint="eastAsia" w:ascii="Times New Roman" w:hAnsi="Times New Roman" w:eastAsia="方正仿宋_GBK" w:cs="Times New Roman"/>
          <w:i/>
          <w:sz w:val="28"/>
          <w:szCs w:val="28"/>
          <w:highlight w:val="none"/>
          <w:u w:val="single"/>
        </w:rPr>
        <w:t xml:space="preserve">4.1.1 算力卡的FP16 总算力不低于13PFLOPS，总显存不低于2500GB，支撑运行的总内存不低于3T。为了最大程度的提升算力利用率和模型训练性能，AI处理器之间的双向互联带宽均不低于400GB/s，提供不低于16个AI处理器的对等互联服务。算力卡总数不超过32张。</w:t>
      </w:r>
      <w:r>
        <w:rPr>
          <w:rFonts w:hint="eastAsia" w:ascii="Times New Roman" w:hAnsi="Times New Roman" w:eastAsia="方正仿宋_GBK" w:cs="Times New Roman"/>
          <w:b/>
          <w:bCs/>
          <w:i/>
          <w:sz w:val="28"/>
          <w:szCs w:val="28"/>
          <w:highlight w:val="none"/>
          <w:u w:val="single"/>
        </w:rPr>
        <w:t xml:space="preserve">（提供承诺函并加盖投标人公章，格式自拟）</w:t>
      </w:r>
      <w:r>
        <w:rPr>
          <w:rFonts w:ascii="Times New Roman" w:hAnsi="Times New Roman" w:eastAsia="方正仿宋_GBK" w:cs="Times New Roman"/>
          <w:b/>
          <w:bCs/>
          <w:i/>
          <w:sz w:val="28"/>
          <w:szCs w:val="28"/>
          <w:highlight w:val="none"/>
          <w:u w:val="single"/>
        </w:rPr>
      </w:r>
      <w:r/>
    </w:p>
    <w:p>
      <w:pPr>
        <w:pStyle w:val="964"/>
        <w:ind w:firstLine="560"/>
        <w:spacing w:line="480" w:lineRule="exact"/>
        <w:rPr>
          <w:rFonts w:hint="eastAsia" w:ascii="Times New Roman" w:hAnsi="Times New Roman" w:eastAsia="方正仿宋_GBK" w:cs="Times New Roman"/>
          <w:b/>
          <w:bCs/>
          <w:i/>
          <w:sz w:val="28"/>
          <w:szCs w:val="28"/>
          <w:highlight w:val="none"/>
          <w:u w:val="single"/>
        </w:rPr>
      </w:pPr>
      <w:r>
        <w:rPr>
          <w:rFonts w:hint="eastAsia" w:ascii="Times New Roman" w:hAnsi="Times New Roman" w:eastAsia="方正仿宋_GBK" w:cs="Times New Roman"/>
          <w:i/>
          <w:sz w:val="28"/>
          <w:szCs w:val="28"/>
          <w:highlight w:val="none"/>
          <w:u w:val="single"/>
        </w:rPr>
        <w:t xml:space="preserve">4.1.2 支持主流的开源大模型，如DeepSeeK V4 Pro及其他参数版本、Qwen3.5及其他参数版本为代表的各类国内主流开源大模型以及公安部公安专业大模型1.0等；</w:t>
      </w:r>
      <w:r>
        <w:rPr>
          <w:rFonts w:hint="eastAsia" w:ascii="Times New Roman" w:hAnsi="Times New Roman" w:eastAsia="方正仿宋_GBK" w:cs="Times New Roman"/>
          <w:b/>
          <w:bCs/>
          <w:i/>
          <w:sz w:val="28"/>
          <w:szCs w:val="28"/>
          <w:highlight w:val="none"/>
          <w:u w:val="single"/>
        </w:rPr>
        <w:t xml:space="preserve">（提供承诺函并加盖投标人公章，格式自拟）</w:t>
      </w:r>
      <w:r>
        <w:rPr>
          <w:rFonts w:hint="eastAsia" w:ascii="Times New Roman" w:hAnsi="Times New Roman" w:eastAsia="方正仿宋_GBK" w:cs="Times New Roman"/>
          <w:b/>
          <w:bCs/>
          <w:i/>
          <w:sz w:val="28"/>
          <w:szCs w:val="28"/>
          <w:highlight w:val="none"/>
          <w:u w:val="single"/>
        </w:rPr>
      </w:r>
      <w:r/>
    </w:p>
    <w:p>
      <w:pPr>
        <w:pStyle w:val="964"/>
        <w:ind w:firstLine="560"/>
        <w:spacing w:line="480" w:lineRule="exact"/>
      </w:pPr>
      <w:r>
        <w:rPr>
          <w:rFonts w:hint="eastAsia" w:ascii="Times New Roman" w:hAnsi="Times New Roman" w:eastAsia="方正仿宋_GBK" w:cs="Times New Roman"/>
          <w:i/>
          <w:sz w:val="28"/>
          <w:szCs w:val="28"/>
          <w:highlight w:val="none"/>
          <w:u w:val="single"/>
        </w:rPr>
        <w:t xml:space="preserve">4.1.3 AI处理器符合安全可靠测评要求，并通过中国信息安全测评中心和国家保密科技测评中心测评。</w:t>
      </w:r>
      <w:r>
        <w:rPr>
          <w:rFonts w:hint="eastAsia" w:ascii="Times New Roman" w:hAnsi="Times New Roman" w:eastAsia="方正仿宋_GBK" w:cs="Times New Roman"/>
          <w:b/>
          <w:bCs/>
          <w:i/>
          <w:sz w:val="28"/>
          <w:szCs w:val="28"/>
          <w:highlight w:val="none"/>
          <w:u w:val="single"/>
        </w:rPr>
        <w:t xml:space="preserve">（提供中国信息安全测评中心公示的安全可靠测评结果截图并加盖投标人公章）</w:t>
      </w:r>
      <w:r/>
    </w:p>
    <w:p>
      <w:pPr>
        <w:pStyle w:val="964"/>
        <w:ind w:firstLine="562"/>
        <w:spacing w:line="480" w:lineRule="exact"/>
        <w:rPr>
          <w:rFonts w:ascii="Times New Roman" w:hAnsi="Times New Roman" w:eastAsia="方正仿宋_GBK" w:cs="Times New Roman"/>
          <w:b/>
          <w:bCs/>
          <w:i/>
          <w:color w:val="000000"/>
          <w:sz w:val="28"/>
          <w:szCs w:val="28"/>
          <w:highlight w:val="none"/>
          <w:u w:val="single"/>
        </w:rPr>
      </w:pPr>
      <w:r>
        <w:rPr>
          <w:rFonts w:ascii="Times New Roman" w:hAnsi="Times New Roman" w:eastAsia="方正仿宋_GBK" w:cs="Times New Roman"/>
          <w:b/>
          <w:bCs/>
          <w:i/>
          <w:sz w:val="28"/>
          <w:szCs w:val="28"/>
          <w:highlight w:val="none"/>
          <w:u w:val="single"/>
        </w:rPr>
        <w:t xml:space="preserve">4.2商务部分实质性要求</w:t>
      </w:r>
      <w:bookmarkStart w:id="193" w:name="_Toc120614281"/>
      <w:r>
        <w:rPr>
          <w:rFonts w:ascii="Times New Roman" w:hAnsi="Times New Roman" w:eastAsia="方正仿宋_GBK" w:cs="Times New Roman"/>
          <w:b/>
          <w:bCs/>
          <w:i/>
          <w:color w:val="000000"/>
          <w:sz w:val="28"/>
          <w:szCs w:val="28"/>
          <w:highlight w:val="none"/>
          <w:u w:val="single"/>
        </w:rPr>
      </w:r>
      <w:r/>
    </w:p>
    <w:p>
      <w:pPr>
        <w:pStyle w:val="964"/>
        <w:ind w:firstLine="560"/>
        <w:spacing w:line="480" w:lineRule="exact"/>
        <w:rPr>
          <w:rFonts w:hint="eastAsia" w:ascii="Times New Roman" w:hAnsi="Times New Roman" w:eastAsia="方正仿宋_GBK" w:cs="Times New Roman"/>
          <w:b/>
          <w:bCs/>
          <w:i/>
          <w:sz w:val="28"/>
          <w:szCs w:val="28"/>
          <w:highlight w:val="none"/>
          <w:u w:val="single"/>
        </w:rPr>
      </w:pPr>
      <w:r>
        <w:rPr>
          <w:rFonts w:hint="eastAsia" w:ascii="Times New Roman" w:hAnsi="Times New Roman" w:eastAsia="方正仿宋_GBK" w:cs="Times New Roman"/>
          <w:i/>
          <w:sz w:val="28"/>
          <w:szCs w:val="28"/>
          <w:highlight w:val="none"/>
          <w:u w:val="single"/>
        </w:rPr>
        <w:t xml:space="preserve">4.2.1投标人须提供1年平台管理运维服务。需提供专线（由中标方免费提供）对接至公安现有机房内部网络，采用主备双线路冗余模式。</w:t>
      </w:r>
      <w:r>
        <w:rPr>
          <w:rFonts w:hint="eastAsia" w:ascii="Times New Roman" w:hAnsi="Times New Roman" w:eastAsia="方正仿宋_GBK" w:cs="Times New Roman"/>
          <w:b/>
          <w:bCs/>
          <w:i/>
          <w:sz w:val="28"/>
          <w:szCs w:val="28"/>
          <w:highlight w:val="none"/>
          <w:u w:val="single"/>
        </w:rPr>
        <w:t xml:space="preserve">（提供承诺函并加盖投标人公章，格式自拟）</w:t>
      </w:r>
      <w:r>
        <w:rPr>
          <w:rFonts w:hint="eastAsia" w:ascii="Times New Roman" w:hAnsi="Times New Roman" w:eastAsia="方正仿宋_GBK" w:cs="Times New Roman"/>
          <w:b/>
          <w:bCs/>
          <w:i/>
          <w:sz w:val="28"/>
          <w:szCs w:val="28"/>
          <w:highlight w:val="none"/>
          <w:u w:val="single"/>
        </w:rPr>
      </w:r>
      <w:r/>
    </w:p>
    <w:p>
      <w:pPr>
        <w:pStyle w:val="965"/>
        <w:jc w:val="both"/>
        <w:rPr>
          <w:rFonts w:hint="eastAsia" w:ascii="黑体" w:eastAsia="黑体"/>
          <w:bCs/>
          <w:sz w:val="44"/>
        </w:rPr>
      </w:pPr>
      <w:r>
        <w:rPr>
          <w:rFonts w:hint="eastAsia" w:ascii="黑体" w:eastAsia="黑体"/>
          <w:bCs/>
          <w:sz w:val="44"/>
        </w:rPr>
      </w:r>
      <w:r/>
    </w:p>
    <w:p>
      <w:pPr>
        <w:pStyle w:val="964"/>
        <w:rPr>
          <w:rFonts w:hint="eastAsia" w:ascii="黑体" w:eastAsia="黑体"/>
          <w:bCs/>
          <w:sz w:val="44"/>
        </w:rPr>
      </w:pPr>
      <w:r>
        <w:rPr>
          <w:rFonts w:hint="eastAsia" w:ascii="黑体" w:eastAsia="黑体"/>
          <w:bCs/>
          <w:sz w:val="44"/>
        </w:rPr>
      </w:r>
      <w:r/>
    </w:p>
    <w:p>
      <w:pPr>
        <w:pStyle w:val="1041"/>
        <w:rPr>
          <w:rFonts w:hint="eastAsia" w:ascii="黑体" w:eastAsia="黑体"/>
          <w:bCs/>
          <w:sz w:val="44"/>
        </w:rPr>
      </w:pPr>
      <w:r>
        <w:rPr>
          <w:rFonts w:hint="eastAsia" w:ascii="黑体" w:eastAsia="黑体"/>
          <w:bCs/>
          <w:sz w:val="44"/>
        </w:rPr>
      </w:r>
      <w:r/>
    </w:p>
    <w:p>
      <w:pPr>
        <w:pStyle w:val="1041"/>
        <w:rPr>
          <w:rFonts w:hint="eastAsia" w:ascii="黑体" w:eastAsia="黑体"/>
          <w:bCs/>
          <w:sz w:val="44"/>
        </w:rPr>
      </w:pPr>
      <w:r>
        <w:rPr>
          <w:rFonts w:hint="eastAsia" w:ascii="黑体" w:eastAsia="黑体"/>
          <w:bCs/>
          <w:sz w:val="44"/>
        </w:rPr>
      </w:r>
      <w:r/>
    </w:p>
    <w:p>
      <w:pPr>
        <w:pStyle w:val="1041"/>
        <w:rPr>
          <w:rFonts w:hint="eastAsia" w:ascii="黑体" w:eastAsia="黑体"/>
          <w:bCs/>
          <w:sz w:val="44"/>
        </w:rPr>
      </w:pPr>
      <w:r>
        <w:rPr>
          <w:rFonts w:hint="eastAsia" w:ascii="黑体" w:eastAsia="黑体"/>
          <w:bCs/>
          <w:sz w:val="44"/>
        </w:rPr>
      </w:r>
      <w:r/>
    </w:p>
    <w:p>
      <w:pPr>
        <w:pStyle w:val="1041"/>
        <w:rPr>
          <w:rFonts w:hint="eastAsia" w:ascii="黑体" w:eastAsia="黑体"/>
          <w:bCs/>
          <w:sz w:val="44"/>
        </w:rPr>
      </w:pPr>
      <w:r>
        <w:rPr>
          <w:rFonts w:hint="eastAsia" w:ascii="黑体" w:eastAsia="黑体"/>
          <w:bCs/>
          <w:sz w:val="44"/>
        </w:rPr>
      </w:r>
      <w:r/>
    </w:p>
    <w:p>
      <w:pPr>
        <w:pStyle w:val="1041"/>
        <w:rPr>
          <w:rFonts w:hint="eastAsia" w:ascii="黑体" w:eastAsia="黑体"/>
          <w:bCs/>
          <w:sz w:val="44"/>
        </w:rPr>
      </w:pPr>
      <w:r>
        <w:rPr>
          <w:rFonts w:hint="eastAsia" w:ascii="黑体" w:eastAsia="黑体"/>
          <w:bCs/>
          <w:sz w:val="44"/>
        </w:rPr>
      </w:r>
      <w:r/>
    </w:p>
    <w:p>
      <w:pPr>
        <w:pStyle w:val="964"/>
        <w:rPr>
          <w:rFonts w:hint="eastAsia" w:ascii="黑体" w:eastAsia="黑体"/>
          <w:bCs/>
          <w:sz w:val="44"/>
        </w:rPr>
      </w:pPr>
      <w:r>
        <w:rPr>
          <w:rFonts w:hint="eastAsia" w:ascii="黑体" w:eastAsia="黑体"/>
          <w:bCs/>
          <w:sz w:val="44"/>
        </w:rPr>
      </w:r>
      <w:r/>
    </w:p>
    <w:p>
      <w:pPr>
        <w:pStyle w:val="965"/>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4"/>
        <w:rPr>
          <w:rFonts w:hint="eastAsia"/>
        </w:rPr>
      </w:pPr>
      <w:r>
        <w:rPr>
          <w:rFonts w:hint="eastAsia"/>
        </w:rPr>
      </w:r>
      <w:r/>
    </w:p>
    <w:p>
      <w:pPr>
        <w:pStyle w:val="1053"/>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6"/>
        <w:gridCol w:w="6011"/>
      </w:tblGrid>
      <w:tr>
        <w:trPr/>
        <w:tc>
          <w:tcPr>
            <w:tcW w:w="2176" w:type="dxa"/>
            <w:vAlign w:val="top"/>
            <w:textDirection w:val="lrTb"/>
            <w:noWrap w:val="false"/>
          </w:tcPr>
          <w:p>
            <w:pPr>
              <w:pStyle w:val="96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011" w:type="dxa"/>
            <w:vAlign w:val="top"/>
            <w:textDirection w:val="lrTb"/>
            <w:noWrap w:val="false"/>
          </w:tcPr>
          <w:p>
            <w:pPr>
              <w:pStyle w:val="96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176" w:type="dxa"/>
            <w:vAlign w:val="top"/>
            <w:textDirection w:val="lrTb"/>
            <w:noWrap w:val="false"/>
          </w:tcPr>
          <w:p>
            <w:pPr>
              <w:pStyle w:val="964"/>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011" w:type="dxa"/>
            <w:vAlign w:val="top"/>
            <w:textDirection w:val="lrTb"/>
            <w:noWrap w:val="false"/>
          </w:tcPr>
          <w:p>
            <w:pPr>
              <w:pStyle w:val="964"/>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1053"/>
        <w:ind w:firstLine="439"/>
        <w:rPr>
          <w:rFonts w:ascii="Times New Roman" w:hAnsi="Times New Roman" w:eastAsia="方正仿宋_GBK" w:cs="Times New Roman"/>
          <w:highlight w:val="yellow"/>
        </w:rPr>
      </w:pPr>
      <w:r>
        <w:rPr>
          <w:rFonts w:ascii="Times New Roman" w:hAnsi="Times New Roman" w:eastAsia="方正仿宋_GBK" w:cs="Times New Roman"/>
          <w:highlight w:val="yellow"/>
        </w:rPr>
      </w:r>
      <w:r/>
    </w:p>
    <w:p>
      <w:pPr>
        <w:pStyle w:val="1053"/>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1053"/>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1、小微型企业价格扣除</w:t>
      </w:r>
      <w:r>
        <w:rPr>
          <w:rFonts w:ascii="Times New Roman" w:hAnsi="Times New Roman" w:eastAsia="方正仿宋_GBK" w:cs="Times New Roman"/>
        </w:rPr>
      </w:r>
      <w:r/>
    </w:p>
    <w:p>
      <w:pPr>
        <w:pStyle w:val="1053"/>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（1）本项目对小型和微型企业提供的服务给予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w:t>
      </w:r>
      <w:r>
        <w:rPr>
          <w:rFonts w:ascii="Times New Roman" w:hAnsi="Times New Roman" w:eastAsia="方正仿宋_GBK" w:cs="Times New Roman"/>
        </w:rPr>
        <w:t xml:space="preserve">扣除价格，用扣除后的价格参与评审。</w:t>
      </w:r>
      <w:r>
        <w:rPr>
          <w:rFonts w:ascii="Times New Roman" w:hAnsi="Times New Roman" w:eastAsia="方正仿宋_GBK" w:cs="Times New Roman"/>
        </w:rPr>
      </w:r>
      <w:r/>
    </w:p>
    <w:p>
      <w:pPr>
        <w:pStyle w:val="1053"/>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（2）供应商需按照采购文件的要求提供相应的《小微企业声明函》。</w:t>
      </w:r>
      <w:r>
        <w:rPr>
          <w:rFonts w:ascii="Times New Roman" w:hAnsi="Times New Roman" w:eastAsia="方正仿宋_GBK" w:cs="Times New Roman"/>
        </w:rPr>
      </w:r>
      <w:r/>
    </w:p>
    <w:p>
      <w:pPr>
        <w:pStyle w:val="1053"/>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（3）企业标准请参照《关于印发中小企业划型标准规定的通知》（工信部联企业〔2011〕300号）文件规定自行填写。</w:t>
      </w:r>
      <w:r>
        <w:rPr>
          <w:rFonts w:ascii="Times New Roman" w:hAnsi="Times New Roman" w:eastAsia="方正仿宋_GBK" w:cs="Times New Roman"/>
        </w:rPr>
      </w:r>
      <w:r/>
    </w:p>
    <w:p>
      <w:pPr>
        <w:pStyle w:val="1053"/>
        <w:spacing w:line="0" w:lineRule="atLeast"/>
        <w:rPr>
          <w:rFonts w:ascii="Times New Roman" w:hAnsi="Times New Roman" w:eastAsia="方正仿宋_GBK" w:cs="Times New Roman"/>
        </w:rPr>
      </w:pPr>
      <w:r>
        <w:rPr>
          <w:rFonts w:ascii="Times New Roman" w:hAnsi="Times New Roman" w:eastAsia="方正仿宋_GBK" w:cs="Times New Roman"/>
        </w:rPr>
        <w:t xml:space="preserve">2、残疾人福利单位价格扣除</w:t>
      </w:r>
      <w:r>
        <w:rPr>
          <w:rFonts w:ascii="Times New Roman" w:hAnsi="Times New Roman" w:eastAsia="方正仿宋_GBK" w:cs="Times New Roman"/>
        </w:rPr>
      </w:r>
      <w:r/>
    </w:p>
    <w:p>
      <w:pPr>
        <w:pStyle w:val="1053"/>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53"/>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（2）残疾人福利单位需按照采购文件的要求提供《残疾人福利性单位声明函》。</w:t>
      </w:r>
      <w:r>
        <w:rPr>
          <w:rFonts w:ascii="Times New Roman" w:hAnsi="Times New Roman" w:eastAsia="方正仿宋_GBK" w:cs="Times New Roman"/>
        </w:rPr>
      </w:r>
      <w:r/>
    </w:p>
    <w:p>
      <w:pPr>
        <w:pStyle w:val="1053"/>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（3）残疾人福利单位标准请参照《关于促进残疾人就业政府采购政策的通知》（财库〔2017〕141号）。</w:t>
      </w:r>
      <w:r>
        <w:rPr>
          <w:rFonts w:ascii="Times New Roman" w:hAnsi="Times New Roman" w:eastAsia="方正仿宋_GBK" w:cs="Times New Roman"/>
        </w:rPr>
      </w:r>
      <w:r/>
    </w:p>
    <w:p>
      <w:pPr>
        <w:pStyle w:val="1053"/>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3、监狱和戒毒企业价格扣除</w:t>
      </w:r>
      <w:r>
        <w:rPr>
          <w:rFonts w:ascii="Times New Roman" w:hAnsi="Times New Roman" w:eastAsia="方正仿宋_GBK" w:cs="Times New Roman"/>
        </w:rPr>
      </w:r>
      <w:r/>
    </w:p>
    <w:p>
      <w:pPr>
        <w:pStyle w:val="1053"/>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（1）本项目对监狱和戒毒企业（简称监狱企业）视同小型、微型企业，给</w:t>
      </w:r>
      <w:r>
        <w:rPr>
          <w:rFonts w:ascii="Times New Roman" w:hAnsi="Times New Roman" w:eastAsia="方正仿宋_GBK" w:cs="Times New Roman"/>
          <w:highlight w:val="none"/>
        </w:rPr>
        <w:t xml:space="preserve">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53"/>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1053"/>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1053"/>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1053"/>
        <w:spacing w:line="400" w:lineRule="exact"/>
        <w:rPr>
          <w:rFonts w:ascii="Times New Roman" w:hAnsi="Times New Roman" w:eastAsia="方正仿宋_GBK" w:cs="Times New Roman"/>
        </w:rPr>
      </w:pPr>
      <w:r>
        <w:rPr>
          <w:rFonts w:ascii="Times New Roman" w:hAnsi="Times New Roman" w:eastAsia="方正仿宋_GBK" w:cs="Times New Roma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eastAsia="方正仿宋_GBK" w:cs="Times New Roman"/>
          <w:u w:val="single"/>
          <w:lang w:val="en-US" w:eastAsia="zh-CN"/>
        </w:rPr>
        <w:t xml:space="preserve">6</w:t>
      </w:r>
      <w:r>
        <w:rPr>
          <w:rFonts w:ascii="Times New Roman" w:hAnsi="Times New Roman" w:eastAsia="方正仿宋_GBK" w:cs="Times New Roman"/>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53"/>
        <w:ind w:left="0" w:firstLine="0"/>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1053"/>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1053"/>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64"/>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64"/>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1053"/>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53"/>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67</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Style w:val="10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序号</w:t>
            </w:r>
            <w:r>
              <w:rPr>
                <w:rFonts w:ascii="Times New Roman" w:hAnsi="Times New Roman" w:eastAsia="方正仿宋_GBK" w:cs="Times New Roman"/>
                <w:b/>
                <w:highlight w:val="none"/>
                <w:vertAlign w:val="baseline"/>
                <w:lang w:val="en-US" w:eastAsia="zh-CN"/>
              </w:rPr>
            </w:r>
            <w:r/>
          </w:p>
        </w:tc>
        <w:tc>
          <w:tcPr>
            <w:tcW w:w="1425"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评分点名称</w:t>
            </w:r>
            <w:r>
              <w:rPr>
                <w:rFonts w:ascii="Times New Roman" w:hAnsi="Times New Roman" w:eastAsia="方正仿宋_GBK" w:cs="Times New Roman"/>
                <w:b/>
                <w:highlight w:val="none"/>
                <w:vertAlign w:val="baseline"/>
                <w:lang w:val="en-US" w:eastAsia="zh-CN"/>
              </w:rPr>
            </w:r>
            <w:r/>
          </w:p>
        </w:tc>
        <w:tc>
          <w:tcPr>
            <w:tcW w:w="3525" w:type="dxa"/>
            <w:vAlign w:val="top"/>
            <w:textDirection w:val="lrTb"/>
            <w:noWrap w:val="false"/>
          </w:tcPr>
          <w:p>
            <w:pPr>
              <w:pStyle w:val="1053"/>
              <w:numPr>
                <w:ilvl w:val="0"/>
                <w:numId w:val="0"/>
              </w:numPr>
              <w:jc w:val="cente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评审标准</w:t>
            </w:r>
            <w:r>
              <w:rPr>
                <w:rFonts w:ascii="Times New Roman" w:hAnsi="Times New Roman" w:eastAsia="方正仿宋_GBK" w:cs="Times New Roman"/>
                <w:b/>
                <w:highlight w:val="none"/>
                <w:vertAlign w:val="baseline"/>
                <w:lang w:val="en-US" w:eastAsia="zh-CN"/>
              </w:rPr>
            </w:r>
            <w:r/>
          </w:p>
        </w:tc>
        <w:tc>
          <w:tcPr>
            <w:tcW w:w="1020"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最高分</w:t>
            </w:r>
            <w:r>
              <w:rPr>
                <w:rFonts w:ascii="Times New Roman" w:hAnsi="Times New Roman" w:eastAsia="方正仿宋_GBK" w:cs="Times New Roman"/>
                <w:b/>
                <w:highlight w:val="none"/>
                <w:vertAlign w:val="baseline"/>
                <w:lang w:val="en-US" w:eastAsia="zh-CN"/>
              </w:rPr>
            </w:r>
            <w:r/>
          </w:p>
        </w:tc>
        <w:tc>
          <w:tcPr>
            <w:tcW w:w="1110"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最低分</w:t>
            </w:r>
            <w:r>
              <w:rPr>
                <w:rFonts w:ascii="Times New Roman" w:hAnsi="Times New Roman" w:eastAsia="方正仿宋_GBK" w:cs="Times New Roman"/>
                <w:b/>
                <w:highlight w:val="none"/>
                <w:vertAlign w:val="baseline"/>
                <w:lang w:val="en-US" w:eastAsia="zh-CN"/>
              </w:rPr>
            </w:r>
            <w:r/>
          </w:p>
        </w:tc>
        <w:tc>
          <w:tcPr>
            <w:tcW w:w="1321"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主/客观分</w:t>
            </w:r>
            <w:r>
              <w:rPr>
                <w:rFonts w:ascii="Times New Roman" w:hAnsi="Times New Roman" w:eastAsia="方正仿宋_GBK" w:cs="Times New Roman"/>
                <w:b/>
                <w:highlight w:val="none"/>
                <w:vertAlign w:val="baseline"/>
                <w:lang w:val="en-US" w:eastAsia="zh-CN"/>
              </w:rPr>
            </w:r>
            <w:r/>
          </w:p>
        </w:tc>
      </w:tr>
      <w:tr>
        <w:trPr/>
        <w:tc>
          <w:tcPr>
            <w:tcW w:w="766"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1</w:t>
            </w:r>
            <w:r>
              <w:rPr>
                <w:rFonts w:ascii="宋体" w:hAnsi="宋体" w:cs="宋体"/>
                <w:color w:val="000000"/>
                <w:sz w:val="18"/>
                <w:szCs w:val="18"/>
                <w:lang w:val="en-US" w:eastAsia="zh-CN" w:bidi="ar-SA"/>
              </w:rPr>
            </w:r>
            <w:r/>
          </w:p>
        </w:tc>
        <w:tc>
          <w:tcPr>
            <w:tcW w:w="1425"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技术响应</w:t>
            </w:r>
            <w:r>
              <w:rPr>
                <w:rFonts w:ascii="宋体" w:hAnsi="宋体" w:cs="宋体"/>
                <w:color w:val="000000"/>
                <w:sz w:val="18"/>
                <w:szCs w:val="18"/>
                <w:lang w:val="en-US" w:eastAsia="zh-CN" w:bidi="ar-SA"/>
              </w:rPr>
            </w:r>
            <w:r/>
          </w:p>
        </w:tc>
        <w:tc>
          <w:tcPr>
            <w:tcW w:w="3525" w:type="dxa"/>
            <w:vAlign w:val="center"/>
            <w:textDirection w:val="lrTb"/>
            <w:noWrap w:val="false"/>
          </w:tcPr>
          <w:p>
            <w:pPr>
              <w:pStyle w:val="964"/>
              <w:jc w:val="left"/>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评委根据招标文件中所明确的产品技术参数要求进行打分。投标人所投产品完全满足招标文件要求的技术参数的，得基本分15分。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1、招标文件《第四章 项目需求 三、技术要求》中标记“▲”的技术参数，投标文件中的技术参数每有一项不符合招标文件要求（或负偏离）的扣2分，扣完为止。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2、招标文件《第四章 项目需求 三、技术要求》中非“★”、非“▲”的技术参数，投标文件中的技术参数每有一项不符合招标文件要求（或负偏离）的扣0.1分，扣完为止。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须提供：《技术部分正负偏离表》、《第四章 项目需求 三、技术要求》中要求的相关证明材料，不满足或者未按招标文件要求提供相应证明材料的，均视为负偏离。</w:t>
            </w:r>
            <w:r>
              <w:rPr>
                <w:rFonts w:ascii="宋体" w:hAnsi="宋体" w:cs="宋体"/>
                <w:color w:val="000000"/>
                <w:sz w:val="18"/>
                <w:szCs w:val="18"/>
                <w:lang w:val="en-US" w:eastAsia="zh-CN" w:bidi="ar-SA"/>
              </w:rPr>
            </w:r>
            <w:r/>
          </w:p>
        </w:tc>
        <w:tc>
          <w:tcPr>
            <w:tcW w:w="102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15</w:t>
            </w:r>
            <w:r>
              <w:rPr>
                <w:rFonts w:ascii="宋体" w:hAnsi="宋体" w:cs="宋体"/>
                <w:b/>
                <w:bCs/>
                <w:color w:val="000000"/>
                <w:sz w:val="18"/>
                <w:szCs w:val="18"/>
                <w:lang w:val="en-US" w:eastAsia="zh-CN" w:bidi="ar-SA"/>
              </w:rPr>
            </w:r>
            <w:r/>
          </w:p>
        </w:tc>
        <w:tc>
          <w:tcPr>
            <w:tcW w:w="111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0</w:t>
            </w:r>
            <w:r>
              <w:rPr>
                <w:rFonts w:ascii="宋体" w:hAnsi="宋体" w:cs="宋体"/>
                <w:b/>
                <w:bCs/>
                <w:color w:val="000000"/>
                <w:sz w:val="18"/>
                <w:szCs w:val="18"/>
                <w:lang w:val="en-US" w:eastAsia="zh-CN" w:bidi="ar-SA"/>
              </w:rPr>
            </w:r>
            <w:r/>
          </w:p>
        </w:tc>
        <w:tc>
          <w:tcPr>
            <w:tcW w:w="1321"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客观分</w:t>
            </w:r>
            <w:r>
              <w:rPr>
                <w:rFonts w:ascii="宋体" w:hAnsi="宋体" w:cs="宋体"/>
                <w:color w:val="000000"/>
                <w:sz w:val="18"/>
                <w:szCs w:val="18"/>
                <w:lang w:val="en-US" w:eastAsia="zh-CN" w:bidi="ar-SA"/>
              </w:rPr>
            </w:r>
            <w:r/>
          </w:p>
        </w:tc>
      </w:tr>
      <w:tr>
        <w:trPr>
          <w:trHeight w:val="22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功能演示1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算力管理服务演示：（该模块功能每项演示分值为1分）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1.算力分配：演示智能调度算法根据任务类型与优先级自动匹配算力资源，并展示CPU/GPU/NPU等硬件资源统一纳管与集群使用监控；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2.资源池管理：演示多警种资源池独占与共享策略配置，以及团队绑定二级资源池并配置使用时长；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3.推理服务：演示模型一键部署到推理服务，以及按权限划分平台服务与警种服务；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4.数据标注：演示图像标注（含目标检测、人脸关键点）、视频标注（含视频追踪）、大模型对话标注（含会议纪要标注、问答生成）。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演示要求：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1.每项功能实际在真实系统中演示得1分，使用DEMO、PPT等非真实系统演示得0.2分，未演示不得分。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投标人演示须对照演示内容逐项逐条完整讲解并实操展示；不得跳项、合并简述；如出现跳项漏讲、描述模糊、功能缺失、刻意回避需求要点等任意一种情况，均判定对应功能不齐全；视为不具备该功能，则该演示项不得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本项最高得分4分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2925"/>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功能演示2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合规审计功能演示：（该模块功能每项演示分值为1分）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1.智能体风险评估能力1：支持对智能体开展体检式风险评估，可从单轮对话、多轮对话和组件安全（如组件漏洞）等方面，对其安全性、稳定性和风险隐患进行检查。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2.智能体风险评估能力2：支持按模板开展评估，对评估任务、测试语料、评估对象和执行计划进行统一配置和管理。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3.skill(智能体的工具)安全评估能力：支持对Skill源码进行安全扫描 ，识别潜在安全风险，保障Skill使用安全。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4.内容安全评估及保护能力1：支持通过上下文、对抗测试模拟 ，对模型输出内容的安全性、合规性进行综合评估。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5.内容安全评估及保护能力2：可面向提示词注入、多模态混合攻击（图文混合攻击检测，能够对无害文本和无害图片组合形成的图文混合模态攻击行为进行检测与防护）等风险场景进行分析 ，覆盖敏感词安全问题。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6.内容安全评估及保护能力3：支持逐段token进行检测和展示，未发现风险则输出下一段，发现风险则立即进行阻断，支持对风险内容进行识别、阻断和告警处置。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演示要求：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1.每项功能实际在真实系统中演示得1分，使用DEMO、PPT等非真实系统演示得0.2分，未演示不得分。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投标人演示须对照演示内容逐项逐条完整讲解并实操展示；不得跳项、合并简述；如出现跳项漏讲、描述模糊、功能缺失、刻意回避需求要点等任意一种情况，均判定对应功能不齐全；视为不具备该功能，则该演示项不得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本项最高得分6分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675"/>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技术服务方案1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widowControl/>
              <w:rPr>
                <w:rFonts w:hint="eastAsia" w:ascii="宋体" w:hAnsi="宋体" w:cs="宋体"/>
                <w:color w:val="000000"/>
                <w:sz w:val="18"/>
                <w:szCs w:val="18"/>
              </w:rPr>
            </w:pPr>
            <w:r>
              <w:rPr>
                <w:rFonts w:hint="eastAsia" w:ascii="宋体" w:hAnsi="宋体" w:cs="宋体"/>
                <w:color w:val="000000"/>
                <w:sz w:val="18"/>
                <w:szCs w:val="18"/>
              </w:rPr>
              <w:t xml:space="preserve">投标人应提供服务保障方案，方案至少包括AI算力服务保障方案、AI开发与训练服务应急响应保障方案、推理使能服务保障方案、实施部署方案、风险分析及对策。方案内容完整、架构清晰、贴合需求、可行性强得 8分；内容基本齐全、逻辑一般、贴合度尚可得 6 分；内容缺失较多、表述不明确、贴合度一般的得 4 分；内容缺失严重、表述简陋、不符合采购要求得 1 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8</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675"/>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技术服务方案2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widowControl/>
              <w:rPr>
                <w:rFonts w:hint="eastAsia" w:ascii="宋体" w:hAnsi="宋体" w:cs="宋体"/>
                <w:color w:val="000000"/>
                <w:sz w:val="18"/>
                <w:szCs w:val="18"/>
              </w:rPr>
            </w:pPr>
            <w:r>
              <w:rPr>
                <w:rFonts w:hint="eastAsia" w:ascii="宋体" w:hAnsi="宋体" w:cs="宋体"/>
                <w:color w:val="000000"/>
                <w:sz w:val="18"/>
                <w:szCs w:val="18"/>
              </w:rPr>
              <w:t xml:space="preserve">投标人须结合采购需求编制AI中台技术服务方案，涵盖平台整体架构及业务流程图、核心技术（包括但不限于异构算力纳管及弹性算力调度等），以及对照平台需求的详细功能介绍等内容。方案内容完整、架构清晰、贴合需求、可行性强得 6分；内容基本齐全、逻辑一般、贴合度尚可得 4 分；内容缺失较多、表述不明确、贴合度一般的得 2 分；内容缺失严重、表述简陋、不符合采购要求得 1 分，不提供不得分。（5）未提交方案的，本项不得分。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675"/>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技术服务方案3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widowControl/>
              <w:rPr>
                <w:rFonts w:hint="eastAsia" w:ascii="宋体" w:hAnsi="宋体" w:cs="宋体"/>
                <w:color w:val="000000"/>
                <w:sz w:val="18"/>
                <w:szCs w:val="18"/>
              </w:rPr>
            </w:pPr>
            <w:r>
              <w:rPr>
                <w:rFonts w:hint="eastAsia" w:ascii="宋体" w:hAnsi="宋体" w:cs="宋体"/>
                <w:color w:val="000000"/>
                <w:sz w:val="18"/>
                <w:szCs w:val="18"/>
              </w:rPr>
              <w:t xml:space="preserve">投标人须结合采购需求编制合规审计服务方案，涵盖平台整体方案架构、部署模式、功能说明及核心能力(包括但不限于输入输出内容分析、智能体风险评估、风险检测、历史对话、策略管理等)等内容。方案内容完整、架构清晰、贴合需求、可行性强得 6分；内容基本齐全、逻辑一般、贴合度尚可得 4 分；内容缺失较多、表述不明确、贴合度一般的得 2 分；内容缺失严重、表述简陋、不符合采购要求得 1 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4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项目实施方案</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投标人根据采购需求提供完整的项目实施方案，包含项目进度计划、质量管理措施、质量控制方法、项目风险管理和项目交付验收方案。方案内容完整、架构清晰、贴合需求、可行性强得 3分；内容基本齐全、逻辑一般、贴合度尚可得 2分；内容缺失较多、表述不明确、贴合度一般的得 1分；不提供不得分。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4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售后及培训方案</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rPr>
              <w:t xml:space="preserve">投标人根据采购需求提供项目售后及培训方案，包含售后服务内容、售后服务流程、售后服务方式、售后服务响应承诺、培训方案。方案内容完整、架构清晰、贴合需求、可行性强得 3分；内容基本齐全、逻辑一般、贴合度尚可得 2分；内容缺失较多、表述不明确、贴合度一般的得 1分；不提供不得分</w:t>
            </w:r>
            <w:r>
              <w:rPr>
                <w:rFonts w:hint="eastAsia" w:ascii="宋体" w:hAnsi="宋体" w:cs="宋体"/>
                <w:color w:val="000000"/>
                <w:sz w:val="18"/>
                <w:szCs w:val="18"/>
                <w:lang w:eastAsia="zh-CN"/>
              </w:rPr>
              <w:t xml:space="preserve">。</w:t>
            </w:r>
            <w:r>
              <w:rPr>
                <w:rFonts w:hint="eastAsia" w:ascii="宋体" w:hAnsi="宋体" w:eastAsia="宋体"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4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应急响应方案</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投标人根据采购需求提供项目应急响应方案，包含应急响应机制、应急响应流程、应急响应团队组织架构、应急资源保障、应急响应服务承诺。方案内容完整、架构清晰、贴合需求、可行性强得 3分；内容基本齐全、逻辑一般、贴合度尚可得 2分；内容缺失较多、表述不明确、贴合度一般的得 1分；不提供不得分。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主观分</w:t>
            </w:r>
            <w:r>
              <w:rPr>
                <w:rFonts w:hint="eastAsia" w:ascii="宋体" w:hAnsi="宋体" w:cs="宋体"/>
                <w:color w:val="000000"/>
                <w:sz w:val="18"/>
                <w:szCs w:val="18"/>
              </w:rPr>
            </w:r>
            <w:r/>
          </w:p>
        </w:tc>
      </w:tr>
      <w:tr>
        <w:trPr>
          <w:trHeight w:val="503"/>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投标人所投AI中台须提供至少2种不同指令集架构的国产CPU兼容性认证证书（须同时包含C86架构及ARM架构），提供1个得1分，不提供不得分，本项最高得2分。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27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投标人所投AI中台须提供与国产服务器操作系统的兼容互认证书或适配认证证书，</w:t>
            </w:r>
            <w:r>
              <w:rPr>
                <w:rFonts w:hint="eastAsia" w:ascii="宋体" w:hAnsi="宋体" w:cs="宋体"/>
                <w:b/>
                <w:bCs/>
                <w:color w:val="000000"/>
                <w:sz w:val="18"/>
                <w:szCs w:val="18"/>
              </w:rPr>
              <w:t xml:space="preserve">且至少覆盖两家主流国产OS，</w:t>
            </w:r>
            <w:r>
              <w:rPr>
                <w:rFonts w:hint="eastAsia" w:ascii="宋体" w:hAnsi="宋体" w:cs="宋体"/>
                <w:color w:val="000000"/>
                <w:sz w:val="18"/>
                <w:szCs w:val="18"/>
              </w:rPr>
              <w:t xml:space="preserve">提供1个得1分，不提供不得分，本项最高得2分。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4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投标人所投AI中台须具备</w:t>
            </w:r>
            <w:r>
              <w:rPr>
                <w:rFonts w:hint="eastAsia" w:ascii="宋体" w:hAnsi="宋体" w:cs="宋体"/>
                <w:b/>
                <w:bCs/>
                <w:color w:val="000000"/>
                <w:sz w:val="18"/>
                <w:szCs w:val="18"/>
              </w:rPr>
              <w:t xml:space="preserve">本项目有关的</w:t>
            </w:r>
            <w:r>
              <w:rPr>
                <w:rFonts w:hint="eastAsia" w:ascii="宋体" w:hAnsi="宋体" w:cs="宋体"/>
                <w:color w:val="000000"/>
                <w:sz w:val="18"/>
                <w:szCs w:val="18"/>
              </w:rPr>
              <w:t xml:space="preserve">软件著作权登记证书、所投AI中台须具备中国信通院认证的可信AI评估证书、所投AI中台须具备中国信通院认证的AI服务能力证书，提供1个得1分，不提供不得分，本项最高得3分。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27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AI训练框架需适配支持主流框架进行模型训练，提供公开社区兼容性链接证明或第三方检测报告并加盖投标人公章，提供得1分，不提供不得分。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27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AI推理框架需支持主流框架进行模型推理，提供公开社区版本链接证明或第三方检测报告并加盖投标人公章，提供得1分，不提供不得分。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27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开源编程语言需支持主流编程语言进行模型算子开发，提供公开社区版本链接证明或第三方检测报告并加盖投标人公章，提供得1分，不提供不得分。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r>
        <w:trPr>
          <w:trHeight w:val="450"/>
        </w:trPr>
        <w:tc>
          <w:tcPr>
            <w:tcBorders>
              <w:top w:val="none" w:color="000000" w:sz="4" w:space="0"/>
              <w:left w:val="single" w:color="000000" w:sz="4" w:space="0"/>
              <w:bottom w:val="single" w:color="000000" w:sz="4" w:space="0"/>
              <w:right w:val="single" w:color="000000" w:sz="4" w:space="0"/>
            </w:tcBorders>
            <w:tcW w:w="766"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5"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服务能力7</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525"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投标人提供AI处理器制造厂商原厂技术支撑，包括模型训练开发、远程与现场支持服务、软件更新服务、工具使用及模型迁移等服务，</w:t>
            </w:r>
            <w:r>
              <w:rPr>
                <w:rFonts w:hint="eastAsia" w:ascii="宋体" w:hAnsi="宋体" w:cs="宋体"/>
                <w:b/>
                <w:bCs/>
                <w:color w:val="000000"/>
                <w:sz w:val="18"/>
                <w:szCs w:val="18"/>
              </w:rPr>
              <w:t xml:space="preserve">提供承诺函并加盖投标人公章</w:t>
            </w:r>
            <w:r>
              <w:rPr>
                <w:rFonts w:hint="eastAsia" w:ascii="宋体" w:hAnsi="宋体" w:cs="宋体"/>
                <w:color w:val="000000"/>
                <w:sz w:val="18"/>
                <w:szCs w:val="18"/>
              </w:rPr>
              <w:t xml:space="preserve">，提供得3分，不提供不得分。</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pStyle w:val="96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21"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rPr>
              <w:t xml:space="preserve">客观分</w:t>
            </w:r>
            <w:r>
              <w:rPr>
                <w:rFonts w:hint="eastAsia" w:ascii="宋体" w:hAnsi="宋体" w:cs="宋体"/>
                <w:color w:val="000000"/>
                <w:sz w:val="18"/>
                <w:szCs w:val="18"/>
              </w:rPr>
            </w:r>
            <w:r/>
          </w:p>
        </w:tc>
      </w:tr>
    </w:tbl>
    <w:p>
      <w:pPr>
        <w:pStyle w:val="1053"/>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53"/>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18</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Style w:val="10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805"/>
        <w:gridCol w:w="5677"/>
        <w:gridCol w:w="660"/>
        <w:gridCol w:w="692"/>
        <w:gridCol w:w="768"/>
      </w:tblGrid>
      <w:tr>
        <w:trPr/>
        <w:tc>
          <w:tcPr>
            <w:tcW w:w="766"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序号</w:t>
            </w:r>
            <w:r>
              <w:rPr>
                <w:rFonts w:ascii="Times New Roman" w:hAnsi="Times New Roman" w:eastAsia="方正仿宋_GBK" w:cs="Times New Roman"/>
                <w:b/>
                <w:highlight w:val="none"/>
                <w:vertAlign w:val="baseline"/>
                <w:lang w:val="en-US" w:eastAsia="zh-CN"/>
              </w:rPr>
            </w:r>
            <w:r/>
          </w:p>
        </w:tc>
        <w:tc>
          <w:tcPr>
            <w:tcW w:w="1425"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评分点名称</w:t>
            </w:r>
            <w:r>
              <w:rPr>
                <w:rFonts w:ascii="Times New Roman" w:hAnsi="Times New Roman" w:eastAsia="方正仿宋_GBK" w:cs="Times New Roman"/>
                <w:b/>
                <w:highlight w:val="none"/>
                <w:vertAlign w:val="baseline"/>
                <w:lang w:val="en-US" w:eastAsia="zh-CN"/>
              </w:rPr>
            </w:r>
            <w:r/>
          </w:p>
        </w:tc>
        <w:tc>
          <w:tcPr>
            <w:tcW w:w="3525" w:type="dxa"/>
            <w:vAlign w:val="top"/>
            <w:textDirection w:val="lrTb"/>
            <w:noWrap w:val="false"/>
          </w:tcPr>
          <w:p>
            <w:pPr>
              <w:pStyle w:val="1053"/>
              <w:numPr>
                <w:ilvl w:val="0"/>
                <w:numId w:val="0"/>
              </w:numPr>
              <w:jc w:val="cente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评审标准</w:t>
            </w:r>
            <w:r>
              <w:rPr>
                <w:rFonts w:ascii="Times New Roman" w:hAnsi="Times New Roman" w:eastAsia="方正仿宋_GBK" w:cs="Times New Roman"/>
                <w:b/>
                <w:highlight w:val="none"/>
                <w:vertAlign w:val="baseline"/>
                <w:lang w:val="en-US" w:eastAsia="zh-CN"/>
              </w:rPr>
            </w:r>
            <w:r/>
          </w:p>
        </w:tc>
        <w:tc>
          <w:tcPr>
            <w:tcW w:w="1020"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最高分</w:t>
            </w:r>
            <w:r>
              <w:rPr>
                <w:rFonts w:ascii="Times New Roman" w:hAnsi="Times New Roman" w:eastAsia="方正仿宋_GBK" w:cs="Times New Roman"/>
                <w:b/>
                <w:highlight w:val="none"/>
                <w:vertAlign w:val="baseline"/>
                <w:lang w:val="en-US" w:eastAsia="zh-CN"/>
              </w:rPr>
            </w:r>
            <w:r/>
          </w:p>
        </w:tc>
        <w:tc>
          <w:tcPr>
            <w:tcW w:w="1110"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最低分</w:t>
            </w:r>
            <w:r>
              <w:rPr>
                <w:rFonts w:ascii="Times New Roman" w:hAnsi="Times New Roman" w:eastAsia="方正仿宋_GBK" w:cs="Times New Roman"/>
                <w:b/>
                <w:highlight w:val="none"/>
                <w:vertAlign w:val="baseline"/>
                <w:lang w:val="en-US" w:eastAsia="zh-CN"/>
              </w:rPr>
            </w:r>
            <w:r/>
          </w:p>
        </w:tc>
        <w:tc>
          <w:tcPr>
            <w:tcW w:w="1321" w:type="dxa"/>
            <w:vAlign w:val="top"/>
            <w:textDirection w:val="lrTb"/>
            <w:noWrap w:val="false"/>
          </w:tcPr>
          <w:p>
            <w:pPr>
              <w:pStyle w:val="1053"/>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主/客观分</w:t>
            </w:r>
            <w:r>
              <w:rPr>
                <w:rFonts w:ascii="Times New Roman" w:hAnsi="Times New Roman" w:eastAsia="方正仿宋_GBK" w:cs="Times New Roman"/>
                <w:b/>
                <w:highlight w:val="none"/>
                <w:vertAlign w:val="baseline"/>
                <w:lang w:val="en-US" w:eastAsia="zh-CN"/>
              </w:rPr>
            </w:r>
            <w:r/>
          </w:p>
        </w:tc>
      </w:tr>
      <w:tr>
        <w:trPr/>
        <w:tc>
          <w:tcPr>
            <w:tcW w:w="766"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1</w:t>
            </w:r>
            <w:r>
              <w:rPr>
                <w:rFonts w:ascii="宋体" w:hAnsi="宋体" w:cs="宋体"/>
                <w:color w:val="000000"/>
                <w:sz w:val="18"/>
                <w:szCs w:val="18"/>
                <w:lang w:val="en-US" w:eastAsia="zh-CN" w:bidi="ar-SA"/>
              </w:rPr>
            </w:r>
            <w:r/>
          </w:p>
        </w:tc>
        <w:tc>
          <w:tcPr>
            <w:tcW w:w="1425"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企业资质</w:t>
            </w:r>
            <w:r>
              <w:rPr>
                <w:rFonts w:ascii="宋体" w:hAnsi="宋体" w:cs="宋体"/>
                <w:color w:val="000000"/>
                <w:sz w:val="18"/>
                <w:szCs w:val="18"/>
                <w:lang w:val="en-US" w:eastAsia="zh-CN" w:bidi="ar-SA"/>
              </w:rPr>
            </w:r>
            <w:r/>
          </w:p>
        </w:tc>
        <w:tc>
          <w:tcPr>
            <w:tcW w:w="3525" w:type="dxa"/>
            <w:vAlign w:val="center"/>
            <w:textDirection w:val="lrTb"/>
            <w:noWrap w:val="false"/>
          </w:tcPr>
          <w:p>
            <w:pPr>
              <w:pStyle w:val="964"/>
              <w:jc w:val="left"/>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投标人具有效的质量管理体系、信息安全管理体系、信息技术服务管理体系认证证书的，每项得1分，最高得3分。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注：以上均需提供相关证书扫描件并加盖投标人公章，如所提供证明材料不全或内容不明，则视为未提供，不予赋分。</w:t>
            </w:r>
            <w:r>
              <w:rPr>
                <w:rFonts w:ascii="宋体" w:hAnsi="宋体" w:cs="宋体"/>
                <w:color w:val="000000"/>
                <w:sz w:val="18"/>
                <w:szCs w:val="18"/>
                <w:lang w:val="en-US" w:eastAsia="zh-CN" w:bidi="ar-SA"/>
              </w:rPr>
            </w:r>
            <w:r/>
          </w:p>
        </w:tc>
        <w:tc>
          <w:tcPr>
            <w:tcW w:w="102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3</w:t>
            </w:r>
            <w:r>
              <w:rPr>
                <w:rFonts w:ascii="宋体" w:hAnsi="宋体" w:cs="宋体"/>
                <w:b/>
                <w:bCs/>
                <w:color w:val="000000"/>
                <w:sz w:val="18"/>
                <w:szCs w:val="18"/>
                <w:lang w:val="en-US" w:eastAsia="zh-CN" w:bidi="ar-SA"/>
              </w:rPr>
            </w:r>
            <w:r/>
          </w:p>
        </w:tc>
        <w:tc>
          <w:tcPr>
            <w:tcW w:w="111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0</w:t>
            </w:r>
            <w:r>
              <w:rPr>
                <w:rFonts w:ascii="宋体" w:hAnsi="宋体" w:cs="宋体"/>
                <w:b/>
                <w:bCs/>
                <w:color w:val="000000"/>
                <w:sz w:val="18"/>
                <w:szCs w:val="18"/>
                <w:lang w:val="en-US" w:eastAsia="zh-CN" w:bidi="ar-SA"/>
              </w:rPr>
            </w:r>
            <w:r/>
          </w:p>
        </w:tc>
        <w:tc>
          <w:tcPr>
            <w:tcW w:w="1321"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客观分</w:t>
            </w:r>
            <w:r>
              <w:rPr>
                <w:rFonts w:ascii="宋体" w:hAnsi="宋体" w:cs="宋体"/>
                <w:color w:val="000000"/>
                <w:sz w:val="18"/>
                <w:szCs w:val="18"/>
                <w:lang w:val="en-US" w:eastAsia="zh-CN" w:bidi="ar-SA"/>
              </w:rPr>
            </w:r>
            <w:r/>
          </w:p>
        </w:tc>
      </w:tr>
      <w:tr>
        <w:trPr/>
        <w:tc>
          <w:tcPr>
            <w:tcW w:w="766"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2</w:t>
            </w:r>
            <w:r>
              <w:rPr>
                <w:rFonts w:ascii="宋体" w:hAnsi="宋体" w:cs="宋体"/>
                <w:color w:val="000000"/>
                <w:sz w:val="18"/>
                <w:szCs w:val="18"/>
                <w:lang w:val="en-US" w:eastAsia="zh-CN" w:bidi="ar-SA"/>
              </w:rPr>
            </w:r>
            <w:r/>
          </w:p>
        </w:tc>
        <w:tc>
          <w:tcPr>
            <w:tcW w:w="1425"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项目团队</w:t>
            </w:r>
            <w:r>
              <w:rPr>
                <w:rFonts w:ascii="宋体" w:hAnsi="宋体" w:cs="宋体"/>
                <w:color w:val="000000"/>
                <w:sz w:val="18"/>
                <w:szCs w:val="18"/>
                <w:lang w:val="en-US" w:eastAsia="zh-CN" w:bidi="ar-SA"/>
              </w:rPr>
            </w:r>
            <w:r/>
          </w:p>
        </w:tc>
        <w:tc>
          <w:tcPr>
            <w:tcW w:w="3525" w:type="dxa"/>
            <w:vAlign w:val="center"/>
            <w:textDirection w:val="lrTb"/>
            <w:noWrap w:val="false"/>
          </w:tcPr>
          <w:p>
            <w:pPr>
              <w:pStyle w:val="964"/>
              <w:jc w:val="left"/>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1、投标人拟派项目负责人（限1人）具有信息系统项目管理师（高级）、网络工程师，每提供1个证书得1分，本项最高得2分；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2、投标人拟派技术负责人（限1人）具有信息技术应用创新考试评价证书（高级）、网络安全架构师（高级），每提供1个证书得1分，本项最高得2分；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3、投标人拟派团队成员（除项目负责人和技术负责人外）具有数据安全工程师、数据库工程师、数据中心运维管理工程师证书，每提供一个证书得1分，同类型重复提供不重复得分，本项最高得3分；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以上证书均须由中华人民共和国人力资源和社会保障部、工业和信息化部、工业和信息化部教育与考试中心批准颁发，提供上述人员有效的证书复印件、近一年内任意一个月社保缴纳证明材料，并加盖投标人公章。因所提供证明材料不全、内容不清晰或无法辨认，导致评标委员会无法认定时，则视为未提供，不予赋分。</w:t>
            </w:r>
            <w:r>
              <w:rPr>
                <w:rFonts w:ascii="宋体" w:hAnsi="宋体" w:cs="宋体"/>
                <w:color w:val="000000"/>
                <w:sz w:val="18"/>
                <w:szCs w:val="18"/>
                <w:lang w:val="en-US" w:eastAsia="zh-CN" w:bidi="ar-SA"/>
              </w:rPr>
            </w:r>
            <w:r/>
          </w:p>
        </w:tc>
        <w:tc>
          <w:tcPr>
            <w:tcW w:w="102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7</w:t>
            </w:r>
            <w:r>
              <w:rPr>
                <w:rFonts w:ascii="宋体" w:hAnsi="宋体" w:cs="宋体"/>
                <w:b/>
                <w:bCs/>
                <w:color w:val="000000"/>
                <w:sz w:val="18"/>
                <w:szCs w:val="18"/>
                <w:lang w:val="en-US" w:eastAsia="zh-CN" w:bidi="ar-SA"/>
              </w:rPr>
            </w:r>
            <w:r/>
          </w:p>
        </w:tc>
        <w:tc>
          <w:tcPr>
            <w:tcW w:w="111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0</w:t>
            </w:r>
            <w:r>
              <w:rPr>
                <w:rFonts w:ascii="宋体" w:hAnsi="宋体" w:cs="宋体"/>
                <w:b/>
                <w:bCs/>
                <w:color w:val="000000"/>
                <w:sz w:val="18"/>
                <w:szCs w:val="18"/>
                <w:lang w:val="en-US" w:eastAsia="zh-CN" w:bidi="ar-SA"/>
              </w:rPr>
            </w:r>
            <w:r/>
          </w:p>
        </w:tc>
        <w:tc>
          <w:tcPr>
            <w:tcW w:w="1321"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客观分</w:t>
            </w:r>
            <w:r>
              <w:rPr>
                <w:rFonts w:ascii="宋体" w:hAnsi="宋体" w:cs="宋体"/>
                <w:color w:val="000000"/>
                <w:sz w:val="18"/>
                <w:szCs w:val="18"/>
                <w:lang w:val="en-US" w:eastAsia="zh-CN" w:bidi="ar-SA"/>
              </w:rPr>
            </w:r>
            <w:r/>
          </w:p>
        </w:tc>
      </w:tr>
      <w:tr>
        <w:trPr/>
        <w:tc>
          <w:tcPr>
            <w:tcW w:w="766"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3</w:t>
            </w:r>
            <w:r>
              <w:rPr>
                <w:rFonts w:ascii="宋体" w:hAnsi="宋体" w:cs="宋体"/>
                <w:color w:val="000000"/>
                <w:sz w:val="18"/>
                <w:szCs w:val="18"/>
                <w:lang w:val="en-US" w:eastAsia="zh-CN" w:bidi="ar-SA"/>
              </w:rPr>
            </w:r>
            <w:r/>
          </w:p>
        </w:tc>
        <w:tc>
          <w:tcPr>
            <w:tcW w:w="1425"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业绩案例</w:t>
            </w:r>
            <w:r>
              <w:rPr>
                <w:rFonts w:ascii="宋体" w:hAnsi="宋体" w:cs="宋体"/>
                <w:color w:val="000000"/>
                <w:sz w:val="18"/>
                <w:szCs w:val="18"/>
                <w:lang w:val="en-US" w:eastAsia="zh-CN" w:bidi="ar-SA"/>
              </w:rPr>
            </w:r>
            <w:r/>
          </w:p>
        </w:tc>
        <w:tc>
          <w:tcPr>
            <w:tcW w:w="3525" w:type="dxa"/>
            <w:vAlign w:val="center"/>
            <w:textDirection w:val="lrTb"/>
            <w:noWrap w:val="false"/>
          </w:tcPr>
          <w:p>
            <w:pPr>
              <w:pStyle w:val="964"/>
              <w:jc w:val="left"/>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自2023年1月1日（以合同签订时间为准）起，投标人具有算力服务类或与本项目相关的已承接项目业绩，每提供1项有效业绩得2分，本项最高得8分。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注：投标时须提供合同扫描件（合同扫描件包括但不限于：服务内容、合同签订时间、甲乙双方盖章页），提供不全、未加盖投标人公章或内容不清晰的，视为无效合同业绩处理。</w:t>
            </w:r>
            <w:r>
              <w:rPr>
                <w:rFonts w:ascii="宋体" w:hAnsi="宋体" w:cs="宋体"/>
                <w:color w:val="000000"/>
                <w:sz w:val="18"/>
                <w:szCs w:val="18"/>
                <w:lang w:val="en-US" w:eastAsia="zh-CN" w:bidi="ar-SA"/>
              </w:rPr>
            </w:r>
            <w:r/>
          </w:p>
        </w:tc>
        <w:tc>
          <w:tcPr>
            <w:tcW w:w="102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8</w:t>
            </w:r>
            <w:r>
              <w:rPr>
                <w:rFonts w:ascii="宋体" w:hAnsi="宋体" w:cs="宋体"/>
                <w:b/>
                <w:bCs/>
                <w:color w:val="000000"/>
                <w:sz w:val="18"/>
                <w:szCs w:val="18"/>
                <w:lang w:val="en-US" w:eastAsia="zh-CN" w:bidi="ar-SA"/>
              </w:rPr>
            </w:r>
            <w:r/>
          </w:p>
        </w:tc>
        <w:tc>
          <w:tcPr>
            <w:tcW w:w="1110" w:type="dxa"/>
            <w:vAlign w:val="center"/>
            <w:textDirection w:val="lrTb"/>
            <w:noWrap w:val="false"/>
          </w:tcPr>
          <w:p>
            <w:pPr>
              <w:pStyle w:val="964"/>
              <w:jc w:val="center"/>
              <w:widowControl/>
              <w:rPr>
                <w:rFonts w:ascii="宋体" w:hAnsi="宋体" w:cs="宋体"/>
                <w:b/>
                <w:bCs/>
                <w:color w:val="000000"/>
                <w:sz w:val="18"/>
                <w:szCs w:val="18"/>
                <w:lang w:val="en-US" w:eastAsia="zh-CN" w:bidi="ar-SA"/>
              </w:rPr>
            </w:pPr>
            <w:r>
              <w:rPr>
                <w:rFonts w:hint="eastAsia" w:ascii="宋体" w:hAnsi="宋体" w:cs="宋体"/>
                <w:b/>
                <w:bCs/>
                <w:color w:val="000000"/>
                <w:sz w:val="18"/>
                <w:szCs w:val="18"/>
              </w:rPr>
              <w:t xml:space="preserve">0</w:t>
            </w:r>
            <w:r>
              <w:rPr>
                <w:rFonts w:ascii="宋体" w:hAnsi="宋体" w:cs="宋体"/>
                <w:b/>
                <w:bCs/>
                <w:color w:val="000000"/>
                <w:sz w:val="18"/>
                <w:szCs w:val="18"/>
                <w:lang w:val="en-US" w:eastAsia="zh-CN" w:bidi="ar-SA"/>
              </w:rPr>
            </w:r>
            <w:r/>
          </w:p>
        </w:tc>
        <w:tc>
          <w:tcPr>
            <w:tcW w:w="1321" w:type="dxa"/>
            <w:vAlign w:val="center"/>
            <w:textDirection w:val="lrTb"/>
            <w:noWrap w:val="false"/>
          </w:tcPr>
          <w:p>
            <w:pPr>
              <w:pStyle w:val="964"/>
              <w:jc w:val="center"/>
              <w:widowControl/>
              <w:rPr>
                <w:rFonts w:ascii="宋体" w:hAnsi="宋体" w:cs="宋体"/>
                <w:color w:val="000000"/>
                <w:sz w:val="18"/>
                <w:szCs w:val="18"/>
                <w:lang w:val="en-US" w:eastAsia="zh-CN" w:bidi="ar-SA"/>
              </w:rPr>
            </w:pPr>
            <w:r>
              <w:rPr>
                <w:rFonts w:hint="eastAsia" w:ascii="宋体" w:hAnsi="宋体" w:cs="宋体"/>
                <w:color w:val="000000"/>
                <w:sz w:val="18"/>
                <w:szCs w:val="18"/>
              </w:rPr>
              <w:t xml:space="preserve">客观分</w:t>
            </w:r>
            <w:r>
              <w:rPr>
                <w:rFonts w:ascii="宋体" w:hAnsi="宋体" w:cs="宋体"/>
                <w:color w:val="000000"/>
                <w:sz w:val="18"/>
                <w:szCs w:val="18"/>
                <w:lang w:val="en-US" w:eastAsia="zh-CN" w:bidi="ar-SA"/>
              </w:rPr>
            </w:r>
            <w:r/>
          </w:p>
        </w:tc>
      </w:tr>
    </w:tbl>
    <w:p>
      <w:pPr>
        <w:pStyle w:val="964"/>
        <w:rPr>
          <w:rFonts w:hint="eastAsia"/>
        </w:rPr>
      </w:pPr>
      <w:r>
        <w:rPr>
          <w:rFonts w:hint="eastAsia"/>
        </w:rPr>
      </w:r>
      <w:r/>
    </w:p>
    <w:p>
      <w:pPr>
        <w:pStyle w:val="964"/>
        <w:rPr>
          <w:rFonts w:hint="eastAsia"/>
        </w:rPr>
      </w:pPr>
      <w:r>
        <w:rPr>
          <w:rFonts w:hint="eastAsia"/>
        </w:rPr>
      </w:r>
      <w:r/>
    </w:p>
    <w:p>
      <w:pPr>
        <w:pStyle w:val="1030"/>
        <w:rPr>
          <w:rFonts w:hint="eastAsia"/>
        </w:rPr>
      </w:pPr>
      <w:r>
        <w:rPr>
          <w:rFonts w:hint="eastAsia"/>
        </w:rPr>
      </w:r>
      <w:r/>
    </w:p>
    <w:p>
      <w:pPr>
        <w:pStyle w:val="1030"/>
        <w:rPr>
          <w:rFonts w:hint="eastAsia"/>
        </w:rPr>
      </w:pPr>
      <w:r>
        <w:rPr>
          <w:rFonts w:hint="eastAsia"/>
        </w:rPr>
      </w:r>
      <w:r/>
    </w:p>
    <w:p>
      <w:pPr>
        <w:pStyle w:val="1030"/>
        <w:ind w:left="0" w:firstLine="0"/>
        <w:rPr>
          <w:rFonts w:hint="eastAsia"/>
        </w:rPr>
      </w:pPr>
      <w:r>
        <w:rPr>
          <w:rFonts w:hint="eastAsia"/>
        </w:rPr>
      </w:r>
      <w:r/>
    </w:p>
    <w:p>
      <w:pPr>
        <w:pStyle w:val="1030"/>
        <w:ind w:left="0" w:firstLine="0"/>
        <w:rPr>
          <w:rFonts w:hint="eastAsia"/>
        </w:rPr>
      </w:pPr>
      <w:r>
        <w:rPr>
          <w:rFonts w:hint="eastAsia"/>
        </w:rPr>
      </w:r>
      <w:r/>
    </w:p>
    <w:p>
      <w:pPr>
        <w:pStyle w:val="965"/>
        <w:rPr>
          <w:rFonts w:hint="eastAsia" w:ascii="黑体" w:eastAsia="黑体"/>
          <w:bCs/>
          <w:sz w:val="44"/>
        </w:rPr>
      </w:pPr>
      <w:r>
        <w:rPr>
          <w:rFonts w:hint="eastAsia" w:ascii="黑体" w:eastAsia="黑体"/>
          <w:bCs/>
          <w:sz w:val="44"/>
        </w:rPr>
      </w:r>
      <w:r/>
    </w:p>
    <w:p>
      <w:pPr>
        <w:pStyle w:val="965"/>
        <w:jc w:val="both"/>
        <w:rPr>
          <w:rFonts w:hint="eastAsia" w:ascii="黑体" w:eastAsia="黑体"/>
          <w:bCs/>
          <w:sz w:val="44"/>
        </w:rPr>
      </w:pPr>
      <w:r>
        <w:rPr>
          <w:rFonts w:hint="eastAsia" w:ascii="黑体" w:eastAsia="黑体"/>
          <w:bCs/>
          <w:sz w:val="44"/>
        </w:rPr>
      </w:r>
      <w:r/>
    </w:p>
    <w:p>
      <w:pPr>
        <w:pStyle w:val="965"/>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964"/>
        <w:jc w:val="center"/>
        <w:rPr>
          <w:rFonts w:hint="eastAsia" w:ascii="宋体" w:hAnsi="宋体"/>
          <w:b/>
          <w:sz w:val="72"/>
        </w:rPr>
      </w:pPr>
      <w:r/>
      <w:bookmarkStart w:id="194" w:name="_Hlt26955039"/>
      <w:r/>
      <w:bookmarkEnd w:id="194"/>
      <w:r/>
      <w:bookmarkStart w:id="195" w:name="_Hlt26671244"/>
      <w:r/>
      <w:bookmarkEnd w:id="195"/>
      <w:r/>
      <w:bookmarkStart w:id="196" w:name="_Toc120614282"/>
      <w:r/>
      <w:bookmarkStart w:id="197" w:name="_Toc26554094"/>
      <w:r/>
      <w:bookmarkStart w:id="198" w:name="_Toc49090576"/>
      <w:r>
        <w:rPr>
          <w:rFonts w:hint="eastAsia" w:ascii="宋体" w:hAnsi="宋体"/>
          <w:b/>
          <w:sz w:val="72"/>
        </w:rPr>
      </w:r>
      <w:r/>
    </w:p>
    <w:p>
      <w:pPr>
        <w:pStyle w:val="96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64"/>
        <w:jc w:val="center"/>
        <w:rPr>
          <w:rFonts w:hint="eastAsia" w:ascii="宋体" w:hAnsi="宋体"/>
          <w:b/>
          <w:sz w:val="72"/>
        </w:rPr>
      </w:pPr>
      <w:r>
        <w:rPr>
          <w:rFonts w:hint="eastAsia" w:ascii="宋体" w:hAnsi="宋体"/>
          <w:b/>
          <w:sz w:val="72"/>
        </w:rPr>
      </w:r>
      <w:r/>
    </w:p>
    <w:p>
      <w:pPr>
        <w:pStyle w:val="964"/>
        <w:jc w:val="center"/>
        <w:rPr>
          <w:rFonts w:hint="eastAsia" w:ascii="宋体" w:hAnsi="宋体"/>
          <w:b/>
          <w:sz w:val="72"/>
        </w:rPr>
      </w:pPr>
      <w:r>
        <w:rPr>
          <w:rFonts w:hint="eastAsia" w:ascii="宋体" w:hAnsi="宋体"/>
          <w:b/>
          <w:sz w:val="72"/>
        </w:rPr>
      </w:r>
      <w:r/>
    </w:p>
    <w:p>
      <w:pPr>
        <w:pStyle w:val="964"/>
        <w:jc w:val="center"/>
        <w:rPr>
          <w:rFonts w:hint="eastAsia" w:ascii="宋体" w:hAnsi="宋体"/>
          <w:b/>
          <w:sz w:val="36"/>
        </w:rPr>
      </w:pPr>
      <w:r>
        <w:rPr>
          <w:rFonts w:hint="eastAsia" w:ascii="宋体" w:hAnsi="宋体"/>
          <w:b/>
          <w:sz w:val="36"/>
        </w:rPr>
      </w:r>
      <w:r/>
    </w:p>
    <w:p>
      <w:pPr>
        <w:pStyle w:val="964"/>
        <w:jc w:val="center"/>
        <w:rPr>
          <w:rFonts w:hint="eastAsia" w:ascii="宋体" w:hAnsi="宋体"/>
          <w:b/>
          <w:sz w:val="36"/>
        </w:rPr>
      </w:pPr>
      <w:r>
        <w:rPr>
          <w:rFonts w:hint="eastAsia" w:ascii="宋体" w:hAnsi="宋体"/>
          <w:b/>
          <w:sz w:val="36"/>
        </w:rPr>
      </w:r>
      <w:r/>
    </w:p>
    <w:p>
      <w:pPr>
        <w:pStyle w:val="964"/>
        <w:jc w:val="center"/>
        <w:rPr>
          <w:rFonts w:hint="eastAsia" w:ascii="宋体" w:hAnsi="宋体"/>
          <w:b/>
          <w:sz w:val="36"/>
        </w:rPr>
      </w:pPr>
      <w:r>
        <w:rPr>
          <w:rFonts w:hint="eastAsia" w:ascii="宋体" w:hAnsi="宋体"/>
          <w:b/>
          <w:sz w:val="36"/>
        </w:rPr>
      </w:r>
      <w:r/>
    </w:p>
    <w:p>
      <w:pPr>
        <w:pStyle w:val="96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6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6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6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64"/>
        <w:jc w:val="center"/>
        <w:spacing w:line="440" w:lineRule="exact"/>
        <w:rPr>
          <w:rFonts w:hint="eastAsia" w:ascii="宋体" w:hAnsi="宋体"/>
          <w:b/>
          <w:bCs/>
          <w:sz w:val="32"/>
          <w:szCs w:val="32"/>
        </w:rPr>
      </w:pPr>
      <w:r>
        <w:rPr>
          <w:rFonts w:hint="eastAsia" w:ascii="宋体" w:hAnsi="宋体"/>
          <w:b/>
          <w:bCs/>
          <w:sz w:val="32"/>
          <w:szCs w:val="32"/>
        </w:rPr>
      </w:r>
      <w:r/>
    </w:p>
    <w:p>
      <w:pPr>
        <w:pStyle w:val="964"/>
        <w:spacing w:line="440" w:lineRule="exact"/>
        <w:rPr>
          <w:rFonts w:ascii="宋体" w:hAnsi="宋体"/>
        </w:rPr>
      </w:pPr>
      <w:r>
        <w:rPr>
          <w:rFonts w:ascii="宋体" w:hAnsi="宋体"/>
        </w:rPr>
      </w:r>
      <w:r/>
    </w:p>
    <w:p>
      <w:pPr>
        <w:pStyle w:val="964"/>
        <w:rPr>
          <w:rFonts w:ascii="宋体" w:hAnsi="宋体"/>
          <w:b/>
          <w:bCs/>
          <w:sz w:val="32"/>
          <w:szCs w:val="32"/>
        </w:rPr>
      </w:pPr>
      <w:r>
        <w:rPr>
          <w:rFonts w:ascii="宋体" w:hAnsi="宋体"/>
          <w:b/>
          <w:bCs/>
          <w:sz w:val="32"/>
          <w:szCs w:val="32"/>
        </w:rPr>
      </w:r>
      <w:r/>
    </w:p>
    <w:p>
      <w:pPr>
        <w:pStyle w:val="1030"/>
        <w:rPr>
          <w:rFonts w:ascii="宋体" w:hAnsi="宋体"/>
          <w:b/>
          <w:bCs/>
          <w:sz w:val="32"/>
          <w:szCs w:val="32"/>
        </w:rPr>
      </w:pPr>
      <w:r>
        <w:rPr>
          <w:rFonts w:ascii="宋体" w:hAnsi="宋体"/>
          <w:b/>
          <w:bCs/>
          <w:sz w:val="32"/>
          <w:szCs w:val="32"/>
        </w:rPr>
      </w:r>
      <w:r/>
    </w:p>
    <w:p>
      <w:pPr>
        <w:pStyle w:val="1030"/>
        <w:ind w:left="0" w:firstLine="0"/>
        <w:rPr>
          <w:rFonts w:ascii="宋体" w:hAnsi="宋体"/>
          <w:b/>
          <w:bCs/>
          <w:sz w:val="32"/>
          <w:szCs w:val="32"/>
        </w:rPr>
      </w:pPr>
      <w:r>
        <w:rPr>
          <w:rFonts w:ascii="宋体" w:hAnsi="宋体"/>
          <w:b/>
          <w:bCs/>
          <w:sz w:val="32"/>
          <w:szCs w:val="32"/>
        </w:rPr>
      </w:r>
      <w:r/>
    </w:p>
    <w:p>
      <w:pPr>
        <w:pStyle w:val="1030"/>
        <w:ind w:left="0" w:firstLine="0"/>
        <w:rPr>
          <w:rFonts w:ascii="宋体" w:hAnsi="宋体"/>
          <w:b/>
          <w:bCs/>
          <w:sz w:val="32"/>
          <w:szCs w:val="32"/>
        </w:rPr>
      </w:pPr>
      <w:r>
        <w:rPr>
          <w:rFonts w:ascii="宋体" w:hAnsi="宋体"/>
          <w:b/>
          <w:bCs/>
          <w:sz w:val="32"/>
          <w:szCs w:val="32"/>
        </w:rPr>
      </w:r>
      <w:r/>
    </w:p>
    <w:p>
      <w:pPr>
        <w:pStyle w:val="964"/>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64"/>
        <w:jc w:val="center"/>
        <w:spacing w:line="440" w:lineRule="exact"/>
        <w:rPr>
          <w:rFonts w:hint="eastAsia" w:ascii="宋体" w:hAnsi="宋体"/>
          <w:b/>
          <w:bCs/>
          <w:sz w:val="32"/>
          <w:szCs w:val="32"/>
        </w:rPr>
      </w:pPr>
      <w:r>
        <w:rPr>
          <w:rFonts w:hint="eastAsia" w:ascii="宋体" w:hAnsi="宋体"/>
          <w:b/>
          <w:bCs/>
          <w:sz w:val="32"/>
          <w:szCs w:val="32"/>
        </w:rPr>
      </w:r>
      <w:r/>
    </w:p>
    <w:p>
      <w:pPr>
        <w:pStyle w:val="964"/>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64"/>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64"/>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64"/>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64"/>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64"/>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4"/>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964"/>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964"/>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64"/>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964"/>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4"/>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hint="eastAsia" w:ascii="Times New Roman" w:hAnsi="Times New Roman" w:eastAsia="方正仿宋_GBK" w:cs="Times New Roman"/>
          <w:color w:val="000000"/>
          <w:sz w:val="24"/>
          <w:szCs w:val="24"/>
          <w:lang w:val="en-US" w:eastAsia="zh-CN"/>
        </w:rPr>
      </w:r>
      <w:r/>
    </w:p>
    <w:p>
      <w:pPr>
        <w:pStyle w:val="1041"/>
        <w:rPr>
          <w:lang w:val="en-US" w:eastAsia="zh-CN"/>
        </w:rPr>
      </w:pPr>
      <w:r>
        <w:rPr>
          <w:lang w:val="en-US" w:eastAsia="zh-CN"/>
        </w:rPr>
      </w:r>
      <w:r/>
    </w:p>
    <w:p>
      <w:pPr>
        <w:pStyle w:val="964"/>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3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0"/>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964"/>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964"/>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64"/>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64"/>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6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1053"/>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w:t>
            </w:r>
            <w:r>
              <w:rPr>
                <w:rFonts w:hint="eastAsia" w:ascii="Times New Roman" w:hAnsi="Times New Roman" w:eastAsia="方正仿宋_GBK" w:cs="Times New Roman"/>
                <w:color w:val="000000"/>
                <w:lang w:val="en-US" w:eastAsia="zh-CN"/>
              </w:rPr>
              <w:t xml:space="preserve">       </w:t>
            </w:r>
            <w:r>
              <w:rPr>
                <w:rFonts w:ascii="Times New Roman" w:hAnsi="Times New Roman" w:eastAsia="方正仿宋_GBK" w:cs="Times New Roman"/>
                <w:color w:val="000000"/>
              </w:rPr>
              <w:t xml:space="preserve">元）</w:t>
            </w:r>
            <w:r>
              <w:rPr>
                <w:rFonts w:ascii="Times New Roman" w:hAnsi="Times New Roman" w:eastAsia="方正仿宋_GBK" w:cs="Times New Roman"/>
                <w:color w:val="000000"/>
                <w:szCs w:val="21"/>
              </w:rPr>
            </w:r>
            <w:r/>
          </w:p>
        </w:tc>
      </w:tr>
    </w:tbl>
    <w:p>
      <w:pPr>
        <w:pStyle w:val="964"/>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1"/>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w:t>
            </w:r>
            <w:r>
              <w:rPr>
                <w:rFonts w:hint="eastAsia" w:eastAsia="方正仿宋_GBK" w:cs="Times New Roman"/>
                <w:color w:val="000000"/>
                <w:sz w:val="24"/>
                <w:szCs w:val="24"/>
                <w:lang w:val="en-US" w:eastAsia="zh-CN"/>
              </w:rPr>
              <w:t xml:space="preserve">     </w:t>
            </w:r>
            <w:r>
              <w:rPr>
                <w:rFonts w:ascii="Times New Roman" w:hAnsi="Times New Roman" w:eastAsia="方正仿宋_GBK" w:cs="Times New Roman"/>
                <w:color w:val="000000"/>
                <w:sz w:val="24"/>
                <w:szCs w:val="24"/>
              </w:rPr>
              <w:t xml:space="preserve">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64"/>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64"/>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4"/>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64"/>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64"/>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4"/>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4"/>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64"/>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103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1030"/>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964"/>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64"/>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1030"/>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1051"/>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1051"/>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1051"/>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1"/>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1"/>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1051"/>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1"/>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78"/>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78"/>
        <w:ind w:firstLine="0"/>
        <w:rPr>
          <w:rFonts w:ascii="Times New Roman" w:hAnsi="Times New Roman" w:eastAsia="方正仿宋_GBK" w:cs="Times New Roman"/>
        </w:rPr>
      </w:pPr>
      <w:r>
        <w:rPr>
          <w:rFonts w:ascii="Times New Roman" w:hAnsi="Times New Roman" w:eastAsia="方正仿宋_GBK" w:cs="Times New Roman"/>
        </w:rPr>
      </w:r>
      <w:r/>
    </w:p>
    <w:p>
      <w:pPr>
        <w:pStyle w:val="964"/>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1053"/>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w:t>
      </w:r>
      <w:r>
        <w:rPr>
          <w:rFonts w:hint="eastAsia" w:ascii="Times New Roman" w:hAnsi="Times New Roman" w:eastAsia="方正仿宋_GBK" w:cs="Times New Roman"/>
          <w:szCs w:val="21"/>
          <w:lang w:val="en-US" w:eastAsia="zh-CN"/>
        </w:rPr>
        <w:t xml:space="preserve">签字人</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1053"/>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1053"/>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1030"/>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964"/>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64"/>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64"/>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64"/>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4"/>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64"/>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64"/>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64"/>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64"/>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4"/>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4"/>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64"/>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64"/>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964"/>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964"/>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30"/>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964"/>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964"/>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64"/>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64"/>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64"/>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64"/>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64"/>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64"/>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4"/>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41"/>
        <w:ind w:left="0" w:firstLine="0"/>
        <w:rPr>
          <w:rFonts w:ascii="Times New Roman" w:hAnsi="Times New Roman" w:eastAsia="方正仿宋_GBK" w:cs="Times New Roman"/>
          <w:b/>
          <w:bCs/>
          <w:sz w:val="32"/>
          <w:szCs w:val="32"/>
        </w:rPr>
      </w:pPr>
      <w:r/>
      <w:bookmarkEnd w:id="196"/>
      <w:r/>
      <w:bookmarkEnd w:id="197"/>
      <w:r/>
      <w:bookmarkEnd w:id="198"/>
      <w:r/>
      <w:bookmarkStart w:id="199" w:name="_Toc120614284"/>
      <w:r>
        <w:rPr>
          <w:rFonts w:ascii="Times New Roman" w:hAnsi="Times New Roman" w:eastAsia="方正仿宋_GBK" w:cs="Times New Roman"/>
          <w:b/>
          <w:bCs/>
          <w:sz w:val="32"/>
          <w:szCs w:val="32"/>
        </w:rPr>
      </w:r>
      <w:r/>
    </w:p>
    <w:p>
      <w:pPr>
        <w:pStyle w:val="1041"/>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41"/>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4"/>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64"/>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64"/>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4"/>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64"/>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4"/>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64"/>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64"/>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64"/>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78"/>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8"/>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jc w:val="center"/>
        <w:rPr>
          <w:rFonts w:hint="eastAsia" w:ascii="黑体" w:hAnsi="黑体" w:eastAsia="黑体"/>
          <w:b/>
          <w:sz w:val="32"/>
          <w:szCs w:val="32"/>
        </w:rPr>
      </w:pPr>
      <w:r>
        <w:rPr>
          <w:rFonts w:hint="eastAsia" w:ascii="黑体" w:hAnsi="黑体" w:eastAsia="黑体"/>
          <w:b/>
          <w:sz w:val="32"/>
          <w:szCs w:val="32"/>
        </w:rPr>
      </w:r>
      <w:r/>
    </w:p>
    <w:p>
      <w:pPr>
        <w:pStyle w:val="964"/>
      </w:pPr>
      <w:r/>
      <w:bookmarkEnd w:id="189"/>
      <w:r/>
      <w:bookmarkEnd w:id="190"/>
      <w:r/>
      <w:bookmarkEnd w:id="199"/>
      <w:r/>
      <w:r/>
    </w:p>
    <w:p>
      <w:pPr>
        <w:pStyle w:val="1030"/>
      </w:pPr>
      <w:r/>
      <w:r/>
    </w:p>
    <w:p>
      <w:pPr>
        <w:pStyle w:val="1030"/>
      </w:pPr>
      <w:r/>
      <w:r/>
    </w:p>
    <w:p>
      <w:pPr>
        <w:pStyle w:val="96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64"/>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64"/>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6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6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6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64"/>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64"/>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6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6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__WRD_EMBED_SUB_60">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___WRD_EMBED_SUB_464">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6"/>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1036"/>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1036"/>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1036"/>
        <w:rFonts w:hint="eastAsia" w:ascii="方正仿宋_GBK" w:hAnsi="方正仿宋_GBK" w:eastAsia="方正仿宋_GBK" w:cs="方正仿宋_GBK"/>
      </w:rPr>
    </w:r>
    <w:r/>
  </w:p>
  <w:p>
    <w:pPr>
      <w:pStyle w:val="10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Style w:val="1036"/>
                              <w:rFonts w:hint="eastAsia" w:ascii="方正仿宋_GBK" w:hAnsi="方正仿宋_GBK" w:eastAsia="方正仿宋_GBK" w:cs="方正仿宋_GBK"/>
                            </w:rPr>
                          </w:pPr>
                          <w:r>
                            <w:rPr>
                              <w:rStyle w:val="1036"/>
                              <w:rFonts w:hint="eastAsia" w:ascii="方正仿宋_GBK" w:hAnsi="方正仿宋_GBK" w:eastAsia="方正仿宋_GBK" w:cs="方正仿宋_GBK"/>
                            </w:rPr>
                            <w:fldChar w:fldCharType="begin"/>
                          </w:r>
                          <w:r>
                            <w:rPr>
                              <w:rStyle w:val="1036"/>
                              <w:rFonts w:hint="eastAsia" w:ascii="方正仿宋_GBK" w:hAnsi="方正仿宋_GBK" w:eastAsia="方正仿宋_GBK" w:cs="方正仿宋_GBK"/>
                            </w:rPr>
                            <w:instrText xml:space="preserve"> PAGE  \* MERGEFORMAT </w:instrText>
                          </w:r>
                          <w:r>
                            <w:rPr>
                              <w:rStyle w:val="1036"/>
                              <w:rFonts w:hint="eastAsia" w:ascii="方正仿宋_GBK" w:hAnsi="方正仿宋_GBK" w:eastAsia="方正仿宋_GBK" w:cs="方正仿宋_GBK"/>
                            </w:rPr>
                            <w:fldChar w:fldCharType="separate"/>
                          </w:r>
                          <w:r>
                            <w:rPr>
                              <w:rStyle w:val="1036"/>
                              <w:rFonts w:hint="eastAsia" w:ascii="方正仿宋_GBK" w:hAnsi="方正仿宋_GBK" w:eastAsia="方正仿宋_GBK" w:cs="方正仿宋_GBK"/>
                            </w:rPr>
                            <w:t xml:space="preserve">２</w:t>
                          </w:r>
                          <w:r>
                            <w:rPr>
                              <w:rStyle w:val="1036"/>
                              <w:rFonts w:hint="eastAsia" w:ascii="方正仿宋_GBK" w:hAnsi="方正仿宋_GBK" w:eastAsia="方正仿宋_GBK" w:cs="方正仿宋_GBK"/>
                            </w:rPr>
                            <w:fldChar w:fldCharType="end"/>
                          </w:r>
                          <w:r>
                            <w:rPr>
                              <w:rStyle w:val="1036"/>
                              <w:rFonts w:hint="eastAsia" w:ascii="方正仿宋_GBK" w:hAnsi="方正仿宋_GBK" w:eastAsia="方正仿宋_GBK" w:cs="方正仿宋_GBK"/>
                            </w:rPr>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Style w:val="1036"/>
                        <w:rFonts w:hint="eastAsia" w:ascii="方正仿宋_GBK" w:hAnsi="方正仿宋_GBK" w:eastAsia="方正仿宋_GBK" w:cs="方正仿宋_GBK"/>
                      </w:rPr>
                    </w:pPr>
                    <w:r>
                      <w:rPr>
                        <w:rStyle w:val="1036"/>
                        <w:rFonts w:hint="eastAsia" w:ascii="方正仿宋_GBK" w:hAnsi="方正仿宋_GBK" w:eastAsia="方正仿宋_GBK" w:cs="方正仿宋_GBK"/>
                      </w:rPr>
                      <w:fldChar w:fldCharType="begin"/>
                    </w:r>
                    <w:r>
                      <w:rPr>
                        <w:rStyle w:val="1036"/>
                        <w:rFonts w:hint="eastAsia" w:ascii="方正仿宋_GBK" w:hAnsi="方正仿宋_GBK" w:eastAsia="方正仿宋_GBK" w:cs="方正仿宋_GBK"/>
                      </w:rPr>
                      <w:instrText xml:space="preserve"> PAGE  \* MERGEFORMAT </w:instrText>
                    </w:r>
                    <w:r>
                      <w:rPr>
                        <w:rStyle w:val="1036"/>
                        <w:rFonts w:hint="eastAsia" w:ascii="方正仿宋_GBK" w:hAnsi="方正仿宋_GBK" w:eastAsia="方正仿宋_GBK" w:cs="方正仿宋_GBK"/>
                      </w:rPr>
                      <w:fldChar w:fldCharType="separate"/>
                    </w:r>
                    <w:r>
                      <w:rPr>
                        <w:rStyle w:val="1036"/>
                        <w:rFonts w:hint="eastAsia" w:ascii="方正仿宋_GBK" w:hAnsi="方正仿宋_GBK" w:eastAsia="方正仿宋_GBK" w:cs="方正仿宋_GBK"/>
                      </w:rPr>
                      <w:t xml:space="preserve">２</w:t>
                    </w:r>
                    <w:r>
                      <w:rPr>
                        <w:rStyle w:val="1036"/>
                        <w:rFonts w:hint="eastAsia" w:ascii="方正仿宋_GBK" w:hAnsi="方正仿宋_GBK" w:eastAsia="方正仿宋_GBK" w:cs="方正仿宋_GBK"/>
                      </w:rPr>
                      <w:fldChar w:fldCharType="end"/>
                    </w:r>
                    <w:r>
                      <w:rPr>
                        <w:rStyle w:val="1036"/>
                        <w:rFonts w:hint="eastAsia" w:ascii="方正仿宋_GBK" w:hAnsi="方正仿宋_GBK" w:eastAsia="方正仿宋_GBK" w:cs="方正仿宋_GBK"/>
                      </w:rPr>
                    </w:r>
                    <w:r/>
                  </w:p>
                  <w:p>
                    <w:pPr>
                      <w:pStyle w:val="964"/>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5"/>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2"/>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rFonts w:ascii="Times New Roman" w:hAnsi="Times New Roman"/>
      <w:sz w:val="21"/>
      <w:szCs w:val="21"/>
      <w:lang w:val="en-US" w:eastAsia="zh-CN" w:bidi="ar-SA"/>
    </w:rPr>
  </w:style>
  <w:style w:type="paragraph" w:styleId="965">
    <w:name w:val="标题 1"/>
    <w:basedOn w:val="964"/>
    <w:next w:val="964"/>
    <w:link w:val="976"/>
    <w:qFormat/>
    <w:pPr>
      <w:jc w:val="center"/>
      <w:keepNext/>
      <w:outlineLvl w:val="0"/>
    </w:pPr>
    <w:rPr>
      <w:rFonts w:ascii="楷体_GB2312" w:eastAsia="楷体_GB2312"/>
      <w:sz w:val="28"/>
      <w:szCs w:val="28"/>
    </w:rPr>
  </w:style>
  <w:style w:type="paragraph" w:styleId="966">
    <w:name w:val="标题 2"/>
    <w:basedOn w:val="964"/>
    <w:next w:val="978"/>
    <w:link w:val="977"/>
    <w:qFormat/>
    <w:pPr>
      <w:jc w:val="center"/>
      <w:keepLines/>
      <w:keepNext/>
      <w:spacing w:before="260" w:after="260" w:line="416" w:lineRule="auto"/>
      <w:outlineLvl w:val="1"/>
    </w:pPr>
    <w:rPr>
      <w:rFonts w:ascii="Arial" w:hAnsi="Arial" w:eastAsia="幼圆" w:cs="Arial"/>
      <w:b/>
      <w:bCs/>
      <w:sz w:val="44"/>
      <w:szCs w:val="44"/>
    </w:rPr>
  </w:style>
  <w:style w:type="paragraph" w:styleId="967">
    <w:name w:val="标题 3"/>
    <w:basedOn w:val="964"/>
    <w:next w:val="978"/>
    <w:link w:val="980"/>
    <w:qFormat/>
    <w:pPr>
      <w:keepLines/>
      <w:keepNext/>
      <w:spacing w:before="260" w:after="260" w:line="416" w:lineRule="auto"/>
      <w:outlineLvl w:val="2"/>
    </w:pPr>
    <w:rPr>
      <w:b/>
      <w:bCs/>
      <w:sz w:val="32"/>
      <w:szCs w:val="32"/>
    </w:rPr>
  </w:style>
  <w:style w:type="paragraph" w:styleId="968">
    <w:name w:val="标题 4"/>
    <w:basedOn w:val="964"/>
    <w:next w:val="978"/>
    <w:link w:val="981"/>
    <w:qFormat/>
    <w:pPr>
      <w:keepLines/>
      <w:keepNext/>
      <w:spacing w:before="280" w:after="290" w:line="376" w:lineRule="auto"/>
      <w:outlineLvl w:val="3"/>
    </w:pPr>
    <w:rPr>
      <w:rFonts w:ascii="Arial" w:hAnsi="Arial" w:eastAsia="黑体" w:cs="Arial"/>
      <w:b/>
      <w:bCs/>
      <w:sz w:val="28"/>
      <w:szCs w:val="28"/>
    </w:rPr>
  </w:style>
  <w:style w:type="paragraph" w:styleId="969">
    <w:name w:val="标题 5"/>
    <w:basedOn w:val="964"/>
    <w:next w:val="978"/>
    <w:link w:val="982"/>
    <w:qFormat/>
    <w:pPr>
      <w:keepNext/>
      <w:outlineLvl w:val="4"/>
    </w:pPr>
    <w:rPr>
      <w:rFonts w:ascii="宋体"/>
      <w:color w:val="000000"/>
      <w:sz w:val="28"/>
      <w:szCs w:val="28"/>
    </w:rPr>
  </w:style>
  <w:style w:type="paragraph" w:styleId="970">
    <w:name w:val="标题 6"/>
    <w:basedOn w:val="964"/>
    <w:next w:val="964"/>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name w:val="标题 7"/>
    <w:basedOn w:val="964"/>
    <w:next w:val="964"/>
    <w:link w:val="984"/>
    <w:qFormat/>
    <w:pPr>
      <w:numPr>
        <w:ilvl w:val="6"/>
        <w:numId w:val="1"/>
      </w:numPr>
      <w:keepLines/>
      <w:keepNext/>
      <w:spacing w:before="240" w:after="64" w:line="320" w:lineRule="auto"/>
      <w:outlineLvl w:val="6"/>
    </w:pPr>
    <w:rPr>
      <w:b/>
      <w:bCs/>
      <w:sz w:val="24"/>
      <w:szCs w:val="24"/>
    </w:rPr>
  </w:style>
  <w:style w:type="paragraph" w:styleId="972">
    <w:name w:val="标题 8"/>
    <w:basedOn w:val="964"/>
    <w:next w:val="964"/>
    <w:link w:val="985"/>
    <w:qFormat/>
    <w:pPr>
      <w:numPr>
        <w:ilvl w:val="7"/>
        <w:numId w:val="1"/>
      </w:num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86"/>
    <w:qFormat/>
    <w:pPr>
      <w:numPr>
        <w:ilvl w:val="8"/>
        <w:numId w:val="1"/>
      </w:numPr>
      <w:keepLines/>
      <w:keepNext/>
      <w:spacing w:before="240" w:after="64" w:line="320" w:lineRule="auto"/>
      <w:outlineLvl w:val="8"/>
    </w:pPr>
    <w:rPr>
      <w:rFonts w:ascii="Arial" w:hAnsi="Arial" w:eastAsia="黑体"/>
    </w:rPr>
  </w:style>
  <w:style w:type="character" w:styleId="974">
    <w:name w:val="默认段落字体"/>
    <w:next w:val="974"/>
    <w:link w:val="964"/>
    <w:uiPriority w:val="1"/>
    <w:unhideWhenUsed/>
  </w:style>
  <w:style w:type="table" w:styleId="975">
    <w:name w:val="普通表格"/>
    <w:next w:val="975"/>
    <w:link w:val="964"/>
    <w:uiPriority w:val="99"/>
    <w:unhideWhenUsed/>
    <w:tblPr/>
  </w:style>
  <w:style w:type="character" w:styleId="976">
    <w:name w:val="标题 1 Char"/>
    <w:next w:val="976"/>
    <w:link w:val="965"/>
    <w:rPr>
      <w:rFonts w:ascii="楷体_GB2312" w:hAnsi="Times New Roman" w:eastAsia="楷体_GB2312" w:cs="Times New Roman"/>
      <w:sz w:val="28"/>
      <w:szCs w:val="28"/>
    </w:rPr>
  </w:style>
  <w:style w:type="character" w:styleId="977">
    <w:name w:val="标题 2 Char"/>
    <w:next w:val="977"/>
    <w:link w:val="966"/>
    <w:rPr>
      <w:rFonts w:ascii="Arial" w:hAnsi="Arial" w:eastAsia="幼圆" w:cs="Arial"/>
      <w:b/>
      <w:bCs/>
      <w:sz w:val="44"/>
      <w:szCs w:val="44"/>
    </w:rPr>
  </w:style>
  <w:style w:type="paragraph" w:styleId="978">
    <w:name w:val="正文缩进"/>
    <w:basedOn w:val="964"/>
    <w:next w:val="978"/>
    <w:link w:val="979"/>
    <w:pPr>
      <w:ind w:firstLine="420"/>
    </w:pPr>
  </w:style>
  <w:style w:type="character" w:styleId="979">
    <w:name w:val="正文缩进 Char"/>
    <w:next w:val="979"/>
    <w:link w:val="978"/>
    <w:rPr>
      <w:rFonts w:ascii="Times New Roman" w:hAnsi="Times New Roman" w:eastAsia="宋体" w:cs="Times New Roman"/>
      <w:szCs w:val="21"/>
    </w:rPr>
  </w:style>
  <w:style w:type="character" w:styleId="980">
    <w:name w:val="标题 3 Char"/>
    <w:next w:val="980"/>
    <w:link w:val="967"/>
    <w:rPr>
      <w:rFonts w:ascii="Times New Roman" w:hAnsi="Times New Roman" w:eastAsia="宋体" w:cs="Times New Roman"/>
      <w:b/>
      <w:bCs/>
      <w:sz w:val="32"/>
      <w:szCs w:val="32"/>
    </w:rPr>
  </w:style>
  <w:style w:type="character" w:styleId="981">
    <w:name w:val="标题 4 Char"/>
    <w:next w:val="981"/>
    <w:link w:val="968"/>
    <w:rPr>
      <w:rFonts w:ascii="Arial" w:hAnsi="Arial" w:eastAsia="黑体" w:cs="Arial"/>
      <w:b/>
      <w:bCs/>
      <w:sz w:val="28"/>
      <w:szCs w:val="28"/>
    </w:rPr>
  </w:style>
  <w:style w:type="character" w:styleId="982">
    <w:name w:val="标题 5 Char"/>
    <w:next w:val="982"/>
    <w:link w:val="969"/>
    <w:rPr>
      <w:rFonts w:ascii="宋体" w:hAnsi="Times New Roman" w:eastAsia="宋体" w:cs="Times New Roman"/>
      <w:color w:val="000000"/>
      <w:sz w:val="28"/>
      <w:szCs w:val="28"/>
    </w:rPr>
  </w:style>
  <w:style w:type="character" w:styleId="983">
    <w:name w:val="标题 6 Char"/>
    <w:next w:val="983"/>
    <w:link w:val="970"/>
    <w:rPr>
      <w:rFonts w:ascii="Arial" w:hAnsi="Arial" w:eastAsia="黑体" w:cs="Times New Roman"/>
      <w:b/>
      <w:bCs/>
      <w:sz w:val="24"/>
      <w:szCs w:val="24"/>
    </w:rPr>
  </w:style>
  <w:style w:type="character" w:styleId="984">
    <w:name w:val="标题 7 Char"/>
    <w:next w:val="984"/>
    <w:link w:val="971"/>
    <w:rPr>
      <w:rFonts w:ascii="Times New Roman" w:hAnsi="Times New Roman" w:eastAsia="宋体" w:cs="Times New Roman"/>
      <w:b/>
      <w:bCs/>
      <w:sz w:val="24"/>
      <w:szCs w:val="24"/>
    </w:rPr>
  </w:style>
  <w:style w:type="character" w:styleId="985">
    <w:name w:val="标题 8 Char"/>
    <w:next w:val="985"/>
    <w:link w:val="972"/>
    <w:rPr>
      <w:rFonts w:ascii="Arial" w:hAnsi="Arial" w:eastAsia="黑体" w:cs="Times New Roman"/>
      <w:sz w:val="24"/>
      <w:szCs w:val="24"/>
    </w:rPr>
  </w:style>
  <w:style w:type="character" w:styleId="986">
    <w:name w:val="标题 9 Char"/>
    <w:next w:val="986"/>
    <w:link w:val="973"/>
    <w:rPr>
      <w:rFonts w:ascii="Arial" w:hAnsi="Arial" w:eastAsia="黑体" w:cs="Times New Roman"/>
      <w:szCs w:val="21"/>
    </w:rPr>
  </w:style>
  <w:style w:type="paragraph" w:styleId="987">
    <w:name w:val="列表 3"/>
    <w:basedOn w:val="964"/>
    <w:next w:val="987"/>
    <w:link w:val="964"/>
    <w:pPr>
      <w:ind w:left="100" w:hanging="200"/>
    </w:pPr>
  </w:style>
  <w:style w:type="paragraph" w:styleId="988">
    <w:name w:val="目录 7"/>
    <w:basedOn w:val="964"/>
    <w:next w:val="964"/>
    <w:link w:val="964"/>
    <w:semiHidden/>
    <w:pPr>
      <w:ind w:left="1260"/>
      <w:jc w:val="left"/>
    </w:pPr>
  </w:style>
  <w:style w:type="paragraph" w:styleId="989">
    <w:name w:val="文档结构图"/>
    <w:basedOn w:val="964"/>
    <w:next w:val="989"/>
    <w:link w:val="990"/>
    <w:semiHidden/>
    <w:pPr>
      <w:shd w:val="clear" w:color="auto" w:fill="000080"/>
    </w:pPr>
  </w:style>
  <w:style w:type="character" w:styleId="990">
    <w:name w:val="文档结构图 Char"/>
    <w:next w:val="990"/>
    <w:link w:val="989"/>
    <w:semiHidden/>
    <w:rPr>
      <w:rFonts w:ascii="Times New Roman" w:hAnsi="Times New Roman" w:eastAsia="宋体" w:cs="Times New Roman"/>
      <w:szCs w:val="21"/>
      <w:shd w:val="clear" w:color="auto" w:fill="000080"/>
    </w:rPr>
  </w:style>
  <w:style w:type="paragraph" w:styleId="991">
    <w:name w:val="批注文字"/>
    <w:basedOn w:val="964"/>
    <w:next w:val="991"/>
    <w:link w:val="992"/>
    <w:semiHidden/>
    <w:pPr>
      <w:jc w:val="left"/>
    </w:pPr>
  </w:style>
  <w:style w:type="character" w:styleId="992">
    <w:name w:val="批注文字 Char"/>
    <w:next w:val="992"/>
    <w:link w:val="991"/>
    <w:semiHidden/>
    <w:rPr>
      <w:rFonts w:ascii="Times New Roman" w:hAnsi="Times New Roman" w:eastAsia="宋体" w:cs="Times New Roman"/>
      <w:szCs w:val="21"/>
    </w:rPr>
  </w:style>
  <w:style w:type="paragraph" w:styleId="993">
    <w:name w:val="正文文本 3"/>
    <w:basedOn w:val="964"/>
    <w:next w:val="993"/>
    <w:link w:val="994"/>
    <w:rPr>
      <w:rFonts w:ascii="仿宋_GB2312" w:hAnsi="Arial" w:eastAsia="仿宋_GB2312"/>
      <w:sz w:val="32"/>
      <w:szCs w:val="32"/>
    </w:rPr>
  </w:style>
  <w:style w:type="character" w:styleId="994">
    <w:name w:val="正文文本 3 Char"/>
    <w:next w:val="994"/>
    <w:link w:val="993"/>
    <w:rPr>
      <w:rFonts w:ascii="仿宋_GB2312" w:hAnsi="Arial" w:eastAsia="仿宋_GB2312" w:cs="Times New Roman"/>
      <w:sz w:val="32"/>
      <w:szCs w:val="32"/>
    </w:rPr>
  </w:style>
  <w:style w:type="paragraph" w:styleId="995">
    <w:name w:val="正文文本"/>
    <w:basedOn w:val="964"/>
    <w:next w:val="964"/>
    <w:link w:val="996"/>
    <w:rPr>
      <w:rFonts w:ascii="楷体_GB2312" w:hAnsi="Arial" w:eastAsia="楷体_GB2312"/>
      <w:sz w:val="28"/>
      <w:szCs w:val="28"/>
    </w:rPr>
  </w:style>
  <w:style w:type="character" w:styleId="996">
    <w:name w:val="正文文本 Char"/>
    <w:next w:val="996"/>
    <w:link w:val="995"/>
    <w:rPr>
      <w:rFonts w:ascii="楷体_GB2312" w:hAnsi="Arial" w:eastAsia="楷体_GB2312" w:cs="Times New Roman"/>
      <w:sz w:val="28"/>
      <w:szCs w:val="28"/>
    </w:rPr>
  </w:style>
  <w:style w:type="paragraph" w:styleId="997">
    <w:name w:val="正文文本缩进"/>
    <w:basedOn w:val="964"/>
    <w:next w:val="997"/>
    <w:link w:val="998"/>
    <w:pPr>
      <w:ind w:firstLine="645"/>
    </w:pPr>
    <w:rPr>
      <w:rFonts w:ascii="楷体_GB2312" w:eastAsia="楷体_GB2312"/>
      <w:sz w:val="32"/>
      <w:szCs w:val="32"/>
    </w:rPr>
  </w:style>
  <w:style w:type="character" w:styleId="998">
    <w:name w:val="正文文本缩进 Char"/>
    <w:next w:val="998"/>
    <w:link w:val="997"/>
    <w:rPr>
      <w:rFonts w:ascii="楷体_GB2312" w:hAnsi="Times New Roman" w:eastAsia="楷体_GB2312" w:cs="Times New Roman"/>
      <w:sz w:val="32"/>
      <w:szCs w:val="32"/>
    </w:rPr>
  </w:style>
  <w:style w:type="paragraph" w:styleId="999">
    <w:name w:val="列表 2"/>
    <w:basedOn w:val="964"/>
    <w:next w:val="999"/>
    <w:link w:val="964"/>
    <w:pPr>
      <w:ind w:left="100" w:hanging="200"/>
    </w:pPr>
  </w:style>
  <w:style w:type="paragraph" w:styleId="1000">
    <w:name w:val="目录 5"/>
    <w:basedOn w:val="964"/>
    <w:next w:val="964"/>
    <w:link w:val="964"/>
    <w:semiHidden/>
    <w:pPr>
      <w:ind w:left="840"/>
      <w:jc w:val="left"/>
    </w:pPr>
  </w:style>
  <w:style w:type="paragraph" w:styleId="1001">
    <w:name w:val="目录 3"/>
    <w:basedOn w:val="964"/>
    <w:next w:val="964"/>
    <w:link w:val="964"/>
    <w:semiHidden/>
    <w:pPr>
      <w:ind w:left="420"/>
      <w:jc w:val="left"/>
    </w:pPr>
    <w:rPr>
      <w:i/>
      <w:iCs/>
      <w:szCs w:val="24"/>
    </w:rPr>
  </w:style>
  <w:style w:type="paragraph" w:styleId="1002">
    <w:name w:val="纯文本"/>
    <w:basedOn w:val="964"/>
    <w:next w:val="1002"/>
    <w:link w:val="1003"/>
    <w:rPr>
      <w:rFonts w:ascii="宋体" w:hAnsi="Courier New" w:cs="Courier New"/>
    </w:rPr>
  </w:style>
  <w:style w:type="character" w:styleId="1003">
    <w:name w:val="纯文本 Char"/>
    <w:next w:val="1003"/>
    <w:link w:val="1002"/>
    <w:rPr>
      <w:rFonts w:ascii="宋体" w:hAnsi="Courier New" w:eastAsia="宋体" w:cs="Courier New"/>
      <w:szCs w:val="21"/>
    </w:rPr>
  </w:style>
  <w:style w:type="paragraph" w:styleId="1004">
    <w:name w:val="目录 8"/>
    <w:basedOn w:val="964"/>
    <w:next w:val="964"/>
    <w:link w:val="964"/>
    <w:semiHidden/>
    <w:pPr>
      <w:ind w:left="1470"/>
      <w:jc w:val="left"/>
    </w:pPr>
  </w:style>
  <w:style w:type="paragraph" w:styleId="1005">
    <w:name w:val="日期"/>
    <w:basedOn w:val="964"/>
    <w:next w:val="964"/>
    <w:link w:val="1006"/>
    <w:rPr>
      <w:sz w:val="24"/>
      <w:szCs w:val="24"/>
    </w:rPr>
  </w:style>
  <w:style w:type="character" w:styleId="1006">
    <w:name w:val="日期 Char"/>
    <w:next w:val="1006"/>
    <w:link w:val="1005"/>
    <w:rPr>
      <w:rFonts w:ascii="Times New Roman" w:hAnsi="Times New Roman" w:eastAsia="宋体" w:cs="Times New Roman"/>
      <w:sz w:val="24"/>
      <w:szCs w:val="24"/>
    </w:rPr>
  </w:style>
  <w:style w:type="paragraph" w:styleId="1007">
    <w:name w:val="正文文本缩进 2"/>
    <w:basedOn w:val="964"/>
    <w:next w:val="1007"/>
    <w:link w:val="1008"/>
    <w:pPr>
      <w:ind w:left="630" w:firstLine="645"/>
    </w:pPr>
    <w:rPr>
      <w:rFonts w:ascii="Arial" w:hAnsi="Arial" w:eastAsia="仿宋_GB2312" w:cs="Arial"/>
      <w:sz w:val="32"/>
      <w:szCs w:val="32"/>
    </w:rPr>
  </w:style>
  <w:style w:type="character" w:styleId="1008">
    <w:name w:val="正文文本缩进 2 Char"/>
    <w:next w:val="1008"/>
    <w:link w:val="1007"/>
    <w:rPr>
      <w:rFonts w:ascii="Arial" w:hAnsi="Arial" w:eastAsia="仿宋_GB2312" w:cs="Arial"/>
      <w:sz w:val="32"/>
      <w:szCs w:val="32"/>
    </w:rPr>
  </w:style>
  <w:style w:type="paragraph" w:styleId="1009">
    <w:name w:val="批注框文本"/>
    <w:basedOn w:val="964"/>
    <w:next w:val="1009"/>
    <w:link w:val="1010"/>
    <w:semiHidden/>
    <w:rPr>
      <w:sz w:val="18"/>
      <w:szCs w:val="18"/>
    </w:rPr>
  </w:style>
  <w:style w:type="character" w:styleId="1010">
    <w:name w:val="批注框文本 Char"/>
    <w:next w:val="1010"/>
    <w:link w:val="1009"/>
    <w:semiHidden/>
    <w:rPr>
      <w:rFonts w:ascii="Times New Roman" w:hAnsi="Times New Roman" w:eastAsia="宋体" w:cs="Times New Roman"/>
      <w:sz w:val="18"/>
      <w:szCs w:val="18"/>
    </w:rPr>
  </w:style>
  <w:style w:type="paragraph" w:styleId="1011">
    <w:name w:val="页脚"/>
    <w:basedOn w:val="964"/>
    <w:next w:val="1011"/>
    <w:link w:val="1012"/>
    <w:pPr>
      <w:jc w:val="left"/>
      <w:tabs>
        <w:tab w:val="center" w:pos="4153" w:leader="none"/>
        <w:tab w:val="right" w:pos="8306" w:leader="none"/>
      </w:tabs>
    </w:pPr>
    <w:rPr>
      <w:sz w:val="18"/>
      <w:szCs w:val="18"/>
    </w:rPr>
  </w:style>
  <w:style w:type="character" w:styleId="1012">
    <w:name w:val="页脚 Char"/>
    <w:next w:val="1012"/>
    <w:link w:val="1011"/>
    <w:rPr>
      <w:rFonts w:ascii="Times New Roman" w:hAnsi="Times New Roman" w:eastAsia="宋体" w:cs="Times New Roman"/>
      <w:sz w:val="18"/>
      <w:szCs w:val="18"/>
    </w:rPr>
  </w:style>
  <w:style w:type="paragraph" w:styleId="1013">
    <w:name w:val="页眉"/>
    <w:basedOn w:val="964"/>
    <w:next w:val="1013"/>
    <w:link w:val="1014"/>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rPr>
      <w:rFonts w:ascii="Times New Roman" w:hAnsi="Times New Roman" w:eastAsia="宋体" w:cs="Times New Roman"/>
      <w:sz w:val="18"/>
      <w:szCs w:val="18"/>
    </w:rPr>
  </w:style>
  <w:style w:type="paragraph" w:styleId="1015">
    <w:name w:val="目录 1"/>
    <w:basedOn w:val="964"/>
    <w:next w:val="964"/>
    <w:link w:val="964"/>
    <w:semiHidden/>
    <w:pPr>
      <w:jc w:val="left"/>
      <w:spacing w:before="120" w:after="120" w:line="400" w:lineRule="exact"/>
      <w:tabs>
        <w:tab w:val="right" w:pos="8720" w:leader="dot"/>
      </w:tabs>
    </w:pPr>
    <w:rPr>
      <w:rFonts w:ascii="宋体" w:hAnsi="宋体"/>
      <w:caps/>
      <w:sz w:val="24"/>
      <w:szCs w:val="24"/>
    </w:rPr>
  </w:style>
  <w:style w:type="paragraph" w:styleId="1016">
    <w:name w:val="目录 4"/>
    <w:basedOn w:val="964"/>
    <w:next w:val="964"/>
    <w:link w:val="964"/>
    <w:semiHidden/>
    <w:pPr>
      <w:ind w:left="630"/>
      <w:jc w:val="left"/>
    </w:pPr>
  </w:style>
  <w:style w:type="paragraph" w:styleId="1017">
    <w:name w:val="列表"/>
    <w:basedOn w:val="964"/>
    <w:next w:val="1017"/>
    <w:link w:val="964"/>
    <w:pPr>
      <w:ind w:left="200" w:hanging="200"/>
    </w:pPr>
  </w:style>
  <w:style w:type="paragraph" w:styleId="1018">
    <w:name w:val="目录 6"/>
    <w:basedOn w:val="964"/>
    <w:next w:val="964"/>
    <w:link w:val="964"/>
    <w:semiHidden/>
    <w:pPr>
      <w:ind w:left="1050"/>
      <w:jc w:val="left"/>
    </w:pPr>
  </w:style>
  <w:style w:type="paragraph" w:styleId="1019">
    <w:name w:val="正文文本缩进 3"/>
    <w:basedOn w:val="964"/>
    <w:next w:val="1019"/>
    <w:link w:val="1020"/>
    <w:pPr>
      <w:ind w:left="645" w:firstLine="645"/>
    </w:pPr>
    <w:rPr>
      <w:rFonts w:ascii="Arial" w:hAnsi="Arial" w:eastAsia="仿宋_GB2312" w:cs="Arial"/>
      <w:color w:val="ffff00"/>
      <w:sz w:val="32"/>
      <w:szCs w:val="32"/>
    </w:rPr>
  </w:style>
  <w:style w:type="character" w:styleId="1020">
    <w:name w:val="正文文本缩进 3 Char"/>
    <w:next w:val="1020"/>
    <w:link w:val="1019"/>
    <w:rPr>
      <w:rFonts w:ascii="Arial" w:hAnsi="Arial" w:eastAsia="仿宋_GB2312" w:cs="Arial"/>
      <w:color w:val="ffff00"/>
      <w:sz w:val="32"/>
      <w:szCs w:val="32"/>
    </w:rPr>
  </w:style>
  <w:style w:type="paragraph" w:styleId="1021">
    <w:name w:val="图表目录"/>
    <w:basedOn w:val="964"/>
    <w:next w:val="964"/>
    <w:link w:val="964"/>
    <w:semiHidden/>
    <w:pPr>
      <w:ind w:left="840" w:hanging="420"/>
    </w:pPr>
  </w:style>
  <w:style w:type="paragraph" w:styleId="1022">
    <w:name w:val="目录 2"/>
    <w:basedOn w:val="964"/>
    <w:next w:val="964"/>
    <w:link w:val="964"/>
    <w:semiHidden/>
    <w:pPr>
      <w:ind w:left="210"/>
      <w:jc w:val="left"/>
    </w:pPr>
    <w:rPr>
      <w:smallCaps/>
      <w:szCs w:val="24"/>
    </w:rPr>
  </w:style>
  <w:style w:type="paragraph" w:styleId="1023">
    <w:name w:val="目录 9"/>
    <w:basedOn w:val="964"/>
    <w:next w:val="964"/>
    <w:link w:val="964"/>
    <w:semiHidden/>
    <w:pPr>
      <w:ind w:left="1680"/>
      <w:jc w:val="left"/>
    </w:pPr>
  </w:style>
  <w:style w:type="paragraph" w:styleId="1024">
    <w:name w:val="正文文本 2"/>
    <w:basedOn w:val="964"/>
    <w:next w:val="1024"/>
    <w:link w:val="1025"/>
    <w:pPr>
      <w:jc w:val="center"/>
      <w:widowControl/>
    </w:pPr>
    <w:rPr>
      <w:rFonts w:ascii="楷体_GB2312" w:eastAsia="楷体_GB2312"/>
      <w:sz w:val="28"/>
      <w:szCs w:val="28"/>
    </w:rPr>
  </w:style>
  <w:style w:type="character" w:styleId="1025">
    <w:name w:val="正文文本 2 Char"/>
    <w:next w:val="1025"/>
    <w:link w:val="1024"/>
    <w:rPr>
      <w:rFonts w:ascii="楷体_GB2312" w:hAnsi="Times New Roman" w:eastAsia="楷体_GB2312" w:cs="Times New Roman"/>
      <w:sz w:val="28"/>
      <w:szCs w:val="28"/>
    </w:rPr>
  </w:style>
  <w:style w:type="paragraph" w:styleId="1026">
    <w:name w:val="普通(网站)"/>
    <w:basedOn w:val="964"/>
    <w:next w:val="1026"/>
    <w:link w:val="964"/>
    <w:uiPriority w:val="99"/>
    <w:pPr>
      <w:jc w:val="left"/>
      <w:spacing w:before="100" w:beforeAutospacing="1" w:after="100" w:afterAutospacing="1"/>
      <w:widowControl/>
    </w:pPr>
    <w:rPr>
      <w:rFonts w:ascii="宋体" w:hAnsi="宋体" w:cs="宋体"/>
      <w:sz w:val="24"/>
      <w:szCs w:val="24"/>
    </w:rPr>
  </w:style>
  <w:style w:type="paragraph" w:styleId="1027">
    <w:name w:val="索引 1"/>
    <w:basedOn w:val="964"/>
    <w:next w:val="964"/>
    <w:link w:val="964"/>
    <w:semiHidden/>
    <w:pPr>
      <w:spacing w:line="240" w:lineRule="atLeast"/>
    </w:pPr>
    <w:rPr>
      <w:b/>
      <w:bCs/>
    </w:rPr>
  </w:style>
  <w:style w:type="paragraph" w:styleId="1028">
    <w:name w:val="批注主题"/>
    <w:basedOn w:val="991"/>
    <w:next w:val="991"/>
    <w:link w:val="1029"/>
    <w:semiHidden/>
    <w:rPr>
      <w:b/>
      <w:bCs/>
    </w:rPr>
  </w:style>
  <w:style w:type="character" w:styleId="1029">
    <w:name w:val="批注主题 Char"/>
    <w:next w:val="1029"/>
    <w:link w:val="1028"/>
    <w:semiHidden/>
    <w:rPr>
      <w:rFonts w:ascii="Times New Roman" w:hAnsi="Times New Roman" w:eastAsia="宋体" w:cs="Times New Roman"/>
      <w:b/>
      <w:bCs/>
      <w:szCs w:val="21"/>
    </w:rPr>
  </w:style>
  <w:style w:type="paragraph" w:styleId="1030">
    <w:name w:val="正文首行缩进"/>
    <w:basedOn w:val="995"/>
    <w:next w:val="1030"/>
    <w:link w:val="1031"/>
    <w:pPr>
      <w:ind w:firstLine="200"/>
      <w:spacing w:line="360" w:lineRule="auto"/>
    </w:pPr>
    <w:rPr>
      <w:rFonts w:ascii="仿宋_GB2312" w:eastAsia="仿宋_GB2312"/>
      <w:sz w:val="30"/>
      <w:szCs w:val="30"/>
    </w:rPr>
  </w:style>
  <w:style w:type="character" w:styleId="1031">
    <w:name w:val="正文首行缩进 Char"/>
    <w:next w:val="1031"/>
    <w:link w:val="1030"/>
    <w:rPr>
      <w:rFonts w:ascii="仿宋_GB2312" w:hAnsi="Times New Roman" w:eastAsia="仿宋_GB2312" w:cs="Times New Roman"/>
      <w:sz w:val="30"/>
      <w:szCs w:val="30"/>
    </w:rPr>
  </w:style>
  <w:style w:type="paragraph" w:styleId="1032">
    <w:name w:val="正文首行缩进 2"/>
    <w:basedOn w:val="997"/>
    <w:next w:val="1019"/>
    <w:link w:val="1033"/>
    <w:pPr>
      <w:ind w:firstLine="420"/>
      <w:spacing w:line="360" w:lineRule="auto"/>
    </w:pPr>
    <w:rPr>
      <w:rFonts w:ascii="宋体" w:hAnsi="宋体" w:eastAsia="宋体"/>
      <w:sz w:val="21"/>
      <w:szCs w:val="20"/>
    </w:rPr>
  </w:style>
  <w:style w:type="character" w:styleId="1033">
    <w:name w:val="正文首行缩进 2 Char"/>
    <w:next w:val="1033"/>
    <w:link w:val="1032"/>
    <w:rPr>
      <w:rFonts w:ascii="宋体" w:hAnsi="宋体" w:eastAsia="宋体" w:cs="Times New Roman"/>
      <w:sz w:val="32"/>
      <w:szCs w:val="20"/>
    </w:rPr>
  </w:style>
  <w:style w:type="table" w:styleId="1034">
    <w:name w:val="网格型"/>
    <w:basedOn w:val="975"/>
    <w:next w:val="1034"/>
    <w:link w:val="964"/>
    <w:pPr>
      <w:jc w:val="both"/>
      <w:widowControl w:val="off"/>
    </w:pPr>
    <w:rPr>
      <w:rFonts w:ascii="Times New Roman" w:hAnsi="Times New Roman" w:eastAsia="宋体" w:cs="Times New Roman"/>
      <w:sz w:val="20"/>
      <w:szCs w:val="20"/>
    </w:rPr>
    <w:tblPr/>
  </w:style>
  <w:style w:type="character" w:styleId="1035">
    <w:name w:val="要点"/>
    <w:next w:val="1035"/>
    <w:link w:val="964"/>
    <w:qFormat/>
    <w:rPr>
      <w:b/>
      <w:bCs/>
    </w:rPr>
  </w:style>
  <w:style w:type="character" w:styleId="1036">
    <w:name w:val="页码"/>
    <w:next w:val="1036"/>
    <w:link w:val="964"/>
  </w:style>
  <w:style w:type="character" w:styleId="1037">
    <w:name w:val="已访问的超链接"/>
    <w:next w:val="1037"/>
    <w:link w:val="964"/>
    <w:rPr>
      <w:color w:val="800080"/>
      <w:u w:val="single"/>
    </w:rPr>
  </w:style>
  <w:style w:type="character" w:styleId="1038">
    <w:name w:val="强调"/>
    <w:next w:val="1038"/>
    <w:link w:val="964"/>
    <w:qFormat/>
    <w:rPr>
      <w:i/>
    </w:rPr>
  </w:style>
  <w:style w:type="character" w:styleId="1039">
    <w:name w:val="超链接"/>
    <w:next w:val="1039"/>
    <w:link w:val="964"/>
    <w:rPr>
      <w:color w:val="0000ff"/>
      <w:u w:val="single"/>
    </w:rPr>
  </w:style>
  <w:style w:type="character" w:styleId="1040">
    <w:name w:val="批注引用"/>
    <w:next w:val="1040"/>
    <w:link w:val="964"/>
    <w:semiHidden/>
    <w:rPr>
      <w:sz w:val="21"/>
      <w:szCs w:val="21"/>
    </w:rPr>
  </w:style>
  <w:style w:type="paragraph" w:styleId="1041">
    <w:name w:val="正文首行缩进 21"/>
    <w:basedOn w:val="1042"/>
    <w:next w:val="1041"/>
    <w:link w:val="964"/>
    <w:qFormat/>
    <w:pPr>
      <w:ind w:left="0" w:firstLine="420"/>
      <w:spacing w:after="0" w:line="360" w:lineRule="auto"/>
    </w:pPr>
    <w:rPr>
      <w:rFonts w:ascii="宋体" w:hAnsi="宋体"/>
      <w:sz w:val="20"/>
      <w:szCs w:val="20"/>
      <w:lang w:eastAsia="en-US"/>
    </w:rPr>
  </w:style>
  <w:style w:type="paragraph" w:styleId="1042">
    <w:name w:val="正文文本缩进1"/>
    <w:basedOn w:val="964"/>
    <w:next w:val="1041"/>
    <w:link w:val="964"/>
    <w:uiPriority w:val="99"/>
    <w:unhideWhenUsed/>
    <w:qFormat/>
    <w:pPr>
      <w:ind w:left="420"/>
      <w:spacing w:after="120"/>
    </w:pPr>
  </w:style>
  <w:style w:type="character" w:styleId="1043">
    <w:name w:val="font5 Char"/>
    <w:next w:val="1043"/>
    <w:link w:val="964"/>
    <w:rPr>
      <w:rFonts w:ascii="宋体" w:hAnsi="宋体" w:eastAsia="宋体"/>
      <w:sz w:val="28"/>
      <w:szCs w:val="28"/>
      <w:lang w:val="en-US" w:eastAsia="zh-CN" w:bidi="ar-SA"/>
    </w:rPr>
  </w:style>
  <w:style w:type="character" w:styleId="1044">
    <w:name w:val="二级目录 Char"/>
    <w:next w:val="1044"/>
    <w:link w:val="1045"/>
    <w:rPr>
      <w:b/>
      <w:sz w:val="30"/>
      <w:szCs w:val="28"/>
    </w:rPr>
  </w:style>
  <w:style w:type="paragraph" w:styleId="1045">
    <w:name w:val="二级目录"/>
    <w:next w:val="964"/>
    <w:link w:val="1044"/>
    <w:pPr>
      <w:numPr>
        <w:ilvl w:val="0"/>
        <w:numId w:val="2"/>
      </w:numPr>
      <w:tabs>
        <w:tab w:val="left" w:pos="907" w:leader="none"/>
        <w:tab w:val="left" w:pos="1145" w:leader="none"/>
      </w:tabs>
      <w:outlineLvl w:val="1"/>
    </w:pPr>
    <w:rPr>
      <w:b/>
      <w:sz w:val="30"/>
      <w:szCs w:val="28"/>
      <w:lang w:val="en-US" w:eastAsia="zh-CN" w:bidi="ar-SA"/>
    </w:rPr>
  </w:style>
  <w:style w:type="character" w:styleId="1046">
    <w:name w:val="列出段落 Char,Bullet List Char,numbered Char,FooterText Char,List Paragraph1 Char,Paragraphe de liste1 Char"/>
    <w:next w:val="1046"/>
    <w:link w:val="1047"/>
    <w:rPr>
      <w:rFonts w:ascii="Calibri" w:hAnsi="Calibri"/>
      <w:sz w:val="24"/>
      <w:szCs w:val="24"/>
      <w:lang w:eastAsia="en-US" w:bidi="en-US"/>
    </w:rPr>
  </w:style>
  <w:style w:type="paragraph" w:styleId="1047">
    <w:name w:val="列出段落1"/>
    <w:basedOn w:val="964"/>
    <w:next w:val="1047"/>
    <w:link w:val="1046"/>
    <w:qFormat/>
    <w:pPr>
      <w:contextualSpacing/>
      <w:ind w:left="720"/>
      <w:jc w:val="left"/>
      <w:widowControl/>
    </w:pPr>
    <w:rPr>
      <w:rFonts w:ascii="Calibri" w:hAnsi="Calibri" w:eastAsia="宋体" w:cs="Times New Roman"/>
      <w:sz w:val="24"/>
      <w:szCs w:val="24"/>
      <w:lang w:eastAsia="en-US" w:bidi="en-US"/>
    </w:rPr>
  </w:style>
  <w:style w:type="paragraph" w:styleId="1048">
    <w:name w:val="Body Text(ch)"/>
    <w:basedOn w:val="964"/>
    <w:next w:val="995"/>
    <w:link w:val="964"/>
    <w:pPr>
      <w:spacing w:after="120"/>
    </w:pPr>
    <w:rPr>
      <w:rFonts w:ascii="宋体" w:hAnsi="Arial"/>
      <w:bCs/>
      <w:iCs/>
      <w:szCs w:val="24"/>
    </w:rPr>
  </w:style>
  <w:style w:type="paragraph" w:styleId="1049">
    <w:name w:val="xl27"/>
    <w:basedOn w:val="964"/>
    <w:next w:val="1049"/>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xl26"/>
    <w:basedOn w:val="964"/>
    <w:next w:val="1050"/>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name w:val="Char"/>
    <w:basedOn w:val="964"/>
    <w:next w:val="1051"/>
    <w:link w:val="964"/>
    <w:pPr>
      <w:ind w:firstLine="200"/>
      <w:tabs>
        <w:tab w:val="left" w:pos="360" w:leader="none"/>
      </w:tabs>
    </w:pPr>
    <w:rPr>
      <w:sz w:val="28"/>
      <w:szCs w:val="30"/>
    </w:rPr>
  </w:style>
  <w:style w:type="paragraph" w:styleId="1052">
    <w:name w:val=" Char"/>
    <w:basedOn w:val="989"/>
    <w:next w:val="1052"/>
    <w:link w:val="964"/>
    <w:rPr>
      <w:rFonts w:ascii="Tahoma" w:hAnsi="Tahoma"/>
      <w:sz w:val="24"/>
      <w:szCs w:val="24"/>
    </w:rPr>
  </w:style>
  <w:style w:type="paragraph" w:styleId="1053">
    <w:name w:val="普通正文"/>
    <w:basedOn w:val="964"/>
    <w:next w:val="1053"/>
    <w:link w:val="964"/>
    <w:pPr>
      <w:ind w:firstLine="480"/>
      <w:jc w:val="left"/>
      <w:spacing w:before="120" w:after="120" w:line="360" w:lineRule="auto"/>
    </w:pPr>
    <w:rPr>
      <w:rFonts w:ascii="Arial" w:hAnsi="Arial"/>
      <w:sz w:val="24"/>
      <w:szCs w:val="24"/>
    </w:rPr>
  </w:style>
  <w:style w:type="paragraph" w:styleId="1054">
    <w:name w:val="table_lines"/>
    <w:basedOn w:val="964"/>
    <w:next w:val="1054"/>
    <w:link w:val="964"/>
    <w:pPr>
      <w:jc w:val="left"/>
      <w:widowControl/>
    </w:pPr>
    <w:rPr>
      <w:sz w:val="20"/>
      <w:szCs w:val="20"/>
      <w:lang w:val="de-DE" w:eastAsia="de-DE"/>
    </w:rPr>
  </w:style>
  <w:style w:type="paragraph" w:styleId="1055">
    <w:name w:val="附录1"/>
    <w:next w:val="1055"/>
    <w:link w:val="9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6">
    <w:name w:val="font7"/>
    <w:basedOn w:val="964"/>
    <w:next w:val="1056"/>
    <w:link w:val="964"/>
    <w:pPr>
      <w:jc w:val="left"/>
      <w:spacing w:before="100" w:beforeAutospacing="1" w:after="100" w:afterAutospacing="1"/>
      <w:widowControl/>
    </w:pPr>
    <w:rPr>
      <w:rFonts w:hint="eastAsia" w:ascii="宋体" w:hAnsi="宋体"/>
      <w:sz w:val="18"/>
      <w:szCs w:val="18"/>
    </w:rPr>
  </w:style>
  <w:style w:type="paragraph" w:styleId="1057">
    <w:name w:val=" Char Char Char Char"/>
    <w:basedOn w:val="989"/>
    <w:next w:val="1057"/>
    <w:link w:val="964"/>
    <w:pPr>
      <w:spacing w:line="360" w:lineRule="auto"/>
    </w:pPr>
    <w:rPr>
      <w:rFonts w:ascii="Tahoma" w:hAnsi="Tahoma"/>
      <w:sz w:val="24"/>
      <w:szCs w:val="24"/>
    </w:rPr>
  </w:style>
  <w:style w:type="paragraph" w:styleId="1058">
    <w:name w:val="列出段落"/>
    <w:basedOn w:val="964"/>
    <w:next w:val="1058"/>
    <w:link w:val="964"/>
    <w:qFormat/>
    <w:pPr>
      <w:contextualSpacing/>
      <w:ind w:left="720"/>
      <w:jc w:val="left"/>
      <w:widowControl/>
    </w:pPr>
    <w:rPr>
      <w:rFonts w:ascii="Calibri" w:hAnsi="Calibri"/>
      <w:sz w:val="24"/>
      <w:szCs w:val="24"/>
      <w:lang w:eastAsia="en-US" w:bidi="en-US"/>
    </w:rPr>
  </w:style>
  <w:style w:type="paragraph" w:styleId="1059">
    <w:name w:val="4"/>
    <w:basedOn w:val="964"/>
    <w:next w:val="1019"/>
    <w:link w:val="964"/>
    <w:pPr>
      <w:ind w:firstLine="420"/>
      <w:spacing w:line="360" w:lineRule="auto"/>
    </w:pPr>
    <w:rPr>
      <w:color w:val="ff0000"/>
      <w:sz w:val="24"/>
      <w:szCs w:val="24"/>
    </w:rPr>
  </w:style>
  <w:style w:type="paragraph" w:styleId="1060">
    <w:name w:val="普通 (Web)"/>
    <w:basedOn w:val="964"/>
    <w:next w:val="1060"/>
    <w:link w:val="964"/>
    <w:pPr>
      <w:jc w:val="left"/>
      <w:spacing w:before="100" w:beforeAutospacing="1" w:after="100" w:afterAutospacing="1"/>
      <w:widowControl/>
    </w:pPr>
    <w:rPr>
      <w:rFonts w:ascii="宋体" w:hAnsi="宋体"/>
      <w:sz w:val="24"/>
      <w:szCs w:val="24"/>
    </w:rPr>
  </w:style>
  <w:style w:type="paragraph" w:styleId="1061">
    <w:name w:val=" Char Char Char Char Char Char Char Char Char Char"/>
    <w:basedOn w:val="964"/>
    <w:next w:val="1061"/>
    <w:link w:val="964"/>
    <w:pPr>
      <w:spacing w:line="360" w:lineRule="auto"/>
    </w:pPr>
    <w:rPr>
      <w:sz w:val="24"/>
      <w:szCs w:val="20"/>
    </w:rPr>
  </w:style>
  <w:style w:type="paragraph" w:styleId="1062">
    <w:name w:val="样式1"/>
    <w:basedOn w:val="964"/>
    <w:next w:val="1062"/>
    <w:link w:val="964"/>
    <w:pPr>
      <w:numPr>
        <w:ilvl w:val="0"/>
        <w:numId w:val="3"/>
      </w:numPr>
      <w:tabs>
        <w:tab w:val="left" w:pos="709" w:leader="none"/>
      </w:tabs>
    </w:pPr>
    <w:rPr>
      <w:rFonts w:ascii="宋体" w:hAnsi="宋体"/>
    </w:rPr>
  </w:style>
  <w:style w:type="paragraph" w:styleId="1063">
    <w:name w:val="font6"/>
    <w:basedOn w:val="964"/>
    <w:next w:val="1063"/>
    <w:link w:val="964"/>
    <w:pPr>
      <w:jc w:val="left"/>
      <w:spacing w:before="100" w:beforeAutospacing="1" w:after="100" w:afterAutospacing="1"/>
      <w:widowControl/>
    </w:pPr>
    <w:rPr>
      <w:rFonts w:hint="eastAsia" w:ascii="宋体" w:hAnsi="宋体"/>
      <w:sz w:val="28"/>
      <w:szCs w:val="28"/>
      <w:u w:val="single"/>
    </w:rPr>
  </w:style>
  <w:style w:type="paragraph" w:styleId="1064">
    <w:name w:val="xl25"/>
    <w:basedOn w:val="964"/>
    <w:next w:val="1064"/>
    <w:link w:val="9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name w:val="图标"/>
    <w:basedOn w:val="964"/>
    <w:next w:val="964"/>
    <w:link w:val="9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name w:val="标题3"/>
    <w:basedOn w:val="964"/>
    <w:next w:val="964"/>
    <w:link w:val="964"/>
    <w:pPr>
      <w:ind w:firstLine="624"/>
      <w:spacing w:line="590" w:lineRule="atLeast"/>
    </w:pPr>
    <w:rPr>
      <w:rFonts w:ascii="方正黑体_GBK" w:eastAsia="方正黑体_GBK"/>
      <w:sz w:val="32"/>
      <w:szCs w:val="32"/>
    </w:rPr>
  </w:style>
  <w:style w:type="paragraph" w:styleId="1067">
    <w:name w:val="xl24"/>
    <w:basedOn w:val="964"/>
    <w:next w:val="1067"/>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xl29"/>
    <w:basedOn w:val="964"/>
    <w:next w:val="1068"/>
    <w:link w:val="9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name w:val="Char Char Char Char Char Char Char Char"/>
    <w:basedOn w:val="964"/>
    <w:next w:val="1069"/>
    <w:link w:val="964"/>
    <w:pPr>
      <w:jc w:val="left"/>
      <w:spacing w:after="160" w:line="240" w:lineRule="exact"/>
      <w:widowControl/>
    </w:pPr>
    <w:rPr>
      <w:rFonts w:ascii="Verdana" w:hAnsi="Verdana"/>
      <w:sz w:val="20"/>
      <w:szCs w:val="20"/>
      <w:lang w:eastAsia="en-US"/>
    </w:rPr>
  </w:style>
  <w:style w:type="paragraph" w:styleId="1070">
    <w:name w:val="xl28"/>
    <w:basedOn w:val="964"/>
    <w:next w:val="1070"/>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name w:val=" Char Char Char Char Char Char Char Char"/>
    <w:basedOn w:val="964"/>
    <w:next w:val="1071"/>
    <w:link w:val="964"/>
    <w:pPr>
      <w:jc w:val="left"/>
      <w:spacing w:after="160" w:line="240" w:lineRule="exact"/>
      <w:widowControl/>
    </w:pPr>
    <w:rPr>
      <w:rFonts w:ascii="Verdana" w:hAnsi="Verdana"/>
      <w:sz w:val="20"/>
      <w:szCs w:val="20"/>
      <w:lang w:eastAsia="en-US"/>
    </w:rPr>
  </w:style>
  <w:style w:type="paragraph" w:styleId="1072">
    <w:name w:val="xl30"/>
    <w:basedOn w:val="964"/>
    <w:next w:val="1072"/>
    <w:link w:val="964"/>
    <w:pPr>
      <w:jc w:val="center"/>
      <w:spacing w:before="100" w:beforeAutospacing="1" w:after="100" w:afterAutospacing="1"/>
      <w:widowControl/>
    </w:pPr>
    <w:rPr>
      <w:rFonts w:ascii="宋体" w:hAnsi="宋体"/>
      <w:b/>
      <w:bCs/>
      <w:sz w:val="36"/>
      <w:szCs w:val="36"/>
    </w:rPr>
  </w:style>
  <w:style w:type="paragraph" w:styleId="1073">
    <w:name w:val="Char Char Char Char"/>
    <w:basedOn w:val="989"/>
    <w:next w:val="1073"/>
    <w:link w:val="964"/>
    <w:pPr>
      <w:spacing w:line="360" w:lineRule="auto"/>
    </w:pPr>
    <w:rPr>
      <w:rFonts w:ascii="Tahoma" w:hAnsi="Tahoma"/>
      <w:sz w:val="24"/>
      <w:szCs w:val="24"/>
    </w:rPr>
  </w:style>
  <w:style w:type="paragraph" w:styleId="1074">
    <w:name w:val="table_1stline"/>
    <w:basedOn w:val="964"/>
    <w:next w:val="1074"/>
    <w:link w:val="964"/>
    <w:pPr>
      <w:jc w:val="left"/>
      <w:spacing w:before="120"/>
      <w:widowControl/>
    </w:pPr>
    <w:rPr>
      <w:bCs/>
      <w:sz w:val="20"/>
      <w:szCs w:val="20"/>
      <w:lang w:val="de-DE" w:eastAsia="de-DE"/>
    </w:rPr>
  </w:style>
  <w:style w:type="paragraph" w:styleId="1075">
    <w:name w:val="font5"/>
    <w:basedOn w:val="964"/>
    <w:next w:val="1075"/>
    <w:link w:val="964"/>
    <w:pPr>
      <w:jc w:val="left"/>
      <w:spacing w:before="100" w:beforeAutospacing="1" w:after="100" w:afterAutospacing="1"/>
      <w:widowControl/>
    </w:pPr>
    <w:rPr>
      <w:rFonts w:hint="eastAsia" w:ascii="宋体" w:hAnsi="宋体"/>
      <w:sz w:val="28"/>
      <w:szCs w:val="28"/>
    </w:rPr>
  </w:style>
  <w:style w:type="paragraph" w:styleId="1076">
    <w:name w:val="标题1"/>
    <w:basedOn w:val="964"/>
    <w:next w:val="964"/>
    <w:link w:val="96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name w:val="修订"/>
    <w:next w:val="1077"/>
    <w:link w:val="964"/>
    <w:uiPriority w:val="99"/>
    <w:semiHidden/>
    <w:rPr>
      <w:rFonts w:ascii="Times New Roman" w:hAnsi="Times New Roman"/>
      <w:sz w:val="21"/>
      <w:szCs w:val="21"/>
      <w:lang w:val="en-US" w:eastAsia="zh-CN" w:bidi="ar-SA"/>
    </w:rPr>
  </w:style>
  <w:style w:type="paragraph" w:styleId="1078">
    <w:name w:val="无间隔"/>
    <w:next w:val="1078"/>
    <w:link w:val="964"/>
    <w:uiPriority w:val="99"/>
    <w:qFormat/>
    <w:pPr>
      <w:jc w:val="both"/>
      <w:widowControl w:val="off"/>
    </w:pPr>
    <w:rPr>
      <w:rFonts w:ascii="Times New Roman" w:hAnsi="Times New Roman"/>
      <w:sz w:val="21"/>
      <w:szCs w:val="21"/>
      <w:lang w:val="en-US" w:eastAsia="zh-CN" w:bidi="ar-SA"/>
    </w:rPr>
  </w:style>
  <w:style w:type="paragraph" w:styleId="1079">
    <w:name w:val="纯文本1"/>
    <w:basedOn w:val="964"/>
    <w:next w:val="1079"/>
    <w:link w:val="964"/>
    <w:qFormat/>
    <w:rPr>
      <w:rFonts w:ascii="宋体" w:hAnsi="Courier New" w:cs="宋体"/>
    </w:rPr>
  </w:style>
  <w:style w:type="paragraph" w:styleId="1080">
    <w:name w:val="标题 311"/>
    <w:basedOn w:val="964"/>
    <w:next w:val="1081"/>
    <w:link w:val="964"/>
    <w:uiPriority w:val="9"/>
    <w:qFormat/>
    <w:pPr>
      <w:keepLines/>
      <w:keepNext/>
      <w:spacing w:before="320" w:after="200"/>
      <w:outlineLvl w:val="2"/>
    </w:pPr>
    <w:rPr>
      <w:rFonts w:ascii="Arial" w:hAnsi="Arial" w:eastAsia="Arial"/>
      <w:sz w:val="30"/>
      <w:szCs w:val="30"/>
    </w:rPr>
  </w:style>
  <w:style w:type="paragraph" w:styleId="1081">
    <w:name w:val="正文缩进12"/>
    <w:basedOn w:val="964"/>
    <w:next w:val="964"/>
    <w:link w:val="964"/>
    <w:qFormat/>
    <w:pPr>
      <w:ind w:firstLine="420"/>
    </w:pPr>
    <w:rPr>
      <w:szCs w:val="20"/>
    </w:rPr>
  </w:style>
  <w:style w:type="paragraph" w:styleId="1082">
    <w:name w:val="纯文本11"/>
    <w:basedOn w:val="964"/>
    <w:next w:val="1082"/>
    <w:link w:val="964"/>
    <w:qFormat/>
    <w:rPr>
      <w:rFonts w:ascii="宋体" w:hAnsi="Courier New"/>
    </w:rPr>
  </w:style>
  <w:style w:type="paragraph" w:styleId="1083">
    <w:name w:val="正文首行缩进2"/>
    <w:basedOn w:val="1084"/>
    <w:next w:val="1083"/>
    <w:link w:val="964"/>
    <w:qFormat/>
    <w:pPr>
      <w:ind w:firstLine="420"/>
    </w:pPr>
  </w:style>
  <w:style w:type="paragraph" w:styleId="1084">
    <w:name w:val="正文文本2"/>
    <w:basedOn w:val="964"/>
    <w:next w:val="1084"/>
    <w:link w:val="964"/>
    <w:qFormat/>
    <w:pPr>
      <w:spacing w:line="400" w:lineRule="exact"/>
    </w:pPr>
    <w:rPr>
      <w:rFonts w:ascii="楷体_GB2312"/>
      <w:sz w:val="28"/>
    </w:r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4</cp:revision>
  <dcterms:created xsi:type="dcterms:W3CDTF">2023-03-16T02:16:00Z</dcterms:created>
  <dcterms:modified xsi:type="dcterms:W3CDTF">2026-07-14T05:51:25Z</dcterms:modified>
</cp:coreProperties>
</file>