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jc w:val="left"/>
        <w:pageBreakBefore w:val="0"/>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88"/>
        <w:pageBreakBefore w:val="0"/>
        <w:spacing w:line="360" w:lineRule="auto"/>
        <w:rPr>
          <w:color w:val="000000"/>
        </w:rPr>
      </w:pPr>
      <w:r>
        <w:rPr>
          <w:color w:val="000000"/>
        </w:rPr>
      </w:r>
      <w:r/>
    </w:p>
    <w:p>
      <w:pPr>
        <w:pStyle w:val="1089"/>
        <w:pageBreakBefore w:val="0"/>
        <w:spacing w:line="360" w:lineRule="auto"/>
        <w:rPr>
          <w:color w:val="000000"/>
        </w:rPr>
      </w:pPr>
      <w:r>
        <w:rPr>
          <w:color w:val="000000"/>
        </w:rPr>
      </w:r>
      <w:r/>
    </w:p>
    <w:p>
      <w:pPr>
        <w:pStyle w:val="802"/>
        <w:jc w:val="center"/>
        <w:pageBreakBefore w:val="0"/>
        <w:spacing w:before="120" w:after="120" w:line="360" w:lineRule="auto"/>
        <w:rPr>
          <w:rFonts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ascii="方正小标宋简体" w:hAnsi="方正小标宋简体" w:eastAsia="方正小标宋简体" w:cs="方正小标宋简体"/>
          <w:b/>
          <w:bCs/>
          <w:color w:val="000000"/>
          <w:sz w:val="84"/>
          <w:szCs w:val="24"/>
        </w:rPr>
      </w:r>
      <w:r/>
    </w:p>
    <w:p>
      <w:pPr>
        <w:pStyle w:val="802"/>
        <w:jc w:val="center"/>
        <w:pageBreakBefore w:val="0"/>
        <w:spacing w:line="360" w:lineRule="auto"/>
        <w:rPr>
          <w:rFonts w:hint="eastAsia" w:eastAsia="宋体"/>
          <w:b/>
          <w:color w:val="000000"/>
          <w:sz w:val="30"/>
          <w:szCs w:val="30"/>
          <w:u w:val="single"/>
          <w:lang w:eastAsia="zh-CN"/>
        </w:rPr>
      </w:pPr>
      <w:r>
        <w:rPr>
          <w:rFonts w:hint="eastAsia"/>
          <w:b/>
          <w:color w:val="000000"/>
          <w:sz w:val="30"/>
          <w:szCs w:val="30"/>
        </w:rPr>
        <w:t xml:space="preserve">项目名称：</w:t>
      </w:r>
      <w:r>
        <w:rPr>
          <w:rFonts w:hint="eastAsia"/>
          <w:b/>
          <w:color w:val="000000"/>
          <w:sz w:val="30"/>
          <w:szCs w:val="30"/>
          <w:lang w:eastAsia="zh-CN"/>
        </w:rPr>
        <w:t xml:space="preserve">南京市公安局经侦支队食堂食材采购</w:t>
      </w:r>
      <w:r>
        <w:rPr>
          <w:rFonts w:hint="eastAsia" w:eastAsia="宋体"/>
          <w:b/>
          <w:color w:val="000000"/>
          <w:sz w:val="30"/>
          <w:szCs w:val="30"/>
          <w:u w:val="single"/>
          <w:lang w:eastAsia="zh-CN"/>
        </w:rPr>
      </w:r>
      <w:r/>
    </w:p>
    <w:p>
      <w:pPr>
        <w:pStyle w:val="802"/>
        <w:jc w:val="center"/>
        <w:pageBreakBefore w:val="0"/>
        <w:spacing w:line="360" w:lineRule="auto"/>
        <w:rPr>
          <w:rFonts w:hint="eastAsia" w:eastAsia="宋体"/>
          <w:b/>
          <w:color w:val="000000"/>
          <w:sz w:val="30"/>
          <w:szCs w:val="30"/>
          <w:lang w:eastAsia="zh-CN"/>
        </w:rPr>
      </w:pPr>
      <w:r>
        <w:rPr>
          <w:rFonts w:hint="eastAsia"/>
          <w:b/>
          <w:color w:val="000000"/>
          <w:sz w:val="30"/>
          <w:szCs w:val="30"/>
        </w:rPr>
        <w:t xml:space="preserve">项目编号：</w:t>
      </w:r>
      <w:r>
        <w:rPr>
          <w:rFonts w:hint="eastAsia"/>
          <w:b/>
          <w:color w:val="000000"/>
          <w:sz w:val="30"/>
          <w:szCs w:val="30"/>
          <w:lang w:eastAsia="zh-CN"/>
        </w:rPr>
        <w:t xml:space="preserve">JSZC-320100-SDLH-G2026-0011</w:t>
      </w:r>
      <w:r>
        <w:rPr>
          <w:rFonts w:hint="eastAsia" w:eastAsia="宋体"/>
          <w:b/>
          <w:color w:val="000000"/>
          <w:sz w:val="30"/>
          <w:szCs w:val="30"/>
          <w:lang w:eastAsia="zh-CN"/>
        </w:rPr>
      </w:r>
      <w:r/>
    </w:p>
    <w:p>
      <w:pPr>
        <w:pStyle w:val="802"/>
        <w:jc w:val="center"/>
        <w:pageBreakBefore w:val="0"/>
        <w:spacing w:line="360" w:lineRule="auto"/>
        <w:rPr>
          <w:b/>
          <w:color w:val="000000"/>
          <w:sz w:val="30"/>
          <w:szCs w:val="30"/>
          <w:highlight w:val="none"/>
        </w:rPr>
      </w:pPr>
      <w:r>
        <w:rPr>
          <w:rFonts w:hint="eastAsia"/>
          <w:b/>
          <w:color w:val="000000"/>
          <w:sz w:val="30"/>
          <w:szCs w:val="30"/>
          <w:highlight w:val="none"/>
        </w:rPr>
        <w:t xml:space="preserve">（</w:t>
      </w:r>
      <w:r>
        <w:rPr>
          <w:rFonts w:hint="eastAsia"/>
          <w:b/>
          <w:color w:val="000000"/>
          <w:sz w:val="30"/>
          <w:szCs w:val="30"/>
          <w:highlight w:val="none"/>
          <w:lang w:val="en-US" w:eastAsia="zh-CN"/>
        </w:rPr>
        <w:t xml:space="preserve">非</w:t>
      </w:r>
      <w:r>
        <w:rPr>
          <w:rFonts w:hint="eastAsia" w:ascii="宋体" w:hAnsi="宋体" w:cs="宋体"/>
          <w:b/>
          <w:bCs/>
          <w:color w:val="000000"/>
          <w:sz w:val="30"/>
          <w:szCs w:val="30"/>
          <w:highlight w:val="none"/>
        </w:rPr>
        <w:t xml:space="preserve">专门</w:t>
      </w:r>
      <w:r>
        <w:rPr>
          <w:rFonts w:hint="eastAsia"/>
          <w:b/>
          <w:color w:val="000000"/>
          <w:sz w:val="30"/>
          <w:szCs w:val="30"/>
          <w:highlight w:val="none"/>
        </w:rPr>
        <w:t xml:space="preserve">面向中小企业）</w:t>
      </w:r>
      <w:r>
        <w:rPr>
          <w:b/>
          <w:color w:val="000000"/>
          <w:sz w:val="30"/>
          <w:szCs w:val="30"/>
          <w:highlight w:val="none"/>
        </w:rPr>
      </w:r>
      <w:r/>
    </w:p>
    <w:p>
      <w:pPr>
        <w:pStyle w:val="802"/>
        <w:jc w:val="left"/>
        <w:pageBreakBefore w:val="0"/>
        <w:spacing w:line="360" w:lineRule="auto"/>
        <w:rPr>
          <w:rFonts w:ascii="宋体" w:hAnsi="宋体"/>
          <w:color w:val="000000"/>
          <w:sz w:val="24"/>
          <w:szCs w:val="24"/>
        </w:rPr>
      </w:pPr>
      <w:r>
        <w:rPr>
          <w:rFonts w:ascii="宋体" w:hAnsi="宋体"/>
          <w:color w:val="000000"/>
          <w:sz w:val="24"/>
          <w:szCs w:val="24"/>
        </w:rPr>
      </w:r>
      <w:r/>
    </w:p>
    <w:p>
      <w:pPr>
        <w:pStyle w:val="802"/>
        <w:jc w:val="left"/>
        <w:pageBreakBefore w:val="0"/>
        <w:spacing w:line="360" w:lineRule="auto"/>
        <w:rPr>
          <w:rFonts w:ascii="宋体" w:hAnsi="宋体"/>
          <w:color w:val="000000"/>
          <w:sz w:val="24"/>
          <w:szCs w:val="24"/>
        </w:rPr>
      </w:pPr>
      <w:r>
        <w:rPr>
          <w:rFonts w:ascii="宋体" w:hAnsi="宋体"/>
          <w:color w:val="000000"/>
          <w:sz w:val="24"/>
          <w:szCs w:val="24"/>
        </w:rPr>
      </w:r>
      <w:r/>
    </w:p>
    <w:p>
      <w:pPr>
        <w:pStyle w:val="802"/>
        <w:jc w:val="left"/>
        <w:pageBreakBefore w:val="0"/>
        <w:spacing w:line="360" w:lineRule="auto"/>
        <w:rPr>
          <w:rFonts w:ascii="宋体" w:hAnsi="宋体"/>
          <w:color w:val="000000"/>
          <w:sz w:val="24"/>
          <w:szCs w:val="24"/>
        </w:rPr>
      </w:pPr>
      <w:r>
        <w:rPr>
          <w:rFonts w:ascii="宋体" w:hAnsi="宋体"/>
          <w:color w:val="000000"/>
          <w:sz w:val="24"/>
          <w:szCs w:val="24"/>
        </w:rPr>
      </w:r>
      <w:r/>
    </w:p>
    <w:p>
      <w:pPr>
        <w:pStyle w:val="802"/>
        <w:jc w:val="left"/>
        <w:pageBreakBefore w:val="0"/>
        <w:spacing w:line="360" w:lineRule="auto"/>
        <w:rPr>
          <w:rFonts w:ascii="宋体" w:hAnsi="宋体"/>
          <w:color w:val="000000"/>
          <w:sz w:val="24"/>
          <w:szCs w:val="24"/>
        </w:rPr>
      </w:pPr>
      <w:r>
        <w:rPr>
          <w:rFonts w:ascii="宋体" w:hAnsi="宋体"/>
          <w:color w:val="000000"/>
          <w:sz w:val="24"/>
          <w:szCs w:val="24"/>
        </w:rPr>
      </w:r>
      <w:r/>
    </w:p>
    <w:p>
      <w:pPr>
        <w:pStyle w:val="802"/>
        <w:jc w:val="left"/>
        <w:pageBreakBefore w:val="0"/>
        <w:spacing w:line="360" w:lineRule="auto"/>
        <w:rPr>
          <w:rFonts w:ascii="宋体" w:hAnsi="宋体"/>
          <w:color w:val="000000"/>
          <w:sz w:val="24"/>
          <w:szCs w:val="24"/>
        </w:rPr>
      </w:pPr>
      <w:r>
        <w:rPr>
          <w:rFonts w:ascii="宋体" w:hAnsi="宋体"/>
          <w:color w:val="000000"/>
          <w:sz w:val="24"/>
          <w:szCs w:val="24"/>
        </w:rPr>
      </w:r>
      <w:r/>
    </w:p>
    <w:p>
      <w:pPr>
        <w:pStyle w:val="802"/>
        <w:jc w:val="left"/>
        <w:pageBreakBefore w:val="0"/>
        <w:spacing w:line="360" w:lineRule="auto"/>
        <w:rPr>
          <w:rFonts w:ascii="宋体" w:hAnsi="宋体"/>
          <w:color w:val="000000"/>
          <w:sz w:val="24"/>
          <w:szCs w:val="24"/>
        </w:rPr>
      </w:pPr>
      <w:r>
        <w:rPr>
          <w:rFonts w:ascii="宋体" w:hAnsi="宋体"/>
          <w:color w:val="000000"/>
          <w:sz w:val="24"/>
          <w:szCs w:val="24"/>
        </w:rPr>
      </w:r>
      <w:r/>
    </w:p>
    <w:p>
      <w:pPr>
        <w:pStyle w:val="802"/>
        <w:jc w:val="left"/>
        <w:pageBreakBefore w:val="0"/>
        <w:spacing w:line="360" w:lineRule="auto"/>
        <w:rPr>
          <w:rFonts w:ascii="宋体" w:hAnsi="宋体"/>
          <w:color w:val="000000"/>
          <w:sz w:val="24"/>
          <w:szCs w:val="24"/>
        </w:rPr>
      </w:pPr>
      <w:r>
        <w:rPr>
          <w:rFonts w:ascii="宋体" w:hAnsi="宋体"/>
          <w:color w:val="000000"/>
          <w:sz w:val="24"/>
          <w:szCs w:val="24"/>
        </w:rPr>
      </w:r>
      <w:r/>
    </w:p>
    <w:p>
      <w:pPr>
        <w:pStyle w:val="1100"/>
        <w:ind w:firstLine="0"/>
        <w:jc w:val="center"/>
        <w:pageBreakBefore w:val="0"/>
        <w:spacing w:line="360" w:lineRule="auto"/>
        <w:rPr>
          <w:b/>
          <w:bCs/>
          <w:color w:val="000000"/>
          <w:sz w:val="32"/>
        </w:rPr>
      </w:pPr>
      <w:r>
        <w:rPr>
          <w:rFonts w:hint="eastAsia"/>
          <w:b/>
          <w:bCs/>
          <w:color w:val="000000"/>
          <w:sz w:val="32"/>
        </w:rPr>
        <w:t xml:space="preserve">江苏盛德量行建设咨询有限公司</w:t>
      </w:r>
      <w:r>
        <w:rPr>
          <w:b/>
          <w:bCs/>
          <w:color w:val="000000"/>
          <w:sz w:val="32"/>
        </w:rPr>
      </w:r>
      <w:r/>
    </w:p>
    <w:p>
      <w:pPr>
        <w:pStyle w:val="802"/>
        <w:jc w:val="center"/>
        <w:pageBreakBefore w:val="0"/>
        <w:spacing w:line="360" w:lineRule="auto"/>
        <w:rPr>
          <w:b/>
          <w:color w:val="000000"/>
          <w:sz w:val="32"/>
          <w:szCs w:val="32"/>
        </w:rPr>
      </w:pPr>
      <w:r>
        <w:rPr>
          <w:rFonts w:hint="eastAsia"/>
          <w:b/>
          <w:color w:val="000000"/>
          <w:sz w:val="32"/>
          <w:szCs w:val="32"/>
          <w:lang w:val="en-US" w:eastAsia="zh-CN"/>
        </w:rPr>
        <w:t xml:space="preserve">2026</w:t>
      </w:r>
      <w:r>
        <w:rPr>
          <w:rFonts w:hint="eastAsia"/>
          <w:b/>
          <w:color w:val="000000"/>
          <w:sz w:val="32"/>
          <w:szCs w:val="32"/>
        </w:rPr>
        <w:t xml:space="preserve">年</w:t>
      </w:r>
      <w:r>
        <w:rPr>
          <w:rFonts w:hint="eastAsia"/>
          <w:b/>
          <w:color w:val="000000"/>
          <w:sz w:val="32"/>
          <w:szCs w:val="32"/>
          <w:lang w:val="en-US" w:eastAsia="zh-CN"/>
        </w:rPr>
        <w:t xml:space="preserve">7</w:t>
      </w:r>
      <w:r>
        <w:rPr>
          <w:rFonts w:hint="eastAsia"/>
          <w:b/>
          <w:color w:val="000000"/>
          <w:sz w:val="32"/>
          <w:szCs w:val="32"/>
        </w:rPr>
        <w:t xml:space="preserve">月</w:t>
      </w:r>
      <w:r>
        <w:rPr>
          <w:b/>
          <w:color w:val="000000"/>
          <w:sz w:val="32"/>
          <w:szCs w:val="32"/>
        </w:rPr>
      </w:r>
      <w:r/>
    </w:p>
    <w:p>
      <w:pPr>
        <w:pStyle w:val="802"/>
        <w:jc w:val="left"/>
        <w:pageBreakBefore w:val="0"/>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rPr>
          <w:rFonts w:ascii="Arial" w:hAnsi="Arial"/>
          <w:color w:val="000000"/>
          <w:sz w:val="24"/>
          <w:szCs w:val="24"/>
          <w:u w:val="single"/>
        </w:rPr>
      </w:r>
      <w:r/>
    </w:p>
    <w:p>
      <w:pPr>
        <w:pStyle w:val="802"/>
        <w:jc w:val="center"/>
        <w:pageBreakBefore w:val="0"/>
        <w:spacing w:before="120" w:after="120" w:line="360" w:lineRule="auto"/>
        <w:rPr>
          <w:rFonts w:ascii="Arial" w:hAnsi="Arial"/>
          <w:color w:val="000000"/>
          <w:sz w:val="24"/>
          <w:szCs w:val="24"/>
        </w:rPr>
      </w:pPr>
      <w:r>
        <w:rPr>
          <w:rFonts w:ascii="Arial" w:hAnsi="Arial"/>
          <w:color w:val="000000"/>
          <w:sz w:val="24"/>
          <w:szCs w:val="24"/>
        </w:rPr>
      </w:r>
      <w:r/>
    </w:p>
    <w:p>
      <w:pPr>
        <w:pStyle w:val="802"/>
        <w:jc w:val="left"/>
        <w:pageBreakBefore w:val="0"/>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802"/>
        <w:numPr>
          <w:ilvl w:val="0"/>
          <w:numId w:val="0"/>
        </w:numPr>
        <w:jc w:val="both"/>
        <w:pageBreakBefore w:val="0"/>
        <w:spacing w:line="360" w:lineRule="auto"/>
        <w:rPr>
          <w:rFonts w:ascii="黑体" w:hAnsi="宋体" w:eastAsia="黑体"/>
          <w:color w:val="000000"/>
          <w:sz w:val="36"/>
          <w:szCs w:val="21"/>
        </w:rPr>
      </w:pPr>
      <w:r/>
      <w:bookmarkStart w:id="0" w:name="_Toc13241"/>
      <w:r/>
      <w:bookmarkEnd w:id="0"/>
      <w:r/>
      <w:bookmarkStart w:id="1" w:name="_Toc120614210"/>
      <w:r/>
      <w:bookmarkStart w:id="2" w:name="_Toc479757206"/>
      <w:r/>
      <w:bookmarkStart w:id="3" w:name="_Toc20823272"/>
      <w:r/>
      <w:bookmarkStart w:id="4" w:name="_Toc513029200"/>
      <w:r/>
      <w:bookmarkStart w:id="5" w:name="_Toc16938516"/>
      <w:r/>
      <w:bookmarkStart w:id="6" w:name="_Toc523127445"/>
      <w:r>
        <w:rPr>
          <w:rFonts w:ascii="黑体" w:hAnsi="宋体" w:eastAsia="黑体"/>
          <w:color w:val="000000"/>
          <w:sz w:val="36"/>
          <w:szCs w:val="21"/>
        </w:rPr>
      </w:r>
      <w:r/>
    </w:p>
    <w:p>
      <w:pPr>
        <w:pStyle w:val="802"/>
        <w:jc w:val="center"/>
        <w:pageBreakBefore w:val="0"/>
        <w:spacing w:line="360" w:lineRule="auto"/>
        <w:rPr>
          <w:rFonts w:ascii="黑体" w:hAnsi="黑体" w:eastAsia="黑体" w:cs="黑体"/>
          <w:color w:val="000000"/>
          <w:sz w:val="36"/>
          <w:szCs w:val="36"/>
        </w:rPr>
      </w:pPr>
      <w:r>
        <w:rPr>
          <w:rFonts w:ascii="黑体" w:hAnsi="黑体" w:eastAsia="黑体" w:cs="黑体"/>
          <w:color w:val="000000"/>
          <w:sz w:val="36"/>
          <w:szCs w:val="36"/>
        </w:rPr>
      </w:r>
      <w:r/>
    </w:p>
    <w:p>
      <w:pPr>
        <w:pStyle w:val="802"/>
        <w:jc w:val="center"/>
        <w:pageBreakBefore w:val="0"/>
        <w:spacing w:line="360" w:lineRule="auto"/>
        <w:rPr>
          <w:rFonts w:hint="eastAsia" w:ascii="黑体" w:hAnsi="黑体" w:eastAsia="黑体" w:cs="黑体"/>
          <w:color w:val="000000"/>
          <w:sz w:val="44"/>
          <w:szCs w:val="44"/>
          <w:highlight w:val="none"/>
        </w:rPr>
      </w:pPr>
      <w:r>
        <w:rPr>
          <w:rFonts w:hint="eastAsia" w:ascii="黑体" w:hAnsi="黑体" w:eastAsia="黑体" w:cs="黑体"/>
          <w:color w:val="000000"/>
          <w:sz w:val="44"/>
          <w:szCs w:val="44"/>
        </w:rPr>
        <w:t xml:space="preserve">目  录</w:t>
      </w:r>
      <w:r>
        <w:rPr>
          <w:rFonts w:hint="eastAsia" w:ascii="黑体" w:hAnsi="黑体" w:eastAsia="黑体" w:cs="黑体"/>
          <w:color w:val="000000"/>
          <w:sz w:val="44"/>
          <w:szCs w:val="44"/>
          <w:highlight w:val="none"/>
        </w:rPr>
      </w:r>
      <w:r/>
    </w:p>
    <w:p>
      <w:pPr>
        <w:pStyle w:val="844"/>
        <w:pageBreakBefore w:val="0"/>
        <w:spacing w:line="360" w:lineRule="auto"/>
        <w:tabs>
          <w:tab w:val="right" w:pos="9746" w:leader="dot"/>
        </w:tabs>
        <w:rPr>
          <w:rFonts w:ascii="黑体" w:hAnsi="黑体" w:eastAsia="黑体" w:cs="黑体"/>
          <w:color w:val="000000"/>
          <w:sz w:val="36"/>
          <w:szCs w:val="36"/>
        </w:rPr>
      </w:pPr>
      <w:r>
        <w:rPr>
          <w:rFonts w:ascii="黑体" w:hAnsi="黑体" w:eastAsia="黑体" w:cs="黑体"/>
          <w:color w:val="000000"/>
          <w:sz w:val="36"/>
          <w:szCs w:val="36"/>
        </w:rPr>
      </w:r>
      <w:r/>
    </w:p>
    <w:p>
      <w:pPr>
        <w:pStyle w:val="844"/>
        <w:tabs>
          <w:tab w:val="right" w:pos="9746" w:leader="dot"/>
        </w:tabs>
        <w:rPr>
          <w:sz w:val="36"/>
          <w:szCs w:val="40"/>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TOC \o "1-1" \h \u </w:instrText>
      </w:r>
      <w:r>
        <w:rPr>
          <w:rFonts w:hint="eastAsia" w:ascii="黑体" w:hAnsi="黑体" w:eastAsia="黑体" w:cs="黑体"/>
          <w:color w:val="000000"/>
          <w:sz w:val="36"/>
          <w:szCs w:val="36"/>
        </w:rPr>
        <w:fldChar w:fldCharType="separate"/>
      </w:r>
      <w:r>
        <w:rPr>
          <w:rFonts w:hint="eastAsia" w:ascii="黑体" w:hAnsi="黑体" w:eastAsia="黑体" w:cs="黑体"/>
          <w:color w:val="000000"/>
          <w:sz w:val="36"/>
          <w:szCs w:val="56"/>
        </w:rPr>
        <w:fldChar w:fldCharType="begin"/>
      </w:r>
      <w:r>
        <w:rPr>
          <w:rFonts w:hint="eastAsia" w:ascii="黑体" w:hAnsi="黑体" w:eastAsia="黑体" w:cs="黑体"/>
          <w:sz w:val="36"/>
          <w:szCs w:val="56"/>
        </w:rPr>
        <w:instrText xml:space="preserve"> HYPERLINK \l _Toc29233 </w:instrText>
      </w:r>
      <w:r>
        <w:rPr>
          <w:rFonts w:hint="eastAsia" w:ascii="黑体" w:hAnsi="黑体" w:eastAsia="黑体" w:cs="黑体"/>
          <w:sz w:val="36"/>
          <w:szCs w:val="56"/>
        </w:rPr>
        <w:fldChar w:fldCharType="separate"/>
      </w:r>
      <w:r>
        <w:rPr>
          <w:rFonts w:hint="eastAsia" w:ascii="方正小标宋简体" w:hAnsi="方正小标宋简体" w:eastAsia="方正小标宋简体" w:cs="方正小标宋简体"/>
          <w:sz w:val="36"/>
          <w:szCs w:val="56"/>
        </w:rPr>
        <w:t xml:space="preserve">第一章  投标邀请</w:t>
      </w:r>
      <w:r>
        <w:rPr>
          <w:sz w:val="36"/>
          <w:szCs w:val="40"/>
        </w:rPr>
        <w:tab/>
      </w:r>
      <w:r>
        <w:rPr>
          <w:sz w:val="36"/>
          <w:szCs w:val="40"/>
        </w:rPr>
        <w:fldChar w:fldCharType="begin"/>
      </w:r>
      <w:r>
        <w:rPr>
          <w:sz w:val="36"/>
          <w:szCs w:val="40"/>
        </w:rPr>
        <w:instrText xml:space="preserve"> PAGEREF _Toc29233 \h </w:instrText>
      </w:r>
      <w:r>
        <w:rPr>
          <w:sz w:val="36"/>
          <w:szCs w:val="40"/>
        </w:rPr>
        <w:fldChar w:fldCharType="separate"/>
      </w:r>
      <w:r>
        <w:rPr>
          <w:sz w:val="36"/>
          <w:szCs w:val="40"/>
        </w:rPr>
        <w:t xml:space="preserve">1</w:t>
      </w:r>
      <w:r>
        <w:rPr>
          <w:sz w:val="36"/>
          <w:szCs w:val="40"/>
        </w:rPr>
        <w:fldChar w:fldCharType="end"/>
      </w:r>
      <w:r>
        <w:rPr>
          <w:rFonts w:hint="eastAsia" w:ascii="黑体" w:hAnsi="黑体" w:eastAsia="黑体" w:cs="黑体"/>
          <w:color w:val="000000"/>
          <w:sz w:val="36"/>
          <w:szCs w:val="56"/>
        </w:rPr>
        <w:fldChar w:fldCharType="end"/>
      </w:r>
      <w:r>
        <w:rPr>
          <w:sz w:val="36"/>
          <w:szCs w:val="40"/>
        </w:rPr>
      </w:r>
      <w:r/>
    </w:p>
    <w:p>
      <w:pPr>
        <w:pStyle w:val="844"/>
        <w:tabs>
          <w:tab w:val="right" w:pos="9746" w:leader="dot"/>
        </w:tabs>
        <w:rPr>
          <w:sz w:val="36"/>
          <w:szCs w:val="40"/>
        </w:rPr>
      </w:pPr>
      <w:r>
        <w:rPr>
          <w:rFonts w:hint="eastAsia" w:ascii="黑体" w:hAnsi="黑体" w:eastAsia="黑体" w:cs="黑体"/>
          <w:color w:val="000000"/>
          <w:sz w:val="36"/>
          <w:szCs w:val="56"/>
        </w:rPr>
        <w:fldChar w:fldCharType="begin"/>
      </w:r>
      <w:r>
        <w:rPr>
          <w:rFonts w:hint="eastAsia" w:ascii="黑体" w:hAnsi="黑体" w:eastAsia="黑体" w:cs="黑体"/>
          <w:sz w:val="36"/>
          <w:szCs w:val="56"/>
        </w:rPr>
        <w:instrText xml:space="preserve"> HYPERLINK \l _Toc16671 </w:instrText>
      </w:r>
      <w:r>
        <w:rPr>
          <w:rFonts w:hint="eastAsia" w:ascii="黑体" w:hAnsi="黑体" w:eastAsia="黑体" w:cs="黑体"/>
          <w:sz w:val="36"/>
          <w:szCs w:val="56"/>
        </w:rPr>
        <w:fldChar w:fldCharType="separate"/>
      </w:r>
      <w:r>
        <w:rPr>
          <w:rFonts w:hint="eastAsia" w:ascii="方正小标宋简体" w:hAnsi="方正小标宋简体" w:eastAsia="方正小标宋简体" w:cs="方正小标宋简体"/>
          <w:sz w:val="36"/>
          <w:szCs w:val="56"/>
        </w:rPr>
        <w:t xml:space="preserve">第二章  投标人须知</w:t>
      </w:r>
      <w:r>
        <w:rPr>
          <w:sz w:val="36"/>
          <w:szCs w:val="40"/>
        </w:rPr>
        <w:tab/>
      </w:r>
      <w:r>
        <w:rPr>
          <w:sz w:val="36"/>
          <w:szCs w:val="40"/>
        </w:rPr>
        <w:fldChar w:fldCharType="begin"/>
      </w:r>
      <w:r>
        <w:rPr>
          <w:sz w:val="36"/>
          <w:szCs w:val="40"/>
        </w:rPr>
        <w:instrText xml:space="preserve"> PAGEREF _Toc16671 \h </w:instrText>
      </w:r>
      <w:r>
        <w:rPr>
          <w:sz w:val="36"/>
          <w:szCs w:val="40"/>
        </w:rPr>
        <w:fldChar w:fldCharType="separate"/>
      </w:r>
      <w:r>
        <w:rPr>
          <w:sz w:val="36"/>
          <w:szCs w:val="40"/>
        </w:rPr>
        <w:t xml:space="preserve">6</w:t>
      </w:r>
      <w:r>
        <w:rPr>
          <w:sz w:val="36"/>
          <w:szCs w:val="40"/>
        </w:rPr>
        <w:fldChar w:fldCharType="end"/>
      </w:r>
      <w:r>
        <w:rPr>
          <w:rFonts w:hint="eastAsia" w:ascii="黑体" w:hAnsi="黑体" w:eastAsia="黑体" w:cs="黑体"/>
          <w:color w:val="000000"/>
          <w:sz w:val="36"/>
          <w:szCs w:val="56"/>
        </w:rPr>
        <w:fldChar w:fldCharType="end"/>
      </w:r>
      <w:r>
        <w:rPr>
          <w:sz w:val="36"/>
          <w:szCs w:val="40"/>
        </w:rPr>
      </w:r>
      <w:r/>
    </w:p>
    <w:p>
      <w:pPr>
        <w:pStyle w:val="844"/>
        <w:tabs>
          <w:tab w:val="right" w:pos="9746" w:leader="dot"/>
        </w:tabs>
        <w:rPr>
          <w:sz w:val="36"/>
          <w:szCs w:val="40"/>
        </w:rPr>
      </w:pPr>
      <w:r>
        <w:rPr>
          <w:rFonts w:hint="eastAsia" w:ascii="黑体" w:hAnsi="黑体" w:eastAsia="黑体" w:cs="黑体"/>
          <w:color w:val="000000"/>
          <w:sz w:val="36"/>
          <w:szCs w:val="56"/>
        </w:rPr>
        <w:fldChar w:fldCharType="begin"/>
      </w:r>
      <w:r>
        <w:rPr>
          <w:rFonts w:hint="eastAsia" w:ascii="黑体" w:hAnsi="黑体" w:eastAsia="黑体" w:cs="黑体"/>
          <w:sz w:val="36"/>
          <w:szCs w:val="56"/>
        </w:rPr>
        <w:instrText xml:space="preserve"> HYPERLINK \l _Toc17574 </w:instrText>
      </w:r>
      <w:r>
        <w:rPr>
          <w:rFonts w:hint="eastAsia" w:ascii="黑体" w:hAnsi="黑体" w:eastAsia="黑体" w:cs="黑体"/>
          <w:sz w:val="36"/>
          <w:szCs w:val="56"/>
        </w:rPr>
        <w:fldChar w:fldCharType="separate"/>
      </w:r>
      <w:r>
        <w:rPr>
          <w:rFonts w:hint="eastAsia" w:ascii="方正小标宋简体" w:hAnsi="方正小标宋简体" w:eastAsia="方正小标宋简体" w:cs="方正小标宋简体"/>
          <w:sz w:val="36"/>
          <w:szCs w:val="56"/>
          <w:lang w:val="en-US"/>
        </w:rPr>
        <w:t xml:space="preserve">第三章  合同文本</w:t>
      </w:r>
      <w:r>
        <w:rPr>
          <w:sz w:val="36"/>
          <w:szCs w:val="40"/>
        </w:rPr>
        <w:tab/>
      </w:r>
      <w:r>
        <w:rPr>
          <w:sz w:val="36"/>
          <w:szCs w:val="40"/>
        </w:rPr>
        <w:fldChar w:fldCharType="begin"/>
      </w:r>
      <w:r>
        <w:rPr>
          <w:sz w:val="36"/>
          <w:szCs w:val="40"/>
        </w:rPr>
        <w:instrText xml:space="preserve"> PAGEREF _Toc17574 \h </w:instrText>
      </w:r>
      <w:r>
        <w:rPr>
          <w:sz w:val="36"/>
          <w:szCs w:val="40"/>
        </w:rPr>
        <w:fldChar w:fldCharType="separate"/>
      </w:r>
      <w:r>
        <w:rPr>
          <w:sz w:val="36"/>
          <w:szCs w:val="40"/>
        </w:rPr>
        <w:t xml:space="preserve">19</w:t>
      </w:r>
      <w:r>
        <w:rPr>
          <w:sz w:val="36"/>
          <w:szCs w:val="40"/>
        </w:rPr>
        <w:fldChar w:fldCharType="end"/>
      </w:r>
      <w:r>
        <w:rPr>
          <w:rFonts w:hint="eastAsia" w:ascii="黑体" w:hAnsi="黑体" w:eastAsia="黑体" w:cs="黑体"/>
          <w:color w:val="000000"/>
          <w:sz w:val="36"/>
          <w:szCs w:val="56"/>
        </w:rPr>
        <w:fldChar w:fldCharType="end"/>
      </w:r>
      <w:r>
        <w:rPr>
          <w:sz w:val="36"/>
          <w:szCs w:val="40"/>
        </w:rPr>
      </w:r>
      <w:r/>
    </w:p>
    <w:p>
      <w:pPr>
        <w:pStyle w:val="844"/>
        <w:tabs>
          <w:tab w:val="right" w:pos="9746" w:leader="dot"/>
        </w:tabs>
        <w:rPr>
          <w:sz w:val="36"/>
          <w:szCs w:val="40"/>
        </w:rPr>
      </w:pPr>
      <w:r>
        <w:rPr>
          <w:rFonts w:hint="eastAsia" w:ascii="黑体" w:hAnsi="黑体" w:eastAsia="黑体" w:cs="黑体"/>
          <w:color w:val="000000"/>
          <w:sz w:val="36"/>
          <w:szCs w:val="56"/>
        </w:rPr>
        <w:fldChar w:fldCharType="begin"/>
      </w:r>
      <w:r>
        <w:rPr>
          <w:rFonts w:hint="eastAsia" w:ascii="黑体" w:hAnsi="黑体" w:eastAsia="黑体" w:cs="黑体"/>
          <w:sz w:val="36"/>
          <w:szCs w:val="56"/>
        </w:rPr>
        <w:instrText xml:space="preserve"> HYPERLINK \l _Toc24350 </w:instrText>
      </w:r>
      <w:r>
        <w:rPr>
          <w:rFonts w:hint="eastAsia" w:ascii="黑体" w:hAnsi="黑体" w:eastAsia="黑体" w:cs="黑体"/>
          <w:sz w:val="36"/>
          <w:szCs w:val="56"/>
        </w:rPr>
        <w:fldChar w:fldCharType="separate"/>
      </w:r>
      <w:r>
        <w:rPr>
          <w:rFonts w:hint="eastAsia" w:ascii="方正小标宋简体" w:hAnsi="方正小标宋简体" w:eastAsia="方正小标宋简体" w:cs="方正小标宋简体"/>
          <w:sz w:val="36"/>
          <w:szCs w:val="56"/>
        </w:rPr>
        <w:t xml:space="preserve">★第四章  采购需求</w:t>
      </w:r>
      <w:r>
        <w:rPr>
          <w:sz w:val="36"/>
          <w:szCs w:val="40"/>
        </w:rPr>
        <w:tab/>
      </w:r>
      <w:r>
        <w:rPr>
          <w:sz w:val="36"/>
          <w:szCs w:val="40"/>
        </w:rPr>
        <w:fldChar w:fldCharType="begin"/>
      </w:r>
      <w:r>
        <w:rPr>
          <w:sz w:val="36"/>
          <w:szCs w:val="40"/>
        </w:rPr>
        <w:instrText xml:space="preserve"> PAGEREF _Toc24350 \h </w:instrText>
      </w:r>
      <w:r>
        <w:rPr>
          <w:sz w:val="36"/>
          <w:szCs w:val="40"/>
        </w:rPr>
        <w:fldChar w:fldCharType="separate"/>
      </w:r>
      <w:r>
        <w:rPr>
          <w:sz w:val="36"/>
          <w:szCs w:val="40"/>
        </w:rPr>
        <w:t xml:space="preserve">25</w:t>
      </w:r>
      <w:r>
        <w:rPr>
          <w:sz w:val="36"/>
          <w:szCs w:val="40"/>
        </w:rPr>
        <w:fldChar w:fldCharType="end"/>
      </w:r>
      <w:r>
        <w:rPr>
          <w:rFonts w:hint="eastAsia" w:ascii="黑体" w:hAnsi="黑体" w:eastAsia="黑体" w:cs="黑体"/>
          <w:color w:val="000000"/>
          <w:sz w:val="36"/>
          <w:szCs w:val="56"/>
        </w:rPr>
        <w:fldChar w:fldCharType="end"/>
      </w:r>
      <w:r>
        <w:rPr>
          <w:sz w:val="36"/>
          <w:szCs w:val="40"/>
        </w:rPr>
      </w:r>
      <w:r/>
    </w:p>
    <w:p>
      <w:pPr>
        <w:pStyle w:val="844"/>
        <w:tabs>
          <w:tab w:val="right" w:pos="9746" w:leader="dot"/>
        </w:tabs>
        <w:rPr>
          <w:sz w:val="36"/>
          <w:szCs w:val="40"/>
        </w:rPr>
      </w:pPr>
      <w:r>
        <w:rPr>
          <w:rFonts w:hint="eastAsia" w:ascii="黑体" w:hAnsi="黑体" w:eastAsia="黑体" w:cs="黑体"/>
          <w:color w:val="000000"/>
          <w:sz w:val="36"/>
          <w:szCs w:val="56"/>
        </w:rPr>
        <w:fldChar w:fldCharType="begin"/>
      </w:r>
      <w:r>
        <w:rPr>
          <w:rFonts w:hint="eastAsia" w:ascii="黑体" w:hAnsi="黑体" w:eastAsia="黑体" w:cs="黑体"/>
          <w:sz w:val="36"/>
          <w:szCs w:val="56"/>
        </w:rPr>
        <w:instrText xml:space="preserve"> HYPERLINK \l _Toc20118 </w:instrText>
      </w:r>
      <w:r>
        <w:rPr>
          <w:rFonts w:hint="eastAsia" w:ascii="黑体" w:hAnsi="黑体" w:eastAsia="黑体" w:cs="黑体"/>
          <w:sz w:val="36"/>
          <w:szCs w:val="56"/>
        </w:rPr>
        <w:fldChar w:fldCharType="separate"/>
      </w:r>
      <w:r>
        <w:rPr>
          <w:rFonts w:hint="eastAsia" w:ascii="方正小标宋简体" w:hAnsi="方正小标宋简体" w:eastAsia="方正小标宋简体" w:cs="方正小标宋简体"/>
          <w:sz w:val="36"/>
          <w:szCs w:val="56"/>
        </w:rPr>
        <w:t xml:space="preserve">第五章  评标方法与评标标准</w:t>
      </w:r>
      <w:r>
        <w:rPr>
          <w:sz w:val="36"/>
          <w:szCs w:val="40"/>
        </w:rPr>
        <w:tab/>
      </w:r>
      <w:r>
        <w:rPr>
          <w:sz w:val="36"/>
          <w:szCs w:val="40"/>
        </w:rPr>
        <w:fldChar w:fldCharType="begin"/>
      </w:r>
      <w:r>
        <w:rPr>
          <w:sz w:val="36"/>
          <w:szCs w:val="40"/>
        </w:rPr>
        <w:instrText xml:space="preserve"> PAGEREF _Toc20118 \h </w:instrText>
      </w:r>
      <w:r>
        <w:rPr>
          <w:sz w:val="36"/>
          <w:szCs w:val="40"/>
        </w:rPr>
        <w:fldChar w:fldCharType="separate"/>
      </w:r>
      <w:r>
        <w:rPr>
          <w:sz w:val="36"/>
          <w:szCs w:val="40"/>
        </w:rPr>
        <w:t xml:space="preserve">35</w:t>
      </w:r>
      <w:r>
        <w:rPr>
          <w:sz w:val="36"/>
          <w:szCs w:val="40"/>
        </w:rPr>
        <w:fldChar w:fldCharType="end"/>
      </w:r>
      <w:r>
        <w:rPr>
          <w:rFonts w:hint="eastAsia" w:ascii="黑体" w:hAnsi="黑体" w:eastAsia="黑体" w:cs="黑体"/>
          <w:color w:val="000000"/>
          <w:sz w:val="36"/>
          <w:szCs w:val="56"/>
        </w:rPr>
        <w:fldChar w:fldCharType="end"/>
      </w:r>
      <w:r>
        <w:rPr>
          <w:sz w:val="36"/>
          <w:szCs w:val="40"/>
        </w:rPr>
      </w:r>
      <w:r/>
    </w:p>
    <w:p>
      <w:pPr>
        <w:pStyle w:val="844"/>
        <w:tabs>
          <w:tab w:val="right" w:pos="9746" w:leader="dot"/>
        </w:tabs>
        <w:rPr>
          <w:sz w:val="36"/>
          <w:szCs w:val="40"/>
        </w:rPr>
      </w:pPr>
      <w:r>
        <w:rPr>
          <w:rFonts w:hint="eastAsia" w:ascii="黑体" w:hAnsi="黑体" w:eastAsia="黑体" w:cs="黑体"/>
          <w:color w:val="000000"/>
          <w:sz w:val="36"/>
          <w:szCs w:val="56"/>
        </w:rPr>
        <w:fldChar w:fldCharType="begin"/>
      </w:r>
      <w:r>
        <w:rPr>
          <w:rFonts w:hint="eastAsia" w:ascii="黑体" w:hAnsi="黑体" w:eastAsia="黑体" w:cs="黑体"/>
          <w:sz w:val="36"/>
          <w:szCs w:val="56"/>
        </w:rPr>
        <w:instrText xml:space="preserve"> HYPERLINK \l _Toc22730 </w:instrText>
      </w:r>
      <w:r>
        <w:rPr>
          <w:rFonts w:hint="eastAsia" w:ascii="黑体" w:hAnsi="黑体" w:eastAsia="黑体" w:cs="黑体"/>
          <w:sz w:val="36"/>
          <w:szCs w:val="56"/>
        </w:rPr>
        <w:fldChar w:fldCharType="separate"/>
      </w:r>
      <w:r>
        <w:rPr>
          <w:rFonts w:hint="eastAsia" w:ascii="方正小标宋简体" w:hAnsi="方正小标宋简体" w:eastAsia="方正小标宋简体" w:cs="方正小标宋简体"/>
          <w:sz w:val="36"/>
          <w:szCs w:val="56"/>
        </w:rPr>
        <w:t xml:space="preserve">第六章  投标文件格式</w:t>
      </w:r>
      <w:r>
        <w:rPr>
          <w:sz w:val="36"/>
          <w:szCs w:val="40"/>
        </w:rPr>
        <w:tab/>
      </w:r>
      <w:r>
        <w:rPr>
          <w:sz w:val="36"/>
          <w:szCs w:val="40"/>
        </w:rPr>
        <w:fldChar w:fldCharType="begin"/>
      </w:r>
      <w:r>
        <w:rPr>
          <w:sz w:val="36"/>
          <w:szCs w:val="40"/>
        </w:rPr>
        <w:instrText xml:space="preserve"> PAGEREF _Toc22730 \h </w:instrText>
      </w:r>
      <w:r>
        <w:rPr>
          <w:sz w:val="36"/>
          <w:szCs w:val="40"/>
        </w:rPr>
        <w:fldChar w:fldCharType="separate"/>
      </w:r>
      <w:r>
        <w:rPr>
          <w:sz w:val="36"/>
          <w:szCs w:val="40"/>
        </w:rPr>
        <w:t xml:space="preserve">40</w:t>
      </w:r>
      <w:r>
        <w:rPr>
          <w:sz w:val="36"/>
          <w:szCs w:val="40"/>
        </w:rPr>
        <w:fldChar w:fldCharType="end"/>
      </w:r>
      <w:r>
        <w:rPr>
          <w:rFonts w:hint="eastAsia" w:ascii="黑体" w:hAnsi="黑体" w:eastAsia="黑体" w:cs="黑体"/>
          <w:color w:val="000000"/>
          <w:sz w:val="36"/>
          <w:szCs w:val="56"/>
        </w:rPr>
        <w:fldChar w:fldCharType="end"/>
      </w:r>
      <w:r>
        <w:rPr>
          <w:sz w:val="36"/>
          <w:szCs w:val="40"/>
        </w:rPr>
      </w:r>
      <w:r/>
    </w:p>
    <w:p>
      <w:pPr>
        <w:pStyle w:val="844"/>
        <w:tabs>
          <w:tab w:val="right" w:pos="9746" w:leader="dot"/>
        </w:tabs>
      </w:pPr>
      <w:r/>
      <w:r/>
    </w:p>
    <w:p>
      <w:pPr>
        <w:pStyle w:val="802"/>
        <w:pageBreakBefore w:val="0"/>
        <w:spacing w:line="360" w:lineRule="auto"/>
        <w:rPr>
          <w:rFonts w:ascii="方正小标宋简体" w:hAnsi="方正小标宋简体" w:eastAsia="方正小标宋简体" w:cs="方正小标宋简体"/>
          <w:color w:val="000000"/>
          <w:sz w:val="36"/>
          <w:szCs w:val="36"/>
        </w:rPr>
        <w:sectPr>
          <w:headerReference w:type="default" r:id="rId9"/>
          <w:footerReference w:type="defaul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黑体" w:hAnsi="黑体" w:eastAsia="黑体" w:cs="黑体"/>
          <w:color w:val="000000"/>
          <w:szCs w:val="36"/>
        </w:rPr>
        <w:fldChar w:fldCharType="end"/>
      </w:r>
      <w:bookmarkEnd w:id="1"/>
      <w:r>
        <w:rPr>
          <w:rFonts w:ascii="方正小标宋简体" w:hAnsi="方正小标宋简体" w:eastAsia="方正小标宋简体" w:cs="方正小标宋简体"/>
          <w:color w:val="000000"/>
          <w:sz w:val="36"/>
          <w:szCs w:val="36"/>
        </w:rPr>
      </w:r>
      <w:r/>
    </w:p>
    <w:p>
      <w:pPr>
        <w:pStyle w:val="802"/>
        <w:ind w:right="840"/>
        <w:jc w:val="center"/>
        <w:pageBreakBefore w:val="0"/>
        <w:spacing w:line="360" w:lineRule="auto"/>
        <w:rPr>
          <w:rFonts w:hint="eastAsia" w:ascii="方正小标宋简体" w:hAnsi="方正小标宋简体" w:eastAsia="方正小标宋简体" w:cs="方正小标宋简体"/>
          <w:color w:val="000000"/>
          <w:sz w:val="36"/>
          <w:szCs w:val="36"/>
        </w:rPr>
        <w:outlineLvl w:val="0"/>
      </w:pPr>
      <w:r/>
      <w:bookmarkStart w:id="7" w:name="_Toc29233"/>
      <w:r>
        <w:rPr>
          <w:rFonts w:hint="eastAsia" w:ascii="方正小标宋简体" w:hAnsi="方正小标宋简体" w:eastAsia="方正小标宋简体" w:cs="方正小标宋简体"/>
          <w:color w:val="000000"/>
          <w:sz w:val="36"/>
          <w:szCs w:val="36"/>
        </w:rPr>
        <w:t xml:space="preserve">第一章  投标邀请</w:t>
      </w:r>
      <w:bookmarkEnd w:id="7"/>
      <w:r>
        <w:rPr>
          <w:rFonts w:hint="eastAsia" w:ascii="方正小标宋简体" w:hAnsi="方正小标宋简体" w:eastAsia="方正小标宋简体" w:cs="方正小标宋简体"/>
          <w:color w:val="000000"/>
          <w:sz w:val="36"/>
          <w:szCs w:val="36"/>
        </w:rPr>
      </w:r>
      <w:r/>
    </w:p>
    <w:p>
      <w:pPr>
        <w:pStyle w:val="802"/>
        <w:ind w:firstLine="480"/>
        <w:pageBreakBefore w:val="0"/>
        <w:spacing w:line="360" w:lineRule="auto"/>
        <w:rPr>
          <w:rFonts w:ascii="宋体" w:hAnsi="宋体"/>
          <w:color w:val="000000"/>
          <w:sz w:val="24"/>
          <w:szCs w:val="24"/>
        </w:rPr>
      </w:pP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bookmarkStart w:id="8" w:name="_Toc38985263"/>
      <w:r/>
      <w:bookmarkStart w:id="9" w:name="_Toc28359002"/>
      <w:r/>
      <w:bookmarkStart w:id="10" w:name="_Toc35393790"/>
      <w:r/>
      <w:bookmarkStart w:id="11" w:name="_Toc28359079"/>
      <w:r/>
      <w:bookmarkStart w:id="12" w:name="_Toc35393621"/>
      <w:r/>
      <w:bookmarkStart w:id="13" w:name="_Hlk24379207"/>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南京市公安局经济犯罪侦查支队</w:t>
      </w:r>
      <w:r>
        <w:rPr>
          <w:rFonts w:hint="eastAsia" w:ascii="宋体" w:hAnsi="宋体"/>
          <w:color w:val="000000"/>
          <w:sz w:val="24"/>
          <w:szCs w:val="24"/>
        </w:rPr>
        <w:t xml:space="preserve">（采购单位）委托，</w:t>
      </w:r>
      <w:r>
        <w:rPr>
          <w:rFonts w:hint="eastAsia" w:ascii="宋体" w:hAnsi="宋体"/>
          <w:color w:val="000000"/>
          <w:sz w:val="24"/>
          <w:szCs w:val="24"/>
          <w:u w:val="single"/>
        </w:rPr>
        <w:t xml:space="preserve">江苏盛德量行建设咨询有限公司</w:t>
      </w:r>
      <w:r>
        <w:rPr>
          <w:rFonts w:hint="eastAsia" w:ascii="宋体" w:hAnsi="宋体"/>
          <w:color w:val="000000"/>
          <w:sz w:val="24"/>
          <w:szCs w:val="24"/>
        </w:rPr>
        <w:t xml:space="preserve">（以下简称“采购代理机构”）就</w:t>
      </w:r>
      <w:r>
        <w:rPr>
          <w:rFonts w:hint="eastAsia" w:ascii="宋体" w:hAnsi="宋体"/>
          <w:color w:val="000000"/>
          <w:sz w:val="24"/>
          <w:szCs w:val="24"/>
          <w:u w:val="single"/>
          <w:lang w:eastAsia="zh-CN"/>
        </w:rPr>
        <w:t xml:space="preserve">南京市公安局经侦支队食堂食材采购</w:t>
      </w:r>
      <w:r>
        <w:rPr>
          <w:rFonts w:hint="eastAsia" w:ascii="宋体" w:hAnsi="宋体"/>
          <w:color w:val="000000"/>
          <w:sz w:val="24"/>
          <w:szCs w:val="24"/>
        </w:rPr>
        <w:t xml:space="preserve">（项目名称）项目进行</w:t>
      </w:r>
      <w:r>
        <w:rPr>
          <w:rFonts w:hint="eastAsia" w:ascii="宋体" w:hAnsi="宋体"/>
          <w:color w:val="000000"/>
          <w:sz w:val="24"/>
          <w:szCs w:val="24"/>
          <w:u w:val="single"/>
        </w:rPr>
        <w:t xml:space="preserve">公开招标</w:t>
      </w:r>
      <w:r>
        <w:rPr>
          <w:rFonts w:hint="eastAsia" w:ascii="宋体" w:hAnsi="宋体"/>
          <w:color w:val="000000"/>
          <w:sz w:val="24"/>
          <w:szCs w:val="24"/>
        </w:rPr>
        <w:t xml:space="preserve">采购，欢迎符合条件的供应商投标。</w:t>
      </w:r>
      <w:r>
        <w:rPr>
          <w:rFonts w:ascii="宋体" w:hAnsi="宋体"/>
          <w:color w:val="000000"/>
          <w:sz w:val="24"/>
          <w:szCs w:val="24"/>
        </w:rPr>
      </w:r>
      <w:r/>
    </w:p>
    <w:p>
      <w:pPr>
        <w:pStyle w:val="1019"/>
        <w:ind w:firstLine="465"/>
        <w:pageBreakBefore w:val="0"/>
        <w:spacing w:before="145" w:after="145" w:line="36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8"/>
      <w:r/>
      <w:bookmarkEnd w:id="9"/>
      <w:r/>
      <w:bookmarkEnd w:id="10"/>
      <w:r/>
      <w:bookmarkEnd w:id="11"/>
      <w:r/>
      <w:bookmarkEnd w:id="12"/>
      <w:r/>
      <w:bookmarkEnd w:id="13"/>
      <w:r>
        <w:rPr>
          <w:rFonts w:ascii="方正黑体_GBK" w:hAnsi="方正黑体_GBK" w:eastAsia="方正黑体_GBK" w:cs="方正黑体_GBK"/>
          <w:b w:val="0"/>
          <w:bCs w:val="0"/>
          <w:color w:val="000000"/>
          <w:sz w:val="30"/>
          <w:szCs w:val="30"/>
        </w:rPr>
      </w:r>
      <w:r/>
    </w:p>
    <w:p>
      <w:pPr>
        <w:pStyle w:val="802"/>
        <w:ind w:firstLine="480"/>
        <w:pageBreakBefore w:val="0"/>
        <w:spacing w:line="360" w:lineRule="auto"/>
        <w:rPr>
          <w:rFonts w:hint="eastAsia" w:ascii="宋体" w:hAnsi="宋体" w:eastAsia="宋体"/>
          <w:color w:val="000000"/>
          <w:sz w:val="24"/>
          <w:szCs w:val="24"/>
          <w:lang w:eastAsia="zh-CN"/>
        </w:rPr>
      </w:pPr>
      <w:r/>
      <w:bookmarkStart w:id="14" w:name="_Toc38985264"/>
      <w:r/>
      <w:bookmarkStart w:id="15" w:name="_Toc35393791"/>
      <w:r/>
      <w:bookmarkStart w:id="16" w:name="_Toc28359080"/>
      <w:r/>
      <w:bookmarkStart w:id="17" w:name="_Toc35393622"/>
      <w:r/>
      <w:bookmarkStart w:id="18" w:name="_Toc28359003"/>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JSZC-320100-SDLH-G2026-0011</w:t>
      </w:r>
      <w:r>
        <w:rPr>
          <w:rFonts w:hint="eastAsia" w:ascii="宋体" w:hAnsi="宋体" w:eastAsia="宋体"/>
          <w:color w:val="000000"/>
          <w:sz w:val="24"/>
          <w:szCs w:val="24"/>
          <w:lang w:eastAsia="zh-CN"/>
        </w:rPr>
      </w:r>
      <w:r/>
    </w:p>
    <w:p>
      <w:pPr>
        <w:pStyle w:val="802"/>
        <w:ind w:firstLine="480"/>
        <w:pageBreakBefore w:val="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南京市公安局经侦支队食堂食材采购</w:t>
      </w:r>
      <w:r>
        <w:rPr>
          <w:rFonts w:hint="eastAsia" w:ascii="宋体" w:hAnsi="宋体" w:eastAsia="宋体"/>
          <w:color w:val="000000"/>
          <w:sz w:val="24"/>
          <w:szCs w:val="24"/>
          <w:lang w:eastAsia="zh-CN"/>
        </w:rPr>
      </w:r>
      <w:r/>
    </w:p>
    <w:p>
      <w:pPr>
        <w:pStyle w:val="802"/>
        <w:ind w:firstLine="48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3.预</w:t>
      </w:r>
      <w:r>
        <w:rPr>
          <w:rFonts w:hint="eastAsia" w:ascii="宋体" w:hAnsi="宋体"/>
          <w:color w:val="000000"/>
          <w:sz w:val="24"/>
          <w:szCs w:val="24"/>
          <w:lang w:eastAsia="zh-CN"/>
        </w:rPr>
        <w:t xml:space="preserve">算金额：</w:t>
      </w:r>
      <w:r>
        <w:rPr>
          <w:rFonts w:hint="eastAsia" w:ascii="宋体" w:hAnsi="宋体"/>
          <w:color w:val="000000"/>
          <w:sz w:val="24"/>
          <w:szCs w:val="24"/>
          <w:lang w:val="en-US" w:eastAsia="zh-CN"/>
        </w:rPr>
        <w:t xml:space="preserve">160</w:t>
      </w:r>
      <w:r>
        <w:rPr>
          <w:rFonts w:hint="eastAsia" w:ascii="宋体" w:hAnsi="宋体"/>
          <w:color w:val="000000"/>
          <w:sz w:val="24"/>
          <w:szCs w:val="24"/>
          <w:lang w:eastAsia="zh-CN"/>
        </w:rPr>
        <w:t xml:space="preserve">万元</w:t>
      </w:r>
      <w:r>
        <w:rPr>
          <w:rFonts w:ascii="宋体" w:hAnsi="宋体" w:eastAsia="宋体" w:cs="宋体"/>
          <w:color w:val="000000"/>
          <w:sz w:val="24"/>
        </w:rPr>
        <w:t xml:space="preserve">（采购物资由投标供应商报价格折扣率）</w:t>
      </w:r>
      <w:r>
        <w:rPr>
          <w:rFonts w:hint="eastAsia" w:ascii="宋体" w:hAnsi="宋体"/>
          <w:color w:val="000000"/>
          <w:sz w:val="24"/>
          <w:szCs w:val="24"/>
          <w:lang w:eastAsia="zh-CN"/>
        </w:rPr>
      </w:r>
      <w:r/>
    </w:p>
    <w:p>
      <w:pPr>
        <w:pStyle w:val="802"/>
        <w:ind w:firstLine="48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4.最高限价：本项目不设最高限价。</w:t>
      </w:r>
      <w:r>
        <w:rPr>
          <w:rFonts w:hint="eastAsia" w:ascii="宋体" w:hAnsi="宋体"/>
          <w:color w:val="000000"/>
          <w:sz w:val="24"/>
          <w:szCs w:val="24"/>
          <w:lang w:eastAsia="zh-CN"/>
        </w:rPr>
      </w:r>
      <w:r/>
    </w:p>
    <w:p>
      <w:pPr>
        <w:pStyle w:val="802"/>
        <w:ind w:firstLine="48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5.采购需求（简介）：招标人拟通过公开招标的方式确定一家中标人。保障经侦支队食堂的食材供应，</w:t>
      </w:r>
      <w:r>
        <w:rPr>
          <w:rFonts w:hint="eastAsia" w:ascii="宋体" w:hAnsi="宋体"/>
          <w:color w:val="000000"/>
          <w:sz w:val="24"/>
          <w:szCs w:val="24"/>
          <w:highlight w:val="none"/>
          <w:lang w:val="en-US" w:eastAsia="zh-CN"/>
        </w:rPr>
        <w:t xml:space="preserve">具体内容详见招标文件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02"/>
        <w:ind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6.合同履行</w:t>
      </w:r>
      <w:r>
        <w:rPr>
          <w:rFonts w:hint="eastAsia" w:ascii="宋体" w:hAnsi="宋体"/>
          <w:color w:val="000000"/>
          <w:sz w:val="24"/>
          <w:szCs w:val="24"/>
          <w:highlight w:val="none"/>
        </w:rPr>
        <w:t xml:space="preserve">期限：自甲方书面通知之日起</w:t>
      </w:r>
      <w:r>
        <w:rPr>
          <w:rFonts w:hint="eastAsia" w:ascii="宋体" w:hAnsi="宋体"/>
          <w:color w:val="000000"/>
          <w:sz w:val="24"/>
          <w:szCs w:val="24"/>
          <w:highlight w:val="none"/>
          <w:lang w:val="en-US" w:eastAsia="zh-CN"/>
        </w:rPr>
        <w:t xml:space="preserve">开始供货</w:t>
      </w:r>
      <w:r>
        <w:rPr>
          <w:rFonts w:hint="eastAsia" w:ascii="宋体" w:hAnsi="宋体"/>
          <w:color w:val="000000"/>
          <w:sz w:val="24"/>
          <w:szCs w:val="24"/>
          <w:highlight w:val="none"/>
        </w:rPr>
        <w:t xml:space="preserve">，至所属分包预算资金使用完毕或供货满一年时自动终止，二者以先到者为准。</w:t>
      </w:r>
      <w:r>
        <w:rPr>
          <w:rFonts w:ascii="宋体" w:hAnsi="宋体"/>
          <w:color w:val="000000"/>
          <w:sz w:val="24"/>
          <w:szCs w:val="24"/>
          <w:highlight w:val="none"/>
        </w:rPr>
      </w:r>
      <w:r/>
    </w:p>
    <w:p>
      <w:pPr>
        <w:pStyle w:val="802"/>
        <w:ind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7.本项目</w:t>
      </w:r>
      <w:r>
        <w:rPr>
          <w:rFonts w:hint="eastAsia" w:ascii="宋体" w:hAnsi="宋体"/>
          <w:b/>
          <w:bCs/>
          <w:color w:val="000000"/>
          <w:sz w:val="24"/>
          <w:szCs w:val="24"/>
          <w:highlight w:val="none"/>
          <w:u w:val="single"/>
        </w:rPr>
        <w:t xml:space="preserve">不接受</w:t>
      </w:r>
      <w:r>
        <w:rPr>
          <w:rFonts w:hint="eastAsia" w:ascii="宋体" w:hAnsi="宋体"/>
          <w:color w:val="000000"/>
          <w:sz w:val="24"/>
          <w:szCs w:val="24"/>
          <w:highlight w:val="none"/>
        </w:rPr>
        <w:t xml:space="preserve">进口产品投标。</w:t>
      </w:r>
      <w:r>
        <w:rPr>
          <w:rFonts w:ascii="宋体" w:hAnsi="宋体"/>
          <w:color w:val="000000"/>
          <w:sz w:val="24"/>
          <w:szCs w:val="24"/>
          <w:highlight w:val="none"/>
        </w:rPr>
      </w:r>
      <w:r/>
    </w:p>
    <w:p>
      <w:pPr>
        <w:pStyle w:val="802"/>
        <w:ind w:firstLine="48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8.本项目</w:t>
      </w:r>
      <w:r>
        <w:rPr>
          <w:rFonts w:hint="eastAsia" w:ascii="宋体" w:hAnsi="宋体" w:cs="宋体"/>
          <w:b/>
          <w:bCs/>
          <w:color w:val="000000"/>
          <w:sz w:val="24"/>
          <w:szCs w:val="24"/>
          <w:highlight w:val="none"/>
          <w:u w:val="single"/>
        </w:rPr>
        <w:t xml:space="preserve">不接受</w:t>
      </w:r>
      <w:r>
        <w:rPr>
          <w:rFonts w:hint="eastAsia" w:ascii="宋体" w:hAnsi="宋体" w:cs="宋体"/>
          <w:color w:val="000000"/>
          <w:sz w:val="24"/>
          <w:szCs w:val="24"/>
          <w:highlight w:val="none"/>
        </w:rPr>
        <w:t xml:space="preserve">联合体</w:t>
      </w:r>
      <w:r>
        <w:rPr>
          <w:rFonts w:hint="eastAsia" w:ascii="宋体" w:hAnsi="宋体" w:cs="宋体"/>
          <w:color w:val="000000"/>
          <w:sz w:val="24"/>
          <w:szCs w:val="24"/>
        </w:rPr>
        <w:t xml:space="preserve">投标。</w:t>
      </w:r>
      <w:r>
        <w:rPr>
          <w:rFonts w:hint="eastAsia" w:ascii="宋体" w:hAnsi="宋体" w:cs="宋体"/>
          <w:color w:val="000000"/>
          <w:sz w:val="24"/>
          <w:szCs w:val="24"/>
        </w:rPr>
      </w:r>
      <w:r/>
    </w:p>
    <w:p>
      <w:pPr>
        <w:pStyle w:val="802"/>
        <w:ind w:firstLine="480"/>
        <w:pageBreakBefore w:val="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9.本项目是否专门面向中小企业：</w:t>
      </w:r>
      <w:r>
        <w:rPr>
          <w:rFonts w:hint="eastAsia" w:ascii="宋体" w:hAnsi="宋体" w:cs="宋体"/>
          <w:b/>
          <w:bCs/>
          <w:color w:val="000000"/>
          <w:sz w:val="24"/>
          <w:szCs w:val="24"/>
          <w:u w:val="single"/>
          <w:lang w:val="en-US" w:eastAsia="zh-CN"/>
        </w:rPr>
        <w:t xml:space="preserve">否</w:t>
      </w:r>
      <w:r>
        <w:rPr>
          <w:rFonts w:hint="eastAsia" w:ascii="宋体" w:hAnsi="宋体" w:cs="宋体"/>
          <w:b w:val="0"/>
          <w:bCs w:val="0"/>
          <w:color w:val="000000"/>
          <w:sz w:val="24"/>
          <w:szCs w:val="24"/>
          <w:u w:val="none"/>
          <w:lang w:val="en-US" w:eastAsia="zh-CN"/>
        </w:rPr>
        <w:t xml:space="preserve">。</w:t>
      </w:r>
      <w:r>
        <w:rPr>
          <w:rFonts w:ascii="宋体" w:hAnsi="宋体" w:eastAsia="宋体" w:cs="宋体"/>
          <w:color w:val="000000"/>
          <w:sz w:val="24"/>
          <w:szCs w:val="24"/>
          <w:lang w:val="en-US" w:eastAsia="zh-CN"/>
        </w:rPr>
      </w:r>
      <w:r/>
    </w:p>
    <w:p>
      <w:pPr>
        <w:pStyle w:val="1019"/>
        <w:ind w:firstLine="465"/>
        <w:pageBreakBefore w:val="0"/>
        <w:spacing w:before="145" w:after="145" w:line="36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4"/>
      <w:r/>
      <w:bookmarkEnd w:id="15"/>
      <w:r/>
      <w:bookmarkEnd w:id="16"/>
      <w:r/>
      <w:bookmarkEnd w:id="17"/>
      <w:r/>
      <w:bookmarkEnd w:id="18"/>
      <w:r>
        <w:rPr>
          <w:rFonts w:ascii="方正黑体_GBK" w:hAnsi="方正黑体_GBK" w:eastAsia="方正黑体_GBK" w:cs="方正黑体_GBK"/>
          <w:b w:val="0"/>
          <w:bCs w:val="0"/>
          <w:color w:val="000000"/>
          <w:sz w:val="30"/>
          <w:szCs w:val="30"/>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bookmarkStart w:id="19" w:name="_Toc28359081"/>
      <w:r/>
      <w:bookmarkStart w:id="20" w:name="_Toc28359004"/>
      <w:r/>
      <w:bookmarkStart w:id="21" w:name="_Toc38985265"/>
      <w:r/>
      <w:bookmarkStart w:id="22" w:name="_Toc35393792"/>
      <w:r/>
      <w:bookmarkStart w:id="23" w:name="_Toc35393623"/>
      <w:r>
        <w:rPr>
          <w:rFonts w:hint="eastAsia" w:ascii="宋体" w:hAnsi="宋体" w:eastAsia="宋体" w:cs="Times New Roman"/>
          <w:color w:val="000000"/>
          <w:sz w:val="24"/>
          <w:szCs w:val="24"/>
          <w:lang w:val="en-US" w:eastAsia="zh-CN"/>
        </w:rPr>
        <w:t xml:space="preserve">1、满足《中华人民共和国政府采购法》第二十二条规定:</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1.1具有独立承担民事责任的能力。投标人提供在有效经营期内的营业执照、法人授权书（法人直接参与投标的可不提供）、法人身份证扫描件、投标人代表身份证扫描件；</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其中不适用信用承诺的情形：</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1）供应商被列入严重失信主体名单；</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2）被相关监督部门作出行政处罚且尚处在处罚有效期内；</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3）其他法律、行政法规规定的不适用信用承诺的情形。</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1.3具有履行合同所必需的设备和专业技术能力。投标人提供具备履行合同所必需的设备和专业技术能力的书面声明（由供应商根据项目需求提供材料）； </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1.4有依法缴纳税收和社会保障资金的良好记录。投标人提供提交投标文件截止时间前六个月内至少一个月依法缴纳税收及缴纳社会保障资金的证明材料。投标人依法享受缓缴、免缴的，提供证明材料；</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1.5参加政府采购活动前三年内，在经营活动中没有重大违法记录。投标人提供在经营活动中</w:t>
      </w:r>
      <w:r>
        <w:rPr>
          <w:rFonts w:hint="eastAsia" w:ascii="宋体" w:hAnsi="宋体" w:eastAsia="宋体" w:cs="Times New Roman"/>
          <w:color w:val="000000"/>
          <w:sz w:val="24"/>
          <w:szCs w:val="24"/>
          <w:highlight w:val="none"/>
          <w:lang w:val="en-US" w:eastAsia="zh-CN"/>
        </w:rPr>
        <w:t xml:space="preserve">没有重大违法记录承诺（格式自拟，重大违法记录是指供应商因违法经营受到刑事处罚或责令停产停业、吊销许可证或者执照、较大数额等行政处罚）；</w:t>
      </w:r>
      <w:r>
        <w:rPr>
          <w:rFonts w:hint="eastAsia" w:ascii="宋体" w:hAnsi="宋体" w:eastAsia="宋体" w:cs="Times New Roman"/>
          <w:color w:val="000000"/>
          <w:sz w:val="24"/>
          <w:szCs w:val="24"/>
          <w:highlight w:val="none"/>
          <w:lang w:val="en-US" w:eastAsia="zh-CN"/>
        </w:rPr>
      </w:r>
      <w:r/>
    </w:p>
    <w:p>
      <w:pPr>
        <w:pStyle w:val="802"/>
        <w:ind w:firstLine="48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1.6法律、行政法规规定的其他条件。</w:t>
      </w:r>
      <w:r>
        <w:rPr>
          <w:rFonts w:hint="eastAsia" w:ascii="宋体" w:hAnsi="宋体" w:eastAsia="宋体" w:cs="Times New Roman"/>
          <w:color w:val="000000"/>
          <w:sz w:val="24"/>
          <w:szCs w:val="24"/>
          <w:highlight w:val="none"/>
          <w:lang w:val="en-US" w:eastAsia="zh-CN"/>
        </w:rPr>
      </w:r>
      <w:r/>
    </w:p>
    <w:p>
      <w:pPr>
        <w:pStyle w:val="802"/>
        <w:ind w:firstLine="480"/>
        <w:pageBreakBefore w:val="0"/>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bCs/>
          <w:color w:val="000000"/>
          <w:sz w:val="24"/>
          <w:szCs w:val="24"/>
          <w:highlight w:val="none"/>
          <w:lang w:val="en-US" w:eastAsia="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本项目不专门面向中小微企业或监狱企业或残疾人福利性单位采购。</w:t>
      </w:r>
      <w:r>
        <w:rPr>
          <w:rFonts w:hint="eastAsia" w:ascii="宋体" w:hAnsi="宋体" w:eastAsia="宋体" w:cs="Times New Roman"/>
          <w:color w:val="000000"/>
          <w:sz w:val="24"/>
          <w:szCs w:val="24"/>
          <w:highlight w:val="none"/>
          <w:lang w:val="zh-CN"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highlight w:val="none"/>
          <w:lang w:val="zh-CN" w:eastAsia="zh-CN"/>
        </w:rPr>
        <w:t xml:space="preserve">本项目采购标的对应的中小企业划分标准所属行业为：批发业。根据《中小企业划型标准规定》（工信部联企业〔2011〕300号），从业人员200人以下或营业收入40000万元以下的为中小微</w:t>
      </w:r>
      <w:r>
        <w:rPr>
          <w:rFonts w:hint="eastAsia" w:ascii="宋体" w:hAnsi="宋体" w:eastAsia="宋体" w:cs="Times New Roman"/>
          <w:color w:val="000000"/>
          <w:sz w:val="24"/>
          <w:szCs w:val="24"/>
          <w:lang w:val="zh-CN" w:eastAsia="zh-CN"/>
        </w:rPr>
        <w:t xml:space="preserve">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3、本项目的特定资格要求：</w:t>
      </w:r>
      <w:r>
        <w:rPr>
          <w:rFonts w:hint="eastAsia" w:ascii="宋体" w:hAnsi="宋体" w:eastAsia="宋体" w:cs="Times New Roman"/>
          <w:b/>
          <w:bCs/>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（1）投标人若为经营型企业须提供具有行业主管部门颁发的《食品经营许可证》；若为生产型企业还须提供《食品生产许可证》。（提供相关有效证明材料复印件且加盖投标人公章）；。</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4、拒绝下述供应商参加本次采购活动的情形：</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（1）供应商单位负责人为同一人或者存在直接控股、管理关系的不同供应商，不得参加同一合同项下的政府采购活动；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color w:val="000000"/>
          <w:sz w:val="24"/>
          <w:szCs w:val="24"/>
          <w:lang w:val="en-US" w:eastAsia="zh-CN"/>
        </w:rPr>
      </w:r>
      <w:r/>
    </w:p>
    <w:p>
      <w:pPr>
        <w:pStyle w:val="802"/>
        <w:ind w:firstLine="48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（3）被“信用中国”（</w:t>
      </w:r>
      <w:r>
        <w:rPr>
          <w:rFonts w:hint="eastAsia" w:ascii="宋体" w:hAnsi="宋体" w:eastAsia="宋体" w:cs="Times New Roman"/>
          <w:color w:val="000000"/>
          <w:sz w:val="24"/>
          <w:szCs w:val="24"/>
          <w:lang w:val="en-US" w:eastAsia="zh-CN"/>
        </w:rPr>
        <w:fldChar w:fldCharType="begin"/>
      </w:r>
      <w:r>
        <w:rPr>
          <w:rFonts w:hint="eastAsia" w:ascii="宋体" w:hAnsi="宋体" w:eastAsia="宋体" w:cs="Times New Roman"/>
          <w:color w:val="000000"/>
          <w:sz w:val="24"/>
          <w:szCs w:val="24"/>
          <w:lang w:val="en-US" w:eastAsia="zh-CN"/>
        </w:rPr>
        <w:instrText xml:space="preserve">HYPERLINK "http://www.creditchina.gov.cn/"</w:instrText>
      </w:r>
      <w:r>
        <w:rPr>
          <w:rFonts w:hint="eastAsia" w:ascii="宋体" w:hAnsi="宋体" w:eastAsia="宋体" w:cs="Times New Roman"/>
          <w:color w:val="000000"/>
          <w:sz w:val="24"/>
          <w:szCs w:val="24"/>
          <w:lang w:val="en-US" w:eastAsia="zh-CN"/>
        </w:rPr>
        <w:fldChar w:fldCharType="separate"/>
      </w:r>
      <w:r>
        <w:rPr>
          <w:rFonts w:hint="eastAsia" w:ascii="宋体" w:hAnsi="宋体" w:eastAsia="宋体" w:cs="Times New Roman"/>
          <w:color w:val="000000"/>
          <w:sz w:val="24"/>
          <w:szCs w:val="24"/>
          <w:lang w:val="en-US" w:eastAsia="zh-CN"/>
        </w:rPr>
        <w:t xml:space="preserve">www.creditchina.gov.cn</w:t>
      </w:r>
      <w:r>
        <w:rPr>
          <w:rFonts w:hint="eastAsia" w:ascii="宋体" w:hAnsi="宋体" w:eastAsia="宋体" w:cs="Times New Roman"/>
          <w:color w:val="000000"/>
          <w:sz w:val="24"/>
          <w:szCs w:val="24"/>
          <w:lang w:val="en-US" w:eastAsia="zh-CN"/>
        </w:rPr>
        <w:fldChar w:fldCharType="end"/>
      </w:r>
      <w:r>
        <w:rPr>
          <w:rFonts w:hint="eastAsia" w:ascii="宋体" w:hAnsi="宋体" w:eastAsia="宋体" w:cs="Times New Roman"/>
          <w:color w:val="000000"/>
          <w:sz w:val="24"/>
          <w:szCs w:val="24"/>
          <w:lang w:val="en-US" w:eastAsia="zh-CN"/>
        </w:rPr>
        <w:t xml:space="preserve">）、中国政府采购网（</w:t>
      </w:r>
      <w:r>
        <w:rPr>
          <w:rFonts w:hint="eastAsia" w:ascii="宋体" w:hAnsi="宋体" w:eastAsia="宋体" w:cs="Times New Roman"/>
          <w:color w:val="000000"/>
          <w:sz w:val="24"/>
          <w:szCs w:val="24"/>
          <w:lang w:val="en-US" w:eastAsia="zh-CN"/>
        </w:rPr>
        <w:fldChar w:fldCharType="begin"/>
      </w:r>
      <w:r>
        <w:rPr>
          <w:rFonts w:hint="eastAsia" w:ascii="宋体" w:hAnsi="宋体" w:eastAsia="宋体" w:cs="Times New Roman"/>
          <w:color w:val="000000"/>
          <w:sz w:val="24"/>
          <w:szCs w:val="24"/>
          <w:lang w:val="en-US" w:eastAsia="zh-CN"/>
        </w:rPr>
        <w:instrText xml:space="preserve">HYPERLINK "http://www.ccgp.gov.cn/"</w:instrText>
      </w:r>
      <w:r>
        <w:rPr>
          <w:rFonts w:hint="eastAsia" w:ascii="宋体" w:hAnsi="宋体" w:eastAsia="宋体" w:cs="Times New Roman"/>
          <w:color w:val="000000"/>
          <w:sz w:val="24"/>
          <w:szCs w:val="24"/>
          <w:lang w:val="en-US" w:eastAsia="zh-CN"/>
        </w:rPr>
        <w:fldChar w:fldCharType="separate"/>
      </w:r>
      <w:r>
        <w:rPr>
          <w:rFonts w:hint="eastAsia" w:ascii="宋体" w:hAnsi="宋体" w:eastAsia="宋体" w:cs="Times New Roman"/>
          <w:color w:val="000000"/>
          <w:sz w:val="24"/>
          <w:szCs w:val="24"/>
          <w:lang w:val="en-US" w:eastAsia="zh-CN"/>
        </w:rPr>
        <w:t xml:space="preserve">www.ccgp.gov.cn</w:t>
      </w:r>
      <w:r>
        <w:rPr>
          <w:rFonts w:hint="eastAsia" w:ascii="宋体" w:hAnsi="宋体" w:eastAsia="宋体" w:cs="Times New Roman"/>
          <w:color w:val="000000"/>
          <w:sz w:val="24"/>
          <w:szCs w:val="24"/>
          <w:lang w:val="en-US" w:eastAsia="zh-CN"/>
        </w:rPr>
        <w:fldChar w:fldCharType="end"/>
      </w:r>
      <w:r>
        <w:rPr>
          <w:rFonts w:hint="eastAsia" w:ascii="宋体" w:hAnsi="宋体" w:eastAsia="宋体" w:cs="Times New Roman"/>
          <w:color w:val="000000"/>
          <w:sz w:val="24"/>
          <w:szCs w:val="24"/>
          <w:lang w:val="en-US" w:eastAsia="zh-CN"/>
        </w:rPr>
        <w:t xml:space="preserve">）列入失信被执行人、重大税收违法案件当事人名单、政府采购严重违法失信行为记录名单。</w:t>
      </w:r>
      <w:r>
        <w:rPr>
          <w:rFonts w:hint="eastAsia" w:ascii="宋体" w:hAnsi="宋体" w:eastAsia="宋体" w:cs="Times New Roman"/>
          <w:color w:val="000000"/>
          <w:sz w:val="24"/>
          <w:szCs w:val="24"/>
          <w:lang w:val="en-US" w:eastAsia="zh-CN"/>
        </w:rPr>
      </w:r>
      <w:r/>
    </w:p>
    <w:p>
      <w:pPr>
        <w:pStyle w:val="1019"/>
        <w:ind w:firstLine="465"/>
        <w:pageBreakBefore w:val="0"/>
        <w:spacing w:before="145" w:after="145" w:line="36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9"/>
      <w:r/>
      <w:bookmarkEnd w:id="20"/>
      <w:r/>
      <w:bookmarkEnd w:id="21"/>
      <w:r/>
      <w:bookmarkEnd w:id="22"/>
      <w:r/>
      <w:bookmarkEnd w:id="23"/>
      <w:r>
        <w:rPr>
          <w:rFonts w:ascii="方正黑体_GBK" w:hAnsi="方正黑体_GBK" w:eastAsia="方正黑体_GBK" w:cs="方正黑体_GBK"/>
          <w:b w:val="0"/>
          <w:bCs w:val="0"/>
          <w:color w:val="000000"/>
          <w:sz w:val="30"/>
          <w:szCs w:val="30"/>
        </w:rPr>
      </w:r>
      <w:r/>
    </w:p>
    <w:p>
      <w:pPr>
        <w:pStyle w:val="802"/>
        <w:ind w:firstLine="480"/>
        <w:pageBreakBefore w:val="0"/>
        <w:spacing w:line="360" w:lineRule="auto"/>
        <w:rPr>
          <w:rFonts w:hint="eastAsia" w:ascii="宋体" w:hAnsi="宋体" w:eastAsia="宋体" w:cs="宋体"/>
          <w:color w:val="000000"/>
          <w:sz w:val="24"/>
          <w:szCs w:val="24"/>
          <w:lang w:eastAsia="zh-CN"/>
        </w:rPr>
      </w:pPr>
      <w:r/>
      <w:bookmarkStart w:id="24" w:name="_Toc28359082"/>
      <w:r/>
      <w:bookmarkStart w:id="25" w:name="_Toc28359005"/>
      <w:r/>
      <w:bookmarkStart w:id="26" w:name="_Toc35393793"/>
      <w:r/>
      <w:bookmarkStart w:id="27" w:name="_Toc38985266"/>
      <w:r/>
      <w:bookmarkStart w:id="28" w:name="_Toc35393624"/>
      <w:r>
        <w:rPr>
          <w:rFonts w:hint="eastAsia" w:ascii="宋体" w:hAnsi="宋体" w:eastAsia="宋体" w:cs="宋体"/>
          <w:color w:val="000000"/>
          <w:sz w:val="24"/>
          <w:szCs w:val="24"/>
          <w:lang w:eastAsia="zh-CN"/>
        </w:rPr>
        <w:t xml:space="preserve">1、获取时间：自招标文件公告发布之日起5个工作日</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2、地点：网上注册登记成功后系统内免费下载</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3、获取方式：本项目采用网上注册登记方式。</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3.1潜在供应商访问电子招标响应交易平台的网络地址和方法：</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3.2潜在供应商访问“苏采云”系统的网络地址和方法：“苏采云”系统的网址：http://jszfcg.jsczt.cn/。</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3.3“CA数字证书”的获取：</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3.4采购文件（后缀名为“.kedt”）、供应商操作手册及政府采购客户端工具可通过“苏采云”系统--已报名项目--报名详情页面内相应链接进行下载。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3.5招标代理机构（采购代理机构）将数据电文形式的采购文件加载至“苏采云”系统，供潜在供应商下载或者查阅。</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4"/>
          <w:szCs w:val="24"/>
          <w:lang w:eastAsia="zh-CN"/>
        </w:rPr>
      </w:r>
      <w:r/>
    </w:p>
    <w:p>
      <w:pPr>
        <w:pStyle w:val="1019"/>
        <w:ind w:firstLine="465"/>
        <w:pageBreakBefore w:val="0"/>
        <w:spacing w:before="145" w:after="145" w:line="36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4"/>
      <w:r/>
      <w:bookmarkEnd w:id="25"/>
      <w:r>
        <w:rPr>
          <w:rFonts w:hint="eastAsia" w:ascii="方正黑体_GBK" w:hAnsi="方正黑体_GBK" w:eastAsia="方正黑体_GBK" w:cs="方正黑体_GBK"/>
          <w:b w:val="0"/>
          <w:bCs w:val="0"/>
          <w:color w:val="000000"/>
          <w:sz w:val="30"/>
          <w:szCs w:val="30"/>
        </w:rPr>
        <w:t xml:space="preserve">截止时间、开标时间和地点</w:t>
      </w:r>
      <w:bookmarkEnd w:id="26"/>
      <w:r/>
      <w:bookmarkEnd w:id="27"/>
      <w:r/>
      <w:bookmarkEnd w:id="28"/>
      <w:r>
        <w:rPr>
          <w:rFonts w:ascii="方正黑体_GBK" w:hAnsi="方正黑体_GBK" w:eastAsia="方正黑体_GBK" w:cs="方正黑体_GBK"/>
          <w:b w:val="0"/>
          <w:bCs w:val="0"/>
          <w:color w:val="000000"/>
          <w:sz w:val="30"/>
          <w:szCs w:val="30"/>
        </w:rPr>
      </w:r>
      <w:r/>
    </w:p>
    <w:p>
      <w:pPr>
        <w:pStyle w:val="802"/>
        <w:ind w:firstLine="480"/>
        <w:pageBreakBefore w:val="0"/>
        <w:spacing w:line="360" w:lineRule="auto"/>
        <w:rPr>
          <w:rFonts w:hint="eastAsia" w:ascii="宋体" w:hAnsi="宋体" w:eastAsia="宋体" w:cs="宋体"/>
          <w:color w:val="000000"/>
          <w:sz w:val="24"/>
          <w:szCs w:val="24"/>
          <w:lang w:eastAsia="zh-CN"/>
        </w:rPr>
      </w:pPr>
      <w:r/>
      <w:bookmarkStart w:id="29" w:name="_Toc38985267"/>
      <w:r/>
      <w:bookmarkStart w:id="30" w:name="_Toc28359007"/>
      <w:r/>
      <w:bookmarkStart w:id="31" w:name="_Toc35393794"/>
      <w:r/>
      <w:bookmarkStart w:id="32" w:name="_Toc28359084"/>
      <w:r/>
      <w:bookmarkStart w:id="33" w:name="_Toc35393625"/>
      <w:r>
        <w:rPr>
          <w:rFonts w:hint="eastAsia" w:ascii="宋体" w:hAnsi="宋体" w:eastAsia="宋体" w:cs="宋体"/>
          <w:color w:val="000000"/>
          <w:sz w:val="24"/>
          <w:szCs w:val="24"/>
          <w:lang w:eastAsia="zh-CN"/>
        </w:rPr>
        <w:t xml:space="preserve">1、投标截止时间：2026年</w:t>
      </w:r>
      <w:r>
        <w:rPr>
          <w:rFonts w:hint="eastAsia" w:ascii="宋体" w:hAnsi="宋体" w:eastAsia="宋体" w:cs="宋体"/>
          <w:color w:val="000000"/>
          <w:sz w:val="24"/>
          <w:szCs w:val="24"/>
          <w:lang w:val="en-US" w:eastAsia="zh-CN"/>
        </w:rPr>
        <w:t xml:space="preserve">8月3日下</w:t>
      </w:r>
      <w:r>
        <w:rPr>
          <w:rFonts w:hint="eastAsia" w:ascii="宋体" w:hAnsi="宋体" w:eastAsia="宋体" w:cs="宋体"/>
          <w:color w:val="000000"/>
          <w:sz w:val="24"/>
          <w:szCs w:val="24"/>
          <w:lang w:eastAsia="zh-CN"/>
        </w:rPr>
        <w:t xml:space="preserve">午</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eastAsia="zh-CN"/>
        </w:rPr>
        <w:t xml:space="preserve">：30（北京时间）</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2、开标时间：2026年</w:t>
      </w:r>
      <w:r>
        <w:rPr>
          <w:rFonts w:hint="eastAsia" w:ascii="宋体" w:hAnsi="宋体" w:eastAsia="宋体" w:cs="宋体"/>
          <w:color w:val="000000"/>
          <w:sz w:val="24"/>
          <w:szCs w:val="24"/>
          <w:lang w:val="en-US" w:eastAsia="zh-CN"/>
        </w:rPr>
        <w:t xml:space="preserve">8月3日下</w:t>
      </w:r>
      <w:r>
        <w:rPr>
          <w:rFonts w:hint="eastAsia" w:ascii="宋体" w:hAnsi="宋体" w:eastAsia="宋体" w:cs="宋体"/>
          <w:color w:val="000000"/>
          <w:sz w:val="24"/>
          <w:szCs w:val="24"/>
          <w:lang w:eastAsia="zh-CN"/>
        </w:rPr>
        <w:t xml:space="preserve">午</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eastAsia="zh-CN"/>
        </w:rPr>
        <w:t xml:space="preserve">：30（北京时间）</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3、开标地点：“苏采云”系统（网址： http://jszfcg.jsczt.cn/）“开标大厅”，点击“苏采云”进入系统“开标大厅”。</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注：各供应商请关注开标大厅交流区，在开标结束后，请勿离开开标大厅。</w:t>
      </w:r>
      <w:r>
        <w:rPr>
          <w:rFonts w:hint="eastAsia" w:ascii="宋体" w:hAnsi="宋体" w:eastAsia="宋体" w:cs="宋体"/>
          <w:color w:val="000000"/>
          <w:sz w:val="24"/>
          <w:szCs w:val="24"/>
          <w:lang w:eastAsia="zh-CN"/>
        </w:rPr>
      </w:r>
      <w:r/>
    </w:p>
    <w:p>
      <w:pPr>
        <w:pStyle w:val="80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4、投标文件的解密：开标当天各供应商及时登录不见面开标大厅，响应文件递交截止时间后，采购人将在系统内公布投标</w:t>
      </w:r>
      <w:r>
        <w:rPr>
          <w:rFonts w:hint="eastAsia" w:ascii="宋体" w:hAnsi="宋体" w:eastAsia="宋体" w:cs="宋体"/>
          <w:color w:val="000000"/>
          <w:sz w:val="24"/>
          <w:szCs w:val="24"/>
          <w:lang w:eastAsia="zh-C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szCs w:val="24"/>
          <w:lang w:eastAsia="zh-CN"/>
        </w:rPr>
      </w:r>
      <w:r/>
    </w:p>
    <w:p>
      <w:pPr>
        <w:pStyle w:val="1019"/>
        <w:ind w:firstLine="465"/>
        <w:pageBreakBefore w:val="0"/>
        <w:spacing w:before="145" w:after="145" w:line="36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9"/>
      <w:r/>
      <w:bookmarkEnd w:id="30"/>
      <w:r/>
      <w:bookmarkEnd w:id="31"/>
      <w:r/>
      <w:bookmarkEnd w:id="32"/>
      <w:r/>
      <w:bookmarkEnd w:id="33"/>
      <w:r>
        <w:rPr>
          <w:rFonts w:ascii="方正黑体_GBK" w:hAnsi="方正黑体_GBK" w:eastAsia="方正黑体_GBK" w:cs="方正黑体_GBK"/>
          <w:b w:val="0"/>
          <w:bCs w:val="0"/>
          <w:color w:val="000000"/>
          <w:sz w:val="30"/>
          <w:szCs w:val="30"/>
        </w:rPr>
      </w:r>
      <w:r/>
    </w:p>
    <w:p>
      <w:pPr>
        <w:pStyle w:val="802"/>
        <w:ind w:firstLine="480"/>
        <w:pageBreakBefore w:val="0"/>
        <w:spacing w:line="360" w:lineRule="auto"/>
        <w:rPr>
          <w:rFonts w:ascii="宋体" w:hAnsi="宋体" w:cs="宋体"/>
          <w:color w:val="000000"/>
          <w:sz w:val="24"/>
          <w:szCs w:val="24"/>
        </w:rPr>
      </w:pPr>
      <w:r/>
      <w:bookmarkStart w:id="34" w:name="_Toc35393626"/>
      <w:r/>
      <w:bookmarkStart w:id="35" w:name="_Toc35393795"/>
      <w:r/>
      <w:bookmarkStart w:id="36" w:name="_Toc38985268"/>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1019"/>
        <w:ind w:firstLine="498"/>
        <w:pageBreakBefore w:val="0"/>
        <w:spacing w:before="145" w:after="145" w:line="360" w:lineRule="auto"/>
        <w:rPr>
          <w:color w:val="000000"/>
        </w:rPr>
      </w:pPr>
      <w:r>
        <w:rPr>
          <w:rFonts w:hint="eastAsia"/>
          <w:color w:val="000000"/>
        </w:rPr>
        <w:t xml:space="preserve">六、其他事宜</w:t>
      </w:r>
      <w:bookmarkEnd w:id="34"/>
      <w:r/>
      <w:bookmarkEnd w:id="35"/>
      <w:r/>
      <w:bookmarkEnd w:id="36"/>
      <w:r>
        <w:rPr>
          <w:color w:val="000000"/>
        </w:rPr>
      </w:r>
      <w:r/>
    </w:p>
    <w:p>
      <w:pPr>
        <w:pStyle w:val="802"/>
        <w:ind w:firstLine="480"/>
        <w:pageBreakBefore w:val="0"/>
        <w:spacing w:line="360" w:lineRule="auto"/>
        <w:tabs>
          <w:tab w:val="left" w:pos="900" w:leader="none"/>
        </w:tabs>
        <w:rPr>
          <w:rFonts w:ascii="宋体" w:hAnsi="宋体"/>
          <w:bCs/>
          <w:color w:val="000000"/>
          <w:sz w:val="24"/>
          <w:szCs w:val="24"/>
        </w:rPr>
      </w:pPr>
      <w:r/>
      <w:bookmarkStart w:id="37" w:name="_Toc35393796"/>
      <w:r/>
      <w:bookmarkStart w:id="38" w:name="_Toc35393627"/>
      <w:r/>
      <w:bookmarkStart w:id="39" w:name="_Toc38985269"/>
      <w:r/>
      <w:bookmarkStart w:id="40" w:name="_Toc28359008"/>
      <w:r/>
      <w:bookmarkStart w:id="41" w:name="_Toc28359085"/>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ascii="宋体" w:hAnsi="宋体"/>
          <w:bCs/>
          <w:color w:val="000000"/>
          <w:sz w:val="24"/>
          <w:szCs w:val="24"/>
        </w:rPr>
      </w:r>
      <w:r/>
    </w:p>
    <w:p>
      <w:pPr>
        <w:pStyle w:val="802"/>
        <w:ind w:firstLine="480"/>
        <w:pageBreakBefore w:val="0"/>
        <w:spacing w:line="360" w:lineRule="auto"/>
        <w:tabs>
          <w:tab w:val="left" w:pos="900" w:leader="none"/>
        </w:tabs>
        <w:rPr>
          <w:rFonts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本项目不组织集中</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ascii="宋体" w:hAnsi="宋体" w:cs="宋体"/>
          <w:color w:val="000000"/>
          <w:sz w:val="24"/>
          <w:szCs w:val="24"/>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eastAsia="zh-CN"/>
        </w:rPr>
        <w:t xml:space="preserve">、本项目公告媒体：江苏政府采购网（http://www.ccgp-jiangsu.gov.cn/）、南京公共采购信息网（https://njgc.jfh.com/）</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lang w:eastAsia="zh-CN"/>
        </w:rPr>
        <w:t xml:space="preserve">、供应商诚信档案管理</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供应商申请网上注册的，应当按以下程序进行：</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（1）登陆“南京公共采购信息网”（https://njgc.jfh.com）网站，点击“政府采购供应商诚信档案”图标，在弹出的用户登录界面，点击“新用户注册”；</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注册成功后，供应商参加本次政府采购活动时，在采购文件发布之日起至递交投标文件截止日前，应先登录“信用南京”在线打印其“南京市政府采购供应商信用记录表”，</w:t>
      </w:r>
      <w:r>
        <w:rPr>
          <w:rFonts w:hint="eastAsia" w:ascii="宋体" w:hAnsi="宋体" w:eastAsia="宋体" w:cs="Times New Roman"/>
          <w:b/>
          <w:bCs w:val="0"/>
          <w:color w:val="000000"/>
          <w:sz w:val="24"/>
          <w:szCs w:val="24"/>
          <w:lang w:eastAsia="zh-CN"/>
        </w:rPr>
        <w:t xml:space="preserve">经法定代表人签名盖章后作为投标文件的组成部分“南京市政府采购供应商信用记录表”是其参加本次政府采购活动的必备材料，如未提供，投标被否决。</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eastAsia="zh-CN"/>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宋体" w:hAnsi="宋体" w:eastAsia="宋体" w:cs="Times New Roman"/>
          <w:bCs/>
          <w:color w:val="000000"/>
          <w:sz w:val="24"/>
          <w:szCs w:val="24"/>
          <w:lang w:eastAsia="zh-CN"/>
        </w:rPr>
      </w:r>
      <w:r/>
    </w:p>
    <w:p>
      <w:pPr>
        <w:pStyle w:val="802"/>
        <w:ind w:firstLine="480"/>
        <w:pageBreakBefore w:val="0"/>
        <w:spacing w:line="360" w:lineRule="auto"/>
        <w:tabs>
          <w:tab w:val="left" w:pos="900"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lang w:eastAsia="zh-CN"/>
        </w:rPr>
        <w:t xml:space="preserve">、有关本次招标的事项若存在变动或修改，敬请及时关注在“江苏政府采购网”、“南京公共采购信息网”发布的更正公告。</w:t>
      </w:r>
      <w:r>
        <w:rPr>
          <w:rFonts w:hint="eastAsia" w:ascii="宋体" w:hAnsi="宋体" w:eastAsia="宋体" w:cs="Times New Roman"/>
          <w:bCs/>
          <w:color w:val="000000"/>
          <w:sz w:val="24"/>
          <w:szCs w:val="24"/>
          <w:lang w:eastAsia="zh-CN"/>
        </w:rPr>
      </w:r>
      <w:r/>
    </w:p>
    <w:p>
      <w:pPr>
        <w:pStyle w:val="1019"/>
        <w:ind w:firstLine="465"/>
        <w:pageBreakBefore w:val="0"/>
        <w:spacing w:before="145" w:after="145" w:line="36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7"/>
      <w:r/>
      <w:bookmarkEnd w:id="38"/>
      <w:r/>
      <w:bookmarkEnd w:id="39"/>
      <w:r/>
      <w:bookmarkEnd w:id="40"/>
      <w:r/>
      <w:bookmarkEnd w:id="41"/>
      <w:r>
        <w:rPr>
          <w:rFonts w:ascii="方正黑体_GBK" w:hAnsi="方正黑体_GBK" w:eastAsia="方正黑体_GBK" w:cs="方正黑体_GBK"/>
          <w:b w:val="0"/>
          <w:bCs w:val="0"/>
          <w:color w:val="000000"/>
          <w:sz w:val="30"/>
          <w:szCs w:val="30"/>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1.采购人信息</w:t>
      </w: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lang w:eastAsia="zh-CN"/>
        </w:rPr>
        <w:t xml:space="preserve">南京市公安局经济犯罪侦查支队</w:t>
      </w:r>
      <w:r>
        <w:rPr>
          <w:rFonts w:hint="eastAsia" w:ascii="宋体" w:hAnsi="宋体"/>
          <w:color w:val="000000"/>
          <w:sz w:val="24"/>
          <w:szCs w:val="24"/>
        </w:rPr>
        <w:t xml:space="preserve">          </w:t>
      </w: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地  址：</w:t>
      </w:r>
      <w:r>
        <w:rPr>
          <w:rFonts w:ascii="宋体" w:hAnsi="宋体" w:eastAsia="宋体" w:cs="宋体"/>
          <w:color w:val="000000"/>
          <w:sz w:val="24"/>
        </w:rPr>
        <w:t xml:space="preserve">南京市鼓楼区清凉门大街76号</w:t>
      </w:r>
      <w:r>
        <w:rPr>
          <w:rFonts w:hint="eastAsia" w:ascii="宋体" w:hAnsi="宋体"/>
          <w:color w:val="000000"/>
          <w:sz w:val="24"/>
          <w:szCs w:val="24"/>
        </w:rPr>
        <w:t xml:space="preserve">    </w:t>
      </w:r>
      <w:r>
        <w:rPr>
          <w:rFonts w:ascii="宋体" w:hAnsi="宋体"/>
          <w:color w:val="000000"/>
          <w:sz w:val="24"/>
          <w:szCs w:val="24"/>
        </w:rPr>
      </w:r>
      <w:r/>
    </w:p>
    <w:p>
      <w:pPr>
        <w:pStyle w:val="802"/>
        <w:ind w:firstLine="480"/>
        <w:pageBreakBefore w:val="0"/>
        <w:spacing w:line="360" w:lineRule="auto"/>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徐</w:t>
      </w:r>
      <w:r>
        <w:rPr>
          <w:rFonts w:hint="eastAsia" w:ascii="宋体" w:hAnsi="宋体" w:eastAsia="宋体" w:cs="Times New Roman"/>
          <w:color w:val="000000"/>
          <w:sz w:val="24"/>
          <w:szCs w:val="24"/>
          <w:lang w:eastAsia="zh-CN"/>
        </w:rPr>
        <w:t xml:space="preserve">警官 </w:t>
      </w:r>
      <w:r>
        <w:rPr>
          <w:rFonts w:hint="eastAsia" w:ascii="宋体" w:hAnsi="宋体" w:eastAsia="宋体" w:cs="Times New Roman"/>
          <w:color w:val="000000"/>
          <w:sz w:val="24"/>
          <w:szCs w:val="24"/>
          <w:lang w:eastAsia="zh-CN"/>
        </w:rPr>
      </w:r>
      <w:r/>
    </w:p>
    <w:p>
      <w:pPr>
        <w:pStyle w:val="802"/>
        <w:ind w:firstLine="480"/>
        <w:pageBreakBefore w:val="0"/>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联系电话：18913830820</w:t>
      </w:r>
      <w:r>
        <w:rPr>
          <w:rFonts w:hint="eastAsia" w:ascii="宋体" w:hAnsi="宋体" w:eastAsia="宋体" w:cs="Times New Roman"/>
          <w:color w:val="000000"/>
          <w:sz w:val="24"/>
          <w:szCs w:val="24"/>
          <w:lang w:eastAsia="zh-CN"/>
        </w:rPr>
      </w:r>
      <w:r/>
    </w:p>
    <w:p>
      <w:pPr>
        <w:pStyle w:val="802"/>
        <w:ind w:firstLine="480"/>
        <w:pageBreakBefore w:val="0"/>
        <w:spacing w:line="360" w:lineRule="auto"/>
        <w:rPr>
          <w:rFonts w:ascii="宋体" w:hAnsi="宋体"/>
          <w:color w:val="000000"/>
          <w:sz w:val="24"/>
          <w:szCs w:val="24"/>
        </w:rPr>
      </w:pPr>
      <w:r/>
      <w:bookmarkStart w:id="42" w:name="_Toc28359086"/>
      <w:r/>
      <w:bookmarkStart w:id="43" w:name="_Toc28359009"/>
      <w:r>
        <w:rPr>
          <w:rFonts w:hint="eastAsia" w:ascii="宋体" w:hAnsi="宋体"/>
          <w:color w:val="000000"/>
          <w:sz w:val="24"/>
          <w:szCs w:val="24"/>
        </w:rPr>
        <w:t xml:space="preserve">2.</w:t>
      </w:r>
      <w:bookmarkEnd w:id="42"/>
      <w:r/>
      <w:bookmarkEnd w:id="43"/>
      <w:r>
        <w:rPr>
          <w:rFonts w:hint="eastAsia" w:ascii="宋体" w:hAnsi="宋体"/>
          <w:color w:val="000000"/>
          <w:sz w:val="24"/>
          <w:szCs w:val="24"/>
        </w:rPr>
        <w:t xml:space="preserve">采购代理机构信息</w:t>
      </w: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rPr>
        <w:t xml:space="preserve">江苏盛德量行建设咨询有限公司</w:t>
      </w:r>
      <w:r>
        <w:rPr>
          <w:rFonts w:hint="eastAsia" w:ascii="宋体" w:hAnsi="宋体"/>
          <w:color w:val="000000"/>
          <w:sz w:val="24"/>
          <w:szCs w:val="24"/>
        </w:rPr>
        <w:t xml:space="preserve">         </w:t>
      </w: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rPr>
        <w:t xml:space="preserve">南京市建邺区泰山路</w:t>
      </w:r>
      <w:r>
        <w:rPr>
          <w:rFonts w:ascii="宋体" w:hAnsi="宋体"/>
          <w:color w:val="000000"/>
          <w:sz w:val="24"/>
        </w:rPr>
        <w:t xml:space="preserve">151号新丽华中心11层</w:t>
      </w:r>
      <w:r>
        <w:rPr>
          <w:rFonts w:hint="eastAsia" w:ascii="宋体" w:hAnsi="宋体"/>
          <w:color w:val="000000"/>
          <w:sz w:val="24"/>
          <w:szCs w:val="24"/>
        </w:rPr>
        <w:t xml:space="preserve">   </w:t>
      </w: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刘工</w:t>
      </w:r>
      <w:r>
        <w:rPr>
          <w:rFonts w:ascii="宋体" w:hAnsi="宋体"/>
          <w:color w:val="000000"/>
          <w:sz w:val="24"/>
          <w:szCs w:val="24"/>
        </w:rPr>
      </w:r>
      <w:r/>
    </w:p>
    <w:p>
      <w:pPr>
        <w:pStyle w:val="802"/>
        <w:ind w:firstLine="480"/>
        <w:pageBreakBefore w:val="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联系电话：</w:t>
      </w:r>
      <w:r>
        <w:rPr>
          <w:rFonts w:hint="eastAsia" w:ascii="宋体" w:hAnsi="宋体"/>
          <w:color w:val="000000"/>
          <w:sz w:val="24"/>
          <w:lang w:eastAsia="zh-CN"/>
        </w:rPr>
        <w:t xml:space="preserve">13032553886</w:t>
      </w:r>
      <w:r>
        <w:rPr>
          <w:rFonts w:hint="eastAsia" w:ascii="宋体" w:hAnsi="宋体" w:eastAsia="宋体"/>
          <w:color w:val="000000"/>
          <w:sz w:val="24"/>
          <w:szCs w:val="24"/>
          <w:lang w:eastAsia="zh-CN"/>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3.项目联系方式</w:t>
      </w: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项目联系人：</w:t>
      </w:r>
      <w:r>
        <w:rPr>
          <w:rFonts w:hint="eastAsia" w:ascii="宋体" w:hAnsi="宋体"/>
          <w:color w:val="000000"/>
          <w:sz w:val="24"/>
        </w:rPr>
        <w:t xml:space="preserve">刘工</w:t>
      </w:r>
      <w:r>
        <w:rPr>
          <w:rFonts w:ascii="宋体" w:hAnsi="宋体"/>
          <w:color w:val="000000"/>
          <w:sz w:val="24"/>
          <w:szCs w:val="24"/>
        </w:rPr>
      </w:r>
      <w:r/>
    </w:p>
    <w:p>
      <w:pPr>
        <w:pStyle w:val="802"/>
        <w:ind w:firstLine="480"/>
        <w:pageBreakBefore w:val="0"/>
        <w:spacing w:line="360" w:lineRule="auto"/>
        <w:rPr>
          <w:rFonts w:hint="eastAsia" w:eastAsia="宋体"/>
          <w:color w:val="000000"/>
          <w:lang w:eastAsia="zh-CN"/>
        </w:rPr>
      </w:pPr>
      <w:r>
        <w:rPr>
          <w:rFonts w:hint="eastAsia" w:ascii="宋体" w:hAnsi="宋体"/>
          <w:color w:val="000000"/>
          <w:sz w:val="24"/>
          <w:szCs w:val="24"/>
        </w:rPr>
        <w:t xml:space="preserve">电话：</w:t>
      </w:r>
      <w:r>
        <w:rPr>
          <w:rFonts w:hint="eastAsia" w:ascii="宋体" w:hAnsi="宋体"/>
          <w:color w:val="000000"/>
          <w:sz w:val="24"/>
          <w:lang w:eastAsia="zh-CN"/>
        </w:rPr>
        <w:t xml:space="preserve">13032553886</w:t>
      </w:r>
      <w:r>
        <w:rPr>
          <w:rFonts w:hint="eastAsia" w:eastAsia="宋体"/>
          <w:color w:val="000000"/>
          <w:lang w:eastAsia="zh-CN"/>
        </w:rPr>
      </w:r>
      <w:r/>
    </w:p>
    <w:p>
      <w:pPr>
        <w:pStyle w:val="802"/>
        <w:ind w:right="840"/>
        <w:jc w:val="center"/>
        <w:pageBreakBefore w:val="0"/>
        <w:spacing w:line="360" w:lineRule="auto"/>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2"/>
      <w:r/>
      <w:bookmarkEnd w:id="3"/>
      <w:r/>
      <w:bookmarkEnd w:id="4"/>
      <w:r/>
      <w:bookmarkEnd w:id="5"/>
      <w:r/>
      <w:bookmarkEnd w:id="6"/>
      <w:r/>
      <w:bookmarkStart w:id="44" w:name="_Toc120614211"/>
      <w:r/>
      <w:bookmarkStart w:id="45" w:name="_Toc16671"/>
      <w:r>
        <w:rPr>
          <w:rFonts w:hint="eastAsia" w:ascii="方正小标宋简体" w:hAnsi="方正小标宋简体" w:eastAsia="方正小标宋简体" w:cs="方正小标宋简体"/>
          <w:color w:val="000000"/>
          <w:sz w:val="36"/>
          <w:szCs w:val="36"/>
        </w:rPr>
        <w:t xml:space="preserve">第二章  </w:t>
      </w:r>
      <w:bookmarkEnd w:id="44"/>
      <w:r/>
      <w:bookmarkStart w:id="46" w:name="_Toc120614213"/>
      <w:r/>
      <w:bookmarkStart w:id="47" w:name="_Toc20823274"/>
      <w:r/>
      <w:bookmarkStart w:id="48" w:name="_Toc513029202"/>
      <w:r/>
      <w:bookmarkStart w:id="49" w:name="_Toc16938518"/>
      <w:r>
        <w:rPr>
          <w:rFonts w:hint="eastAsia" w:ascii="方正小标宋简体" w:hAnsi="方正小标宋简体" w:eastAsia="方正小标宋简体" w:cs="方正小标宋简体"/>
          <w:color w:val="000000"/>
          <w:sz w:val="36"/>
          <w:szCs w:val="36"/>
        </w:rPr>
        <w:t xml:space="preserve">投标人须知</w:t>
      </w:r>
      <w:bookmarkEnd w:id="45"/>
      <w:r/>
      <w:bookmarkEnd w:id="46"/>
      <w:r/>
      <w:bookmarkEnd w:id="47"/>
      <w:r/>
      <w:bookmarkEnd w:id="48"/>
      <w:r/>
      <w:bookmarkEnd w:id="49"/>
      <w:r>
        <w:rPr>
          <w:rFonts w:ascii="方正小标宋简体" w:hAnsi="方正小标宋简体" w:eastAsia="方正小标宋简体" w:cs="方正小标宋简体"/>
          <w:color w:val="000000"/>
          <w:sz w:val="36"/>
          <w:szCs w:val="36"/>
        </w:rPr>
      </w:r>
      <w:r/>
    </w:p>
    <w:p>
      <w:pPr>
        <w:pStyle w:val="805"/>
        <w:ind w:firstLine="465"/>
        <w:pageBreakBefore w:val="0"/>
        <w:spacing w:before="145" w:after="145" w:line="360" w:lineRule="auto"/>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一、总则</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1.招标方式</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本次招标采取公开招标方式，本文件仅适用于招标公告中所述项目。</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2.合格的投标人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w:t>
      </w:r>
      <w:r>
        <w:rPr>
          <w:rFonts w:hint="eastAsia" w:ascii="宋体" w:hAnsi="宋体" w:cs="宋体"/>
          <w:color w:val="000000"/>
          <w:sz w:val="24"/>
        </w:rPr>
        <w:t xml:space="preserve"> </w:t>
      </w:r>
      <w:r>
        <w:rPr>
          <w:rFonts w:ascii="宋体" w:hAnsi="宋体" w:cs="宋体"/>
          <w:color w:val="000000"/>
          <w:sz w:val="24"/>
        </w:rPr>
        <w:t xml:space="preserve">满足招标公告对供应商资格要求的规定。</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满足招标文件规定的实质性要求和条件。</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3.适用法律</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4.投标费用</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w:t>
      </w:r>
      <w:r>
        <w:rPr>
          <w:rFonts w:hint="eastAsia" w:ascii="宋体" w:hAnsi="宋体" w:cs="宋体"/>
          <w:color w:val="000000"/>
          <w:sz w:val="24"/>
        </w:rPr>
        <w:t xml:space="preserve">采购代理机构</w:t>
      </w:r>
      <w:r>
        <w:rPr>
          <w:rFonts w:ascii="宋体" w:hAnsi="宋体" w:cs="宋体"/>
          <w:color w:val="000000"/>
          <w:sz w:val="24"/>
        </w:rPr>
        <w:t xml:space="preserve">在任何情况下均无义务和责任承担这些费用。</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w:t>
      </w:r>
      <w:r>
        <w:rPr>
          <w:rFonts w:hint="eastAsia" w:ascii="宋体" w:hAnsi="宋体" w:cs="宋体"/>
          <w:color w:val="000000"/>
          <w:sz w:val="24"/>
        </w:rPr>
        <w:t xml:space="preserve"> 代理服务费按照《招标代理服务收费管理暂行办法》（计价格[2002]1980号）文件规定的标准的33%计取，单项最低3000元，最高80000元。由中标供应商在领取中标通知书时一次性支付。本项费用无需在投标报价表中列。代理服务费已包含专家评审费。</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5.招标文件的约束力</w:t>
      </w:r>
      <w:r>
        <w:rPr>
          <w:color w:val="000000"/>
        </w:rPr>
      </w:r>
      <w:r/>
    </w:p>
    <w:p>
      <w:pPr>
        <w:pStyle w:val="802"/>
        <w:ind w:firstLine="420"/>
        <w:pageBreakBefore w:val="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投标人一旦参加本项目采购活动，即被认为接受了本文件的规定和约束。</w:t>
      </w:r>
      <w:r>
        <w:rPr>
          <w:rFonts w:ascii="宋体" w:hAnsi="宋体" w:cs="宋体"/>
          <w:color w:val="000000"/>
          <w:sz w:val="24"/>
        </w:rPr>
      </w:r>
      <w:r/>
    </w:p>
    <w:p>
      <w:pPr>
        <w:pStyle w:val="805"/>
        <w:ind w:firstLine="465"/>
        <w:pageBreakBefore w:val="0"/>
        <w:spacing w:before="145" w:after="145" w:line="360" w:lineRule="auto"/>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二、招标文件</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6.招标文件构成</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投标人应仔细检查招标文件是否齐全，如有缺漏请立即与</w:t>
      </w:r>
      <w:r>
        <w:rPr>
          <w:rFonts w:hint="eastAsia" w:ascii="宋体" w:hAnsi="宋体" w:cs="宋体"/>
          <w:color w:val="000000"/>
          <w:sz w:val="24"/>
        </w:rPr>
        <w:t xml:space="preserve">采购代理机构</w:t>
      </w:r>
      <w:r>
        <w:rPr>
          <w:rFonts w:ascii="宋体" w:hAnsi="宋体" w:cs="宋体"/>
          <w:color w:val="000000"/>
          <w:sz w:val="24"/>
        </w:rPr>
        <w:t xml:space="preserve">联系。</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7.招标文件的澄清</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任何要求对招标文件进行澄清的投标人，应在投标截止期十日前按招标公告中的通讯地址，以书面形式通知</w:t>
      </w:r>
      <w:r>
        <w:rPr>
          <w:rFonts w:hint="eastAsia" w:ascii="宋体" w:hAnsi="宋体" w:cs="宋体"/>
          <w:color w:val="000000"/>
          <w:sz w:val="24"/>
        </w:rPr>
        <w:t xml:space="preserve">采购代理机构</w:t>
      </w:r>
      <w:r>
        <w:rPr>
          <w:rFonts w:ascii="宋体" w:hAnsi="宋体" w:cs="宋体"/>
          <w:color w:val="000000"/>
          <w:sz w:val="24"/>
        </w:rPr>
        <w:t xml:space="preserve">。</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8.招标文件的修改</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w:t>
      </w:r>
      <w:r>
        <w:rPr>
          <w:rFonts w:hint="eastAsia" w:ascii="宋体" w:hAnsi="宋体" w:cs="宋体"/>
          <w:color w:val="000000"/>
          <w:sz w:val="24"/>
        </w:rPr>
        <w:t xml:space="preserve">采购代理机构</w:t>
      </w:r>
      <w:r>
        <w:rPr>
          <w:rFonts w:ascii="宋体" w:hAnsi="宋体" w:cs="宋体"/>
          <w:color w:val="000000"/>
          <w:sz w:val="24"/>
        </w:rPr>
        <w:t xml:space="preserve">可以对招标文件进行修改。招标文件的修改将在原公告媒体发布更正公告，更正内容将作为招标文件的组成部分，并对投标人具有约束力。</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w:t>
      </w:r>
      <w:r>
        <w:rPr>
          <w:rFonts w:hint="eastAsia" w:ascii="宋体" w:hAnsi="宋体" w:cs="宋体"/>
          <w:color w:val="000000"/>
          <w:sz w:val="24"/>
        </w:rPr>
        <w:t xml:space="preserve">采购代理机构</w:t>
      </w:r>
      <w:r>
        <w:rPr>
          <w:rFonts w:ascii="宋体" w:hAnsi="宋体" w:cs="宋体"/>
          <w:color w:val="000000"/>
          <w:sz w:val="24"/>
        </w:rPr>
        <w:t xml:space="preserve">有权按照法定的要求推迟投标截止日期和开标日期，并在原公告媒体发布更正公告。</w:t>
      </w:r>
      <w:r>
        <w:rPr>
          <w:color w:val="000000"/>
        </w:rPr>
      </w:r>
      <w:r/>
    </w:p>
    <w:p>
      <w:pPr>
        <w:pStyle w:val="805"/>
        <w:ind w:firstLine="465"/>
        <w:pageBreakBefore w:val="0"/>
        <w:spacing w:before="145" w:after="145" w:line="360" w:lineRule="auto"/>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三、投标文件的编制</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9.投标文件的语言及度量衡单位</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w:t>
      </w:r>
      <w:r>
        <w:rPr>
          <w:rFonts w:hint="eastAsia" w:ascii="宋体" w:hAnsi="宋体" w:cs="宋体"/>
          <w:color w:val="000000"/>
          <w:sz w:val="24"/>
        </w:rPr>
        <w:t xml:space="preserve">采购代理机构</w:t>
      </w:r>
      <w:r>
        <w:rPr>
          <w:rFonts w:ascii="宋体" w:hAnsi="宋体" w:cs="宋体"/>
          <w:color w:val="000000"/>
          <w:sz w:val="24"/>
        </w:rPr>
        <w:t xml:space="preserve">就有关投标的所有来往通知、函件和文件均应使用简体中文。</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10.投标文件构成</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投标人编写的投标文件应包括资格证明文件、符合性证明文件、投标分项报价表、响应及偏离表、其他证明文件、投标函、开标一览表等部分。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如标书制作工具中格式和内容与“江苏政府采购网”发布的招标文件不一致，以“江苏政府采购网”发布的招标文件为准。</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11.证明投标人及投标标的符合招标文件规定的文件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投标人应按照法律、法规、规章和规范性文件以及招标文件要求提交证明文件，证明其投标标的符合招标文件规定。</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招标文件对证明文件无明确形式要求的，证明文件可以以文字资料、图纸和数据等形式提交。</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12.投标分项报价表（如有）</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w:t>
      </w:r>
      <w:r>
        <w:rPr>
          <w:rFonts w:hint="eastAsia" w:ascii="宋体" w:hAnsi="宋体" w:cs="宋体"/>
          <w:color w:val="000000"/>
          <w:sz w:val="24"/>
        </w:rPr>
        <w:t xml:space="preserve"> </w:t>
      </w:r>
      <w:r>
        <w:rPr>
          <w:rFonts w:ascii="宋体" w:hAnsi="宋体" w:cs="宋体"/>
          <w:color w:val="000000"/>
          <w:sz w:val="24"/>
        </w:rPr>
        <w:t xml:space="preserve">投标文件中的单价和总价无特殊规定的采用人民币报价，以元为单位标注。招标文件另有规定的按规定执行。</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13.响应及偏离表</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13.1 投标人需对招标文件</w:t>
      </w:r>
      <w:r>
        <w:rPr>
          <w:rFonts w:hint="eastAsia" w:ascii="宋体" w:hAnsi="宋体" w:cs="宋体"/>
          <w:b/>
          <w:bCs/>
          <w:color w:val="000000"/>
          <w:sz w:val="24"/>
          <w:lang w:val="en-US" w:eastAsia="zh-CN"/>
        </w:rPr>
        <w:t xml:space="preserve">采购需求</w:t>
      </w:r>
      <w:r>
        <w:rPr>
          <w:rFonts w:ascii="宋体" w:hAnsi="宋体" w:cs="宋体"/>
          <w:b/>
          <w:bCs/>
          <w:color w:val="000000"/>
          <w:sz w:val="24"/>
        </w:rPr>
        <w:t xml:space="preserve">中的技术要求与商务要求逐项作出响应或偏离说明。</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投标人可以在投标文件中提供认为需要的其他技术文件或说明。</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14</w:t>
      </w:r>
      <w:r>
        <w:rPr>
          <w:rFonts w:ascii="楷体" w:hAnsi="楷体" w:eastAsia="楷体" w:cs="楷体"/>
          <w:color w:val="000000"/>
          <w:sz w:val="28"/>
        </w:rPr>
        <w:t xml:space="preserve">.投标有效期</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w:t>
      </w:r>
      <w:r>
        <w:rPr>
          <w:rFonts w:ascii="宋体" w:hAnsi="宋体" w:cs="宋体"/>
          <w:color w:val="000000"/>
          <w:sz w:val="24"/>
        </w:rPr>
        <w:t xml:space="preserve">.1 </w:t>
      </w:r>
      <w:r>
        <w:rPr>
          <w:rFonts w:hint="eastAsia" w:ascii="宋体" w:hAnsi="宋体" w:eastAsia="宋体" w:cs="宋体"/>
          <w:color w:val="000000"/>
          <w:sz w:val="24"/>
        </w:rPr>
        <w:t xml:space="preserve">本</w:t>
      </w: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投标有效期限为开标之日起90天</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投</w:t>
      </w:r>
      <w:r>
        <w:rPr>
          <w:rFonts w:ascii="宋体" w:hAnsi="宋体" w:cs="宋体"/>
          <w:color w:val="000000"/>
          <w:sz w:val="24"/>
        </w:rPr>
        <w:t xml:space="preserve">标有效期比规定短的将被视为未实质性响应招标文件而被拒绝。</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15</w:t>
      </w:r>
      <w:r>
        <w:rPr>
          <w:rFonts w:ascii="楷体" w:hAnsi="楷体" w:eastAsia="楷体" w:cs="楷体"/>
          <w:color w:val="000000"/>
          <w:sz w:val="28"/>
        </w:rPr>
        <w:t xml:space="preserve">.投标有效期的延长</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cs="宋体"/>
          <w:color w:val="000000"/>
          <w:sz w:val="24"/>
        </w:rPr>
        <w:t xml:space="preserve">.1 在特殊情况下，</w:t>
      </w:r>
      <w:r>
        <w:rPr>
          <w:rFonts w:hint="eastAsia" w:ascii="宋体" w:hAnsi="宋体" w:cs="宋体"/>
          <w:color w:val="000000"/>
          <w:sz w:val="24"/>
        </w:rPr>
        <w:t xml:space="preserve">采购代理机构</w:t>
      </w:r>
      <w:r>
        <w:rPr>
          <w:rFonts w:ascii="宋体" w:hAnsi="宋体" w:cs="宋体"/>
          <w:color w:val="000000"/>
          <w:sz w:val="24"/>
        </w:rPr>
        <w:t xml:space="preserve">于原投标有效期满之前，可向投标人提出延长投标有效期的要求。这种要求与答复均应采用书面形式。投标人可以拒绝</w:t>
      </w:r>
      <w:r>
        <w:rPr>
          <w:rFonts w:hint="eastAsia" w:ascii="宋体" w:hAnsi="宋体" w:cs="宋体"/>
          <w:color w:val="000000"/>
          <w:sz w:val="24"/>
        </w:rPr>
        <w:t xml:space="preserve">采购代理机构</w:t>
      </w:r>
      <w:r>
        <w:rPr>
          <w:rFonts w:ascii="宋体" w:hAnsi="宋体" w:cs="宋体"/>
          <w:color w:val="000000"/>
          <w:sz w:val="24"/>
        </w:rPr>
        <w:t xml:space="preserve">的这一要求而放弃投标。同意延长投标有效期的投标人既不能要求也不允许修改其投标文件，同时受投标有效期约束的所有权利与义务均延长至新的有效期满。</w:t>
      </w:r>
      <w:r>
        <w:rPr>
          <w:color w:val="000000"/>
        </w:rPr>
      </w:r>
      <w:r/>
    </w:p>
    <w:p>
      <w:pPr>
        <w:pStyle w:val="805"/>
        <w:ind w:firstLine="465"/>
        <w:pageBreakBefore w:val="0"/>
        <w:spacing w:before="145" w:after="145" w:line="360" w:lineRule="auto"/>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四、投标文件的递交</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17.投标文件的递交</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投标人应当按照《操作手册》规定，在招标公告规定的投标截止时间前制作并上传电子投标文件。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17.3 </w:t>
      </w:r>
      <w:r>
        <w:rPr>
          <w:rFonts w:hint="eastAsia" w:ascii="宋体" w:hAnsi="宋体" w:cs="宋体"/>
          <w:color w:val="000000"/>
          <w:sz w:val="24"/>
        </w:rPr>
        <w:t xml:space="preserve">采购代理机构</w:t>
      </w:r>
      <w:r>
        <w:rPr>
          <w:rFonts w:ascii="宋体" w:hAnsi="宋体" w:cs="宋体"/>
          <w:color w:val="000000"/>
          <w:sz w:val="24"/>
        </w:rPr>
        <w:t xml:space="preserve">可以按照规定，通过修改招标文件酌情延长投标截止时间，在此情况下，投标人的所有权利和义务均以延长后新的截止时间为准。</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18.投标文件的拒收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 投标截止时间后上传的任何投标文件将被拒绝。</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19.投标文件的撤回和修改</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投标人可在投标截止时间前撤回其电子投标文件，具体操作方法见《操作手册》。</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 投标人可在投标截止时间前对其电子投标文件进行修改，具体操作方法见《操作手册》。</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投标截止时间之后，投标人不得对其电子投标文件作任何修改。</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rPr>
          <w:color w:val="000000"/>
        </w:rPr>
      </w:r>
      <w:r/>
    </w:p>
    <w:p>
      <w:pPr>
        <w:pStyle w:val="805"/>
        <w:ind w:firstLine="465"/>
        <w:pageBreakBefore w:val="0"/>
        <w:spacing w:before="145" w:after="145" w:line="360" w:lineRule="auto"/>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五、开标与评标</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20.开标</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w:t>
      </w:r>
      <w:r>
        <w:rPr>
          <w:rFonts w:hint="eastAsia" w:ascii="宋体" w:hAnsi="宋体" w:cs="宋体"/>
          <w:color w:val="000000"/>
          <w:sz w:val="24"/>
        </w:rPr>
        <w:t xml:space="preserve">采购代理机构</w:t>
      </w:r>
      <w:r>
        <w:rPr>
          <w:rFonts w:ascii="宋体" w:hAnsi="宋体" w:cs="宋体"/>
          <w:color w:val="000000"/>
          <w:sz w:val="24"/>
        </w:rPr>
        <w:t xml:space="preserve">在招标公告中规定的时间和地点组织公开开标。投标人按照《操作手册》规定参加开标活动，并在苏采云系统规定的时间内对投标文件进行解密。苏采云系统公布各投标人名称和投标价格。</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投标人在开标过程中涉及到的投标文件解密、开标结果确认等工作，应按照《操作手册》规定执行。</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投标人如果对开标过程和开标结果有疑义，应当根据《操作手册》规定提出，苏采云系统中《开标记录表》公布后5分钟内未提出的，视同认可开标结果。</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21.评标</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评标由依法组建的评标委员会（以下简称“评委会”）进行。</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 评委会由采购人代表和有关技术、经济或法律等方面的专家组成，且人员构成符合政府采购有关规定。</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 评委会独立工作，负责评审所有投标文件并推荐中标候选人，或根据采购人授权直接确定中标人。</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22.评标过程的保密与公正</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 凡是与审查、澄清、评价和比较投标的有关资料以及授标建议等，采购人、评委、</w:t>
      </w:r>
      <w:r>
        <w:rPr>
          <w:rFonts w:hint="eastAsia" w:ascii="宋体" w:hAnsi="宋体" w:cs="宋体"/>
          <w:color w:val="000000"/>
          <w:sz w:val="24"/>
        </w:rPr>
        <w:t xml:space="preserve">采购代理机构</w:t>
      </w:r>
      <w:r>
        <w:rPr>
          <w:rFonts w:ascii="宋体" w:hAnsi="宋体" w:cs="宋体"/>
          <w:color w:val="000000"/>
          <w:sz w:val="24"/>
        </w:rPr>
        <w:t xml:space="preserve">均不得向投标人或与评标无关的其他人员透露。</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 投标人不得以任何方式影响评标，否则其投标文件将被作为无效投标文件。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w:t>
      </w:r>
      <w:r>
        <w:rPr>
          <w:rFonts w:hint="eastAsia" w:ascii="宋体" w:hAnsi="宋体" w:cs="宋体"/>
          <w:color w:val="000000"/>
          <w:sz w:val="24"/>
        </w:rPr>
        <w:t xml:space="preserve">采购代理机构</w:t>
      </w:r>
      <w:r>
        <w:rPr>
          <w:rFonts w:ascii="宋体" w:hAnsi="宋体" w:cs="宋体"/>
          <w:color w:val="000000"/>
          <w:sz w:val="24"/>
        </w:rPr>
        <w:t xml:space="preserve">和评委会不向未中标的投标人解释未中标原因，也不公布评标过程中的相关细节。</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采用综合评分法的项目，未中标的投标人可于中标结果公告期限届满之日起通过苏采云系统查看本单位的评审得分及排名情况。</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23.投标文件的澄清</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 评标期间，评委会对投标文件中含义不明确、同类问题表述不一致或者有明显文字和计算错误的内容，有权要求投标人作出必要的澄清、说明或者补正。</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评委会并非对每个投标人都做澄清要求。</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接到评委会澄清、说明和补正要求的，投标人如未按规定作出澄清、说明和补正，其风险由投标人自行承担。</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24.投标文件的审查</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 投标文件审查分为资格审查和符合性审查。</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资格审查。依据法律法规和招标文件规定，由采购人对投标文件中的资格证明文件进行审查，并向评委会反馈审查结论。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采购人进行资格审查时，将在“信用中国”网站（www.creditchina.gov.cn）查询投标人的信用记录，以确定投标人是否具备投标资格，查询结果留存并归档。</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接受联合体的项目，联合体成员存在不良信用记录的，视同联合体存在不良信用记录。</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符合性审查。依据招标文件的规定，由评委会从有效性、完整性和对招标文件的响应程度等方面对投标文件进行审查，以确定是否对招标文件的实质性要求作出响应。</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w:t>
      </w:r>
      <w:r>
        <w:rPr>
          <w:rFonts w:hint="eastAsia" w:ascii="宋体" w:hAnsi="宋体" w:cs="宋体"/>
          <w:color w:val="000000"/>
          <w:sz w:val="24"/>
        </w:rPr>
        <w:t xml:space="preserve">采购代理机构</w:t>
      </w:r>
      <w:r>
        <w:rPr>
          <w:rFonts w:ascii="宋体" w:hAnsi="宋体" w:cs="宋体"/>
          <w:color w:val="000000"/>
          <w:sz w:val="24"/>
        </w:rPr>
        <w:t xml:space="preserve">将通过苏采云系统告知其具体原因，评标结束后不再接受有关询问。</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如果投标文件实质上没有响应招标文件的要求，评委会将予以拒绝，投标人不得通过修改或撤销不合要求的偏离或保留而使其投标成为实质性响应的投标。</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 评委会将对确定为实质性响应的投标进行进一步审核，确定其是否有计算上或累加上的算术错误。修正错误的原则如下：</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rPr>
          <w:color w:val="000000"/>
        </w:rPr>
      </w:r>
      <w:r/>
    </w:p>
    <w:p>
      <w:pPr>
        <w:pStyle w:val="802"/>
        <w:ind w:firstLine="420"/>
        <w:pageBreakBefore w:val="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 投标人在开、评标全过程中应保持通讯畅通，及时登录苏采云系统查阅、答复相关信息，并安排专人与</w:t>
      </w:r>
      <w:r>
        <w:rPr>
          <w:rFonts w:hint="eastAsia" w:ascii="宋体" w:hAnsi="宋体" w:cs="宋体"/>
          <w:color w:val="000000"/>
          <w:sz w:val="24"/>
        </w:rPr>
        <w:t xml:space="preserve">采购代理机构</w:t>
      </w:r>
      <w:r>
        <w:rPr>
          <w:rFonts w:ascii="宋体" w:hAnsi="宋体" w:cs="宋体"/>
          <w:color w:val="000000"/>
          <w:sz w:val="24"/>
        </w:rPr>
        <w:t xml:space="preserve">及评委会联系。</w:t>
      </w:r>
      <w:r>
        <w:rPr>
          <w:rFonts w:ascii="宋体" w:hAnsi="宋体" w:cs="宋体"/>
          <w:color w:val="000000"/>
          <w:sz w:val="24"/>
        </w:rPr>
      </w:r>
      <w:r/>
    </w:p>
    <w:p>
      <w:pPr>
        <w:pStyle w:val="802"/>
        <w:ind w:firstLine="420"/>
        <w:pageBreakBefore w:val="0"/>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24.7 </w:t>
      </w:r>
      <w:r>
        <w:rPr>
          <w:rFonts w:hint="eastAsia" w:ascii="宋体" w:hAnsi="宋体" w:eastAsia="宋体" w:cs="宋体"/>
          <w:b/>
          <w:bCs/>
          <w:color w:val="000000"/>
          <w:sz w:val="24"/>
        </w:rPr>
        <w:t xml:space="preserve">评审过程中出现下列情形之一的，评审委员会应当启动异常低价投标（响应）审查程序： </w:t>
      </w:r>
      <w:r>
        <w:rPr>
          <w:rFonts w:hint="eastAsia" w:ascii="宋体" w:hAnsi="宋体" w:eastAsia="宋体" w:cs="宋体"/>
          <w:b/>
          <w:bCs/>
          <w:color w:val="000000"/>
          <w:sz w:val="24"/>
        </w:rPr>
      </w:r>
      <w:r/>
    </w:p>
    <w:p>
      <w:pPr>
        <w:pStyle w:val="802"/>
        <w:ind w:firstLine="420"/>
        <w:pageBreakBefore w:val="0"/>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24.7.1</w:t>
      </w:r>
      <w:r>
        <w:rPr>
          <w:rFonts w:hint="eastAsia" w:ascii="宋体" w:hAnsi="宋体" w:eastAsia="宋体" w:cs="宋体"/>
          <w:b/>
          <w:bCs/>
          <w:color w:val="000000"/>
          <w:sz w:val="24"/>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
          <w:bCs/>
          <w:color w:val="000000"/>
          <w:sz w:val="24"/>
        </w:rPr>
      </w:r>
      <w:r/>
    </w:p>
    <w:p>
      <w:pPr>
        <w:pStyle w:val="802"/>
        <w:ind w:firstLine="420"/>
        <w:pageBreakBefore w:val="0"/>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24.7.</w:t>
      </w:r>
      <w:r>
        <w:rPr>
          <w:rFonts w:hint="eastAsia" w:ascii="宋体" w:hAnsi="宋体" w:eastAsia="宋体" w:cs="宋体"/>
          <w:b/>
          <w:bCs/>
          <w:color w:val="000000"/>
          <w:sz w:val="24"/>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bCs/>
          <w:color w:val="000000"/>
          <w:sz w:val="24"/>
        </w:rPr>
      </w:r>
      <w:r/>
    </w:p>
    <w:p>
      <w:pPr>
        <w:pStyle w:val="802"/>
        <w:ind w:firstLine="420"/>
        <w:pageBreakBefore w:val="0"/>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24.7.</w:t>
      </w:r>
      <w:r>
        <w:rPr>
          <w:rFonts w:hint="eastAsia" w:ascii="宋体" w:hAnsi="宋体" w:eastAsia="宋体" w:cs="宋体"/>
          <w:b/>
          <w:bCs/>
          <w:color w:val="000000"/>
          <w:sz w:val="24"/>
        </w:rPr>
        <w:t xml:space="preserve">3投标（响应）报价低于采购项目最高限价45%的，即投标（响应）报价&lt;采购项目最高限价×45%；</w:t>
      </w:r>
      <w:r>
        <w:rPr>
          <w:rFonts w:hint="eastAsia" w:ascii="宋体" w:hAnsi="宋体" w:eastAsia="宋体" w:cs="宋体"/>
          <w:b/>
          <w:bCs/>
          <w:color w:val="000000"/>
          <w:sz w:val="24"/>
        </w:rPr>
      </w:r>
      <w:r/>
    </w:p>
    <w:p>
      <w:pPr>
        <w:pStyle w:val="802"/>
        <w:ind w:firstLine="420"/>
        <w:pageBreakBefore w:val="0"/>
        <w:spacing w:line="36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24.7.</w:t>
      </w:r>
      <w:r>
        <w:rPr>
          <w:rFonts w:hint="eastAsia" w:ascii="宋体" w:hAnsi="宋体" w:eastAsia="宋体" w:cs="宋体"/>
          <w:b/>
          <w:bCs/>
          <w:color w:val="000000"/>
          <w:sz w:val="24"/>
        </w:rPr>
        <w:t xml:space="preserve">4评审委员会基于专业判断，认为供应商报价过低，有可能影响产品质量或者不能诚信履约的其他情形。</w:t>
      </w:r>
      <w:r>
        <w:rPr>
          <w:rFonts w:hint="eastAsia" w:ascii="宋体" w:hAnsi="宋体" w:eastAsia="宋体" w:cs="宋体"/>
          <w:b/>
          <w:bCs/>
          <w:color w:val="000000"/>
          <w:sz w:val="24"/>
        </w:rPr>
      </w:r>
      <w:r/>
    </w:p>
    <w:p>
      <w:pPr>
        <w:pStyle w:val="802"/>
        <w:ind w:firstLine="420"/>
        <w:pageBreakBefore w:val="0"/>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 应当在评审报告中进行记录。</w:t>
      </w:r>
      <w:r>
        <w:rPr>
          <w:rFonts w:ascii="宋体" w:hAnsi="宋体" w:eastAsia="宋体" w:cs="宋体"/>
          <w:b/>
          <w:bCs/>
          <w:color w:val="000000"/>
          <w:sz w:val="24"/>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25.无效投标和废标</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 无效投标情形</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同一投标人提交两个（含两个）以上不同的投标报价。</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 投标人不具备招标文件中规定资格要求。</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 投标人的报价超过了采购预算或最高限价。</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 未通过符合性审查。</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25.1.7 不符合招标文件中实质性要求和条件（</w:t>
      </w:r>
      <w:r>
        <w:rPr>
          <w:rFonts w:ascii="宋体" w:hAnsi="宋体" w:cs="宋体"/>
          <w:b/>
          <w:color w:val="000000"/>
          <w:sz w:val="24"/>
        </w:rPr>
        <w:t xml:space="preserve">本文件中斜体且有下划线部分，或者打“★”内容为实质性要求和条件</w:t>
      </w:r>
      <w:r>
        <w:rPr>
          <w:rFonts w:ascii="宋体" w:hAnsi="宋体" w:cs="宋体"/>
          <w:color w:val="000000"/>
          <w:sz w:val="24"/>
        </w:rPr>
        <w:t xml:space="preserve">）。</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采购产品被财政部、国家发改委、生态环境部等列入“节能产品品目清单”强制采购范围，而投标人提供的产品不在强制采购范围内。</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 投标文件未按照招标文件要求加盖电子公章。</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25.1.13 法律法规及本招标文件规定的其他无效投标情形。</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 废标情形</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 符合资格条件的供应商或者对招标文件作实质响应的供应商不足三家。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 出现影响采购公正的违法、违规行为。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 因重大变故采购任务取消。</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 评委会认定招标文件存在歧义、重大缺陷导致评审工作无法进行。</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因苏采云系统故障造成开标不成功。</w:t>
      </w:r>
      <w:r>
        <w:rPr>
          <w:color w:val="000000"/>
        </w:rPr>
      </w:r>
      <w:r/>
    </w:p>
    <w:p>
      <w:pPr>
        <w:pStyle w:val="802"/>
        <w:ind w:firstLine="420"/>
        <w:pageBreakBefore w:val="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如出现投标截止时间后参加投标的供应商或者对招标文件作出实质性响应的供应商不足三家的情况，按政府采购相关规定执行。</w:t>
      </w:r>
      <w:r>
        <w:rPr>
          <w:rFonts w:ascii="宋体" w:hAnsi="宋体" w:cs="宋体"/>
          <w:color w:val="000000"/>
          <w:sz w:val="24"/>
        </w:rPr>
      </w:r>
      <w:r/>
    </w:p>
    <w:p>
      <w:pPr>
        <w:pStyle w:val="802"/>
        <w:ind w:firstLine="420"/>
        <w:pageBreakBefore w:val="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zh-CN"/>
        </w:rPr>
        <w:t xml:space="preserve">25.4 如出现25.2.1或25.3情形，招标活动失败，评审委员会</w:t>
      </w:r>
      <w:r>
        <w:rPr>
          <w:rFonts w:hint="eastAsia" w:ascii="宋体" w:hAnsi="宋体" w:cs="宋体"/>
          <w:color w:val="000000"/>
          <w:sz w:val="24"/>
        </w:rPr>
        <w:t xml:space="preserve">应对</w:t>
      </w:r>
      <w:r>
        <w:rPr>
          <w:rFonts w:hint="eastAsia" w:ascii="宋体" w:hAnsi="宋体" w:cs="宋体"/>
          <w:color w:val="000000"/>
          <w:sz w:val="24"/>
          <w:lang w:val="zh-CN"/>
        </w:rPr>
        <w:t xml:space="preserve">招标文件是否存在不合理条款</w:t>
      </w:r>
      <w:r>
        <w:rPr>
          <w:rFonts w:hint="eastAsia" w:ascii="宋体" w:hAnsi="宋体" w:cs="宋体"/>
          <w:color w:val="000000"/>
          <w:sz w:val="24"/>
        </w:rPr>
        <w:t xml:space="preserve">进行论证，并在评审报告中写明</w:t>
      </w:r>
      <w:r>
        <w:rPr>
          <w:rFonts w:hint="eastAsia" w:ascii="宋体" w:hAnsi="宋体" w:cs="宋体"/>
          <w:color w:val="000000"/>
          <w:sz w:val="24"/>
          <w:lang w:val="zh-CN"/>
        </w:rPr>
        <w:t xml:space="preserve">论证意见。</w:t>
      </w:r>
      <w:r>
        <w:rPr>
          <w:rFonts w:ascii="宋体" w:hAnsi="宋体" w:cs="宋体"/>
          <w:color w:val="000000"/>
          <w:sz w:val="24"/>
        </w:rPr>
      </w:r>
      <w:r/>
    </w:p>
    <w:p>
      <w:pPr>
        <w:pStyle w:val="805"/>
        <w:ind w:firstLine="465"/>
        <w:pageBreakBefore w:val="0"/>
        <w:spacing w:before="145" w:after="145" w:line="360" w:lineRule="auto"/>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六、定标</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26.确定中标单位</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 中标候选人的确定原则和数量见招标文件第五章。 </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按以下第（</w:t>
      </w:r>
      <w:r>
        <w:rPr>
          <w:rFonts w:hint="eastAsia" w:ascii="宋体" w:hAnsi="宋体" w:cs="宋体"/>
          <w:color w:val="000000"/>
          <w:sz w:val="24"/>
        </w:rPr>
        <w:t xml:space="preserve">2</w:t>
      </w:r>
      <w:r>
        <w:rPr>
          <w:rFonts w:ascii="宋体" w:hAnsi="宋体" w:cs="宋体"/>
          <w:color w:val="000000"/>
          <w:sz w:val="24"/>
        </w:rPr>
        <w:t xml:space="preserve">）种方式确定中标人：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（1）评委会直接确定排名第一的中标候选人为中标人；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（2）采购人在评委会推荐的中标候选人中按顺序确定中标人。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按第二种方式确定中标人的，</w:t>
      </w:r>
      <w:r>
        <w:rPr>
          <w:rFonts w:hint="eastAsia" w:ascii="宋体" w:hAnsi="宋体" w:cs="宋体"/>
          <w:color w:val="000000"/>
          <w:sz w:val="24"/>
        </w:rPr>
        <w:t xml:space="preserve">采购代理机构</w:t>
      </w:r>
      <w:r>
        <w:rPr>
          <w:rFonts w:ascii="宋体" w:hAnsi="宋体" w:cs="宋体"/>
          <w:color w:val="000000"/>
          <w:sz w:val="24"/>
        </w:rPr>
        <w:t xml:space="preserve">自评审结束之日起两个工作日内将评审报告送达采购人，采购人自收到评审报告之日起五个工作日内，在评审报告推荐的中标候选人中按顺序确定中标人。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w:t>
      </w:r>
      <w:r>
        <w:rPr>
          <w:rFonts w:hint="eastAsia" w:ascii="宋体" w:hAnsi="宋体" w:cs="宋体"/>
          <w:color w:val="000000"/>
          <w:sz w:val="24"/>
        </w:rPr>
        <w:t xml:space="preserve">采购代理机构</w:t>
      </w:r>
      <w:r>
        <w:rPr>
          <w:rFonts w:ascii="宋体" w:hAnsi="宋体" w:cs="宋体"/>
          <w:color w:val="000000"/>
          <w:sz w:val="24"/>
        </w:rPr>
        <w:t xml:space="preserve">将在“江苏政府采购网”发布中标公告，公告期限为1个工作日。</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w:t>
      </w:r>
      <w:r>
        <w:rPr>
          <w:rFonts w:ascii="宋体" w:hAnsi="宋体" w:cs="宋体"/>
          <w:b/>
          <w:color w:val="000000"/>
          <w:sz w:val="24"/>
        </w:rPr>
        <w:t xml:space="preserve">若有充分证据证明中标人有下列情况之一的，一经查实将被取消中标资格：</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 提供虚假材料谋取中标。</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 向评审专家、采购人或</w:t>
      </w:r>
      <w:r>
        <w:rPr>
          <w:rFonts w:hint="eastAsia" w:ascii="宋体" w:hAnsi="宋体" w:cs="宋体"/>
          <w:color w:val="000000"/>
          <w:sz w:val="24"/>
        </w:rPr>
        <w:t xml:space="preserve">采购代理机构</w:t>
      </w:r>
      <w:r>
        <w:rPr>
          <w:rFonts w:ascii="宋体" w:hAnsi="宋体" w:cs="宋体"/>
          <w:color w:val="000000"/>
          <w:sz w:val="24"/>
        </w:rPr>
        <w:t xml:space="preserve">工作人员行贿或者提供其他不正当利益。</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 与其他供应商、评审专家、采购人或</w:t>
      </w:r>
      <w:r>
        <w:rPr>
          <w:rFonts w:hint="eastAsia" w:ascii="宋体" w:hAnsi="宋体" w:cs="宋体"/>
          <w:color w:val="000000"/>
          <w:sz w:val="24"/>
        </w:rPr>
        <w:t xml:space="preserve">采购代理机构</w:t>
      </w:r>
      <w:r>
        <w:rPr>
          <w:rFonts w:ascii="宋体" w:hAnsi="宋体" w:cs="宋体"/>
          <w:color w:val="000000"/>
          <w:sz w:val="24"/>
        </w:rPr>
        <w:t xml:space="preserve">工作人员恶意串通。</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 属于本文件规定的无效投标情形，但在评标过程中未被评委会发现。</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 采取不正当手段诋毁、排挤其他供应商。</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w:t>
      </w:r>
      <w:r>
        <w:rPr>
          <w:rFonts w:ascii="宋体" w:hAnsi="宋体" w:cs="宋体"/>
          <w:b/>
          <w:color w:val="000000"/>
          <w:sz w:val="24"/>
        </w:rPr>
        <w:t xml:space="preserve">有下列情形之一的视为投标人串通投标，投标无效：</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 不同投标人的投标文件由同一单位或者个人编制。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 不同投标人委托同一单位或者个人办理投标事宜。</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 不同投标人的投标文件异常一致或者投标报价呈规律性差异。</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27.中标通知书</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27.l 中标结果确定后，</w:t>
      </w:r>
      <w:r>
        <w:rPr>
          <w:rFonts w:hint="eastAsia" w:ascii="宋体" w:hAnsi="宋体" w:cs="宋体"/>
          <w:color w:val="000000"/>
          <w:sz w:val="24"/>
        </w:rPr>
        <w:t xml:space="preserve">采购代理机构</w:t>
      </w:r>
      <w:r>
        <w:rPr>
          <w:rFonts w:ascii="宋体" w:hAnsi="宋体" w:cs="宋体"/>
          <w:color w:val="000000"/>
          <w:sz w:val="24"/>
        </w:rPr>
        <w:t xml:space="preserve">将向中标人发出《中标通知书》。中标人可在中标结果公告届满之日起三十日内，登录苏采云系统下载。</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因系统存储空间有限，中标结果公告届满之日起三十日后，苏采云系统不再保证提供下载《中标通知书》服务，因未及时下载而造成的不利后果由中标人自行承担。</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《中标通知书》是合同的一个组成部分，对采购人和中标人均具有法律效力。《中标通知书》发出后，采购人改变中标结果或者中标人放弃中标项目的，应当依法承担法律责任。</w:t>
      </w:r>
      <w:r>
        <w:rPr>
          <w:color w:val="000000"/>
        </w:rPr>
      </w:r>
      <w:r/>
    </w:p>
    <w:p>
      <w:pPr>
        <w:pStyle w:val="805"/>
        <w:ind w:firstLine="465"/>
        <w:pageBreakBefore w:val="0"/>
        <w:spacing w:before="145" w:after="145" w:line="360" w:lineRule="auto"/>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xml:space="preserve">七、授予合同</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28.签订合同</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 中标人应当在《中标通知书》发出之日起三十日内，按照招标文件确定的事项与采购人签订政府采购合同。采购人于合同签订后2个工作日内通过苏采云系统进行公示。</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 招标文件、中标人的投标文件及招标过程中有关澄清、承诺文件均作为合同附件。</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 中标人因自身原因拒绝与采购人签订合同的，不得参加采购人重新组织的采购活动</w:t>
      </w:r>
      <w:r>
        <w:rPr>
          <w:rFonts w:ascii="宋体" w:hAnsi="宋体" w:cs="宋体"/>
          <w:color w:val="000000"/>
          <w:sz w:val="22"/>
        </w:rPr>
        <w:t xml:space="preserve">，</w:t>
      </w:r>
      <w:r>
        <w:rPr>
          <w:rFonts w:ascii="宋体" w:hAnsi="宋体" w:cs="宋体"/>
          <w:color w:val="000000"/>
          <w:sz w:val="24"/>
        </w:rPr>
        <w:t xml:space="preserve">且将可能被拒绝参加该采购人一年内的其他政府采购活动。</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805"/>
        <w:ind w:firstLine="465"/>
        <w:pageBreakBefore w:val="0"/>
        <w:spacing w:before="145" w:after="145" w:line="360" w:lineRule="auto"/>
        <w:rPr>
          <w:rFonts w:ascii="黑体" w:hAnsi="黑体" w:eastAsia="黑体" w:cs="黑体"/>
          <w:color w:val="00000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rPr>
        <w:t xml:space="preserve">八、质疑</w:t>
      </w:r>
      <w:r>
        <w:rPr>
          <w:rFonts w:ascii="黑体" w:hAnsi="黑体" w:eastAsia="黑体" w:cs="黑体"/>
          <w:color w:val="000000"/>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w:t>
      </w:r>
      <w:r>
        <w:rPr>
          <w:rFonts w:hint="eastAsia" w:ascii="宋体" w:hAnsi="宋体" w:cs="宋体"/>
          <w:color w:val="000000"/>
          <w:sz w:val="24"/>
          <w:lang w:val="zh-CN"/>
        </w:rPr>
        <w:t xml:space="preserve">提出质疑的供应商应当是参与所质疑项目采购活动的供应商，潜在供应商依法获取其可质疑的采购文件的，可以对采购文件提出质疑。</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w:t>
      </w:r>
      <w:r>
        <w:rPr>
          <w:rFonts w:hint="eastAsia" w:ascii="宋体" w:hAnsi="宋体" w:cs="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000000"/>
          <w:sz w:val="24"/>
        </w:rPr>
        <w:t xml:space="preserve">按照第3</w:t>
      </w:r>
      <w:r>
        <w:rPr>
          <w:rFonts w:hint="eastAsia" w:ascii="宋体" w:hAnsi="宋体" w:cs="宋体"/>
          <w:color w:val="000000"/>
          <w:sz w:val="24"/>
          <w:lang w:val="zh-CN"/>
        </w:rPr>
        <w:t xml:space="preserve">4</w:t>
      </w:r>
      <w:r>
        <w:rPr>
          <w:rFonts w:hint="eastAsia" w:ascii="宋体" w:hAnsi="宋体" w:cs="宋体"/>
          <w:color w:val="000000"/>
          <w:sz w:val="24"/>
        </w:rPr>
        <w:t xml:space="preserve">条</w:t>
      </w:r>
      <w:r>
        <w:rPr>
          <w:rFonts w:hint="eastAsia" w:ascii="宋体" w:hAnsi="宋体" w:cs="宋体"/>
          <w:color w:val="000000"/>
          <w:sz w:val="24"/>
          <w:lang w:val="zh-CN"/>
        </w:rPr>
        <w:t xml:space="preserve">、</w:t>
      </w:r>
      <w:r>
        <w:rPr>
          <w:rFonts w:hint="eastAsia" w:ascii="宋体" w:hAnsi="宋体" w:cs="宋体"/>
          <w:color w:val="000000"/>
          <w:sz w:val="24"/>
        </w:rPr>
        <w:t xml:space="preserve">第35</w:t>
      </w:r>
      <w:r>
        <w:rPr>
          <w:rFonts w:hint="eastAsia" w:ascii="宋体" w:hAnsi="宋体" w:cs="宋体"/>
          <w:color w:val="000000"/>
          <w:sz w:val="24"/>
          <w:lang w:val="zh-CN"/>
        </w:rPr>
        <w:t xml:space="preserve">条</w:t>
      </w:r>
      <w:r>
        <w:rPr>
          <w:rFonts w:hint="eastAsia" w:ascii="宋体" w:hAnsi="宋体" w:cs="宋体"/>
          <w:color w:val="000000"/>
          <w:sz w:val="24"/>
        </w:rPr>
        <w:t xml:space="preserve">之</w:t>
      </w:r>
      <w:r>
        <w:rPr>
          <w:rFonts w:hint="eastAsia" w:ascii="宋体" w:hAnsi="宋体" w:cs="宋体"/>
          <w:color w:val="000000"/>
          <w:sz w:val="24"/>
          <w:lang w:val="zh-CN"/>
        </w:rPr>
        <w:t xml:space="preserve">规定以书面形式向采购人或采购代理机构提出质疑。</w:t>
      </w:r>
      <w:r>
        <w:rPr>
          <w:rFonts w:hint="eastAsia" w:ascii="宋体" w:hAnsi="宋体" w:cs="宋体"/>
          <w:b/>
          <w:bCs/>
          <w:color w:val="000000"/>
          <w:sz w:val="24"/>
          <w:lang w:val="zh-CN"/>
        </w:rPr>
        <w:t xml:space="preserve">上述应知其权益受到损害之日是指：</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1</w:t>
      </w:r>
      <w:r>
        <w:rPr>
          <w:rFonts w:hint="eastAsia" w:ascii="宋体" w:hAnsi="宋体" w:cs="宋体"/>
          <w:color w:val="000000"/>
          <w:sz w:val="24"/>
          <w:lang w:val="zh-CN"/>
        </w:rPr>
        <w:t xml:space="preserve">.1 对采购文件提出质疑的，为收到采购文件之日或者采购文件公告期限届满之日。</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1</w:t>
      </w:r>
      <w:r>
        <w:rPr>
          <w:rFonts w:hint="eastAsia" w:ascii="宋体" w:hAnsi="宋体" w:cs="宋体"/>
          <w:color w:val="000000"/>
          <w:sz w:val="24"/>
          <w:lang w:val="zh-CN"/>
        </w:rPr>
        <w:t xml:space="preserve">.2 对采购过程提出质疑的，为各采购程序环节结束之日。</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1</w:t>
      </w:r>
      <w:r>
        <w:rPr>
          <w:rFonts w:hint="eastAsia" w:ascii="宋体" w:hAnsi="宋体" w:cs="宋体"/>
          <w:color w:val="000000"/>
          <w:sz w:val="24"/>
          <w:lang w:val="zh-CN"/>
        </w:rPr>
        <w:t xml:space="preserve">.3 对中标或者成交结果提出质疑的，为中标或者成交结果公告期限届满之日。</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ascii="宋体" w:hAnsi="宋体" w:cs="宋体"/>
          <w:color w:val="000000"/>
          <w:sz w:val="24"/>
          <w:lang w:val="zh-CN"/>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cs="宋体"/>
          <w:color w:val="000000"/>
          <w:sz w:val="24"/>
          <w:lang w:val="zh-CN"/>
        </w:rPr>
        <w:t xml:space="preserve">供应商提出质疑应提交《质疑函》原件，且尽可能通过邮寄方式送达，采购代理机构和采购人不接受无运单的快件。《质疑函》应按照本招标文件中《质疑函范本》</w:t>
      </w:r>
      <w:r>
        <w:rPr>
          <w:rFonts w:hint="eastAsia" w:ascii="宋体" w:hAnsi="宋体" w:cs="宋体"/>
          <w:color w:val="000000"/>
          <w:sz w:val="24"/>
        </w:rPr>
        <w:t xml:space="preserve">的</w:t>
      </w:r>
      <w:r>
        <w:rPr>
          <w:rFonts w:hint="eastAsia" w:ascii="宋体" w:hAnsi="宋体" w:cs="宋体"/>
          <w:color w:val="000000"/>
          <w:sz w:val="24"/>
          <w:lang w:val="zh-CN"/>
        </w:rPr>
        <w:t xml:space="preserve">格式和内容填写。</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34.</w:t>
      </w:r>
      <w:r>
        <w:rPr>
          <w:rFonts w:hint="eastAsia" w:ascii="宋体" w:hAnsi="宋体" w:cs="宋体"/>
          <w:color w:val="000000"/>
          <w:sz w:val="24"/>
          <w:lang w:val="zh-CN"/>
        </w:rPr>
        <w:t xml:space="preserve">供应商如组成联合体参加采购活动，《质疑函范本》中要求加盖公章之处，联合体各方均须按要求加盖公章。</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zh-CN"/>
        </w:rPr>
        <w:t xml:space="preserve">35.采购人</w:t>
      </w:r>
      <w:r>
        <w:rPr>
          <w:rFonts w:hint="eastAsia" w:ascii="宋体" w:hAnsi="宋体" w:cs="宋体"/>
          <w:b/>
          <w:bCs/>
          <w:color w:val="000000"/>
          <w:sz w:val="24"/>
        </w:rPr>
        <w:t xml:space="preserve">及采购代理机构</w:t>
      </w:r>
      <w:r>
        <w:rPr>
          <w:rFonts w:hint="eastAsia" w:ascii="宋体" w:hAnsi="宋体" w:cs="宋体"/>
          <w:b/>
          <w:bCs/>
          <w:color w:val="000000"/>
          <w:sz w:val="24"/>
          <w:lang w:val="zh-CN"/>
        </w:rPr>
        <w:t xml:space="preserve">《质疑函》接收人</w:t>
      </w:r>
      <w:r>
        <w:rPr>
          <w:rFonts w:hint="eastAsia" w:ascii="宋体" w:hAnsi="宋体" w:cs="宋体"/>
          <w:b/>
          <w:bCs/>
          <w:color w:val="000000"/>
          <w:sz w:val="24"/>
        </w:rPr>
        <w:t xml:space="preserve">和</w:t>
      </w:r>
      <w:r>
        <w:rPr>
          <w:rFonts w:hint="eastAsia" w:ascii="宋体" w:hAnsi="宋体" w:cs="宋体"/>
          <w:b/>
          <w:bCs/>
          <w:color w:val="000000"/>
          <w:sz w:val="24"/>
          <w:lang w:val="zh-CN"/>
        </w:rPr>
        <w:t xml:space="preserve">联系方式见</w:t>
      </w:r>
      <w:r>
        <w:rPr>
          <w:rFonts w:hint="eastAsia" w:ascii="宋体" w:hAnsi="宋体" w:cs="宋体"/>
          <w:b/>
          <w:bCs/>
          <w:color w:val="000000"/>
          <w:sz w:val="24"/>
        </w:rPr>
        <w:t xml:space="preserve">招标</w:t>
      </w:r>
      <w:r>
        <w:rPr>
          <w:rFonts w:hint="eastAsia" w:ascii="宋体" w:hAnsi="宋体" w:cs="宋体"/>
          <w:b/>
          <w:bCs/>
          <w:color w:val="000000"/>
          <w:sz w:val="24"/>
          <w:lang w:val="zh-CN"/>
        </w:rPr>
        <w:t xml:space="preserve">文件第一章。</w:t>
      </w:r>
      <w:r>
        <w:rPr>
          <w:rFonts w:hint="eastAsia" w:ascii="宋体" w:hAnsi="宋体" w:cs="宋体"/>
          <w:color w:val="000000"/>
          <w:sz w:val="24"/>
        </w:rPr>
        <w:t xml:space="preserve"> </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zh-CN"/>
        </w:rPr>
        <w:t xml:space="preserve">6</w:t>
      </w:r>
      <w:r>
        <w:rPr>
          <w:rFonts w:hint="eastAsia" w:ascii="宋体" w:hAnsi="宋体" w:cs="宋体"/>
          <w:color w:val="000000"/>
          <w:sz w:val="24"/>
        </w:rPr>
        <w:t xml:space="preserve">.</w:t>
      </w:r>
      <w:r>
        <w:rPr>
          <w:rFonts w:hint="eastAsia" w:ascii="宋体" w:hAnsi="宋体" w:cs="宋体"/>
          <w:color w:val="000000"/>
          <w:sz w:val="24"/>
          <w:lang w:val="zh-CN"/>
        </w:rPr>
        <w:t xml:space="preserve">以下情形的质疑不予受理：</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zh-CN"/>
        </w:rPr>
        <w:t xml:space="preserve">6.1 内容不符合《政府采购质疑和投诉办法》第十二条规定的质疑。</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zh-CN"/>
        </w:rPr>
        <w:t xml:space="preserve">6.2 超出政府采购法定期限的质疑。</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zh-CN"/>
        </w:rPr>
        <w:t xml:space="preserve">6.3 以传真、电子邮件等方式递交的非原件形式的质疑。</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zh-CN"/>
        </w:rPr>
        <w:t xml:space="preserve">6.4 未参加采购活动或在采购活动中自身权益未受到损害的供应商所提出的质疑。</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zh-CN"/>
        </w:rPr>
        <w:t xml:space="preserve">6.5 供应商组成联合体参加采购活动，联合体中任何一方或多方未按要求签字</w:t>
      </w:r>
      <w:r>
        <w:rPr>
          <w:rFonts w:hint="eastAsia" w:ascii="宋体" w:hAnsi="宋体" w:cs="宋体"/>
          <w:color w:val="000000"/>
          <w:sz w:val="24"/>
        </w:rPr>
        <w:t xml:space="preserve">或签章</w:t>
      </w:r>
      <w:r>
        <w:rPr>
          <w:rFonts w:hint="eastAsia" w:ascii="宋体" w:hAnsi="宋体" w:cs="宋体"/>
          <w:color w:val="000000"/>
          <w:sz w:val="24"/>
          <w:lang w:val="zh-CN"/>
        </w:rPr>
        <w:t xml:space="preserve">、加盖公章的质疑。</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val="zh-CN"/>
        </w:rPr>
        <w:t xml:space="preserve">6.</w:t>
      </w:r>
      <w:r>
        <w:rPr>
          <w:rFonts w:hint="eastAsia" w:ascii="宋体" w:hAnsi="宋体" w:cs="宋体"/>
          <w:color w:val="000000"/>
          <w:sz w:val="24"/>
        </w:rPr>
        <w:t xml:space="preserve">6</w:t>
      </w:r>
      <w:r>
        <w:rPr>
          <w:rFonts w:hint="eastAsia" w:ascii="宋体" w:hAnsi="宋体" w:cs="宋体"/>
          <w:color w:val="000000"/>
          <w:sz w:val="24"/>
          <w:lang w:val="zh-CN"/>
        </w:rPr>
        <w:t xml:space="preserve"> 法律法规规定的</w:t>
      </w:r>
      <w:r>
        <w:rPr>
          <w:rFonts w:hint="eastAsia" w:ascii="宋体" w:hAnsi="宋体" w:cs="宋体"/>
          <w:color w:val="000000"/>
          <w:sz w:val="24"/>
        </w:rPr>
        <w:t xml:space="preserve">其他</w:t>
      </w:r>
      <w:r>
        <w:rPr>
          <w:rFonts w:hint="eastAsia" w:ascii="宋体" w:hAnsi="宋体" w:cs="宋体"/>
          <w:color w:val="000000"/>
          <w:sz w:val="24"/>
          <w:lang w:val="zh-CN"/>
        </w:rPr>
        <w:t xml:space="preserve">不予受理情形。</w:t>
      </w:r>
      <w:r>
        <w:rPr>
          <w:rFonts w:ascii="宋体" w:hAnsi="宋体" w:cs="宋体"/>
          <w:color w:val="000000"/>
          <w:sz w:val="24"/>
          <w:lang w:val="zh-CN"/>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37.</w:t>
      </w:r>
      <w:r>
        <w:rPr>
          <w:rFonts w:hint="eastAsia" w:ascii="宋体" w:hAnsi="宋体" w:cs="宋体"/>
          <w:color w:val="000000"/>
          <w:sz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color w:val="000000"/>
        </w:rPr>
      </w:r>
      <w:r/>
    </w:p>
    <w:p>
      <w:pPr>
        <w:pStyle w:val="1019"/>
        <w:ind w:firstLine="465"/>
        <w:pageBreakBefore w:val="0"/>
        <w:spacing w:before="145" w:after="145" w:line="36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38.促进中小企业发展</w:t>
      </w:r>
      <w:r>
        <w:rPr>
          <w:color w:val="000000"/>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38.1 本项目中的</w:t>
      </w:r>
      <w:r>
        <w:rPr>
          <w:rFonts w:hint="eastAsia" w:ascii="宋体" w:hAnsi="宋体" w:cs="宋体"/>
          <w:color w:val="000000"/>
          <w:sz w:val="24"/>
          <w:lang w:val="zh-CN"/>
        </w:rPr>
        <w:t xml:space="preserve">货物</w:t>
      </w:r>
      <w:r>
        <w:rPr>
          <w:rFonts w:hint="eastAsia" w:ascii="宋体" w:hAnsi="宋体" w:cs="宋体"/>
          <w:color w:val="000000"/>
          <w:sz w:val="24"/>
        </w:rPr>
        <w:t xml:space="preserve">全部</w:t>
      </w:r>
      <w:r>
        <w:rPr>
          <w:rFonts w:hint="eastAsia" w:ascii="宋体" w:hAnsi="宋体" w:cs="宋体"/>
          <w:color w:val="000000"/>
          <w:sz w:val="24"/>
          <w:lang w:val="zh-CN"/>
        </w:rPr>
        <w:t xml:space="preserve">由中小企业制造的，</w:t>
      </w:r>
      <w:r>
        <w:rPr>
          <w:rFonts w:hint="eastAsia" w:ascii="宋体" w:hAnsi="宋体" w:cs="宋体"/>
          <w:color w:val="000000"/>
          <w:sz w:val="24"/>
        </w:rPr>
        <w:t xml:space="preserve">投标供应商</w:t>
      </w:r>
      <w:r>
        <w:rPr>
          <w:rFonts w:hint="eastAsia" w:ascii="宋体" w:hAnsi="宋体" w:cs="宋体"/>
          <w:color w:val="000000"/>
          <w:sz w:val="24"/>
          <w:lang w:val="zh-CN"/>
        </w:rPr>
        <w:t xml:space="preserve">享受中小企业扶持政策。</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38.2 </w:t>
      </w:r>
      <w:r>
        <w:rPr>
          <w:rFonts w:hint="eastAsia" w:ascii="宋体" w:hAnsi="宋体" w:cs="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38.3 </w:t>
      </w:r>
      <w:r>
        <w:rPr>
          <w:rFonts w:hint="eastAsia" w:ascii="宋体" w:hAnsi="宋体" w:cs="宋体"/>
          <w:color w:val="000000"/>
          <w:sz w:val="24"/>
          <w:lang w:val="zh-CN"/>
        </w:rPr>
        <w:t xml:space="preserve">中小企业参加政府采购活动，应当出具《中小企业声明函》，否则不享受相关中小企业</w:t>
      </w:r>
      <w:r>
        <w:rPr>
          <w:rFonts w:hint="eastAsia" w:ascii="宋体" w:hAnsi="宋体" w:cs="宋体"/>
          <w:color w:val="000000"/>
          <w:sz w:val="24"/>
        </w:rPr>
        <w:t xml:space="preserve">支持</w:t>
      </w:r>
      <w:r>
        <w:rPr>
          <w:rFonts w:hint="eastAsia" w:ascii="宋体" w:hAnsi="宋体" w:cs="宋体"/>
          <w:color w:val="000000"/>
          <w:sz w:val="24"/>
          <w:lang w:val="zh-CN"/>
        </w:rPr>
        <w:t xml:space="preserve">政策。</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38.4 </w:t>
      </w:r>
      <w:r>
        <w:rPr>
          <w:rFonts w:hint="eastAsia" w:ascii="宋体" w:hAnsi="宋体" w:cs="宋体"/>
          <w:color w:val="000000"/>
          <w:sz w:val="24"/>
          <w:lang w:val="zh-CN"/>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lang w:val="zh-CN"/>
        </w:rPr>
      </w:r>
      <w:r/>
    </w:p>
    <w:p>
      <w:pPr>
        <w:pStyle w:val="802"/>
        <w:ind w:firstLine="420"/>
        <w:pageBreakBefore w:val="0"/>
        <w:spacing w:line="360" w:lineRule="auto"/>
        <w:rPr>
          <w:rFonts w:ascii="宋体" w:hAnsi="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zh-CN"/>
        </w:rPr>
        <w:t xml:space="preserve">3</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 </w:t>
      </w:r>
      <w:r>
        <w:rPr>
          <w:rFonts w:hint="eastAsia" w:ascii="宋体" w:hAnsi="宋体" w:cs="宋体"/>
          <w:color w:val="000000"/>
          <w:sz w:val="24"/>
        </w:rPr>
        <w:t xml:space="preserve">监狱和戒毒企业（简称监狱企业）视同小型、微型企业</w:t>
      </w:r>
      <w:r>
        <w:rPr>
          <w:rFonts w:hint="eastAsia" w:ascii="宋体" w:hAnsi="宋体" w:cs="宋体"/>
          <w:color w:val="000000"/>
          <w:sz w:val="24"/>
          <w:lang w:val="zh-CN"/>
        </w:rPr>
        <w:t xml:space="preserve">。</w:t>
      </w:r>
      <w:r>
        <w:rPr>
          <w:rFonts w:hint="eastAsia" w:ascii="宋体" w:hAnsi="宋体" w:cs="宋体"/>
          <w:color w:val="000000"/>
          <w:sz w:val="24"/>
        </w:rPr>
        <w:t xml:space="preserve">按照</w:t>
      </w:r>
      <w:r>
        <w:rPr>
          <w:rFonts w:hint="eastAsia" w:ascii="宋体" w:hAnsi="宋体" w:cs="宋体"/>
          <w:color w:val="000000"/>
          <w:sz w:val="24"/>
          <w:lang w:val="zh-CN"/>
        </w:rPr>
        <w:t xml:space="preserve">《关于政府采购支持监狱企业发展有关问题的通知》（财库〔2014〕68号）</w:t>
      </w:r>
      <w:r>
        <w:rPr>
          <w:rFonts w:hint="eastAsia" w:ascii="宋体" w:hAnsi="宋体" w:cs="宋体"/>
          <w:color w:val="000000"/>
          <w:sz w:val="24"/>
        </w:rPr>
        <w:t xml:space="preserve">规定，</w:t>
      </w:r>
      <w:r>
        <w:rPr>
          <w:rFonts w:hint="eastAsia" w:ascii="宋体" w:hAnsi="宋体" w:cs="宋体"/>
          <w:color w:val="000000"/>
          <w:sz w:val="24"/>
          <w:lang w:val="zh-CN"/>
        </w:rPr>
        <w:t xml:space="preserve">监狱企业需提供由省级以上监狱管理局、戒毒管理局(含新疆生产建设兵团)出具的属于监狱企业的证明文件。</w:t>
      </w:r>
      <w:r>
        <w:rPr>
          <w:rFonts w:ascii="宋体" w:hAnsi="宋体" w:cs="宋体"/>
          <w:color w:val="000000"/>
          <w:sz w:val="24"/>
          <w:lang w:val="zh-CN"/>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zh-CN"/>
        </w:rPr>
        <w:t xml:space="preserve">3</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color w:val="000000"/>
          <w:sz w:val="24"/>
        </w:rPr>
        <w:t xml:space="preserve">6</w:t>
      </w:r>
      <w:r>
        <w:rPr>
          <w:rFonts w:hint="eastAsia" w:ascii="宋体" w:hAnsi="宋体" w:cs="宋体"/>
          <w:color w:val="000000"/>
          <w:sz w:val="24"/>
          <w:lang w:val="zh-CN"/>
        </w:rPr>
        <w:t xml:space="preserve"> 残疾人福利性单位</w:t>
      </w:r>
      <w:r>
        <w:rPr>
          <w:rFonts w:hint="eastAsia" w:ascii="宋体" w:hAnsi="宋体" w:cs="宋体"/>
          <w:color w:val="000000"/>
          <w:sz w:val="24"/>
        </w:rPr>
        <w:t xml:space="preserve">视同小型、微型企业</w:t>
      </w:r>
      <w:r>
        <w:rPr>
          <w:rFonts w:hint="eastAsia" w:ascii="宋体" w:hAnsi="宋体" w:cs="宋体"/>
          <w:color w:val="000000"/>
          <w:sz w:val="24"/>
          <w:lang w:val="zh-CN"/>
        </w:rPr>
        <w:t xml:space="preserve">。</w:t>
      </w:r>
      <w:r>
        <w:rPr>
          <w:rFonts w:hint="eastAsia" w:ascii="宋体" w:hAnsi="宋体" w:cs="宋体"/>
          <w:color w:val="000000"/>
          <w:sz w:val="24"/>
        </w:rPr>
        <w:t xml:space="preserve">按照《关于促进残疾人就业政府采购政策的通知》（财库〔2017〕141号）规定，残疾人福利单位需</w:t>
      </w:r>
      <w:r>
        <w:rPr>
          <w:rFonts w:hint="eastAsia" w:ascii="宋体" w:hAnsi="宋体" w:cs="宋体"/>
          <w:color w:val="000000"/>
          <w:sz w:val="24"/>
          <w:lang w:val="zh-CN"/>
        </w:rPr>
        <w:t xml:space="preserve">提供《残疾人福利性单位声明函》。</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39.节能环保产品</w:t>
      </w:r>
      <w:r>
        <w:rPr>
          <w:color w:val="000000"/>
        </w:rPr>
      </w:r>
      <w:r/>
    </w:p>
    <w:p>
      <w:pPr>
        <w:pStyle w:val="802"/>
        <w:ind w:firstLine="420"/>
        <w:pageBreakBefore w:val="0"/>
        <w:spacing w:line="360" w:lineRule="auto"/>
        <w:rPr>
          <w:rFonts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color w:val="000000"/>
          <w:sz w:val="24"/>
          <w:lang w:val="zh-CN"/>
        </w:rPr>
      </w:r>
      <w:r/>
    </w:p>
    <w:p>
      <w:pPr>
        <w:pStyle w:val="802"/>
        <w:ind w:firstLine="420"/>
        <w:pageBreakBefore w:val="0"/>
        <w:spacing w:line="360" w:lineRule="auto"/>
        <w:rPr>
          <w:rFonts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宋体" w:hAnsi="宋体"/>
          <w:color w:val="000000"/>
          <w:sz w:val="24"/>
          <w:lang w:val="zh-CN"/>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40.绿色采购</w:t>
      </w:r>
      <w:r>
        <w:rPr>
          <w:color w:val="000000"/>
        </w:rPr>
      </w:r>
      <w:r/>
    </w:p>
    <w:p>
      <w:pPr>
        <w:pStyle w:val="802"/>
        <w:ind w:firstLine="420"/>
        <w:pageBreakBefore w:val="0"/>
        <w:spacing w:line="360" w:lineRule="auto"/>
        <w:rPr>
          <w:rFonts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color w:val="000000"/>
          <w:sz w:val="24"/>
        </w:rPr>
      </w:r>
      <w:r/>
    </w:p>
    <w:p>
      <w:pPr>
        <w:pStyle w:val="802"/>
        <w:ind w:firstLine="420"/>
        <w:pageBreakBefore w:val="0"/>
        <w:spacing w:line="360" w:lineRule="auto"/>
        <w:rPr>
          <w:rFonts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color w:val="000000"/>
          <w:sz w:val="24"/>
        </w:rPr>
      </w:r>
      <w:r/>
    </w:p>
    <w:p>
      <w:pPr>
        <w:pStyle w:val="802"/>
        <w:ind w:firstLine="420"/>
        <w:pageBreakBefore w:val="0"/>
        <w:spacing w:line="360" w:lineRule="auto"/>
        <w:rPr>
          <w:rFonts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color w:val="000000"/>
          <w:sz w:val="24"/>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41.创新产品采购</w:t>
      </w:r>
      <w:r>
        <w:rPr>
          <w:color w:val="000000"/>
        </w:rPr>
      </w:r>
      <w:r/>
    </w:p>
    <w:p>
      <w:pPr>
        <w:pStyle w:val="802"/>
        <w:ind w:firstLine="420"/>
        <w:pageBreakBefore w:val="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41.1 优先采购各级政府部门公开发布的有效期内的创新产品、首台套等《目录》内的创新产品。创新产品自进入《目录》起2年内视同具备相应销售业绩。</w:t>
      </w:r>
      <w:r>
        <w:rPr>
          <w:color w:val="000000"/>
        </w:rPr>
      </w:r>
      <w:r/>
    </w:p>
    <w:p>
      <w:pPr>
        <w:pStyle w:val="806"/>
        <w:ind w:firstLine="422"/>
        <w:pageBreakBefore w:val="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42.网络产品、市场准入类产品采购</w:t>
      </w:r>
      <w:r>
        <w:rPr>
          <w:color w:val="000000"/>
        </w:rPr>
      </w:r>
      <w:r/>
    </w:p>
    <w:p>
      <w:pPr>
        <w:pStyle w:val="802"/>
        <w:ind w:firstLine="420"/>
        <w:pageBreakBefore w:val="0"/>
        <w:spacing w:line="360" w:lineRule="auto"/>
        <w:rPr>
          <w:rFonts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宋体" w:hAnsi="宋体"/>
          <w:color w:val="000000"/>
          <w:sz w:val="24"/>
          <w:lang w:val="zh-CN"/>
        </w:rPr>
      </w:r>
      <w:r/>
    </w:p>
    <w:p>
      <w:pPr>
        <w:pStyle w:val="802"/>
        <w:ind w:firstLine="420"/>
        <w:pageBreakBefore w:val="0"/>
        <w:spacing w:line="360" w:lineRule="auto"/>
        <w:rPr>
          <w:rFonts w:ascii="宋体" w:hAnsi="宋体"/>
          <w:color w:val="000000"/>
          <w:sz w:val="24"/>
          <w:szCs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ind w:firstLine="420"/>
        <w:pageBreakBefore w:val="0"/>
        <w:spacing w:line="360" w:lineRule="auto"/>
        <w:rPr>
          <w:rFonts w:ascii="宋体" w:hAnsi="宋体"/>
          <w:color w:val="000000"/>
          <w:sz w:val="24"/>
          <w:szCs w:val="24"/>
          <w:lang w:val="zh-CN"/>
        </w:rPr>
      </w:pPr>
      <w:r>
        <w:rPr>
          <w:rFonts w:ascii="宋体" w:hAnsi="宋体"/>
          <w:color w:val="000000"/>
          <w:sz w:val="24"/>
          <w:szCs w:val="24"/>
          <w:lang w:val="zh-CN"/>
        </w:rPr>
      </w:r>
      <w:r/>
    </w:p>
    <w:p>
      <w:pPr>
        <w:pStyle w:val="802"/>
        <w:pageBreakBefore w:val="0"/>
        <w:spacing w:line="360" w:lineRule="auto"/>
        <w:rPr>
          <w:rFonts w:ascii="宋体" w:hAnsi="宋体"/>
          <w:color w:val="000000"/>
          <w:sz w:val="24"/>
          <w:szCs w:val="24"/>
          <w:lang w:val="zh-CN"/>
        </w:rPr>
      </w:pPr>
      <w:r>
        <w:rPr>
          <w:rFonts w:ascii="宋体" w:hAnsi="宋体"/>
          <w:color w:val="000000"/>
          <w:sz w:val="24"/>
          <w:szCs w:val="24"/>
          <w:lang w:val="zh-CN"/>
        </w:rPr>
        <w:br w:type="page" w:clear="all"/>
      </w:r>
      <w:r>
        <w:rPr>
          <w:rFonts w:ascii="宋体" w:hAnsi="宋体"/>
          <w:color w:val="000000"/>
          <w:sz w:val="24"/>
          <w:szCs w:val="24"/>
          <w:lang w:val="zh-CN"/>
        </w:rPr>
      </w:r>
      <w:r/>
    </w:p>
    <w:p>
      <w:pPr>
        <w:pStyle w:val="1089"/>
        <w:ind w:left="0"/>
        <w:jc w:val="center"/>
        <w:pageBreakBefore w:val="0"/>
        <w:spacing w:line="360" w:lineRule="auto"/>
        <w:tabs>
          <w:tab w:val="left" w:pos="463" w:leader="none"/>
        </w:tabs>
        <w:rPr>
          <w:rFonts w:ascii="黑体" w:hAnsi="Times New Roman" w:eastAsia="黑体" w:cs="Times New Roman"/>
          <w:color w:val="000000"/>
          <w:sz w:val="44"/>
          <w:szCs w:val="44"/>
        </w:rPr>
        <w:outlineLvl w:val="0"/>
      </w:pPr>
      <w:r/>
      <w:bookmarkStart w:id="50" w:name="_Toc17574"/>
      <w:r>
        <w:rPr>
          <w:rFonts w:hint="eastAsia" w:ascii="方正小标宋简体" w:hAnsi="方正小标宋简体" w:eastAsia="方正小标宋简体" w:cs="方正小标宋简体"/>
          <w:color w:val="000000"/>
          <w:sz w:val="36"/>
          <w:szCs w:val="36"/>
          <w:lang w:val="en-US"/>
        </w:rPr>
        <w:t xml:space="preserve">第三章  合同文本</w:t>
      </w:r>
      <w:bookmarkEnd w:id="50"/>
      <w:r>
        <w:rPr>
          <w:rFonts w:ascii="黑体" w:hAnsi="Times New Roman" w:eastAsia="黑体" w:cs="Times New Roman"/>
          <w:color w:val="000000"/>
          <w:sz w:val="44"/>
          <w:szCs w:val="44"/>
        </w:rPr>
      </w:r>
      <w:r/>
    </w:p>
    <w:p>
      <w:pPr>
        <w:pStyle w:val="802"/>
        <w:ind w:firstLine="480"/>
        <w:pageBreakBefore w:val="0"/>
        <w:spacing w:line="360" w:lineRule="auto"/>
        <w:rPr>
          <w:rFonts w:ascii="宋体" w:hAnsi="宋体"/>
          <w:b/>
          <w:color w:val="000000"/>
          <w:sz w:val="30"/>
          <w:szCs w:val="21"/>
        </w:rPr>
      </w:pPr>
      <w:r/>
      <w:bookmarkStart w:id="51" w:name="_Toc20823315"/>
      <w:r/>
      <w:bookmarkStart w:id="52" w:name="_Toc16938559"/>
      <w:r/>
      <w:bookmarkStart w:id="53" w:name="_Toc513029243"/>
      <w:r/>
      <w:bookmarkStart w:id="54" w:name="_Hlt16619350"/>
      <w:r/>
      <w:bookmarkStart w:id="55" w:name="_Toc120614244"/>
      <w:r/>
      <w:bookmarkStart w:id="56" w:name="_Toc20823346"/>
      <w:r/>
      <w:bookmarkStart w:id="57" w:name="_Toc16938590"/>
      <w:r/>
      <w:bookmarkStart w:id="58" w:name="_Toc479757211"/>
      <w:r/>
      <w:bookmarkStart w:id="59" w:name="_Toc462564139"/>
      <w:r>
        <w:rPr>
          <w:rFonts w:hint="eastAsia" w:ascii="宋体" w:hAnsi="宋体"/>
          <w:bCs/>
          <w:color w:val="000000"/>
          <w:sz w:val="24"/>
          <w:szCs w:val="21"/>
        </w:rPr>
        <w:t xml:space="preserve">以下为本项目的合同条款，合同双方不得对招标、投标文件内容作实质性修改。</w:t>
      </w:r>
      <w:r>
        <w:rPr>
          <w:rFonts w:ascii="宋体" w:hAnsi="宋体"/>
          <w:b/>
          <w:color w:val="000000"/>
          <w:sz w:val="30"/>
          <w:szCs w:val="21"/>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bookmarkEnd w:id="51"/>
      <w:r/>
      <w:bookmarkEnd w:id="52"/>
      <w:r/>
      <w:bookmarkEnd w:id="53"/>
      <w:r>
        <w:rPr>
          <w:rFonts w:hint="eastAsia" w:ascii="宋体" w:hAnsi="宋体" w:eastAsia="宋体" w:cs="宋体"/>
          <w:sz w:val="21"/>
          <w:szCs w:val="21"/>
          <w:lang w:val="en-US" w:eastAsia="zh-CN" w:bidi="ar-SA"/>
        </w:rPr>
        <w:t xml:space="preserve">合同编号：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采购人（以下称甲方）</w:t>
      </w:r>
      <w:r>
        <w:rPr>
          <w:rFonts w:hint="eastAsia" w:ascii="宋体" w:hAnsi="宋体" w:cs="宋体"/>
          <w:sz w:val="21"/>
          <w:szCs w:val="21"/>
          <w:lang w:val="en-US" w:eastAsia="zh-CN" w:bidi="ar-SA"/>
        </w:rPr>
        <w:t xml:space="preserve">：南京市公安局经济犯罪侦查支队</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住所地：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中标人（以下称乙方）：</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住所地：</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bookmarkStart w:id="60" w:name="_Hlk128734185"/>
      <w:r>
        <w:rPr>
          <w:rFonts w:hint="eastAsia" w:ascii="宋体" w:hAnsi="宋体" w:eastAsia="宋体" w:cs="宋体"/>
          <w:sz w:val="21"/>
          <w:szCs w:val="21"/>
          <w:lang w:val="en-US" w:eastAsia="zh-CN" w:bidi="ar-SA"/>
        </w:rPr>
        <w:t xml:space="preserve">根据《中华人民共和国政府采购法》、《中华人民共和国民法典》等法律法规的规定，甲乙双方按照代理机构的招标结果签订本合同。</w:t>
      </w:r>
      <w:bookmarkEnd w:id="60"/>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第一条 合同标的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乙方根据甲方需求提供下列货物：</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，货物名称、规格及数量具体按每日的采购订单执行。</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第二条 合同总价款</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zh-CN"/>
        </w:rPr>
        <w:t xml:space="preserve">本合同项下食材优惠率为</w:t>
      </w:r>
      <w:r>
        <w:rPr>
          <w:rFonts w:hint="eastAsia" w:ascii="宋体" w:hAnsi="宋体" w:eastAsia="宋体" w:cs="宋体"/>
          <w:sz w:val="21"/>
          <w:szCs w:val="21"/>
          <w:u w:val="single"/>
          <w:lang w:val="en-US" w:eastAsia="zh-CN" w:bidi="zh-CN"/>
        </w:rPr>
        <w:t xml:space="preserve">        </w:t>
      </w:r>
      <w:r>
        <w:rPr>
          <w:rFonts w:hint="eastAsia" w:ascii="宋体" w:hAnsi="宋体" w:eastAsia="宋体" w:cs="宋体"/>
          <w:sz w:val="21"/>
          <w:szCs w:val="21"/>
          <w:lang w:val="en-US" w:eastAsia="zh-CN" w:bidi="zh-CN"/>
        </w:rPr>
        <w:t xml:space="preserve"> ％（大写：百分之</w:t>
      </w:r>
      <w:r>
        <w:rPr>
          <w:rFonts w:hint="eastAsia" w:ascii="宋体" w:hAnsi="宋体" w:eastAsia="宋体" w:cs="宋体"/>
          <w:sz w:val="21"/>
          <w:szCs w:val="21"/>
          <w:u w:val="single"/>
          <w:lang w:val="en-US" w:eastAsia="zh-CN" w:bidi="zh-CN"/>
        </w:rPr>
        <w:t xml:space="preserve">          </w:t>
      </w:r>
      <w:r>
        <w:rPr>
          <w:rFonts w:hint="eastAsia" w:ascii="宋体" w:hAnsi="宋体" w:eastAsia="宋体" w:cs="宋体"/>
          <w:sz w:val="21"/>
          <w:szCs w:val="21"/>
          <w:lang w:val="en-US" w:eastAsia="zh-CN" w:bidi="zh-CN"/>
        </w:rPr>
        <w:t xml:space="preserve">）</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zh-CN"/>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2.本合同总价款是</w:t>
      </w:r>
      <w:r>
        <w:rPr>
          <w:rFonts w:hint="eastAsia" w:ascii="宋体" w:hAnsi="宋体" w:cs="宋体"/>
          <w:sz w:val="21"/>
          <w:szCs w:val="21"/>
          <w:lang w:val="en-US" w:eastAsia="zh-CN" w:bidi="ar-SA"/>
        </w:rPr>
        <w:t xml:space="preserve">是</w:t>
      </w:r>
      <w:r>
        <w:rPr>
          <w:rFonts w:hint="eastAsia" w:ascii="宋体" w:hAnsi="宋体" w:eastAsia="宋体" w:cs="宋体"/>
          <w:sz w:val="21"/>
          <w:szCs w:val="21"/>
          <w:lang w:val="en-US" w:eastAsia="zh-CN" w:bidi="ar-SA"/>
        </w:rPr>
        <w:t xml:space="preserve">包括</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将货物运送至</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指定交货</w:t>
      </w:r>
      <w:r>
        <w:rPr>
          <w:rFonts w:hint="eastAsia" w:ascii="宋体" w:hAnsi="宋体" w:eastAsia="宋体" w:cs="宋体"/>
          <w:sz w:val="21"/>
          <w:szCs w:val="21"/>
          <w:highlight w:val="none"/>
          <w:lang w:val="en-US" w:eastAsia="zh-CN" w:bidi="ar-SA"/>
        </w:rPr>
        <w:t xml:space="preserve">地点的所有费用，包括但不限于货物成本、利润、税金、运输费、高速通行费、装卸费、保险费</w:t>
      </w:r>
      <w:r>
        <w:rPr>
          <w:rFonts w:hint="eastAsia" w:ascii="宋体" w:hAnsi="宋体" w:cs="宋体"/>
          <w:sz w:val="21"/>
          <w:szCs w:val="21"/>
          <w:highlight w:val="none"/>
          <w:lang w:val="en-US" w:eastAsia="zh-CN" w:bidi="ar-SA"/>
        </w:rPr>
        <w:t xml:space="preserve">、盒饭</w:t>
      </w:r>
      <w:r>
        <w:rPr>
          <w:rFonts w:hint="eastAsia" w:ascii="宋体" w:hAnsi="宋体" w:eastAsia="宋体" w:cs="宋体"/>
          <w:sz w:val="21"/>
          <w:szCs w:val="21"/>
          <w:highlight w:val="none"/>
          <w:lang w:val="en-US" w:eastAsia="zh-CN" w:bidi="ar-SA"/>
        </w:rPr>
        <w:t xml:space="preserve">等及相关服务费用</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 xml:space="preserve">3.本合同总价款还包含乙方应当提供的伴随服务/售后服务费用</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第三条 合同期限</w:t>
      </w:r>
      <w:r>
        <w:rPr>
          <w:rFonts w:hint="eastAsia" w:ascii="宋体" w:hAnsi="宋体" w:eastAsia="宋体" w:cs="宋体"/>
          <w:b/>
          <w:bCs/>
          <w:sz w:val="21"/>
          <w:szCs w:val="21"/>
          <w:lang w:val="en-US" w:eastAsia="zh-CN" w:bidi="ar-SA"/>
        </w:rPr>
      </w:r>
      <w:r/>
    </w:p>
    <w:p>
      <w:pPr>
        <w:pStyle w:val="802"/>
        <w:ind w:left="0" w:firstLine="422"/>
        <w:jc w:val="both"/>
        <w:spacing w:after="0" w:line="360" w:lineRule="auto"/>
        <w:widowControl w:val="off"/>
        <w:tabs>
          <w:tab w:val="left" w:pos="589" w:leader="none"/>
        </w:tabs>
        <w:rPr>
          <w:rFonts w:ascii="宋体" w:hAnsi="宋体" w:eastAsia="宋体" w:cs="宋体"/>
          <w:b/>
          <w:bCs/>
          <w:sz w:val="21"/>
          <w:szCs w:val="21"/>
          <w:u w:val="single"/>
          <w:lang w:val="en-US" w:eastAsia="zh-CN" w:bidi="ar-SA"/>
        </w:rPr>
      </w:pPr>
      <w:r>
        <w:rPr>
          <w:rFonts w:hint="eastAsia" w:ascii="宋体" w:hAnsi="宋体" w:cs="宋体"/>
          <w:b/>
          <w:bCs/>
          <w:sz w:val="21"/>
          <w:szCs w:val="21"/>
          <w:u w:val="single"/>
          <w:lang w:val="en-US" w:eastAsia="zh-CN" w:bidi="ar-SA"/>
        </w:rPr>
        <w:t xml:space="preserve">自甲方书面通知之日起供货，至所属分包预算资金使用完毕或供货满一年时自动终止，二者以先到者为准。</w:t>
      </w:r>
      <w:r>
        <w:rPr>
          <w:rFonts w:ascii="宋体" w:hAnsi="宋体" w:eastAsia="宋体" w:cs="宋体"/>
          <w:b/>
          <w:bCs/>
          <w:sz w:val="21"/>
          <w:szCs w:val="21"/>
          <w:u w:val="single"/>
          <w:lang w:val="en-US" w:eastAsia="zh-CN" w:bidi="ar-SA"/>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第四条 组成本合同的有关文件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1.下列关于本项目的采购文件或与本次采购活动方式相适应的文件及有关附件是本合同不可分割的组成部分，与本合同具有同等法律效力，这些文件包括但不限于：</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（l）乙方提供的投标文件和</w:t>
      </w:r>
      <w:r>
        <w:rPr>
          <w:rFonts w:hint="eastAsia" w:ascii="宋体" w:hAnsi="宋体" w:cs="宋体"/>
          <w:sz w:val="21"/>
          <w:szCs w:val="21"/>
          <w:lang w:val="en-US" w:eastAsia="zh-CN" w:bidi="ar-SA"/>
        </w:rPr>
        <w:t xml:space="preserve">开标一览</w:t>
      </w:r>
      <w:r>
        <w:rPr>
          <w:rFonts w:hint="eastAsia" w:ascii="宋体" w:hAnsi="宋体" w:eastAsia="宋体" w:cs="宋体"/>
          <w:sz w:val="21"/>
          <w:szCs w:val="21"/>
          <w:lang w:val="en-US" w:eastAsia="zh-CN" w:bidi="ar-SA"/>
        </w:rPr>
        <w:t xml:space="preserve">表；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（2）供货一览表；</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（3）合同条款；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）技术要求响应及偏离表</w:t>
      </w:r>
      <w:r>
        <w:rPr>
          <w:rFonts w:hint="eastAsia" w:ascii="宋体" w:hAnsi="宋体" w:cs="宋体"/>
          <w:sz w:val="21"/>
          <w:szCs w:val="21"/>
          <w:lang w:val="en-US" w:eastAsia="zh-CN" w:bidi="ar-SA"/>
        </w:rPr>
        <w:t xml:space="preserve">、商务要求响应及偏离表</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）服务承诺；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6</w:t>
      </w:r>
      <w:r>
        <w:rPr>
          <w:rFonts w:hint="eastAsia" w:ascii="宋体" w:hAnsi="宋体" w:eastAsia="宋体" w:cs="宋体"/>
          <w:sz w:val="21"/>
          <w:szCs w:val="21"/>
          <w:lang w:val="en-US" w:eastAsia="zh-CN" w:bidi="ar-SA"/>
        </w:rPr>
        <w:t xml:space="preserve">）甲乙双方商定的其他文件等；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7</w:t>
      </w:r>
      <w:r>
        <w:rPr>
          <w:rFonts w:hint="eastAsia" w:ascii="宋体" w:hAnsi="宋体" w:eastAsia="宋体" w:cs="宋体"/>
          <w:sz w:val="21"/>
          <w:szCs w:val="21"/>
          <w:lang w:val="en-US" w:eastAsia="zh-CN" w:bidi="ar-SA"/>
        </w:rPr>
        <w:t xml:space="preserve">）中标通知书；</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8</w:t>
      </w:r>
      <w:r>
        <w:rPr>
          <w:rFonts w:hint="eastAsia" w:ascii="宋体" w:hAnsi="宋体" w:eastAsia="宋体" w:cs="宋体"/>
          <w:sz w:val="21"/>
          <w:szCs w:val="21"/>
          <w:lang w:val="en-US" w:eastAsia="zh-CN" w:bidi="ar-SA"/>
        </w:rPr>
        <w:t xml:space="preserve">）双方有关项目的洽商、变更等书面协议或文件视为本合同的组成部分。</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第五条 权利保证</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乙方应保证甲方在使用该货物或其任何一部分时不受第三方提出侵犯其专利权、版权、商标权或其他权利的起诉。一旦出现侵权，乙方应承担全部责任。</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第六条 质量保证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1.乙方应严格遵守《中华人民共和国食</w:t>
      </w:r>
      <w:r>
        <w:rPr>
          <w:rFonts w:hint="eastAsia" w:ascii="宋体" w:hAnsi="宋体" w:eastAsia="宋体" w:cs="宋体"/>
          <w:sz w:val="21"/>
          <w:szCs w:val="21"/>
          <w:lang w:val="en-US" w:eastAsia="zh-CN" w:bidi="ar-SA"/>
        </w:rPr>
        <w:t xml:space="preserve">品安全法》、《中华人民共和国食品安全法实施条例》、《中华人民共和国农产品质量安全法》、《中华人民共和国动物防疫法》等相关规定，严格保证食品质量符合国家相关产品质标准，符合国家各级强制性规范要求。乙方所供食材应为同类产品中的综合质量优良产品，所有商品必须做到可以溯源。乙方应保证所提供的食品在保质期内经正确和合理食用，不会出现食品安全事故，并对食品安全事故负责。如因乙方产品质量引起食用者呕吐、腹泻等不良反应或食物中毒现象，经权威部门鉴定，确属产品质量引起的，乙方应负全部责任，赔偿甲方相关损失且甲方有权终止合同。</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应严格遵守《食品安全法》等相关规定，严格保证食品质量，符合国家相关产品质量标准，符合国家各级强制性规范要求。在乙方环节出现因食品质量导致食物中毒的事故，乙方承担一切法律责任和赔偿，并取消其供货资格。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3、严格禁止供应如下食品，一经发现，取消其供货资格：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（1）腐败变质、油脂酸败、霉变、生虫、污秽不洁、混有异物或其他感官性状异常，对人体有害的。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（2）含有毒、有害物质或被有害物质污染，对人体健康有害的；含有严重超出标准限量的农药残留、兽药残留、重金属、污染物质以及其他危害人体健康的。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（3）未经动物部门检疫、检验或者检疫、检验不合格的肉类及其制品。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（4）病死、毒死或不明死因的禽、畜、兽、水产动物等及其制品。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（5）用非食品原料加工的，加入非食品用化学物质或将非食品当作食品的。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（6）其它</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认为不符合要求的果蔬以及各类食品。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5.因市场特殊原因，个别食材品种不能及时提供，乙方应主动与招标人沟通协调，更换品种，满足需要。</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6.所有商品因验收货物时不能直接判断质量的，在使用过程中发现不合格商品，乙方应作退货处理。</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7.物资验收中不合格产品，乙方应按照招标人规定时间内调换，以不影响正常工作。</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8.因配送物资质量导致出现食品安全事故，乙方有义务协助处理相关事宜。</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乙方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10.依据产品质量监督检验单位提供的质量标准，乙方提供的食材必须取得经过质量监督管理部门检验合格的产品，每批次产品提供时应交存产品质量合格证明、产品质量检测合格报告或检验报告复印件。</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11.招标人对食材提出的质量异议时，乙方须保证在60分钟以内作出答复，并妥善商处。无法在60分钟内解决的，应在三个小时内提供备用产品，使招标人能够正常使用。</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tabs>
          <w:tab w:val="left" w:pos="589" w:leader="none"/>
        </w:tabs>
        <w:rPr>
          <w:rFonts w:hint="eastAsia"/>
          <w:lang w:val="en-US" w:eastAsia="zh-CN"/>
        </w:rPr>
      </w:pPr>
      <w:r>
        <w:rPr>
          <w:rFonts w:hint="eastAsia" w:ascii="宋体" w:hAnsi="宋体" w:eastAsia="宋体" w:cs="宋体"/>
          <w:sz w:val="21"/>
          <w:szCs w:val="21"/>
          <w:lang w:val="en-US" w:eastAsia="zh-CN" w:bidi="ar-SA"/>
        </w:rPr>
        <w:t xml:space="preserve">12.每次供货交接完成后，乙方须对供货清单中的食材进行留样。</w:t>
      </w:r>
      <w:r>
        <w:rPr>
          <w:rFonts w:hint="eastAsia"/>
          <w:lang w:val="en-US" w:eastAsia="zh-CN"/>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第七条、履约保证金</w:t>
      </w:r>
      <w:r>
        <w:rPr>
          <w:rFonts w:hint="eastAsia" w:ascii="宋体" w:hAnsi="宋体" w:eastAsia="宋体" w:cs="宋体"/>
          <w:b/>
          <w:bCs/>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1.乙方缴纳履约保证金：</w:t>
      </w:r>
      <w:r>
        <w:rPr>
          <w:rFonts w:hint="eastAsia" w:ascii="宋体" w:hAnsi="宋体" w:eastAsia="宋体" w:cs="宋体"/>
          <w:b w:val="0"/>
          <w:bCs w:val="0"/>
          <w:sz w:val="21"/>
          <w:szCs w:val="21"/>
          <w:u w:val="single"/>
          <w:lang w:val="en-US" w:eastAsia="zh-CN" w:bidi="ar-SA"/>
        </w:rPr>
        <w:t xml:space="preserve">50000元</w:t>
      </w:r>
      <w:r>
        <w:rPr>
          <w:rFonts w:hint="eastAsia" w:ascii="宋体" w:hAnsi="宋体" w:eastAsia="宋体" w:cs="宋体"/>
          <w:b w:val="0"/>
          <w:bCs w:val="0"/>
          <w:sz w:val="21"/>
          <w:szCs w:val="21"/>
          <w:lang w:val="en-US" w:eastAsia="zh-CN" w:bidi="ar-SA"/>
        </w:rPr>
        <w:t xml:space="preserve">。</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2.签订合同前按照下列第（3）方式收取履约保证金收取：</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（1）无需缴纳履约保证金；</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（2）投标保证金转为履约保证金；</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（3）以支票、汇票、本票或者金融机构、担保机构出具的保函等非现金形式缴纳履约保证金，金额为</w:t>
      </w:r>
      <w:r>
        <w:rPr>
          <w:rFonts w:hint="eastAsia" w:ascii="宋体" w:hAnsi="宋体" w:eastAsia="宋体" w:cs="宋体"/>
          <w:b w:val="0"/>
          <w:bCs w:val="0"/>
          <w:sz w:val="21"/>
          <w:szCs w:val="21"/>
          <w:u w:val="single"/>
          <w:lang w:val="en-US" w:eastAsia="zh-CN" w:bidi="ar-SA"/>
        </w:rPr>
        <w:t xml:space="preserve">__50000.00_元</w:t>
      </w:r>
      <w:r>
        <w:rPr>
          <w:rFonts w:hint="eastAsia" w:ascii="宋体" w:hAnsi="宋体" w:eastAsia="宋体" w:cs="宋体"/>
          <w:b w:val="0"/>
          <w:bCs w:val="0"/>
          <w:sz w:val="21"/>
          <w:szCs w:val="21"/>
          <w:lang w:val="en-US" w:eastAsia="zh-CN" w:bidi="ar-SA"/>
        </w:rPr>
        <w:t xml:space="preserve">_。（精确到元</w:t>
      </w:r>
      <w:r>
        <w:rPr>
          <w:rFonts w:hint="eastAsia" w:ascii="宋体" w:hAnsi="宋体" w:cs="宋体"/>
          <w:b w:val="0"/>
          <w:bCs w:val="0"/>
          <w:sz w:val="21"/>
          <w:szCs w:val="21"/>
          <w:lang w:val="en-US" w:eastAsia="zh-CN" w:bidi="ar-SA"/>
        </w:rPr>
        <w:t xml:space="preserve">，保留小数点后两位小数</w:t>
      </w:r>
      <w:r>
        <w:rPr>
          <w:rFonts w:hint="eastAsia" w:ascii="宋体" w:hAnsi="宋体" w:eastAsia="宋体" w:cs="宋体"/>
          <w:b w:val="0"/>
          <w:bCs w:val="0"/>
          <w:sz w:val="21"/>
          <w:szCs w:val="21"/>
          <w:lang w:val="en-US" w:eastAsia="zh-CN" w:bidi="ar-SA"/>
        </w:rPr>
        <w:t xml:space="preserve">）</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保函有效期至项目服务期满，该履约保函作为乙方严格履行本合同的担保。在规定时间内，乙方无法提交履约保函或履约保函内容不符合招标文件约定的，视为乙方拒绝与采购人签订合同。在合同履行期间，乙方没有出现招标文件及合同规定的违约情形，履约保函至有效期满后自动失效。</w:t>
      </w:r>
      <w:r>
        <w:rPr>
          <w:rFonts w:hint="eastAsia" w:ascii="宋体" w:hAnsi="宋体" w:eastAsia="宋体" w:cs="宋体"/>
          <w:b w:val="0"/>
          <w:bCs w:val="0"/>
          <w:sz w:val="21"/>
          <w:szCs w:val="21"/>
          <w:lang w:val="en-US" w:eastAsia="zh-CN" w:bidi="ar-SA"/>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第八条 交货和验收</w:t>
      </w:r>
      <w:r>
        <w:rPr>
          <w:rFonts w:hint="eastAsia" w:ascii="宋体" w:hAnsi="宋体" w:eastAsia="宋体" w:cs="宋体"/>
          <w:b/>
          <w:bCs/>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1.食堂所需蔬菜类食材，乙方须每天07:00前送达至甲方指定地点（清凉门大街76号）。</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lang w:val="en-US" w:eastAsia="zh-CN" w:bidi="ar-SA"/>
        </w:rPr>
        <w:t xml:space="preserve">2.食堂所需肉类食材，根据甲方前一天17：30之前出具货品清单，乙方次日清晨07：00前送达至甲方指定地点</w:t>
      </w:r>
      <w:r>
        <w:rPr>
          <w:rFonts w:hint="eastAsia" w:ascii="宋体" w:hAnsi="宋体" w:eastAsia="宋体" w:cs="宋体"/>
          <w:b w:val="0"/>
          <w:bCs w:val="0"/>
          <w:sz w:val="21"/>
          <w:szCs w:val="21"/>
          <w:highlight w:val="none"/>
          <w:lang w:val="en-US" w:eastAsia="zh-CN" w:bidi="ar-SA"/>
        </w:rPr>
        <w:t xml:space="preserve">（清凉门大街76号）。</w:t>
      </w:r>
      <w:r>
        <w:rPr>
          <w:rFonts w:hint="eastAsia" w:ascii="宋体" w:hAnsi="宋体" w:eastAsia="宋体" w:cs="宋体"/>
          <w:b w:val="0"/>
          <w:bCs w:val="0"/>
          <w:sz w:val="21"/>
          <w:szCs w:val="21"/>
          <w:highlight w:val="none"/>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3.甲方有权根据乙方实际供货能力调整配送时间段，乙方须无条件按甲方要求执行。</w:t>
      </w:r>
      <w:r>
        <w:rPr>
          <w:rFonts w:hint="eastAsia" w:ascii="宋体" w:hAnsi="宋体" w:eastAsia="宋体" w:cs="宋体"/>
          <w:b w:val="0"/>
          <w:bCs w:val="0"/>
          <w:sz w:val="21"/>
          <w:szCs w:val="21"/>
          <w:highlight w:val="none"/>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4.甲方可根据自身需求以及对货物的品质要求，如发现质量问题，随时有权终止某些商品的采购或变更,需按要求退货换货直至甲方满意为止。</w:t>
      </w:r>
      <w:r>
        <w:rPr>
          <w:rFonts w:hint="eastAsia" w:ascii="宋体" w:hAnsi="宋体" w:eastAsia="宋体" w:cs="宋体"/>
          <w:b w:val="0"/>
          <w:bCs w:val="0"/>
          <w:sz w:val="21"/>
          <w:szCs w:val="21"/>
          <w:highlight w:val="none"/>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highlight w:val="none"/>
          <w:lang w:val="en-US" w:eastAsia="zh-CN" w:bidi="ar-SA"/>
        </w:rPr>
        <w:t xml:space="preserve">5.乙方须具备应急服务能力，有一定的处理紧急情况的经验。如遇节假日、甲方临时有大批量食材采购或紧急采购任务时，乙方须承诺在接到甲方通知后，一小时内将指定食材运送至甲方指定地点（清凉门大街76号）并卸货，派专人负责跟踪服务，保证食材准时准</w:t>
      </w:r>
      <w:r>
        <w:rPr>
          <w:rFonts w:hint="eastAsia" w:ascii="宋体" w:hAnsi="宋体" w:eastAsia="宋体" w:cs="宋体"/>
          <w:b w:val="0"/>
          <w:bCs w:val="0"/>
          <w:sz w:val="21"/>
          <w:szCs w:val="21"/>
          <w:lang w:val="en-US" w:eastAsia="zh-CN" w:bidi="ar-SA"/>
        </w:rPr>
        <w:t xml:space="preserve">点供应，如推迟送货的，甲方有权拒绝验收签单。</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6.验收方式：</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甲方每天上午集中收货、验收一次，乙方需将当日需要的所有食材、商品一次性打包密闭送达，不得将项目分包给多家供应商及多次送货。货物到达现场后，乙方应在使用单位人员和质量监督员在场情况下当面进行感官检验、外观检验或试用检验，若产品外观、包装、质量不能达到收货标准，甲方拒收配送物资，供应商应无条件迅速补充合格产品，不得影响正常开餐。对符合要求的产品当场作出记录，双方签字确认。 </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（2）提供货物未达到招标文件规定要求，且对甲方造成损失的，由乙方承担一切责任，并赔偿所造成损失。超过收货时间送货的，甲方有权拒绝收货。</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（3）凡按重量计量物资，均以物品净重方式计量结算。 </w:t>
      </w:r>
      <w:r>
        <w:rPr>
          <w:rFonts w:hint="eastAsia" w:ascii="宋体" w:hAnsi="宋体" w:eastAsia="宋体" w:cs="宋体"/>
          <w:b w:val="0"/>
          <w:bCs w:val="0"/>
          <w:sz w:val="21"/>
          <w:szCs w:val="21"/>
          <w:lang w:val="en-US" w:eastAsia="zh-CN" w:bidi="ar-SA"/>
        </w:rPr>
      </w:r>
      <w:r/>
    </w:p>
    <w:p>
      <w:pPr>
        <w:pStyle w:val="802"/>
        <w:ind w:firstLine="420"/>
        <w:jc w:val="both"/>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（4）所有货物送达甲方指定地点前必须按包装要求进行封闭装运。</w:t>
      </w:r>
      <w:r>
        <w:rPr>
          <w:rFonts w:hint="eastAsia" w:ascii="宋体" w:hAnsi="宋体" w:eastAsia="宋体" w:cs="宋体"/>
          <w:b w:val="0"/>
          <w:bCs w:val="0"/>
          <w:sz w:val="21"/>
          <w:szCs w:val="21"/>
          <w:lang w:val="en-US" w:eastAsia="zh-CN" w:bidi="ar-SA"/>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第十条 售后服务 </w:t>
      </w:r>
      <w:r>
        <w:rPr>
          <w:rFonts w:hint="eastAsia" w:ascii="宋体" w:hAnsi="宋体" w:eastAsia="宋体" w:cs="宋体"/>
          <w:b/>
          <w:bCs/>
          <w:sz w:val="21"/>
          <w:szCs w:val="21"/>
          <w:lang w:val="en-US" w:eastAsia="zh-CN" w:bidi="ar-SA"/>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（一）质保期限：所有有保质期的食材在配送到采购人单位时，剩余保质期不得低于总保质期的一半。 </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（二）售后服务</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的配送服务必须为</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为本项目设立的本公司供货组人员进行配送，不得委托第三方单位进行配送服务，一经发现，取消其配送资格。</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应配备相应的采购配送人员、采购配送车，实行专人专车进行配送，需冷链运输的需配备冷藏车辆，并负责人员和车辆的安全和管理，保证人员和车辆遵守</w:t>
      </w:r>
      <w:r>
        <w:rPr>
          <w:rFonts w:hint="eastAsia" w:ascii="宋体" w:hAnsi="宋体" w:cs="宋体"/>
          <w:color w:val="000000"/>
          <w:sz w:val="21"/>
          <w:szCs w:val="21"/>
          <w:lang w:val="en-US" w:eastAsia="zh-CN"/>
        </w:rPr>
        <w:t xml:space="preserve">甲方</w:t>
      </w:r>
      <w:r>
        <w:rPr>
          <w:rFonts w:hint="eastAsia" w:ascii="宋体" w:hAnsi="宋体" w:eastAsia="宋体" w:cs="宋体"/>
          <w:color w:val="000000"/>
          <w:sz w:val="21"/>
          <w:szCs w:val="21"/>
          <w:lang w:val="en-US" w:eastAsia="zh-CN"/>
        </w:rPr>
        <w:t xml:space="preserve">相关规定。 </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2.1配送人员必须取得卫生部门出具的健康证，工作时做到个人仪表整洁，送货时必须佩带经营单位的食品配送上岗证。</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要加强对来院工作人员的管理教育，应服从</w:t>
      </w:r>
      <w:r>
        <w:rPr>
          <w:rFonts w:hint="eastAsia" w:ascii="宋体" w:hAnsi="宋体" w:cs="宋体"/>
          <w:color w:val="000000"/>
          <w:sz w:val="21"/>
          <w:szCs w:val="21"/>
          <w:lang w:val="en-US" w:eastAsia="zh-CN"/>
        </w:rPr>
        <w:t xml:space="preserve">甲方</w:t>
      </w:r>
      <w:r>
        <w:rPr>
          <w:rFonts w:hint="eastAsia" w:ascii="宋体" w:hAnsi="宋体" w:eastAsia="宋体" w:cs="宋体"/>
          <w:color w:val="000000"/>
          <w:sz w:val="21"/>
          <w:szCs w:val="21"/>
          <w:lang w:val="en-US" w:eastAsia="zh-CN"/>
        </w:rPr>
        <w:t xml:space="preserve">的管理，不得私自在加工区域外逗留，不得有偷窃、夹带等违规情况，如经发现将严肃处理。</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2.2配送车辆上必须粘贴配送标识，车辆要保持清洁，在食材配送过程中不得与其他产品混装。</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2.3供货车（人员）在院内发生安全事故的，将根据情况通过扣除履约保证金或司法程序进行处理。</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在配送服务过程中应遵守</w:t>
      </w:r>
      <w:r>
        <w:rPr>
          <w:rFonts w:hint="eastAsia" w:ascii="宋体" w:hAnsi="宋体" w:cs="宋体"/>
          <w:color w:val="000000"/>
          <w:sz w:val="21"/>
          <w:szCs w:val="21"/>
          <w:lang w:val="en-US" w:eastAsia="zh-CN"/>
        </w:rPr>
        <w:t xml:space="preserve">甲方</w:t>
      </w:r>
      <w:r>
        <w:rPr>
          <w:rFonts w:hint="eastAsia" w:ascii="宋体" w:hAnsi="宋体" w:eastAsia="宋体" w:cs="宋体"/>
          <w:color w:val="000000"/>
          <w:sz w:val="21"/>
          <w:szCs w:val="21"/>
          <w:lang w:val="en-US" w:eastAsia="zh-CN"/>
        </w:rPr>
        <w:t xml:space="preserve">单位的各项规章制度，不得与</w:t>
      </w:r>
      <w:r>
        <w:rPr>
          <w:rFonts w:hint="eastAsia" w:ascii="宋体" w:hAnsi="宋体" w:cs="宋体"/>
          <w:color w:val="000000"/>
          <w:sz w:val="21"/>
          <w:szCs w:val="21"/>
          <w:lang w:val="en-US" w:eastAsia="zh-CN"/>
        </w:rPr>
        <w:t xml:space="preserve">甲方</w:t>
      </w:r>
      <w:r>
        <w:rPr>
          <w:rFonts w:hint="eastAsia" w:ascii="宋体" w:hAnsi="宋体" w:eastAsia="宋体" w:cs="宋体"/>
          <w:color w:val="000000"/>
          <w:sz w:val="21"/>
          <w:szCs w:val="21"/>
          <w:lang w:val="en-US" w:eastAsia="zh-CN"/>
        </w:rPr>
        <w:t xml:space="preserve">单位或人员发生各种不文明行为，如遇不可解决之矛盾应以沟通为主，相互谅解。</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应建立进货查验记录制度与食材安全追溯体系，建立票、据、证档案，</w:t>
      </w:r>
      <w:r>
        <w:rPr>
          <w:rFonts w:hint="eastAsia" w:ascii="宋体" w:hAnsi="宋体" w:cs="宋体"/>
          <w:color w:val="000000"/>
          <w:sz w:val="21"/>
          <w:szCs w:val="21"/>
          <w:lang w:val="en-US" w:eastAsia="zh-CN"/>
        </w:rPr>
        <w:t xml:space="preserve">甲方</w:t>
      </w:r>
      <w:r>
        <w:rPr>
          <w:rFonts w:hint="eastAsia" w:ascii="宋体" w:hAnsi="宋体" w:eastAsia="宋体" w:cs="宋体"/>
          <w:color w:val="000000"/>
          <w:sz w:val="21"/>
          <w:szCs w:val="21"/>
          <w:lang w:val="en-US" w:eastAsia="zh-CN"/>
        </w:rPr>
        <w:t xml:space="preserve">有权定期检查。</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应承诺，如中标后同意提供</w:t>
      </w:r>
      <w:r>
        <w:rPr>
          <w:rFonts w:hint="eastAsia" w:ascii="宋体" w:hAnsi="宋体" w:cs="宋体"/>
          <w:color w:val="000000"/>
          <w:sz w:val="21"/>
          <w:szCs w:val="21"/>
          <w:lang w:val="en-US" w:eastAsia="zh-CN"/>
        </w:rPr>
        <w:t xml:space="preserve">甲方</w:t>
      </w:r>
      <w:r>
        <w:rPr>
          <w:rFonts w:hint="eastAsia" w:ascii="宋体" w:hAnsi="宋体" w:eastAsia="宋体" w:cs="宋体"/>
          <w:color w:val="000000"/>
          <w:sz w:val="21"/>
          <w:szCs w:val="21"/>
          <w:lang w:val="en-US" w:eastAsia="zh-CN"/>
        </w:rPr>
        <w:t xml:space="preserve">要求的与其投标有关的一切数据和资料，并保证其所提供数据资料的真实性与准确性。</w:t>
      </w:r>
      <w:r>
        <w:rPr>
          <w:rFonts w:hint="eastAsia" w:ascii="宋体" w:hAnsi="宋体" w:eastAsia="宋体" w:cs="宋体"/>
          <w:color w:val="000000"/>
          <w:sz w:val="21"/>
          <w:szCs w:val="21"/>
          <w:lang w:val="en-US" w:eastAsia="zh-CN"/>
        </w:rPr>
      </w:r>
      <w:r/>
    </w:p>
    <w:p>
      <w:pPr>
        <w:pStyle w:val="802"/>
        <w:ind w:firstLine="48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6.培训：</w:t>
      </w:r>
      <w:r>
        <w:rPr>
          <w:rFonts w:hint="eastAsia" w:ascii="宋体" w:hAnsi="宋体" w:cs="宋体"/>
          <w:color w:val="000000"/>
          <w:sz w:val="21"/>
          <w:szCs w:val="21"/>
          <w:lang w:val="en-US" w:eastAsia="zh-CN"/>
        </w:rPr>
        <w:t xml:space="preserve">乙方</w:t>
      </w:r>
      <w:r>
        <w:rPr>
          <w:rFonts w:hint="eastAsia" w:ascii="宋体" w:hAnsi="宋体" w:eastAsia="宋体" w:cs="宋体"/>
          <w:color w:val="000000"/>
          <w:sz w:val="21"/>
          <w:szCs w:val="21"/>
          <w:lang w:val="en-US" w:eastAsia="zh-CN"/>
        </w:rPr>
        <w:t xml:space="preserve">应不断对其人员进行专业培训，以完成工作任务。</w:t>
      </w:r>
      <w:r>
        <w:rPr>
          <w:rFonts w:hint="eastAsia" w:ascii="宋体" w:hAnsi="宋体" w:eastAsia="宋体" w:cs="宋体"/>
          <w:color w:val="000000"/>
          <w:sz w:val="21"/>
          <w:szCs w:val="21"/>
          <w:lang w:val="en-US" w:eastAsia="zh-CN"/>
        </w:rPr>
      </w:r>
      <w:r/>
    </w:p>
    <w:p>
      <w:pPr>
        <w:pStyle w:val="802"/>
        <w:ind w:left="0" w:firstLine="422"/>
        <w:jc w:val="both"/>
        <w:spacing w:after="0" w:line="360" w:lineRule="auto"/>
        <w:widowControl w:val="off"/>
        <w:tabs>
          <w:tab w:val="left" w:pos="589"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第十一条 合同款支付</w:t>
      </w:r>
      <w:r>
        <w:rPr>
          <w:rFonts w:hint="eastAsia" w:ascii="宋体" w:hAnsi="宋体" w:eastAsia="宋体" w:cs="宋体"/>
          <w:b/>
          <w:bCs/>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1.本合同项下所有款项均以人民币支付。</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2.本合同项下的采购资金由乙方开具发票，甲方按照本条第3款的约定支付。</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3.付款条件：详见招标文件第四章。</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第十二条 违约责任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1.发生较严重以上质量问题的，甲方有权直接解除合同或暂停乙方继续供货，扣除全部履约保证金，并由乙方承担相应的赔偿等法律责任。</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2.甲方如临时增加用餐人员，需临时补充食材的，乙方应在约定时间内无条件把指定的食材送至指定的地点，否则第一次扣除履约保证金的10%，第二次扣除履约保证金的30%，第三次扣除履约保证金的60%并解除合同。</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3.如乙方延迟交货或配送货物不符合订单要求且经采取补救措施未造成甲方不良影响的，第一次扣除履约保证金的10%，第二次扣除履约保证金的30%，第三次扣除履约保证金的60%并解除合同；因乙方延迟交货或配送货物不符合订单要求且未采取有效补救措施的，合同立即终止，并扣除全部履约保证金</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4.凡经相关部门认定，如因乙方所提供的原食材原因造成食物中毒等卫生事故的，乙方除必须承担全部的法律责任外，还要全额承担因食物中毒发生造成后果的一切费用，并立即停止供货，并暂扣当月所有供应原食材的货款作为赔偿预付款。</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5.甲方将每三个月组织专人对乙方所供食材的质量报送质检部门抽检，检测费用由乙方承担。若发现食材质量检测结果与招标文件或投标文件或与国家规定的质量标准不符，甲方有权没收履约保证金、解除合同等。</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6.凡乙方供应的食材故意串规、定量包装批量误差超过《定量包装商品计量监督管理办法》规定，一经查实，均按当月食材供应额的3倍值作为支付甲方的违约金。</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7.如乙方在项目实施期间出现违背投标时的承诺，或经营异常，或丧失商业信誉，或产品被曝光不合格或被政府部门取缔相关生产经营资格的情况，甲方有权直接解除合同并没收其履约保证金。</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8.乙方须对每月考核的所有扣分项做出书面整改承诺。甲方有权依据每月考核总分对扣分项进行扣除履约保证金、解除合同等。</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7</w:t>
      </w:r>
      <w:r>
        <w:rPr>
          <w:rFonts w:hint="eastAsia" w:ascii="宋体" w:hAnsi="宋体" w:eastAsia="宋体" w:cs="宋体"/>
          <w:sz w:val="21"/>
          <w:szCs w:val="21"/>
          <w:lang w:val="en-US" w:eastAsia="zh-CN" w:bidi="ar-SA"/>
        </w:rPr>
        <w:t xml:space="preserve">.招标文件约定的其他情况。</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第十三条 合同的变更和终止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因不可抗力原因或因政策调整，致使服务期内本项目中个别片区不再需要餐饮服务或者需要其他方式进行调整的，</w:t>
      </w:r>
      <w:r>
        <w:rPr>
          <w:rFonts w:hint="eastAsia" w:ascii="宋体" w:hAnsi="宋体" w:cs="宋体"/>
          <w:sz w:val="21"/>
          <w:szCs w:val="21"/>
          <w:lang w:val="en-US" w:eastAsia="zh-CN" w:bidi="ar-SA"/>
        </w:rPr>
        <w:t xml:space="preserve">乙方</w:t>
      </w:r>
      <w:r>
        <w:rPr>
          <w:rFonts w:hint="eastAsia" w:ascii="宋体" w:hAnsi="宋体" w:eastAsia="宋体" w:cs="宋体"/>
          <w:sz w:val="21"/>
          <w:szCs w:val="21"/>
          <w:lang w:val="en-US" w:eastAsia="zh-CN" w:bidi="ar-SA"/>
        </w:rPr>
        <w:t xml:space="preserve">应无条件服从</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安排，双方均不承担违约责任。</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如发生下列情况之一，甲方有权终止本合同： </w:t>
      </w:r>
      <w:r>
        <w:rPr>
          <w:rFonts w:hint="eastAsia" w:ascii="宋体" w:hAnsi="宋体" w:eastAsia="宋体" w:cs="宋体"/>
          <w:sz w:val="21"/>
          <w:szCs w:val="21"/>
          <w:highlight w:val="none"/>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（1）乙方擅自终止本合同或无故停止供货的；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（2）乙方供应的产品</w:t>
      </w:r>
      <w:r>
        <w:rPr>
          <w:rFonts w:hint="eastAsia" w:ascii="宋体" w:hAnsi="宋体" w:cs="宋体"/>
          <w:sz w:val="21"/>
          <w:szCs w:val="21"/>
          <w:lang w:val="en-US" w:eastAsia="zh-CN" w:bidi="ar-SA"/>
        </w:rPr>
        <w:t xml:space="preserve">出现本合同第六条中相关情形的</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（3）乙方不得将本项目转包、分包给他人；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（4）乙方</w:t>
      </w:r>
      <w:r>
        <w:rPr>
          <w:rFonts w:hint="eastAsia" w:ascii="宋体" w:hAnsi="宋体" w:cs="宋体"/>
          <w:sz w:val="21"/>
          <w:szCs w:val="21"/>
          <w:lang w:val="en-US" w:eastAsia="zh-CN" w:bidi="ar-SA"/>
        </w:rPr>
        <w:t xml:space="preserve">多次</w:t>
      </w:r>
      <w:r>
        <w:rPr>
          <w:rFonts w:hint="eastAsia" w:ascii="宋体" w:hAnsi="宋体" w:eastAsia="宋体" w:cs="宋体"/>
          <w:sz w:val="21"/>
          <w:szCs w:val="21"/>
          <w:lang w:val="en-US" w:eastAsia="zh-CN" w:bidi="ar-SA"/>
        </w:rPr>
        <w:t xml:space="preserve">未及时响应或响应但未及时</w:t>
      </w:r>
      <w:r>
        <w:rPr>
          <w:rFonts w:hint="eastAsia" w:ascii="宋体" w:hAnsi="宋体" w:cs="宋体"/>
          <w:sz w:val="21"/>
          <w:szCs w:val="21"/>
          <w:lang w:val="en-US" w:eastAsia="zh-CN" w:bidi="ar-SA"/>
        </w:rPr>
        <w:t xml:space="preserve">将食材送</w:t>
      </w:r>
      <w:r>
        <w:rPr>
          <w:rFonts w:hint="eastAsia" w:ascii="宋体" w:hAnsi="宋体" w:eastAsia="宋体" w:cs="宋体"/>
          <w:sz w:val="21"/>
          <w:szCs w:val="21"/>
          <w:lang w:val="en-US" w:eastAsia="zh-CN" w:bidi="ar-SA"/>
        </w:rPr>
        <w:t xml:space="preserve">到场；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（5）因乙方产品质量引起食用者呕吐、腹泻等不良反应或食物中毒现象，经权威部门鉴定，确属产品质量引起的；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（6）乙方</w:t>
      </w:r>
      <w:r>
        <w:rPr>
          <w:rFonts w:hint="eastAsia" w:ascii="宋体" w:hAnsi="宋体" w:cs="宋体"/>
          <w:sz w:val="21"/>
          <w:szCs w:val="21"/>
          <w:lang w:val="en-US" w:eastAsia="zh-CN" w:bidi="ar-SA"/>
        </w:rPr>
        <w:t xml:space="preserve">提供的结算资料弄虚作假</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eastAsia="宋体" w:cs="宋体"/>
          <w:sz w:val="21"/>
          <w:szCs w:val="21"/>
          <w:lang w:val="en-US" w:eastAsia="zh-CN" w:bidi="ar-SA"/>
        </w:rPr>
        <w:t xml:space="preserve">（7）乙方向</w:t>
      </w:r>
      <w:r>
        <w:rPr>
          <w:rFonts w:hint="eastAsia" w:ascii="宋体" w:hAnsi="宋体" w:cs="宋体"/>
          <w:sz w:val="21"/>
          <w:szCs w:val="21"/>
          <w:lang w:val="en-US" w:eastAsia="zh-CN" w:bidi="ar-SA"/>
        </w:rPr>
        <w:t xml:space="preserve">甲方</w:t>
      </w:r>
      <w:r>
        <w:rPr>
          <w:rFonts w:hint="eastAsia" w:ascii="宋体" w:hAnsi="宋体" w:eastAsia="宋体" w:cs="宋体"/>
          <w:sz w:val="21"/>
          <w:szCs w:val="21"/>
          <w:lang w:val="en-US" w:eastAsia="zh-CN" w:bidi="ar-SA"/>
        </w:rPr>
        <w:t xml:space="preserve">提供的食材</w:t>
      </w:r>
      <w:r>
        <w:rPr>
          <w:rFonts w:hint="eastAsia" w:ascii="宋体" w:hAnsi="宋体" w:cs="宋体"/>
          <w:sz w:val="21"/>
          <w:szCs w:val="21"/>
          <w:lang w:val="en-US" w:eastAsia="zh-CN" w:bidi="ar-SA"/>
        </w:rPr>
        <w:t xml:space="preserve">出现三次及以上</w:t>
      </w:r>
      <w:r>
        <w:rPr>
          <w:rFonts w:hint="eastAsia" w:ascii="宋体" w:hAnsi="宋体" w:eastAsia="宋体" w:cs="宋体"/>
          <w:sz w:val="21"/>
          <w:szCs w:val="21"/>
          <w:lang w:val="en-US" w:eastAsia="zh-CN" w:bidi="ar-SA"/>
        </w:rPr>
        <w:t xml:space="preserve">发生质量问题，影响食用，经验收小组确认</w:t>
      </w:r>
      <w:r>
        <w:rPr>
          <w:rFonts w:hint="eastAsia" w:ascii="宋体" w:hAnsi="宋体" w:cs="宋体"/>
          <w:sz w:val="21"/>
          <w:szCs w:val="21"/>
          <w:lang w:val="en-US" w:eastAsia="zh-CN" w:bidi="ar-SA"/>
        </w:rPr>
        <w:t xml:space="preserve">的；</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（8）乙方第三次出现延迟交货或配送货物不符合订单要求的；</w:t>
      </w:r>
      <w:r>
        <w:rPr>
          <w:rFonts w:hint="eastAsia" w:ascii="宋体" w:hAnsi="宋体" w:cs="宋体"/>
          <w:sz w:val="21"/>
          <w:szCs w:val="21"/>
          <w:lang w:val="en-US" w:eastAsia="zh-CN" w:bidi="ar-SA"/>
        </w:rPr>
      </w:r>
      <w:r/>
    </w:p>
    <w:p>
      <w:pPr>
        <w:pStyle w:val="802"/>
        <w:ind w:left="0" w:firstLine="420"/>
        <w:jc w:val="both"/>
        <w:spacing w:after="0" w:line="360" w:lineRule="auto"/>
        <w:widowControl w:val="off"/>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（9）乙方在项目实施期间出现违背投标时的承诺，或经营异常，或丧失商业信誉，或产品被曝光不合格或被政府部门取缔相关生产经营资格的情况；</w:t>
      </w:r>
      <w:r>
        <w:rPr>
          <w:rFonts w:hint="eastAsia" w:ascii="宋体" w:hAnsi="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第十四条 合同的转让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乙方不得擅自部分或全部转让其应履行的合同义务。</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第十五条 争议的解决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因履行本合同引起的或与本合同有关的争议，甲、乙双方应首先通过友好协商解决，如果协商不决争议，则采取以下第（2）种方式解决争议：</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（1）向甲方所在地有管辖权的人民法院提起诉讼；</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（2）向南京仲裁委员会按其仲裁规则申请仲裁。</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在仲裁期间，本合同应继续履行。</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第十六条 诚实信用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乙方应诚实信用，严格按照招标文件要求和投标承诺履行合同，不向甲方进行商业贿赂或者提供不正当利益。</w:t>
      </w:r>
      <w:r>
        <w:rPr>
          <w:rFonts w:hint="eastAsia" w:ascii="宋体" w:hAnsi="宋体" w:eastAsia="宋体" w:cs="宋体"/>
          <w:sz w:val="21"/>
          <w:szCs w:val="21"/>
          <w:lang w:val="en-US" w:eastAsia="zh-CN" w:bidi="ar-SA"/>
        </w:rPr>
      </w:r>
      <w:r/>
    </w:p>
    <w:p>
      <w:pPr>
        <w:pStyle w:val="802"/>
        <w:ind w:left="0" w:firstLine="422"/>
        <w:jc w:val="both"/>
        <w:spacing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第十七条 合同生效</w:t>
      </w:r>
      <w:r>
        <w:rPr>
          <w:rFonts w:hint="eastAsia" w:ascii="宋体" w:hAnsi="宋体" w:cs="宋体"/>
          <w:b/>
          <w:bCs/>
          <w:sz w:val="21"/>
          <w:szCs w:val="21"/>
          <w:lang w:val="en-US" w:eastAsia="zh-CN" w:bidi="ar-SA"/>
        </w:rPr>
        <w:t xml:space="preserve">及其他</w:t>
      </w:r>
      <w:r>
        <w:rPr>
          <w:rFonts w:hint="eastAsia" w:ascii="宋体" w:hAnsi="宋体" w:eastAsia="宋体" w:cs="宋体"/>
          <w:b/>
          <w:bCs/>
          <w:sz w:val="21"/>
          <w:szCs w:val="21"/>
          <w:lang w:val="en-US" w:eastAsia="zh-CN" w:bidi="ar-SA"/>
        </w:rPr>
        <w:t xml:space="preserve"> </w:t>
      </w:r>
      <w:r>
        <w:rPr>
          <w:rFonts w:hint="eastAsia" w:ascii="宋体" w:hAnsi="宋体" w:eastAsia="宋体" w:cs="宋体"/>
          <w:b/>
          <w:bCs/>
          <w:sz w:val="21"/>
          <w:szCs w:val="21"/>
          <w:lang w:val="en-US" w:eastAsia="zh-CN" w:bidi="ar-SA"/>
        </w:rPr>
      </w:r>
      <w:r/>
    </w:p>
    <w:p>
      <w:pPr>
        <w:pStyle w:val="802"/>
        <w:ind w:left="0" w:firstLine="420"/>
        <w:jc w:val="both"/>
        <w:spacing w:after="0" w:line="360" w:lineRule="auto"/>
        <w:widowControl w:val="off"/>
        <w:tabs>
          <w:tab w:val="left" w:pos="589" w:leader="none"/>
        </w:tabs>
        <w:rPr>
          <w:rFonts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color w:val="000000"/>
          <w:sz w:val="21"/>
          <w:szCs w:val="21"/>
          <w:highlight w:val="none"/>
          <w:lang w:eastAsia="zh-CN"/>
        </w:rPr>
        <w:t xml:space="preserve">合同履行期限：自甲方书面通知之日起供货，至所属分包预算资金使用完毕或供货满一年时自动终止，二者以先到者为准。</w:t>
      </w:r>
      <w:r>
        <w:rPr>
          <w:rFonts w:ascii="宋体" w:hAnsi="宋体" w:eastAsia="宋体" w:cs="宋体"/>
          <w:b/>
          <w:bCs/>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本合同一式肆份，甲乙双方各执贰份，具有同等法律效力。</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本合同应按照中华人民共和国的现行法律进行解释。</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lang w:val="en-US" w:eastAsia="zh-CN"/>
        </w:rPr>
      </w:pPr>
      <w:r>
        <w:rPr>
          <w:rFonts w:hint="eastAsia" w:ascii="宋体" w:hAnsi="宋体" w:cs="宋体"/>
          <w:sz w:val="21"/>
          <w:szCs w:val="21"/>
          <w:lang w:val="en-US" w:eastAsia="zh-CN" w:bidi="ar-SA"/>
        </w:rPr>
        <w:t xml:space="preserve">第十八条</w:t>
      </w:r>
      <w:r>
        <w:rPr>
          <w:rFonts w:hint="eastAsia" w:ascii="宋体" w:hAnsi="宋体" w:eastAsia="宋体" w:cs="宋体"/>
          <w:b/>
          <w:bCs/>
          <w:sz w:val="21"/>
          <w:szCs w:val="21"/>
          <w:lang w:val="en-US" w:eastAsia="zh-CN" w:bidi="ar-SA"/>
        </w:rPr>
        <w:t xml:space="preserve"> </w:t>
      </w:r>
      <w:r>
        <w:rPr>
          <w:rFonts w:hint="eastAsia"/>
          <w:lang w:val="en-US" w:eastAsia="zh-CN"/>
        </w:rPr>
        <w:t xml:space="preserve">其他补充条款</w:t>
      </w:r>
      <w:r>
        <w:rPr>
          <w:rFonts w:hint="eastAsia"/>
          <w:lang w:val="en-US" w:eastAsia="zh-CN"/>
        </w:rPr>
      </w:r>
      <w:r/>
    </w:p>
    <w:p>
      <w:pPr>
        <w:pStyle w:val="802"/>
        <w:ind w:left="0" w:firstLine="420"/>
        <w:jc w:val="both"/>
        <w:spacing w:after="0" w:line="360" w:lineRule="auto"/>
        <w:widowControl w:val="off"/>
        <w:tabs>
          <w:tab w:val="left" w:pos="589"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其他补充条款，由甲方在签订本合同时列明。</w:t>
      </w:r>
      <w:r>
        <w:rPr>
          <w:rFonts w:hint="eastAsia" w:ascii="宋体" w:hAnsi="宋体" w:eastAsia="宋体" w:cs="宋体"/>
          <w:sz w:val="21"/>
          <w:szCs w:val="21"/>
          <w:lang w:val="en-US" w:eastAsia="zh-CN" w:bidi="ar-SA"/>
        </w:rPr>
      </w:r>
      <w:r/>
    </w:p>
    <w:p>
      <w:pPr>
        <w:pStyle w:val="814"/>
        <w:rPr>
          <w:lang w:val="en-US" w:eastAsia="zh-CN"/>
        </w:rPr>
      </w:pPr>
      <w:r>
        <w:rPr>
          <w:lang w:val="en-US" w:eastAsia="zh-CN"/>
        </w:rPr>
      </w:r>
      <w:r/>
    </w:p>
    <w:p>
      <w:pPr>
        <w:pStyle w:val="802"/>
        <w:ind w:left="420" w:firstLine="480"/>
        <w:jc w:val="both"/>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802"/>
        <w:ind w:left="420" w:firstLine="480"/>
        <w:jc w:val="both"/>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甲方（采购人）：（盖章）                  乙方（投标人）：（盖章）</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委托</w:t>
      </w:r>
      <w:r>
        <w:rPr>
          <w:rFonts w:hint="eastAsia" w:ascii="宋体" w:hAnsi="宋体" w:eastAsia="宋体" w:cs="宋体"/>
          <w:sz w:val="21"/>
          <w:szCs w:val="21"/>
          <w:lang w:val="en-US" w:eastAsia="zh-CN" w:bidi="ar-SA"/>
        </w:rPr>
        <w:t xml:space="preserve">代表人：                              委托代表人：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 话：                                   电 话：</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开户银行：                                开户银行： </w:t>
      </w:r>
      <w:r>
        <w:rPr>
          <w:rFonts w:hint="eastAsia" w:ascii="宋体" w:hAnsi="宋体" w:eastAsia="宋体" w:cs="宋体"/>
          <w:sz w:val="21"/>
          <w:szCs w:val="21"/>
          <w:lang w:val="en-US" w:eastAsia="zh-CN" w:bidi="ar-SA"/>
        </w:rPr>
      </w:r>
      <w:r/>
    </w:p>
    <w:p>
      <w:pPr>
        <w:pStyle w:val="802"/>
        <w:ind w:left="0" w:firstLine="420"/>
        <w:jc w:val="both"/>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帐 号：                                   帐 号：</w:t>
      </w:r>
      <w:r>
        <w:rPr>
          <w:rFonts w:hint="eastAsia" w:ascii="宋体" w:hAnsi="宋体" w:eastAsia="宋体" w:cs="宋体"/>
          <w:sz w:val="21"/>
          <w:szCs w:val="21"/>
          <w:lang w:val="en-US" w:eastAsia="zh-CN" w:bidi="ar-SA"/>
        </w:rPr>
      </w:r>
      <w:r/>
    </w:p>
    <w:p>
      <w:pPr>
        <w:pStyle w:val="802"/>
        <w:ind w:firstLine="420"/>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宋体" w:hAnsi="宋体" w:eastAsia="宋体" w:cs="宋体"/>
          <w:sz w:val="21"/>
          <w:szCs w:val="21"/>
          <w:lang w:val="en-US" w:eastAsia="zh-CN" w:bidi="ar-SA"/>
        </w:rPr>
        <w:t xml:space="preserve">日 期：   年   月   日                    日 期：   年   月   日</w:t>
      </w:r>
      <w:r>
        <w:rPr>
          <w:rFonts w:hint="eastAsia" w:ascii="方正小标宋简体" w:hAnsi="方正小标宋简体" w:eastAsia="方正小标宋简体" w:cs="方正小标宋简体"/>
          <w:b w:val="0"/>
          <w:bCs/>
          <w:sz w:val="32"/>
          <w:szCs w:val="32"/>
          <w:highlight w:val="none"/>
        </w:rPr>
      </w:r>
      <w:r/>
    </w:p>
    <w:p>
      <w:pPr>
        <w:pStyle w:val="802"/>
        <w:spacing w:line="480" w:lineRule="auto"/>
        <w:rPr>
          <w:rFonts w:hint="eastAsia" w:hAnsi="宋体"/>
          <w:color w:val="000000"/>
          <w:szCs w:val="21"/>
          <w:highlight w:val="none"/>
        </w:rPr>
      </w:pPr>
      <w:r>
        <w:rPr>
          <w:rFonts w:hint="eastAsia" w:hAnsi="宋体"/>
          <w:color w:val="000000"/>
          <w:szCs w:val="21"/>
          <w:highlight w:val="none"/>
        </w:rPr>
      </w:r>
      <w:r/>
    </w:p>
    <w:p>
      <w:pPr>
        <w:pStyle w:val="802"/>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pStyle w:val="1052"/>
        <w:ind w:firstLine="4800"/>
        <w:pageBreakBefore w:val="0"/>
        <w:spacing w:before="120" w:after="120" w:line="360" w:lineRule="auto"/>
        <w:rPr>
          <w:rFonts w:hAnsi="宋体"/>
          <w:color w:val="000000"/>
          <w:sz w:val="24"/>
          <w:szCs w:val="24"/>
        </w:rPr>
      </w:pPr>
      <w:r>
        <w:rPr>
          <w:rFonts w:hAnsi="宋体"/>
          <w:color w:val="000000"/>
          <w:sz w:val="24"/>
          <w:szCs w:val="24"/>
        </w:rPr>
      </w:r>
      <w:r/>
    </w:p>
    <w:p>
      <w:pPr>
        <w:pStyle w:val="802"/>
        <w:jc w:val="center"/>
        <w:pageBreakBefore w:val="0"/>
        <w:spacing w:before="145" w:after="145" w:line="360" w:lineRule="auto"/>
        <w:rPr>
          <w:rFonts w:ascii="宋体" w:hAnsi="宋体"/>
          <w:b/>
          <w:color w:val="000000"/>
          <w:sz w:val="30"/>
          <w:szCs w:val="21"/>
        </w:rPr>
        <w:outlineLvl w:val="0"/>
      </w:pPr>
      <w:r>
        <w:rPr>
          <w:rFonts w:ascii="宋体" w:hAnsi="宋体"/>
          <w:b/>
          <w:color w:val="000000"/>
          <w:sz w:val="30"/>
          <w:szCs w:val="21"/>
        </w:rPr>
      </w:r>
      <w:r/>
    </w:p>
    <w:p>
      <w:pPr>
        <w:pStyle w:val="802"/>
        <w:pageBreakBefore w:val="0"/>
        <w:spacing w:before="145" w:after="145" w:line="360" w:lineRule="auto"/>
        <w:rPr>
          <w:rFonts w:ascii="方正小标宋简体" w:hAnsi="方正小标宋简体" w:eastAsia="方正小标宋简体" w:cs="方正小标宋简体"/>
          <w:bCs/>
          <w:color w:val="000000"/>
          <w:sz w:val="32"/>
          <w:szCs w:val="32"/>
        </w:rPr>
        <w:outlineLvl w:val="0"/>
      </w:pPr>
      <w:r>
        <w:rPr>
          <w:rFonts w:ascii="方正小标宋简体" w:hAnsi="方正小标宋简体" w:eastAsia="方正小标宋简体" w:cs="方正小标宋简体"/>
          <w:bCs/>
          <w:color w:val="000000"/>
          <w:sz w:val="32"/>
          <w:szCs w:val="32"/>
        </w:rPr>
      </w:r>
      <w:r/>
    </w:p>
    <w:p>
      <w:pPr>
        <w:pStyle w:val="802"/>
        <w:jc w:val="center"/>
        <w:pageBreakBefore w:val="0"/>
        <w:spacing w:before="145" w:after="145" w:line="360" w:lineRule="auto"/>
        <w:rPr>
          <w:rFonts w:ascii="方正小标宋简体" w:hAnsi="方正小标宋简体" w:eastAsia="方正小标宋简体" w:cs="方正小标宋简体"/>
          <w:bCs/>
          <w:color w:val="000000"/>
          <w:sz w:val="32"/>
          <w:szCs w:val="32"/>
        </w:rPr>
        <w:outlineLvl w:val="0"/>
      </w:pPr>
      <w:r/>
      <w:bookmarkStart w:id="61" w:name="_Toc10108"/>
      <w:r/>
      <w:bookmarkStart w:id="62" w:name="_Toc3338"/>
      <w:r/>
      <w:bookmarkStart w:id="63" w:name="_Toc21259"/>
      <w:r>
        <w:rPr>
          <w:rFonts w:hint="eastAsia" w:ascii="方正小标宋简体" w:hAnsi="方正小标宋简体" w:eastAsia="方正小标宋简体" w:cs="方正小标宋简体"/>
          <w:bCs/>
          <w:color w:val="000000"/>
          <w:sz w:val="32"/>
          <w:szCs w:val="32"/>
        </w:rPr>
        <w:t xml:space="preserve">《*******合同》补充协议（合同附件）</w:t>
      </w:r>
      <w:bookmarkEnd w:id="61"/>
      <w:r/>
      <w:bookmarkEnd w:id="62"/>
      <w:r/>
      <w:bookmarkEnd w:id="63"/>
      <w:r>
        <w:rPr>
          <w:rFonts w:ascii="方正小标宋简体" w:hAnsi="方正小标宋简体" w:eastAsia="方正小标宋简体" w:cs="方正小标宋简体"/>
          <w:bCs/>
          <w:color w:val="000000"/>
          <w:sz w:val="32"/>
          <w:szCs w:val="32"/>
        </w:rPr>
      </w:r>
      <w:r/>
    </w:p>
    <w:p>
      <w:pPr>
        <w:pStyle w:val="1052"/>
        <w:ind w:firstLine="480"/>
        <w:jc w:val="left"/>
        <w:pageBreakBefore w:val="0"/>
        <w:spacing w:before="120" w:after="120" w:line="360"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802"/>
        <w:jc w:val="center"/>
        <w:pageBreakBefore w:val="0"/>
        <w:spacing w:before="120" w:after="120" w:line="360" w:lineRule="auto"/>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bookmarkStart w:id="64" w:name="_Toc24350"/>
      <w:r>
        <w:rPr>
          <w:rFonts w:hint="eastAsia" w:ascii="方正小标宋简体" w:hAnsi="方正小标宋简体" w:eastAsia="方正小标宋简体" w:cs="方正小标宋简体"/>
          <w:color w:val="000000"/>
          <w:sz w:val="36"/>
          <w:szCs w:val="36"/>
        </w:rPr>
        <w:t xml:space="preserve">★</w:t>
      </w:r>
      <w:r>
        <w:rPr>
          <w:rFonts w:hint="eastAsia" w:ascii="方正小标宋简体" w:hAnsi="方正小标宋简体" w:eastAsia="方正小标宋简体" w:cs="方正小标宋简体"/>
          <w:color w:val="000000"/>
          <w:sz w:val="36"/>
          <w:szCs w:val="36"/>
        </w:rPr>
        <w:t xml:space="preserve">第</w:t>
      </w:r>
      <w:bookmarkEnd w:id="54"/>
      <w:r>
        <w:rPr>
          <w:rFonts w:hint="eastAsia" w:ascii="方正小标宋简体" w:hAnsi="方正小标宋简体" w:eastAsia="方正小标宋简体" w:cs="方正小标宋简体"/>
          <w:color w:val="000000"/>
          <w:sz w:val="36"/>
          <w:szCs w:val="36"/>
        </w:rPr>
        <w:t xml:space="preserve">四章  采购需求</w:t>
      </w:r>
      <w:bookmarkEnd w:id="55"/>
      <w:r/>
      <w:bookmarkEnd w:id="56"/>
      <w:r/>
      <w:bookmarkEnd w:id="57"/>
      <w:r/>
      <w:bookmarkEnd w:id="64"/>
      <w:r>
        <w:rPr>
          <w:rFonts w:ascii="方正小标宋简体" w:hAnsi="方正小标宋简体" w:eastAsia="方正小标宋简体" w:cs="方正小标宋简体"/>
          <w:color w:val="000000"/>
          <w:sz w:val="36"/>
          <w:szCs w:val="36"/>
        </w:rPr>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bookmarkStart w:id="65" w:name="_Toc26554093"/>
      <w:r/>
      <w:bookmarkStart w:id="66" w:name="_Toc49090575"/>
      <w:r/>
      <w:bookmarkStart w:id="67" w:name="_Toc120614281"/>
      <w:r>
        <w:rPr>
          <w:rFonts w:ascii="宋体" w:hAnsi="宋体" w:eastAsia="宋体" w:cs="宋体"/>
          <w:b/>
          <w:color w:val="000000"/>
          <w:sz w:val="24"/>
        </w:rPr>
        <w:t xml:space="preserve">一、项目概况</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南京市公安局经侦支队</w:t>
      </w:r>
      <w:r>
        <w:rPr>
          <w:rFonts w:hint="eastAsia" w:ascii="宋体" w:hAnsi="宋体" w:cs="宋体"/>
          <w:color w:val="000000"/>
          <w:sz w:val="24"/>
          <w:lang w:val="en-US" w:eastAsia="zh-CN"/>
        </w:rPr>
        <w:t xml:space="preserve">食堂</w:t>
      </w:r>
      <w:r>
        <w:rPr>
          <w:rFonts w:ascii="宋体" w:hAnsi="宋体" w:eastAsia="宋体" w:cs="宋体"/>
          <w:color w:val="000000"/>
          <w:sz w:val="24"/>
        </w:rPr>
        <w:t xml:space="preserve">食材采购及相关服务项目，主要食材品种如下：</w:t>
      </w:r>
      <w:r/>
    </w:p>
    <w:tbl>
      <w:tblPr>
        <w:tblStyle w:val="85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7743"/>
      </w:tblGrid>
      <w:tr>
        <w:trPr>
          <w:trHeight w:val="413"/>
        </w:trPr>
        <w:tc>
          <w:tcPr>
            <w:tcMar>
              <w:left w:w="108" w:type="dxa"/>
              <w:top w:w="0" w:type="dxa"/>
              <w:right w:w="108" w:type="dxa"/>
              <w:bottom w:w="0" w:type="dxa"/>
            </w:tcMar>
            <w:tcW w:w="1611" w:type="dxa"/>
            <w:vAlign w:val="center"/>
            <w:textDirection w:val="lrTb"/>
            <w:noWrap w:val="false"/>
          </w:tcPr>
          <w:p>
            <w:pPr>
              <w:pStyle w:val="802"/>
              <w:ind w:left="0" w:right="0" w:firstLine="482"/>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Mar>
              <w:left w:w="108" w:type="dxa"/>
              <w:top w:w="0" w:type="dxa"/>
              <w:right w:w="108" w:type="dxa"/>
              <w:bottom w:w="0" w:type="dxa"/>
            </w:tcMar>
            <w:tcW w:w="7743" w:type="dxa"/>
            <w:vAlign w:val="center"/>
            <w:textDirection w:val="lrTb"/>
            <w:noWrap w:val="false"/>
          </w:tcPr>
          <w:p>
            <w:pPr>
              <w:pStyle w:val="802"/>
              <w:ind w:left="0" w:right="0" w:firstLine="482"/>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品类（包含以下但不限于，方便日后扩展采购）</w:t>
            </w:r>
            <w:r/>
          </w:p>
        </w:tc>
      </w:tr>
      <w:tr>
        <w:trPr>
          <w:trHeight w:val="413"/>
        </w:trPr>
        <w:tc>
          <w:tcPr>
            <w:tcMar>
              <w:left w:w="108" w:type="dxa"/>
              <w:top w:w="0" w:type="dxa"/>
              <w:right w:w="108" w:type="dxa"/>
              <w:bottom w:w="0" w:type="dxa"/>
            </w:tcMar>
            <w:tcW w:w="1611"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7743"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米、面、油</w:t>
            </w:r>
            <w:r/>
          </w:p>
        </w:tc>
      </w:tr>
      <w:tr>
        <w:trPr>
          <w:trHeight w:val="413"/>
        </w:trPr>
        <w:tc>
          <w:tcPr>
            <w:tcMar>
              <w:left w:w="108" w:type="dxa"/>
              <w:top w:w="0" w:type="dxa"/>
              <w:right w:w="108" w:type="dxa"/>
              <w:bottom w:w="0" w:type="dxa"/>
            </w:tcMar>
            <w:tcW w:w="1611"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7743"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肉制品类（包含冷冻制品）</w:t>
            </w:r>
            <w:r/>
          </w:p>
        </w:tc>
      </w:tr>
      <w:tr>
        <w:trPr>
          <w:trHeight w:val="413"/>
        </w:trPr>
        <w:tc>
          <w:tcPr>
            <w:tcMar>
              <w:left w:w="108" w:type="dxa"/>
              <w:top w:w="0" w:type="dxa"/>
              <w:right w:w="108" w:type="dxa"/>
              <w:bottom w:w="0" w:type="dxa"/>
            </w:tcMar>
            <w:tcW w:w="1611"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7743"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蔬菜类、蛋类</w:t>
            </w:r>
            <w:r/>
          </w:p>
        </w:tc>
      </w:tr>
      <w:tr>
        <w:trPr>
          <w:trHeight w:val="413"/>
        </w:trPr>
        <w:tc>
          <w:tcPr>
            <w:tcMar>
              <w:left w:w="108" w:type="dxa"/>
              <w:top w:w="0" w:type="dxa"/>
              <w:right w:w="108" w:type="dxa"/>
              <w:bottom w:w="0" w:type="dxa"/>
            </w:tcMar>
            <w:tcW w:w="1611"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7743" w:type="dxa"/>
            <w:vAlign w:val="center"/>
            <w:textDirection w:val="lrTb"/>
            <w:noWrap w:val="false"/>
          </w:tcPr>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水果类、干货类、调味品类</w:t>
            </w:r>
            <w:r/>
          </w:p>
        </w:tc>
      </w:tr>
    </w:tbl>
    <w:p>
      <w:pPr>
        <w:pStyle w:val="802"/>
        <w:ind w:firstLine="480"/>
        <w:pageBreakBefore w:val="0"/>
        <w:spacing w:line="360" w:lineRule="auto"/>
        <w:rPr>
          <w:rFonts w:hint="eastAsia" w:ascii="宋体" w:hAnsi="宋体" w:cs="宋体"/>
          <w:b/>
          <w:color w:val="000000"/>
          <w:sz w:val="24"/>
          <w:lang w:val="en-US" w:eastAsia="zh-CN"/>
        </w:rPr>
      </w:pPr>
      <w:r>
        <w:rPr>
          <w:rFonts w:hint="eastAsia" w:ascii="宋体" w:hAnsi="宋体" w:cs="宋体"/>
          <w:b/>
          <w:color w:val="000000"/>
          <w:sz w:val="24"/>
          <w:lang w:val="en-US" w:eastAsia="zh-CN"/>
        </w:rPr>
      </w:r>
      <w:r/>
    </w:p>
    <w:p>
      <w:pPr>
        <w:pStyle w:val="802"/>
        <w:ind w:firstLine="480"/>
        <w:pageBreakBefore w:val="0"/>
        <w:spacing w:line="360" w:lineRule="auto"/>
        <w:rPr>
          <w:rFonts w:ascii="宋体" w:hAnsi="宋体" w:cs="宋体"/>
          <w:b/>
          <w:color w:val="000000"/>
          <w:sz w:val="24"/>
          <w:lang w:val="en-US" w:eastAsia="zh-CN"/>
        </w:rPr>
      </w:pPr>
      <w:r>
        <w:rPr>
          <w:rFonts w:hint="eastAsia" w:ascii="宋体" w:hAnsi="宋体" w:cs="宋体"/>
          <w:b w:val="0"/>
          <w:bCs/>
          <w:color w:val="000000"/>
          <w:sz w:val="24"/>
          <w:lang w:val="en-US" w:eastAsia="zh-CN"/>
        </w:rPr>
        <w:t xml:space="preserve">2</w:t>
      </w:r>
      <w:r>
        <w:rPr>
          <w:rFonts w:hint="eastAsia" w:ascii="宋体" w:hAnsi="宋体" w:eastAsia="宋体" w:cs="宋体"/>
          <w:color w:val="000000"/>
          <w:sz w:val="24"/>
          <w:lang w:val="en-US" w:eastAsia="zh-CN"/>
        </w:rPr>
        <w:t xml:space="preserve">、本项目合同履行期限：</w:t>
      </w:r>
      <w:r>
        <w:rPr>
          <w:rFonts w:hint="eastAsia" w:ascii="宋体" w:hAnsi="宋体" w:eastAsia="宋体" w:cs="宋体"/>
          <w:color w:val="000000"/>
          <w:sz w:val="24"/>
          <w:u w:val="single"/>
        </w:rPr>
        <w:t xml:space="preserve">合同自甲方书面通知供货之日起生效，至所属分包预算资金使用完毕或供货满一年时自动终止，二者以先到者为准。</w:t>
      </w:r>
      <w:r>
        <w:rPr>
          <w:rFonts w:ascii="宋体" w:hAnsi="宋体" w:cs="宋体"/>
          <w:b/>
          <w:color w:val="000000"/>
          <w:sz w:val="24"/>
          <w:lang w:val="en-US" w:eastAsia="zh-CN"/>
        </w:rPr>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二、招标货物质量指标、规格和要求</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（一）米、面、油</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大米类：</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1.1质量指标：应符合《大米》（GB/T1354-2018）</w:t>
      </w:r>
      <w:r>
        <w:rPr>
          <w:rFonts w:ascii="宋体" w:hAnsi="宋体" w:eastAsia="宋体" w:cs="宋体"/>
          <w:b/>
          <w:color w:val="000000"/>
          <w:sz w:val="24"/>
        </w:rPr>
        <w:t xml:space="preserve">粳米（二级）</w:t>
      </w:r>
      <w:r>
        <w:rPr>
          <w:rFonts w:ascii="宋体" w:hAnsi="宋体" w:eastAsia="宋体" w:cs="宋体"/>
          <w:color w:val="000000"/>
          <w:sz w:val="24"/>
        </w:rPr>
        <w:t xml:space="preserve">的规定。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1.2卫生指标：应符合《食品安全国家标准粮食》（GB2715-2016）相关规定。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1.3加工过程卫生要求：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生产过程应符合《食品安全国家标准 食品生产通用卫生规范》（GB14881-2013）；生产过程中严禁添加任何物质，包括营养剂。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2.净含量要求：单件包装规格25公斤，每批次按送货总量的5%进行抽检（不含包装袋重量），总净含量应足量，不足的按比例在总数中扣除。</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3.包装要求：应符合《粮食销售包装》（GB/T17109-2008）的相关规定。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4.标签要求：应符合《食品安全国家标准 预包装食品标签通则》（GB7718-2011） 的相关规定。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5.存储、运输及保质期要求：应符合《大米》（GB/T1354—2018）的相关规定，应明确标识保质期，剩余保质期不少于原有保质期的三分之二。</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小麦粉：</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1.1质量指标：应符合《小麦粉》（GB/T1355-2021）</w:t>
      </w:r>
      <w:r>
        <w:rPr>
          <w:rFonts w:ascii="宋体" w:hAnsi="宋体" w:eastAsia="宋体" w:cs="宋体"/>
          <w:b/>
          <w:color w:val="000000"/>
          <w:sz w:val="24"/>
        </w:rPr>
        <w:t xml:space="preserve">精制粉</w:t>
      </w:r>
      <w:r>
        <w:rPr>
          <w:rFonts w:ascii="宋体" w:hAnsi="宋体" w:eastAsia="宋体" w:cs="宋体"/>
          <w:color w:val="000000"/>
          <w:sz w:val="24"/>
        </w:rPr>
        <w:t xml:space="preserve">的规定。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1.2卫生指标：应符合《食品安全国家标准 粮食》（GB2715-2016）的相关规定。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1.3加工过程卫生要求：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生产过程应符合《食品安全国家标准 食品生产通用卫生规范》（GB14881——2013）；生产过程中严禁添加任何物质，包括营养剂。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2.净含量要求：单件包装规格 25 公斤，每批次按送货总量的5%进行抽检（不含包装袋重量），总净含量应足量，不足的按比例在总数中扣除；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3.包装要求：应符合《粮食销售包装》（GB/T17109-2008） 和《粮食包装 小麦粉袋》（GB/T24905-2010）的相关规定。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4.标签要求：应符合《食品安全国家标准 预包装食品标签通则》（GB7718-2011 ）的相关规定。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5.存储要求：应符合《粮油储藏技术规范》（GB/T29890-2013）的相关规定。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6.运输要求：应符合《小麦粉》（GB/T1355-2021） 的9.3 条款的规定。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7.保质期要求：应明确标识，剩余保质期不少于原有保质期的三分之二。 </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大豆油：</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1.1质量指标：应符合《大豆油》（GB/T1535-2017）</w:t>
      </w:r>
      <w:r>
        <w:rPr>
          <w:rFonts w:ascii="宋体" w:hAnsi="宋体" w:eastAsia="宋体" w:cs="宋体"/>
          <w:b/>
          <w:color w:val="000000"/>
          <w:sz w:val="24"/>
        </w:rPr>
        <w:t xml:space="preserve">大豆油（一级）</w:t>
      </w:r>
      <w:r>
        <w:rPr>
          <w:rFonts w:ascii="宋体" w:hAnsi="宋体" w:eastAsia="宋体" w:cs="宋体"/>
          <w:color w:val="000000"/>
          <w:sz w:val="24"/>
        </w:rPr>
        <w:t xml:space="preserve">的指标要求。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1.2卫生指标：应符合《食品安全国家标准 植物油》GB2716 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1.3加工过程卫生要求：生产过程中严禁添加任何物质，包括食用油、非食用油、香料和香精。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2.净含量要求：单件包装容积 10 升桶装，每批次按送货总量的5%进行抽检（不含包装袋重量），总净含量应足量，不足的按比例在总数中扣除；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3.包装要求：应符合《食用植物油销售包装》（GB/T17374-2008） 的相关规定。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4.标签要求：应符合《食品安全国家标准 预包装食品标签通则》（GB7718-2011）的相关规定。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5.存储、运输及保质期要求：应符合《大豆油》（GB/T1535-2017）的 相关规定，应明确标识保质期，剩余保存期不少于原有保质期的三分之二。 </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（二）肉制品类（包含冷冻制品）</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猪肉类：</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1.1质量指标:应符合《猪肉分级》（NY/T3380-2018</w:t>
      </w:r>
      <w:r>
        <w:rPr>
          <w:rFonts w:ascii="宋体" w:hAnsi="宋体" w:eastAsia="宋体" w:cs="宋体"/>
          <w:b/>
          <w:color w:val="000000"/>
          <w:sz w:val="24"/>
        </w:rPr>
        <w:t xml:space="preserve">）猪肉（3级）</w:t>
      </w:r>
      <w:r>
        <w:rPr>
          <w:rFonts w:ascii="宋体" w:hAnsi="宋体" w:eastAsia="宋体" w:cs="宋体"/>
          <w:color w:val="000000"/>
          <w:sz w:val="24"/>
        </w:rPr>
        <w:t xml:space="preserve">的规定、以及《鲜、冻猪肉及猪副产品 第1部分：片猪肉》（</w:t>
      </w:r>
      <w:r>
        <w:fldChar w:fldCharType="begin"/>
      </w:r>
      <w:r>
        <w:instrText xml:space="preserve"> HYPERLINK "https://www.antpedia.com/standard/1733372864.html" \o "https://www.antpedia.com/standard/1733372864.html" </w:instrText>
      </w:r>
      <w:r>
        <w:fldChar w:fldCharType="separate"/>
      </w:r>
      <w:r>
        <w:rPr>
          <w:rStyle w:val="860"/>
          <w:rFonts w:ascii="宋体" w:hAnsi="宋体" w:eastAsia="宋体" w:cs="宋体"/>
          <w:color w:val="000000"/>
          <w:sz w:val="24"/>
          <w:u w:val="none"/>
        </w:rPr>
        <w:t xml:space="preserve">GB/T9959.1-2019</w:t>
      </w:r>
      <w:r>
        <w:rPr>
          <w:rStyle w:val="860"/>
          <w:rFonts w:ascii="宋体" w:hAnsi="宋体" w:eastAsia="宋体" w:cs="宋体"/>
          <w:color w:val="000000"/>
          <w:sz w:val="24"/>
          <w:u w:val="none"/>
        </w:rPr>
        <w:fldChar w:fldCharType="end"/>
      </w:r>
      <w:r>
        <w:rPr>
          <w:rFonts w:ascii="宋体" w:hAnsi="宋体" w:eastAsia="宋体" w:cs="宋体"/>
          <w:color w:val="000000"/>
          <w:sz w:val="24"/>
        </w:rPr>
        <w:t xml:space="preserve">）、《鲜、冻猪肉及猪副产品 第3部分：分部位分割猪肉》（GB/T9959.3-2019）、《食品安全国家标准 鲜（冻）畜、禽产品》（GB2707-2016）的相关规定。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1.2加工过程要求：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1.2加工过程要求：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猪肉为去骨肉，应满足甲方对猪肉去皮、开条、切块等免费加工要求，例如：①开条（条肉），宽6cm×厚5cm（或自然厚）×长30cm；②切块（块肉），宽4cm×厚4cm×长4cm ;③排骨，自然骨宽×自然厚×长4cm；具体按照收货监所要求进行分割加工（去除的猪皮随猪肉一并称重配送）。</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原料符合《鲜、冻猪肉及猪副产品 第1部分：片猪肉》（</w:t>
      </w:r>
      <w:r>
        <w:fldChar w:fldCharType="begin"/>
      </w:r>
      <w:r>
        <w:instrText xml:space="preserve"> HYPERLINK "https://www.antpedia.com/standard/1733372864.html" \o "https://www.antpedia.com/standard/1733372864.html" </w:instrText>
      </w:r>
      <w:r>
        <w:fldChar w:fldCharType="separate"/>
      </w:r>
      <w:r>
        <w:rPr>
          <w:rStyle w:val="860"/>
          <w:rFonts w:ascii="宋体" w:hAnsi="宋体" w:eastAsia="宋体" w:cs="宋体"/>
          <w:color w:val="000000"/>
          <w:sz w:val="24"/>
          <w:u w:val="none"/>
        </w:rPr>
        <w:t xml:space="preserve">GB/T9959.1-2019</w:t>
      </w:r>
      <w:r>
        <w:rPr>
          <w:rStyle w:val="860"/>
          <w:rFonts w:ascii="宋体" w:hAnsi="宋体" w:eastAsia="宋体" w:cs="宋体"/>
          <w:color w:val="000000"/>
          <w:sz w:val="24"/>
          <w:u w:val="none"/>
        </w:rPr>
        <w:fldChar w:fldCharType="end"/>
      </w:r>
      <w:r>
        <w:rPr>
          <w:rFonts w:ascii="宋体" w:hAnsi="宋体" w:eastAsia="宋体" w:cs="宋体"/>
          <w:color w:val="000000"/>
          <w:sz w:val="24"/>
        </w:rPr>
        <w:t xml:space="preserve">）、《食品安全国家标准鲜（冻）畜、禽产品》（GB2707-2016）的规定；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生产过程应符合《鲜、冻猪肉及猪副产品第1部分：片猪肉》（</w:t>
      </w:r>
      <w:r>
        <w:fldChar w:fldCharType="begin"/>
      </w:r>
      <w:r>
        <w:instrText xml:space="preserve"> HYPERLINK "https://www.antpedia.com/standard/1733372864.html" \o "https://www.antpedia.com/standard/1733372864.html" </w:instrText>
      </w:r>
      <w:r>
        <w:fldChar w:fldCharType="separate"/>
      </w:r>
      <w:r>
        <w:rPr>
          <w:rStyle w:val="860"/>
          <w:rFonts w:ascii="宋体" w:hAnsi="宋体" w:eastAsia="宋体" w:cs="宋体"/>
          <w:color w:val="000000"/>
          <w:sz w:val="24"/>
          <w:u w:val="none"/>
        </w:rPr>
        <w:t xml:space="preserve">GB/T 9959.1-2019</w:t>
      </w:r>
      <w:r>
        <w:rPr>
          <w:rStyle w:val="860"/>
          <w:rFonts w:ascii="宋体" w:hAnsi="宋体" w:eastAsia="宋体" w:cs="宋体"/>
          <w:color w:val="000000"/>
          <w:sz w:val="24"/>
          <w:u w:val="none"/>
        </w:rPr>
        <w:fldChar w:fldCharType="end"/>
      </w:r>
      <w:r>
        <w:rPr>
          <w:rFonts w:ascii="宋体" w:hAnsi="宋体" w:eastAsia="宋体" w:cs="宋体"/>
          <w:color w:val="000000"/>
          <w:sz w:val="24"/>
        </w:rPr>
        <w:t xml:space="preserve">）、《鲜、冻猪肉及猪副产品第3部分：分部位分割猪肉》（GB/T 9959.3-2019）、《食品安全国家标准 鲜（冻）畜、禽产品》（GB2707-2016）的规定；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检验检疫应符合《鲜、冻猪肉及猪副产品 第1部分：片猪肉》</w:t>
      </w:r>
      <w:r>
        <w:fldChar w:fldCharType="begin"/>
      </w:r>
      <w:r>
        <w:instrText xml:space="preserve"> HYPERLINK "https://www.antpedia.com/standard/1733372864.html" \o "https://www.antpedia.com/standard/1733372864.html" </w:instrText>
      </w:r>
      <w:r>
        <w:fldChar w:fldCharType="separate"/>
      </w:r>
      <w:r>
        <w:rPr>
          <w:rStyle w:val="860"/>
          <w:rFonts w:ascii="宋体" w:hAnsi="宋体" w:eastAsia="宋体" w:cs="宋体"/>
          <w:color w:val="000000"/>
          <w:sz w:val="24"/>
          <w:u w:val="none"/>
        </w:rPr>
        <w:t xml:space="preserve">GB/T</w:t>
      </w:r>
      <w:r>
        <w:rPr>
          <w:rStyle w:val="860"/>
          <w:rFonts w:ascii="宋体" w:hAnsi="宋体" w:eastAsia="宋体" w:cs="宋体"/>
          <w:color w:val="000000"/>
          <w:sz w:val="24"/>
          <w:u w:val="single"/>
        </w:rPr>
        <w:t xml:space="preserve">（9959.1-2019</w:t>
      </w:r>
      <w:r>
        <w:rPr>
          <w:rStyle w:val="860"/>
          <w:rFonts w:ascii="宋体" w:hAnsi="宋体" w:eastAsia="宋体" w:cs="宋体"/>
          <w:color w:val="000000"/>
          <w:sz w:val="24"/>
          <w:u w:val="single"/>
        </w:rPr>
        <w:fldChar w:fldCharType="end"/>
      </w:r>
      <w:r>
        <w:rPr>
          <w:rFonts w:ascii="宋体" w:hAnsi="宋体" w:eastAsia="宋体" w:cs="宋体"/>
          <w:color w:val="000000"/>
          <w:sz w:val="24"/>
        </w:rPr>
        <w:t xml:space="preserve">）、《鲜、冻猪肉及猪副产品 第3部分：分部位分割猪肉》（GB/T 9959.3-2019）、《食品安全国家标准 鲜（冻）畜、禽产品》GB2707-2016的规定。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2.净含量要求：称重实收数。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3.标识要求：应符合《鲜、冻猪肉及猪副产品 第1部分：片猪肉》</w:t>
      </w:r>
      <w:r>
        <w:fldChar w:fldCharType="begin"/>
      </w:r>
      <w:r>
        <w:instrText xml:space="preserve"> HYPERLINK "https://www.antpedia.com/standard/1733372864.html" \o "https://www.antpedia.com/standard/1733372864.html" </w:instrText>
      </w:r>
      <w:r>
        <w:fldChar w:fldCharType="separate"/>
      </w:r>
      <w:r>
        <w:rPr>
          <w:rStyle w:val="860"/>
          <w:rFonts w:ascii="宋体" w:hAnsi="宋体" w:eastAsia="宋体" w:cs="宋体"/>
          <w:color w:val="000000"/>
          <w:sz w:val="24"/>
          <w:u w:val="none"/>
        </w:rPr>
        <w:t xml:space="preserve">GB/T </w:t>
      </w:r>
      <w:r>
        <w:rPr>
          <w:rStyle w:val="860"/>
          <w:rFonts w:ascii="宋体" w:hAnsi="宋体" w:eastAsia="宋体" w:cs="宋体"/>
          <w:color w:val="000000"/>
          <w:sz w:val="24"/>
          <w:u w:val="single"/>
        </w:rPr>
        <w:t xml:space="preserve">（9959.1-2019</w:t>
      </w:r>
      <w:r>
        <w:rPr>
          <w:rStyle w:val="860"/>
          <w:rFonts w:ascii="宋体" w:hAnsi="宋体" w:eastAsia="宋体" w:cs="宋体"/>
          <w:color w:val="000000"/>
          <w:sz w:val="24"/>
          <w:u w:val="single"/>
        </w:rPr>
        <w:fldChar w:fldCharType="end"/>
      </w:r>
      <w:r>
        <w:rPr>
          <w:rFonts w:ascii="宋体" w:hAnsi="宋体" w:eastAsia="宋体" w:cs="宋体"/>
          <w:color w:val="000000"/>
          <w:sz w:val="24"/>
        </w:rPr>
        <w:t xml:space="preserve">）、《鲜、冻猪肉及猪副产品 第3部分：分部位分割猪肉》GB/T（9959.3-2019）的规定。</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4.存储及运输要求：应符合《鲜、冻猪肉及猪副产品 第1部分：片猪肉》（</w:t>
      </w:r>
      <w:r>
        <w:fldChar w:fldCharType="begin"/>
      </w:r>
      <w:r>
        <w:instrText xml:space="preserve"> HYPERLINK "https://www.antpedia.com/standard/1733372864.html" \o "https://www.antpedia.com/standard/1733372864.html" </w:instrText>
      </w:r>
      <w:r>
        <w:fldChar w:fldCharType="separate"/>
      </w:r>
      <w:r>
        <w:rPr>
          <w:rStyle w:val="860"/>
          <w:rFonts w:ascii="宋体" w:hAnsi="宋体" w:eastAsia="宋体" w:cs="宋体"/>
          <w:color w:val="000000"/>
          <w:sz w:val="24"/>
          <w:u w:val="none"/>
        </w:rPr>
        <w:t xml:space="preserve">GB/T 9959.1-2019</w:t>
      </w:r>
      <w:r>
        <w:rPr>
          <w:rStyle w:val="860"/>
          <w:rFonts w:ascii="宋体" w:hAnsi="宋体" w:eastAsia="宋体" w:cs="宋体"/>
          <w:color w:val="000000"/>
          <w:sz w:val="24"/>
          <w:u w:val="none"/>
        </w:rPr>
        <w:fldChar w:fldCharType="end"/>
      </w:r>
      <w:r>
        <w:rPr>
          <w:rFonts w:ascii="宋体" w:hAnsi="宋体" w:eastAsia="宋体" w:cs="宋体"/>
          <w:color w:val="000000"/>
          <w:sz w:val="24"/>
        </w:rPr>
        <w:t xml:space="preserve">）、《鲜、冻猪肉及猪副产品 第3部分：分部位分割猪肉》（GB/T 9959.3-2019）的相关规定。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5.保鲜期要求：冷鲜肉自屠宰检验之日起 48 小时内交付，速冻猪肉自速冻之日起7天内交付。 </w:t>
      </w:r>
      <w:r/>
    </w:p>
    <w:p>
      <w:pPr>
        <w:pStyle w:val="802"/>
        <w:ind w:left="0" w:right="0" w:firstLine="482"/>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冷冻禽肉：</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带鱼段（中）、小黄鱼（10条/斤）：须提供质量监督管理部门检测合格报告。包装完整、批号清晰，按招标人要求规格供货。</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冷冻家禽：须提供检测合格报告。干冻，无注水，全净膛，表皮完整洁净，按招标人要求规格供货。</w:t>
      </w:r>
      <w:r/>
    </w:p>
    <w:p>
      <w:pPr>
        <w:pStyle w:val="802"/>
        <w:ind w:left="0" w:right="0" w:firstLine="482"/>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水产类：</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（三）蔬菜类、蛋类</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蔬菜类：</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1.1质量指标：农药残留符合GB/T 5009.218-2008标准。</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1.2无虫咬、发芽、发黄、发霉现象；无明显水泡现象，根、茎、叶新鲜，包叶菜的外层粗皮去除干净。</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鸡蛋</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1.1质量指标：应符合《食品安全国家标准 蛋与蛋制品》（GB2749-2015）的指标要求，不得出现变质、异味、散黄等情况；</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1.2母鸡喂养饲料控制要求：严禁添加国家禁止的添加剂和营养剂。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2.净含量要求：称重实收数。</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3.包装及运输要求：应符合《食品安全国家标准 蛋与蛋制品生产卫生规范》（GB14881—2013）的相关规定，选择内置纸浆模塑蛋托外加塑料筐，防止雨淋和被污染。</w:t>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（四）水果类、干货类、调味品类</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水果类：</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农药残留符合GB/T 5009.218-2008标准，果形完好、未软化；新鲜完好，无腐烂变质，清洁；基本不见可见异物；无坏死斑块；无明显机械损伤；无异常的外部水分（但冷藏取出后的冷凝水除外）；无异常气味和味道。</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干货类：</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pStyle w:val="802"/>
        <w:ind w:left="0" w:right="0" w:firstLine="482"/>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调味品类：</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色泽正常，滋气味：具有该品种固有的香味，滋味无异味，性状：油酱均匀的酱体或无结块的粉状固体，包装质量：封口平整，无破包，夹包，漏包；包装显示有效期，要牢固、防潮、整洁、美观、无异味，便于运输及装卸。</w:t>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三、配送要求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1.食堂所需蔬菜类食材，中标人须每天07:00前送达至招标人指定地点（清凉门大街76号）。</w:t>
      </w:r>
      <w:r/>
    </w:p>
    <w:p>
      <w:pPr>
        <w:pStyle w:val="802"/>
        <w:ind w:left="0" w:right="0" w:firstLine="48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2.食堂所需肉类食材，根据招标人前一天17：30之前出具货品清单，中标人次日清晨07：00前送达至招标</w:t>
      </w:r>
      <w:r>
        <w:rPr>
          <w:rFonts w:ascii="宋体" w:hAnsi="宋体" w:eastAsia="宋体" w:cs="宋体"/>
          <w:color w:val="000000"/>
          <w:sz w:val="24"/>
          <w:highlight w:val="none"/>
        </w:rPr>
        <w:t xml:space="preserve">人指定地点（清凉门大街76号）。</w:t>
      </w:r>
      <w:r>
        <w:rPr>
          <w:highlight w:val="none"/>
        </w:rPr>
      </w:r>
      <w:r/>
    </w:p>
    <w:p>
      <w:pPr>
        <w:pStyle w:val="802"/>
        <w:ind w:left="0" w:right="0" w:firstLine="48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3.招标人有权根据中标人实际供货能力调整配送时间段，中标人须无条件按招标人要求执行。</w:t>
      </w:r>
      <w:r>
        <w:rPr>
          <w:highlight w:val="none"/>
        </w:rPr>
      </w:r>
      <w:r/>
    </w:p>
    <w:p>
      <w:pPr>
        <w:pStyle w:val="802"/>
        <w:ind w:left="0" w:right="0" w:firstLine="480"/>
        <w:jc w:val="both"/>
        <w:pageBreakBefore w:val="0"/>
        <w:spacing w:before="0" w:after="0" w:line="360" w:lineRule="auto"/>
        <w:rPr>
          <w:strike w:val="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trike w:val="0"/>
          <w:color w:val="000000"/>
          <w:sz w:val="24"/>
          <w:highlight w:val="none"/>
        </w:rPr>
        <w:t xml:space="preserve">4.招标人可根据自身需求以及对货物的品质要求，</w:t>
      </w:r>
      <w:r>
        <w:rPr>
          <w:rFonts w:hint="eastAsia" w:ascii="宋体" w:hAnsi="宋体" w:cs="宋体"/>
          <w:strike w:val="0"/>
          <w:color w:val="000000"/>
          <w:sz w:val="24"/>
          <w:highlight w:val="none"/>
          <w:lang w:val="en-US" w:eastAsia="zh-CN"/>
        </w:rPr>
        <w:t xml:space="preserve">如发现质量问题，</w:t>
      </w:r>
      <w:r>
        <w:rPr>
          <w:rFonts w:ascii="宋体" w:hAnsi="宋体" w:eastAsia="宋体" w:cs="宋体"/>
          <w:strike w:val="0"/>
          <w:color w:val="000000"/>
          <w:sz w:val="24"/>
          <w:highlight w:val="none"/>
        </w:rPr>
        <w:t xml:space="preserve">随时有权终止某些商品的采购或变更,</w:t>
      </w:r>
      <w:r>
        <w:rPr>
          <w:rFonts w:hint="eastAsia" w:ascii="宋体" w:hAnsi="宋体" w:cs="宋体"/>
          <w:strike w:val="0"/>
          <w:color w:val="000000"/>
          <w:sz w:val="24"/>
          <w:highlight w:val="none"/>
          <w:lang w:val="en-US" w:eastAsia="zh-CN"/>
        </w:rPr>
        <w:t xml:space="preserve">需按要求退货换货直至招标人满意为止</w:t>
      </w:r>
      <w:r>
        <w:rPr>
          <w:rFonts w:ascii="宋体" w:hAnsi="宋体" w:eastAsia="宋体" w:cs="宋体"/>
          <w:strike w:val="0"/>
          <w:color w:val="000000"/>
          <w:sz w:val="24"/>
          <w:highlight w:val="none"/>
        </w:rPr>
        <w:t xml:space="preserve">。</w:t>
      </w:r>
      <w:r>
        <w:rPr>
          <w:strike w:val="0"/>
          <w:highlight w:val="none"/>
        </w:rPr>
      </w:r>
      <w:r/>
    </w:p>
    <w:p>
      <w:pPr>
        <w:pStyle w:val="802"/>
        <w:ind w:left="0" w:right="0" w:firstLine="480"/>
        <w:jc w:val="both"/>
        <w:pageBreakBefore w:val="0"/>
        <w:spacing w:before="0" w:after="0" w:line="360" w:lineRule="auto"/>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投标人须具备应急服务能力，有一定的处理紧急情况的经验。如遇节假日、招标人临时有大批量食材采购或紧急采购任务时，中标人须承诺在接到招标人通知后，一小时内将指定食材运送至招标人指定地点（清凉门大街76号）并卸货，派专人负责跟踪服务，保证食材准时准点供应，如推迟送货的，招标人有权拒绝验收签单。</w:t>
      </w:r>
      <w:r>
        <w:rPr>
          <w:rFonts w:ascii="宋体" w:hAnsi="宋体" w:eastAsia="宋体" w:cs="宋体"/>
          <w:b/>
          <w:bCs/>
          <w:color w:val="000000"/>
          <w:sz w:val="24"/>
          <w:highlight w:val="none"/>
        </w:rPr>
        <w:t xml:space="preserve">（提供相关证明材料及技术团队主要成员联系人、联系方式表及承诺书加盖投标人公章。）</w:t>
      </w:r>
      <w:r>
        <w:rPr>
          <w:b/>
          <w:bCs/>
          <w:highlight w:val="none"/>
        </w:rPr>
      </w:r>
      <w:r/>
    </w:p>
    <w:p>
      <w:pPr>
        <w:pStyle w:val="802"/>
        <w:ind w:left="0" w:right="0" w:firstLine="482"/>
        <w:jc w:val="both"/>
        <w:pageBreakBefore w:val="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四、验收方式</w:t>
      </w:r>
      <w:r>
        <w:rPr>
          <w:highlight w:val="none"/>
        </w:rPr>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1.招标人每天上午集</w:t>
      </w:r>
      <w:r>
        <w:rPr>
          <w:rFonts w:ascii="宋体" w:hAnsi="宋体" w:eastAsia="宋体" w:cs="宋体"/>
          <w:color w:val="000000"/>
          <w:sz w:val="24"/>
        </w:rPr>
        <w:t xml:space="preserve">中收货、验收一次，中标人需将当日需要的所有食材、商品一次性打包密闭送达，不得将项目分包给多家供应商及多次送货。货物到达现场后，中标人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2.提供货物未达到招标文件规定要求，且对招标人造成损失的，由中标人承担一切责任，并赔偿所造成损失。超过收货时间送货的，招标人有权拒绝收货。</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3.凡按重量计量物资，均以物品净重方式计量结算。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4.所有货物送达招标人指定地点前必须按包装要求进行封闭装运。</w:t>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五、质保及售后要求</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（一）质保期限：所有有保质期的食材在配送到采购人单位时，剩余保质期不得低于总保质期的一半。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（二）售后服务</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1.中标人的配送服务必须为中标人为本项目设立的本公司供货组人员进行配送，不得委托第三方单位进行配送服务，一经发现，取消其配送资格。</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2.中标人应配备相应的采购配送人员、采购配送车，实行专人专车进行配送，需冷链运输的需配备冷藏车辆，并负责人员和车辆的安全和管理，保证人员和车辆遵守采购人相关规定。 </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配送人员必须取得卫生部门出具的健康证，工作时做到个人仪表整洁，送货时必须佩带经营单位的食品配送上岗证。中标人要加强对来院工作人员的管理教育，应服从招标人的管理，不得私自在加工区域外逗留，不得有偷窃、夹带等违规情况，如经发现将严肃处理。</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2.2配送车辆上必须粘贴配送标识，车辆要保持清洁，在食材配送过程中不得与其他产品混装。</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2.3供货车（人员）在院内发生安全事故的，将根据情况通过扣除履约保证金或司法程序进行处理。</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3.中标人在配送服务过程中应遵守招标人单位的各项规章制度，不得与招标人单位或人员发生各种不文明行为，如遇不可解决之矛盾应以沟通为主，相互谅解。</w:t>
      </w:r>
      <w:r/>
    </w:p>
    <w:p>
      <w:pPr>
        <w:pStyle w:val="802"/>
        <w:ind w:left="0" w:right="0" w:firstLine="48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宋体" w:hAnsi="宋体" w:eastAsia="宋体" w:cs="宋体"/>
          <w:color w:val="000000"/>
          <w:sz w:val="24"/>
          <w:highlight w:val="none"/>
        </w:rPr>
        <w:t xml:space="preserve">.中标人应建立进货查验记录制度与食材安全追溯体系，建立票、据、证档案，招标人有权定期检查。</w:t>
      </w:r>
      <w:r>
        <w:rPr>
          <w:highlight w:val="none"/>
        </w:rPr>
      </w:r>
      <w:r/>
    </w:p>
    <w:p>
      <w:pPr>
        <w:pStyle w:val="802"/>
        <w:ind w:left="0" w:right="0" w:firstLine="48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5.投标人应承诺，如中标后同意提供招标人要求的与其投标有关的一切数据和资料，并保证其所提供数据资料的真实性与准确性。</w:t>
      </w:r>
      <w:r>
        <w:rPr>
          <w:highlight w:val="none"/>
        </w:rPr>
      </w:r>
      <w:r/>
    </w:p>
    <w:p>
      <w:pPr>
        <w:pStyle w:val="802"/>
        <w:ind w:left="0" w:right="0" w:firstLine="48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6.培训：中标人应不断对其人员进行专业培训，以完成工作任务。</w:t>
      </w:r>
      <w:r>
        <w:rPr>
          <w:highlight w:val="none"/>
        </w:rPr>
      </w:r>
      <w:r/>
    </w:p>
    <w:p>
      <w:pPr>
        <w:pStyle w:val="802"/>
        <w:ind w:left="0" w:right="0" w:firstLine="482"/>
        <w:jc w:val="both"/>
        <w:pageBreakBefore w:val="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六、履约及考核要求</w:t>
      </w:r>
      <w:r>
        <w:rPr>
          <w:highlight w:val="none"/>
        </w:rPr>
      </w:r>
      <w:r/>
    </w:p>
    <w:p>
      <w:pPr>
        <w:pStyle w:val="802"/>
        <w:ind w:left="0" w:right="0" w:firstLine="48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（一）中标供应商应在收到中标通知后20个自然日内，向招标人交纳履约保证金</w:t>
      </w:r>
      <w:r>
        <w:rPr>
          <w:rFonts w:hint="eastAsia" w:ascii="宋体" w:hAnsi="宋体" w:cs="宋体"/>
          <w:color w:val="000000"/>
          <w:sz w:val="24"/>
          <w:highlight w:val="none"/>
          <w:lang w:val="en-US" w:eastAsia="zh-CN"/>
        </w:rPr>
        <w:t xml:space="preserve">5</w:t>
      </w:r>
      <w:r>
        <w:rPr>
          <w:rFonts w:ascii="宋体" w:hAnsi="宋体" w:eastAsia="宋体" w:cs="宋体"/>
          <w:color w:val="000000"/>
          <w:sz w:val="24"/>
          <w:highlight w:val="none"/>
        </w:rPr>
        <w:t xml:space="preserve">0000</w:t>
      </w:r>
      <w:r>
        <w:rPr>
          <w:rFonts w:ascii="宋体" w:hAnsi="宋体" w:eastAsia="宋体" w:cs="宋体"/>
          <w:color w:val="000000"/>
          <w:sz w:val="24"/>
          <w:highlight w:val="none"/>
        </w:rPr>
        <w:t xml:space="preserve">元作为合同生效的前提。合同到期后30个自然日内，招标人扣除相应的金额后将履约保证金无息退还至中标人账户。</w:t>
      </w:r>
      <w:r>
        <w:rPr>
          <w:highlight w:val="none"/>
        </w:rPr>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（二）发生较严重以上质量问题的，招标人有权直接解除合同或暂停中标人继续供货，扣除全部履约保证金，并由中标人承担相应的赔偿等法律责任。</w:t>
      </w:r>
      <w:r/>
    </w:p>
    <w:p>
      <w:pPr>
        <w:pStyle w:val="802"/>
        <w:ind w:left="0" w:right="0" w:firstLine="48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（三）招标人如临</w:t>
      </w:r>
      <w:r>
        <w:rPr>
          <w:rFonts w:ascii="宋体" w:hAnsi="宋体" w:eastAsia="宋体" w:cs="宋体"/>
          <w:color w:val="000000"/>
          <w:sz w:val="24"/>
          <w:highlight w:val="none"/>
        </w:rPr>
        <w:t xml:space="preserve">时增加用餐人员，需临时补充食材的，中标人应在约定时间内无条件把指定的食材送至指定的地点，否则第一次扣除履约保证金的10%，第二次扣除履约保证金的30%，第三次扣除履约保证金的60%并解除合同。</w:t>
      </w:r>
      <w:r>
        <w:rPr>
          <w:highlight w:val="none"/>
        </w:rPr>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（四）如中标人延迟交货或配送货物不符合订单要求且经采取补救措施未造成招标人不良影响的，第一次扣除履约保</w:t>
      </w:r>
      <w:r>
        <w:rPr>
          <w:rFonts w:ascii="宋体" w:hAnsi="宋体" w:eastAsia="宋体" w:cs="宋体"/>
          <w:color w:val="000000"/>
          <w:sz w:val="24"/>
        </w:rPr>
        <w:t xml:space="preserve">证金的10%，第二次扣除履约保证金的30%，第三次扣除履约保证金的60%并解除合同；因中标人延迟交货或配送货物不符合订单要求且未采取有效补救措施的，合同立即终止，并扣除全部履约保证金</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凡经相关部门认定，如因中标人所提供的原食材原因造成食物中毒等卫生事故的，中标人除必须承担全部的法律责任外，还要全额承担因食物中毒发生造成后果的一切费用，并立即停止供货，并暂扣当月所有供应原食材的货款作为赔偿预付款。</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招标人将每三个月组织专人对中标人所供食材的质量报送质检部门抽检，检测费用由中标人承担。若发现食材质量检测结果与招标文件或投标文件或与国家规定的质量标准不符，招标人有权没收履约保证金、解除合同等。</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（七）凡中标人供应的食材故意串规、定量包装批量误差超过《定量包装商品计量监督管理办法》规定，一经查实，均按当月食材供应额的3倍值作为支付招标人的违约金。</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（八）如中标人在项目实施期间出现违背投标时的承诺，或经营异常，或丧失商业信誉，或产品被曝光不合格或被政府部门取缔相关生产经营资格的情况，招标人有权直接解除合同并没收其履约保证金。</w:t>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考核标准：结合每个月考核得出总分，如总分90分（含90分）以上不处罚，90分（不含）-80分（含）每下降一分扣100元；80分（不含）-70分（含）每下降一分扣200元；70分（不含）-60分（含）每下降一分扣300元；60分（不含）以下不合格，招标人有权解除合同。中标人须对所有扣分项做出书面整改承诺。招标人有权直接从履约保证金中扣除。</w:t>
      </w:r>
      <w:r/>
    </w:p>
    <w:tbl>
      <w:tblPr>
        <w:tblStyle w:val="8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66"/>
        <w:gridCol w:w="754"/>
        <w:gridCol w:w="1097"/>
        <w:gridCol w:w="771"/>
        <w:gridCol w:w="3943"/>
        <w:gridCol w:w="737"/>
        <w:gridCol w:w="884"/>
      </w:tblGrid>
      <w:tr>
        <w:trPr>
          <w:trHeight w:val="916"/>
        </w:trPr>
        <w:tc>
          <w:tcPr>
            <w:tcMar>
              <w:left w:w="108" w:type="dxa"/>
              <w:top w:w="0" w:type="dxa"/>
              <w:right w:w="108" w:type="dxa"/>
              <w:bottom w:w="0" w:type="dxa"/>
            </w:tcMar>
            <w:tcW w:w="1166"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一级</w:t>
            </w:r>
            <w:r/>
          </w:p>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指标</w:t>
            </w:r>
            <w:r/>
          </w:p>
        </w:tc>
        <w:tc>
          <w:tcPr>
            <w:tcMar>
              <w:left w:w="108" w:type="dxa"/>
              <w:top w:w="0" w:type="dxa"/>
              <w:right w:w="108" w:type="dxa"/>
              <w:bottom w:w="0" w:type="dxa"/>
            </w:tcMar>
            <w:tcW w:w="754"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分值</w:t>
            </w:r>
            <w:r/>
          </w:p>
        </w:tc>
        <w:tc>
          <w:tcPr>
            <w:tcMar>
              <w:left w:w="108" w:type="dxa"/>
              <w:top w:w="0" w:type="dxa"/>
              <w:right w:w="108" w:type="dxa"/>
              <w:bottom w:w="0" w:type="dxa"/>
            </w:tcMar>
            <w:tcW w:w="1097"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二级</w:t>
            </w:r>
            <w:r/>
          </w:p>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指标</w:t>
            </w:r>
            <w:r/>
          </w:p>
        </w:tc>
        <w:tc>
          <w:tcPr>
            <w:tcMar>
              <w:left w:w="108" w:type="dxa"/>
              <w:top w:w="0" w:type="dxa"/>
              <w:right w:w="108" w:type="dxa"/>
              <w:bottom w:w="0" w:type="dxa"/>
            </w:tcMar>
            <w:tcW w:w="771"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分值</w:t>
            </w:r>
            <w:r/>
          </w:p>
        </w:tc>
        <w:tc>
          <w:tcPr>
            <w:tcMar>
              <w:left w:w="108" w:type="dxa"/>
              <w:top w:w="0" w:type="dxa"/>
              <w:right w:w="108" w:type="dxa"/>
              <w:bottom w:w="0" w:type="dxa"/>
            </w:tcMar>
            <w:tcW w:w="394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考核内容及标准</w:t>
            </w:r>
            <w:r/>
          </w:p>
        </w:tc>
        <w:tc>
          <w:tcPr>
            <w:tcMar>
              <w:left w:w="108" w:type="dxa"/>
              <w:top w:w="0" w:type="dxa"/>
              <w:right w:w="108" w:type="dxa"/>
              <w:bottom w:w="0" w:type="dxa"/>
            </w:tcMar>
            <w:tcW w:w="737"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扣分</w:t>
            </w:r>
            <w:r/>
          </w:p>
        </w:tc>
        <w:tc>
          <w:tcPr>
            <w:tcMar>
              <w:left w:w="0" w:type="dxa"/>
              <w:top w:w="0" w:type="dxa"/>
              <w:right w:w="0" w:type="dxa"/>
              <w:bottom w:w="0" w:type="dxa"/>
            </w:tcMar>
            <w:tcW w:w="884" w:type="dxa"/>
            <w:vAlign w:val="center"/>
            <w:textDirection w:val="lrTb"/>
            <w:noWrap w:val="false"/>
          </w:tcPr>
          <w:p>
            <w:pPr>
              <w:pStyle w:val="802"/>
              <w:jc w:val="center"/>
              <w:pageBreakBefore w:val="0"/>
              <w:spacing w:before="0" w:after="0" w:line="360" w:lineRule="auto"/>
              <w:rPr>
                <w:rFonts w:hint="eastAsia" w:eastAsia="宋体"/>
                <w:lang w:val="en-US" w:eastAsia="zh-CN"/>
              </w:rPr>
            </w:pPr>
            <w:r>
              <w:rPr>
                <w:rFonts w:hint="eastAsia"/>
                <w:lang w:val="en-US" w:eastAsia="zh-CN"/>
              </w:rPr>
              <w:t xml:space="preserve">备注</w:t>
            </w:r>
            <w:r>
              <w:rPr>
                <w:rFonts w:hint="eastAsia" w:eastAsia="宋体"/>
                <w:lang w:val="en-US" w:eastAsia="zh-CN"/>
              </w:rPr>
            </w:r>
            <w:r/>
          </w:p>
        </w:tc>
      </w:tr>
      <w:tr>
        <w:trPr>
          <w:trHeight w:val="1006"/>
        </w:trPr>
        <w:tc>
          <w:tcPr>
            <w:tcMar>
              <w:left w:w="108" w:type="dxa"/>
              <w:top w:w="0" w:type="dxa"/>
              <w:right w:w="108" w:type="dxa"/>
              <w:bottom w:w="0" w:type="dxa"/>
            </w:tcMar>
            <w:tcW w:w="1166" w:type="dxa"/>
            <w:vAlign w:val="center"/>
            <w:vMerge w:val="restart"/>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流程管理</w:t>
            </w:r>
            <w:r/>
          </w:p>
        </w:tc>
        <w:tc>
          <w:tcPr>
            <w:tcMar>
              <w:left w:w="108" w:type="dxa"/>
              <w:top w:w="0" w:type="dxa"/>
              <w:right w:w="108" w:type="dxa"/>
              <w:bottom w:w="0" w:type="dxa"/>
            </w:tcMar>
            <w:tcW w:w="754" w:type="dxa"/>
            <w:vAlign w:val="center"/>
            <w:vMerge w:val="restart"/>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30分</w:t>
            </w:r>
            <w:r/>
          </w:p>
        </w:tc>
        <w:tc>
          <w:tcPr>
            <w:tcMar>
              <w:left w:w="108" w:type="dxa"/>
              <w:top w:w="0" w:type="dxa"/>
              <w:right w:w="108" w:type="dxa"/>
              <w:bottom w:w="0" w:type="dxa"/>
            </w:tcMar>
            <w:tcW w:w="1097"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足斤足两</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送货无短斤缺两现象15分（份量短缺达到该类食材配送总量5%以上，有一次扣3分，以此类推，扣完为止）。</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r>
        <w:trPr>
          <w:trHeight w:val="409"/>
        </w:trPr>
        <w:tc>
          <w:tcPr>
            <w:tcW w:w="1166" w:type="dxa"/>
            <w:vAlign w:val="top"/>
            <w:vMerge w:val="continue"/>
            <w:textDirection w:val="lrTb"/>
            <w:noWrap w:val="false"/>
          </w:tcPr>
          <w:p>
            <w:pPr>
              <w:pStyle w:val="802"/>
              <w:pageBreakBefore w:val="0"/>
              <w:spacing w:after="0" w:line="360" w:lineRule="auto"/>
            </w:pPr>
            <w:r/>
            <w:r/>
          </w:p>
        </w:tc>
        <w:tc>
          <w:tcPr>
            <w:tcW w:w="754"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097"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服务态度</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工作人员工作认真，服务热情周到，运送搬装文明5分（运送人员野蛮运装或无正当理由与工作人员争执，一次扣2分，扣完为止）。</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r>
        <w:trPr>
          <w:trHeight w:val="409"/>
        </w:trPr>
        <w:tc>
          <w:tcPr>
            <w:tcW w:w="1166" w:type="dxa"/>
            <w:vAlign w:val="top"/>
            <w:vMerge w:val="continue"/>
            <w:textDirection w:val="lrTb"/>
            <w:noWrap w:val="false"/>
          </w:tcPr>
          <w:p>
            <w:pPr>
              <w:pStyle w:val="802"/>
              <w:pageBreakBefore w:val="0"/>
              <w:spacing w:after="0" w:line="360" w:lineRule="auto"/>
            </w:pPr>
            <w:r/>
            <w:r/>
          </w:p>
        </w:tc>
        <w:tc>
          <w:tcPr>
            <w:tcW w:w="754"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097"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单据清晰</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送货单（结算凭证）项目齐全，打印清晰10分，否则不得分。</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r>
        <w:trPr>
          <w:trHeight w:val="409"/>
        </w:trPr>
        <w:tc>
          <w:tcPr>
            <w:tcMar>
              <w:left w:w="108" w:type="dxa"/>
              <w:top w:w="0" w:type="dxa"/>
              <w:right w:w="108" w:type="dxa"/>
              <w:bottom w:w="0" w:type="dxa"/>
            </w:tcMar>
            <w:tcW w:w="1166"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质量管理</w:t>
            </w:r>
            <w:r/>
          </w:p>
        </w:tc>
        <w:tc>
          <w:tcPr>
            <w:tcMar>
              <w:left w:w="108" w:type="dxa"/>
              <w:top w:w="0" w:type="dxa"/>
              <w:right w:w="108" w:type="dxa"/>
              <w:bottom w:w="0" w:type="dxa"/>
            </w:tcMar>
            <w:tcW w:w="754"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40分</w:t>
            </w:r>
            <w:r/>
          </w:p>
        </w:tc>
        <w:tc>
          <w:tcPr>
            <w:tcMar>
              <w:left w:w="108" w:type="dxa"/>
              <w:top w:w="0" w:type="dxa"/>
              <w:right w:w="108" w:type="dxa"/>
              <w:bottom w:w="0" w:type="dxa"/>
            </w:tcMar>
            <w:tcW w:w="1097"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食材每日评分汇总</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40分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对配送单位提供的食材质量进行验收考核（验收时按各类食材验收标准打分，由每次得分汇总得出月度分）。</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r>
        <w:trPr>
          <w:trHeight w:val="409"/>
        </w:trPr>
        <w:tc>
          <w:tcPr>
            <w:tcMar>
              <w:left w:w="108" w:type="dxa"/>
              <w:top w:w="0" w:type="dxa"/>
              <w:right w:w="108" w:type="dxa"/>
              <w:bottom w:w="0" w:type="dxa"/>
            </w:tcMar>
            <w:tcW w:w="1166" w:type="dxa"/>
            <w:vAlign w:val="center"/>
            <w:vMerge w:val="restart"/>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科学管理</w:t>
            </w:r>
            <w:r/>
          </w:p>
        </w:tc>
        <w:tc>
          <w:tcPr>
            <w:tcMar>
              <w:left w:w="108" w:type="dxa"/>
              <w:top w:w="0" w:type="dxa"/>
              <w:right w:w="108" w:type="dxa"/>
              <w:bottom w:w="0" w:type="dxa"/>
            </w:tcMar>
            <w:tcW w:w="754" w:type="dxa"/>
            <w:vAlign w:val="center"/>
            <w:vMerge w:val="restart"/>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30分</w:t>
            </w:r>
            <w:r/>
          </w:p>
        </w:tc>
        <w:tc>
          <w:tcPr>
            <w:tcMar>
              <w:left w:w="108" w:type="dxa"/>
              <w:top w:w="0" w:type="dxa"/>
              <w:right w:w="108" w:type="dxa"/>
              <w:bottom w:w="0" w:type="dxa"/>
            </w:tcMar>
            <w:tcW w:w="1097"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报价准确</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送货单上单价与投标报价一致，符合标书要求（有误差，每次扣3分，以此类推，扣完为止）。</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r>
        <w:trPr>
          <w:trHeight w:val="409"/>
        </w:trPr>
        <w:tc>
          <w:tcPr>
            <w:tcW w:w="1166" w:type="dxa"/>
            <w:vAlign w:val="top"/>
            <w:vMerge w:val="continue"/>
            <w:textDirection w:val="lrTb"/>
            <w:noWrap w:val="false"/>
          </w:tcPr>
          <w:p>
            <w:pPr>
              <w:pStyle w:val="802"/>
              <w:pageBreakBefore w:val="0"/>
              <w:spacing w:after="0" w:line="360" w:lineRule="auto"/>
            </w:pPr>
            <w:r/>
            <w:r/>
          </w:p>
        </w:tc>
        <w:tc>
          <w:tcPr>
            <w:tcW w:w="754"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097"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安全清洁</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操作场所、仓库、运输工具、贮物筐箱等保持清洁卫生，坚持每天清洁工作，定期消毒并有记录，仓库内无过期物品 。（抽查到不符要求的每次扣1分，以此类推，扣完为止）。</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r>
        <w:trPr>
          <w:trHeight w:val="409"/>
        </w:trPr>
        <w:tc>
          <w:tcPr>
            <w:tcW w:w="1166" w:type="dxa"/>
            <w:vAlign w:val="top"/>
            <w:vMerge w:val="continue"/>
            <w:textDirection w:val="lrTb"/>
            <w:noWrap w:val="false"/>
          </w:tcPr>
          <w:p>
            <w:pPr>
              <w:pStyle w:val="802"/>
              <w:pageBreakBefore w:val="0"/>
              <w:spacing w:after="0" w:line="360" w:lineRule="auto"/>
            </w:pPr>
            <w:r/>
            <w:r/>
          </w:p>
        </w:tc>
        <w:tc>
          <w:tcPr>
            <w:tcW w:w="754"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097"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联系制度</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如市场没有招标方所需食材品种，事先与招标方联系并谈妥更换品种、品级、规格、价格等事项，然后发货。不满足扣3分。（配送单位单方定价后再送货不得分）。</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r>
        <w:trPr>
          <w:trHeight w:val="409"/>
        </w:trPr>
        <w:tc>
          <w:tcPr>
            <w:tcW w:w="1166" w:type="dxa"/>
            <w:vAlign w:val="top"/>
            <w:vMerge w:val="continue"/>
            <w:textDirection w:val="lrTb"/>
            <w:noWrap w:val="false"/>
          </w:tcPr>
          <w:p>
            <w:pPr>
              <w:pStyle w:val="802"/>
              <w:pageBreakBefore w:val="0"/>
              <w:spacing w:after="0" w:line="360" w:lineRule="auto"/>
            </w:pPr>
            <w:r/>
            <w:r/>
          </w:p>
        </w:tc>
        <w:tc>
          <w:tcPr>
            <w:tcW w:w="754"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097" w:type="dxa"/>
            <w:vAlign w:val="center"/>
            <w:textDirection w:val="lrTb"/>
            <w:noWrap w:val="false"/>
          </w:tcPr>
          <w:p>
            <w:pPr>
              <w:pStyle w:val="802"/>
              <w:ind w:left="0" w:righ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及时整改</w:t>
            </w:r>
            <w:r/>
          </w:p>
        </w:tc>
        <w:tc>
          <w:tcPr>
            <w:tcMar>
              <w:left w:w="108" w:type="dxa"/>
              <w:top w:w="0" w:type="dxa"/>
              <w:right w:w="108" w:type="dxa"/>
              <w:bottom w:w="0" w:type="dxa"/>
            </w:tcMar>
            <w:tcW w:w="771" w:type="dxa"/>
            <w:vAlign w:val="center"/>
            <w:textDirection w:val="lrTb"/>
            <w:noWrap w:val="false"/>
          </w:tcPr>
          <w:p>
            <w:pPr>
              <w:pStyle w:val="802"/>
              <w:ind w:right="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2分</w:t>
            </w:r>
            <w:r/>
          </w:p>
        </w:tc>
        <w:tc>
          <w:tcPr>
            <w:tcMar>
              <w:left w:w="108" w:type="dxa"/>
              <w:top w:w="0" w:type="dxa"/>
              <w:right w:w="108" w:type="dxa"/>
              <w:bottom w:w="0" w:type="dxa"/>
            </w:tcMar>
            <w:tcW w:w="39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对招标方的意见、建议虚心接受，运作过程中出现的新情况、新问题及时主动沟通、协调有效果，及时整改见实效（2分）（整改效果不明显扣1分，未见整改效果不得分）。</w:t>
            </w:r>
            <w:r/>
          </w:p>
        </w:tc>
        <w:tc>
          <w:tcPr>
            <w:tcMar>
              <w:left w:w="108" w:type="dxa"/>
              <w:top w:w="0" w:type="dxa"/>
              <w:right w:w="108" w:type="dxa"/>
              <w:bottom w:w="0" w:type="dxa"/>
            </w:tcMar>
            <w:tcW w:w="737" w:type="dxa"/>
            <w:vAlign w:val="center"/>
            <w:textDirection w:val="lrTb"/>
            <w:noWrap w:val="false"/>
          </w:tcPr>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884" w:type="dxa"/>
            <w:vAlign w:val="center"/>
            <w:textDirection w:val="lrTb"/>
            <w:noWrap w:val="false"/>
          </w:tcPr>
          <w:p>
            <w:pPr>
              <w:pStyle w:val="802"/>
              <w:pageBreakBefore w:val="0"/>
              <w:spacing w:before="0" w:after="0" w:line="360" w:lineRule="auto"/>
            </w:pPr>
            <w:r/>
            <w:r/>
          </w:p>
        </w:tc>
      </w:tr>
    </w:tbl>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七、其他要求</w:t>
      </w:r>
      <w:r/>
    </w:p>
    <w:p>
      <w:pPr>
        <w:pStyle w:val="802"/>
        <w:ind w:left="0" w:right="0" w:firstLine="482"/>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（一）质量标准</w:t>
      </w:r>
      <w:r>
        <w:rPr>
          <w:highlight w:val="none"/>
        </w:rPr>
      </w:r>
      <w:r/>
    </w:p>
    <w:p>
      <w:pPr>
        <w:pStyle w:val="802"/>
        <w:ind w:left="0" w:right="0" w:firstLine="48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承诺其所供的食材均符合《中华人民共和国食品安全法》、《中华人民共和国食品安全法实施条例》、《中华人民共和国农产品质量安全法》、《中华人民共和国动物防疫法》等相关规定，严格保证食品质量符合国家相关产品质理标准，符合国家各级强制性规范要求。在中标人出现因食品质量导致食物中毒的事故发生，中标人承担一切法律责任，并取消其供货资格。</w:t>
      </w:r>
      <w:r>
        <w:rPr>
          <w:highlight w:val="none"/>
        </w:rPr>
      </w:r>
      <w:r/>
    </w:p>
    <w:p>
      <w:pPr>
        <w:pStyle w:val="802"/>
        <w:ind w:left="0" w:right="0" w:firstLine="482"/>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（二）质量要求</w:t>
      </w:r>
      <w:r>
        <w:rPr>
          <w:highlight w:val="none"/>
        </w:rPr>
      </w:r>
      <w:r/>
    </w:p>
    <w:p>
      <w:pPr>
        <w:pStyle w:val="802"/>
        <w:ind w:left="0" w:right="0" w:firstLine="48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1.严格禁止供应如下食品，一经发现，取消其供货资格：</w:t>
      </w:r>
      <w:r>
        <w:rPr>
          <w:highlight w:val="none"/>
        </w:rPr>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1.1腐败变质、油脂酸败、霉变、</w:t>
      </w:r>
      <w:r>
        <w:rPr>
          <w:rFonts w:ascii="宋体" w:hAnsi="宋体" w:eastAsia="宋体" w:cs="宋体"/>
          <w:color w:val="000000"/>
          <w:sz w:val="24"/>
        </w:rPr>
        <w:t xml:space="preserve">生虫、污秽不洁、混有异物或其他感官性状异常，对人体有害的；</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1.2含有毒、有害物质或被有害物质污染，对人体身体健康有害的；含有严重超出标准限量的农药残留、兽药残留、重金属、污染物质以及其他危害人体健康的；</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1.3未经动物部门检疫、检验或者检疫、检验不合格的肉类及其制品；</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1.4病死、毒死或不明死因的禽、蓄、兽、水产动物等及其制品；</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1.5用非食品原料加工的，加入非食品用化学物质或将非食品当作食品的。</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1.6其他经相关部门及招标人确认的质量问题。</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2.因市场特殊原因，个别食材品种不能及时提供，中标人应主动与招标人沟通协调，更换品种，满足需要。</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3.所有商品因验收货物时不能直接判断质量的，在使用过程中发现不合格商品，中标人应作退货处理。</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4.物资验收中不合格产品，中标人应按照招标人规定时间内调换，以不影响正常工作。</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5.因配送物资质量导致出现食品安全事故，中标人有义务协助处理相关事宜。</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标人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7.依据产品质量监督检验单位提供的质量标准，中标人提供的食材必须取得经过质量监督管理部门检验合格的产品，每批次产品提供时应交存产品质量合格证明、产品质量检测合格报告或检验报告复印件。</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8.招标人对食材提出的质量异议时，中标人须保证在60分钟以内作出答复，并妥善商处。无法在60分钟内解决的，应在三个小时内提供备用产品，使招标人能够正常使用。</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9.每次供货交接完成后，中标人须对供货清单中的食材进行留样。</w:t>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八、报价要求</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（一）本次报价须为人民币报价，包含：商品价、运输费（含装卸费）、人工费、保险费、税费、培训费、货物送到招标人指定地点等的所有费用。</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（二）本项目采购食材清单由招标人根据每批次需要自主选定，各投标人在报价时应充分考虑一年四季内市场行情波动及政策风险等客观因素进行报价：</w:t>
      </w:r>
      <w:r/>
    </w:p>
    <w:p>
      <w:pPr>
        <w:pStyle w:val="802"/>
        <w:ind w:left="0" w:right="0" w:firstLine="480"/>
        <w:pageBreakBefore w:val="0"/>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1、中标人在招标人组织市场询价前2天按照招标人提供的食材清单，</w:t>
      </w:r>
      <w:r>
        <w:rPr>
          <w:rFonts w:ascii="宋体" w:hAnsi="宋体" w:eastAsia="宋体" w:cs="宋体"/>
          <w:color w:val="000000"/>
          <w:sz w:val="24"/>
        </w:rPr>
        <w:t xml:space="preserve">依照最近一期的南京市发展和改革委员会官网（</w:t>
      </w:r>
      <w:r>
        <w:rPr>
          <w:rFonts w:ascii="宋体" w:hAnsi="宋体" w:eastAsia="宋体" w:cs="宋体"/>
          <w:color w:val="000000"/>
          <w:sz w:val="24"/>
          <w:u w:val="none"/>
        </w:rPr>
        <w:t xml:space="preserve">http:// fgw.nanjing.gov.cn// </w:t>
      </w:r>
      <w:r>
        <w:rPr>
          <w:rFonts w:ascii="宋体" w:hAnsi="宋体" w:eastAsia="宋体" w:cs="宋体"/>
          <w:color w:val="000000"/>
          <w:sz w:val="24"/>
        </w:rPr>
        <w:t xml:space="preserve">）公布的正常零售价格</w:t>
      </w:r>
      <w:r>
        <w:rPr>
          <w:rFonts w:ascii="宋体" w:hAnsi="宋体" w:eastAsia="宋体" w:cs="宋体"/>
          <w:color w:val="000000"/>
          <w:sz w:val="24"/>
          <w:highlight w:val="none"/>
        </w:rPr>
        <w:t xml:space="preserve">同期同品种食材零售价为基准价进行报价。</w:t>
      </w:r>
      <w:r>
        <w:rPr>
          <w:rFonts w:ascii="宋体" w:hAnsi="宋体" w:eastAsia="宋体" w:cs="宋体"/>
          <w:color w:val="000000"/>
          <w:sz w:val="24"/>
          <w:highlight w:val="none"/>
        </w:rPr>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每月22-26日（具体时间由招标人确定）由招标人组织进行同期同品种食材零售价询价、核价，中标人派一名代表共同参加。</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在合同期内，如发现中标人报价高于基准价格的，第一次当天送货总金额按八折结算；第二次按照当月送货总金额八折结算；第三次取消供货资格。</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中标人以每月经招标人核定后的价格为下月食材供应价格（时令性蔬果类除外）。</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（三）报价计算方式</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1、价格分计算方式：</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依照最近一期的南京市发展和改革委员会官网（</w:t>
      </w:r>
      <w:r>
        <w:rPr>
          <w:rFonts w:ascii="宋体" w:hAnsi="宋体" w:eastAsia="宋体" w:cs="宋体"/>
          <w:color w:val="000000"/>
          <w:sz w:val="24"/>
          <w:u w:val="none"/>
        </w:rPr>
        <w:t xml:space="preserve">http:// fgw.nanjing.gov.cn// </w:t>
      </w:r>
      <w:r>
        <w:rPr>
          <w:rFonts w:ascii="宋体" w:hAnsi="宋体" w:eastAsia="宋体" w:cs="宋体"/>
          <w:color w:val="000000"/>
          <w:sz w:val="24"/>
        </w:rPr>
        <w:t xml:space="preserve">）公布的正常零售价格为基础，报投标折扣率。如投标人</w:t>
      </w:r>
      <w:r>
        <w:rPr>
          <w:rFonts w:ascii="宋体" w:hAnsi="宋体" w:eastAsia="宋体" w:cs="宋体"/>
          <w:color w:val="000000"/>
          <w:sz w:val="24"/>
          <w:u w:val="none"/>
        </w:rPr>
        <w:t xml:space="preserve">A</w:t>
      </w:r>
      <w:r>
        <w:rPr>
          <w:rFonts w:ascii="宋体" w:hAnsi="宋体" w:eastAsia="宋体" w:cs="宋体"/>
          <w:color w:val="000000"/>
          <w:sz w:val="24"/>
        </w:rPr>
        <w:t xml:space="preserve">、</w:t>
      </w:r>
      <w:r>
        <w:rPr>
          <w:rFonts w:ascii="宋体" w:hAnsi="宋体" w:eastAsia="宋体" w:cs="宋体"/>
          <w:color w:val="000000"/>
          <w:sz w:val="24"/>
          <w:u w:val="none"/>
        </w:rPr>
        <w:t xml:space="preserve">B</w:t>
      </w:r>
      <w:r>
        <w:rPr>
          <w:rFonts w:ascii="宋体" w:hAnsi="宋体" w:eastAsia="宋体" w:cs="宋体"/>
          <w:color w:val="000000"/>
          <w:sz w:val="24"/>
        </w:rPr>
        <w:t xml:space="preserve">、</w:t>
      </w:r>
      <w:r>
        <w:rPr>
          <w:rFonts w:ascii="宋体" w:hAnsi="宋体" w:eastAsia="宋体" w:cs="宋体"/>
          <w:color w:val="000000"/>
          <w:sz w:val="24"/>
          <w:u w:val="none"/>
        </w:rPr>
        <w:t xml:space="preserve">C</w:t>
      </w:r>
      <w:r>
        <w:rPr>
          <w:rFonts w:ascii="宋体" w:hAnsi="宋体" w:eastAsia="宋体" w:cs="宋体"/>
          <w:color w:val="000000"/>
          <w:sz w:val="24"/>
        </w:rPr>
        <w:t xml:space="preserve">的投标折扣率分别为</w:t>
      </w:r>
      <w:r>
        <w:rPr>
          <w:rFonts w:ascii="宋体" w:hAnsi="宋体" w:eastAsia="宋体" w:cs="宋体"/>
          <w:color w:val="000000"/>
          <w:sz w:val="24"/>
          <w:u w:val="none"/>
        </w:rPr>
        <w:t xml:space="preserve">10%</w:t>
      </w:r>
      <w:r>
        <w:rPr>
          <w:rFonts w:ascii="宋体" w:hAnsi="宋体" w:eastAsia="宋体" w:cs="宋体"/>
          <w:color w:val="000000"/>
          <w:sz w:val="24"/>
        </w:rPr>
        <w:t xml:space="preserve">、</w:t>
      </w:r>
      <w:r>
        <w:rPr>
          <w:rFonts w:ascii="宋体" w:hAnsi="宋体" w:eastAsia="宋体" w:cs="宋体"/>
          <w:color w:val="000000"/>
          <w:sz w:val="24"/>
          <w:u w:val="none"/>
        </w:rPr>
        <w:t xml:space="preserve">15%</w:t>
      </w:r>
      <w:r>
        <w:rPr>
          <w:rFonts w:ascii="宋体" w:hAnsi="宋体" w:eastAsia="宋体" w:cs="宋体"/>
          <w:color w:val="000000"/>
          <w:sz w:val="24"/>
        </w:rPr>
        <w:t xml:space="preserve">、</w:t>
      </w:r>
      <w:r>
        <w:rPr>
          <w:rFonts w:ascii="宋体" w:hAnsi="宋体" w:eastAsia="宋体" w:cs="宋体"/>
          <w:color w:val="000000"/>
          <w:sz w:val="24"/>
          <w:u w:val="none"/>
        </w:rPr>
        <w:t xml:space="preserve">20%</w:t>
      </w:r>
      <w:r>
        <w:rPr>
          <w:rFonts w:ascii="宋体" w:hAnsi="宋体" w:eastAsia="宋体" w:cs="宋体"/>
          <w:color w:val="000000"/>
          <w:sz w:val="24"/>
        </w:rPr>
        <w:t xml:space="preserve">，投标人</w:t>
      </w:r>
      <w:r>
        <w:rPr>
          <w:rFonts w:ascii="宋体" w:hAnsi="宋体" w:eastAsia="宋体" w:cs="宋体"/>
          <w:color w:val="000000"/>
          <w:sz w:val="24"/>
          <w:u w:val="none"/>
        </w:rPr>
        <w:t xml:space="preserve">C</w:t>
      </w:r>
      <w:r>
        <w:rPr>
          <w:rFonts w:ascii="宋体" w:hAnsi="宋体" w:eastAsia="宋体" w:cs="宋体"/>
          <w:color w:val="000000"/>
          <w:sz w:val="24"/>
        </w:rPr>
        <w:t xml:space="preserve">所投</w:t>
      </w:r>
      <w:r>
        <w:rPr>
          <w:rFonts w:ascii="宋体" w:hAnsi="宋体" w:eastAsia="宋体" w:cs="宋体"/>
          <w:color w:val="000000"/>
          <w:sz w:val="24"/>
          <w:u w:val="none"/>
        </w:rPr>
        <w:t xml:space="preserve">20%</w:t>
      </w:r>
      <w:r>
        <w:rPr>
          <w:rFonts w:ascii="宋体" w:hAnsi="宋体" w:eastAsia="宋体" w:cs="宋体"/>
          <w:color w:val="000000"/>
          <w:sz w:val="24"/>
        </w:rPr>
        <w:t xml:space="preserve">的（</w:t>
      </w:r>
      <w:r>
        <w:rPr>
          <w:rFonts w:ascii="宋体" w:hAnsi="宋体" w:eastAsia="宋体" w:cs="宋体"/>
          <w:color w:val="000000"/>
          <w:sz w:val="24"/>
          <w:u w:val="none"/>
        </w:rPr>
        <w:t xml:space="preserve">1-20%</w:t>
      </w:r>
      <w:r>
        <w:rPr>
          <w:rFonts w:ascii="宋体" w:hAnsi="宋体" w:eastAsia="宋体" w:cs="宋体"/>
          <w:color w:val="000000"/>
          <w:sz w:val="24"/>
        </w:rPr>
        <w:t xml:space="preserve">）为评标基准价，投标人</w:t>
      </w:r>
      <w:r>
        <w:rPr>
          <w:rFonts w:ascii="宋体" w:hAnsi="宋体" w:eastAsia="宋体" w:cs="宋体"/>
          <w:color w:val="000000"/>
          <w:sz w:val="24"/>
          <w:u w:val="none"/>
        </w:rPr>
        <w:t xml:space="preserve">C</w:t>
      </w:r>
      <w:r>
        <w:rPr>
          <w:rFonts w:ascii="宋体" w:hAnsi="宋体" w:eastAsia="宋体" w:cs="宋体"/>
          <w:color w:val="000000"/>
          <w:sz w:val="24"/>
        </w:rPr>
        <w:t xml:space="preserve">的投标报价得分为</w:t>
      </w:r>
      <w:r>
        <w:rPr>
          <w:rFonts w:ascii="宋体" w:hAnsi="宋体" w:eastAsia="宋体" w:cs="宋体"/>
          <w:color w:val="000000"/>
          <w:sz w:val="24"/>
          <w:u w:val="none"/>
        </w:rPr>
        <w:t xml:space="preserve">30</w:t>
      </w:r>
      <w:r>
        <w:rPr>
          <w:rFonts w:ascii="宋体" w:hAnsi="宋体" w:eastAsia="宋体" w:cs="宋体"/>
          <w:color w:val="000000"/>
          <w:sz w:val="24"/>
        </w:rPr>
        <w:t xml:space="preserve">分，投标人</w:t>
      </w:r>
      <w:r>
        <w:rPr>
          <w:rFonts w:ascii="宋体" w:hAnsi="宋体" w:eastAsia="宋体" w:cs="宋体"/>
          <w:color w:val="000000"/>
          <w:sz w:val="24"/>
          <w:u w:val="none"/>
        </w:rPr>
        <w:t xml:space="preserve">B</w:t>
      </w:r>
      <w:r>
        <w:rPr>
          <w:rFonts w:ascii="宋体" w:hAnsi="宋体" w:eastAsia="宋体" w:cs="宋体"/>
          <w:color w:val="000000"/>
          <w:sz w:val="24"/>
        </w:rPr>
        <w:t xml:space="preserve">的投标报价得分为</w:t>
      </w:r>
      <w:r>
        <w:rPr>
          <w:rFonts w:ascii="宋体" w:hAnsi="宋体" w:eastAsia="宋体" w:cs="宋体"/>
          <w:color w:val="000000"/>
          <w:sz w:val="24"/>
          <w:u w:val="none"/>
        </w:rPr>
        <w:t xml:space="preserve">28.24</w:t>
      </w:r>
      <w:r>
        <w:rPr>
          <w:rFonts w:ascii="宋体" w:hAnsi="宋体" w:eastAsia="宋体" w:cs="宋体"/>
          <w:color w:val="000000"/>
          <w:sz w:val="24"/>
        </w:rPr>
        <w:t xml:space="preserve">分；投标人</w:t>
      </w:r>
      <w:r>
        <w:rPr>
          <w:rFonts w:ascii="宋体" w:hAnsi="宋体" w:eastAsia="宋体" w:cs="宋体"/>
          <w:color w:val="000000"/>
          <w:sz w:val="24"/>
          <w:u w:val="none"/>
        </w:rPr>
        <w:t xml:space="preserve">A</w:t>
      </w:r>
      <w:r>
        <w:rPr>
          <w:rFonts w:ascii="宋体" w:hAnsi="宋体" w:eastAsia="宋体" w:cs="宋体"/>
          <w:color w:val="000000"/>
          <w:sz w:val="24"/>
        </w:rPr>
        <w:t xml:space="preserve">的投标报价得分为</w:t>
      </w:r>
      <w:r>
        <w:rPr>
          <w:rFonts w:ascii="宋体" w:hAnsi="宋体" w:eastAsia="宋体" w:cs="宋体"/>
          <w:color w:val="000000"/>
          <w:sz w:val="24"/>
          <w:u w:val="none"/>
        </w:rPr>
        <w:t xml:space="preserve">26.67</w:t>
      </w:r>
      <w:r>
        <w:rPr>
          <w:rFonts w:ascii="宋体" w:hAnsi="宋体" w:eastAsia="宋体" w:cs="宋体"/>
          <w:color w:val="000000"/>
          <w:sz w:val="24"/>
        </w:rPr>
        <w:t xml:space="preserve">分。</w:t>
      </w:r>
      <w:r/>
    </w:p>
    <w:p>
      <w:pPr>
        <w:pStyle w:val="802"/>
        <w:ind w:left="0" w:right="0" w:firstLine="48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3、最终结算单价=基准单价*（1-投标折扣率）。</w:t>
      </w:r>
      <w:r>
        <w:rPr>
          <w:highlight w:val="none"/>
        </w:rPr>
      </w:r>
      <w:r/>
    </w:p>
    <w:p>
      <w:pPr>
        <w:pStyle w:val="802"/>
        <w:ind w:left="0" w:right="0" w:firstLine="482"/>
        <w:jc w:val="both"/>
        <w:pageBreakBefore w:val="0"/>
        <w:spacing w:before="0" w:after="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九、付款条件</w:t>
      </w:r>
      <w:r>
        <w:rPr>
          <w:highlight w:val="none"/>
        </w:rPr>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1.招标人与中标人每月</w:t>
      </w:r>
      <w:r>
        <w:rPr>
          <w:rFonts w:ascii="宋体" w:hAnsi="宋体" w:eastAsia="宋体" w:cs="宋体"/>
          <w:color w:val="000000"/>
          <w:sz w:val="24"/>
        </w:rPr>
        <w:t xml:space="preserve">20日前后根据考核标准进行（次月结算上月）支付，由中标人每月自行提出书面申请，并提供以下相关资料：</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1.1中标人每月提供电脑打印供货清单（含供应食材种类、数量）；</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1.2经招标人相关人员验收签收凭证（一式两份，双方签字）；</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1.3招标人根据实际情况要求的其他材料等。</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述材料经双方核实确认无误后，由中标人提供相应的等额发票，次月5日前凭发票到招标人财务科登记进行记账，履行报批手续，最后经审核确认后，次月20日以后汇款或通知中标人到财务科结算上月食材供应价款。</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每月结算食材价款时须严格按照折扣后进行计算申报，其提供的所有结算资料均须真实有效、准确详实、有迹可循，如经招标人发现弄虚作假，一经查实，招标人将解除合同，并依法追究中标人的经济和法律责任。</w:t>
      </w:r>
      <w:r/>
    </w:p>
    <w:p>
      <w:pPr>
        <w:pStyle w:val="802"/>
        <w:ind w:left="0" w:right="0" w:firstLine="482"/>
        <w:jc w:val="both"/>
        <w:pageBreakBefore w:val="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十、其他</w:t>
      </w:r>
      <w:r/>
    </w:p>
    <w:p>
      <w:pPr>
        <w:pStyle w:val="802"/>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1.本章的商务部分均为实质性要求，不允许负偏离，如有负偏离作无效投标处理。</w:t>
      </w:r>
      <w:r/>
    </w:p>
    <w:p>
      <w:pPr>
        <w:pStyle w:val="802"/>
        <w:ind w:right="840"/>
        <w:jc w:val="center"/>
        <w:pageBreakBefore w:val="0"/>
        <w:spacing w:line="360" w:lineRule="auto"/>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bookmarkStart w:id="68" w:name="_Toc20118"/>
      <w:r>
        <w:rPr>
          <w:rFonts w:hint="eastAsia" w:ascii="方正小标宋简体" w:hAnsi="方正小标宋简体" w:eastAsia="方正小标宋简体" w:cs="方正小标宋简体"/>
          <w:color w:val="000000"/>
          <w:sz w:val="36"/>
          <w:szCs w:val="36"/>
        </w:rPr>
        <w:t xml:space="preserve">第五章  评标方法与评标标准</w:t>
      </w:r>
      <w:bookmarkEnd w:id="68"/>
      <w:r>
        <w:rPr>
          <w:rFonts w:ascii="方正小标宋简体" w:hAnsi="方正小标宋简体" w:eastAsia="方正小标宋简体" w:cs="方正小标宋简体"/>
          <w:color w:val="000000"/>
          <w:sz w:val="36"/>
          <w:szCs w:val="36"/>
        </w:rPr>
      </w:r>
      <w:r/>
    </w:p>
    <w:p>
      <w:pPr>
        <w:pStyle w:val="802"/>
        <w:ind w:firstLine="480"/>
        <w:pageBreakBefore w:val="0"/>
        <w:spacing w:line="360"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ascii="黑体" w:hAnsi="黑体" w:eastAsia="黑体" w:cs="黑体"/>
          <w:color w:val="000000"/>
          <w:sz w:val="24"/>
          <w:szCs w:val="24"/>
        </w:rPr>
      </w:r>
      <w:r/>
    </w:p>
    <w:p>
      <w:pPr>
        <w:pStyle w:val="802"/>
        <w:ind w:firstLine="48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、评标标准中</w:t>
      </w:r>
      <w:r>
        <w:rPr>
          <w:rFonts w:hint="eastAsia" w:ascii="宋体" w:hAnsi="宋体" w:cs="宋体"/>
          <w:color w:val="000000"/>
          <w:sz w:val="24"/>
          <w:szCs w:val="24"/>
          <w:lang w:val="en-US" w:eastAsia="zh-CN"/>
        </w:rPr>
        <w:t xml:space="preserve">服务方案</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ascii="宋体" w:hAnsi="宋体" w:cs="宋体"/>
          <w:color w:val="000000"/>
          <w:sz w:val="24"/>
          <w:szCs w:val="24"/>
        </w:rPr>
      </w:r>
      <w:r/>
    </w:p>
    <w:p>
      <w:pPr>
        <w:pStyle w:val="802"/>
        <w:ind w:firstLine="480"/>
        <w:pageBreakBefore w:val="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Style w:val="857"/>
        <w:tblW w:w="105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080"/>
        <w:gridCol w:w="1423"/>
        <w:gridCol w:w="6243"/>
        <w:gridCol w:w="871"/>
      </w:tblGrid>
      <w:tr>
        <w:trPr>
          <w:trHeight w:val="474"/>
        </w:trPr>
        <w:tc>
          <w:tcPr>
            <w:tcMar>
              <w:left w:w="108" w:type="dxa"/>
              <w:top w:w="0" w:type="dxa"/>
              <w:right w:w="108" w:type="dxa"/>
              <w:bottom w:w="0" w:type="dxa"/>
            </w:tcMar>
            <w:tcW w:w="926"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Mar>
              <w:left w:w="108" w:type="dxa"/>
              <w:top w:w="0" w:type="dxa"/>
              <w:right w:w="108" w:type="dxa"/>
              <w:bottom w:w="0" w:type="dxa"/>
            </w:tcMar>
            <w:tcW w:w="1080"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评分指标</w:t>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评分因素</w:t>
            </w:r>
            <w:r/>
          </w:p>
        </w:tc>
        <w:tc>
          <w:tcPr>
            <w:tcMar>
              <w:left w:w="108" w:type="dxa"/>
              <w:top w:w="0" w:type="dxa"/>
              <w:right w:w="108" w:type="dxa"/>
              <w:bottom w:w="0" w:type="dxa"/>
            </w:tcMar>
            <w:tcW w:w="624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评审标准</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分值</w:t>
            </w:r>
            <w:r/>
          </w:p>
        </w:tc>
      </w:tr>
      <w:tr>
        <w:trPr>
          <w:trHeight w:val="277"/>
        </w:trPr>
        <w:tc>
          <w:tcPr>
            <w:gridSpan w:val="5"/>
            <w:tcMar>
              <w:left w:w="108" w:type="dxa"/>
              <w:top w:w="0" w:type="dxa"/>
              <w:right w:w="108" w:type="dxa"/>
              <w:bottom w:w="0" w:type="dxa"/>
            </w:tcMar>
            <w:tcW w:w="10543" w:type="dxa"/>
            <w:vAlign w:val="center"/>
            <w:textDirection w:val="lrTb"/>
            <w:noWrap w:val="false"/>
          </w:tcPr>
          <w:p>
            <w:pPr>
              <w:pStyle w:val="802"/>
              <w:ind w:left="0" w:right="0" w:firstLine="0"/>
              <w:jc w:val="center"/>
              <w:pageBreakBefore w:val="0"/>
              <w:spacing w:before="0" w:after="0" w:line="360" w:lineRule="auto"/>
              <w:rPr>
                <w:rFonts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一、价格（30分）</w:t>
            </w:r>
            <w:r>
              <w:rPr>
                <w:rFonts w:ascii="宋体" w:hAnsi="宋体" w:eastAsia="宋体" w:cs="宋体"/>
                <w:color w:val="000000"/>
                <w:sz w:val="22"/>
                <w:lang w:val="en-US" w:eastAsia="zh-CN"/>
              </w:rPr>
            </w:r>
            <w:r/>
          </w:p>
        </w:tc>
      </w:tr>
      <w:tr>
        <w:trPr>
          <w:trHeight w:val="1826"/>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cs="Times New Roman"/>
                <w:sz w:val="21"/>
                <w:szCs w:val="22"/>
                <w:lang w:val="en-US" w:eastAsia="zh-CN" w:bidi="ar-SA"/>
              </w:rPr>
              <w:t xml:space="preserve">第</w:t>
            </w:r>
            <w:r>
              <w:rPr>
                <w:rFonts w:hint="eastAsia" w:ascii="Times New Roman" w:hAnsi="Times New Roman" w:eastAsia="宋体" w:cs="Times New Roman"/>
                <w:sz w:val="21"/>
                <w:szCs w:val="22"/>
                <w:lang w:val="en-US" w:eastAsia="zh-CN" w:bidi="ar-SA"/>
              </w:rPr>
              <w:t xml:space="preserve">一章</w:t>
            </w:r>
            <w:r/>
          </w:p>
        </w:tc>
        <w:tc>
          <w:tcPr>
            <w:tcMar>
              <w:left w:w="108" w:type="dxa"/>
              <w:top w:w="0" w:type="dxa"/>
              <w:right w:w="108" w:type="dxa"/>
              <w:bottom w:w="0" w:type="dxa"/>
            </w:tcMar>
            <w:tcW w:w="1080"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报价</w:t>
            </w:r>
            <w:r/>
          </w:p>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w:t>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报价</w:t>
            </w:r>
            <w:r/>
          </w:p>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w:t>
            </w:r>
            <w:r/>
          </w:p>
        </w:tc>
        <w:tc>
          <w:tcPr>
            <w:tcMar>
              <w:left w:w="108" w:type="dxa"/>
              <w:top w:w="0" w:type="dxa"/>
              <w:right w:w="108" w:type="dxa"/>
              <w:bottom w:w="0" w:type="dxa"/>
            </w:tcMar>
            <w:tcW w:w="62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价格分统一采用低价优先法，即满足招标文件要求且1-投标折扣率最低为评标基准值，其价格分为满分30分。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其他投标人的价格分统一按照下列公式计算：投标报价得分=评标基准值/（1-投标折扣率）×30（保留两位小数）。</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投标折扣率是指以南京市发展和改革委员会官网（http:// fgw.nanjing.gov.cn// ）公布的正常零售价格为基础，进行优惠的比例。如投标人A、B、C的投标折扣率分别为10%、15%、20%，投标人C所投20%的（1-20%）为评标基准价，投标人C的投标报价得分为30分，投标人B的投标报价得分为28.24分；投标人A的投标报价得分为26.67分。</w:t>
            </w:r>
            <w:r>
              <w:rPr>
                <w:rFonts w:hint="eastAsia" w:ascii="宋体" w:hAnsi="宋体" w:eastAsia="宋体" w:cs="宋体"/>
                <w:b/>
                <w:bCs/>
                <w:color w:val="000000"/>
                <w:sz w:val="22"/>
              </w:rPr>
              <w:t xml:space="preserve">（以上数据均未进行政策功能的扣除，仅供理解）</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w:t>
            </w:r>
            <w:r/>
          </w:p>
        </w:tc>
      </w:tr>
      <w:tr>
        <w:trPr>
          <w:trHeight w:val="499"/>
        </w:trPr>
        <w:tc>
          <w:tcPr>
            <w:gridSpan w:val="5"/>
            <w:tcMar>
              <w:left w:w="108" w:type="dxa"/>
              <w:top w:w="0" w:type="dxa"/>
              <w:right w:w="108" w:type="dxa"/>
              <w:bottom w:w="0" w:type="dxa"/>
            </w:tcMar>
            <w:tcW w:w="10543" w:type="dxa"/>
            <w:vAlign w:val="center"/>
            <w:textDirection w:val="lrTb"/>
            <w:noWrap w:val="false"/>
          </w:tcPr>
          <w:p>
            <w:pPr>
              <w:pStyle w:val="802"/>
              <w:ind w:left="0" w:right="0" w:firstLine="0"/>
              <w:jc w:val="center"/>
              <w:pageBreakBefore w:val="0"/>
              <w:spacing w:before="0" w:after="0" w:line="360" w:lineRule="auto"/>
              <w:rPr>
                <w:rFonts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二、商务（31分）</w:t>
            </w:r>
            <w:r>
              <w:rPr>
                <w:rFonts w:ascii="宋体" w:hAnsi="宋体" w:eastAsia="宋体" w:cs="宋体"/>
                <w:color w:val="000000"/>
                <w:sz w:val="22"/>
                <w:lang w:val="en-US" w:eastAsia="zh-CN"/>
              </w:rPr>
            </w:r>
            <w:r/>
          </w:p>
        </w:tc>
      </w:tr>
      <w:tr>
        <w:trPr>
          <w:trHeight w:val="90"/>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第二章</w:t>
            </w:r>
            <w:r/>
          </w:p>
        </w:tc>
        <w:tc>
          <w:tcPr>
            <w:tcMar>
              <w:left w:w="108" w:type="dxa"/>
              <w:top w:w="0" w:type="dxa"/>
              <w:right w:w="108" w:type="dxa"/>
              <w:bottom w:w="0" w:type="dxa"/>
            </w:tcMar>
            <w:tcW w:w="1080"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业绩</w:t>
            </w:r>
            <w:r/>
          </w:p>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业绩</w:t>
            </w:r>
            <w:r/>
          </w:p>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tc>
        <w:tc>
          <w:tcPr>
            <w:tcMar>
              <w:left w:w="108" w:type="dxa"/>
              <w:top w:w="0" w:type="dxa"/>
              <w:right w:w="108" w:type="dxa"/>
              <w:bottom w:w="0" w:type="dxa"/>
            </w:tcMar>
            <w:tcW w:w="62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投标人提供202</w:t>
            </w:r>
            <w:r>
              <w:rPr>
                <w:rFonts w:hint="eastAsia" w:ascii="宋体" w:hAnsi="宋体" w:cs="宋体"/>
                <w:color w:val="000000"/>
                <w:sz w:val="22"/>
                <w:lang w:val="en-US" w:eastAsia="zh-CN"/>
              </w:rPr>
              <w:t xml:space="preserve">3</w:t>
            </w:r>
            <w:r>
              <w:rPr>
                <w:rFonts w:ascii="宋体" w:hAnsi="宋体" w:eastAsia="宋体" w:cs="宋体"/>
                <w:color w:val="000000"/>
                <w:sz w:val="22"/>
              </w:rPr>
              <w:t xml:space="preserve">年</w:t>
            </w:r>
            <w:r>
              <w:rPr>
                <w:rFonts w:hint="eastAsia" w:ascii="宋体" w:hAnsi="宋体" w:cs="宋体"/>
                <w:color w:val="000000"/>
                <w:sz w:val="22"/>
                <w:lang w:val="en-US" w:eastAsia="zh-CN"/>
              </w:rPr>
              <w:t xml:space="preserve">04</w:t>
            </w:r>
            <w:r>
              <w:rPr>
                <w:rFonts w:ascii="宋体" w:hAnsi="宋体" w:eastAsia="宋体" w:cs="宋体"/>
                <w:color w:val="000000"/>
                <w:sz w:val="22"/>
              </w:rPr>
              <w:t xml:space="preserve">月01日</w:t>
            </w:r>
            <w:r>
              <w:rPr>
                <w:rFonts w:hint="eastAsia" w:ascii="宋体" w:hAnsi="宋体" w:eastAsia="宋体" w:cs="宋体"/>
                <w:sz w:val="21"/>
                <w:szCs w:val="21"/>
                <w:highlight w:val="none"/>
              </w:rPr>
              <w:t xml:space="preserve">（以合同签订日期为准）</w:t>
            </w:r>
            <w:r>
              <w:rPr>
                <w:rFonts w:ascii="宋体" w:hAnsi="宋体" w:eastAsia="宋体" w:cs="宋体"/>
                <w:color w:val="000000"/>
                <w:sz w:val="22"/>
              </w:rPr>
              <w:t xml:space="preserve">以来有承接过类似食材供货的，每提供一个得2分，最多得12分。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w:t>
            </w:r>
            <w:r>
              <w:rPr>
                <w:rFonts w:hint="eastAsia" w:ascii="宋体" w:hAnsi="宋体" w:eastAsia="宋体" w:cs="宋体"/>
                <w:color w:val="000000"/>
                <w:sz w:val="22"/>
                <w:highlight w:val="none"/>
              </w:rPr>
              <w:t xml:space="preserve">提供完整清晰的</w:t>
            </w:r>
            <w:r>
              <w:rPr>
                <w:rFonts w:hint="eastAsia" w:ascii="宋体" w:hAnsi="宋体" w:eastAsia="宋体" w:cs="宋体"/>
                <w:b/>
                <w:bCs/>
                <w:color w:val="000000"/>
                <w:sz w:val="22"/>
                <w:highlight w:val="none"/>
              </w:rPr>
              <w:t xml:space="preserve">合同扫描件</w:t>
            </w:r>
            <w:r>
              <w:rPr>
                <w:rFonts w:hint="eastAsia" w:ascii="宋体" w:hAnsi="宋体" w:eastAsia="宋体" w:cs="宋体"/>
                <w:color w:val="000000"/>
                <w:sz w:val="22"/>
                <w:highlight w:val="none"/>
              </w:rPr>
              <w:t xml:space="preserve">及合同服务期内对应的</w:t>
            </w:r>
            <w:r>
              <w:rPr>
                <w:rFonts w:hint="eastAsia" w:ascii="宋体" w:hAnsi="宋体" w:eastAsia="宋体" w:cs="宋体"/>
                <w:b/>
                <w:bCs/>
                <w:color w:val="000000"/>
                <w:sz w:val="22"/>
                <w:highlight w:val="none"/>
              </w:rPr>
              <w:t xml:space="preserve">付款发票</w:t>
            </w:r>
            <w:r>
              <w:rPr>
                <w:rFonts w:hint="eastAsia" w:ascii="宋体" w:hAnsi="宋体" w:eastAsia="宋体" w:cs="宋体"/>
                <w:color w:val="000000"/>
                <w:sz w:val="22"/>
                <w:highlight w:val="none"/>
              </w:rPr>
              <w:t xml:space="preserve">并加盖投标人公章，其中合同需体现出甲方名称、合同内容、签署日期等信息；发票中购买方信息应与合同中甲方名称一致</w:t>
            </w:r>
            <w:r>
              <w:rPr>
                <w:rFonts w:ascii="宋体" w:hAnsi="宋体" w:eastAsia="宋体" w:cs="宋体"/>
                <w:color w:val="000000"/>
                <w:sz w:val="22"/>
                <w:highlight w:val="none"/>
              </w:rPr>
              <w:t xml:space="preserve">。同一单</w:t>
            </w:r>
            <w:r>
              <w:rPr>
                <w:rFonts w:ascii="宋体" w:hAnsi="宋体" w:eastAsia="宋体" w:cs="宋体"/>
                <w:color w:val="000000"/>
                <w:sz w:val="22"/>
                <w:highlight w:val="none"/>
              </w:rPr>
              <w:t xml:space="preserve">位的合同不累计）</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w:t>
            </w:r>
            <w:r/>
          </w:p>
        </w:tc>
      </w:tr>
      <w:tr>
        <w:trPr>
          <w:trHeight w:val="1389"/>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第三章 </w:t>
            </w:r>
            <w:r/>
          </w:p>
        </w:tc>
        <w:tc>
          <w:tcPr>
            <w:tcMar>
              <w:left w:w="108" w:type="dxa"/>
              <w:top w:w="0" w:type="dxa"/>
              <w:right w:w="108" w:type="dxa"/>
              <w:bottom w:w="0" w:type="dxa"/>
            </w:tcMar>
            <w:tcW w:w="1080" w:type="dxa"/>
            <w:vAlign w:val="center"/>
            <w:vMerge w:val="restart"/>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履约能力</w:t>
            </w:r>
            <w:r/>
          </w:p>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w:t>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质量保障</w:t>
            </w:r>
            <w:r/>
          </w:p>
          <w:p>
            <w:pPr>
              <w:pStyle w:val="802"/>
              <w:ind w:left="0" w:right="0" w:firstLine="420"/>
              <w:jc w:val="both"/>
              <w:pageBreakBefore w:val="0"/>
              <w:spacing w:before="0" w:after="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rPr>
                <w:rFonts w:hint="eastAsia" w:eastAsia="宋体"/>
                <w:lang w:val="en-US" w:eastAsia="zh-CN"/>
              </w:rPr>
            </w:r>
            <w:r/>
          </w:p>
        </w:tc>
        <w:tc>
          <w:tcPr>
            <w:tcMar>
              <w:left w:w="108" w:type="dxa"/>
              <w:top w:w="0" w:type="dxa"/>
              <w:right w:w="108" w:type="dxa"/>
              <w:bottom w:w="0" w:type="dxa"/>
            </w:tcMar>
            <w:tcW w:w="6243" w:type="dxa"/>
            <w:vAlign w:val="center"/>
            <w:textDirection w:val="lrTb"/>
            <w:noWrap w:val="false"/>
          </w:tcPr>
          <w:p>
            <w:pPr>
              <w:pStyle w:val="802"/>
              <w:ind w:left="0" w:right="81" w:firstLine="0"/>
              <w:jc w:val="both"/>
              <w:pageBreakBefore w:val="0"/>
              <w:spacing w:before="18"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（1）投标人具有自有或有合作关系的蔬菜种植基地的得2分（提供自有或合作证明材料复印件加盖投标人公章。）</w:t>
            </w:r>
            <w:r/>
          </w:p>
          <w:p>
            <w:pPr>
              <w:pStyle w:val="802"/>
              <w:ind w:left="0" w:right="81" w:firstLine="0"/>
              <w:pageBreakBefore w:val="0"/>
              <w:spacing w:before="18"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（2）投标人具有自有或有合作关系的养殖基地得2分（提供自有或合作证明材料复印件加盖投标人公章。）</w:t>
            </w:r>
            <w:r/>
          </w:p>
          <w:p>
            <w:pPr>
              <w:pStyle w:val="802"/>
              <w:ind w:left="0" w:right="81" w:firstLine="0"/>
              <w:pageBreakBefore w:val="0"/>
              <w:spacing w:before="18"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（3）投标人提供权威检测机构（具有CNAS或CMA认证的检验机构）出具的产品检测报告，每提供1个种类的产品的检测报告的得1分，最多得2分（提供检测报告复印件加盖投标人公章）。</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rPr>
                <w:rFonts w:hint="eastAsia" w:eastAsia="宋体"/>
                <w:lang w:val="en-US" w:eastAsia="zh-CN"/>
              </w:rPr>
            </w:r>
            <w:r/>
          </w:p>
        </w:tc>
      </w:tr>
      <w:tr>
        <w:trPr>
          <w:trHeight w:val="1389"/>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zh-CN" w:bidi="ar-SA"/>
              </w:rPr>
              <w:t xml:space="preserve">第四章 </w:t>
            </w:r>
            <w:r>
              <w:rPr>
                <w:rFonts w:ascii="宋体" w:hAnsi="宋体" w:eastAsia="宋体" w:cs="宋体"/>
                <w:color w:val="000000"/>
                <w:sz w:val="22"/>
              </w:rPr>
            </w:r>
            <w:r/>
          </w:p>
        </w:tc>
        <w:tc>
          <w:tcPr>
            <w:tcMar>
              <w:left w:w="108" w:type="dxa"/>
              <w:top w:w="0" w:type="dxa"/>
              <w:right w:w="108" w:type="dxa"/>
              <w:bottom w:w="0" w:type="dxa"/>
            </w:tcMar>
            <w:tcW w:w="1080" w:type="dxa"/>
            <w:vAlign w:val="center"/>
            <w:vMerge w:val="continue"/>
            <w:textDirection w:val="lrTb"/>
            <w:noWrap w:val="false"/>
          </w:tcPr>
          <w:p>
            <w:pPr>
              <w:pStyle w:val="802"/>
              <w:ind w:left="0" w:right="0" w:firstLine="0"/>
              <w:jc w:val="center"/>
              <w:pageBreakBefore w:val="0"/>
              <w:spacing w:before="0" w:after="0" w:line="360" w:lineRule="auto"/>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检测实力</w:t>
            </w:r>
            <w:r>
              <w:rPr>
                <w:rFonts w:hint="eastAsia" w:ascii="宋体" w:hAnsi="宋体" w:eastAsia="宋体" w:cs="宋体"/>
                <w:color w:val="000000"/>
                <w:sz w:val="22"/>
                <w:lang w:val="en-US" w:eastAsia="zh-CN"/>
              </w:rPr>
            </w:r>
            <w:r/>
          </w:p>
          <w:p>
            <w:pPr>
              <w:pStyle w:val="802"/>
              <w:ind w:left="0" w:right="0" w:firstLine="0"/>
              <w:jc w:val="center"/>
              <w:pageBreakBefore w:val="0"/>
              <w:spacing w:before="0" w:after="0" w:line="36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3</w:t>
            </w:r>
            <w:r>
              <w:rPr>
                <w:lang w:val="en-US" w:eastAsia="zh-CN"/>
              </w:rPr>
            </w:r>
            <w:r/>
          </w:p>
        </w:tc>
        <w:tc>
          <w:tcPr>
            <w:tcMar>
              <w:left w:w="108" w:type="dxa"/>
              <w:top w:w="0" w:type="dxa"/>
              <w:right w:w="108" w:type="dxa"/>
              <w:bottom w:w="0" w:type="dxa"/>
            </w:tcMar>
            <w:tcW w:w="6243" w:type="dxa"/>
            <w:vAlign w:val="center"/>
            <w:textDirection w:val="lrTb"/>
            <w:noWrap w:val="false"/>
          </w:tcPr>
          <w:p>
            <w:pPr>
              <w:pStyle w:val="802"/>
              <w:ind w:left="0" w:right="81" w:firstLine="0"/>
              <w:pageBreakBefore w:val="0"/>
              <w:spacing w:before="18" w:after="0" w:line="360" w:lineRule="auto"/>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1、投标人具有食品检测设备得1分，未提供不得分（提供设备购买发票和设备照片，发票抬头须与投标人一致）；</w:t>
            </w:r>
            <w:r>
              <w:rPr>
                <w:rFonts w:hint="eastAsia" w:ascii="宋体" w:hAnsi="宋体" w:eastAsia="宋体" w:cs="宋体"/>
                <w:color w:val="000000"/>
                <w:sz w:val="22"/>
                <w:lang w:val="en-US" w:eastAsia="zh-CN"/>
              </w:rPr>
            </w:r>
            <w:r/>
          </w:p>
          <w:p>
            <w:pPr>
              <w:pStyle w:val="802"/>
              <w:ind w:left="0" w:right="81" w:firstLine="0"/>
              <w:pageBreakBefore w:val="0"/>
              <w:spacing w:before="18"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2、投标人具有食品检测员的得2分，未提供不得分（提供食品检测员证书及投标人为其缴纳的2025年12月以来任意一个月的社保证明，证明材料缺项或未提供的不得分）。</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3</w:t>
            </w:r>
            <w:r>
              <w:rPr>
                <w:lang w:val="en-US" w:eastAsia="zh-CN"/>
              </w:rPr>
            </w:r>
            <w:r/>
          </w:p>
        </w:tc>
      </w:tr>
      <w:tr>
        <w:trPr>
          <w:trHeight w:val="90"/>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第五章 </w:t>
            </w:r>
            <w:r/>
          </w:p>
        </w:tc>
        <w:tc>
          <w:tcPr>
            <w:tcW w:w="1080"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服务保障</w:t>
            </w:r>
            <w:r/>
          </w:p>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Mar>
              <w:left w:w="108" w:type="dxa"/>
              <w:top w:w="0" w:type="dxa"/>
              <w:right w:w="108" w:type="dxa"/>
              <w:bottom w:w="0" w:type="dxa"/>
            </w:tcMar>
            <w:tcW w:w="6243" w:type="dxa"/>
            <w:vAlign w:val="center"/>
            <w:textDirection w:val="lrTb"/>
            <w:noWrap w:val="false"/>
          </w:tcPr>
          <w:p>
            <w:pPr>
              <w:pStyle w:val="802"/>
              <w:ind w:left="0" w:right="81" w:firstLine="0"/>
              <w:jc w:val="both"/>
              <w:pageBreakBefore w:val="0"/>
              <w:spacing w:before="18"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（1）投标人自有或租有专用仓库（不含冷库）的，面积50平方米（含）-150平方米（不含）的得2分，面积150平方米及以上的得3分，未提供不得分</w:t>
            </w:r>
            <w:r/>
          </w:p>
          <w:p>
            <w:pPr>
              <w:pStyle w:val="802"/>
              <w:ind w:left="0" w:right="81" w:firstLine="0"/>
              <w:jc w:val="both"/>
              <w:pageBreakBefore w:val="0"/>
              <w:spacing w:before="18"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（2）投标人自有或租有专用冷库，面积50平方米（含）-150平方米（不含）的得2分，面积满150平方米及以上的得3分，未提供不得分。</w:t>
            </w:r>
            <w:r/>
          </w:p>
          <w:p>
            <w:pPr>
              <w:pStyle w:val="802"/>
              <w:ind w:left="0" w:right="81" w:firstLine="0"/>
              <w:jc w:val="both"/>
              <w:pageBreakBefore w:val="0"/>
              <w:spacing w:before="18"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（现有自有仓库的，需提供房产证；现有租赁仓库的，需提供租赁证明。）</w:t>
            </w:r>
            <w:r/>
          </w:p>
          <w:p>
            <w:pPr>
              <w:pStyle w:val="802"/>
              <w:ind w:left="0" w:right="81" w:firstLine="0"/>
              <w:jc w:val="both"/>
              <w:pageBreakBefore w:val="0"/>
              <w:spacing w:before="18"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w:t>
            </w:r>
            <w:r>
              <w:rPr>
                <w:rFonts w:ascii="宋体" w:hAnsi="宋体" w:eastAsia="宋体" w:cs="宋体"/>
                <w:color w:val="000000"/>
                <w:sz w:val="22"/>
              </w:rPr>
              <w:t xml:space="preserve">（租赁证明应包括在有效期内的租赁合同、房产证明）；上述所提供仓库提供图片等证明材料复印件并加盖投标供应商公章，否则不得分。）</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r>
      <w:tr>
        <w:trPr>
          <w:trHeight w:val="90"/>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第六章 </w:t>
            </w:r>
            <w:r/>
          </w:p>
        </w:tc>
        <w:tc>
          <w:tcPr>
            <w:tcW w:w="1080"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运输保障</w:t>
            </w:r>
            <w:r/>
          </w:p>
          <w:p>
            <w:pPr>
              <w:pStyle w:val="802"/>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Mar>
              <w:left w:w="108" w:type="dxa"/>
              <w:top w:w="0" w:type="dxa"/>
              <w:right w:w="108" w:type="dxa"/>
              <w:bottom w:w="0" w:type="dxa"/>
            </w:tcMar>
            <w:tcW w:w="6243" w:type="dxa"/>
            <w:vAlign w:val="center"/>
            <w:textDirection w:val="lrTb"/>
            <w:noWrap w:val="false"/>
          </w:tcPr>
          <w:p>
            <w:pPr>
              <w:pStyle w:val="802"/>
              <w:ind w:left="0" w:right="81" w:firstLine="0"/>
              <w:jc w:val="both"/>
              <w:pageBreakBefore w:val="0"/>
              <w:spacing w:before="18"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（1）投标人能够提供自有或租赁配送车辆</w:t>
            </w:r>
            <w:r>
              <w:rPr>
                <w:rFonts w:hint="eastAsia" w:ascii="宋体" w:hAnsi="宋体" w:cs="宋体"/>
                <w:color w:val="000000"/>
                <w:sz w:val="22"/>
                <w:highlight w:val="none"/>
                <w:lang w:val="en-US" w:eastAsia="zh-CN"/>
              </w:rPr>
              <w:t xml:space="preserve">的</w:t>
            </w:r>
            <w:r>
              <w:rPr>
                <w:rFonts w:hint="eastAsia" w:ascii="宋体" w:hAnsi="宋体" w:cs="宋体"/>
                <w:b/>
                <w:bCs/>
                <w:color w:val="000000"/>
                <w:sz w:val="22"/>
                <w:highlight w:val="none"/>
                <w:lang w:val="en-US" w:eastAsia="zh-CN"/>
              </w:rPr>
              <w:t xml:space="preserve">两辆及以上</w:t>
            </w:r>
            <w:r>
              <w:rPr>
                <w:rFonts w:ascii="宋体" w:hAnsi="宋体" w:eastAsia="宋体" w:cs="宋体"/>
                <w:color w:val="000000"/>
                <w:sz w:val="22"/>
                <w:highlight w:val="none"/>
              </w:rPr>
              <w:t xml:space="preserve">（冷链车辆除外）的得2分，未提供不得分。</w:t>
            </w:r>
            <w:r>
              <w:rPr>
                <w:highlight w:val="none"/>
              </w:rPr>
            </w:r>
            <w:r/>
          </w:p>
          <w:p>
            <w:pPr>
              <w:pStyle w:val="802"/>
              <w:ind w:left="0" w:right="81" w:firstLine="0"/>
              <w:jc w:val="both"/>
              <w:pageBreakBefore w:val="0"/>
              <w:spacing w:before="18" w:after="0" w:line="360" w:lineRule="auto"/>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（2）投标人能够提供自有或租赁冷链车辆的</w:t>
            </w:r>
            <w:r>
              <w:rPr>
                <w:rFonts w:hint="eastAsia" w:ascii="宋体" w:hAnsi="宋体" w:cs="宋体"/>
                <w:b/>
                <w:bCs/>
                <w:color w:val="000000"/>
                <w:sz w:val="22"/>
                <w:highlight w:val="none"/>
                <w:lang w:val="en-US" w:eastAsia="zh-CN"/>
              </w:rPr>
              <w:t xml:space="preserve">两辆及以上</w:t>
            </w:r>
            <w:r>
              <w:rPr>
                <w:rFonts w:ascii="宋体" w:hAnsi="宋体" w:eastAsia="宋体" w:cs="宋体"/>
                <w:color w:val="000000"/>
                <w:sz w:val="22"/>
                <w:highlight w:val="none"/>
              </w:rPr>
              <w:t xml:space="preserve">得2分，未提供不得分。</w:t>
            </w:r>
            <w:r>
              <w:rPr>
                <w:rFonts w:ascii="宋体" w:hAnsi="宋体" w:eastAsia="宋体" w:cs="宋体"/>
                <w:color w:val="000000"/>
                <w:sz w:val="22"/>
                <w:highlight w:val="none"/>
              </w:rPr>
            </w:r>
            <w:r/>
          </w:p>
          <w:p>
            <w:pPr>
              <w:pStyle w:val="802"/>
              <w:ind w:left="0" w:right="81" w:firstLine="0"/>
              <w:jc w:val="both"/>
              <w:pageBreakBefore w:val="0"/>
              <w:spacing w:before="18" w:after="0" w:line="360" w:lineRule="auto"/>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自有车辆</w:t>
            </w:r>
            <w:r>
              <w:rPr>
                <w:rFonts w:hint="eastAsia" w:ascii="宋体" w:hAnsi="宋体" w:eastAsia="宋体" w:cs="宋体"/>
                <w:color w:val="000000"/>
                <w:sz w:val="22"/>
                <w:highlight w:val="none"/>
                <w:lang w:val="en-US" w:eastAsia="zh-CN"/>
              </w:rPr>
              <w:t xml:space="preserve">需提供有效期内的车辆登记证和车辆行驶证（所有人须为投标人或投标人法人代表）、车辆正面及相关照片（必须体现车牌号，车牌号须与车辆行驶证一致，明显体现出运输车辆特征）等证明材料复印件并加盖公章。</w:t>
            </w:r>
            <w:r>
              <w:rPr>
                <w:rFonts w:hint="eastAsia" w:ascii="宋体" w:hAnsi="宋体" w:eastAsia="宋体" w:cs="宋体"/>
                <w:color w:val="000000"/>
                <w:sz w:val="22"/>
                <w:highlight w:val="none"/>
                <w:lang w:val="en-US" w:eastAsia="zh-CN"/>
              </w:rPr>
            </w:r>
            <w:r/>
          </w:p>
          <w:p>
            <w:pPr>
              <w:pStyle w:val="802"/>
              <w:ind w:left="0" w:right="81" w:firstLine="0"/>
              <w:jc w:val="both"/>
              <w:pageBreakBefore w:val="0"/>
              <w:spacing w:before="18"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租赁车辆</w:t>
            </w:r>
            <w:r>
              <w:rPr>
                <w:rFonts w:hint="eastAsia" w:ascii="宋体" w:hAnsi="宋体" w:eastAsia="宋体" w:cs="宋体"/>
                <w:color w:val="000000"/>
                <w:sz w:val="22"/>
                <w:highlight w:val="none"/>
                <w:lang w:val="en-US" w:eastAsia="zh-CN"/>
              </w:rPr>
              <w:t xml:space="preserve">需提供由投标人或投标人法人代表签订的租用合同，签订的租用合同需超过此项目的服务期限(自开标日计算起一年），如提供的租赁合同无法覆盖本项目服务期限，须提供续签承诺书，格式自拟并加盖投标人公章；有效期内的车辆行驶证（所有人须为车辆出租单位或车辆出租单位法人代表）、车辆正面及相关照片（必须体现车牌号，车牌号须与车辆行驶证一致，明显体现出运输车辆特征）等证明材料复印件并加盖公章。</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r>
      <w:tr>
        <w:trPr>
          <w:trHeight w:val="841"/>
        </w:trPr>
        <w:tc>
          <w:tcPr>
            <w:gridSpan w:val="5"/>
            <w:tcMar>
              <w:left w:w="108" w:type="dxa"/>
              <w:top w:w="0" w:type="dxa"/>
              <w:right w:w="108" w:type="dxa"/>
              <w:bottom w:w="0" w:type="dxa"/>
            </w:tcMar>
            <w:tcW w:w="10543" w:type="dxa"/>
            <w:vAlign w:val="center"/>
            <w:textDirection w:val="lrTb"/>
            <w:noWrap w:val="false"/>
          </w:tcPr>
          <w:p>
            <w:pPr>
              <w:pStyle w:val="802"/>
              <w:ind w:left="0" w:right="0" w:firstLine="0"/>
              <w:jc w:val="center"/>
              <w:pageBreakBefore w:val="0"/>
              <w:spacing w:before="0" w:after="0" w:line="360" w:lineRule="auto"/>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三、技术（39分）</w:t>
            </w:r>
            <w:r>
              <w:rPr>
                <w:rFonts w:hint="eastAsia" w:ascii="宋体" w:hAnsi="宋体" w:eastAsia="宋体" w:cs="宋体"/>
                <w:color w:val="000000"/>
                <w:sz w:val="22"/>
                <w:lang w:val="en-US" w:eastAsia="zh-CN"/>
              </w:rPr>
            </w:r>
            <w:r/>
          </w:p>
        </w:tc>
      </w:tr>
      <w:tr>
        <w:trPr>
          <w:trHeight w:val="841"/>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rPr>
                <w:rFonts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cs="Times New Roman"/>
                <w:sz w:val="21"/>
                <w:szCs w:val="22"/>
                <w:lang w:val="en-US" w:eastAsia="zh-CN" w:bidi="ar-SA"/>
              </w:rPr>
              <w:t xml:space="preserve">第七章</w:t>
            </w:r>
            <w:r>
              <w:rPr>
                <w:rFonts w:ascii="Times New Roman" w:hAnsi="Times New Roman" w:eastAsia="宋体" w:cs="Times New Roman"/>
                <w:sz w:val="21"/>
                <w:szCs w:val="22"/>
                <w:lang w:val="en-US" w:eastAsia="zh-CN" w:bidi="ar-SA"/>
              </w:rPr>
            </w:r>
            <w:r/>
          </w:p>
        </w:tc>
        <w:tc>
          <w:tcPr>
            <w:tcMar>
              <w:left w:w="108" w:type="dxa"/>
              <w:top w:w="0" w:type="dxa"/>
              <w:right w:w="108" w:type="dxa"/>
              <w:bottom w:w="0" w:type="dxa"/>
            </w:tcMar>
            <w:tcW w:w="1080" w:type="dxa"/>
            <w:vAlign w:val="center"/>
            <w:vMerge w:val="restart"/>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服务方案</w:t>
            </w:r>
            <w:r/>
          </w:p>
          <w:p>
            <w:pPr>
              <w:pStyle w:val="802"/>
              <w:ind w:left="0" w:right="0" w:firstLine="0"/>
              <w:jc w:val="center"/>
              <w:pageBreakBefore w:val="0"/>
              <w:spacing w:before="0" w:after="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rPr>
                <w:rFonts w:hint="eastAsia" w:ascii="宋体" w:hAnsi="宋体" w:eastAsia="宋体" w:cs="宋体"/>
                <w:color w:val="000000"/>
                <w:sz w:val="22"/>
                <w:lang w:val="en-US" w:eastAsia="zh-CN"/>
              </w:rPr>
              <w:t xml:space="preserve">9</w:t>
            </w:r>
            <w:r>
              <w:rPr>
                <w:rFonts w:hint="eastAsia" w:eastAsia="宋体"/>
                <w:lang w:val="en-US" w:eastAsia="zh-CN"/>
              </w:rPr>
            </w:r>
            <w:r/>
          </w:p>
        </w:tc>
        <w:tc>
          <w:tcPr>
            <w:tcMar>
              <w:left w:w="108" w:type="dxa"/>
              <w:top w:w="0" w:type="dxa"/>
              <w:right w:w="108" w:type="dxa"/>
              <w:bottom w:w="0" w:type="dxa"/>
            </w:tcMar>
            <w:tcW w:w="1423" w:type="dxa"/>
            <w:vAlign w:val="center"/>
            <w:textDirection w:val="lrTb"/>
            <w:noWrap w:val="false"/>
          </w:tcPr>
          <w:p>
            <w:pPr>
              <w:pStyle w:val="802"/>
              <w:ind w:right="0"/>
              <w:jc w:val="both"/>
              <w:pageBreakBefore w:val="0"/>
              <w:spacing w:before="0" w:after="0" w:line="360" w:lineRule="auto"/>
              <w:rPr>
                <w:rFonts w:ascii="宋体" w:hAnsi="宋体" w:eastAsia="宋体" w:cs="宋体"/>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1"/>
                <w:szCs w:val="21"/>
                <w:highlight w:val="none"/>
                <w:lang w:eastAsia="zh-CN"/>
              </w:rPr>
              <w:t xml:space="preserve">人员管理方案</w:t>
            </w:r>
            <w:r>
              <w:rPr>
                <w:rFonts w:ascii="宋体" w:hAnsi="宋体" w:eastAsia="宋体" w:cs="宋体"/>
                <w:spacing w:val="-1"/>
                <w:sz w:val="21"/>
                <w:szCs w:val="21"/>
                <w:highlight w:val="none"/>
                <w:lang w:val="en-US" w:eastAsia="zh-CN"/>
              </w:rPr>
            </w:r>
            <w:r/>
          </w:p>
        </w:tc>
        <w:tc>
          <w:tcPr>
            <w:tcMar>
              <w:left w:w="108" w:type="dxa"/>
              <w:top w:w="0" w:type="dxa"/>
              <w:right w:w="108" w:type="dxa"/>
              <w:bottom w:w="0" w:type="dxa"/>
            </w:tcMar>
            <w:tcW w:w="6243" w:type="dxa"/>
            <w:vAlign w:val="center"/>
            <w:textDirection w:val="lrTb"/>
            <w:noWrap w:val="false"/>
          </w:tcPr>
          <w:p>
            <w:pPr>
              <w:pStyle w:val="802"/>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投标人提供人员管理方案：</w:t>
            </w:r>
            <w:r>
              <w:rPr>
                <w:rFonts w:hint="eastAsia" w:ascii="宋体" w:hAnsi="宋体" w:eastAsia="宋体" w:cs="宋体"/>
                <w:sz w:val="21"/>
                <w:szCs w:val="21"/>
                <w:highlight w:val="none"/>
              </w:rPr>
            </w:r>
            <w:r/>
          </w:p>
          <w:p>
            <w:pPr>
              <w:pStyle w:val="802"/>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人员管理制度合理、组织架构清晰、人员分工明确的得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02"/>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人员管理制度较合理、组织架构较清晰、人员分工较明确的得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02"/>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人员管理制度一般、组织架构一般、人员分工不太明确的得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02"/>
              <w:ind w:left="0" w:right="81" w:firstLine="0"/>
              <w:jc w:val="both"/>
              <w:pageBreakBefore w:val="0"/>
              <w:spacing w:before="18" w:after="0" w:line="360" w:lineRule="auto"/>
              <w:rPr>
                <w:rFonts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未提供方案的不</w:t>
            </w:r>
            <w:r>
              <w:rPr>
                <w:rFonts w:hint="eastAsia" w:ascii="宋体" w:hAnsi="宋体" w:eastAsia="宋体" w:cs="宋体"/>
                <w:sz w:val="21"/>
                <w:szCs w:val="21"/>
                <w:highlight w:val="none"/>
                <w:lang w:val="en-US" w:eastAsia="zh-CN"/>
              </w:rPr>
              <w:t xml:space="preserve">计</w:t>
            </w:r>
            <w:r>
              <w:rPr>
                <w:rFonts w:hint="eastAsia" w:ascii="宋体" w:hAnsi="宋体" w:eastAsia="宋体" w:cs="宋体"/>
                <w:sz w:val="21"/>
                <w:szCs w:val="21"/>
                <w:highlight w:val="none"/>
              </w:rPr>
              <w:t xml:space="preserve">分</w:t>
            </w:r>
            <w:r>
              <w:rPr>
                <w:rFonts w:ascii="Times New Roman" w:hAnsi="Times New Roman" w:eastAsia="宋体" w:cs="Times New Roman"/>
                <w:sz w:val="21"/>
                <w:szCs w:val="22"/>
                <w:lang w:val="en-US" w:eastAsia="zh-CN" w:bidi="ar-SA"/>
              </w:rPr>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rPr>
                <w:rFonts w:hint="eastAsia"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7</w:t>
            </w:r>
            <w:r>
              <w:rPr>
                <w:rFonts w:hint="eastAsia" w:ascii="Times New Roman" w:hAnsi="Times New Roman" w:eastAsia="宋体" w:cs="Times New Roman"/>
                <w:sz w:val="21"/>
                <w:szCs w:val="22"/>
                <w:lang w:val="en-US" w:eastAsia="zh-CN" w:bidi="ar-SA"/>
              </w:rPr>
            </w:r>
            <w:r/>
          </w:p>
        </w:tc>
      </w:tr>
      <w:tr>
        <w:trPr>
          <w:trHeight w:val="841"/>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第八章 </w:t>
            </w:r>
            <w:r/>
          </w:p>
        </w:tc>
        <w:tc>
          <w:tcPr>
            <w:tcMar>
              <w:left w:w="108" w:type="dxa"/>
              <w:top w:w="0" w:type="dxa"/>
              <w:right w:w="108" w:type="dxa"/>
              <w:bottom w:w="0" w:type="dxa"/>
            </w:tcMar>
            <w:tcW w:w="1080" w:type="dxa"/>
            <w:vAlign w:val="center"/>
            <w:vMerge w:val="continue"/>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商品溯源服务</w:t>
            </w:r>
            <w:r/>
          </w:p>
          <w:p>
            <w:pPr>
              <w:pStyle w:val="802"/>
              <w:ind w:left="0" w:right="0" w:firstLine="420"/>
              <w:jc w:val="both"/>
              <w:pageBreakBefore w:val="0"/>
              <w:spacing w:before="0" w:after="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8</w:t>
            </w:r>
            <w:r>
              <w:rPr>
                <w:rFonts w:hint="eastAsia" w:eastAsia="宋体"/>
                <w:lang w:val="en-US" w:eastAsia="zh-CN"/>
              </w:rPr>
            </w:r>
            <w:r/>
          </w:p>
        </w:tc>
        <w:tc>
          <w:tcPr>
            <w:tcMar>
              <w:left w:w="108" w:type="dxa"/>
              <w:top w:w="0" w:type="dxa"/>
              <w:right w:w="108" w:type="dxa"/>
              <w:bottom w:w="0" w:type="dxa"/>
            </w:tcMar>
            <w:tcW w:w="62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（1）投标人提供的质量管理方案中，质量管理制度及质量保证措施合理，承诺提供所供货物商品溯源服务（含进货、检验证明材料）以及食品安全保障措施健全完善、方案针对性强的，得</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（2）投标人提供的质量管理方案中，质量管理制度及质量保证措施较合理，承诺提供所供货物商品溯源服务（含进货、检验证明材料）以及食品安全保障措施较为健全、方案针对性较强的，得</w:t>
            </w:r>
            <w:r>
              <w:rPr>
                <w:rFonts w:hint="eastAsia" w:ascii="宋体" w:hAnsi="宋体" w:cs="宋体"/>
                <w:color w:val="000000"/>
                <w:sz w:val="22"/>
                <w:lang w:val="en-US" w:eastAsia="zh-CN"/>
              </w:rPr>
              <w:t xml:space="preserve">5</w:t>
            </w:r>
            <w:r>
              <w:rPr>
                <w:rFonts w:ascii="宋体" w:hAnsi="宋体" w:eastAsia="宋体" w:cs="宋体"/>
                <w:color w:val="000000"/>
                <w:sz w:val="22"/>
              </w:rPr>
              <w:t xml:space="preserve">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（3）投标人提供的质量管理方案中，质量管理制度及质量保证措施、承诺提供所供货物商品溯源服务（含进货、检验证明材料）以及食品安全保障措施欠缺但有基本的可行性，得3分；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本项最多</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分，未提供不得分。</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8</w:t>
            </w:r>
            <w:r>
              <w:rPr>
                <w:rFonts w:hint="eastAsia" w:eastAsia="宋体"/>
                <w:lang w:eastAsia="zh-CN"/>
              </w:rPr>
            </w:r>
            <w:r/>
          </w:p>
        </w:tc>
      </w:tr>
      <w:tr>
        <w:trPr>
          <w:trHeight w:val="451"/>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第九章 </w:t>
            </w:r>
            <w:r/>
          </w:p>
        </w:tc>
        <w:tc>
          <w:tcPr>
            <w:tcW w:w="1080"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应急保障措施</w:t>
            </w:r>
            <w:r/>
          </w:p>
          <w:p>
            <w:pPr>
              <w:pStyle w:val="802"/>
              <w:ind w:left="0" w:right="0" w:firstLine="420"/>
              <w:jc w:val="both"/>
              <w:pageBreakBefore w:val="0"/>
              <w:spacing w:before="0" w:after="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8</w:t>
            </w:r>
            <w:r>
              <w:rPr>
                <w:rFonts w:hint="eastAsia" w:eastAsia="宋体"/>
                <w:lang w:val="en-US" w:eastAsia="zh-CN"/>
              </w:rPr>
            </w:r>
            <w:r/>
          </w:p>
        </w:tc>
        <w:tc>
          <w:tcPr>
            <w:tcMar>
              <w:left w:w="108" w:type="dxa"/>
              <w:top w:w="0" w:type="dxa"/>
              <w:right w:w="108" w:type="dxa"/>
              <w:bottom w:w="0" w:type="dxa"/>
            </w:tcMar>
            <w:tcW w:w="62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综合评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（1）对服务过程中采购人发现问题的意见反馈及时，处置妥善准确，突发事件应急处理方案合理可行、针对性强，得</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（2）对服务过程中采购人发现问题的意见反馈较为及时，处置较妥善准确，突发事件应急处理方案较为合理可行、针对性较强，得</w:t>
            </w:r>
            <w:r>
              <w:rPr>
                <w:rFonts w:hint="eastAsia" w:ascii="宋体" w:hAnsi="宋体" w:cs="宋体"/>
                <w:color w:val="000000"/>
                <w:sz w:val="22"/>
                <w:lang w:val="en-US" w:eastAsia="zh-CN"/>
              </w:rPr>
              <w:t xml:space="preserve">5</w:t>
            </w:r>
            <w:r>
              <w:rPr>
                <w:rFonts w:ascii="宋体" w:hAnsi="宋体" w:eastAsia="宋体" w:cs="宋体"/>
                <w:color w:val="000000"/>
                <w:sz w:val="22"/>
              </w:rPr>
              <w:t xml:space="preserve">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（3）对服务过程中采购人发现问题的意见反馈及时性、处置妥善准确性以及突发事件应急处理方案合理性欠缺，得3分；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本项最多</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分，未提供不得分。</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8</w:t>
            </w:r>
            <w:r>
              <w:rPr>
                <w:rFonts w:hint="eastAsia" w:eastAsia="宋体"/>
                <w:lang w:eastAsia="zh-CN"/>
              </w:rPr>
            </w:r>
            <w:r/>
          </w:p>
        </w:tc>
      </w:tr>
      <w:tr>
        <w:trPr>
          <w:trHeight w:val="945"/>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第十章 </w:t>
            </w:r>
            <w:r/>
          </w:p>
        </w:tc>
        <w:tc>
          <w:tcPr>
            <w:tcW w:w="1080"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仓储实施方案</w:t>
            </w:r>
            <w:r/>
          </w:p>
          <w:p>
            <w:pPr>
              <w:pStyle w:val="802"/>
              <w:ind w:left="0" w:right="0" w:firstLine="420"/>
              <w:jc w:val="both"/>
              <w:pageBreakBefore w:val="0"/>
              <w:spacing w:before="0" w:after="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8</w:t>
            </w:r>
            <w:r>
              <w:rPr>
                <w:rFonts w:hint="eastAsia" w:eastAsia="宋体"/>
                <w:lang w:val="en-US" w:eastAsia="zh-CN"/>
              </w:rPr>
            </w:r>
            <w:r/>
          </w:p>
        </w:tc>
        <w:tc>
          <w:tcPr>
            <w:tcMar>
              <w:left w:w="108" w:type="dxa"/>
              <w:top w:w="0" w:type="dxa"/>
              <w:right w:w="108" w:type="dxa"/>
              <w:bottom w:w="0" w:type="dxa"/>
            </w:tcMar>
            <w:tcW w:w="62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委根据投标人提供的仓储物流对接（包括仓储物流制度、对配送过程中与仓储的对接等）及运输管理方案（包括供货组人员配备齐全，岗位清晰，职责明确，进度管理措施、安全管理措施、文明运输方案、安全运输等）综合评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（1）投标人有完整规范的仓储物流制度，对配送过程中与仓储的对接及时，运输管理方案合理可行的，得</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分；</w:t>
            </w:r>
            <w:r>
              <w:rPr>
                <w:rFonts w:hint="eastAsia" w:ascii="宋体" w:hAnsi="宋体" w:cs="宋体"/>
                <w:color w:val="000000"/>
                <w:sz w:val="22"/>
                <w:lang w:val="en-US" w:eastAsia="zh-CN"/>
              </w:rPr>
            </w:r>
            <w:r>
              <w:rPr>
                <w:rFonts w:ascii="宋体" w:hAnsi="宋体" w:eastAsia="宋体" w:cs="宋体"/>
                <w:color w:val="000000"/>
                <w:sz w:val="22"/>
              </w:rPr>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（2）投标人有较完整规范的仓储物流制度，对配送过程中与仓储的对接较及时，运输管理方案较为合理可行的，得</w:t>
            </w:r>
            <w:r>
              <w:rPr>
                <w:rFonts w:hint="eastAsia" w:ascii="宋体" w:hAnsi="宋体" w:cs="宋体"/>
                <w:color w:val="000000"/>
                <w:sz w:val="22"/>
                <w:lang w:val="en-US" w:eastAsia="zh-CN"/>
              </w:rPr>
              <w:t xml:space="preserve">5</w:t>
            </w:r>
            <w:r>
              <w:rPr>
                <w:rFonts w:ascii="宋体" w:hAnsi="宋体" w:eastAsia="宋体" w:cs="宋体"/>
                <w:color w:val="000000"/>
                <w:sz w:val="22"/>
              </w:rPr>
              <w:t xml:space="preserve">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（3）投标人的仓储物流制度基本合理，配送过程中与仓储的对接不及时，运输管理方案具有基本的可行性，得3分；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本项最多</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分，未提供不得分。</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8</w:t>
            </w:r>
            <w:r>
              <w:rPr>
                <w:rFonts w:hint="eastAsia" w:eastAsia="宋体"/>
                <w:lang w:eastAsia="zh-CN"/>
              </w:rPr>
            </w:r>
            <w:r/>
          </w:p>
        </w:tc>
      </w:tr>
      <w:tr>
        <w:trPr>
          <w:trHeight w:val="475"/>
        </w:trPr>
        <w:tc>
          <w:tcPr>
            <w:tcMar>
              <w:left w:w="108" w:type="dxa"/>
              <w:top w:w="0" w:type="dxa"/>
              <w:right w:w="108" w:type="dxa"/>
              <w:bottom w:w="0" w:type="dxa"/>
            </w:tcMar>
            <w:tcW w:w="926" w:type="dxa"/>
            <w:vAlign w:val="center"/>
            <w:textDirection w:val="lrTb"/>
            <w:noWrap w:val="false"/>
          </w:tcPr>
          <w:p>
            <w:pPr>
              <w:pStyle w:val="802"/>
              <w:numPr>
                <w:ilvl w:val="0"/>
                <w:numId w:val="0"/>
              </w:numPr>
              <w:ind w:lef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2"/>
                <w:lang w:val="en-US" w:eastAsia="zh-CN" w:bidi="ar-SA"/>
              </w:rPr>
              <w:t xml:space="preserve">第十一章</w:t>
            </w:r>
            <w:r/>
          </w:p>
        </w:tc>
        <w:tc>
          <w:tcPr>
            <w:tcW w:w="1080" w:type="dxa"/>
            <w:vAlign w:val="top"/>
            <w:vMerge w:val="continue"/>
            <w:textDirection w:val="lrTb"/>
            <w:noWrap w:val="false"/>
          </w:tcPr>
          <w:p>
            <w:pPr>
              <w:pStyle w:val="802"/>
              <w:pageBreakBefore w:val="0"/>
              <w:spacing w:after="0" w:line="360" w:lineRule="auto"/>
            </w:pPr>
            <w:r/>
            <w:r/>
          </w:p>
        </w:tc>
        <w:tc>
          <w:tcPr>
            <w:tcMar>
              <w:left w:w="108" w:type="dxa"/>
              <w:top w:w="0" w:type="dxa"/>
              <w:right w:w="108" w:type="dxa"/>
              <w:bottom w:w="0" w:type="dxa"/>
            </w:tcMar>
            <w:tcW w:w="1423"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售后服务方案</w:t>
            </w:r>
            <w:r/>
          </w:p>
          <w:p>
            <w:pPr>
              <w:pStyle w:val="802"/>
              <w:ind w:left="0" w:right="0" w:firstLine="420"/>
              <w:jc w:val="both"/>
              <w:pageBreakBefore w:val="0"/>
              <w:spacing w:before="0" w:after="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8</w:t>
            </w:r>
            <w:r>
              <w:rPr>
                <w:rFonts w:hint="eastAsia" w:eastAsia="宋体"/>
                <w:lang w:val="en-US" w:eastAsia="zh-CN"/>
              </w:rPr>
            </w:r>
            <w:r/>
          </w:p>
        </w:tc>
        <w:tc>
          <w:tcPr>
            <w:tcMar>
              <w:left w:w="108" w:type="dxa"/>
              <w:top w:w="0" w:type="dxa"/>
              <w:right w:w="108" w:type="dxa"/>
              <w:bottom w:w="0" w:type="dxa"/>
            </w:tcMar>
            <w:tcW w:w="6243" w:type="dxa"/>
            <w:vAlign w:val="center"/>
            <w:textDirection w:val="lrTb"/>
            <w:noWrap w:val="false"/>
          </w:tcPr>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评委根据投标人提供的售后服务方案进行评分。（包括临时采买或增加的食材供货的响应时间、配送速度、保鲜方法等）综合评分：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（1）投标人的售后方案完善详细，实施全面、操作性强的得</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（2）投标人的售后方案合理规范，操作性较强的得</w:t>
            </w:r>
            <w:r>
              <w:rPr>
                <w:rFonts w:hint="eastAsia" w:ascii="宋体" w:hAnsi="宋体" w:cs="宋体"/>
                <w:color w:val="000000"/>
                <w:sz w:val="22"/>
                <w:lang w:val="en-US" w:eastAsia="zh-CN"/>
              </w:rPr>
              <w:t xml:space="preserve">5</w:t>
            </w:r>
            <w:r>
              <w:rPr>
                <w:rFonts w:ascii="宋体" w:hAnsi="宋体" w:eastAsia="宋体" w:cs="宋体"/>
                <w:color w:val="000000"/>
                <w:sz w:val="22"/>
              </w:rPr>
              <w:t xml:space="preserve">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（3）投标人的售后方案基本合理，实施方案描述简单，可操作性不强的得3分；</w:t>
            </w:r>
            <w:r/>
          </w:p>
          <w:p>
            <w:pPr>
              <w:pStyle w:val="802"/>
              <w:ind w:left="0" w:right="0" w:firstLine="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（4）未提供不得分。</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8</w:t>
            </w:r>
            <w:r>
              <w:rPr>
                <w:rFonts w:hint="eastAsia" w:eastAsia="宋体"/>
                <w:lang w:eastAsia="zh-CN"/>
              </w:rPr>
            </w:r>
            <w:r/>
          </w:p>
        </w:tc>
      </w:tr>
      <w:tr>
        <w:trPr>
          <w:trHeight w:val="475"/>
        </w:trPr>
        <w:tc>
          <w:tcPr>
            <w:gridSpan w:val="4"/>
            <w:tcMar>
              <w:left w:w="108" w:type="dxa"/>
              <w:top w:w="0" w:type="dxa"/>
              <w:right w:w="108" w:type="dxa"/>
              <w:bottom w:w="0" w:type="dxa"/>
            </w:tcMar>
            <w:tcW w:w="9672"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合计</w:t>
            </w:r>
            <w:r/>
          </w:p>
        </w:tc>
        <w:tc>
          <w:tcPr>
            <w:tcMar>
              <w:left w:w="108" w:type="dxa"/>
              <w:top w:w="0" w:type="dxa"/>
              <w:right w:w="108" w:type="dxa"/>
              <w:bottom w:w="0" w:type="dxa"/>
            </w:tcMar>
            <w:tcW w:w="871"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100</w:t>
            </w:r>
            <w:r/>
          </w:p>
        </w:tc>
      </w:tr>
    </w:tbl>
    <w:p>
      <w:pPr>
        <w:pStyle w:val="834"/>
        <w:ind w:firstLine="420"/>
        <w:keepLines w:val="0"/>
        <w:keepNext w:val="0"/>
        <w:pageBreakBefore w:val="0"/>
        <w:spacing w:line="360" w:lineRule="auto"/>
        <w:widowControl/>
        <w:rPr>
          <w:rFonts w:hint="eastAsia" w:hAnsi="宋体"/>
          <w:color w:val="000000"/>
          <w:szCs w:val="21"/>
          <w:highlight w:val="none"/>
        </w:rPr>
      </w:pPr>
      <w:r>
        <w:rPr>
          <w:rFonts w:hint="eastAsia" w:hAnsi="宋体"/>
          <w:color w:val="000000"/>
          <w:szCs w:val="21"/>
          <w:highlight w:val="none"/>
          <w:lang w:val="en-US" w:eastAsia="zh-CN"/>
        </w:rPr>
        <w:t xml:space="preserve">三</w:t>
      </w:r>
      <w:r>
        <w:rPr>
          <w:rFonts w:hint="eastAsia" w:hAnsi="宋体"/>
          <w:color w:val="000000"/>
          <w:szCs w:val="21"/>
          <w:highlight w:val="none"/>
        </w:rPr>
        <w:t xml:space="preserve">、政府采购政策执行办法：</w:t>
      </w:r>
      <w:r>
        <w:rPr>
          <w:rFonts w:hint="eastAsia" w:hAnsi="宋体"/>
          <w:color w:val="000000"/>
          <w:szCs w:val="21"/>
          <w:highlight w:val="none"/>
        </w:rPr>
      </w:r>
      <w:r/>
    </w:p>
    <w:p>
      <w:pPr>
        <w:pStyle w:val="834"/>
        <w:ind w:firstLine="420"/>
        <w:keepLines w:val="0"/>
        <w:keepNext w:val="0"/>
        <w:pageBreakBefore w:val="0"/>
        <w:spacing w:line="360" w:lineRule="auto"/>
        <w:widowControl/>
        <w:rPr>
          <w:rFonts w:hint="eastAsia" w:hAnsi="宋体"/>
          <w:color w:val="000000"/>
          <w:szCs w:val="21"/>
          <w:highlight w:val="none"/>
        </w:rPr>
      </w:pPr>
      <w:r>
        <w:rPr>
          <w:rFonts w:hint="eastAsia" w:hAnsi="宋体"/>
          <w:color w:val="000000"/>
          <w:szCs w:val="21"/>
          <w:highlight w:val="none"/>
        </w:rPr>
        <w:t xml:space="preserve">①对小型和微型企业</w:t>
      </w:r>
      <w:r>
        <w:rPr>
          <w:rFonts w:hint="eastAsia" w:hAnsi="宋体"/>
          <w:color w:val="000000"/>
          <w:szCs w:val="21"/>
          <w:highlight w:val="none"/>
          <w:lang w:val="en-US" w:eastAsia="zh-CN"/>
        </w:rPr>
        <w:t xml:space="preserve">服务</w:t>
      </w:r>
      <w:r>
        <w:rPr>
          <w:rFonts w:hint="eastAsia" w:hAnsi="宋体"/>
          <w:color w:val="000000"/>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hAnsi="宋体"/>
          <w:color w:val="000000"/>
          <w:szCs w:val="21"/>
          <w:highlight w:val="none"/>
        </w:rPr>
      </w:r>
      <w:r/>
    </w:p>
    <w:p>
      <w:pPr>
        <w:pStyle w:val="834"/>
        <w:ind w:firstLine="420"/>
        <w:keepLines w:val="0"/>
        <w:keepNext w:val="0"/>
        <w:pageBreakBefore w:val="0"/>
        <w:spacing w:line="360" w:lineRule="auto"/>
        <w:widowControl/>
        <w:rPr>
          <w:rFonts w:hint="eastAsia" w:hAnsi="宋体"/>
          <w:color w:val="000000"/>
          <w:szCs w:val="21"/>
          <w:highlight w:val="none"/>
        </w:rPr>
      </w:pPr>
      <w:r>
        <w:rPr>
          <w:rFonts w:hint="eastAsia" w:hAnsi="宋体"/>
          <w:color w:val="000000"/>
          <w:szCs w:val="21"/>
          <w:highlight w:val="none"/>
        </w:rPr>
        <w:t xml:space="preserve">②监狱企业视同小型、微型企业，对其</w:t>
      </w:r>
      <w:r>
        <w:rPr>
          <w:rFonts w:hint="eastAsia" w:hAnsi="宋体"/>
          <w:color w:val="000000"/>
          <w:szCs w:val="21"/>
          <w:highlight w:val="none"/>
          <w:lang w:val="en-US" w:eastAsia="zh-CN"/>
        </w:rPr>
        <w:t xml:space="preserve">服务</w:t>
      </w:r>
      <w:r>
        <w:rPr>
          <w:rFonts w:hint="eastAsia" w:hAnsi="宋体"/>
          <w:color w:val="000000"/>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hAnsi="宋体"/>
          <w:color w:val="000000"/>
          <w:szCs w:val="21"/>
          <w:highlight w:val="none"/>
        </w:rPr>
      </w:r>
      <w:r/>
    </w:p>
    <w:p>
      <w:pPr>
        <w:pStyle w:val="834"/>
        <w:ind w:firstLine="420"/>
        <w:keepLines w:val="0"/>
        <w:keepNext w:val="0"/>
        <w:pageBreakBefore w:val="0"/>
        <w:spacing w:line="360" w:lineRule="auto"/>
        <w:widowControl/>
        <w:rPr>
          <w:rFonts w:hint="eastAsia" w:hAnsi="宋体"/>
          <w:color w:val="000000"/>
          <w:szCs w:val="21"/>
          <w:highlight w:val="none"/>
        </w:rPr>
      </w:pPr>
      <w:r>
        <w:rPr>
          <w:rFonts w:hint="eastAsia" w:hAnsi="宋体"/>
          <w:color w:val="000000"/>
          <w:szCs w:val="21"/>
          <w:highlight w:val="none"/>
        </w:rPr>
        <w:t xml:space="preserve">③残疾人福利性单位视同小型、微型企业，对其</w:t>
      </w:r>
      <w:r>
        <w:rPr>
          <w:rFonts w:hint="eastAsia" w:hAnsi="宋体"/>
          <w:color w:val="000000"/>
          <w:szCs w:val="21"/>
          <w:highlight w:val="none"/>
          <w:lang w:val="en-US" w:eastAsia="zh-CN"/>
        </w:rPr>
        <w:t xml:space="preserve">服务</w:t>
      </w:r>
      <w:r>
        <w:rPr>
          <w:rFonts w:hint="eastAsia" w:hAnsi="宋体"/>
          <w:color w:val="000000"/>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hAnsi="宋体"/>
          <w:color w:val="000000"/>
          <w:szCs w:val="21"/>
          <w:highlight w:val="none"/>
        </w:rPr>
      </w:r>
      <w:r/>
    </w:p>
    <w:p>
      <w:pPr>
        <w:pStyle w:val="834"/>
        <w:ind w:firstLine="420"/>
        <w:keepLines w:val="0"/>
        <w:keepNext w:val="0"/>
        <w:pageBreakBefore w:val="0"/>
        <w:spacing w:line="360" w:lineRule="auto"/>
        <w:widowControl/>
        <w:rPr>
          <w:rFonts w:hint="eastAsia" w:hAnsi="宋体"/>
          <w:color w:val="000000"/>
          <w:szCs w:val="21"/>
          <w:highlight w:val="none"/>
        </w:rPr>
      </w:pPr>
      <w:r>
        <w:rPr>
          <w:rFonts w:hint="eastAsia" w:hAnsi="宋体"/>
          <w:color w:val="000000"/>
          <w:szCs w:val="21"/>
          <w:highlight w:val="none"/>
        </w:rPr>
        <w:t xml:space="preserve">同一投标人，上述三项价格扣除优惠不得重复享受。</w:t>
      </w:r>
      <w:r>
        <w:rPr>
          <w:rFonts w:hint="eastAsia" w:hAnsi="宋体"/>
          <w:color w:val="000000"/>
          <w:szCs w:val="21"/>
          <w:highlight w:val="none"/>
        </w:rPr>
      </w:r>
      <w:r/>
    </w:p>
    <w:p>
      <w:pPr>
        <w:pStyle w:val="802"/>
        <w:ind w:firstLine="480"/>
        <w:pageBreakBefore w:val="0"/>
        <w:spacing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02"/>
        <w:ind w:right="840"/>
        <w:jc w:val="both"/>
        <w:pageBreakBefore w:val="0"/>
        <w:spacing w:line="360" w:lineRule="auto"/>
        <w:rPr>
          <w:rFonts w:ascii="黑体" w:hAnsi="黑体" w:eastAsia="黑体"/>
          <w:i/>
          <w:color w:val="000000"/>
          <w:sz w:val="32"/>
          <w:szCs w:val="32"/>
          <w:u w:val="single"/>
        </w:rPr>
        <w:outlineLvl w:val="0"/>
      </w:pPr>
      <w:r/>
      <w:bookmarkEnd w:id="58"/>
      <w:r/>
      <w:bookmarkEnd w:id="59"/>
      <w:r/>
      <w:bookmarkEnd w:id="65"/>
      <w:r/>
      <w:bookmarkEnd w:id="66"/>
      <w:r/>
      <w:bookmarkEnd w:id="67"/>
      <w:r/>
      <w:bookmarkStart w:id="69" w:name="_Hlt26671244"/>
      <w:r/>
      <w:bookmarkEnd w:id="69"/>
      <w:r/>
      <w:bookmarkStart w:id="70" w:name="_Hlt26955039"/>
      <w:r/>
      <w:bookmarkEnd w:id="70"/>
      <w:r/>
      <w:bookmarkStart w:id="71" w:name="_Toc120614284"/>
      <w:r>
        <w:rPr>
          <w:rFonts w:ascii="黑体" w:hAnsi="黑体" w:eastAsia="黑体"/>
          <w:i/>
          <w:color w:val="000000"/>
          <w:sz w:val="32"/>
          <w:szCs w:val="32"/>
          <w:u w:val="single"/>
        </w:rPr>
      </w:r>
      <w:r/>
    </w:p>
    <w:p>
      <w:pPr>
        <w:pStyle w:val="802"/>
        <w:jc w:val="left"/>
        <w:pageBreakBefore w:val="0"/>
        <w:spacing w:line="360" w:lineRule="auto"/>
        <w:rPr>
          <w:rFonts w:ascii="黑体" w:hAnsi="黑体" w:eastAsia="黑体"/>
          <w:color w:val="000000"/>
          <w:sz w:val="32"/>
          <w:szCs w:val="32"/>
        </w:rPr>
      </w:pPr>
      <w:r>
        <w:rPr>
          <w:rFonts w:ascii="黑体" w:hAnsi="黑体" w:eastAsia="黑体"/>
          <w:color w:val="000000"/>
          <w:sz w:val="32"/>
          <w:szCs w:val="32"/>
        </w:rPr>
      </w:r>
      <w:r/>
    </w:p>
    <w:p>
      <w:pPr>
        <w:pStyle w:val="802"/>
        <w:jc w:val="left"/>
        <w:pageBreakBefore w:val="0"/>
        <w:spacing w:line="360" w:lineRule="auto"/>
        <w:rPr>
          <w:rFonts w:ascii="黑体" w:hAnsi="黑体" w:eastAsia="黑体"/>
          <w:color w:val="000000"/>
          <w:sz w:val="32"/>
          <w:szCs w:val="32"/>
        </w:rPr>
      </w:pPr>
      <w:r>
        <w:rPr>
          <w:rFonts w:ascii="黑体" w:hAnsi="黑体" w:eastAsia="黑体"/>
          <w:color w:val="000000"/>
          <w:sz w:val="32"/>
          <w:szCs w:val="32"/>
        </w:rPr>
      </w:r>
      <w:r/>
    </w:p>
    <w:p>
      <w:pPr>
        <w:pStyle w:val="802"/>
        <w:ind w:firstLine="480"/>
        <w:pageBreakBefore w:val="0"/>
        <w:spacing w:line="360" w:lineRule="auto"/>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802"/>
        <w:jc w:val="center"/>
        <w:pageBreakBefore w:val="0"/>
        <w:spacing w:line="360" w:lineRule="auto"/>
        <w:rPr>
          <w:rFonts w:ascii="黑体" w:eastAsia="黑体"/>
          <w:color w:val="000000"/>
          <w:sz w:val="32"/>
          <w:szCs w:val="32"/>
        </w:rPr>
        <w:outlineLvl w:val="0"/>
      </w:pPr>
      <w:r>
        <w:rPr>
          <w:rFonts w:ascii="黑体" w:eastAsia="黑体"/>
          <w:color w:val="000000"/>
          <w:sz w:val="32"/>
          <w:szCs w:val="32"/>
        </w:rPr>
      </w:r>
      <w:r/>
    </w:p>
    <w:p>
      <w:pPr>
        <w:pStyle w:val="802"/>
        <w:jc w:val="center"/>
        <w:pageBreakBefore w:val="0"/>
        <w:spacing w:line="360" w:lineRule="auto"/>
        <w:rPr>
          <w:rFonts w:ascii="黑体" w:eastAsia="黑体"/>
          <w:color w:val="000000"/>
          <w:sz w:val="32"/>
          <w:szCs w:val="32"/>
        </w:rPr>
        <w:outlineLvl w:val="0"/>
      </w:pPr>
      <w:r>
        <w:rPr>
          <w:rFonts w:ascii="黑体" w:eastAsia="黑体"/>
          <w:color w:val="000000"/>
          <w:sz w:val="32"/>
          <w:szCs w:val="32"/>
        </w:rPr>
      </w:r>
      <w:r/>
    </w:p>
    <w:p>
      <w:pPr>
        <w:pStyle w:val="802"/>
        <w:pageBreakBefore w:val="0"/>
        <w:spacing w:line="360" w:lineRule="auto"/>
        <w:rPr>
          <w:color w:val="000000"/>
        </w:rPr>
      </w:pPr>
      <w:r>
        <w:rPr>
          <w:color w:val="000000"/>
        </w:rPr>
      </w:r>
      <w:r/>
    </w:p>
    <w:p>
      <w:pPr>
        <w:pStyle w:val="802"/>
        <w:ind w:firstLine="640"/>
        <w:jc w:val="right"/>
        <w:pageBreakBefore w:val="0"/>
        <w:spacing w:line="360" w:lineRule="auto"/>
        <w:widowControl w:val="off"/>
        <w:rPr>
          <w:rFonts w:hint="eastAsia" w:ascii="宋体" w:hAnsi="宋体" w:eastAsia="宋体" w:cs="宋体"/>
          <w:sz w:val="24"/>
          <w:szCs w:val="24"/>
          <w:lang w:eastAsia="zh-CN"/>
        </w:rPr>
      </w:pPr>
      <w:r/>
      <w:bookmarkEnd w:id="71"/>
      <w:r>
        <w:rPr>
          <w:rFonts w:hint="eastAsia" w:ascii="方正小标宋简体" w:hAnsi="方正小标宋简体" w:eastAsia="方正小标宋简体" w:cs="方正小标宋简体"/>
          <w:color w:val="000000"/>
          <w:sz w:val="32"/>
          <w:szCs w:val="32"/>
        </w:rPr>
        <w:br w:type="page" w:clear="all"/>
      </w:r>
      <w:r>
        <w:rPr>
          <w:rFonts w:hint="eastAsia" w:ascii="宋体" w:hAnsi="宋体" w:eastAsia="宋体" w:cs="宋体"/>
          <w:sz w:val="24"/>
          <w:szCs w:val="24"/>
          <w:lang w:eastAsia="zh-CN"/>
        </w:rPr>
      </w:r>
      <w:r/>
    </w:p>
    <w:p>
      <w:pPr>
        <w:pStyle w:val="802"/>
        <w:ind w:right="83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6"/>
          <w:szCs w:val="36"/>
        </w:rPr>
        <w:outlineLvl w:val="0"/>
      </w:pPr>
      <w:r/>
      <w:bookmarkStart w:id="72" w:name="_Toc22730"/>
      <w:r>
        <w:rPr>
          <w:rFonts w:hint="eastAsia" w:ascii="方正小标宋简体" w:hAnsi="方正小标宋简体" w:eastAsia="方正小标宋简体" w:cs="方正小标宋简体"/>
          <w:color w:val="000000"/>
          <w:sz w:val="36"/>
          <w:szCs w:val="36"/>
        </w:rPr>
        <w:t xml:space="preserve">第六章  投标文件格式</w:t>
      </w:r>
      <w:bookmarkEnd w:id="72"/>
      <w:r>
        <w:rPr>
          <w:rFonts w:hint="eastAsia" w:ascii="方正小标宋简体" w:hAnsi="方正小标宋简体" w:eastAsia="方正小标宋简体" w:cs="方正小标宋简体"/>
          <w:color w:val="000000"/>
          <w:sz w:val="36"/>
          <w:szCs w:val="36"/>
        </w:rPr>
      </w:r>
      <w:r/>
    </w:p>
    <w:p>
      <w:pPr>
        <w:pStyle w:val="802"/>
        <w:spacing w:line="440" w:lineRule="exact"/>
        <w:rPr>
          <w:rFonts w:ascii="Arial" w:hAnsi="Arial" w:cs="Arial"/>
          <w:b/>
          <w:bCs/>
          <w:color w:val="000000"/>
          <w:sz w:val="24"/>
          <w:highlight w:val="none"/>
        </w:rPr>
      </w:pPr>
      <w:r>
        <w:rPr>
          <w:rFonts w:hint="eastAsia" w:ascii="Arial" w:hAnsi="Arial" w:cs="Arial"/>
          <w:b/>
          <w:bCs/>
          <w:color w:val="000000"/>
          <w:sz w:val="24"/>
          <w:highlight w:val="none"/>
        </w:rPr>
        <w:t xml:space="preserve">注：</w:t>
      </w:r>
      <w:r>
        <w:rPr>
          <w:rFonts w:ascii="Arial" w:hAnsi="Arial" w:cs="Arial"/>
          <w:b/>
          <w:bCs/>
          <w:color w:val="000000"/>
          <w:sz w:val="24"/>
          <w:highlight w:val="none"/>
        </w:rPr>
      </w:r>
      <w:r/>
    </w:p>
    <w:p>
      <w:pPr>
        <w:pStyle w:val="80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rPr>
          <w:rFonts w:hint="eastAsia" w:ascii="宋体" w:hAnsi="宋体" w:cs="宋体"/>
          <w:color w:val="000000"/>
          <w:szCs w:val="21"/>
          <w:highlight w:val="none"/>
        </w:rPr>
      </w:r>
      <w:r/>
    </w:p>
    <w:p>
      <w:pPr>
        <w:pStyle w:val="80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rPr>
          <w:rFonts w:hint="eastAsia" w:ascii="宋体" w:hAnsi="宋体" w:cs="宋体"/>
          <w:color w:val="000000"/>
          <w:szCs w:val="21"/>
          <w:highlight w:val="none"/>
        </w:rPr>
      </w:r>
      <w:r/>
    </w:p>
    <w:p>
      <w:pPr>
        <w:pStyle w:val="80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rPr>
          <w:rFonts w:hint="eastAsia" w:ascii="宋体" w:hAnsi="宋体" w:cs="宋体"/>
          <w:color w:val="000000"/>
          <w:szCs w:val="21"/>
          <w:highlight w:val="none"/>
        </w:rPr>
      </w:r>
      <w:r/>
    </w:p>
    <w:p>
      <w:pPr>
        <w:pStyle w:val="80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rPr>
          <w:rFonts w:hint="eastAsia" w:ascii="宋体" w:hAnsi="宋体" w:cs="宋体"/>
          <w:color w:val="000000"/>
          <w:szCs w:val="21"/>
          <w:highlight w:val="none"/>
        </w:rPr>
      </w:r>
      <w:r/>
    </w:p>
    <w:p>
      <w:pPr>
        <w:pStyle w:val="80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rPr>
          <w:rFonts w:hint="eastAsia" w:ascii="宋体" w:hAnsi="宋体" w:cs="宋体"/>
          <w:color w:val="000000"/>
          <w:szCs w:val="21"/>
          <w:highlight w:val="none"/>
        </w:rPr>
      </w:r>
      <w:r/>
    </w:p>
    <w:p>
      <w:pPr>
        <w:pStyle w:val="80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rPr>
          <w:rFonts w:hint="eastAsia" w:ascii="宋体" w:hAnsi="宋体" w:cs="宋体"/>
          <w:color w:val="000000"/>
          <w:szCs w:val="21"/>
          <w:highlight w:val="none"/>
        </w:rPr>
      </w:r>
      <w:r/>
    </w:p>
    <w:p>
      <w:pPr>
        <w:pStyle w:val="802"/>
        <w:spacing w:line="360" w:lineRule="auto"/>
        <w:rPr>
          <w:rFonts w:hint="eastAsia" w:ascii="宋体" w:hAnsi="宋体" w:cs="宋体"/>
          <w:color w:val="000000"/>
          <w:sz w:val="24"/>
          <w:highlight w:val="none"/>
        </w:rPr>
        <w:sectPr>
          <w:headerReference w:type="default" r:id="rId10"/>
          <w:footerReference w:type="default" r:id="rId13"/>
          <w:footerReference w:type="first" r:id="rId14"/>
          <w:footnotePr/>
          <w:endnotePr/>
          <w:type w:val="nextPage"/>
          <w:pgSz w:w="11906" w:h="16838" w:orient="portrait"/>
          <w:pgMar w:top="1020" w:right="907" w:bottom="1020" w:left="1020" w:header="737" w:footer="992" w:gutter="0"/>
          <w:pgNumType w:start="1"/>
          <w:cols w:num="1" w:sep="0" w:space="1701" w:equalWidth="1"/>
          <w:docGrid w:linePitch="360"/>
          <w:titlePg/>
        </w:sectPr>
      </w:pPr>
      <w:r>
        <w:rPr>
          <w:rFonts w:hint="eastAsia" w:ascii="宋体" w:hAnsi="宋体" w:cs="宋体"/>
          <w:color w:val="000000"/>
          <w:szCs w:val="21"/>
          <w:highlight w:val="none"/>
        </w:rPr>
        <w:t xml:space="preserve"> </w:t>
      </w:r>
      <w:r>
        <w:rPr>
          <w:rFonts w:hint="eastAsia" w:ascii="宋体" w:hAnsi="宋体" w:cs="宋体"/>
          <w:color w:val="000000"/>
          <w:sz w:val="24"/>
          <w:highlight w:val="none"/>
        </w:rPr>
      </w:r>
      <w:r/>
    </w:p>
    <w:p>
      <w:pPr>
        <w:pStyle w:val="854"/>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854"/>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854"/>
        <w:jc w:val="center"/>
        <w:spacing w:beforeAutospacing="0" w:afterAutospacing="0"/>
        <w:widowControl/>
        <w:rPr>
          <w:rFonts w:ascii="宋体" w:hAnsi="宋体" w:cs="宋体"/>
          <w:b/>
          <w:bCs/>
          <w:color w:val="000000"/>
          <w:sz w:val="72"/>
          <w:szCs w:val="72"/>
          <w:highlight w:val="none"/>
        </w:rPr>
      </w:pPr>
      <w:r>
        <w:rPr>
          <w:rFonts w:ascii="宋体" w:hAnsi="宋体" w:cs="宋体"/>
          <w:b/>
          <w:bCs/>
          <w:color w:val="000000"/>
          <w:sz w:val="72"/>
          <w:szCs w:val="72"/>
          <w:highlight w:val="none"/>
        </w:rPr>
        <w:t xml:space="preserve">投标文件</w:t>
      </w:r>
      <w:r>
        <w:rPr>
          <w:rFonts w:ascii="宋体" w:hAnsi="宋体" w:cs="宋体"/>
          <w:b/>
          <w:bCs/>
          <w:color w:val="000000"/>
          <w:sz w:val="72"/>
          <w:szCs w:val="72"/>
          <w:highlight w:val="none"/>
        </w:rPr>
      </w:r>
      <w:r/>
    </w:p>
    <w:p>
      <w:pPr>
        <w:pStyle w:val="854"/>
        <w:jc w:val="center"/>
        <w:spacing w:beforeAutospacing="0" w:afterAutospacing="0"/>
        <w:widowControl/>
        <w:rPr>
          <w:rFonts w:hint="eastAsia" w:ascii="宋体" w:hAnsi="宋体" w:eastAsia="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w:t>
      </w:r>
      <w:r>
        <w:rPr>
          <w:rFonts w:hint="eastAsia" w:ascii="宋体" w:hAnsi="宋体" w:cs="宋体"/>
          <w:b/>
          <w:bCs/>
          <w:color w:val="000000"/>
          <w:sz w:val="72"/>
          <w:szCs w:val="72"/>
          <w:highlight w:val="none"/>
          <w:lang w:val="en-US" w:eastAsia="zh-CN"/>
        </w:rPr>
        <w:t xml:space="preserve">仅供参考</w:t>
      </w:r>
      <w:r>
        <w:rPr>
          <w:rFonts w:hint="eastAsia" w:ascii="宋体" w:hAnsi="宋体" w:cs="宋体"/>
          <w:b/>
          <w:bCs/>
          <w:color w:val="000000"/>
          <w:sz w:val="72"/>
          <w:szCs w:val="72"/>
          <w:highlight w:val="none"/>
          <w:lang w:eastAsia="zh-CN"/>
        </w:rPr>
        <w:t xml:space="preserve">）</w:t>
      </w:r>
      <w:r>
        <w:rPr>
          <w:rFonts w:hint="eastAsia" w:ascii="宋体" w:hAnsi="宋体" w:eastAsia="宋体" w:cs="宋体"/>
          <w:b/>
          <w:bCs/>
          <w:color w:val="000000"/>
          <w:sz w:val="72"/>
          <w:szCs w:val="72"/>
          <w:highlight w:val="none"/>
          <w:lang w:eastAsia="zh-CN"/>
        </w:rPr>
      </w:r>
      <w:r/>
    </w:p>
    <w:p>
      <w:pPr>
        <w:pStyle w:val="854"/>
        <w:jc w:val="center"/>
        <w:spacing w:beforeAutospacing="0" w:afterAutospacing="0"/>
        <w:widowControl/>
        <w:rPr>
          <w:color w:val="000000"/>
          <w:highlight w:val="none"/>
        </w:rPr>
      </w:pPr>
      <w:r>
        <w:rPr>
          <w:rFonts w:ascii="宋体" w:hAnsi="宋体" w:cs="宋体"/>
          <w:b/>
          <w:bCs/>
          <w:color w:val="000000"/>
          <w:sz w:val="72"/>
          <w:szCs w:val="72"/>
          <w:highlight w:val="none"/>
        </w:rPr>
        <w:t xml:space="preserve"> </w:t>
      </w:r>
      <w:r>
        <w:rPr>
          <w:color w:val="000000"/>
          <w:highlight w:val="none"/>
        </w:rPr>
      </w:r>
      <w:r/>
    </w:p>
    <w:p>
      <w:pPr>
        <w:pStyle w:val="854"/>
        <w:jc w:val="center"/>
        <w:spacing w:beforeAutospacing="0" w:afterAutospacing="0"/>
        <w:widowControl/>
        <w:rPr>
          <w:color w:val="000000"/>
          <w:highlight w:val="none"/>
        </w:rPr>
      </w:pPr>
      <w:r>
        <w:rPr>
          <w:rFonts w:ascii="宋体" w:hAnsi="宋体" w:cs="宋体"/>
          <w:b/>
          <w:bCs/>
          <w:color w:val="000000"/>
          <w:sz w:val="72"/>
          <w:szCs w:val="72"/>
          <w:highlight w:val="none"/>
        </w:rPr>
        <w:t xml:space="preserve"> </w:t>
      </w:r>
      <w:r>
        <w:rPr>
          <w:color w:val="000000"/>
          <w:highlight w:val="none"/>
        </w:rPr>
      </w:r>
      <w:r/>
    </w:p>
    <w:p>
      <w:pPr>
        <w:pStyle w:val="854"/>
        <w:jc w:val="center"/>
        <w:spacing w:beforeAutospacing="0" w:afterAutospacing="0"/>
        <w:widowControl/>
        <w:rPr>
          <w:color w:val="000000"/>
          <w:highlight w:val="none"/>
        </w:rPr>
      </w:pPr>
      <w:r>
        <w:rPr>
          <w:rFonts w:ascii="宋体" w:hAnsi="宋体" w:cs="宋体"/>
          <w:b/>
          <w:bCs/>
          <w:color w:val="000000"/>
          <w:sz w:val="36"/>
          <w:szCs w:val="36"/>
          <w:highlight w:val="none"/>
        </w:rPr>
        <w:t xml:space="preserve"> </w:t>
      </w:r>
      <w:r>
        <w:rPr>
          <w:color w:val="000000"/>
          <w:highlight w:val="none"/>
        </w:rPr>
      </w:r>
      <w:r/>
    </w:p>
    <w:p>
      <w:pPr>
        <w:pStyle w:val="854"/>
        <w:jc w:val="center"/>
        <w:spacing w:beforeAutospacing="0" w:afterAutospacing="0"/>
        <w:widowControl/>
        <w:rPr>
          <w:color w:val="000000"/>
          <w:highlight w:val="none"/>
        </w:rPr>
      </w:pPr>
      <w:r>
        <w:rPr>
          <w:rFonts w:ascii="宋体" w:hAnsi="宋体" w:cs="宋体"/>
          <w:b/>
          <w:bCs/>
          <w:color w:val="000000"/>
          <w:sz w:val="36"/>
          <w:szCs w:val="36"/>
          <w:highlight w:val="none"/>
        </w:rPr>
        <w:t xml:space="preserve"> </w:t>
      </w:r>
      <w:r>
        <w:rPr>
          <w:color w:val="000000"/>
          <w:highlight w:val="none"/>
        </w:rPr>
      </w:r>
      <w:r/>
    </w:p>
    <w:p>
      <w:pPr>
        <w:pStyle w:val="854"/>
        <w:jc w:val="center"/>
        <w:spacing w:beforeAutospacing="0" w:afterAutospacing="0"/>
        <w:widowControl/>
        <w:rPr>
          <w:color w:val="000000"/>
          <w:highlight w:val="none"/>
        </w:rPr>
      </w:pPr>
      <w:r>
        <w:rPr>
          <w:rFonts w:ascii="宋体" w:hAnsi="宋体" w:cs="宋体"/>
          <w:b/>
          <w:bCs/>
          <w:color w:val="000000"/>
          <w:sz w:val="36"/>
          <w:szCs w:val="36"/>
          <w:highlight w:val="none"/>
        </w:rPr>
        <w:t xml:space="preserve"> </w:t>
      </w:r>
      <w:r>
        <w:rPr>
          <w:color w:val="000000"/>
          <w:highlight w:val="none"/>
        </w:rPr>
      </w:r>
      <w:r/>
    </w:p>
    <w:p>
      <w:pPr>
        <w:pStyle w:val="854"/>
        <w:ind w:firstLine="1081"/>
        <w:jc w:val="both"/>
        <w:spacing w:beforeAutospacing="0" w:afterAutospacing="0"/>
        <w:widowControl/>
        <w:rPr>
          <w:color w:val="000000"/>
          <w:highlight w:val="none"/>
        </w:rP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rPr>
          <w:color w:val="000000"/>
          <w:highlight w:val="none"/>
        </w:rPr>
      </w:r>
      <w:r/>
    </w:p>
    <w:p>
      <w:pPr>
        <w:pStyle w:val="854"/>
        <w:ind w:firstLine="1081"/>
        <w:jc w:val="both"/>
        <w:spacing w:beforeAutospacing="0" w:afterAutospacing="0"/>
        <w:widowControl/>
        <w:rPr>
          <w:color w:val="000000"/>
          <w:highlight w:val="none"/>
        </w:rP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rPr>
          <w:color w:val="000000"/>
          <w:highlight w:val="none"/>
        </w:rPr>
      </w:r>
      <w:r/>
    </w:p>
    <w:p>
      <w:pPr>
        <w:pStyle w:val="854"/>
        <w:jc w:val="both"/>
        <w:spacing w:beforeAutospacing="0" w:afterAutospacing="0"/>
        <w:widowControl/>
        <w:rPr>
          <w:color w:val="000000"/>
          <w:highlight w:val="none"/>
        </w:rP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rPr>
          <w:color w:val="000000"/>
          <w:highlight w:val="none"/>
        </w:rPr>
      </w:r>
      <w:r/>
    </w:p>
    <w:p>
      <w:pPr>
        <w:pStyle w:val="854"/>
        <w:jc w:val="both"/>
        <w:spacing w:beforeAutospacing="0" w:afterAutospacing="0"/>
        <w:widowControl/>
        <w:rPr>
          <w:color w:val="000000"/>
          <w:highlight w:val="none"/>
        </w:rP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rPr>
          <w:color w:val="000000"/>
          <w:highlight w:val="none"/>
        </w:rPr>
      </w:r>
      <w:r/>
    </w:p>
    <w:p>
      <w:pPr>
        <w:pStyle w:val="80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2"/>
        <w:spacing w:line="360" w:lineRule="auto"/>
        <w:rPr>
          <w:rFonts w:hint="eastAsia" w:ascii="宋体" w:hAnsi="宋体" w:cs="宋体"/>
          <w:b/>
          <w:color w:val="000000"/>
          <w:sz w:val="24"/>
          <w:szCs w:val="24"/>
          <w:highlight w:val="none"/>
        </w:rPr>
        <w:outlineLvl w:val="0"/>
      </w:pPr>
      <w:r/>
      <w:bookmarkStart w:id="73" w:name="_Toc7847"/>
      <w:r/>
      <w:bookmarkStart w:id="74" w:name="_Toc13640"/>
      <w:r>
        <w:rPr>
          <w:rFonts w:hint="eastAsia" w:ascii="宋体" w:hAnsi="宋体" w:cs="宋体"/>
          <w:b/>
          <w:color w:val="000000"/>
          <w:sz w:val="24"/>
          <w:szCs w:val="24"/>
          <w:highlight w:val="none"/>
        </w:rPr>
        <w:t xml:space="preserve">（一）投标函(格式)：</w:t>
      </w:r>
      <w:bookmarkEnd w:id="73"/>
      <w:r/>
      <w:bookmarkEnd w:id="74"/>
      <w:r>
        <w:rPr>
          <w:rFonts w:hint="eastAsia" w:ascii="宋体" w:hAnsi="宋体" w:cs="宋体"/>
          <w:b/>
          <w:color w:val="000000"/>
          <w:sz w:val="24"/>
          <w:szCs w:val="24"/>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投  标  函</w:t>
      </w:r>
      <w:r>
        <w:rPr>
          <w:rFonts w:hint="eastAsia" w:ascii="宋体" w:hAnsi="宋体" w:cs="宋体"/>
          <w:b/>
          <w:color w:val="000000"/>
          <w:sz w:val="36"/>
          <w:szCs w:val="28"/>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致</w:t>
      </w:r>
      <w:r>
        <w:rPr>
          <w:rFonts w:hint="eastAsia" w:ascii="宋体" w:hAnsi="宋体" w:cs="宋体"/>
          <w:bCs/>
          <w:color w:val="000000"/>
          <w:szCs w:val="21"/>
          <w:highlight w:val="none"/>
          <w:lang w:eastAsia="zh-CN"/>
        </w:rPr>
        <w:t xml:space="preserve">江苏盛德量行建设咨询有限公司</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02"/>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我方收到贵方编号</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招标文件，经仔细阅读和研究，我们决定参加此次项目的投标。</w:t>
      </w:r>
      <w:r>
        <w:rPr>
          <w:rFonts w:hint="eastAsia" w:ascii="宋体" w:hAnsi="宋体" w:cs="宋体"/>
          <w:bCs/>
          <w:color w:val="000000"/>
          <w:szCs w:val="21"/>
          <w:highlight w:val="none"/>
        </w:rPr>
      </w:r>
      <w:r/>
    </w:p>
    <w:p>
      <w:pPr>
        <w:pStyle w:val="802"/>
        <w:ind w:firstLine="420"/>
        <w:spacing w:line="360" w:lineRule="auto"/>
        <w:tabs>
          <w:tab w:val="left" w:pos="420"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一、我方愿意按照招标文件的一切要求，提供本项目的投标，投标总价见《开标一览表》。</w:t>
      </w:r>
      <w:r>
        <w:rPr>
          <w:rFonts w:hint="eastAsia" w:ascii="宋体" w:hAnsi="宋体" w:cs="宋体"/>
          <w:bCs/>
          <w:color w:val="000000"/>
          <w:szCs w:val="21"/>
          <w:highlight w:val="none"/>
        </w:rPr>
      </w:r>
      <w:r/>
    </w:p>
    <w:p>
      <w:pPr>
        <w:pStyle w:val="802"/>
        <w:ind w:firstLine="420"/>
        <w:spacing w:line="360" w:lineRule="auto"/>
        <w:tabs>
          <w:tab w:val="left" w:pos="315"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二、我方愿意提供</w:t>
      </w:r>
      <w:r>
        <w:rPr>
          <w:rFonts w:hint="eastAsia" w:ascii="宋体" w:hAnsi="宋体" w:cs="宋体"/>
          <w:bCs/>
          <w:color w:val="000000"/>
          <w:szCs w:val="21"/>
          <w:highlight w:val="none"/>
          <w:lang w:eastAsia="zh-CN"/>
        </w:rPr>
        <w:t xml:space="preserve">江苏盛德量行建设咨询有限公司</w:t>
      </w:r>
      <w:r>
        <w:rPr>
          <w:rFonts w:hint="eastAsia" w:ascii="宋体" w:hAnsi="宋体" w:cs="宋体"/>
          <w:bCs/>
          <w:color w:val="000000"/>
          <w:szCs w:val="21"/>
          <w:highlight w:val="none"/>
        </w:rPr>
        <w:t xml:space="preserve">在招标文件中要求的文件、资料。</w:t>
      </w:r>
      <w:r>
        <w:rPr>
          <w:rFonts w:hint="eastAsia" w:ascii="宋体" w:hAnsi="宋体" w:cs="宋体"/>
          <w:bCs/>
          <w:color w:val="000000"/>
          <w:szCs w:val="21"/>
          <w:highlight w:val="none"/>
        </w:rPr>
      </w:r>
      <w:r/>
    </w:p>
    <w:p>
      <w:pPr>
        <w:pStyle w:val="802"/>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三、我方同意按招标文件中的规定，本投标文件投标的有效期限为开标之日起90天。</w:t>
      </w:r>
      <w:r>
        <w:rPr>
          <w:rFonts w:hint="eastAsia" w:ascii="宋体" w:hAnsi="宋体" w:cs="宋体"/>
          <w:bCs/>
          <w:color w:val="000000"/>
          <w:szCs w:val="21"/>
          <w:highlight w:val="none"/>
        </w:rPr>
      </w:r>
      <w:r/>
    </w:p>
    <w:p>
      <w:pPr>
        <w:pStyle w:val="802"/>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四、如果我方的投标文件被接受，我方将履行招标文件中规定的每一项要求，按期、按质、按量，完成服务任务。</w:t>
      </w:r>
      <w:r>
        <w:rPr>
          <w:rFonts w:hint="eastAsia" w:ascii="宋体" w:hAnsi="宋体" w:cs="宋体"/>
          <w:bCs/>
          <w:color w:val="000000"/>
          <w:szCs w:val="21"/>
          <w:highlight w:val="none"/>
        </w:rPr>
      </w:r>
      <w:r/>
    </w:p>
    <w:p>
      <w:pPr>
        <w:pStyle w:val="802"/>
        <w:ind w:left="48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五、我方认为你们有权决定中标者。</w:t>
      </w:r>
      <w:r>
        <w:rPr>
          <w:rFonts w:hint="eastAsia" w:ascii="宋体" w:hAnsi="宋体" w:cs="宋体"/>
          <w:bCs/>
          <w:color w:val="000000"/>
          <w:szCs w:val="21"/>
          <w:highlight w:val="none"/>
        </w:rPr>
      </w:r>
      <w:r/>
    </w:p>
    <w:p>
      <w:pPr>
        <w:pStyle w:val="802"/>
        <w:ind w:firstLine="420"/>
        <w:spacing w:line="360" w:lineRule="auto"/>
        <w:tabs>
          <w:tab w:val="left" w:pos="315"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六、我方愿意遵守《中华人民共和国政府采购法》，并按《中华人民共和国民法典》、财政部《政府采购货物和服务招标投标管理办法》和合同条款履行自己的全部责任。</w:t>
      </w:r>
      <w:r>
        <w:rPr>
          <w:rFonts w:hint="eastAsia" w:ascii="宋体" w:hAnsi="宋体" w:cs="宋体"/>
          <w:bCs/>
          <w:color w:val="000000"/>
          <w:szCs w:val="21"/>
          <w:highlight w:val="none"/>
        </w:rPr>
      </w:r>
      <w:r/>
    </w:p>
    <w:p>
      <w:pPr>
        <w:pStyle w:val="802"/>
        <w:ind w:firstLine="420"/>
        <w:spacing w:line="360" w:lineRule="auto"/>
        <w:tabs>
          <w:tab w:val="left" w:pos="315"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七、我方认可并遵守招标文件的所有规定，放弃对招标文件提出质疑的权利。</w:t>
      </w:r>
      <w:r>
        <w:rPr>
          <w:rFonts w:hint="eastAsia" w:ascii="宋体" w:hAnsi="宋体" w:cs="宋体"/>
          <w:bCs/>
          <w:color w:val="000000"/>
          <w:szCs w:val="21"/>
          <w:highlight w:val="none"/>
        </w:rPr>
      </w:r>
      <w:r/>
    </w:p>
    <w:p>
      <w:pPr>
        <w:pStyle w:val="802"/>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Cs w:val="21"/>
          <w:highlight w:val="none"/>
        </w:rPr>
      </w:r>
      <w:r/>
    </w:p>
    <w:p>
      <w:pPr>
        <w:pStyle w:val="802"/>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九、我方决不提供虚假材料谋取中标、决不采取不正当手段诋毁、排挤其他供应商、决不与采购人、其它供应商或者</w:t>
      </w:r>
      <w:r>
        <w:rPr>
          <w:rFonts w:hint="eastAsia" w:ascii="宋体" w:hAnsi="宋体" w:cs="宋体"/>
          <w:bCs/>
          <w:color w:val="000000"/>
          <w:szCs w:val="21"/>
          <w:highlight w:val="none"/>
          <w:lang w:eastAsia="zh-CN"/>
        </w:rPr>
        <w:t xml:space="preserve">江苏盛德量行建设咨询有限公司</w:t>
      </w:r>
      <w:r>
        <w:rPr>
          <w:rFonts w:hint="eastAsia" w:ascii="宋体" w:hAnsi="宋体" w:cs="宋体"/>
          <w:bCs/>
          <w:color w:val="000000"/>
          <w:szCs w:val="21"/>
          <w:highlight w:val="none"/>
        </w:rPr>
        <w:t xml:space="preserve">恶意串通、决不向采购人、</w:t>
      </w:r>
      <w:r>
        <w:rPr>
          <w:rFonts w:hint="eastAsia" w:ascii="宋体" w:hAnsi="宋体" w:cs="宋体"/>
          <w:bCs/>
          <w:color w:val="000000"/>
          <w:szCs w:val="21"/>
          <w:highlight w:val="none"/>
          <w:lang w:eastAsia="zh-CN"/>
        </w:rPr>
        <w:t xml:space="preserve">江苏盛德量行建设咨询有限公司</w:t>
      </w:r>
      <w:r>
        <w:rPr>
          <w:rFonts w:hint="eastAsia" w:ascii="宋体" w:hAnsi="宋体" w:cs="宋体"/>
          <w:bCs/>
          <w:color w:val="000000"/>
          <w:szCs w:val="21"/>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投标人(盖章)：     </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电话：                              传真：</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通讯地址：                          邮编：</w:t>
      </w:r>
      <w:r>
        <w:rPr>
          <w:rFonts w:hint="eastAsia" w:ascii="宋体" w:hAnsi="宋体" w:cs="宋体"/>
          <w:bCs/>
          <w:color w:val="000000"/>
          <w:szCs w:val="21"/>
          <w:highlight w:val="none"/>
        </w:rPr>
      </w:r>
      <w:r/>
    </w:p>
    <w:p>
      <w:pPr>
        <w:pStyle w:val="802"/>
        <w:spacing w:line="360" w:lineRule="auto"/>
        <w:rPr>
          <w:rFonts w:eastAsia="黑体"/>
          <w:bCs/>
          <w:color w:val="000000"/>
          <w:sz w:val="24"/>
          <w:szCs w:val="24"/>
          <w:highlight w:val="none"/>
        </w:rPr>
        <w:sectPr>
          <w:footnotePr/>
          <w:endnotePr/>
          <w:type w:val="nextPage"/>
          <w:pgSz w:w="11907" w:h="16840" w:orient="portrait"/>
          <w:pgMar w:top="1134" w:right="1134" w:bottom="1134" w:left="1134" w:header="851" w:footer="992" w:gutter="0"/>
          <w:pgNumType w:start="1"/>
          <w:cols w:num="1" w:sep="0" w:space="1701" w:equalWidth="1"/>
          <w:docGrid w:linePitch="360"/>
        </w:sectPr>
        <w:outlineLvl w:val="0"/>
      </w:pPr>
      <w:r>
        <w:rPr>
          <w:rFonts w:eastAsia="黑体"/>
          <w:bCs/>
          <w:color w:val="000000"/>
          <w:sz w:val="24"/>
          <w:szCs w:val="24"/>
          <w:highlight w:val="none"/>
        </w:rPr>
      </w:r>
      <w:r/>
    </w:p>
    <w:p>
      <w:pPr>
        <w:pStyle w:val="802"/>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 </w:t>
      </w:r>
      <w:bookmarkStart w:id="75" w:name="_Toc23245"/>
      <w:r/>
      <w:bookmarkStart w:id="76" w:name="_Toc24493"/>
      <w:r>
        <w:rPr>
          <w:rFonts w:hint="eastAsia" w:ascii="宋体" w:hAnsi="宋体" w:cs="宋体"/>
          <w:b/>
          <w:color w:val="000000"/>
          <w:sz w:val="24"/>
          <w:szCs w:val="24"/>
          <w:highlight w:val="none"/>
        </w:rPr>
        <w:t xml:space="preserve">（二）关于资格的声明函(格式)：</w:t>
      </w:r>
      <w:bookmarkEnd w:id="75"/>
      <w:r/>
      <w:bookmarkEnd w:id="76"/>
      <w:r>
        <w:rPr>
          <w:rFonts w:hint="eastAsia" w:ascii="宋体" w:hAnsi="宋体" w:cs="宋体"/>
          <w:b/>
          <w:color w:val="000000"/>
          <w:sz w:val="24"/>
          <w:szCs w:val="24"/>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关于资格的声明函</w:t>
      </w:r>
      <w:r>
        <w:rPr>
          <w:rFonts w:hint="eastAsia" w:ascii="宋体" w:hAnsi="宋体" w:cs="宋体"/>
          <w:b/>
          <w:color w:val="000000"/>
          <w:sz w:val="36"/>
          <w:szCs w:val="28"/>
          <w:highlight w:val="none"/>
        </w:rPr>
      </w:r>
      <w:r/>
    </w:p>
    <w:p>
      <w:pPr>
        <w:pStyle w:val="802"/>
        <w:jc w:val="center"/>
        <w:rPr>
          <w:rFonts w:ascii="黑体" w:eastAsia="黑体"/>
          <w:bCs/>
          <w:color w:val="000000"/>
          <w:sz w:val="32"/>
          <w:highlight w:val="none"/>
        </w:rPr>
      </w:pPr>
      <w:r>
        <w:rPr>
          <w:rFonts w:ascii="黑体" w:eastAsia="黑体"/>
          <w:bCs/>
          <w:color w:val="000000"/>
          <w:sz w:val="32"/>
          <w:highlight w:val="none"/>
        </w:rPr>
      </w:r>
      <w:r/>
    </w:p>
    <w:p>
      <w:pPr>
        <w:pStyle w:val="802"/>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招标编号：</w:t>
      </w:r>
      <w:r>
        <w:rPr>
          <w:rFonts w:hint="eastAsia" w:ascii="宋体" w:hAnsi="宋体" w:cs="宋体"/>
          <w:bCs/>
          <w:color w:val="000000"/>
          <w:szCs w:val="21"/>
          <w:highlight w:val="none"/>
        </w:rPr>
      </w:r>
      <w:r/>
    </w:p>
    <w:p>
      <w:pPr>
        <w:pStyle w:val="802"/>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rPr>
      </w:r>
      <w:r/>
    </w:p>
    <w:p>
      <w:pPr>
        <w:pStyle w:val="802"/>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江苏盛德量行建设咨询有限公司</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我公司（单位）参加本次项目（招标编号：</w:t>
      </w:r>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rPr>
          <w:rFonts w:hint="eastAsia" w:ascii="宋体" w:hAnsi="宋体" w:cs="宋体"/>
          <w:bCs/>
          <w:color w:val="000000"/>
          <w:szCs w:val="21"/>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投标人（盖章）：</w:t>
      </w:r>
      <w:r>
        <w:rPr>
          <w:rFonts w:hint="eastAsia" w:ascii="宋体" w:hAnsi="宋体" w:cs="宋体"/>
          <w:bCs/>
          <w:color w:val="000000"/>
          <w:szCs w:val="21"/>
          <w:highlight w:val="none"/>
        </w:rPr>
      </w:r>
      <w:r/>
    </w:p>
    <w:p>
      <w:pPr>
        <w:pStyle w:val="802"/>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rPr>
          <w:rFonts w:hint="eastAsia" w:ascii="宋体" w:hAnsi="宋体" w:cs="宋体"/>
          <w:bCs/>
          <w:color w:val="000000"/>
          <w:szCs w:val="21"/>
          <w:highlight w:val="none"/>
        </w:rPr>
      </w:r>
      <w:r/>
    </w:p>
    <w:p>
      <w:pPr>
        <w:pStyle w:val="802"/>
        <w:spacing w:line="480" w:lineRule="auto"/>
        <w:rPr>
          <w:rFonts w:ascii="宋体"/>
          <w:bCs/>
          <w:color w:val="000000"/>
          <w:sz w:val="24"/>
          <w:szCs w:val="24"/>
          <w:highlight w:val="none"/>
        </w:rPr>
      </w:pPr>
      <w:r>
        <w:rPr>
          <w:rFonts w:ascii="宋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02"/>
        <w:ind w:firstLine="420"/>
        <w:rPr>
          <w:rFonts w:hint="eastAsia" w:ascii="黑体" w:hAnsi="宋体" w:eastAsia="黑体"/>
          <w:bCs/>
          <w:color w:val="000000"/>
          <w:sz w:val="24"/>
          <w:szCs w:val="24"/>
          <w:highlight w:val="none"/>
        </w:rPr>
        <w:outlineLvl w:val="0"/>
      </w:pPr>
      <w:r/>
      <w:bookmarkStart w:id="77" w:name="_Toc5126"/>
      <w:r/>
      <w:bookmarkStart w:id="78" w:name="_Toc19789"/>
      <w:r>
        <w:rPr>
          <w:rFonts w:hint="eastAsia"/>
          <w:color w:val="000000"/>
          <w:highlight w:val="none"/>
        </w:rPr>
        <w:t xml:space="preserve">备注：上述所称“重大违法记录”,是指供应商因违法经营受到刑事处罚或者责令停产停业、吊销许可证或者执照、较大数额罚款等行政处罚。</w:t>
      </w:r>
      <w:bookmarkEnd w:id="77"/>
      <w:r/>
      <w:bookmarkEnd w:id="78"/>
      <w:r>
        <w:rPr>
          <w:rFonts w:hint="eastAsia" w:ascii="黑体" w:hAnsi="宋体" w:eastAsia="黑体"/>
          <w:bCs/>
          <w:color w:val="000000"/>
          <w:sz w:val="24"/>
          <w:szCs w:val="24"/>
          <w:highlight w:val="none"/>
        </w:rPr>
      </w:r>
      <w:r/>
    </w:p>
    <w:p>
      <w:pPr>
        <w:pStyle w:val="802"/>
        <w:spacing w:line="360" w:lineRule="auto"/>
        <w:rPr>
          <w:rFonts w:eastAsia="黑体"/>
          <w:bCs/>
          <w:color w:val="000000"/>
          <w:sz w:val="24"/>
          <w:highlight w:val="none"/>
        </w:rPr>
        <w:outlineLvl w:val="0"/>
      </w:pPr>
      <w:r>
        <w:rPr>
          <w:rFonts w:eastAsia="黑体"/>
          <w:bCs/>
          <w:color w:val="000000"/>
          <w:sz w:val="24"/>
          <w:highlight w:val="none"/>
        </w:rPr>
      </w:r>
      <w:r/>
    </w:p>
    <w:p>
      <w:pPr>
        <w:pStyle w:val="802"/>
        <w:rPr>
          <w:color w:val="000000"/>
          <w:highlight w:val="none"/>
        </w:rPr>
      </w:pPr>
      <w:r>
        <w:rPr>
          <w:color w:val="000000"/>
          <w:highlight w:val="none"/>
        </w:rPr>
      </w:r>
      <w:r/>
    </w:p>
    <w:p>
      <w:pPr>
        <w:pStyle w:val="802"/>
        <w:pageBreakBefore w:val="0"/>
        <w:spacing w:line="360" w:lineRule="auto"/>
        <w:rPr>
          <w:rFonts w:ascii="黑体" w:hAnsi="黑体" w:eastAsia="黑体"/>
          <w:i/>
          <w:color w:val="000000"/>
          <w:sz w:val="32"/>
          <w:szCs w:val="32"/>
          <w:u w:val="single"/>
        </w:rPr>
      </w:pPr>
      <w:r>
        <w:rPr>
          <w:rFonts w:hint="eastAsia" w:ascii="宋体" w:hAnsi="宋体" w:cs="宋体"/>
          <w:b/>
          <w:color w:val="000000"/>
          <w:sz w:val="24"/>
          <w:szCs w:val="24"/>
          <w:highlight w:val="none"/>
        </w:rPr>
        <w:br w:type="page" w:clear="all"/>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满足特定资格要求的证明文件</w:t>
      </w:r>
      <w:r>
        <w:rPr>
          <w:rFonts w:ascii="黑体" w:hAnsi="黑体" w:eastAsia="黑体"/>
          <w:i/>
          <w:color w:val="000000"/>
          <w:sz w:val="32"/>
          <w:szCs w:val="32"/>
          <w:u w:val="single"/>
        </w:rPr>
      </w:r>
      <w:r/>
    </w:p>
    <w:p>
      <w:pPr>
        <w:pStyle w:val="802"/>
        <w:spacing w:line="360" w:lineRule="auto"/>
        <w:rPr>
          <w:rFonts w:hint="eastAsia" w:ascii="宋体" w:hAnsi="宋体"/>
          <w:color w:val="000000"/>
          <w:sz w:val="24"/>
          <w:szCs w:val="24"/>
          <w:lang w:val="zh-CN"/>
        </w:rPr>
        <w:outlineLvl w:val="0"/>
      </w:pPr>
      <w:r/>
      <w:bookmarkStart w:id="79" w:name="_Toc8909"/>
      <w:r/>
      <w:bookmarkStart w:id="80" w:name="_Toc30898"/>
      <w:r>
        <w:rPr>
          <w:rFonts w:hint="eastAsia" w:ascii="宋体" w:hAnsi="宋体"/>
          <w:color w:val="000000"/>
          <w:sz w:val="24"/>
          <w:szCs w:val="24"/>
          <w:lang w:val="zh-CN"/>
        </w:rPr>
        <w:t xml:space="preserve">本项目特定资格要求：</w:t>
      </w:r>
      <w:r>
        <w:rPr>
          <w:rFonts w:hint="eastAsia" w:ascii="宋体" w:hAnsi="宋体"/>
          <w:b/>
          <w:bCs/>
          <w:color w:val="000000"/>
          <w:sz w:val="24"/>
          <w:szCs w:val="24"/>
          <w:lang w:val="zh-CN"/>
        </w:rPr>
        <w:t xml:space="preserve">投标人若为经营型企业须提供具有行业主管部门颁发的《食品经营许可证》；若为生产型企业还须提供《食品生产许可证》。</w:t>
      </w:r>
      <w:r>
        <w:rPr>
          <w:rFonts w:hint="eastAsia" w:ascii="宋体" w:hAnsi="宋体"/>
          <w:color w:val="000000"/>
          <w:sz w:val="24"/>
          <w:szCs w:val="24"/>
          <w:lang w:val="zh-CN"/>
        </w:rPr>
      </w:r>
      <w:r/>
    </w:p>
    <w:p>
      <w:pPr>
        <w:pStyle w:val="802"/>
        <w:spacing w:line="360" w:lineRule="auto"/>
        <w:rPr>
          <w:rFonts w:hint="eastAsia" w:ascii="宋体" w:hAnsi="宋体"/>
          <w:color w:val="000000"/>
          <w:sz w:val="24"/>
          <w:szCs w:val="24"/>
          <w:lang w:val="zh-CN"/>
        </w:rPr>
        <w:outlineLvl w:val="0"/>
      </w:pPr>
      <w:r>
        <w:rPr>
          <w:rFonts w:hint="eastAsia" w:ascii="宋体" w:hAnsi="宋体"/>
          <w:color w:val="000000"/>
          <w:sz w:val="24"/>
          <w:szCs w:val="24"/>
          <w:lang w:val="zh-CN"/>
        </w:rPr>
        <w:t xml:space="preserve">（提供相关有效证明材料复印件且加盖投标人公章）</w:t>
      </w:r>
      <w:bookmarkEnd w:id="79"/>
      <w:r/>
      <w:bookmarkEnd w:id="80"/>
      <w:r>
        <w:rPr>
          <w:rFonts w:hint="eastAsia" w:ascii="宋体" w:hAnsi="宋体"/>
          <w:color w:val="000000"/>
          <w:sz w:val="24"/>
          <w:szCs w:val="24"/>
          <w:lang w:val="zh-CN"/>
        </w:rPr>
      </w:r>
      <w:r/>
    </w:p>
    <w:p>
      <w:pPr>
        <w:pStyle w:val="802"/>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bookmarkStart w:id="81" w:name="_Toc31954"/>
      <w:r/>
      <w:bookmarkStart w:id="82" w:name="_Toc10665"/>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rPr>
        <w:t xml:space="preserve">）法定代表人授权委托书(格式)：</w:t>
      </w:r>
      <w:bookmarkEnd w:id="81"/>
      <w:r/>
      <w:bookmarkEnd w:id="82"/>
      <w:r>
        <w:rPr>
          <w:rFonts w:hint="eastAsia" w:ascii="宋体" w:hAnsi="宋体" w:cs="宋体"/>
          <w:b/>
          <w:color w:val="000000"/>
          <w:sz w:val="24"/>
          <w:szCs w:val="24"/>
          <w:highlight w:val="none"/>
        </w:rPr>
      </w:r>
      <w:r/>
    </w:p>
    <w:p>
      <w:pPr>
        <w:pStyle w:val="802"/>
        <w:spacing w:line="360" w:lineRule="auto"/>
        <w:rPr>
          <w:rFonts w:eastAsia="黑体"/>
          <w:bCs/>
          <w:color w:val="000000"/>
          <w:sz w:val="28"/>
          <w:szCs w:val="28"/>
          <w:highlight w:val="none"/>
        </w:rPr>
      </w:pPr>
      <w:r>
        <w:rPr>
          <w:rFonts w:eastAsia="黑体"/>
          <w:bCs/>
          <w:color w:val="000000"/>
          <w:sz w:val="28"/>
          <w:szCs w:val="28"/>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法定代表人授权委托书</w:t>
      </w:r>
      <w:r>
        <w:rPr>
          <w:rFonts w:hint="eastAsia" w:ascii="宋体" w:hAnsi="宋体" w:cs="宋体"/>
          <w:b/>
          <w:color w:val="000000"/>
          <w:sz w:val="36"/>
          <w:szCs w:val="28"/>
          <w:highlight w:val="none"/>
        </w:rPr>
      </w:r>
      <w:r/>
    </w:p>
    <w:p>
      <w:pPr>
        <w:pStyle w:val="802"/>
        <w:jc w:val="center"/>
        <w:spacing w:line="360" w:lineRule="auto"/>
        <w:rPr>
          <w:rFonts w:eastAsia="黑体"/>
          <w:bCs/>
          <w:color w:val="000000"/>
          <w:sz w:val="28"/>
          <w:szCs w:val="28"/>
          <w:highlight w:val="none"/>
        </w:rPr>
        <w:outlineLvl w:val="0"/>
      </w:pPr>
      <w:r>
        <w:rPr>
          <w:rFonts w:eastAsia="黑体"/>
          <w:bCs/>
          <w:color w:val="000000"/>
          <w:sz w:val="28"/>
          <w:szCs w:val="28"/>
          <w:highlight w:val="none"/>
        </w:rPr>
      </w:r>
      <w:r/>
    </w:p>
    <w:p>
      <w:pPr>
        <w:pStyle w:val="802"/>
        <w:spacing w:line="360" w:lineRule="auto"/>
        <w:rPr>
          <w:rFonts w:hint="eastAsia" w:ascii="宋体" w:hAnsi="宋体" w:cs="宋体"/>
          <w:bCs/>
          <w:color w:val="000000"/>
          <w:szCs w:val="21"/>
          <w:highlight w:val="none"/>
        </w:rPr>
      </w:pPr>
      <w:r>
        <w:rPr>
          <w:rFonts w:eastAsia="楷体_GB2312"/>
          <w:bCs/>
          <w:color w:val="000000"/>
          <w:sz w:val="30"/>
          <w:highlight w:val="none"/>
        </w:rPr>
        <w:t xml:space="preserve">  </w:t>
      </w:r>
      <w:r>
        <w:rPr>
          <w:rFonts w:eastAsia="楷体_GB2312"/>
          <w:bCs/>
          <w:color w:val="000000"/>
          <w:sz w:val="24"/>
          <w:szCs w:val="24"/>
          <w:highlight w:val="none"/>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Cs w:val="21"/>
          <w:highlight w:val="none"/>
        </w:rPr>
        <w:t xml:space="preserve">           招标编号：</w:t>
      </w:r>
      <w:r>
        <w:rPr>
          <w:rFonts w:hint="eastAsia" w:ascii="宋体" w:hAnsi="宋体" w:cs="宋体"/>
          <w:bCs/>
          <w:color w:val="000000"/>
          <w:szCs w:val="21"/>
          <w:highlight w:val="none"/>
        </w:rPr>
      </w:r>
      <w:r/>
    </w:p>
    <w:p>
      <w:pPr>
        <w:pStyle w:val="802"/>
        <w:ind w:firstLine="46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江苏盛德量行建设咨询有限公司</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系中华人民共和国合法企业，特授权</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代表我公司(单位)全权办理针对本项目</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的投标、参与开标、评标、签约等具体工作，并签署全部有关的文件、协议及合同。</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我公司(单位)对被授权人的签名负全部责任。</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被授权人情况：</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         性别：             电话：</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投标人(盖章)：</w:t>
      </w:r>
      <w:r>
        <w:rPr>
          <w:rFonts w:hint="eastAsia" w:ascii="宋体" w:hAnsi="宋体" w:cs="宋体"/>
          <w:bCs/>
          <w:color w:val="000000"/>
          <w:szCs w:val="21"/>
          <w:highlight w:val="none"/>
        </w:rPr>
      </w:r>
      <w:r/>
    </w:p>
    <w:p>
      <w:pPr>
        <w:pStyle w:val="802"/>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法定代表人(签字或盖章)：</w:t>
      </w:r>
      <w:r>
        <w:rPr>
          <w:rFonts w:hint="eastAsia" w:ascii="宋体" w:hAnsi="宋体" w:cs="宋体"/>
          <w:bCs/>
          <w:color w:val="000000"/>
          <w:szCs w:val="21"/>
          <w:highlight w:val="none"/>
        </w:rPr>
      </w:r>
      <w:r/>
    </w:p>
    <w:p>
      <w:pPr>
        <w:pStyle w:val="802"/>
        <w:ind w:firstLine="4080"/>
        <w:spacing w:line="360" w:lineRule="auto"/>
        <w:rPr>
          <w:bCs/>
          <w:color w:val="000000"/>
          <w:sz w:val="24"/>
          <w:szCs w:val="24"/>
          <w:highlight w:val="none"/>
        </w:rPr>
      </w:pPr>
      <w:r>
        <w:rPr>
          <w:bCs/>
          <w:color w:val="000000"/>
          <w:sz w:val="24"/>
          <w:szCs w:val="24"/>
          <w:highlight w:val="none"/>
        </w:rPr>
      </w:r>
      <w:r/>
    </w:p>
    <w:p>
      <w:pPr>
        <w:pStyle w:val="802"/>
        <w:ind w:firstLine="4080"/>
        <w:spacing w:line="360" w:lineRule="auto"/>
        <w:rPr>
          <w:bCs/>
          <w:color w:val="000000"/>
          <w:sz w:val="24"/>
          <w:szCs w:val="24"/>
          <w:highlight w:val="none"/>
        </w:rPr>
      </w:pPr>
      <w:r>
        <w:rPr>
          <w:bCs/>
          <w:color w:val="000000"/>
          <w:sz w:val="24"/>
          <w:szCs w:val="24"/>
          <w:highlight w:val="none"/>
        </w:rPr>
      </w:r>
      <w:r/>
    </w:p>
    <w:p>
      <w:pPr>
        <w:pStyle w:val="802"/>
        <w:ind w:firstLine="4080"/>
        <w:spacing w:line="360" w:lineRule="auto"/>
        <w:rPr>
          <w:bCs/>
          <w:color w:val="000000"/>
          <w:sz w:val="24"/>
          <w:szCs w:val="24"/>
          <w:highlight w:val="none"/>
        </w:rPr>
      </w:pPr>
      <w:r>
        <w:rPr>
          <w:bCs/>
          <w:color w:val="000000"/>
          <w:sz w:val="24"/>
          <w:szCs w:val="24"/>
          <w:highlight w:val="none"/>
        </w:rPr>
      </w:r>
      <w:r/>
    </w:p>
    <w:p>
      <w:pPr>
        <w:pStyle w:val="802"/>
        <w:ind w:firstLine="4080"/>
        <w:spacing w:line="360" w:lineRule="auto"/>
        <w:rPr>
          <w:bCs/>
          <w:color w:val="000000"/>
          <w:sz w:val="24"/>
          <w:szCs w:val="24"/>
          <w:highlight w:val="none"/>
        </w:rPr>
      </w:pPr>
      <w:r>
        <w:rPr>
          <w:bCs/>
          <w:color w:val="000000"/>
          <w:sz w:val="24"/>
          <w:szCs w:val="24"/>
          <w:highlight w:val="none"/>
        </w:rPr>
      </w:r>
      <w:r/>
    </w:p>
    <w:p>
      <w:pPr>
        <w:pStyle w:val="802"/>
        <w:ind w:firstLine="4080"/>
        <w:spacing w:line="360" w:lineRule="auto"/>
        <w:rPr>
          <w:bCs/>
          <w:color w:val="000000"/>
          <w:sz w:val="24"/>
          <w:szCs w:val="24"/>
          <w:highlight w:val="none"/>
        </w:rPr>
      </w:pPr>
      <w:r>
        <w:rPr>
          <w:bCs/>
          <w:color w:val="000000"/>
          <w:sz w:val="24"/>
          <w:szCs w:val="24"/>
          <w:highlight w:val="none"/>
        </w:rPr>
      </w:r>
      <w:r/>
    </w:p>
    <w:p>
      <w:pPr>
        <w:pStyle w:val="802"/>
        <w:spacing w:line="360" w:lineRule="auto"/>
        <w:rPr>
          <w:bCs/>
          <w:color w:val="000000"/>
          <w:sz w:val="24"/>
          <w:szCs w:val="24"/>
          <w:highlight w:val="none"/>
        </w:rPr>
      </w:pPr>
      <w:r>
        <w:rPr>
          <w:bCs/>
          <w:color w:val="000000"/>
          <w:sz w:val="24"/>
          <w:szCs w:val="24"/>
          <w:highlight w:val="none"/>
        </w:rPr>
      </w:r>
      <w:r/>
    </w:p>
    <w:p>
      <w:pPr>
        <w:pStyle w:val="802"/>
        <w:rPr>
          <w:bCs/>
          <w:color w:val="000000"/>
          <w:sz w:val="24"/>
          <w:szCs w:val="24"/>
          <w:highlight w:val="none"/>
        </w:rPr>
      </w:pPr>
      <w:r>
        <w:rPr>
          <w:bCs/>
          <w:color w:val="000000"/>
          <w:sz w:val="24"/>
          <w:szCs w:val="24"/>
          <w:highlight w:val="none"/>
        </w:rPr>
      </w:r>
      <w:r/>
    </w:p>
    <w:p>
      <w:pPr>
        <w:pStyle w:val="802"/>
        <w:rPr>
          <w:bCs/>
          <w:color w:val="000000"/>
          <w:sz w:val="24"/>
          <w:szCs w:val="24"/>
          <w:highlight w:val="none"/>
        </w:rPr>
      </w:pPr>
      <w:r>
        <w:rPr>
          <w:bCs/>
          <w:color w:val="000000"/>
          <w:sz w:val="24"/>
          <w:szCs w:val="24"/>
          <w:highlight w:val="none"/>
        </w:rPr>
      </w:r>
      <w:r/>
    </w:p>
    <w:p>
      <w:pPr>
        <w:pStyle w:val="802"/>
        <w:rPr>
          <w:bCs/>
          <w:color w:val="000000"/>
          <w:sz w:val="24"/>
          <w:szCs w:val="24"/>
          <w:highlight w:val="none"/>
        </w:rPr>
      </w:pPr>
      <w:r>
        <w:rPr>
          <w:bCs/>
          <w:color w:val="000000"/>
          <w:sz w:val="24"/>
          <w:szCs w:val="24"/>
          <w:highlight w:val="none"/>
        </w:rPr>
      </w:r>
      <w:r/>
    </w:p>
    <w:p>
      <w:pPr>
        <w:pStyle w:val="802"/>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830"/>
        <w:rPr>
          <w:rFonts w:eastAsia="黑体"/>
          <w:color w:val="000000"/>
          <w:sz w:val="24"/>
          <w:szCs w:val="24"/>
          <w:highlight w:val="none"/>
        </w:rPr>
      </w:pPr>
      <w:r>
        <w:rPr>
          <w:rFonts w:eastAsia="黑体"/>
          <w:color w:val="000000"/>
          <w:sz w:val="24"/>
          <w:szCs w:val="24"/>
          <w:highlight w:val="none"/>
        </w:rPr>
      </w:r>
      <w:r/>
    </w:p>
    <w:p>
      <w:pPr>
        <w:pStyle w:val="802"/>
        <w:rPr>
          <w:color w:val="000000"/>
          <w:highlight w:val="none"/>
        </w:rPr>
      </w:pPr>
      <w:r>
        <w:rPr>
          <w:color w:val="000000"/>
          <w:highlight w:val="none"/>
        </w:rPr>
      </w:r>
      <w:r/>
    </w:p>
    <w:p>
      <w:pPr>
        <w:pStyle w:val="802"/>
        <w:rPr>
          <w:rFonts w:eastAsia="黑体"/>
          <w:bCs/>
          <w:color w:val="000000"/>
          <w:sz w:val="24"/>
          <w:szCs w:val="24"/>
          <w:highlight w:val="none"/>
        </w:rPr>
      </w:pPr>
      <w:r>
        <w:rPr>
          <w:rFonts w:eastAsia="黑体"/>
          <w:bCs/>
          <w:color w:val="000000"/>
          <w:sz w:val="24"/>
          <w:szCs w:val="24"/>
          <w:highlight w:val="none"/>
        </w:rPr>
      </w:r>
      <w:r/>
    </w:p>
    <w:p>
      <w:pPr>
        <w:pStyle w:val="802"/>
        <w:rPr>
          <w:bCs/>
          <w:color w:val="000000"/>
          <w:sz w:val="24"/>
          <w:szCs w:val="24"/>
          <w:highlight w:val="none"/>
        </w:rPr>
      </w:pPr>
      <w:r>
        <w:rPr>
          <w:bCs/>
          <w:color w:val="000000"/>
          <w:sz w:val="24"/>
          <w:szCs w:val="24"/>
          <w:highlight w:val="none"/>
        </w:rPr>
        <w:t xml:space="preserve">投标人法定代表人身份证</w:t>
      </w:r>
      <w:r>
        <w:rPr>
          <w:rFonts w:hint="eastAsia"/>
          <w:bCs/>
          <w:color w:val="000000"/>
          <w:sz w:val="24"/>
          <w:szCs w:val="24"/>
          <w:highlight w:val="none"/>
        </w:rPr>
        <w:t xml:space="preserve">：</w:t>
      </w:r>
      <w:r>
        <w:rPr>
          <w:bCs/>
          <w:color w:val="000000"/>
          <w:sz w:val="24"/>
          <w:szCs w:val="24"/>
          <w:highlight w:val="none"/>
        </w:rPr>
      </w:r>
      <w:r/>
    </w:p>
    <w:p>
      <w:pPr>
        <w:pStyle w:val="802"/>
        <w:rPr>
          <w:bCs/>
          <w:color w:val="000000"/>
          <w:sz w:val="24"/>
          <w:szCs w:val="24"/>
          <w:highlight w:val="none"/>
        </w:rPr>
      </w:pPr>
      <w:r>
        <w:rPr>
          <w:bCs/>
          <w:color w:val="000000"/>
          <w:sz w:val="24"/>
          <w:szCs w:val="24"/>
          <w:highlight w:val="none"/>
        </w:rPr>
      </w:r>
      <w:r/>
    </w:p>
    <w:p>
      <w:pPr>
        <w:pStyle w:val="802"/>
        <w:rPr>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SHAPE  \* MERGEFORMAT </w:instrText>
      </w:r>
      <w:r>
        <w:rPr>
          <w:bCs/>
          <w:color w:val="000000"/>
          <w:sz w:val="24"/>
          <w:szCs w:val="24"/>
          <w:highlight w:val="none"/>
        </w:rPr>
        <w:fldChar w:fldCharType="separate"/>
      </w:r>
      <w:r>
        <w:rPr>
          <w:bCs/>
          <w:color w:val="000000"/>
          <w:sz w:val="24"/>
          <w:szCs w:val="24"/>
          <w:highlight w:val="none"/>
        </w:rPr>
      </w:r>
      <w:r>
        <w:rPr>
          <w:bCs/>
          <w:color w:val="000000"/>
          <w:sz w:val="24"/>
          <w:szCs w:val="24"/>
          <w:highlight w:val="none"/>
        </w:rPr>
        <w:fldChar w:fldCharType="end"/>
      </w:r>
      <w:r>
        <w:rPr>
          <w:rFonts w:hint="eastAsia" w:ascii="黑体" w:eastAsia="黑体"/>
          <w:color w:val="000000"/>
          <w:sz w:val="32"/>
          <w:szCs w:val="32"/>
          <w:highlight w:val="none"/>
        </w:rPr>
        <w:t xml:space="preserve"> </w:t>
      </w:r>
      <w:r>
        <w:rPr>
          <w:rFonts w:hint="eastAsia" w:ascii="黑体" w:eastAsia="黑体"/>
          <w:color w:val="000000"/>
          <w:sz w:val="32"/>
          <w:szCs w:val="32"/>
          <w:highlight w:val="none"/>
        </w:rPr>
        <w:fldChar w:fldCharType="begin"/>
      </w:r>
      <w:r>
        <w:rPr>
          <w:rFonts w:hint="eastAsia" w:ascii="黑体" w:eastAsia="黑体"/>
          <w:color w:val="000000"/>
          <w:sz w:val="32"/>
          <w:szCs w:val="32"/>
          <w:highlight w:val="none"/>
        </w:rPr>
        <w:instrText xml:space="preserve"> SHAPE  \* MERGEFORMAT </w:instrText>
      </w:r>
      <w:r>
        <w:rPr>
          <w:rFonts w:hint="eastAsia" w:ascii="黑体" w:eastAsia="黑体"/>
          <w:color w:val="000000"/>
          <w:sz w:val="32"/>
          <w:szCs w:val="32"/>
          <w:highlight w:val="none"/>
        </w:rPr>
        <w:fldChar w:fldCharType="separate"/>
      </w:r>
      <w:r>
        <w:rPr>
          <w:bCs/>
          <w:color w:val="000000"/>
          <w:sz w:val="24"/>
          <w:szCs w:val="24"/>
          <w:highlight w:val="none"/>
        </w:rPr>
      </w:r>
      <w:r>
        <w:rPr>
          <w:rFonts w:hint="eastAsia" w:ascii="黑体" w:eastAsia="黑体"/>
          <w:color w:val="000000"/>
          <w:sz w:val="32"/>
          <w:szCs w:val="32"/>
          <w:highlight w:val="none"/>
        </w:rPr>
        <w:fldChar w:fldCharType="end"/>
      </w:r>
      <w:r>
        <w:rPr>
          <w:rFonts w:hint="eastAsia"/>
          <w:bCs/>
          <w:color w:val="000000"/>
          <w:sz w:val="24"/>
          <w:szCs w:val="24"/>
          <w:highlight w:val="none"/>
        </w:rPr>
        <w:t xml:space="preserve">       </w:t>
      </w:r>
      <w:r>
        <w:rPr>
          <w:bCs/>
          <w:color w:val="000000"/>
          <w:sz w:val="24"/>
          <w:szCs w:val="24"/>
          <w:highlight w:val="none"/>
        </w:rPr>
      </w:r>
      <w:r/>
    </w:p>
    <w:p>
      <w:pPr>
        <w:pStyle w:val="802"/>
        <w:rPr>
          <w:bCs/>
          <w:color w:val="000000"/>
          <w:sz w:val="24"/>
          <w:szCs w:val="24"/>
          <w:highlight w:val="none"/>
        </w:rPr>
      </w:pPr>
      <w:r>
        <w:rPr>
          <w:bCs/>
          <w:color w:val="000000"/>
          <w:sz w:val="24"/>
          <w:szCs w:val="24"/>
          <w:highlight w:val="none"/>
        </w:rPr>
      </w:r>
      <w:r/>
    </w:p>
    <w:p>
      <w:pPr>
        <w:pStyle w:val="802"/>
        <w:rPr>
          <w:bCs/>
          <w:color w:val="000000"/>
          <w:sz w:val="24"/>
          <w:szCs w:val="24"/>
          <w:highlight w:val="none"/>
        </w:rPr>
      </w:pPr>
      <w:r>
        <w:rPr>
          <w:bCs/>
          <w:color w:val="000000"/>
          <w:sz w:val="24"/>
          <w:szCs w:val="24"/>
          <w:highlight w:val="none"/>
        </w:rPr>
      </w:r>
      <w:r/>
    </w:p>
    <w:p>
      <w:pPr>
        <w:pStyle w:val="802"/>
        <w:rPr>
          <w:bCs/>
          <w:color w:val="000000"/>
          <w:sz w:val="24"/>
          <w:szCs w:val="24"/>
          <w:highlight w:val="none"/>
        </w:rPr>
      </w:pPr>
      <w:r>
        <w:rPr>
          <w:bCs/>
          <w:color w:val="000000"/>
          <w:sz w:val="24"/>
          <w:szCs w:val="24"/>
          <w:highlight w:val="none"/>
        </w:rPr>
      </w:r>
      <w:r/>
    </w:p>
    <w:p>
      <w:pPr>
        <w:pStyle w:val="802"/>
        <w:rPr>
          <w:bCs/>
          <w:color w:val="000000"/>
          <w:sz w:val="24"/>
          <w:szCs w:val="24"/>
          <w:highlight w:val="none"/>
        </w:rPr>
      </w:pPr>
      <w:r>
        <w:rPr>
          <w:bCs/>
          <w:color w:val="000000"/>
          <w:sz w:val="24"/>
          <w:szCs w:val="24"/>
          <w:highlight w:val="none"/>
        </w:rPr>
        <w:t xml:space="preserve">法定代表人授权代表身份证</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rPr>
          <w:bCs/>
          <w:color w:val="000000"/>
          <w:sz w:val="24"/>
          <w:szCs w:val="24"/>
          <w:highlight w:val="none"/>
        </w:rPr>
      </w:r>
      <w:r/>
    </w:p>
    <w:p>
      <w:pPr>
        <w:pStyle w:val="830"/>
        <w:rPr>
          <w:color w:val="000000"/>
          <w:highlight w:val="none"/>
        </w:rPr>
      </w:pPr>
      <w:r>
        <w:rPr>
          <w:color w:val="000000"/>
          <w:sz w:val="24"/>
          <w:szCs w:val="24"/>
          <w:highlight w:val="none"/>
        </w:rPr>
      </w: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2639664</wp:posOffset>
                </wp:positionH>
                <wp:positionV relativeFrom="paragraph">
                  <wp:posOffset>186286</wp:posOffset>
                </wp:positionV>
                <wp:extent cx="2395855"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395854" cy="1584959"/>
                        </a:xfrm>
                        <a:prstGeom prst="rect">
                          <a:avLst/>
                        </a:prstGeom>
                        <a:solidFill>
                          <a:srgbClr val="FFFFFF"/>
                        </a:solidFill>
                        <a:ln>
                          <a:solidFill>
                            <a:srgbClr val="000000"/>
                          </a:solidFill>
                        </a:ln>
                      </wps:spPr>
                      <wps:txbx>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r>
                              <w:rPr>
                                <w:rFonts w:ascii="黑体" w:eastAsia="黑体"/>
                                <w:color w:val="000000"/>
                                <w:sz w:val="32"/>
                                <w:szCs w:val="32"/>
                              </w:rPr>
                            </w:r>
                          </w:p>
                          <w:p>
                            <w:pPr>
                              <w:pStyle w:val="802"/>
                            </w:pPr>
                            <w: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207.8pt;mso-position-horizontal:absolute;mso-position-vertical-relative:text;margin-top:14.7pt;mso-position-vertical:absolute;width:188.6pt;height:124.8pt;mso-wrap-distance-left:0.0pt;mso-wrap-distance-top:0.0pt;mso-wrap-distance-right:0.0pt;mso-wrap-distance-bottom:0.0pt;visibility:visible;" fillcolor="#FFFFFF" strokecolor="#000000">
                <v:textbox inset="0,0,0,0">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r>
                        <w:rPr>
                          <w:rFonts w:ascii="黑体" w:eastAsia="黑体"/>
                          <w:color w:val="000000"/>
                          <w:sz w:val="32"/>
                          <w:szCs w:val="32"/>
                        </w:rPr>
                      </w:r>
                    </w:p>
                    <w:p>
                      <w:pPr>
                        <w:pStyle w:val="802"/>
                      </w:pPr>
                      <w:r/>
                      <w:r/>
                      <w:r/>
                    </w:p>
                  </w:txbxContent>
                </v:textbox>
              </v:shape>
            </w:pict>
          </mc:Fallback>
        </mc:AlternateContent>
      </w:r>
      <w:r>
        <w:rPr>
          <w:color w:val="000000"/>
          <w:sz w:val="24"/>
          <w:szCs w:val="24"/>
          <w:highlight w:val="none"/>
        </w:rPr>
      </w: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186286</wp:posOffset>
                </wp:positionV>
                <wp:extent cx="2418080"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418079" cy="1584959"/>
                        </a:xfrm>
                        <a:prstGeom prst="rect">
                          <a:avLst/>
                        </a:prstGeom>
                        <a:solidFill>
                          <a:srgbClr val="FFFFFF"/>
                        </a:solidFill>
                        <a:ln>
                          <a:solidFill>
                            <a:srgbClr val="000000"/>
                          </a:solidFill>
                        </a:ln>
                      </wps:spPr>
                      <wps:txbx>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r>
                              <w:rPr>
                                <w:rFonts w:ascii="黑体" w:eastAsia="黑体"/>
                                <w:color w:val="000000"/>
                                <w:sz w:val="32"/>
                                <w:szCs w:val="32"/>
                              </w:rPr>
                            </w:r>
                          </w:p>
                          <w:p>
                            <w:pPr>
                              <w:pStyle w:val="802"/>
                            </w:pPr>
                            <w: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0.0pt;mso-position-horizontal:absolute;mso-position-vertical-relative:text;margin-top:14.7pt;mso-position-vertical:absolute;width:190.4pt;height:124.8pt;mso-wrap-distance-left:0.0pt;mso-wrap-distance-top:0.0pt;mso-wrap-distance-right:0.0pt;mso-wrap-distance-bottom:0.0pt;visibility:visible;" fillcolor="#FFFFFF" strokecolor="#000000">
                <v:textbox inset="0,0,0,0">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r>
                        <w:rPr>
                          <w:rFonts w:ascii="黑体" w:eastAsia="黑体"/>
                          <w:color w:val="000000"/>
                          <w:sz w:val="32"/>
                          <w:szCs w:val="32"/>
                        </w:rPr>
                      </w:r>
                    </w:p>
                    <w:p>
                      <w:pPr>
                        <w:pStyle w:val="802"/>
                      </w:pPr>
                      <w:r/>
                      <w:r/>
                      <w:r/>
                    </w:p>
                  </w:txbxContent>
                </v:textbox>
              </v:shape>
            </w:pict>
          </mc:Fallback>
        </mc:AlternateContent>
      </w:r>
      <w:r>
        <w:rPr>
          <w:color w:val="000000"/>
          <w:sz w:val="24"/>
          <w:szCs w:val="24"/>
          <w:highlight w:val="none"/>
        </w:rPr>
        <w:fldChar w:fldCharType="begin"/>
      </w:r>
      <w:r>
        <w:rPr>
          <w:color w:val="000000"/>
          <w:sz w:val="24"/>
          <w:szCs w:val="24"/>
          <w:highlight w:val="none"/>
        </w:rPr>
        <w:instrText xml:space="preserve"> SHAPE  \* MERGEFORMAT </w:instrText>
      </w:r>
      <w:r>
        <w:rPr>
          <w:color w:val="000000"/>
          <w:sz w:val="24"/>
          <w:szCs w:val="24"/>
          <w:highlight w:val="none"/>
        </w:rPr>
        <w:fldChar w:fldCharType="separate"/>
      </w:r>
      <w:r>
        <w:rPr>
          <w:color w:val="000000"/>
          <w:sz w:val="24"/>
          <w:szCs w:val="24"/>
          <w:highlight w:val="none"/>
        </w:rPr>
      </w:r>
      <w:r>
        <w:rPr>
          <w:color w:val="000000"/>
          <w:sz w:val="24"/>
          <w:szCs w:val="24"/>
          <w:highlight w:val="none"/>
        </w:rPr>
        <w:fldChar w:fldCharType="end"/>
      </w:r>
      <w:r>
        <w:rPr>
          <w:rFonts w:hint="eastAsia"/>
          <w:color w:val="000000"/>
          <w:sz w:val="24"/>
          <w:szCs w:val="24"/>
          <w:highlight w:val="none"/>
        </w:rPr>
        <w:t xml:space="preserve"> </w:t>
      </w:r>
      <w:r>
        <w:rPr>
          <w:rFonts w:hint="eastAsia"/>
          <w:color w:val="000000"/>
          <w:sz w:val="24"/>
          <w:szCs w:val="24"/>
          <w:highlight w:val="none"/>
        </w:rPr>
        <w:fldChar w:fldCharType="begin"/>
      </w:r>
      <w:r>
        <w:rPr>
          <w:rFonts w:hint="eastAsia"/>
          <w:color w:val="000000"/>
          <w:sz w:val="24"/>
          <w:szCs w:val="24"/>
          <w:highlight w:val="none"/>
        </w:rPr>
        <w:instrText xml:space="preserve"> SHAPE  \* MERGEFORMAT </w:instrText>
      </w:r>
      <w:r>
        <w:rPr>
          <w:rFonts w:hint="eastAsia"/>
          <w:color w:val="000000"/>
          <w:sz w:val="24"/>
          <w:szCs w:val="24"/>
          <w:highlight w:val="none"/>
        </w:rPr>
        <w:fldChar w:fldCharType="separate"/>
      </w:r>
      <w:r>
        <w:rPr>
          <w:color w:val="000000"/>
          <w:sz w:val="24"/>
          <w:szCs w:val="24"/>
          <w:highlight w:val="none"/>
        </w:rPr>
      </w:r>
      <w:r>
        <w:rPr>
          <w:rFonts w:hint="eastAsia"/>
          <w:color w:val="000000"/>
          <w:sz w:val="24"/>
          <w:szCs w:val="24"/>
          <w:highlight w:val="none"/>
        </w:rPr>
        <w:fldChar w:fldCharType="end"/>
      </w:r>
      <w:r>
        <w:rPr>
          <w:color w:val="000000"/>
          <w:highlight w:val="none"/>
        </w:rPr>
      </w:r>
      <w:r/>
    </w:p>
    <w:p>
      <w:pPr>
        <w:pStyle w:val="802"/>
        <w:spacing w:line="360" w:lineRule="auto"/>
        <w:rPr>
          <w:rFonts w:eastAsia="黑体"/>
          <w:bCs/>
          <w:color w:val="000000"/>
          <w:sz w:val="24"/>
          <w:szCs w:val="24"/>
          <w:highlight w:val="none"/>
        </w:rPr>
        <w:outlineLvl w:val="0"/>
      </w:pPr>
      <w:r>
        <w:rPr>
          <w:rFonts w:eastAsia="黑体"/>
          <w:bCs/>
          <w:color w:val="000000"/>
          <w:sz w:val="24"/>
          <w:szCs w:val="24"/>
          <w:highlight w:val="none"/>
        </w:rPr>
      </w:r>
      <w: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3810</wp:posOffset>
                </wp:positionH>
                <wp:positionV relativeFrom="paragraph">
                  <wp:posOffset>1840981</wp:posOffset>
                </wp:positionV>
                <wp:extent cx="2414270" cy="158496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414269" cy="1584959"/>
                        </a:xfrm>
                        <a:prstGeom prst="rect">
                          <a:avLst/>
                        </a:prstGeom>
                        <a:solidFill>
                          <a:srgbClr val="FFFFFF"/>
                        </a:solidFill>
                        <a:ln>
                          <a:solidFill>
                            <a:srgbClr val="000000"/>
                          </a:solidFill>
                        </a:ln>
                      </wps:spPr>
                      <wps:txbx>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r>
                              <w:rPr>
                                <w:rFonts w:ascii="黑体" w:eastAsia="黑体"/>
                                <w:color w:val="000000"/>
                                <w:sz w:val="32"/>
                                <w:szCs w:val="32"/>
                              </w:rPr>
                            </w:r>
                          </w:p>
                          <w:p>
                            <w:pPr>
                              <w:pStyle w:val="802"/>
                            </w:pPr>
                            <w:r/>
                            <w:r/>
                            <w:r/>
                          </w:p>
                        </w:txbxContent>
                      </wps:txbx>
                      <wps:bodyPr wrap="square" upright="1"/>
                    </wps:wsp>
                  </a:graphicData>
                </a:graphic>
              </wp:anchor>
            </w:drawing>
          </mc:Choice>
          <mc:Fallback>
            <w:pict>
              <v:shape id="shape 6" o:spid="_x0000_s6" o:spt="202" type="#_x0000_t202" style="position:absolute;z-index:251658242;o:allowoverlap:true;o:allowincell:true;mso-position-horizontal-relative:text;margin-left:0.3pt;mso-position-horizontal:absolute;mso-position-vertical-relative:text;margin-top:145.0pt;mso-position-vertical:absolute;width:190.1pt;height:124.8pt;mso-wrap-distance-left:0.0pt;mso-wrap-distance-top:0.0pt;mso-wrap-distance-right:0.0pt;mso-wrap-distance-bottom:0.0pt;visibility:visible;" fillcolor="#FFFFFF" strokecolor="#000000">
                <v:textbox inset="0,0,0,0">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r>
                        <w:rPr>
                          <w:rFonts w:ascii="黑体" w:eastAsia="黑体"/>
                          <w:color w:val="000000"/>
                          <w:sz w:val="32"/>
                          <w:szCs w:val="32"/>
                        </w:rPr>
                      </w:r>
                    </w:p>
                    <w:p>
                      <w:pPr>
                        <w:pStyle w:val="802"/>
                      </w:pPr>
                      <w:r/>
                      <w:r/>
                      <w:r/>
                    </w:p>
                  </w:txbxContent>
                </v:textbox>
              </v:shape>
            </w:pict>
          </mc:Fallback>
        </mc:AlternateContent>
      </w:r>
      <w:r>
        <w:rPr>
          <w:rFonts w:eastAsia="黑体"/>
          <w:bCs/>
          <w:color w:val="000000"/>
          <w:sz w:val="24"/>
          <w:szCs w:val="24"/>
          <w:highlight w:val="none"/>
        </w:rPr>
      </w:r>
      <w: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2638394</wp:posOffset>
                </wp:positionH>
                <wp:positionV relativeFrom="paragraph">
                  <wp:posOffset>1840981</wp:posOffset>
                </wp:positionV>
                <wp:extent cx="2397125" cy="158496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397124" cy="1584959"/>
                        </a:xfrm>
                        <a:prstGeom prst="rect">
                          <a:avLst/>
                        </a:prstGeom>
                        <a:solidFill>
                          <a:srgbClr val="FFFFFF"/>
                        </a:solidFill>
                        <a:ln>
                          <a:solidFill>
                            <a:srgbClr val="000000"/>
                          </a:solidFill>
                        </a:ln>
                      </wps:spPr>
                      <wps:txbx>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r>
                              <w:rPr>
                                <w:rFonts w:ascii="黑体" w:eastAsia="黑体"/>
                                <w:color w:val="000000"/>
                                <w:sz w:val="32"/>
                                <w:szCs w:val="32"/>
                              </w:rPr>
                            </w:r>
                          </w:p>
                          <w:p>
                            <w:pPr>
                              <w:pStyle w:val="802"/>
                            </w:pPr>
                            <w:r/>
                            <w:r/>
                            <w:r/>
                          </w:p>
                        </w:txbxContent>
                      </wps:txbx>
                      <wps:bodyPr wrap="square" upright="1"/>
                    </wps:wsp>
                  </a:graphicData>
                </a:graphic>
              </wp:anchor>
            </w:drawing>
          </mc:Choice>
          <mc:Fallback>
            <w:pict>
              <v:shape id="shape 7" o:spid="_x0000_s7" o:spt="202" type="#_x0000_t202" style="position:absolute;z-index:251658243;o:allowoverlap:true;o:allowincell:true;mso-position-horizontal-relative:text;margin-left:207.7pt;mso-position-horizontal:absolute;mso-position-vertical-relative:text;margin-top:145.0pt;mso-position-vertical:absolute;width:188.8pt;height:124.8pt;mso-wrap-distance-left:0.0pt;mso-wrap-distance-top:0.0pt;mso-wrap-distance-right:0.0pt;mso-wrap-distance-bottom:0.0pt;visibility:visible;" fillcolor="#FFFFFF" strokecolor="#000000">
                <v:textbox inset="0,0,0,0">
                  <w:txbxContent>
                    <w:p>
                      <w:pPr>
                        <w:pStyle w:val="802"/>
                        <w:jc w:val="center"/>
                        <w:rPr>
                          <w:rFonts w:ascii="黑体" w:eastAsia="黑体"/>
                          <w:sz w:val="32"/>
                          <w:szCs w:val="32"/>
                        </w:rPr>
                      </w:pPr>
                      <w:r>
                        <w:rPr>
                          <w:rFonts w:ascii="黑体" w:eastAsia="黑体"/>
                          <w:sz w:val="32"/>
                          <w:szCs w:val="32"/>
                        </w:rPr>
                      </w:r>
                      <w:r/>
                      <w:r>
                        <w:rPr>
                          <w:rFonts w:ascii="黑体" w:eastAsia="黑体"/>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r>
                        <w:rPr>
                          <w:rFonts w:ascii="黑体" w:eastAsia="黑体"/>
                          <w:color w:val="000000"/>
                          <w:sz w:val="32"/>
                          <w:szCs w:val="32"/>
                        </w:rPr>
                      </w:r>
                    </w:p>
                    <w:p>
                      <w:pPr>
                        <w:pStyle w:val="80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r>
                        <w:rPr>
                          <w:rFonts w:ascii="黑体" w:eastAsia="黑体"/>
                          <w:color w:val="000000"/>
                          <w:sz w:val="32"/>
                          <w:szCs w:val="32"/>
                        </w:rPr>
                      </w:r>
                    </w:p>
                    <w:p>
                      <w:pPr>
                        <w:pStyle w:val="802"/>
                      </w:pPr>
                      <w:r/>
                      <w:r/>
                      <w:r/>
                    </w:p>
                  </w:txbxContent>
                </v:textbox>
              </v:shape>
            </w:pict>
          </mc:Fallback>
        </mc:AlternateContent>
      </w:r>
      <w:r>
        <w:rPr>
          <w:rFonts w:eastAsia="黑体"/>
          <w:bCs/>
          <w:color w:val="000000"/>
          <w:sz w:val="24"/>
          <w:szCs w:val="24"/>
          <w:highlight w:val="none"/>
        </w:rPr>
        <w:br w:type="page" w:clear="all"/>
      </w:r>
      <w:bookmarkStart w:id="83" w:name="_Toc31396"/>
      <w:r/>
      <w:bookmarkStart w:id="84" w:name="_Toc3457"/>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五</w:t>
      </w:r>
      <w:r>
        <w:rPr>
          <w:rFonts w:hint="eastAsia" w:ascii="宋体" w:hAnsi="宋体" w:cs="宋体"/>
          <w:b/>
          <w:color w:val="000000"/>
          <w:sz w:val="24"/>
          <w:szCs w:val="24"/>
          <w:highlight w:val="none"/>
        </w:rPr>
        <w:t xml:space="preserve">) 承诺书(格式)：</w:t>
      </w:r>
      <w:bookmarkEnd w:id="83"/>
      <w:r/>
      <w:bookmarkEnd w:id="84"/>
      <w:r>
        <w:rPr>
          <w:rFonts w:eastAsia="黑体"/>
          <w:bCs/>
          <w:color w:val="000000"/>
          <w:sz w:val="24"/>
          <w:szCs w:val="24"/>
          <w:highlight w:val="none"/>
        </w:rPr>
      </w:r>
      <w:r/>
    </w:p>
    <w:p>
      <w:pPr>
        <w:pStyle w:val="802"/>
        <w:spacing w:line="360" w:lineRule="auto"/>
        <w:rPr>
          <w:rFonts w:eastAsia="黑体"/>
          <w:bCs/>
          <w:color w:val="000000"/>
          <w:sz w:val="28"/>
          <w:szCs w:val="28"/>
          <w:highlight w:val="none"/>
        </w:rPr>
        <w:outlineLvl w:val="0"/>
      </w:pPr>
      <w:r>
        <w:rPr>
          <w:rFonts w:eastAsia="黑体"/>
          <w:bCs/>
          <w:color w:val="000000"/>
          <w:sz w:val="28"/>
          <w:szCs w:val="28"/>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承诺书</w:t>
      </w:r>
      <w:r>
        <w:rPr>
          <w:rFonts w:hint="eastAsia" w:ascii="宋体" w:hAnsi="宋体" w:cs="宋体"/>
          <w:b/>
          <w:color w:val="000000"/>
          <w:sz w:val="36"/>
          <w:szCs w:val="28"/>
          <w:highlight w:val="none"/>
        </w:rPr>
      </w:r>
      <w:r/>
    </w:p>
    <w:p>
      <w:pPr>
        <w:pStyle w:val="80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02"/>
        <w:spacing w:line="360" w:lineRule="auto"/>
        <w:rPr>
          <w:rFonts w:asci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（投标人名称）在此承诺：</w:t>
      </w:r>
      <w:r>
        <w:rPr>
          <w:rFonts w:ascii="宋体"/>
          <w:color w:val="000000"/>
          <w:szCs w:val="21"/>
          <w:highlight w:val="none"/>
        </w:rPr>
      </w:r>
      <w:r/>
    </w:p>
    <w:p>
      <w:pPr>
        <w:pStyle w:val="802"/>
        <w:ind w:firstLine="420"/>
        <w:spacing w:line="360" w:lineRule="auto"/>
        <w:rPr>
          <w:rFonts w:ascii="宋体"/>
          <w:color w:val="000000"/>
          <w:szCs w:val="21"/>
          <w:highlight w:val="none"/>
        </w:rPr>
      </w:pPr>
      <w:r>
        <w:rPr>
          <w:rFonts w:ascii="宋体"/>
          <w:color w:val="000000"/>
          <w:szCs w:val="21"/>
          <w:highlight w:val="none"/>
        </w:rPr>
      </w:r>
      <w:r/>
    </w:p>
    <w:p>
      <w:pPr>
        <w:pStyle w:val="802"/>
        <w:ind w:firstLine="420"/>
        <w:spacing w:line="360" w:lineRule="auto"/>
        <w:rPr>
          <w:rFonts w:ascii="宋体"/>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.本公司（单位）</w:t>
      </w:r>
      <w:r>
        <w:rPr>
          <w:rFonts w:hint="eastAsia" w:ascii="宋体" w:hAnsi="宋体"/>
          <w:bCs/>
          <w:color w:val="000000"/>
          <w:szCs w:val="21"/>
          <w:highlight w:val="none"/>
        </w:rPr>
        <w:t xml:space="preserve">对本项目（招标编号：              ）所提供的货物均为原厂全新合格品，提供的服务符合招标文件要求；</w:t>
      </w:r>
      <w:r>
        <w:rPr>
          <w:rFonts w:ascii="宋体"/>
          <w:bCs/>
          <w:color w:val="000000"/>
          <w:szCs w:val="21"/>
          <w:highlight w:val="none"/>
        </w:rPr>
      </w:r>
      <w:r/>
    </w:p>
    <w:p>
      <w:pPr>
        <w:pStyle w:val="8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2.本公司（单位）具备履行合同所必需的设备和专业技术能力；</w:t>
      </w:r>
      <w:r>
        <w:rPr>
          <w:rFonts w:hint="eastAsia" w:ascii="宋体" w:hAnsi="宋体"/>
          <w:color w:val="000000"/>
          <w:szCs w:val="21"/>
          <w:highlight w:val="none"/>
        </w:rPr>
      </w:r>
      <w:r/>
    </w:p>
    <w:p>
      <w:pPr>
        <w:pStyle w:val="8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3.本公司（单位）未被“信用中国”网站（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Cs w:val="21"/>
          <w:highlight w:val="none"/>
        </w:rPr>
        <w:t xml:space="preserve">www.creditchina.gov.cn</w:t>
      </w:r>
      <w:r>
        <w:rPr>
          <w:rFonts w:hint="eastAsia" w:ascii="宋体" w:hAnsi="宋体"/>
          <w:color w:val="000000"/>
          <w:szCs w:val="21"/>
          <w:highlight w:val="none"/>
        </w:rPr>
        <w:fldChar w:fldCharType="end"/>
      </w:r>
      <w:r>
        <w:rPr>
          <w:rFonts w:hint="eastAsia" w:ascii="宋体" w:hAnsi="宋体"/>
          <w:color w:val="000000"/>
          <w:szCs w:val="21"/>
          <w:highlight w:val="none"/>
        </w:rPr>
        <w:t xml:space="preserve">）、中国政府采购网(www.ccgp.gov.cn)列入失信被执行人、重大税收违法案件当事人名单、政府采购严重违法失信行为记录名单。</w:t>
      </w:r>
      <w:r>
        <w:rPr>
          <w:rFonts w:hint="eastAsia" w:ascii="宋体" w:hAnsi="宋体"/>
          <w:color w:val="000000"/>
          <w:szCs w:val="21"/>
          <w:highlight w:val="none"/>
        </w:rPr>
      </w:r>
      <w:r/>
    </w:p>
    <w:p>
      <w:pPr>
        <w:pStyle w:val="8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4.本公司（单位）参加政府采购活动前3年内在经营活动中没有重大违法记录。</w:t>
      </w:r>
      <w:r>
        <w:rPr>
          <w:rFonts w:hint="eastAsia" w:ascii="宋体" w:hAnsi="宋体"/>
          <w:color w:val="000000"/>
          <w:szCs w:val="21"/>
          <w:highlight w:val="none"/>
        </w:rPr>
      </w:r>
      <w:r/>
    </w:p>
    <w:p>
      <w:pPr>
        <w:pStyle w:val="8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olor w:val="000000"/>
          <w:szCs w:val="21"/>
          <w:highlight w:val="none"/>
        </w:rPr>
      </w:r>
      <w:r/>
    </w:p>
    <w:p>
      <w:pPr>
        <w:pStyle w:val="831"/>
        <w:ind w:left="0"/>
        <w:rPr>
          <w:color w:val="000000"/>
          <w:szCs w:val="21"/>
          <w:highlight w:val="none"/>
        </w:rPr>
      </w:pPr>
      <w:r>
        <w:rPr>
          <w:color w:val="000000"/>
          <w:szCs w:val="21"/>
          <w:highlight w:val="none"/>
        </w:rPr>
      </w:r>
      <w:r/>
    </w:p>
    <w:p>
      <w:pPr>
        <w:pStyle w:val="802"/>
        <w:ind w:firstLine="420"/>
        <w:spacing w:line="360" w:lineRule="auto"/>
        <w:rPr>
          <w:rFonts w:ascii="宋体"/>
          <w:bCs/>
          <w:color w:val="000000"/>
          <w:szCs w:val="21"/>
          <w:highlight w:val="none"/>
        </w:rPr>
      </w:pPr>
      <w:r>
        <w:rPr>
          <w:rFonts w:hint="eastAsia" w:ascii="宋体" w:hAnsi="宋体"/>
          <w:bCs/>
          <w:color w:val="000000"/>
          <w:szCs w:val="21"/>
          <w:highlight w:val="none"/>
        </w:rPr>
        <w:t xml:space="preserve">如违背上述承诺，本公司</w:t>
      </w:r>
      <w:r>
        <w:rPr>
          <w:rFonts w:hint="eastAsia" w:ascii="宋体" w:hAnsi="宋体"/>
          <w:color w:val="000000"/>
          <w:szCs w:val="21"/>
          <w:highlight w:val="none"/>
        </w:rPr>
        <w:t xml:space="preserve">（单位）</w:t>
      </w:r>
      <w:r>
        <w:rPr>
          <w:rFonts w:hint="eastAsia" w:ascii="宋体" w:hAnsi="宋体"/>
          <w:bCs/>
          <w:color w:val="000000"/>
          <w:szCs w:val="21"/>
          <w:highlight w:val="none"/>
        </w:rPr>
        <w:t xml:space="preserve">将承担一切法律责任。</w:t>
      </w:r>
      <w:r>
        <w:rPr>
          <w:rFonts w:ascii="宋体"/>
          <w:bCs/>
          <w:color w:val="000000"/>
          <w:szCs w:val="21"/>
          <w:highlight w:val="none"/>
        </w:rPr>
      </w:r>
      <w:r/>
    </w:p>
    <w:p>
      <w:pPr>
        <w:pStyle w:val="802"/>
        <w:spacing w:line="360" w:lineRule="auto"/>
        <w:rPr>
          <w:rFonts w:ascii="宋体"/>
          <w:color w:val="000000"/>
          <w:szCs w:val="21"/>
          <w:highlight w:val="none"/>
        </w:rPr>
      </w:pPr>
      <w:r>
        <w:rPr>
          <w:rFonts w:ascii="宋体"/>
          <w:color w:val="000000"/>
          <w:szCs w:val="21"/>
          <w:highlight w:val="none"/>
        </w:rPr>
      </w:r>
      <w:r/>
    </w:p>
    <w:p>
      <w:pPr>
        <w:pStyle w:val="802"/>
        <w:ind w:firstLine="4725"/>
        <w:spacing w:line="360" w:lineRule="auto"/>
        <w:rPr>
          <w:rFonts w:ascii="宋体"/>
          <w:bCs/>
          <w:color w:val="000000"/>
          <w:szCs w:val="21"/>
          <w:highlight w:val="none"/>
        </w:rPr>
      </w:pPr>
      <w:r>
        <w:rPr>
          <w:rFonts w:ascii="宋体"/>
          <w:bCs/>
          <w:color w:val="000000"/>
          <w:szCs w:val="21"/>
          <w:highlight w:val="none"/>
        </w:rPr>
      </w:r>
      <w:r/>
    </w:p>
    <w:p>
      <w:pPr>
        <w:pStyle w:val="802"/>
        <w:ind w:firstLine="4515"/>
        <w:spacing w:line="360" w:lineRule="auto"/>
        <w:rPr>
          <w:rFonts w:hint="eastAsia" w:ascii="宋体" w:hAnsi="宋体"/>
          <w:bCs/>
          <w:color w:val="000000"/>
          <w:szCs w:val="21"/>
          <w:highlight w:val="none"/>
        </w:rPr>
      </w:pPr>
      <w:r>
        <w:rPr>
          <w:rFonts w:hint="eastAsia" w:ascii="宋体" w:hAnsi="宋体" w:cs="宋体"/>
          <w:bCs/>
          <w:color w:val="000000"/>
          <w:szCs w:val="21"/>
          <w:highlight w:val="none"/>
        </w:rPr>
        <w:t xml:space="preserve">投标人(盖章)：</w:t>
      </w:r>
      <w:r>
        <w:rPr>
          <w:rFonts w:hint="eastAsia" w:ascii="宋体" w:hAnsi="宋体"/>
          <w:bCs/>
          <w:color w:val="000000"/>
          <w:szCs w:val="21"/>
          <w:highlight w:val="none"/>
        </w:rPr>
      </w:r>
      <w:r/>
    </w:p>
    <w:p>
      <w:pPr>
        <w:pStyle w:val="802"/>
        <w:ind w:firstLine="84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802"/>
        <w:ind w:firstLine="168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法定代表人或法定代表人授权代表签字或盖章：</w:t>
      </w:r>
      <w:r>
        <w:rPr>
          <w:rFonts w:hint="eastAsia" w:ascii="宋体" w:hAnsi="宋体"/>
          <w:bCs/>
          <w:color w:val="000000"/>
          <w:szCs w:val="21"/>
          <w:highlight w:val="none"/>
        </w:rPr>
      </w:r>
      <w:r/>
    </w:p>
    <w:p>
      <w:pPr>
        <w:pStyle w:val="884"/>
        <w:rPr>
          <w:color w:val="000000"/>
          <w:highlight w:val="none"/>
        </w:rPr>
      </w:pPr>
      <w:r>
        <w:rPr>
          <w:color w:val="000000"/>
          <w:highlight w:val="none"/>
        </w:rPr>
      </w:r>
      <w:r/>
    </w:p>
    <w:p>
      <w:pPr>
        <w:pStyle w:val="802"/>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802"/>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802"/>
        <w:spacing w:line="360" w:lineRule="auto"/>
        <w:rPr>
          <w:rFonts w:ascii="宋体"/>
          <w:color w:val="000000"/>
          <w:sz w:val="24"/>
          <w:highlight w:val="none"/>
        </w:rPr>
      </w:pPr>
      <w:r>
        <w:rPr>
          <w:rFonts w:ascii="宋体"/>
          <w:color w:val="000000"/>
          <w:sz w:val="24"/>
          <w:highlight w:val="none"/>
        </w:rPr>
      </w:r>
      <w:r/>
    </w:p>
    <w:p>
      <w:pPr>
        <w:pStyle w:val="802"/>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802"/>
        <w:pageBreakBefore w:val="0"/>
        <w:spacing w:line="360" w:lineRule="auto"/>
        <w:rPr>
          <w:rFonts w:ascii="宋体" w:hAnsi="宋体" w:cs="宋体"/>
          <w:b/>
          <w:bCs/>
          <w:sz w:val="24"/>
          <w:highlight w:val="none"/>
          <w:lang w:val="en-US" w:eastAsia="zh-CN"/>
        </w:rPr>
        <w:outlineLvl w:val="2"/>
      </w:pPr>
      <w:r>
        <w:rPr>
          <w:rFonts w:hint="eastAsia" w:ascii="宋体" w:hAnsi="宋体" w:cs="宋体"/>
          <w:b/>
          <w:color w:val="000000"/>
          <w:sz w:val="24"/>
          <w:szCs w:val="24"/>
          <w:highlight w:val="none"/>
        </w:rPr>
        <w:br w:type="page" w:clear="all"/>
      </w:r>
      <w:r>
        <w:rPr>
          <w:rFonts w:hint="eastAsia" w:ascii="宋体" w:hAnsi="宋体" w:eastAsia="宋体" w:cs="宋体"/>
          <w:b/>
          <w:color w:val="000000"/>
          <w:sz w:val="24"/>
          <w:szCs w:val="24"/>
          <w:highlight w:val="none"/>
          <w:lang w:val="en-US" w:eastAsia="zh-CN"/>
        </w:rPr>
        <w:t xml:space="preserve">六、承诺书（如有，供应商可结合本项目技术条款、商务条款具体要求及自身实际情况自行拟定承诺书，承诺书格式仅供参考）</w:t>
      </w:r>
      <w:r>
        <w:rPr>
          <w:rFonts w:ascii="宋体" w:hAnsi="宋体" w:cs="宋体"/>
          <w:b/>
          <w:bCs/>
          <w:sz w:val="24"/>
          <w:highlight w:val="none"/>
          <w:lang w:val="en-US" w:eastAsia="zh-CN"/>
        </w:rPr>
      </w:r>
      <w:r/>
    </w:p>
    <w:p>
      <w:pPr>
        <w:pStyle w:val="802"/>
        <w:jc w:val="center"/>
        <w:pageBreakBefore w:val="0"/>
        <w:spacing w:after="0" w:line="360" w:lineRule="auto"/>
        <w:rPr>
          <w:rFonts w:hint="eastAsia" w:ascii="宋体" w:hAnsi="宋体" w:eastAsia="宋体" w:cs="宋体"/>
          <w:color w:val="000000"/>
          <w:sz w:val="24"/>
          <w:szCs w:val="24"/>
          <w:lang w:val="de-DE"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de-DE" w:eastAsia="zh-CN"/>
        </w:rPr>
      </w:r>
      <w:r/>
    </w:p>
    <w:p>
      <w:pPr>
        <w:pStyle w:val="802"/>
        <w:jc w:val="center"/>
        <w:pageBreakBefore w:val="0"/>
        <w:spacing w:after="0" w:line="360" w:lineRule="auto"/>
        <w:rPr>
          <w:rFonts w:hint="eastAsia" w:ascii="宋体" w:hAnsi="宋体" w:eastAsia="宋体" w:cs="宋体"/>
          <w:color w:val="000000"/>
          <w:sz w:val="24"/>
          <w:szCs w:val="24"/>
          <w:lang w:val="de-DE"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de-DE" w:eastAsia="zh-CN"/>
        </w:rPr>
        <w:t xml:space="preserve">承诺书格式</w:t>
      </w:r>
      <w:r>
        <w:rPr>
          <w:rFonts w:hint="eastAsia" w:ascii="宋体" w:hAnsi="宋体" w:eastAsia="宋体" w:cs="宋体"/>
          <w:color w:val="000000"/>
          <w:sz w:val="24"/>
          <w:szCs w:val="24"/>
          <w:lang w:val="de-DE" w:eastAsia="zh-CN"/>
        </w:rPr>
      </w:r>
      <w:r/>
    </w:p>
    <w:p>
      <w:pPr>
        <w:pStyle w:val="802"/>
        <w:jc w:val="both"/>
        <w:pageBreakBefore w:val="0"/>
        <w:spacing w:after="0" w:line="360" w:lineRule="auto"/>
        <w:rPr>
          <w:rFonts w:hint="eastAsia" w:ascii="宋体" w:hAnsi="宋体" w:eastAsia="宋体" w:cs="宋体"/>
          <w:color w:val="000000"/>
          <w:sz w:val="24"/>
          <w:szCs w:val="24"/>
          <w:lang w:val="de-DE"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de-DE" w:eastAsia="zh-CN"/>
        </w:rPr>
      </w:r>
      <w:r/>
    </w:p>
    <w:p>
      <w:pPr>
        <w:pStyle w:val="802"/>
        <w:ind w:firstLine="480"/>
        <w:keepLines w:val="0"/>
        <w:keepNext w:val="0"/>
        <w:pageBreakBefore w:val="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t xml:space="preserve">南京市公安局经侦支队</w:t>
      </w:r>
      <w:r>
        <w:rPr>
          <w:rFonts w:ascii="宋体" w:hAnsi="宋体" w:eastAsia="宋体" w:cs="宋体"/>
          <w:sz w:val="24"/>
          <w:szCs w:val="24"/>
          <w:lang w:eastAsia="zh-CN"/>
        </w:rPr>
      </w:r>
      <w:r/>
    </w:p>
    <w:p>
      <w:pPr>
        <w:pStyle w:val="802"/>
        <w:ind w:firstLine="480"/>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sz w:val="24"/>
          <w:szCs w:val="24"/>
          <w:lang w:eastAsia="zh-CN"/>
        </w:rPr>
        <w:t xml:space="preserve">我公司现郑重承诺如下： </w:t>
      </w:r>
      <w:r>
        <w:rPr>
          <w:rFonts w:ascii="宋体" w:hAnsi="宋体" w:eastAsia="宋体" w:cs="宋体"/>
          <w:color w:val="000000"/>
          <w:sz w:val="21"/>
          <w:szCs w:val="21"/>
          <w:lang w:val="en-US" w:eastAsia="zh-CN"/>
        </w:rPr>
      </w:r>
      <w:r/>
    </w:p>
    <w:p>
      <w:pPr>
        <w:pStyle w:val="802"/>
        <w:ind w:firstLine="480"/>
        <w:keepLines w:val="0"/>
        <w:keepNext w:val="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1.本单位</w:t>
      </w:r>
      <w:r>
        <w:rPr>
          <w:rFonts w:ascii="宋体" w:hAnsi="宋体" w:eastAsia="宋体" w:cs="宋体"/>
          <w:color w:val="000000"/>
          <w:sz w:val="24"/>
          <w:szCs w:val="24"/>
          <w:highlight w:val="none"/>
        </w:rPr>
        <w:t xml:space="preserve">具备应急服务能力，有一定的处理紧急情况的经验。如遇节假日、招标人临时有大批量食材采购或紧急采购任务时，承诺在接到招标人通知后，一小时内将指定食材运送至招标人指定地点（清凉门大街76号）并卸货，派专人负责跟踪服务，保证食材准时准点供应，如推迟送货的，招标人有权拒绝验收签单。</w:t>
      </w:r>
      <w:r>
        <w:rPr>
          <w:rFonts w:ascii="宋体" w:hAnsi="宋体" w:eastAsia="宋体" w:cs="宋体"/>
          <w:b/>
          <w:bCs/>
          <w:color w:val="000000"/>
          <w:sz w:val="24"/>
          <w:szCs w:val="24"/>
          <w:highlight w:val="none"/>
        </w:rPr>
      </w:r>
      <w:r/>
    </w:p>
    <w:p>
      <w:pPr>
        <w:pStyle w:val="802"/>
        <w:ind w:left="0" w:right="0" w:firstLine="480"/>
        <w:jc w:val="both"/>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本单位</w:t>
      </w:r>
      <w:r>
        <w:rPr>
          <w:rFonts w:ascii="宋体" w:hAnsi="宋体" w:eastAsia="宋体" w:cs="宋体"/>
          <w:color w:val="000000"/>
          <w:sz w:val="24"/>
          <w:szCs w:val="24"/>
          <w:highlight w:val="none"/>
        </w:rPr>
        <w:t xml:space="preserve">承诺如中标后同意提供招标人要求的与其投标有关的一切数据和资料，并保证其所提供数据资料的真实性与准确性。</w:t>
      </w:r>
      <w:r>
        <w:rPr>
          <w:rFonts w:ascii="宋体" w:hAnsi="宋体" w:eastAsia="宋体" w:cs="宋体"/>
          <w:color w:val="000000"/>
          <w:sz w:val="24"/>
          <w:szCs w:val="24"/>
          <w:highlight w:val="none"/>
        </w:rPr>
      </w:r>
      <w:r/>
    </w:p>
    <w:p>
      <w:pPr>
        <w:pStyle w:val="802"/>
        <w:ind w:left="0" w:right="0" w:firstLine="48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3.本单位</w:t>
      </w:r>
      <w:r>
        <w:rPr>
          <w:rFonts w:ascii="宋体" w:hAnsi="宋体" w:eastAsia="宋体" w:cs="宋体"/>
          <w:color w:val="000000"/>
          <w:sz w:val="24"/>
          <w:szCs w:val="24"/>
          <w:highlight w:val="none"/>
        </w:rPr>
        <w:t xml:space="preserve">承诺所供的食材均符合《中华人民共和国食品安全法》、《中华人民共和国食品安全法实施条例》、《中华人民共和国农产品质量安全法》、《中华人民共和国动物防疫法》等相关规定，严格相保证食品质量符合国家关产品质理标准，符合国家各级强制性规范要求。</w:t>
      </w:r>
      <w:r>
        <w:rPr>
          <w:rFonts w:hint="eastAsia" w:ascii="宋体" w:hAnsi="宋体" w:eastAsia="宋体" w:cs="宋体"/>
          <w:color w:val="000000"/>
          <w:sz w:val="24"/>
          <w:szCs w:val="24"/>
          <w:highlight w:val="none"/>
          <w:lang w:val="en-US" w:eastAsia="zh-CN"/>
        </w:rPr>
        <w:t xml:space="preserve">如中标后</w:t>
      </w:r>
      <w:r>
        <w:rPr>
          <w:rFonts w:ascii="宋体" w:hAnsi="宋体" w:eastAsia="宋体" w:cs="宋体"/>
          <w:color w:val="000000"/>
          <w:sz w:val="24"/>
          <w:szCs w:val="24"/>
          <w:highlight w:val="none"/>
        </w:rPr>
        <w:t xml:space="preserve">出现因食品质量导致食物中毒的事故发生，中标人承担一切法律责任，并取消其供货资格。</w:t>
      </w:r>
      <w:r>
        <w:rPr>
          <w:sz w:val="24"/>
          <w:szCs w:val="24"/>
          <w:highlight w:val="none"/>
        </w:rPr>
      </w:r>
      <w:r/>
    </w:p>
    <w:p>
      <w:pPr>
        <w:pStyle w:val="802"/>
        <w:ind w:firstLine="420"/>
        <w:pageBreakBefore w:val="0"/>
        <w:spacing w:line="360" w:lineRule="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p>
      <w:pPr>
        <w:pStyle w:val="802"/>
        <w:ind w:firstLine="480"/>
        <w:pageBreakBefore w:val="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ascii="宋体" w:hAnsi="宋体" w:eastAsia="宋体" w:cs="宋体"/>
          <w:sz w:val="24"/>
          <w:szCs w:val="24"/>
          <w:lang w:eastAsia="zh-CN"/>
        </w:rPr>
      </w:r>
      <w:r/>
    </w:p>
    <w:p>
      <w:pPr>
        <w:pStyle w:val="802"/>
        <w:ind w:firstLine="482"/>
        <w:pageBreakBefore w:val="0"/>
        <w:spacing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注：本表为基本格式，各投标人应认真填写，如投标人认为该承诺函不满足招标文件中的承诺要求，应自行另制作一份承诺函增补。</w:t>
      </w:r>
      <w:r>
        <w:rPr>
          <w:rFonts w:ascii="宋体" w:hAnsi="宋体" w:eastAsia="宋体" w:cs="宋体"/>
          <w:b/>
          <w:bCs/>
          <w:sz w:val="24"/>
          <w:szCs w:val="24"/>
          <w:lang w:eastAsia="zh-CN"/>
        </w:rPr>
      </w:r>
      <w:r/>
    </w:p>
    <w:p>
      <w:pPr>
        <w:pStyle w:val="802"/>
        <w:ind w:firstLine="480"/>
        <w:jc w:val="center"/>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02"/>
        <w:ind w:firstLine="480"/>
        <w:jc w:val="center"/>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02"/>
        <w:ind w:firstLine="480"/>
        <w:jc w:val="right"/>
        <w:pageBreakBefore w:val="0"/>
        <w:spacing w:line="360" w:lineRule="auto"/>
        <w:widowControl w:val="off"/>
        <w:rPr>
          <w:rFonts w:ascii="宋体" w:hAnsi="宋体" w:eastAsia="宋体" w:cs="宋体"/>
          <w:sz w:val="24"/>
          <w:szCs w:val="24"/>
          <w:lang w:eastAsia="zh-CN"/>
        </w:rPr>
      </w:pPr>
      <w:r>
        <w:rPr>
          <w:rFonts w:hint="eastAsia" w:ascii="宋体" w:hAnsi="宋体" w:eastAsia="宋体" w:cs="宋体"/>
          <w:color w:val="000000"/>
          <w:sz w:val="24"/>
        </w:rPr>
        <w:t xml:space="preserve">单位名称（盖章）：</w:t>
      </w:r>
      <w:r>
        <w:rPr>
          <w:rFonts w:hint="eastAsia" w:ascii="宋体" w:hAnsi="宋体" w:eastAsia="宋体" w:cs="宋体"/>
          <w:sz w:val="24"/>
          <w:szCs w:val="24"/>
          <w:lang w:eastAsia="zh-CN"/>
        </w:rPr>
        <w:t xml:space="preserve"> </w:t>
      </w:r>
      <w:r>
        <w:rPr>
          <w:rFonts w:ascii="宋体" w:hAnsi="宋体" w:eastAsia="宋体" w:cs="宋体"/>
          <w:sz w:val="24"/>
          <w:szCs w:val="24"/>
          <w:lang w:eastAsia="zh-CN"/>
        </w:rPr>
      </w:r>
      <w:r/>
    </w:p>
    <w:p>
      <w:pPr>
        <w:pStyle w:val="802"/>
        <w:ind w:firstLine="480"/>
        <w:jc w:val="righ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年 月 日</w:t>
      </w:r>
      <w:r>
        <w:rPr>
          <w:rFonts w:hint="eastAsia" w:ascii="宋体" w:hAnsi="宋体" w:eastAsia="宋体" w:cs="宋体"/>
          <w:sz w:val="24"/>
          <w:szCs w:val="24"/>
          <w:lang w:eastAsia="zh-CN"/>
        </w:rPr>
      </w:r>
      <w:r/>
    </w:p>
    <w:p>
      <w:pPr>
        <w:pStyle w:val="802"/>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bookmarkStart w:id="85" w:name="_Toc16577"/>
      <w:r/>
      <w:bookmarkStart w:id="86" w:name="_Toc3377"/>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）开标一览表：</w:t>
      </w:r>
      <w:bookmarkEnd w:id="85"/>
      <w:r/>
      <w:bookmarkEnd w:id="86"/>
      <w:r>
        <w:rPr>
          <w:rFonts w:hint="eastAsia" w:ascii="宋体" w:hAnsi="宋体" w:cs="宋体"/>
          <w:b/>
          <w:color w:val="000000"/>
          <w:sz w:val="24"/>
          <w:szCs w:val="24"/>
          <w:highlight w:val="none"/>
        </w:rPr>
      </w:r>
      <w:r/>
    </w:p>
    <w:p>
      <w:pPr>
        <w:pStyle w:val="802"/>
        <w:jc w:val="center"/>
        <w:pageBreakBefore w:val="0"/>
        <w:spacing w:line="360" w:lineRule="auto"/>
        <w:rPr>
          <w:rFonts w:ascii="方正小标宋简体" w:hAnsi="方正小标宋简体" w:eastAsia="方正小标宋简体" w:cs="方正小标宋简体"/>
          <w:color w:val="000000"/>
          <w:sz w:val="32"/>
          <w:szCs w:val="32"/>
        </w:rPr>
        <w:outlineLvl w:val="0"/>
      </w:pPr>
      <w:r/>
      <w:bookmarkStart w:id="87" w:name="_Toc28531"/>
      <w:r/>
      <w:bookmarkStart w:id="88" w:name="_Toc32272"/>
      <w:r/>
      <w:bookmarkStart w:id="89" w:name="_Toc17951"/>
      <w:r/>
      <w:bookmarkStart w:id="90" w:name="_Toc7719"/>
      <w:r>
        <w:rPr>
          <w:rFonts w:hint="eastAsia" w:ascii="方正小标宋简体" w:hAnsi="方正小标宋简体" w:eastAsia="方正小标宋简体" w:cs="方正小标宋简体"/>
          <w:color w:val="000000"/>
          <w:sz w:val="32"/>
          <w:szCs w:val="32"/>
        </w:rPr>
        <w:t xml:space="preserve">开标一览表</w:t>
      </w:r>
      <w:bookmarkEnd w:id="87"/>
      <w:r/>
      <w:bookmarkEnd w:id="88"/>
      <w:r/>
      <w:bookmarkEnd w:id="89"/>
      <w:r/>
      <w:bookmarkEnd w:id="90"/>
      <w:r>
        <w:rPr>
          <w:rFonts w:ascii="方正小标宋简体" w:hAnsi="方正小标宋简体" w:eastAsia="方正小标宋简体" w:cs="方正小标宋简体"/>
          <w:color w:val="000000"/>
          <w:sz w:val="32"/>
          <w:szCs w:val="32"/>
        </w:rPr>
      </w:r>
      <w:r/>
    </w:p>
    <w:p>
      <w:pPr>
        <w:pStyle w:val="802"/>
        <w:pageBreakBefore w:val="0"/>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rPr>
          <w:rFonts w:ascii="宋体" w:hAnsi="宋体"/>
          <w:color w:val="000000"/>
          <w:sz w:val="24"/>
          <w:szCs w:val="24"/>
        </w:rPr>
      </w:r>
      <w:r/>
    </w:p>
    <w:p>
      <w:pPr>
        <w:pStyle w:val="802"/>
        <w:pageBreakBefore w:val="0"/>
        <w:spacing w:line="36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02"/>
        <w:pageBreakBefore w:val="0"/>
        <w:spacing w:line="360" w:lineRule="auto"/>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Style w:val="85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3846"/>
        <w:gridCol w:w="2955"/>
        <w:gridCol w:w="1620"/>
      </w:tblGrid>
      <w:tr>
        <w:trPr>
          <w:trHeight w:val="567"/>
        </w:trPr>
        <w:tc>
          <w:tcPr>
            <w:shd w:val="clear" w:color="ffffff" w:fill="ffffff"/>
            <w:tcMar>
              <w:left w:w="108" w:type="dxa"/>
              <w:top w:w="0" w:type="dxa"/>
              <w:right w:w="108" w:type="dxa"/>
              <w:bottom w:w="0" w:type="dxa"/>
            </w:tcMar>
            <w:tcW w:w="758"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shd w:val="clear" w:color="ffffff" w:fill="ffffff"/>
            <w:tcMar>
              <w:left w:w="108" w:type="dxa"/>
              <w:top w:w="0" w:type="dxa"/>
              <w:right w:w="108" w:type="dxa"/>
              <w:bottom w:w="0" w:type="dxa"/>
            </w:tcMar>
            <w:tcW w:w="3846"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p>
        </w:tc>
        <w:tc>
          <w:tcPr>
            <w:shd w:val="clear" w:color="ffffff" w:fill="ffffff"/>
            <w:tcMar>
              <w:left w:w="108" w:type="dxa"/>
              <w:top w:w="0" w:type="dxa"/>
              <w:right w:w="108" w:type="dxa"/>
              <w:bottom w:w="0" w:type="dxa"/>
            </w:tcMar>
            <w:tcW w:w="2955"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折扣率（单位：%）</w:t>
            </w:r>
            <w:r/>
          </w:p>
        </w:tc>
        <w:tc>
          <w:tcPr>
            <w:shd w:val="clear" w:color="ffffff" w:fill="ffffff"/>
            <w:tcMar>
              <w:left w:w="108" w:type="dxa"/>
              <w:top w:w="0" w:type="dxa"/>
              <w:right w:w="108" w:type="dxa"/>
              <w:bottom w:w="0" w:type="dxa"/>
            </w:tcMar>
            <w:tcW w:w="1620"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备注</w:t>
            </w:r>
            <w:r/>
          </w:p>
        </w:tc>
      </w:tr>
      <w:tr>
        <w:trPr>
          <w:trHeight w:val="567"/>
        </w:trPr>
        <w:tc>
          <w:tcPr>
            <w:shd w:val="clear" w:color="ffffff" w:fill="ffffff"/>
            <w:tcMar>
              <w:left w:w="108" w:type="dxa"/>
              <w:top w:w="0" w:type="dxa"/>
              <w:right w:w="108" w:type="dxa"/>
              <w:bottom w:w="0" w:type="dxa"/>
            </w:tcMar>
            <w:tcW w:w="758"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shd w:val="clear" w:color="ffffff" w:fill="ffffff"/>
            <w:tcMar>
              <w:left w:w="108" w:type="dxa"/>
              <w:top w:w="0" w:type="dxa"/>
              <w:right w:w="108" w:type="dxa"/>
              <w:bottom w:w="0" w:type="dxa"/>
            </w:tcMar>
            <w:tcW w:w="3846"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南京市公安局经侦支队食材采购项目</w:t>
            </w:r>
            <w:r/>
          </w:p>
        </w:tc>
        <w:tc>
          <w:tcPr>
            <w:shd w:val="clear" w:color="ffffff" w:fill="ffffff"/>
            <w:tcMar>
              <w:left w:w="108" w:type="dxa"/>
              <w:top w:w="0" w:type="dxa"/>
              <w:right w:w="108" w:type="dxa"/>
              <w:bottom w:w="0" w:type="dxa"/>
            </w:tcMar>
            <w:tcW w:w="2955"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shd w:val="clear" w:color="ffffff" w:fill="ffffff"/>
            <w:tcMar>
              <w:left w:w="108" w:type="dxa"/>
              <w:top w:w="0" w:type="dxa"/>
              <w:right w:w="108" w:type="dxa"/>
              <w:bottom w:w="0" w:type="dxa"/>
            </w:tcMar>
            <w:tcW w:w="1620"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shd w:val="clear" w:color="ffffff" w:fill="ffffff"/>
            <w:tcMar>
              <w:left w:w="108" w:type="dxa"/>
              <w:top w:w="0" w:type="dxa"/>
              <w:right w:w="108" w:type="dxa"/>
              <w:bottom w:w="0" w:type="dxa"/>
            </w:tcMar>
            <w:tcW w:w="758"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shd w:val="clear" w:color="ffffff" w:fill="ffffff"/>
            <w:tcMar>
              <w:left w:w="108" w:type="dxa"/>
              <w:top w:w="0" w:type="dxa"/>
              <w:right w:w="108" w:type="dxa"/>
              <w:bottom w:w="0" w:type="dxa"/>
            </w:tcMar>
            <w:tcW w:w="3846"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shd w:val="clear" w:color="ffffff" w:fill="ffffff"/>
            <w:tcMar>
              <w:left w:w="108" w:type="dxa"/>
              <w:top w:w="0" w:type="dxa"/>
              <w:right w:w="108" w:type="dxa"/>
              <w:bottom w:w="0" w:type="dxa"/>
            </w:tcMar>
            <w:tcW w:w="2955"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shd w:val="clear" w:color="ffffff" w:fill="ffffff"/>
            <w:tcMar>
              <w:left w:w="108" w:type="dxa"/>
              <w:top w:w="0" w:type="dxa"/>
              <w:right w:w="108" w:type="dxa"/>
              <w:bottom w:w="0" w:type="dxa"/>
            </w:tcMar>
            <w:tcW w:w="1620"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gridSpan w:val="2"/>
            <w:shd w:val="clear" w:color="ffffff" w:fill="ffffff"/>
            <w:tcMar>
              <w:left w:w="108" w:type="dxa"/>
              <w:top w:w="0" w:type="dxa"/>
              <w:right w:w="108" w:type="dxa"/>
              <w:bottom w:w="0" w:type="dxa"/>
            </w:tcMar>
            <w:tcW w:w="4604"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折扣率（单位：%）</w:t>
            </w:r>
            <w:r/>
          </w:p>
        </w:tc>
        <w:tc>
          <w:tcPr>
            <w:gridSpan w:val="2"/>
            <w:shd w:val="clear" w:color="ffffff" w:fill="ffffff"/>
            <w:tcMar>
              <w:left w:w="108" w:type="dxa"/>
              <w:top w:w="0" w:type="dxa"/>
              <w:right w:w="108" w:type="dxa"/>
              <w:bottom w:w="0" w:type="dxa"/>
            </w:tcMar>
            <w:tcW w:w="4575" w:type="dxa"/>
            <w:vAlign w:val="center"/>
            <w:textDirection w:val="lrTb"/>
            <w:noWrap w:val="false"/>
          </w:tcPr>
          <w:p>
            <w:pPr>
              <w:pStyle w:val="802"/>
              <w:ind w:left="0" w:right="0" w:firstLine="25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r>
      <w:tr>
        <w:trPr>
          <w:trHeight w:val="567"/>
        </w:trPr>
        <w:tc>
          <w:tcPr>
            <w:gridSpan w:val="2"/>
            <w:shd w:val="clear" w:color="ffffff" w:fill="ffffff"/>
            <w:tcMar>
              <w:left w:w="108" w:type="dxa"/>
              <w:top w:w="0" w:type="dxa"/>
              <w:right w:w="108" w:type="dxa"/>
              <w:bottom w:w="0" w:type="dxa"/>
            </w:tcMar>
            <w:tcW w:w="4604"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供应商是否属于小微型企业</w:t>
            </w:r>
            <w:r/>
          </w:p>
        </w:tc>
        <w:tc>
          <w:tcPr>
            <w:gridSpan w:val="2"/>
            <w:shd w:val="clear" w:color="ffffff" w:fill="ffffff"/>
            <w:tcMar>
              <w:left w:w="108" w:type="dxa"/>
              <w:top w:w="0" w:type="dxa"/>
              <w:right w:w="108" w:type="dxa"/>
              <w:bottom w:w="0" w:type="dxa"/>
            </w:tcMar>
            <w:tcW w:w="4575" w:type="dxa"/>
            <w:vAlign w:val="center"/>
            <w:textDirection w:val="lrTb"/>
            <w:noWrap w:val="false"/>
          </w:tcPr>
          <w:p>
            <w:pPr>
              <w:pStyle w:val="802"/>
              <w:ind w:left="0" w:right="0" w:firstLine="0"/>
              <w:jc w:val="center"/>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是       否</w:t>
            </w:r>
            <w:r/>
          </w:p>
        </w:tc>
      </w:tr>
    </w:tbl>
    <w:p>
      <w:pPr>
        <w:pStyle w:val="802"/>
        <w:pageBreakBefore w:val="0"/>
        <w:spacing w:line="360" w:lineRule="auto"/>
        <w:rPr>
          <w:rFonts w:ascii="宋体" w:hAnsi="宋体"/>
          <w:color w:val="000000"/>
          <w:sz w:val="24"/>
          <w:szCs w:val="24"/>
        </w:rPr>
      </w:pPr>
      <w:r>
        <w:rPr>
          <w:rFonts w:ascii="宋体" w:hAnsi="宋体"/>
          <w:color w:val="000000"/>
          <w:sz w:val="24"/>
          <w:szCs w:val="24"/>
        </w:rPr>
      </w:r>
      <w:r/>
    </w:p>
    <w:p>
      <w:pPr>
        <w:pStyle w:val="802"/>
        <w:ind w:firstLine="480"/>
        <w:pageBreakBefore w:val="0"/>
        <w:spacing w:line="360" w:lineRule="auto"/>
        <w:rPr>
          <w:rFonts w:ascii="宋体" w:hAnsi="宋体"/>
          <w:color w:val="000000"/>
          <w:sz w:val="24"/>
          <w:szCs w:val="24"/>
        </w:rPr>
      </w:pPr>
      <w:r>
        <w:rPr>
          <w:rFonts w:hint="eastAsia" w:ascii="宋体" w:hAnsi="宋体"/>
          <w:color w:val="000000"/>
          <w:sz w:val="24"/>
          <w:szCs w:val="24"/>
        </w:rPr>
        <w:t xml:space="preserve">                                              日  期：</w:t>
      </w:r>
      <w:r>
        <w:rPr>
          <w:rFonts w:ascii="宋体" w:hAnsi="宋体"/>
          <w:color w:val="000000"/>
          <w:sz w:val="24"/>
          <w:szCs w:val="24"/>
        </w:rPr>
      </w:r>
      <w:r/>
    </w:p>
    <w:p>
      <w:pPr>
        <w:pStyle w:val="802"/>
        <w:ind w:firstLine="482"/>
        <w:pageBreakBefore w:val="0"/>
        <w:spacing w:line="360" w:lineRule="auto"/>
        <w:rPr>
          <w:rFonts w:ascii="宋体" w:hAnsi="宋体"/>
          <w:b/>
          <w:bCs/>
          <w:color w:val="000000"/>
          <w:sz w:val="24"/>
          <w:szCs w:val="24"/>
        </w:rPr>
      </w:pPr>
      <w:r>
        <w:rPr>
          <w:rFonts w:hint="eastAsia" w:ascii="宋体" w:hAnsi="宋体"/>
          <w:b/>
          <w:bCs/>
          <w:color w:val="000000"/>
          <w:sz w:val="24"/>
          <w:szCs w:val="24"/>
        </w:rPr>
        <w:t xml:space="preserve">备注：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b/>
          <w:bCs/>
          <w:color w:val="000000"/>
          <w:sz w:val="24"/>
          <w:szCs w:val="24"/>
        </w:rPr>
      </w:r>
      <w:r/>
    </w:p>
    <w:p>
      <w:pPr>
        <w:pStyle w:val="831"/>
        <w:ind w:left="1260"/>
        <w:rPr>
          <w:color w:val="000000"/>
          <w:highlight w:val="none"/>
        </w:rPr>
      </w:pPr>
      <w:r>
        <w:rPr>
          <w:color w:val="000000"/>
          <w:highlight w:val="none"/>
        </w:rPr>
      </w:r>
      <w:r/>
    </w:p>
    <w:p>
      <w:pPr>
        <w:pStyle w:val="802"/>
        <w:rPr>
          <w:color w:val="000000"/>
          <w:highlight w:val="none"/>
        </w:rPr>
      </w:pPr>
      <w:r>
        <w:rPr>
          <w:color w:val="000000"/>
          <w:highlight w:val="none"/>
        </w:rPr>
      </w:r>
      <w:r/>
    </w:p>
    <w:p>
      <w:pPr>
        <w:pStyle w:val="831"/>
        <w:ind w:left="1260"/>
        <w:rPr>
          <w:color w:val="000000"/>
          <w:highlight w:val="none"/>
        </w:rPr>
      </w:pPr>
      <w:r>
        <w:rPr>
          <w:color w:val="000000"/>
          <w:highlight w:val="none"/>
        </w:rPr>
      </w:r>
      <w:r/>
    </w:p>
    <w:p>
      <w:pPr>
        <w:pStyle w:val="802"/>
        <w:rPr>
          <w:color w:val="000000"/>
          <w:highlight w:val="none"/>
        </w:rPr>
      </w:pPr>
      <w:r>
        <w:rPr>
          <w:color w:val="000000"/>
          <w:highlight w:val="none"/>
        </w:rPr>
      </w:r>
      <w:r/>
    </w:p>
    <w:p>
      <w:pPr>
        <w:pStyle w:val="831"/>
        <w:ind w:left="1260"/>
        <w:rPr>
          <w:color w:val="000000"/>
          <w:highlight w:val="none"/>
        </w:rPr>
      </w:pPr>
      <w:r>
        <w:rPr>
          <w:color w:val="000000"/>
          <w:highlight w:val="none"/>
        </w:rPr>
      </w:r>
      <w:r/>
    </w:p>
    <w:p>
      <w:pPr>
        <w:pStyle w:val="802"/>
        <w:spacing w:line="360" w:lineRule="auto"/>
        <w:rPr>
          <w:bCs/>
          <w:color w:val="000000"/>
          <w:sz w:val="24"/>
          <w:szCs w:val="24"/>
          <w:highlight w:val="none"/>
        </w:rPr>
      </w:pPr>
      <w:r>
        <w:rPr>
          <w:rFonts w:eastAsia="黑体"/>
          <w:bCs/>
          <w:color w:val="000000"/>
          <w:sz w:val="24"/>
          <w:szCs w:val="24"/>
          <w:highlight w:val="none"/>
        </w:rPr>
        <w:br w:type="page" w:clear="all"/>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八</w:t>
      </w:r>
      <w:r>
        <w:rPr>
          <w:rFonts w:hint="eastAsia" w:ascii="宋体" w:hAnsi="宋体" w:cs="宋体"/>
          <w:b/>
          <w:color w:val="000000"/>
          <w:sz w:val="24"/>
          <w:szCs w:val="24"/>
          <w:highlight w:val="none"/>
        </w:rPr>
        <w:t xml:space="preserve">）细目报价表 (格式)：</w:t>
      </w:r>
      <w:r>
        <w:rPr>
          <w:bCs/>
          <w:color w:val="000000"/>
          <w:sz w:val="24"/>
          <w:szCs w:val="24"/>
          <w:highlight w:val="none"/>
        </w:rPr>
      </w:r>
      <w:r/>
    </w:p>
    <w:p>
      <w:pPr>
        <w:pStyle w:val="802"/>
        <w:jc w:val="center"/>
        <w:spacing w:line="360" w:lineRule="auto"/>
        <w:rPr>
          <w:rFonts w:hint="eastAsia" w:ascii="宋体" w:hAnsi="宋体" w:eastAsia="宋体" w:cs="宋体"/>
          <w:b/>
          <w:color w:val="000000"/>
          <w:sz w:val="36"/>
          <w:szCs w:val="28"/>
          <w:highlight w:val="none"/>
          <w:lang w:eastAsia="zh-CN"/>
        </w:rPr>
      </w:pPr>
      <w:r>
        <w:rPr>
          <w:rFonts w:hint="eastAsia" w:ascii="宋体" w:hAnsi="宋体" w:cs="宋体"/>
          <w:b/>
          <w:color w:val="000000"/>
          <w:sz w:val="36"/>
          <w:szCs w:val="28"/>
          <w:highlight w:val="none"/>
        </w:rPr>
        <w:t xml:space="preserve">细目报价表</w:t>
      </w:r>
      <w:r>
        <w:rPr>
          <w:rFonts w:hint="eastAsia" w:ascii="宋体" w:hAnsi="宋体" w:cs="宋体"/>
          <w:b/>
          <w:color w:val="000000"/>
          <w:sz w:val="36"/>
          <w:szCs w:val="28"/>
          <w:highlight w:val="none"/>
          <w:lang w:eastAsia="zh-CN"/>
        </w:rPr>
        <w:t xml:space="preserve">（格式自拟）</w:t>
      </w:r>
      <w:r>
        <w:rPr>
          <w:rFonts w:hint="eastAsia" w:ascii="宋体" w:hAnsi="宋体" w:eastAsia="宋体" w:cs="宋体"/>
          <w:b/>
          <w:color w:val="000000"/>
          <w:sz w:val="36"/>
          <w:szCs w:val="28"/>
          <w:highlight w:val="none"/>
          <w:lang w:eastAsia="zh-CN"/>
        </w:rPr>
      </w:r>
      <w:r/>
    </w:p>
    <w:p>
      <w:pPr>
        <w:pStyle w:val="80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投标人名称（盖章）                              招标编号：</w:t>
      </w:r>
      <w:r>
        <w:rPr>
          <w:rFonts w:hint="eastAsia" w:ascii="宋体" w:hAnsi="宋体" w:cs="宋体"/>
          <w:color w:val="000000"/>
          <w:szCs w:val="21"/>
          <w:highlight w:val="none"/>
        </w:rPr>
      </w:r>
      <w:r/>
    </w:p>
    <w:p>
      <w:pPr>
        <w:pStyle w:val="80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采购包：</w:t>
      </w:r>
      <w:r>
        <w:rPr>
          <w:rFonts w:hint="eastAsia" w:ascii="宋体" w:hAnsi="宋体" w:cs="宋体"/>
          <w:color w:val="000000"/>
          <w:szCs w:val="21"/>
          <w:highlight w:val="none"/>
        </w:rPr>
      </w:r>
      <w:r/>
    </w:p>
    <w:tbl>
      <w:tblPr>
        <w:tblW w:w="98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02"/>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0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0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0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0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0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02"/>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02"/>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02"/>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02"/>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02"/>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02"/>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0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0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02"/>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31"/>
        <w:ind w:left="0" w:firstLine="0"/>
        <w:keepLines w:val="0"/>
        <w:keepNext w:val="0"/>
        <w:pageBreakBefore w:val="0"/>
        <w:spacing w:line="360" w:lineRule="auto"/>
        <w:widowControl w:val="off"/>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r>
      <w:r/>
    </w:p>
    <w:p>
      <w:pPr>
        <w:pStyle w:val="802"/>
        <w:ind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投标人</w:t>
      </w:r>
      <w:r>
        <w:rPr>
          <w:rFonts w:hint="eastAsia" w:ascii="Times New Roman" w:hAnsi="Times New Roman" w:eastAsia="宋体" w:cs="Times New Roman"/>
          <w:color w:val="000000"/>
          <w:highlight w:val="none"/>
          <w:lang w:eastAsia="zh-CN"/>
        </w:rPr>
        <w:t xml:space="preserve">名</w:t>
      </w:r>
      <w:r>
        <w:rPr>
          <w:rFonts w:hint="eastAsia" w:ascii="Times New Roman" w:hAnsi="Times New Roman" w:eastAsia="宋体" w:cs="Times New Roman"/>
          <w:color w:val="000000"/>
          <w:highlight w:val="none"/>
        </w:rPr>
        <w:t xml:space="preserve">称：（加盖电子</w:t>
      </w:r>
      <w:r>
        <w:rPr>
          <w:rFonts w:hint="eastAsia" w:ascii="Times New Roman" w:hAnsi="Times New Roman" w:eastAsia="宋体" w:cs="Times New Roman"/>
          <w:color w:val="000000"/>
          <w:highlight w:val="none"/>
          <w:lang w:val="en-US" w:eastAsia="zh-CN"/>
        </w:rPr>
        <w:t xml:space="preserve">公</w:t>
      </w:r>
      <w:r>
        <w:rPr>
          <w:rFonts w:hint="eastAsia" w:ascii="Times New Roman" w:hAnsi="Times New Roman" w:eastAsia="宋体" w:cs="Times New Roman"/>
          <w:color w:val="000000"/>
          <w:highlight w:val="none"/>
        </w:rPr>
        <w:t xml:space="preserve">章）</w:t>
      </w:r>
      <w:r>
        <w:rPr>
          <w:rFonts w:hint="eastAsia" w:ascii="Times New Roman" w:hAnsi="Times New Roman" w:eastAsia="宋体" w:cs="Times New Roman"/>
          <w:color w:val="000000"/>
          <w:highlight w:val="none"/>
        </w:rPr>
      </w:r>
      <w:r/>
    </w:p>
    <w:p>
      <w:pPr>
        <w:pStyle w:val="802"/>
        <w:ind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802"/>
        <w:ind w:firstLine="420"/>
        <w:keepLines w:val="0"/>
        <w:keepNext w:val="0"/>
        <w:pageBreakBefore w:val="0"/>
        <w:spacing w:line="360"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备注： </w:t>
      </w:r>
      <w:r>
        <w:rPr>
          <w:rFonts w:hint="eastAsia" w:ascii="Times New Roman" w:hAnsi="Times New Roman" w:eastAsia="宋体" w:cs="Times New Roman"/>
          <w:color w:val="000000"/>
          <w:highlight w:val="none"/>
          <w:lang w:val="en-US" w:eastAsia="zh-CN"/>
        </w:rPr>
      </w:r>
      <w:r/>
    </w:p>
    <w:p>
      <w:pPr>
        <w:pStyle w:val="802"/>
        <w:ind w:firstLine="420"/>
        <w:keepLines w:val="0"/>
        <w:keepNext w:val="0"/>
        <w:pageBreakBefore w:val="0"/>
        <w:spacing w:line="360"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1.“投标总报价”应包括为完成整个项目所产生的所有费用，招标文件另有规定的除外。</w:t>
      </w:r>
      <w:r>
        <w:rPr>
          <w:rFonts w:hint="eastAsia" w:ascii="Times New Roman" w:hAnsi="Times New Roman" w:eastAsia="宋体" w:cs="Times New Roman"/>
          <w:color w:val="000000"/>
          <w:highlight w:val="none"/>
          <w:lang w:val="en-US" w:eastAsia="zh-CN"/>
        </w:rPr>
      </w:r>
      <w:r/>
    </w:p>
    <w:p>
      <w:pPr>
        <w:pStyle w:val="802"/>
        <w:ind w:firstLine="420"/>
        <w:keepLines w:val="0"/>
        <w:keepNext w:val="0"/>
        <w:pageBreakBefore w:val="0"/>
        <w:spacing w:line="360"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2.《投标分项报价表》中“投标总价”应当与《开标一览表》中“投标总报价”一致。</w:t>
      </w:r>
      <w:r>
        <w:rPr>
          <w:rFonts w:hint="eastAsia" w:ascii="Times New Roman" w:hAnsi="Times New Roman" w:eastAsia="宋体" w:cs="Times New Roman"/>
          <w:color w:val="000000"/>
          <w:highlight w:val="none"/>
          <w:lang w:val="en-US" w:eastAsia="zh-CN"/>
        </w:rPr>
      </w:r>
      <w:r/>
    </w:p>
    <w:p>
      <w:pPr>
        <w:pStyle w:val="802"/>
        <w:ind w:firstLine="420"/>
        <w:keepLines w:val="0"/>
        <w:keepNext w:val="0"/>
        <w:pageBreakBefore w:val="0"/>
        <w:spacing w:line="360"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3.行数不够，可自行添加。</w:t>
      </w:r>
      <w:r>
        <w:rPr>
          <w:rFonts w:hint="eastAsia" w:ascii="Times New Roman" w:hAnsi="Times New Roman" w:eastAsia="宋体" w:cs="Times New Roman"/>
          <w:color w:val="000000"/>
          <w:highlight w:val="none"/>
          <w:lang w:val="en-US" w:eastAsia="zh-CN"/>
        </w:rPr>
      </w:r>
      <w:r/>
    </w:p>
    <w:p>
      <w:pPr>
        <w:pStyle w:val="884"/>
        <w:ind w:firstLine="0"/>
        <w:rPr>
          <w:rFonts w:hint="eastAsia" w:eastAsia="黑体"/>
          <w:bCs/>
          <w:color w:val="000000"/>
          <w:sz w:val="24"/>
          <w:szCs w:val="24"/>
          <w:highlight w:val="none"/>
        </w:rPr>
      </w:pPr>
      <w:r>
        <w:rPr>
          <w:rFonts w:hint="eastAsia" w:eastAsia="黑体"/>
          <w:bCs/>
          <w:color w:val="000000"/>
          <w:sz w:val="24"/>
          <w:szCs w:val="24"/>
          <w:highlight w:val="none"/>
        </w:rPr>
        <w:br w:type="page" w:clear="all"/>
      </w:r>
      <w:r>
        <w:rPr>
          <w:rFonts w:hint="eastAsia" w:eastAsia="黑体"/>
          <w:bCs/>
          <w:color w:val="000000"/>
          <w:sz w:val="24"/>
          <w:szCs w:val="24"/>
          <w:highlight w:val="none"/>
        </w:rPr>
      </w:r>
      <w:r/>
    </w:p>
    <w:p>
      <w:pPr>
        <w:pStyle w:val="884"/>
        <w:ind w:firstLine="0"/>
        <w:rPr>
          <w:rFonts w:eastAsia="黑体"/>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）采购需求响应偏离表（格式）：</w:t>
      </w:r>
      <w:r>
        <w:rPr>
          <w:rFonts w:eastAsia="黑体"/>
          <w:bCs/>
          <w:color w:val="000000"/>
          <w:sz w:val="24"/>
          <w:szCs w:val="24"/>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采购需求响应偏离表</w:t>
      </w:r>
      <w:r>
        <w:rPr>
          <w:rFonts w:hint="eastAsia" w:ascii="宋体" w:hAnsi="宋体" w:cs="宋体"/>
          <w:b/>
          <w:color w:val="000000"/>
          <w:sz w:val="36"/>
          <w:szCs w:val="28"/>
          <w:highlight w:val="none"/>
        </w:rPr>
      </w:r>
      <w:r/>
    </w:p>
    <w:p>
      <w:pPr>
        <w:pStyle w:val="802"/>
        <w:spacing w:line="400" w:lineRule="exact"/>
        <w:rPr>
          <w:rFonts w:hint="eastAsia" w:ascii="宋体" w:hAnsi="宋体"/>
          <w:bCs/>
          <w:color w:val="000000"/>
          <w:sz w:val="24"/>
          <w:highlight w:val="none"/>
        </w:rPr>
        <w:outlineLvl w:val="0"/>
      </w:pPr>
      <w:r>
        <w:rPr>
          <w:rFonts w:hint="eastAsia" w:ascii="宋体" w:hAnsi="宋体"/>
          <w:bCs/>
          <w:color w:val="000000"/>
          <w:sz w:val="24"/>
          <w:highlight w:val="none"/>
        </w:rPr>
      </w:r>
      <w:r/>
    </w:p>
    <w:p>
      <w:pPr>
        <w:pStyle w:val="80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招标编号：</w:t>
      </w:r>
      <w:r>
        <w:rPr>
          <w:rFonts w:hint="eastAsia" w:ascii="宋体" w:hAnsi="宋体"/>
          <w:bCs/>
          <w:color w:val="000000"/>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802"/>
              <w:jc w:val="left"/>
              <w:spacing w:line="360" w:lineRule="auto"/>
              <w:rPr>
                <w:rFonts w:hint="eastAsia" w:ascii="宋体" w:hAnsi="宋体" w:eastAsia="宋体" w:cs="Times New Roman"/>
                <w:bCs/>
                <w:szCs w:val="21"/>
                <w:highlight w:val="none"/>
              </w:rPr>
              <w:framePr w:vAnchor="margin" w:hAnchor="page" w:xAlign="center" w:y="1"/>
              <w:outlineLvl w:val="0"/>
            </w:pPr>
            <w:r/>
            <w:bookmarkStart w:id="91" w:name="_Toc11151"/>
            <w:r/>
            <w:bookmarkStart w:id="92" w:name="_Toc17955"/>
            <w:r>
              <w:rPr>
                <w:rFonts w:hint="eastAsia" w:ascii="宋体" w:hAnsi="宋体" w:eastAsia="宋体" w:cs="Times New Roman"/>
                <w:bCs/>
                <w:szCs w:val="21"/>
                <w:highlight w:val="none"/>
              </w:rPr>
              <w:t xml:space="preserve">序号</w:t>
            </w:r>
            <w:bookmarkEnd w:id="91"/>
            <w:r/>
            <w:bookmarkEnd w:id="92"/>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bookmarkStart w:id="93" w:name="_Toc25747"/>
            <w:r/>
            <w:bookmarkStart w:id="94" w:name="_Toc23750"/>
            <w:r>
              <w:rPr>
                <w:rFonts w:hint="eastAsia" w:ascii="宋体" w:hAnsi="宋体" w:eastAsia="宋体" w:cs="Times New Roman"/>
                <w:bCs/>
                <w:szCs w:val="21"/>
                <w:highlight w:val="none"/>
              </w:rPr>
              <w:t xml:space="preserve">招标文件条目号</w:t>
            </w:r>
            <w:bookmarkEnd w:id="93"/>
            <w:r/>
            <w:bookmarkEnd w:id="94"/>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bookmarkStart w:id="95" w:name="_Toc24512"/>
            <w:r/>
            <w:bookmarkStart w:id="96" w:name="_Toc20363"/>
            <w:r>
              <w:rPr>
                <w:rFonts w:hint="eastAsia" w:ascii="宋体" w:hAnsi="宋体"/>
                <w:bCs/>
                <w:szCs w:val="21"/>
                <w:highlight w:val="none"/>
              </w:rPr>
              <w:t xml:space="preserve">招标文件要求</w:t>
            </w:r>
            <w:bookmarkEnd w:id="95"/>
            <w:r/>
            <w:bookmarkEnd w:id="96"/>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bookmarkStart w:id="97" w:name="_Toc5378"/>
            <w:r/>
            <w:bookmarkStart w:id="98" w:name="_Toc27617"/>
            <w:r>
              <w:rPr>
                <w:rFonts w:hint="eastAsia" w:ascii="宋体" w:hAnsi="宋体" w:eastAsia="宋体" w:cs="Times New Roman"/>
                <w:bCs/>
                <w:szCs w:val="21"/>
                <w:highlight w:val="none"/>
              </w:rPr>
              <w:t xml:space="preserve">投标文件响应情况</w:t>
            </w:r>
            <w:bookmarkEnd w:id="97"/>
            <w:r/>
            <w:bookmarkEnd w:id="98"/>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bookmarkStart w:id="99" w:name="_Toc29839"/>
            <w:r/>
            <w:bookmarkStart w:id="100" w:name="_Toc12002"/>
            <w:r>
              <w:rPr>
                <w:rFonts w:hint="eastAsia" w:ascii="宋体" w:hAnsi="宋体" w:eastAsia="宋体" w:cs="Times New Roman"/>
                <w:bCs/>
                <w:szCs w:val="21"/>
                <w:highlight w:val="none"/>
              </w:rPr>
              <w:t xml:space="preserve">偏离/响应</w:t>
            </w:r>
            <w:bookmarkEnd w:id="99"/>
            <w:r/>
            <w:bookmarkEnd w:id="100"/>
            <w:r>
              <w:rPr>
                <w:rFonts w:hint="eastAsia" w:ascii="宋体" w:hAnsi="宋体" w:eastAsia="宋体" w:cs="Times New Roman"/>
                <w:bCs/>
                <w:szCs w:val="21"/>
                <w:highlight w:val="none"/>
              </w:rPr>
            </w:r>
            <w:r/>
          </w:p>
        </w:tc>
      </w:tr>
      <w:tr>
        <w:trPr>
          <w:trHeight w:val="478"/>
        </w:trPr>
        <w:tc>
          <w:tcPr>
            <w:tcW w:w="934" w:type="dxa"/>
            <w:vAlign w:val="center"/>
            <w:textDirection w:val="lrTb"/>
            <w:noWrap w:val="false"/>
          </w:tcPr>
          <w:p>
            <w:pPr>
              <w:pStyle w:val="802"/>
              <w:jc w:val="left"/>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r>
      <w:tr>
        <w:trPr>
          <w:trHeight w:val="478"/>
        </w:trPr>
        <w:tc>
          <w:tcPr>
            <w:tcW w:w="934"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r>
      <w:tr>
        <w:trPr>
          <w:trHeight w:val="478"/>
        </w:trPr>
        <w:tc>
          <w:tcPr>
            <w:tcW w:w="934"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r>
      <w:tr>
        <w:trPr>
          <w:trHeight w:val="478"/>
        </w:trPr>
        <w:tc>
          <w:tcPr>
            <w:tcW w:w="934"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r>
      <w:tr>
        <w:trPr>
          <w:trHeight w:val="478"/>
        </w:trPr>
        <w:tc>
          <w:tcPr>
            <w:tcW w:w="934"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r>
      <w:tr>
        <w:trPr>
          <w:trHeight w:val="478"/>
        </w:trPr>
        <w:tc>
          <w:tcPr>
            <w:tcW w:w="934"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r>
      <w:tr>
        <w:trPr>
          <w:trHeight w:val="495"/>
        </w:trPr>
        <w:tc>
          <w:tcPr>
            <w:tcW w:w="934"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051"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970"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2149"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c>
          <w:tcPr>
            <w:tcW w:w="1335" w:type="dxa"/>
            <w:vAlign w:val="center"/>
            <w:textDirection w:val="lrTb"/>
            <w:noWrap w:val="false"/>
          </w:tcPr>
          <w:p>
            <w:pPr>
              <w:pStyle w:val="802"/>
              <w:jc w:val="center"/>
              <w:spacing w:line="360" w:lineRule="auto"/>
              <w:rPr>
                <w:rFonts w:hint="eastAsia" w:ascii="宋体" w:hAnsi="宋体" w:eastAsia="宋体" w:cs="Times New Roman"/>
                <w:bCs/>
                <w:szCs w:val="21"/>
                <w:highlight w:val="none"/>
              </w:rPr>
              <w:framePr w:vAnchor="margin" w:hAnchor="page" w:xAlign="center" w:y="1"/>
              <w:outlineLvl w:val="0"/>
            </w:pPr>
            <w:r>
              <w:rPr>
                <w:rFonts w:hint="eastAsia" w:ascii="宋体" w:hAnsi="宋体" w:eastAsia="宋体" w:cs="Times New Roman"/>
                <w:bCs/>
                <w:szCs w:val="21"/>
                <w:highlight w:val="none"/>
              </w:rPr>
            </w:r>
            <w:r/>
          </w:p>
        </w:tc>
      </w:tr>
    </w:tbl>
    <w:p>
      <w:pPr>
        <w:pStyle w:val="802"/>
        <w:spacing w:line="360" w:lineRule="auto"/>
        <w:rPr>
          <w:color w:val="000000"/>
          <w:szCs w:val="21"/>
          <w:highlight w:val="none"/>
        </w:rPr>
      </w:pPr>
      <w:r>
        <w:rPr>
          <w:color w:val="000000"/>
          <w:szCs w:val="21"/>
          <w:highlight w:val="none"/>
        </w:rPr>
      </w:r>
      <w:r/>
    </w:p>
    <w:p>
      <w:pPr>
        <w:pStyle w:val="1131"/>
        <w:ind w:firstLine="0"/>
        <w:spacing w:line="360" w:lineRule="auto"/>
        <w:rPr>
          <w:color w:val="000000"/>
          <w:szCs w:val="21"/>
          <w:highlight w:val="none"/>
        </w:rPr>
      </w:pPr>
      <w:r>
        <w:rPr>
          <w:color w:val="000000"/>
          <w:szCs w:val="21"/>
          <w:highlight w:val="none"/>
        </w:rPr>
      </w:r>
      <w:r/>
    </w:p>
    <w:p>
      <w:pPr>
        <w:pStyle w:val="802"/>
        <w:spacing w:line="360" w:lineRule="auto"/>
        <w:rPr>
          <w:rFonts w:ascii="Arial" w:hAnsi="Arial" w:cs="Arial"/>
          <w:color w:val="000000"/>
          <w:szCs w:val="21"/>
          <w:highlight w:val="none"/>
        </w:rPr>
      </w:pPr>
      <w:r>
        <w:rPr>
          <w:rFonts w:ascii="Arial" w:hAnsi="Arial" w:cs="Arial"/>
          <w:color w:val="000000"/>
          <w:szCs w:val="21"/>
          <w:highlight w:val="none"/>
        </w:rPr>
      </w:r>
      <w:r/>
    </w:p>
    <w:p>
      <w:pPr>
        <w:pStyle w:val="802"/>
        <w:spacing w:line="360" w:lineRule="auto"/>
        <w:rPr>
          <w:rFonts w:ascii="Arial" w:hAnsi="Arial" w:cs="Arial"/>
          <w:color w:val="000000"/>
          <w:szCs w:val="21"/>
          <w:highlight w:val="none"/>
        </w:rPr>
      </w:pPr>
      <w:r>
        <w:rPr>
          <w:rFonts w:hint="eastAsia" w:ascii="Arial" w:hAnsi="Arial" w:cs="Arial"/>
          <w:color w:val="000000"/>
          <w:szCs w:val="21"/>
          <w:highlight w:val="none"/>
        </w:rPr>
        <w:t xml:space="preserve">投标人名称（盖章）：</w:t>
      </w:r>
      <w:r>
        <w:rPr>
          <w:rFonts w:ascii="Arial" w:hAnsi="Arial" w:cs="Arial"/>
          <w:color w:val="000000"/>
          <w:szCs w:val="21"/>
          <w:highlight w:val="none"/>
        </w:rPr>
      </w:r>
      <w:r/>
    </w:p>
    <w:p>
      <w:pPr>
        <w:pStyle w:val="802"/>
        <w:spacing w:line="360" w:lineRule="auto"/>
        <w:rPr>
          <w:rFonts w:ascii="Arial" w:hAnsi="Arial" w:cs="Arial"/>
          <w:color w:val="000000"/>
          <w:szCs w:val="21"/>
          <w:highlight w:val="none"/>
        </w:rPr>
      </w:pPr>
      <w:r>
        <w:rPr>
          <w:rFonts w:ascii="Arial" w:hAnsi="Arial" w:cs="Arial"/>
          <w:color w:val="000000"/>
          <w:szCs w:val="21"/>
          <w:highlight w:val="none"/>
        </w:rPr>
      </w:r>
      <w:r/>
    </w:p>
    <w:p>
      <w:pPr>
        <w:pStyle w:val="802"/>
        <w:spacing w:line="360" w:lineRule="auto"/>
        <w:rPr>
          <w:rFonts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rPr>
          <w:rFonts w:ascii="Arial" w:hAnsi="Arial" w:cs="Arial"/>
          <w:color w:val="000000"/>
          <w:szCs w:val="21"/>
          <w:highlight w:val="none"/>
        </w:rPr>
      </w:r>
      <w:r/>
    </w:p>
    <w:p>
      <w:pPr>
        <w:pStyle w:val="802"/>
        <w:spacing w:line="360" w:lineRule="auto"/>
        <w:rPr>
          <w:rFonts w:ascii="Arial" w:hAnsi="Arial" w:cs="Arial"/>
          <w:color w:val="000000"/>
          <w:szCs w:val="21"/>
          <w:highlight w:val="none"/>
        </w:rPr>
      </w:pPr>
      <w:r>
        <w:rPr>
          <w:rFonts w:ascii="Arial" w:hAnsi="Arial" w:cs="Arial"/>
          <w:color w:val="000000"/>
          <w:szCs w:val="21"/>
          <w:highlight w:val="none"/>
        </w:rPr>
      </w:r>
      <w:r/>
    </w:p>
    <w:p>
      <w:pPr>
        <w:pStyle w:val="802"/>
        <w:spacing w:line="360" w:lineRule="auto"/>
        <w:rPr>
          <w:rFonts w:ascii="Arial" w:hAnsi="Arial" w:cs="Arial"/>
          <w:color w:val="000000"/>
          <w:szCs w:val="21"/>
          <w:highlight w:val="none"/>
        </w:rPr>
      </w:pPr>
      <w:r>
        <w:rPr>
          <w:rFonts w:hint="eastAsia" w:ascii="Arial" w:hAnsi="Arial" w:cs="Arial"/>
          <w:color w:val="000000"/>
          <w:szCs w:val="21"/>
          <w:highlight w:val="none"/>
        </w:rPr>
        <w:t xml:space="preserve">日期：</w:t>
      </w:r>
      <w:r>
        <w:rPr>
          <w:rFonts w:ascii="Arial" w:hAnsi="Arial" w:cs="Arial"/>
          <w:color w:val="000000"/>
          <w:szCs w:val="21"/>
          <w:highlight w:val="none"/>
        </w:rPr>
      </w:r>
      <w:r/>
    </w:p>
    <w:p>
      <w:pPr>
        <w:pStyle w:val="802"/>
        <w:spacing w:line="440" w:lineRule="exact"/>
        <w:rPr>
          <w:rFonts w:ascii="Arial" w:hAnsi="Arial" w:cs="Arial"/>
          <w:color w:val="000000"/>
          <w:szCs w:val="21"/>
          <w:highlight w:val="none"/>
        </w:rPr>
      </w:pPr>
      <w:r>
        <w:rPr>
          <w:rFonts w:ascii="Arial" w:hAnsi="Arial" w:cs="Arial"/>
          <w:color w:val="000000"/>
          <w:szCs w:val="21"/>
          <w:highlight w:val="none"/>
        </w:rPr>
      </w:r>
      <w:r/>
    </w:p>
    <w:p>
      <w:pPr>
        <w:pStyle w:val="802"/>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szCs w:val="21"/>
          <w:highlight w:val="none"/>
        </w:rPr>
        <w:t xml:space="preserve">投标人应对招标文件《采购需求》的内容给予逐条响应，若漏项或不逐条应答视为</w:t>
      </w:r>
      <w:r>
        <w:rPr>
          <w:rFonts w:hint="eastAsia" w:ascii="宋体" w:hAnsi="宋体" w:eastAsia="宋体" w:cs="宋体"/>
          <w:color w:val="000000"/>
          <w:szCs w:val="21"/>
          <w:highlight w:val="none"/>
        </w:rPr>
        <w:t xml:space="preserve">完全响应招标文件的商务条款要求。</w:t>
      </w:r>
      <w:r>
        <w:rPr>
          <w:rFonts w:hint="eastAsia" w:ascii="宋体" w:hAnsi="宋体" w:eastAsia="宋体" w:cs="宋体"/>
          <w:color w:val="000000"/>
          <w:szCs w:val="21"/>
          <w:highlight w:val="none"/>
        </w:rPr>
      </w:r>
      <w:r/>
    </w:p>
    <w:p>
      <w:pPr>
        <w:pStyle w:val="802"/>
        <w:numPr>
          <w:ilvl w:val="0"/>
          <w:numId w:val="4"/>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“偏离/响应”</w:t>
      </w:r>
      <w:r>
        <w:rPr>
          <w:rFonts w:hint="eastAsia" w:ascii="宋体" w:hAnsi="宋体" w:eastAsia="宋体" w:cs="宋体"/>
          <w:color w:val="000000"/>
          <w:szCs w:val="21"/>
          <w:highlight w:val="none"/>
        </w:rPr>
        <w:t xml:space="preserve">栏请注明”响应或无偏离/正偏离/负偏离，正偏离指供应商的响应高于招标文件要求，负偏离指供应商的响应低于招标文件要求。</w:t>
      </w:r>
      <w:r>
        <w:rPr>
          <w:rFonts w:hint="eastAsia" w:ascii="宋体" w:hAnsi="宋体" w:eastAsia="宋体" w:cs="宋体"/>
          <w:color w:val="000000"/>
          <w:szCs w:val="21"/>
          <w:highlight w:val="none"/>
        </w:rPr>
      </w:r>
      <w:r/>
    </w:p>
    <w:p>
      <w:pPr>
        <w:pStyle w:val="802"/>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rPr>
          <w:rFonts w:hint="eastAsia" w:ascii="宋体" w:hAnsi="宋体" w:eastAsia="宋体" w:cs="宋体"/>
          <w:color w:val="000000"/>
          <w:szCs w:val="21"/>
          <w:highlight w:val="none"/>
        </w:rPr>
      </w:r>
      <w:r/>
    </w:p>
    <w:p>
      <w:pPr>
        <w:pStyle w:val="83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5"/>
        <w:tabs>
          <w:tab w:val="left" w:pos="4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业绩表（格式）</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02"/>
        <w:rPr>
          <w:color w:val="000000"/>
          <w:highlight w:val="none"/>
        </w:rPr>
      </w:pPr>
      <w:r>
        <w:rPr>
          <w:color w:val="000000"/>
          <w:highlight w:val="none"/>
        </w:rPr>
      </w:r>
      <w:r/>
    </w:p>
    <w:tbl>
      <w:tblPr>
        <w:tblW w:w="8794" w:type="dxa"/>
        <w:tblInd w:w="-20" w:type="dxa"/>
        <w:tblLayout w:type="fixed"/>
        <w:tblCellMar>
          <w:left w:w="20" w:type="dxa"/>
          <w:top w:w="20" w:type="dxa"/>
          <w:right w:w="2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24" w:type="dxa"/>
            <w:vAlign w:val="center"/>
            <w:textDirection w:val="lrTb"/>
            <w:noWrap/>
          </w:tcPr>
          <w:p>
            <w:pPr>
              <w:pStyle w:val="802"/>
              <w:jc w:val="center"/>
              <w:rPr>
                <w:rFonts w:hAnsi="宋体" w:cs="Arial Unicode MS"/>
                <w:b w:val="0"/>
                <w:position w:val="0"/>
                <w:szCs w:val="24"/>
              </w:rPr>
            </w:pPr>
            <w:r>
              <w:rPr>
                <w:rFonts w:hint="eastAsia" w:hAnsi="宋体"/>
                <w:b w:val="0"/>
                <w:position w:val="0"/>
                <w:szCs w:val="24"/>
              </w:rPr>
              <w:t xml:space="preserve">序号</w:t>
            </w:r>
            <w:r>
              <w:rPr>
                <w:rFonts w:hAnsi="宋体" w:cs="Arial Unicode MS"/>
                <w:b w:val="0"/>
                <w:position w:val="0"/>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31" w:type="dxa"/>
            <w:vAlign w:val="center"/>
            <w:textDirection w:val="lrTb"/>
            <w:noWrap/>
          </w:tcPr>
          <w:p>
            <w:pPr>
              <w:pStyle w:val="802"/>
              <w:jc w:val="center"/>
              <w:rPr>
                <w:rFonts w:hAnsi="宋体" w:cs="Arial Unicode MS"/>
                <w:b w:val="0"/>
                <w:position w:val="0"/>
                <w:szCs w:val="24"/>
              </w:rPr>
            </w:pPr>
            <w:r>
              <w:rPr>
                <w:rFonts w:hint="eastAsia" w:hAnsi="宋体"/>
                <w:b w:val="0"/>
                <w:position w:val="0"/>
                <w:szCs w:val="24"/>
              </w:rPr>
              <w:t xml:space="preserve">项目名称</w:t>
            </w:r>
            <w:r>
              <w:rPr>
                <w:rFonts w:hAnsi="宋体" w:cs="Arial Unicode MS"/>
                <w:b w:val="0"/>
                <w:position w:val="0"/>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07" w:type="dxa"/>
            <w:vAlign w:val="center"/>
            <w:textDirection w:val="lrTb"/>
            <w:noWrap w:val="false"/>
          </w:tcPr>
          <w:p>
            <w:pPr>
              <w:pStyle w:val="802"/>
              <w:jc w:val="center"/>
              <w:rPr>
                <w:rFonts w:hAnsi="宋体" w:cs="Arial Unicode MS"/>
                <w:b w:val="0"/>
                <w:position w:val="0"/>
                <w:szCs w:val="24"/>
              </w:rPr>
            </w:pPr>
            <w:r>
              <w:rPr>
                <w:rFonts w:hint="eastAsia" w:hAnsi="宋体"/>
                <w:b w:val="0"/>
                <w:position w:val="0"/>
                <w:szCs w:val="24"/>
              </w:rPr>
              <w:t xml:space="preserve">数量</w:t>
            </w:r>
            <w:r>
              <w:rPr>
                <w:rFonts w:hAnsi="宋体" w:cs="Arial Unicode MS"/>
                <w:b w:val="0"/>
                <w:position w:val="0"/>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33" w:type="dxa"/>
            <w:vAlign w:val="center"/>
            <w:textDirection w:val="lrTb"/>
            <w:noWrap/>
          </w:tcPr>
          <w:p>
            <w:pPr>
              <w:pStyle w:val="802"/>
              <w:jc w:val="center"/>
              <w:rPr>
                <w:rFonts w:hAnsi="宋体"/>
                <w:b w:val="0"/>
                <w:position w:val="0"/>
                <w:szCs w:val="24"/>
              </w:rPr>
            </w:pPr>
            <w:r>
              <w:rPr>
                <w:rFonts w:hint="eastAsia" w:hAnsi="宋体"/>
                <w:b w:val="0"/>
                <w:position w:val="0"/>
                <w:szCs w:val="24"/>
              </w:rPr>
              <w:t xml:space="preserve">签约</w:t>
            </w:r>
            <w:r>
              <w:rPr>
                <w:rFonts w:hAnsi="宋体"/>
                <w:b w:val="0"/>
                <w:position w:val="0"/>
                <w:szCs w:val="24"/>
              </w:rPr>
            </w:r>
            <w:r/>
          </w:p>
          <w:p>
            <w:pPr>
              <w:pStyle w:val="802"/>
              <w:jc w:val="center"/>
              <w:rPr>
                <w:rFonts w:hAnsi="宋体" w:cs="Arial Unicode MS"/>
                <w:b w:val="0"/>
                <w:position w:val="0"/>
                <w:szCs w:val="24"/>
              </w:rPr>
            </w:pPr>
            <w:r>
              <w:rPr>
                <w:rFonts w:hint="eastAsia" w:hAnsi="宋体"/>
                <w:b w:val="0"/>
                <w:position w:val="0"/>
                <w:szCs w:val="24"/>
              </w:rPr>
              <w:t xml:space="preserve">日期</w:t>
            </w:r>
            <w:r>
              <w:rPr>
                <w:rFonts w:hAnsi="宋体" w:cs="Arial Unicode MS"/>
                <w:b w:val="0"/>
                <w:position w:val="0"/>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24" w:type="dxa"/>
            <w:vAlign w:val="center"/>
            <w:textDirection w:val="lrTb"/>
            <w:noWrap/>
          </w:tcPr>
          <w:p>
            <w:pPr>
              <w:pStyle w:val="802"/>
              <w:jc w:val="center"/>
              <w:rPr>
                <w:rFonts w:hAnsi="宋体"/>
                <w:b w:val="0"/>
                <w:position w:val="0"/>
                <w:szCs w:val="24"/>
              </w:rPr>
            </w:pPr>
            <w:r>
              <w:rPr>
                <w:rFonts w:hint="eastAsia" w:hAnsi="宋体"/>
                <w:b w:val="0"/>
                <w:position w:val="0"/>
                <w:szCs w:val="24"/>
              </w:rPr>
              <w:t xml:space="preserve">同类或相似合同价</w:t>
            </w:r>
            <w:r>
              <w:rPr>
                <w:rFonts w:hAnsi="宋体"/>
                <w:b w:val="0"/>
                <w:position w:val="0"/>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70" w:type="dxa"/>
            <w:vAlign w:val="center"/>
            <w:textDirection w:val="lrTb"/>
            <w:noWrap/>
          </w:tcPr>
          <w:p>
            <w:pPr>
              <w:pStyle w:val="802"/>
              <w:jc w:val="center"/>
              <w:rPr>
                <w:rFonts w:hAnsi="宋体"/>
                <w:b w:val="0"/>
                <w:position w:val="0"/>
                <w:szCs w:val="24"/>
              </w:rPr>
            </w:pPr>
            <w:r>
              <w:rPr>
                <w:rFonts w:hint="eastAsia" w:hAnsi="宋体"/>
                <w:b w:val="0"/>
                <w:position w:val="0"/>
                <w:szCs w:val="24"/>
              </w:rPr>
              <w:t xml:space="preserve">业主 名称</w:t>
            </w:r>
            <w:r>
              <w:rPr>
                <w:rFonts w:hAnsi="宋体"/>
                <w:b w:val="0"/>
                <w:position w:val="0"/>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05" w:type="dxa"/>
            <w:vAlign w:val="center"/>
            <w:textDirection w:val="lrTb"/>
            <w:noWrap/>
          </w:tcPr>
          <w:p>
            <w:pPr>
              <w:pStyle w:val="802"/>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rPr>
                <w:rFonts w:hAnsi="宋体" w:cs="Arial Unicode MS"/>
                <w:b w:val="0"/>
                <w:position w:val="0"/>
                <w:szCs w:val="24"/>
              </w:rPr>
            </w:r>
            <w:r/>
          </w:p>
        </w:tc>
      </w:tr>
      <w:tr>
        <w:trPr>
          <w:trHeight w:val="524"/>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24" w:type="dxa"/>
            <w:vAlign w:val="bottom"/>
            <w:textDirection w:val="lrTb"/>
            <w:noWrap/>
          </w:tcPr>
          <w:p>
            <w:pPr>
              <w:pStyle w:val="802"/>
              <w:jc w:val="center"/>
              <w:rPr>
                <w:rFonts w:hAnsi="宋体" w:cs="Arial Unicode MS"/>
                <w:b w:val="0"/>
                <w:position w:val="0"/>
                <w:szCs w:val="24"/>
              </w:rPr>
            </w:pPr>
            <w:r>
              <w:rPr>
                <w:rFonts w:hAnsi="宋体"/>
                <w:b w:val="0"/>
                <w:position w:val="0"/>
                <w:szCs w:val="24"/>
              </w:rPr>
              <w:t xml:space="preserve">1</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1"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07" w:type="dxa"/>
            <w:vAlign w:val="bottom"/>
            <w:textDirection w:val="lrTb"/>
            <w:noWrap w:val="false"/>
          </w:tcPr>
          <w:p>
            <w:pPr>
              <w:pStyle w:val="802"/>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33"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24"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70"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05"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r>
      <w:tr>
        <w:trPr>
          <w:trHeight w:val="524"/>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24" w:type="dxa"/>
            <w:vAlign w:val="bottom"/>
            <w:textDirection w:val="lrTb"/>
            <w:noWrap/>
          </w:tcPr>
          <w:p>
            <w:pPr>
              <w:pStyle w:val="802"/>
              <w:jc w:val="center"/>
              <w:rPr>
                <w:rFonts w:hAnsi="宋体" w:cs="Arial Unicode MS"/>
                <w:b w:val="0"/>
                <w:position w:val="0"/>
                <w:szCs w:val="24"/>
              </w:rPr>
            </w:pPr>
            <w:r>
              <w:rPr>
                <w:rFonts w:hAnsi="宋体"/>
                <w:b w:val="0"/>
                <w:position w:val="0"/>
                <w:szCs w:val="24"/>
              </w:rPr>
              <w:t xml:space="preserve">2</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1"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07" w:type="dxa"/>
            <w:vAlign w:val="bottom"/>
            <w:textDirection w:val="lrTb"/>
            <w:noWrap w:val="false"/>
          </w:tcPr>
          <w:p>
            <w:pPr>
              <w:pStyle w:val="802"/>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33"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24"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70"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05"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r>
      <w:tr>
        <w:trPr>
          <w:trHeight w:val="524"/>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24" w:type="dxa"/>
            <w:vAlign w:val="bottom"/>
            <w:textDirection w:val="lrTb"/>
            <w:noWrap/>
          </w:tcPr>
          <w:p>
            <w:pPr>
              <w:pStyle w:val="802"/>
              <w:jc w:val="center"/>
              <w:rPr>
                <w:rFonts w:hAnsi="宋体" w:cs="Arial Unicode MS"/>
                <w:b w:val="0"/>
                <w:position w:val="0"/>
                <w:szCs w:val="24"/>
              </w:rPr>
            </w:pPr>
            <w:r>
              <w:rPr>
                <w:rFonts w:hAnsi="宋体"/>
                <w:b w:val="0"/>
                <w:position w:val="0"/>
                <w:szCs w:val="24"/>
              </w:rPr>
              <w:t xml:space="preserve">3</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1"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07" w:type="dxa"/>
            <w:vAlign w:val="bottom"/>
            <w:textDirection w:val="lrTb"/>
            <w:noWrap w:val="false"/>
          </w:tcPr>
          <w:p>
            <w:pPr>
              <w:pStyle w:val="802"/>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33"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24"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70"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05"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r>
      <w:tr>
        <w:trPr>
          <w:trHeight w:val="524"/>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24"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1"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07" w:type="dxa"/>
            <w:vAlign w:val="bottom"/>
            <w:textDirection w:val="lrTb"/>
            <w:noWrap w:val="false"/>
          </w:tcPr>
          <w:p>
            <w:pPr>
              <w:pStyle w:val="802"/>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33"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24"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70"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05" w:type="dxa"/>
            <w:vAlign w:val="bottom"/>
            <w:textDirection w:val="lrTb"/>
            <w:noWrap/>
          </w:tcPr>
          <w:p>
            <w:pPr>
              <w:pStyle w:val="802"/>
              <w:rPr>
                <w:rFonts w:hAnsi="宋体" w:cs="Arial Unicode MS"/>
                <w:b w:val="0"/>
                <w:position w:val="0"/>
                <w:szCs w:val="24"/>
              </w:rPr>
            </w:pPr>
            <w:r>
              <w:rPr>
                <w:rFonts w:hint="eastAsia" w:hAnsi="宋体"/>
                <w:b w:val="0"/>
                <w:position w:val="0"/>
                <w:szCs w:val="24"/>
              </w:rPr>
              <w:t xml:space="preserve">　</w:t>
            </w:r>
            <w:r>
              <w:rPr>
                <w:rFonts w:hAnsi="宋体" w:cs="Arial Unicode MS"/>
                <w:b w:val="0"/>
                <w:position w:val="0"/>
                <w:szCs w:val="24"/>
              </w:rPr>
            </w:r>
            <w:r/>
          </w:p>
        </w:tc>
      </w:tr>
    </w:tbl>
    <w:p>
      <w:pPr>
        <w:pStyle w:val="802"/>
        <w:rPr>
          <w:color w:val="000000"/>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十一</w:t>
      </w:r>
      <w:r>
        <w:rPr>
          <w:rFonts w:hint="eastAsia" w:ascii="宋体" w:hAnsi="宋体" w:cs="宋体"/>
          <w:b/>
          <w:color w:val="000000"/>
          <w:sz w:val="24"/>
          <w:szCs w:val="24"/>
          <w:highlight w:val="none"/>
        </w:rPr>
        <w:t xml:space="preserve">）中小企业声明函（格式）：</w:t>
      </w:r>
      <w:r>
        <w:rPr>
          <w:color w:val="000000"/>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802"/>
        <w:jc w:val="center"/>
        <w:spacing w:before="312" w:line="480" w:lineRule="auto"/>
        <w:rPr>
          <w:rFonts w:ascii="Arial" w:hAnsi="Arial" w:cs="Arial"/>
          <w:b/>
          <w:bCs/>
          <w:sz w:val="28"/>
          <w:szCs w:val="28"/>
        </w:rPr>
      </w:pPr>
      <w:r>
        <w:rPr>
          <w:rFonts w:hint="eastAsia" w:ascii="宋体" w:hAnsi="宋体" w:cs="Arial"/>
          <w:b/>
          <w:bCs/>
          <w:sz w:val="28"/>
          <w:szCs w:val="28"/>
        </w:rPr>
        <w:t xml:space="preserve">中小企业声明函（货物）</w:t>
      </w:r>
      <w:r>
        <w:rPr>
          <w:rFonts w:ascii="Arial" w:hAnsi="Arial" w:cs="Arial"/>
          <w:b/>
          <w:bCs/>
          <w:sz w:val="28"/>
          <w:szCs w:val="28"/>
        </w:rPr>
      </w:r>
      <w:r/>
    </w:p>
    <w:p>
      <w:pPr>
        <w:pStyle w:val="802"/>
        <w:ind w:firstLine="420"/>
        <w:jc w:val="left"/>
        <w:spacing w:line="440" w:lineRule="exact"/>
        <w:widowControl/>
        <w:rPr>
          <w:rFonts w:ascii="宋体" w:hAnsi="宋体" w:cs="Arial"/>
        </w:rPr>
      </w:pPr>
      <w:r>
        <w:rPr>
          <w:rFonts w:ascii="宋体" w:hAnsi="宋体" w:cs="Arial"/>
        </w:rPr>
      </w:r>
      <w:r/>
    </w:p>
    <w:p>
      <w:pPr>
        <w:pStyle w:val="802"/>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w:t>
      </w:r>
      <w:r>
        <w:rPr>
          <w:rFonts w:hint="eastAsia" w:ascii="宋体" w:hAnsi="宋体" w:eastAsia="宋体" w:cs="宋体"/>
          <w:sz w:val="21"/>
          <w:szCs w:val="21"/>
        </w:rPr>
        <w:t xml:space="preserve">〕</w:t>
      </w:r>
      <w:r>
        <w:rPr>
          <w:rFonts w:hint="eastAsia" w:ascii="宋体" w:hAnsi="宋体" w:eastAsia="宋体" w:cs="宋体"/>
          <w:sz w:val="21"/>
          <w:szCs w:val="21"/>
        </w:rP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rFonts w:ascii="宋体" w:hAnsi="宋体" w:eastAsia="宋体" w:cs="宋体"/>
          <w:sz w:val="21"/>
          <w:szCs w:val="21"/>
        </w:rPr>
      </w:r>
      <w:r/>
    </w:p>
    <w:p>
      <w:pPr>
        <w:pStyle w:val="802"/>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w:t>
      </w:r>
      <w:r>
        <w:rPr>
          <w:rFonts w:hint="eastAsia" w:ascii="宋体" w:hAnsi="宋体" w:eastAsia="宋体" w:cs="宋体"/>
          <w:sz w:val="21"/>
          <w:szCs w:val="21"/>
        </w:rPr>
        <w:t xml:space="preserve">行业;制造商为（企业名称）,从业人员</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人</w:t>
      </w:r>
      <w:r>
        <w:rPr>
          <w:rFonts w:hint="eastAsia" w:ascii="宋体" w:hAnsi="宋体" w:eastAsia="宋体" w:cs="宋体"/>
          <w:sz w:val="21"/>
          <w:szCs w:val="21"/>
        </w:rPr>
        <w:t xml:space="preserve">，营业收入为—万元，资产总额为</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万</w:t>
      </w:r>
      <w:r>
        <w:rPr>
          <w:rFonts w:hint="eastAsia" w:ascii="宋体" w:hAnsi="宋体" w:eastAsia="宋体" w:cs="宋体"/>
          <w:sz w:val="21"/>
          <w:szCs w:val="21"/>
        </w:rPr>
        <w:t xml:space="preserve">元，属于（中型企业、小型企业、微型企业）；</w:t>
      </w:r>
      <w:r>
        <w:rPr>
          <w:rFonts w:ascii="宋体" w:hAnsi="宋体" w:eastAsia="宋体" w:cs="宋体"/>
          <w:sz w:val="21"/>
          <w:szCs w:val="21"/>
        </w:rPr>
      </w:r>
      <w:r/>
    </w:p>
    <w:p>
      <w:pPr>
        <w:pStyle w:val="802"/>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w:t>
      </w:r>
      <w:r>
        <w:rPr>
          <w:rFonts w:hint="eastAsia" w:ascii="宋体" w:hAnsi="宋体" w:eastAsia="宋体" w:cs="宋体"/>
          <w:sz w:val="21"/>
          <w:szCs w:val="21"/>
        </w:rPr>
        <w:t xml:space="preserve">行业；制造商为（企业名称）,从业人员</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人</w:t>
      </w:r>
      <w:r>
        <w:rPr>
          <w:rFonts w:hint="eastAsia" w:ascii="宋体" w:hAnsi="宋体" w:eastAsia="宋体" w:cs="宋体"/>
          <w:sz w:val="21"/>
          <w:szCs w:val="21"/>
        </w:rPr>
        <w:t xml:space="preserve">，营业收入为</w:t>
      </w:r>
      <w:r>
        <w:rPr>
          <w:rFonts w:hint="eastAsia" w:ascii="宋体" w:hAnsi="宋体" w:eastAsia="宋体" w:cs="宋体"/>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ab/>
      </w:r>
      <w:r>
        <w:rPr>
          <w:rFonts w:hint="eastAsia" w:ascii="宋体" w:hAnsi="宋体" w:eastAsia="宋体" w:cs="宋体"/>
          <w:sz w:val="21"/>
          <w:szCs w:val="21"/>
        </w:rPr>
        <w:t xml:space="preserve">万元，属于（中型企业、小型企业、微型企业）；</w:t>
      </w:r>
      <w:r>
        <w:rPr>
          <w:rFonts w:ascii="宋体" w:hAnsi="宋体" w:eastAsia="宋体" w:cs="宋体"/>
          <w:sz w:val="21"/>
          <w:szCs w:val="21"/>
        </w:rPr>
      </w:r>
      <w:r/>
    </w:p>
    <w:p>
      <w:pPr>
        <w:pStyle w:val="802"/>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rPr>
          <w:rFonts w:ascii="宋体" w:hAnsi="宋体" w:eastAsia="宋体" w:cs="宋体"/>
          <w:sz w:val="21"/>
          <w:szCs w:val="21"/>
        </w:rPr>
      </w:r>
      <w:r/>
    </w:p>
    <w:p>
      <w:pPr>
        <w:pStyle w:val="802"/>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802"/>
        <w:ind w:firstLine="420"/>
        <w:jc w:val="left"/>
        <w:spacing w:line="400" w:lineRule="exact"/>
        <w:widowControl/>
        <w:rPr>
          <w:rFonts w:ascii="宋体" w:hAnsi="宋体" w:eastAsia="宋体" w:cs="宋体"/>
          <w:sz w:val="21"/>
          <w:szCs w:val="21"/>
        </w:rPr>
      </w:pPr>
      <w:r>
        <w:rPr>
          <w:rFonts w:ascii="宋体" w:hAnsi="宋体" w:eastAsia="宋体" w:cs="宋体"/>
          <w:sz w:val="21"/>
          <w:szCs w:val="21"/>
        </w:rPr>
      </w:r>
      <w:r/>
    </w:p>
    <w:p>
      <w:pPr>
        <w:pStyle w:val="802"/>
        <w:ind w:firstLine="420"/>
        <w:jc w:val="left"/>
        <w:spacing w:line="400" w:lineRule="exact"/>
        <w:widowControl/>
        <w:rPr>
          <w:rFonts w:ascii="宋体" w:hAnsi="宋体" w:eastAsia="宋体" w:cs="宋体"/>
          <w:sz w:val="21"/>
          <w:szCs w:val="21"/>
        </w:rPr>
      </w:pPr>
      <w:r>
        <w:rPr>
          <w:rFonts w:ascii="宋体" w:hAnsi="宋体" w:eastAsia="宋体" w:cs="宋体"/>
          <w:sz w:val="21"/>
          <w:szCs w:val="21"/>
        </w:rPr>
      </w:r>
      <w:r/>
    </w:p>
    <w:p>
      <w:pPr>
        <w:pStyle w:val="802"/>
        <w:ind w:firstLine="420"/>
        <w:jc w:val="left"/>
        <w:spacing w:line="400" w:lineRule="exact"/>
        <w:widowControl/>
        <w:rPr>
          <w:rFonts w:ascii="宋体" w:hAnsi="宋体" w:eastAsia="宋体" w:cs="宋体"/>
          <w:sz w:val="21"/>
          <w:szCs w:val="21"/>
        </w:rPr>
      </w:pPr>
      <w:r>
        <w:rPr>
          <w:rFonts w:ascii="宋体" w:hAnsi="宋体" w:eastAsia="宋体" w:cs="宋体"/>
          <w:sz w:val="21"/>
          <w:szCs w:val="21"/>
        </w:rPr>
      </w:r>
      <w:r/>
    </w:p>
    <w:p>
      <w:pPr>
        <w:pStyle w:val="802"/>
        <w:ind w:firstLine="420"/>
        <w:jc w:val="right"/>
        <w:spacing w:line="400" w:lineRule="exact"/>
        <w:widowControl/>
        <w:rPr>
          <w:rFonts w:ascii="宋体" w:hAnsi="宋体" w:eastAsia="宋体" w:cs="宋体"/>
          <w:sz w:val="21"/>
          <w:szCs w:val="21"/>
        </w:rPr>
      </w:pPr>
      <w:r>
        <w:rPr>
          <w:rFonts w:hint="eastAsia" w:ascii="宋体" w:hAnsi="宋体" w:eastAsia="宋体" w:cs="宋体"/>
          <w:sz w:val="21"/>
          <w:szCs w:val="21"/>
        </w:rPr>
        <w:t xml:space="preserve">企业名称（盖章）：</w:t>
      </w:r>
      <w:r>
        <w:rPr>
          <w:rFonts w:ascii="宋体" w:hAnsi="宋体" w:eastAsia="宋体" w:cs="宋体"/>
          <w:sz w:val="21"/>
          <w:szCs w:val="21"/>
        </w:rPr>
      </w:r>
      <w:r/>
    </w:p>
    <w:p>
      <w:pPr>
        <w:pStyle w:val="802"/>
        <w:ind w:firstLine="420"/>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日期：</w:t>
      </w:r>
      <w:r>
        <w:rPr>
          <w:rFonts w:ascii="宋体" w:hAnsi="宋体" w:eastAsia="宋体" w:cs="宋体"/>
          <w:sz w:val="21"/>
          <w:szCs w:val="21"/>
        </w:rPr>
      </w:r>
      <w:r/>
    </w:p>
    <w:p>
      <w:pPr>
        <w:pStyle w:val="802"/>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rPr>
          <w:rFonts w:ascii="Times New Roman" w:hAnsi="Times New Roman" w:eastAsia="宋体" w:cs="Times New Roman"/>
          <w:sz w:val="24"/>
          <w:highlight w:val="none"/>
        </w:rPr>
      </w:r>
      <w:r/>
    </w:p>
    <w:p>
      <w:pPr>
        <w:pStyle w:val="802"/>
        <w:ind w:firstLine="480"/>
        <w:spacing w:line="30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802"/>
        <w:ind w:firstLine="480"/>
        <w:spacing w:line="300" w:lineRule="auto"/>
        <w:rPr>
          <w:rFonts w:ascii="Times New Roman" w:hAnsi="Times New Roman" w:eastAsia="宋体" w:cs="Times New Roman"/>
          <w:sz w:val="24"/>
          <w:highlight w:val="none"/>
        </w:rPr>
      </w:pPr>
      <w:r>
        <w:rPr>
          <w:rFonts w:hint="eastAsia" w:ascii="宋体" w:hAnsi="宋体" w:eastAsia="宋体" w:cs="宋体"/>
          <w:color w:val="000000"/>
          <w:szCs w:val="21"/>
          <w:highlight w:val="none"/>
        </w:rPr>
        <w:t xml:space="preserve">注：1.从业人员、营业收入、资产总额填报上一年度数据，无上一年度数据的新成立企业可不填报。</w:t>
      </w:r>
      <w:r>
        <w:rPr>
          <w:rFonts w:ascii="Times New Roman" w:hAnsi="Times New Roman" w:eastAsia="宋体" w:cs="Times New Roman"/>
          <w:sz w:val="24"/>
          <w:highlight w:val="none"/>
        </w:rPr>
      </w:r>
      <w:r/>
    </w:p>
    <w:p>
      <w:pPr>
        <w:pStyle w:val="802"/>
        <w:numPr>
          <w:ilvl w:val="0"/>
          <w:numId w:val="5"/>
        </w:numPr>
        <w:ind w:firstLine="420"/>
        <w:spacing w:line="300" w:lineRule="auto"/>
        <w:tabs>
          <w:tab w:val="left" w:pos="31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Cs w:val="21"/>
          <w:highlight w:val="none"/>
        </w:rPr>
      </w:r>
      <w:r/>
    </w:p>
    <w:p>
      <w:pPr>
        <w:pStyle w:val="802"/>
        <w:ind w:left="120"/>
        <w:spacing w:line="360" w:lineRule="auto"/>
        <w:rPr>
          <w:color w:val="000000"/>
          <w:szCs w:val="21"/>
          <w:highlight w:val="none"/>
        </w:rPr>
      </w:pPr>
      <w:r>
        <w:rPr>
          <w:color w:val="000000"/>
          <w:szCs w:val="21"/>
          <w:highlight w:val="none"/>
        </w:rPr>
        <w:br w:type="page" w:clear="all"/>
      </w:r>
      <w:r>
        <w:rPr>
          <w:rFonts w:hint="eastAsia" w:ascii="宋体" w:hAnsi="宋体" w:cs="宋体"/>
          <w:b/>
          <w:color w:val="000000"/>
          <w:szCs w:val="21"/>
          <w:highlight w:val="none"/>
        </w:rPr>
        <w:t xml:space="preserve">（十</w:t>
      </w:r>
      <w:r>
        <w:rPr>
          <w:rFonts w:hint="eastAsia" w:ascii="宋体" w:hAnsi="宋体" w:cs="宋体"/>
          <w:b/>
          <w:color w:val="000000"/>
          <w:szCs w:val="21"/>
          <w:highlight w:val="none"/>
          <w:lang w:val="en-US" w:eastAsia="zh-CN"/>
        </w:rPr>
        <w:t xml:space="preserve">二</w:t>
      </w:r>
      <w:r>
        <w:rPr>
          <w:rFonts w:hint="eastAsia" w:ascii="宋体" w:hAnsi="宋体" w:cs="宋体"/>
          <w:b/>
          <w:color w:val="000000"/>
          <w:szCs w:val="21"/>
          <w:highlight w:val="none"/>
        </w:rPr>
        <w:t xml:space="preserve">）残疾人福利性单位声明函（格式）：</w:t>
      </w:r>
      <w:r>
        <w:rPr>
          <w:color w:val="000000"/>
          <w:szCs w:val="21"/>
          <w:highlight w:val="none"/>
        </w:rPr>
      </w:r>
      <w:r/>
    </w:p>
    <w:p>
      <w:pPr>
        <w:pStyle w:val="80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802"/>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残疾人福利性单位声明函</w:t>
      </w:r>
      <w:r>
        <w:rPr>
          <w:rFonts w:hint="eastAsia" w:ascii="宋体" w:hAnsi="宋体" w:cs="宋体"/>
          <w:b/>
          <w:color w:val="000000"/>
          <w:sz w:val="36"/>
          <w:szCs w:val="28"/>
          <w:highlight w:val="none"/>
        </w:rPr>
      </w:r>
      <w:r/>
    </w:p>
    <w:p>
      <w:pPr>
        <w:pStyle w:val="80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szCs w:val="21"/>
          <w:highlight w:val="none"/>
          <w:u w:val="single"/>
        </w:rPr>
        <w:t xml:space="preserve">             项目</w:t>
      </w:r>
      <w:r>
        <w:rPr>
          <w:rFonts w:hint="eastAsia" w:ascii="宋体" w:hAnsi="宋体" w:cs="宋体"/>
          <w:bCs/>
          <w:color w:val="000000"/>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本单位对上述声明的真实性负责。如有虚假，将依法承担相应责任。</w:t>
      </w: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单位名称（盖章）：</w:t>
      </w:r>
      <w:r>
        <w:rPr>
          <w:rFonts w:hint="eastAsia" w:ascii="宋体" w:hAnsi="宋体" w:cs="宋体"/>
          <w:bCs/>
          <w:color w:val="000000"/>
          <w:szCs w:val="21"/>
          <w:highlight w:val="none"/>
        </w:rPr>
      </w:r>
      <w:r/>
    </w:p>
    <w:p>
      <w:pPr>
        <w:pStyle w:val="802"/>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  期：</w:t>
      </w:r>
      <w:r>
        <w:rPr>
          <w:rFonts w:hint="eastAsia" w:ascii="宋体" w:hAnsi="宋体" w:cs="宋体"/>
          <w:bCs/>
          <w:color w:val="000000"/>
          <w:szCs w:val="21"/>
          <w:highlight w:val="none"/>
        </w:rPr>
      </w:r>
      <w:r/>
    </w:p>
    <w:p>
      <w:pPr>
        <w:pStyle w:val="884"/>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84"/>
        <w:rPr>
          <w:color w:val="000000"/>
          <w:highlight w:val="none"/>
        </w:rPr>
      </w:pPr>
      <w:r>
        <w:rPr>
          <w:color w:val="000000"/>
          <w:highlight w:val="none"/>
        </w:rPr>
      </w:r>
      <w:r/>
    </w:p>
    <w:p>
      <w:pPr>
        <w:pStyle w:val="802"/>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br w:type="page" w:clear="all"/>
      </w:r>
      <w:r>
        <w:rPr>
          <w:rFonts w:hint="eastAsia" w:ascii="宋体" w:hAnsi="宋体" w:eastAsia="宋体" w:cs="宋体"/>
          <w:b/>
          <w:sz w:val="24"/>
          <w:szCs w:val="21"/>
          <w:highlight w:val="none"/>
        </w:rPr>
        <w:t xml:space="preserve">（</w:t>
      </w:r>
      <w:r>
        <w:rPr>
          <w:rFonts w:hint="eastAsia" w:ascii="宋体" w:hAnsi="宋体" w:cs="宋体"/>
          <w:b/>
          <w:sz w:val="24"/>
          <w:szCs w:val="21"/>
          <w:highlight w:val="none"/>
          <w:lang w:val="en-US" w:eastAsia="zh-CN"/>
        </w:rPr>
        <w:t xml:space="preserve">十三</w:t>
      </w:r>
      <w:r>
        <w:rPr>
          <w:rFonts w:hint="eastAsia" w:ascii="宋体" w:hAnsi="宋体" w:eastAsia="宋体" w:cs="宋体"/>
          <w:b/>
          <w:sz w:val="24"/>
          <w:szCs w:val="21"/>
          <w:highlight w:val="none"/>
        </w:rPr>
        <w:t xml:space="preserve">）南京市政府采购供应商信用记录表暨信用承诺书（格式）：</w:t>
      </w:r>
      <w:r>
        <w:rPr>
          <w:rFonts w:hint="eastAsia" w:ascii="宋体" w:hAnsi="宋体" w:eastAsia="宋体" w:cs="宋体"/>
          <w:b/>
          <w:sz w:val="24"/>
          <w:szCs w:val="21"/>
          <w:highlight w:val="none"/>
        </w:rPr>
      </w:r>
      <w:r/>
    </w:p>
    <w:p>
      <w:pPr>
        <w:pStyle w:val="802"/>
        <w:jc w:val="center"/>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南京市政府采购供应商信用记录表暨信用承诺书</w:t>
      </w:r>
      <w:r>
        <w:rPr>
          <w:rFonts w:hint="eastAsia" w:ascii="宋体" w:hAnsi="宋体" w:eastAsia="宋体" w:cs="宋体"/>
          <w:b/>
          <w:sz w:val="24"/>
          <w:szCs w:val="21"/>
          <w:highlight w:val="none"/>
        </w:rPr>
      </w:r>
      <w:r/>
    </w:p>
    <w:p>
      <w:pPr>
        <w:pStyle w:val="802"/>
        <w:jc w:val="right"/>
        <w:widowControl/>
        <w:rPr>
          <w:rFonts w:ascii="Times New Roman" w:hAnsi="Times New Roman" w:eastAsia="宋体" w:cs="Times New Roman"/>
          <w:sz w:val="24"/>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highlight w:val="none"/>
        </w:rPr>
        <w:t xml:space="preserve"> </w:t>
      </w:r>
      <w:r>
        <w:rPr>
          <w:rFonts w:ascii="Times New Roman" w:hAnsi="Times New Roman" w:eastAsia="宋体" w:cs="Times New Roman"/>
          <w:sz w:val="24"/>
          <w:highlight w:val="none"/>
        </w:rPr>
      </w:r>
      <w:r/>
    </w:p>
    <w:tbl>
      <w:tblPr>
        <w:tblW w:w="8991" w:type="dxa"/>
        <w:tblCellSpacing w:w="1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6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单位名称</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tcW w:w="308"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统一社会信用代码</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tcW w:w="323"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tcW w:w="308"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联系人</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tcW w:w="323"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联系地址</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tcW w:w="308"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联系电话</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tcW w:w="323"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1024"/>
        </w:trPr>
        <w:tc>
          <w:tcPr>
            <w:tcW w:w="66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诚信档案记录情况</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gridSpan w:val="3"/>
            <w:tcW w:w="8326"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5318"/>
        </w:trPr>
        <w:tc>
          <w:tcPr>
            <w:tcW w:w="665" w:type="dxa"/>
            <w:vAlign w:val="center"/>
            <w:textDirection w:val="lrTb"/>
            <w:noWrap w:val="false"/>
          </w:tcPr>
          <w:p>
            <w:pPr>
              <w:pStyle w:val="802"/>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信用承诺</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c>
          <w:tcPr>
            <w:gridSpan w:val="3"/>
            <w:tcW w:w="8326" w:type="dxa"/>
            <w:vAlign w:val="center"/>
            <w:textDirection w:val="lrTb"/>
            <w:noWrap w:val="false"/>
          </w:tcPr>
          <w:p>
            <w:pPr>
              <w:pStyle w:val="802"/>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我公司自愿参加</w:t>
            </w:r>
            <w:r>
              <w:rPr>
                <w:rFonts w:hint="eastAsia" w:cs="Times New Roman"/>
                <w:szCs w:val="21"/>
                <w:highlight w:val="none"/>
                <w:lang w:eastAsia="zh-CN"/>
              </w:rPr>
              <w:t xml:space="preserve">江苏盛德量行建设咨询有限公司</w:t>
            </w:r>
            <w:r>
              <w:rPr>
                <w:rFonts w:ascii="Times New Roman" w:hAnsi="Times New Roman" w:eastAsia="宋体" w:cs="Times New Roman"/>
                <w:szCs w:val="21"/>
                <w:highlight w:val="none"/>
              </w:rPr>
              <w:t xml:space="preserve">组织的本次采购活动，严格遵守《中华人民共和国政府采购法》及相关法律法规，坚守公开、公平、</w:t>
            </w:r>
            <w:r>
              <w:rPr>
                <w:rFonts w:hint="eastAsia" w:ascii="Times New Roman" w:hAnsi="Times New Roman" w:eastAsia="宋体" w:cs="Times New Roman"/>
                <w:szCs w:val="21"/>
                <w:highlight w:val="none"/>
              </w:rPr>
              <w:t xml:space="preserve">公正</w:t>
            </w:r>
            <w:r>
              <w:rPr>
                <w:rFonts w:ascii="Times New Roman" w:hAnsi="Times New Roman" w:eastAsia="宋体" w:cs="Times New Roman"/>
                <w:szCs w:val="21"/>
                <w:highlight w:val="none"/>
              </w:rPr>
              <w:t xml:space="preserve">、诚实信用的原则，</w:t>
            </w:r>
            <w:r>
              <w:rPr>
                <w:rFonts w:hint="eastAsia" w:ascii="Times New Roman" w:hAnsi="Times New Roman" w:eastAsia="宋体" w:cs="Times New Roman"/>
                <w:szCs w:val="21"/>
                <w:highlight w:val="none"/>
              </w:rPr>
              <w:t xml:space="preserve">依法</w:t>
            </w:r>
            <w:r>
              <w:rPr>
                <w:rFonts w:ascii="Times New Roman" w:hAnsi="Times New Roman" w:eastAsia="宋体" w:cs="Times New Roman"/>
                <w:szCs w:val="21"/>
                <w:highlight w:val="none"/>
              </w:rPr>
              <w:t xml:space="preserve">诚信经营，无条件遵守本次政府采购活动的各项规定。</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p>
            <w:pPr>
              <w:pStyle w:val="802"/>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我们郑重承诺，本公司符合《</w:t>
            </w:r>
            <w:r>
              <w:rPr>
                <w:rFonts w:hint="eastAsia" w:ascii="Times New Roman" w:hAnsi="Times New Roman" w:eastAsia="宋体" w:cs="Times New Roman"/>
                <w:szCs w:val="21"/>
                <w:highlight w:val="none"/>
              </w:rPr>
              <w:t xml:space="preserve">中华人民共和国政府采购法</w:t>
            </w:r>
            <w:r>
              <w:rPr>
                <w:rFonts w:ascii="Times New Roman" w:hAnsi="Times New Roman" w:eastAsia="宋体" w:cs="Times New Roman"/>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szCs w:val="21"/>
                <w:highlight w:val="none"/>
              </w:rPr>
              <w:t xml:space="preserve">；具</w:t>
            </w:r>
            <w:r>
              <w:rPr>
                <w:rFonts w:ascii="Times New Roman" w:hAnsi="Times New Roman" w:eastAsia="宋体" w:cs="Times New Roman"/>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szCs w:val="21"/>
                <w:highlight w:val="none"/>
              </w:rPr>
              <w:t xml:space="preserve">机关的</w:t>
            </w:r>
            <w:r>
              <w:rPr>
                <w:rFonts w:ascii="Times New Roman" w:hAnsi="Times New Roman" w:eastAsia="宋体" w:cs="Times New Roman"/>
                <w:szCs w:val="21"/>
                <w:highlight w:val="none"/>
              </w:rPr>
              <w:t xml:space="preserve">审查和处罚。</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p>
            <w:pPr>
              <w:pStyle w:val="802"/>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供应商名称（盖章）：</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p>
            <w:pPr>
              <w:pStyle w:val="802"/>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法定代表人（签字）：</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p>
            <w:pPr>
              <w:pStyle w:val="802"/>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szCs w:val="20"/>
                <w:highlight w:val="none"/>
              </w:rPr>
              <w:t xml:space="preserve"> </w:t>
            </w:r>
            <w:r>
              <w:rPr>
                <w:rFonts w:ascii="Times New Roman" w:hAnsi="Times New Roman" w:eastAsia="宋体" w:cs="Times New Roman"/>
                <w:sz w:val="24"/>
                <w:szCs w:val="20"/>
                <w:highlight w:val="none"/>
              </w:rPr>
            </w:r>
            <w:r/>
          </w:p>
        </w:tc>
      </w:tr>
    </w:tbl>
    <w:p>
      <w:pPr>
        <w:pStyle w:val="802"/>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802"/>
        <w:ind w:right="-5"/>
        <w:jc w:val="left"/>
        <w:spacing w:before="100" w:beforeAutospacing="1" w:after="100" w:afterAutospacing="1"/>
        <w:widowControl/>
        <w:rPr>
          <w:highlight w:val="none"/>
        </w:rPr>
      </w:pPr>
      <w:r>
        <w:rPr>
          <w:rFonts w:hint="eastAsia" w:ascii="宋体" w:hAnsi="宋体" w:eastAsia="宋体" w:cs="宋体"/>
          <w:bCs/>
          <w:sz w:val="18"/>
          <w:szCs w:val="18"/>
          <w:highlight w:val="none"/>
        </w:rPr>
        <w:t xml:space="preserve">点击‘南京公共采购信息网’</w:t>
      </w:r>
      <w:r>
        <w:rPr>
          <w:rFonts w:hint="eastAsia" w:ascii="宋体" w:hAnsi="宋体" w:eastAsia="宋体" w:cs="宋体"/>
          <w:bCs/>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highlight w:val="none"/>
        </w:rPr>
      </w:r>
      <w:r/>
    </w:p>
    <w:p>
      <w:pPr>
        <w:pStyle w:val="802"/>
        <w:rPr>
          <w:rFonts w:hint="eastAsia" w:ascii="宋体" w:hAnsi="宋体" w:eastAsia="宋体" w:cs="宋体"/>
          <w:b/>
          <w:sz w:val="24"/>
          <w:szCs w:val="21"/>
          <w:highlight w:val="none"/>
          <w:lang w:eastAsia="zh-CN"/>
        </w:rPr>
      </w:pPr>
      <w:r>
        <w:rPr>
          <w:rFonts w:ascii="Arial" w:hAnsi="Arial" w:cs="Arial"/>
          <w:color w:val="000000"/>
          <w:sz w:val="24"/>
          <w:highlight w:val="none"/>
        </w:rPr>
        <w:br w:type="page" w:clear="all"/>
      </w:r>
      <w:r>
        <w:rPr>
          <w:rFonts w:hint="eastAsia" w:ascii="宋体" w:hAnsi="宋体" w:eastAsia="宋体" w:cs="宋体"/>
          <w:b/>
          <w:sz w:val="24"/>
          <w:szCs w:val="21"/>
          <w:highlight w:val="none"/>
          <w:lang w:eastAsia="zh-CN"/>
        </w:rPr>
        <w:t xml:space="preserve">（</w:t>
      </w:r>
      <w:r>
        <w:rPr>
          <w:rFonts w:hint="eastAsia" w:ascii="宋体" w:hAnsi="宋体" w:eastAsia="宋体" w:cs="宋体"/>
          <w:b/>
          <w:sz w:val="24"/>
          <w:szCs w:val="21"/>
          <w:highlight w:val="none"/>
          <w:lang w:val="en-US" w:eastAsia="zh-CN"/>
        </w:rPr>
        <w:t xml:space="preserve">十四</w:t>
      </w:r>
      <w:r>
        <w:rPr>
          <w:rFonts w:hint="eastAsia" w:ascii="宋体" w:hAnsi="宋体" w:eastAsia="宋体" w:cs="宋体"/>
          <w:b/>
          <w:sz w:val="24"/>
          <w:szCs w:val="21"/>
          <w:highlight w:val="none"/>
          <w:lang w:eastAsia="zh-CN"/>
        </w:rPr>
        <w:t xml:space="preserve">）其他</w:t>
      </w:r>
      <w:r>
        <w:rPr>
          <w:rFonts w:hint="eastAsia" w:ascii="宋体" w:hAnsi="宋体" w:eastAsia="宋体" w:cs="宋体"/>
          <w:b/>
          <w:sz w:val="24"/>
          <w:szCs w:val="21"/>
          <w:highlight w:val="none"/>
          <w:lang w:eastAsia="zh-CN"/>
        </w:rPr>
      </w:r>
      <w:r/>
    </w:p>
    <w:p>
      <w:pPr>
        <w:pStyle w:val="814"/>
      </w:pPr>
      <w:r/>
      <w:r/>
    </w:p>
    <w:p>
      <w:pPr>
        <w:pStyle w:val="802"/>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pPr>
                          <w:r>
                            <w:fldChar w:fldCharType="begin"/>
                          </w:r>
                          <w:r>
                            <w:instrText xml:space="preserve"> PAGE  \* MERGEFORMAT </w:instrText>
                          </w:r>
                          <w:r>
                            <w:fldChar w:fldCharType="separate"/>
                          </w:r>
                          <w:r>
                            <w:t xml:space="preserve">4</w:t>
                          </w:r>
                          <w:r>
                            <w:fldChar w:fldCharType="end"/>
                          </w:r>
                          <w:r/>
                        </w:p>
                        <w:p>
                          <w:pPr>
                            <w:pStyle w:val="8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pPr>
                    <w:r>
                      <w:fldChar w:fldCharType="begin"/>
                    </w:r>
                    <w:r>
                      <w:instrText xml:space="preserve"> PAGE  \* MERGEFORMAT </w:instrText>
                    </w:r>
                    <w:r>
                      <w:fldChar w:fldCharType="separate"/>
                    </w:r>
                    <w:r>
                      <w:t xml:space="preserve">4</w:t>
                    </w:r>
                    <w:r>
                      <w:fldChar w:fldCharType="end"/>
                    </w:r>
                    <w:r/>
                  </w:p>
                  <w:p>
                    <w:pPr>
                      <w:pStyle w:val="8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pPr>
                          <w:r>
                            <w:fldChar w:fldCharType="begin"/>
                          </w:r>
                          <w:r>
                            <w:instrText xml:space="preserve"> PAGE  \* MERGEFORMAT </w:instrText>
                          </w:r>
                          <w:r>
                            <w:fldChar w:fldCharType="separate"/>
                          </w:r>
                          <w:r>
                            <w:t xml:space="preserve">1</w:t>
                          </w:r>
                          <w:r>
                            <w:fldChar w:fldCharType="end"/>
                          </w:r>
                          <w:r/>
                        </w:p>
                        <w:p>
                          <w:pPr>
                            <w:pStyle w:val="8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pPr>
                    <w:r>
                      <w:fldChar w:fldCharType="begin"/>
                    </w:r>
                    <w:r>
                      <w:instrText xml:space="preserve"> PAGE  \* MERGEFORMAT </w:instrText>
                    </w:r>
                    <w:r>
                      <w:fldChar w:fldCharType="separate"/>
                    </w:r>
                    <w:r>
                      <w:t xml:space="preserve">1</w:t>
                    </w:r>
                    <w:r>
                      <w:fldChar w:fldCharType="end"/>
                    </w:r>
                    <w:r/>
                  </w:p>
                  <w:p>
                    <w:pPr>
                      <w:pStyle w:val="80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pPr>
                          <w:r>
                            <w:fldChar w:fldCharType="begin"/>
                          </w:r>
                          <w:r>
                            <w:instrText xml:space="preserve"> PAGE  \* MERGEFORMAT </w:instrText>
                          </w:r>
                          <w:r>
                            <w:fldChar w:fldCharType="separate"/>
                          </w:r>
                          <w:r>
                            <w:t xml:space="preserve">2</w:t>
                          </w:r>
                          <w:r>
                            <w:fldChar w:fldCharType="end"/>
                          </w:r>
                          <w:r/>
                        </w:p>
                        <w:p>
                          <w:pPr>
                            <w:pStyle w:val="80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pPr>
                    <w:r>
                      <w:fldChar w:fldCharType="begin"/>
                    </w:r>
                    <w:r>
                      <w:instrText xml:space="preserve"> PAGE  \* MERGEFORMAT </w:instrText>
                    </w:r>
                    <w:r>
                      <w:fldChar w:fldCharType="separate"/>
                    </w:r>
                    <w:r>
                      <w:t xml:space="preserve">2</w:t>
                    </w:r>
                    <w:r>
                      <w:fldChar w:fldCharType="end"/>
                    </w:r>
                    <w:r/>
                  </w:p>
                  <w:p>
                    <w:pPr>
                      <w:pStyle w:val="802"/>
                    </w:pPr>
                    <w:r/>
                    <w:r/>
                  </w:p>
                </w:txbxContent>
              </v:textbox>
            </v:shape>
          </w:pict>
        </mc:Fallback>
      </mc:AlternateContent>
    </w:r>
    <w:r>
      <w:rPr>
        <w:b/>
        <w:i/>
        <w:sz w:val="20"/>
      </w:rPr>
      <w:t xml:space="preserve"> </w:t>
    </w: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pPr>
                          <w:r>
                            <w:fldChar w:fldCharType="begin"/>
                          </w:r>
                          <w:r>
                            <w:instrText xml:space="preserve"> PAGE  \* MERGEFORMAT </w:instrText>
                          </w:r>
                          <w:r>
                            <w:fldChar w:fldCharType="separate"/>
                          </w:r>
                          <w:r>
                            <w:t xml:space="preserve">43</w:t>
                          </w:r>
                          <w:r>
                            <w:fldChar w:fldCharType="end"/>
                          </w:r>
                          <w:r/>
                        </w:p>
                        <w:p>
                          <w:pPr>
                            <w:pStyle w:val="80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pPr>
                    <w:r>
                      <w:fldChar w:fldCharType="begin"/>
                    </w:r>
                    <w:r>
                      <w:instrText xml:space="preserve"> PAGE  \* MERGEFORMAT </w:instrText>
                    </w:r>
                    <w:r>
                      <w:fldChar w:fldCharType="separate"/>
                    </w:r>
                    <w:r>
                      <w:t xml:space="preserve">43</w:t>
                    </w:r>
                    <w:r>
                      <w:fldChar w:fldCharType="end"/>
                    </w:r>
                    <w:r/>
                  </w:p>
                  <w:p>
                    <w:pPr>
                      <w:pStyle w:val="8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spacing w:line="40" w:lineRule="exact"/>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92"/>
      <w:isLgl w:val="false"/>
      <w:suff w:val="tab"/>
      <w:lvlText w:val="附录%1."/>
      <w:lvlJc w:val="left"/>
      <w:pPr>
        <w:pStyle w:val="802"/>
        <w:ind w:left="907" w:hanging="907"/>
        <w:tabs>
          <w:tab w:val="num" w:pos="907" w:leader="none"/>
        </w:tabs>
      </w:pPr>
      <w:rPr>
        <w:rFonts w:hint="eastAsia"/>
      </w:r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802"/>
        <w:ind w:left="0" w:firstLine="0"/>
      </w:pPr>
      <w:rPr>
        <w:rFonts w:hint="eastAsia"/>
      </w:rPr>
    </w:lvl>
    <w:lvl w:ilvl="1">
      <w:start w:val="1"/>
      <w:numFmt w:val="decimal"/>
      <w:isLgl w:val="false"/>
      <w:suff w:val="nothing"/>
      <w:lvlText w:val="%2、"/>
      <w:lvlJc w:val="left"/>
      <w:pPr>
        <w:pStyle w:val="802"/>
        <w:ind w:left="0" w:firstLine="0"/>
      </w:pPr>
      <w:rPr>
        <w:rFonts w:hint="eastAsia"/>
      </w:rPr>
    </w:lvl>
    <w:lvl w:ilvl="2">
      <w:start w:val="1"/>
      <w:numFmt w:val="decimal"/>
      <w:isLgl w:val="false"/>
      <w:suff w:val="nothing"/>
      <w:lvlText w:val="%2.%3 "/>
      <w:lvlJc w:val="left"/>
      <w:pPr>
        <w:pStyle w:val="802"/>
        <w:ind w:left="0" w:firstLine="0"/>
      </w:pPr>
      <w:rPr>
        <w:rFonts w:hint="eastAsia"/>
      </w:rPr>
    </w:lvl>
    <w:lvl w:ilvl="3">
      <w:start w:val="1"/>
      <w:numFmt w:val="decimal"/>
      <w:isLgl w:val="false"/>
      <w:suff w:val="nothing"/>
      <w:lvlText w:val="%2.%3.%4 "/>
      <w:lvlJc w:val="left"/>
      <w:pPr>
        <w:pStyle w:val="802"/>
        <w:ind w:left="0" w:firstLine="0"/>
      </w:pPr>
      <w:rPr>
        <w:rFonts w:hint="eastAsia"/>
      </w:rPr>
    </w:lvl>
    <w:lvl w:ilvl="4">
      <w:start w:val="1"/>
      <w:numFmt w:val="decimal"/>
      <w:isLgl w:val="false"/>
      <w:suff w:val="nothing"/>
      <w:lvlText w:val="%2.%3.%4.%5 "/>
      <w:lvlJc w:val="left"/>
      <w:pPr>
        <w:pStyle w:val="802"/>
        <w:ind w:left="0" w:firstLine="0"/>
      </w:pPr>
      <w:rPr>
        <w:rFonts w:hint="eastAsia"/>
      </w:rPr>
    </w:lvl>
    <w:lvl w:ilvl="5">
      <w:start w:val="1"/>
      <w:numFmt w:val="lowerRoman"/>
      <w:pStyle w:val="1027"/>
      <w:isLgl w:val="false"/>
      <w:suff w:val="tab"/>
      <w:lvlText w:val="%6."/>
      <w:lvlJc w:val="right"/>
      <w:pPr>
        <w:pStyle w:val="802"/>
        <w:ind w:left="2520" w:hanging="420"/>
      </w:pPr>
    </w:lvl>
    <w:lvl w:ilvl="6">
      <w:start w:val="1"/>
      <w:numFmt w:val="decimal"/>
      <w:pStyle w:val="1029"/>
      <w:isLgl w:val="false"/>
      <w:suff w:val="tab"/>
      <w:lvlText w:val="%7."/>
      <w:lvlJc w:val="left"/>
      <w:pPr>
        <w:pStyle w:val="802"/>
        <w:ind w:left="2940" w:hanging="420"/>
      </w:pPr>
    </w:lvl>
    <w:lvl w:ilvl="7">
      <w:start w:val="1"/>
      <w:numFmt w:val="lowerLetter"/>
      <w:pStyle w:val="1031"/>
      <w:isLgl w:val="false"/>
      <w:suff w:val="tab"/>
      <w:lvlText w:val="%8)"/>
      <w:lvlJc w:val="left"/>
      <w:pPr>
        <w:pStyle w:val="802"/>
        <w:ind w:left="3360" w:hanging="420"/>
      </w:pPr>
    </w:lvl>
    <w:lvl w:ilvl="8">
      <w:start w:val="1"/>
      <w:numFmt w:val="lowerRoman"/>
      <w:pStyle w:val="1033"/>
      <w:isLgl w:val="false"/>
      <w:suff w:val="tab"/>
      <w:lvlText w:val="%9."/>
      <w:lvlJc w:val="right"/>
      <w:pPr>
        <w:pStyle w:val="802"/>
        <w:ind w:left="3780" w:hanging="420"/>
      </w:pPr>
    </w:lvl>
  </w:abstractNum>
  <w:abstractNum w:abstractNumId="2">
    <w:multiLevelType w:val="hybridMultilevel"/>
    <w:lvl w:ilvl="0">
      <w:start w:val="2"/>
      <w:numFmt w:val="decimal"/>
      <w:isLgl w:val="false"/>
      <w:suff w:val="tab"/>
      <w:lvlText w:val="%1."/>
      <w:lvlJc w:val="left"/>
      <w:pPr>
        <w:pStyle w:val="802"/>
        <w:tabs>
          <w:tab w:val="num" w:pos="312" w:leader="none"/>
        </w:tabs>
      </w:p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3">
    <w:multiLevelType w:val="hybridMultilevel"/>
    <w:lvl w:ilvl="0">
      <w:start w:val="1"/>
      <w:numFmt w:val="decimal"/>
      <w:pStyle w:val="1109"/>
      <w:isLgl w:val="false"/>
      <w:suff w:val="tab"/>
      <w:lvlText w:val="%1."/>
      <w:lvlJc w:val="left"/>
      <w:pPr>
        <w:pStyle w:val="802"/>
        <w:ind w:left="709" w:hanging="709"/>
        <w:tabs>
          <w:tab w:val="num" w:pos="709" w:leader="none"/>
        </w:tabs>
      </w:pPr>
      <w:rPr>
        <w:rFonts w:hint="eastAsia"/>
      </w:rPr>
    </w:lvl>
    <w:lvl w:ilvl="1">
      <w:start w:val="1"/>
      <w:numFmt w:val="decimal"/>
      <w:isLgl w:val="false"/>
      <w:suff w:val="tab"/>
      <w:lvlText w:val="%1.%2"/>
      <w:lvlJc w:val="left"/>
      <w:pPr>
        <w:pStyle w:val="802"/>
        <w:ind w:left="709" w:hanging="709"/>
        <w:tabs>
          <w:tab w:val="num" w:pos="709" w:leader="none"/>
        </w:tabs>
      </w:pPr>
      <w:rPr>
        <w:rFonts w:hint="eastAsia"/>
      </w:rPr>
    </w:lvl>
    <w:lvl w:ilvl="2">
      <w:start w:val="1"/>
      <w:numFmt w:val="decimal"/>
      <w:isLgl w:val="false"/>
      <w:suff w:val="tab"/>
      <w:lvlText w:val="%1.%2.%3."/>
      <w:lvlJc w:val="left"/>
      <w:pPr>
        <w:pStyle w:val="802"/>
        <w:ind w:left="425" w:hanging="425"/>
        <w:tabs>
          <w:tab w:val="num" w:pos="425" w:leader="none"/>
        </w:tabs>
      </w:pPr>
      <w:rPr>
        <w:rFonts w:hint="eastAsia"/>
      </w:rPr>
    </w:lvl>
    <w:lvl w:ilvl="3">
      <w:start w:val="1"/>
      <w:numFmt w:val="decimal"/>
      <w:isLgl w:val="false"/>
      <w:suff w:val="tab"/>
      <w:lvlText w:val="%1.%2.%3.%4."/>
      <w:lvlJc w:val="left"/>
      <w:pPr>
        <w:pStyle w:val="802"/>
        <w:ind w:left="851" w:hanging="851"/>
        <w:tabs>
          <w:tab w:val="num" w:pos="851" w:leader="none"/>
        </w:tabs>
      </w:pPr>
      <w:rPr>
        <w:rFonts w:hint="eastAsia"/>
      </w:rPr>
    </w:lvl>
    <w:lvl w:ilvl="4">
      <w:start w:val="1"/>
      <w:numFmt w:val="decimal"/>
      <w:isLgl w:val="false"/>
      <w:suff w:val="tab"/>
      <w:lvlText w:val="%1.%2.%3.%4.%5."/>
      <w:lvlJc w:val="left"/>
      <w:pPr>
        <w:pStyle w:val="802"/>
        <w:ind w:left="992" w:hanging="992"/>
        <w:tabs>
          <w:tab w:val="num" w:pos="992" w:leader="none"/>
        </w:tabs>
      </w:pPr>
      <w:rPr>
        <w:rFonts w:hint="eastAsia"/>
      </w:rPr>
    </w:lvl>
    <w:lvl w:ilvl="5">
      <w:start w:val="1"/>
      <w:numFmt w:val="decimal"/>
      <w:isLgl w:val="false"/>
      <w:suff w:val="tab"/>
      <w:lvlText w:val="%1.%2.%3.%4.%5.%6."/>
      <w:lvlJc w:val="left"/>
      <w:pPr>
        <w:pStyle w:val="802"/>
        <w:ind w:left="1134" w:hanging="1134"/>
        <w:tabs>
          <w:tab w:val="num" w:pos="1134" w:leader="none"/>
        </w:tabs>
      </w:pPr>
      <w:rPr>
        <w:rFonts w:hint="eastAsia"/>
      </w:rPr>
    </w:lvl>
    <w:lvl w:ilvl="6">
      <w:start w:val="1"/>
      <w:numFmt w:val="decimal"/>
      <w:isLgl w:val="false"/>
      <w:suff w:val="tab"/>
      <w:lvlText w:val="%1.%2.%3.%4.%5.%6.%7."/>
      <w:lvlJc w:val="left"/>
      <w:pPr>
        <w:pStyle w:val="802"/>
        <w:ind w:left="1276" w:hanging="1276"/>
        <w:tabs>
          <w:tab w:val="num" w:pos="1276" w:leader="none"/>
        </w:tabs>
      </w:pPr>
      <w:rPr>
        <w:rFonts w:hint="eastAsia"/>
      </w:rPr>
    </w:lvl>
    <w:lvl w:ilvl="7">
      <w:start w:val="1"/>
      <w:numFmt w:val="decimal"/>
      <w:isLgl w:val="false"/>
      <w:suff w:val="tab"/>
      <w:lvlText w:val="%1.%2.%3.%4.%5.%6.%7.%8."/>
      <w:lvlJc w:val="left"/>
      <w:pPr>
        <w:pStyle w:val="802"/>
        <w:ind w:left="1418" w:hanging="1418"/>
        <w:tabs>
          <w:tab w:val="num" w:pos="1418" w:leader="none"/>
        </w:tabs>
      </w:pPr>
      <w:rPr>
        <w:rFonts w:hint="eastAsia"/>
      </w:rPr>
    </w:lvl>
    <w:lvl w:ilvl="8">
      <w:start w:val="1"/>
      <w:numFmt w:val="decimal"/>
      <w:isLgl w:val="false"/>
      <w:suff w:val="tab"/>
      <w:lvlText w:val="%1.%2.%3.%4.%5.%6.%7.%8.%9."/>
      <w:lvlJc w:val="left"/>
      <w:pPr>
        <w:pStyle w:val="802"/>
        <w:ind w:left="1559" w:hanging="1559"/>
        <w:tabs>
          <w:tab w:val="num" w:pos="1559" w:leader="none"/>
        </w:tabs>
      </w:pPr>
      <w:rPr>
        <w:rFonts w:hint="eastAsia"/>
      </w:rPr>
    </w:lvl>
  </w:abstractNum>
  <w:abstractNum w:abstractNumId="4">
    <w:multiLevelType w:val="hybridMultilevel"/>
    <w:lvl w:ilvl="0">
      <w:start w:val="2"/>
      <w:numFmt w:val="decimal"/>
      <w:isLgl w:val="false"/>
      <w:suff w:val="nothing"/>
      <w:lvlText w:val="%1、"/>
      <w:lvlJc w:val="left"/>
      <w:pPr>
        <w:pStyle w:val="802"/>
      </w:pPr>
    </w:lvl>
    <w:lvl w:ilvl="1">
      <w:start w:val="1"/>
      <w:numFmt w:val="bullet"/>
      <w:isLgl w:val="false"/>
      <w:suff w:val="space"/>
      <w:lvlText w:val="o"/>
      <w:lvlJc w:val="left"/>
      <w:pPr>
        <w:pStyle w:val="802"/>
        <w:ind w:left="1440" w:hanging="360"/>
      </w:pPr>
      <w:rPr>
        <w:rFonts w:ascii="Courier New" w:hAnsi="Courier New" w:eastAsia="Courier New" w:cs="Courier New"/>
      </w:rPr>
    </w:lvl>
    <w:lvl w:ilvl="2">
      <w:start w:val="1"/>
      <w:numFmt w:val="bullet"/>
      <w:isLgl w:val="false"/>
      <w:suff w:val="space"/>
      <w:lvlText w:val="§"/>
      <w:lvlJc w:val="left"/>
      <w:pPr>
        <w:pStyle w:val="802"/>
        <w:ind w:left="2160" w:hanging="360"/>
      </w:pPr>
      <w:rPr>
        <w:rFonts w:ascii="Wingdings" w:hAnsi="Wingdings" w:eastAsia="Wingdings" w:cs="Wingdings"/>
      </w:rPr>
    </w:lvl>
    <w:lvl w:ilvl="3">
      <w:start w:val="1"/>
      <w:numFmt w:val="bullet"/>
      <w:isLgl w:val="false"/>
      <w:suff w:val="space"/>
      <w:lvlText w:val="·"/>
      <w:lvlJc w:val="left"/>
      <w:pPr>
        <w:pStyle w:val="802"/>
        <w:ind w:left="2880" w:hanging="360"/>
      </w:pPr>
      <w:rPr>
        <w:rFonts w:ascii="Symbol" w:hAnsi="Symbol" w:eastAsia="Symbol" w:cs="Symbol"/>
      </w:rPr>
    </w:lvl>
    <w:lvl w:ilvl="4">
      <w:start w:val="1"/>
      <w:numFmt w:val="bullet"/>
      <w:isLgl w:val="false"/>
      <w:suff w:val="space"/>
      <w:lvlText w:val="o"/>
      <w:lvlJc w:val="left"/>
      <w:pPr>
        <w:pStyle w:val="802"/>
        <w:ind w:left="3600" w:hanging="360"/>
      </w:pPr>
      <w:rPr>
        <w:rFonts w:ascii="Courier New" w:hAnsi="Courier New" w:eastAsia="Courier New" w:cs="Courier New"/>
      </w:rPr>
    </w:lvl>
    <w:lvl w:ilvl="5">
      <w:start w:val="1"/>
      <w:numFmt w:val="bullet"/>
      <w:isLgl w:val="false"/>
      <w:suff w:val="space"/>
      <w:lvlText w:val="§"/>
      <w:lvlJc w:val="left"/>
      <w:pPr>
        <w:pStyle w:val="802"/>
        <w:ind w:left="4320" w:hanging="360"/>
      </w:pPr>
      <w:rPr>
        <w:rFonts w:ascii="Wingdings" w:hAnsi="Wingdings" w:eastAsia="Wingdings" w:cs="Wingdings"/>
      </w:rPr>
    </w:lvl>
    <w:lvl w:ilvl="6">
      <w:start w:val="1"/>
      <w:numFmt w:val="bullet"/>
      <w:isLgl w:val="false"/>
      <w:suff w:val="space"/>
      <w:lvlText w:val="·"/>
      <w:lvlJc w:val="left"/>
      <w:pPr>
        <w:pStyle w:val="802"/>
        <w:ind w:left="5040" w:hanging="360"/>
      </w:pPr>
      <w:rPr>
        <w:rFonts w:ascii="Symbol" w:hAnsi="Symbol" w:eastAsia="Symbol" w:cs="Symbol"/>
      </w:rPr>
    </w:lvl>
    <w:lvl w:ilvl="7">
      <w:start w:val="1"/>
      <w:numFmt w:val="bullet"/>
      <w:isLgl w:val="false"/>
      <w:suff w:val="space"/>
      <w:lvlText w:val="o"/>
      <w:lvlJc w:val="left"/>
      <w:pPr>
        <w:pStyle w:val="802"/>
        <w:ind w:left="5760" w:hanging="360"/>
      </w:pPr>
      <w:rPr>
        <w:rFonts w:ascii="Courier New" w:hAnsi="Courier New" w:eastAsia="Courier New" w:cs="Courier New"/>
      </w:rPr>
    </w:lvl>
    <w:lvl w:ilvl="8">
      <w:start w:val="1"/>
      <w:numFmt w:val="bullet"/>
      <w:isLgl w:val="false"/>
      <w:suff w:val="space"/>
      <w:lvlText w:val="§"/>
      <w:lvlJc w:val="left"/>
      <w:pPr>
        <w:pStyle w:val="802"/>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2"/>
    <w:next w:val="802"/>
    <w:link w:val="866"/>
    <w:uiPriority w:val="9"/>
    <w:qFormat/>
    <w:pPr>
      <w:keepLines/>
      <w:keepNext/>
      <w:spacing w:before="480" w:after="200"/>
      <w:outlineLvl w:val="0"/>
    </w:pPr>
    <w:rPr>
      <w:rFonts w:ascii="Arial" w:hAnsi="Arial" w:eastAsia="Arial" w:cs="Arial"/>
      <w:sz w:val="40"/>
      <w:szCs w:val="40"/>
    </w:rPr>
  </w:style>
  <w:style w:type="paragraph" w:styleId="14">
    <w:name w:val="Heading 2"/>
    <w:basedOn w:val="802"/>
    <w:next w:val="802"/>
    <w:link w:val="867"/>
    <w:uiPriority w:val="9"/>
    <w:unhideWhenUsed/>
    <w:qFormat/>
    <w:pPr>
      <w:keepLines/>
      <w:keepNext/>
      <w:spacing w:before="360" w:after="200"/>
      <w:outlineLvl w:val="1"/>
    </w:pPr>
    <w:rPr>
      <w:rFonts w:ascii="Arial" w:hAnsi="Arial" w:eastAsia="Arial" w:cs="Arial"/>
      <w:sz w:val="34"/>
    </w:rPr>
  </w:style>
  <w:style w:type="paragraph" w:styleId="16">
    <w:name w:val="Heading 3"/>
    <w:basedOn w:val="802"/>
    <w:next w:val="802"/>
    <w:link w:val="86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02"/>
    <w:next w:val="802"/>
    <w:link w:val="86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02"/>
    <w:next w:val="802"/>
    <w:link w:val="87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02"/>
    <w:next w:val="802"/>
    <w:link w:val="87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02"/>
    <w:next w:val="802"/>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02"/>
    <w:next w:val="802"/>
    <w:link w:val="87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02"/>
    <w:next w:val="802"/>
    <w:link w:val="87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02"/>
    <w:next w:val="802"/>
    <w:link w:val="875"/>
    <w:uiPriority w:val="10"/>
    <w:qFormat/>
    <w:pPr>
      <w:contextualSpacing/>
      <w:spacing w:before="300" w:after="200"/>
    </w:pPr>
    <w:rPr>
      <w:sz w:val="48"/>
      <w:szCs w:val="48"/>
    </w:rPr>
  </w:style>
  <w:style w:type="paragraph" w:styleId="35">
    <w:name w:val="Subtitle"/>
    <w:basedOn w:val="802"/>
    <w:next w:val="802"/>
    <w:link w:val="876"/>
    <w:uiPriority w:val="11"/>
    <w:qFormat/>
    <w:pPr>
      <w:spacing w:before="200" w:after="200"/>
    </w:pPr>
    <w:rPr>
      <w:sz w:val="24"/>
      <w:szCs w:val="24"/>
    </w:rPr>
  </w:style>
  <w:style w:type="paragraph" w:styleId="41">
    <w:name w:val="Header"/>
    <w:basedOn w:val="802"/>
    <w:link w:val="879"/>
    <w:uiPriority w:val="99"/>
    <w:unhideWhenUsed/>
    <w:pPr>
      <w:spacing w:after="0" w:line="240" w:lineRule="auto"/>
      <w:tabs>
        <w:tab w:val="center" w:pos="7143" w:leader="none"/>
        <w:tab w:val="right" w:pos="14287" w:leader="none"/>
      </w:tabs>
    </w:pPr>
  </w:style>
  <w:style w:type="paragraph" w:styleId="43">
    <w:name w:val="Footer"/>
    <w:basedOn w:val="802"/>
    <w:link w:val="880"/>
    <w:uiPriority w:val="99"/>
    <w:unhideWhenUsed/>
    <w:pPr>
      <w:spacing w:after="0" w:line="240" w:lineRule="auto"/>
      <w:tabs>
        <w:tab w:val="center" w:pos="7143" w:leader="none"/>
        <w:tab w:val="right" w:pos="14287" w:leader="none"/>
      </w:tabs>
    </w:pPr>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02"/>
    <w:link w:val="88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02"/>
    <w:link w:val="88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02"/>
    <w:next w:val="802"/>
    <w:uiPriority w:val="39"/>
    <w:unhideWhenUsed/>
    <w:pPr>
      <w:ind w:left="0" w:right="0" w:firstLine="0"/>
      <w:spacing w:after="57"/>
    </w:pPr>
  </w:style>
  <w:style w:type="paragraph" w:styleId="181">
    <w:name w:val="toc 2"/>
    <w:basedOn w:val="802"/>
    <w:next w:val="802"/>
    <w:uiPriority w:val="39"/>
    <w:unhideWhenUsed/>
    <w:pPr>
      <w:ind w:left="283" w:right="0" w:firstLine="0"/>
      <w:spacing w:after="57"/>
    </w:pPr>
  </w:style>
  <w:style w:type="paragraph" w:styleId="182">
    <w:name w:val="toc 3"/>
    <w:basedOn w:val="802"/>
    <w:next w:val="802"/>
    <w:uiPriority w:val="39"/>
    <w:unhideWhenUsed/>
    <w:pPr>
      <w:ind w:left="567" w:right="0" w:firstLine="0"/>
      <w:spacing w:after="57"/>
    </w:pPr>
  </w:style>
  <w:style w:type="paragraph" w:styleId="183">
    <w:name w:val="toc 4"/>
    <w:basedOn w:val="802"/>
    <w:next w:val="802"/>
    <w:uiPriority w:val="39"/>
    <w:unhideWhenUsed/>
    <w:pPr>
      <w:ind w:left="850" w:right="0" w:firstLine="0"/>
      <w:spacing w:after="57"/>
    </w:pPr>
  </w:style>
  <w:style w:type="paragraph" w:styleId="184">
    <w:name w:val="toc 5"/>
    <w:basedOn w:val="802"/>
    <w:next w:val="802"/>
    <w:uiPriority w:val="39"/>
    <w:unhideWhenUsed/>
    <w:pPr>
      <w:ind w:left="1134" w:right="0" w:firstLine="0"/>
      <w:spacing w:after="57"/>
    </w:pPr>
  </w:style>
  <w:style w:type="paragraph" w:styleId="185">
    <w:name w:val="toc 6"/>
    <w:basedOn w:val="802"/>
    <w:next w:val="802"/>
    <w:uiPriority w:val="39"/>
    <w:unhideWhenUsed/>
    <w:pPr>
      <w:ind w:left="1417" w:right="0" w:firstLine="0"/>
      <w:spacing w:after="57"/>
    </w:pPr>
  </w:style>
  <w:style w:type="paragraph" w:styleId="186">
    <w:name w:val="toc 7"/>
    <w:basedOn w:val="802"/>
    <w:next w:val="802"/>
    <w:uiPriority w:val="39"/>
    <w:unhideWhenUsed/>
    <w:pPr>
      <w:ind w:left="1701" w:right="0" w:firstLine="0"/>
      <w:spacing w:after="57"/>
    </w:pPr>
  </w:style>
  <w:style w:type="paragraph" w:styleId="187">
    <w:name w:val="toc 8"/>
    <w:basedOn w:val="802"/>
    <w:next w:val="802"/>
    <w:uiPriority w:val="39"/>
    <w:unhideWhenUsed/>
    <w:pPr>
      <w:ind w:left="1984" w:right="0" w:firstLine="0"/>
      <w:spacing w:after="57"/>
    </w:pPr>
  </w:style>
  <w:style w:type="paragraph" w:styleId="188">
    <w:name w:val="toc 9"/>
    <w:basedOn w:val="802"/>
    <w:next w:val="802"/>
    <w:uiPriority w:val="39"/>
    <w:unhideWhenUsed/>
    <w:pPr>
      <w:ind w:left="2268" w:right="0" w:firstLine="0"/>
      <w:spacing w:after="57"/>
    </w:pPr>
  </w:style>
  <w:style w:type="paragraph" w:styleId="190">
    <w:name w:val="table of figures"/>
    <w:basedOn w:val="802"/>
    <w:next w:val="802"/>
    <w:uiPriority w:val="99"/>
    <w:unhideWhenUsed/>
    <w:pPr>
      <w:spacing w:after="0" w:afterAutospacing="0"/>
    </w:pPr>
  </w:style>
  <w:style w:type="paragraph" w:styleId="802" w:default="1">
    <w:name w:val="Normal"/>
    <w:next w:val="814"/>
    <w:link w:val="802"/>
    <w:qFormat/>
    <w:pPr>
      <w:jc w:val="both"/>
      <w:widowControl w:val="off"/>
    </w:pPr>
    <w:rPr>
      <w:rFonts w:ascii="Times New Roman" w:hAnsi="Times New Roman" w:eastAsia="宋体" w:cs="Times New Roman"/>
      <w:sz w:val="21"/>
      <w:szCs w:val="22"/>
      <w:lang w:val="en-US" w:eastAsia="zh-CN" w:bidi="ar-SA"/>
    </w:rPr>
  </w:style>
  <w:style w:type="paragraph" w:styleId="803">
    <w:name w:val="标题 1"/>
    <w:basedOn w:val="802"/>
    <w:next w:val="802"/>
    <w:link w:val="818"/>
    <w:uiPriority w:val="9"/>
    <w:qFormat/>
    <w:pPr>
      <w:keepLines/>
      <w:keepNext/>
      <w:spacing w:before="480" w:after="200"/>
      <w:outlineLvl w:val="0"/>
    </w:pPr>
    <w:rPr>
      <w:rFonts w:ascii="Arial" w:hAnsi="Arial" w:eastAsia="Arial" w:cs="Arial"/>
      <w:sz w:val="40"/>
      <w:szCs w:val="40"/>
    </w:rPr>
  </w:style>
  <w:style w:type="paragraph" w:styleId="804">
    <w:name w:val="标题 2"/>
    <w:basedOn w:val="802"/>
    <w:next w:val="802"/>
    <w:link w:val="819"/>
    <w:uiPriority w:val="9"/>
    <w:unhideWhenUsed/>
    <w:qFormat/>
    <w:pPr>
      <w:keepLines/>
      <w:keepNext/>
      <w:spacing w:before="360" w:after="200"/>
      <w:outlineLvl w:val="1"/>
    </w:pPr>
    <w:rPr>
      <w:rFonts w:ascii="Arial" w:hAnsi="Arial" w:eastAsia="Arial" w:cs="Arial"/>
      <w:sz w:val="34"/>
    </w:rPr>
  </w:style>
  <w:style w:type="paragraph" w:styleId="805">
    <w:name w:val="标题 3"/>
    <w:basedOn w:val="802"/>
    <w:next w:val="802"/>
    <w:link w:val="820"/>
    <w:uiPriority w:val="9"/>
    <w:unhideWhenUsed/>
    <w:qFormat/>
    <w:pPr>
      <w:keepLines/>
      <w:keepNext/>
      <w:spacing w:before="320" w:after="200"/>
      <w:outlineLvl w:val="2"/>
    </w:pPr>
    <w:rPr>
      <w:rFonts w:ascii="Arial" w:hAnsi="Arial" w:eastAsia="Arial" w:cs="Arial"/>
      <w:sz w:val="30"/>
      <w:szCs w:val="30"/>
    </w:rPr>
  </w:style>
  <w:style w:type="paragraph" w:styleId="806">
    <w:name w:val="标题 4"/>
    <w:basedOn w:val="802"/>
    <w:next w:val="802"/>
    <w:link w:val="821"/>
    <w:uiPriority w:val="9"/>
    <w:unhideWhenUsed/>
    <w:qFormat/>
    <w:pPr>
      <w:keepLines/>
      <w:keepNext/>
      <w:spacing w:before="320" w:after="200"/>
      <w:outlineLvl w:val="3"/>
    </w:pPr>
    <w:rPr>
      <w:rFonts w:ascii="Arial" w:hAnsi="Arial" w:eastAsia="Arial" w:cs="Arial"/>
      <w:b/>
      <w:bCs/>
      <w:sz w:val="26"/>
      <w:szCs w:val="26"/>
    </w:rPr>
  </w:style>
  <w:style w:type="paragraph" w:styleId="807">
    <w:name w:val="标题 5"/>
    <w:basedOn w:val="802"/>
    <w:next w:val="802"/>
    <w:link w:val="822"/>
    <w:uiPriority w:val="9"/>
    <w:unhideWhenUsed/>
    <w:qFormat/>
    <w:pPr>
      <w:keepLines/>
      <w:keepNext/>
      <w:spacing w:before="320" w:after="200"/>
      <w:outlineLvl w:val="4"/>
    </w:pPr>
    <w:rPr>
      <w:rFonts w:ascii="Arial" w:hAnsi="Arial" w:eastAsia="Arial" w:cs="Arial"/>
      <w:b/>
      <w:bCs/>
      <w:sz w:val="24"/>
      <w:szCs w:val="24"/>
    </w:rPr>
  </w:style>
  <w:style w:type="paragraph" w:styleId="808">
    <w:name w:val="标题 6"/>
    <w:basedOn w:val="802"/>
    <w:next w:val="802"/>
    <w:link w:val="823"/>
    <w:uiPriority w:val="9"/>
    <w:unhideWhenUsed/>
    <w:qFormat/>
    <w:pPr>
      <w:keepLines/>
      <w:keepNext/>
      <w:spacing w:before="320" w:after="200"/>
      <w:outlineLvl w:val="5"/>
    </w:pPr>
    <w:rPr>
      <w:rFonts w:ascii="Arial" w:hAnsi="Arial" w:eastAsia="Arial" w:cs="Arial"/>
      <w:b/>
      <w:bCs/>
      <w:sz w:val="22"/>
    </w:rPr>
  </w:style>
  <w:style w:type="paragraph" w:styleId="809">
    <w:name w:val="标题 7"/>
    <w:basedOn w:val="802"/>
    <w:next w:val="802"/>
    <w:link w:val="824"/>
    <w:uiPriority w:val="9"/>
    <w:unhideWhenUsed/>
    <w:qFormat/>
    <w:pPr>
      <w:keepLines/>
      <w:keepNext/>
      <w:spacing w:before="320" w:after="200"/>
      <w:outlineLvl w:val="6"/>
    </w:pPr>
    <w:rPr>
      <w:rFonts w:ascii="Arial" w:hAnsi="Arial" w:eastAsia="Arial" w:cs="Arial"/>
      <w:b/>
      <w:bCs/>
      <w:i/>
      <w:iCs/>
      <w:sz w:val="22"/>
    </w:rPr>
  </w:style>
  <w:style w:type="paragraph" w:styleId="810">
    <w:name w:val="标题 8"/>
    <w:basedOn w:val="802"/>
    <w:next w:val="802"/>
    <w:link w:val="825"/>
    <w:uiPriority w:val="9"/>
    <w:unhideWhenUsed/>
    <w:qFormat/>
    <w:pPr>
      <w:keepLines/>
      <w:keepNext/>
      <w:spacing w:before="320" w:after="200"/>
      <w:outlineLvl w:val="7"/>
    </w:pPr>
    <w:rPr>
      <w:rFonts w:ascii="Arial" w:hAnsi="Arial" w:eastAsia="Arial" w:cs="Arial"/>
      <w:i/>
      <w:iCs/>
      <w:sz w:val="22"/>
    </w:rPr>
  </w:style>
  <w:style w:type="paragraph" w:styleId="811">
    <w:name w:val="标题 9"/>
    <w:basedOn w:val="802"/>
    <w:next w:val="802"/>
    <w:link w:val="826"/>
    <w:uiPriority w:val="9"/>
    <w:unhideWhenUsed/>
    <w:qFormat/>
    <w:pPr>
      <w:keepLines/>
      <w:keepNext/>
      <w:spacing w:before="320" w:after="200"/>
      <w:outlineLvl w:val="8"/>
    </w:pPr>
    <w:rPr>
      <w:rFonts w:ascii="Arial" w:hAnsi="Arial" w:eastAsia="Arial" w:cs="Arial"/>
      <w:i/>
      <w:iCs/>
      <w:szCs w:val="21"/>
    </w:rPr>
  </w:style>
  <w:style w:type="character" w:styleId="812">
    <w:name w:val="默认段落字体"/>
    <w:next w:val="812"/>
    <w:link w:val="802"/>
    <w:uiPriority w:val="1"/>
    <w:unhideWhenUsed/>
    <w:qFormat/>
  </w:style>
  <w:style w:type="table" w:styleId="813">
    <w:name w:val="普通表格"/>
    <w:next w:val="813"/>
    <w:link w:val="802"/>
    <w:uiPriority w:val="99"/>
    <w:unhideWhenUsed/>
    <w:qFormat/>
    <w:tblPr/>
  </w:style>
  <w:style w:type="paragraph" w:styleId="814">
    <w:name w:val="正文首行缩进 21"/>
    <w:basedOn w:val="815"/>
    <w:next w:val="802"/>
    <w:link w:val="817"/>
    <w:qFormat/>
    <w:pPr>
      <w:ind w:left="0" w:firstLine="420"/>
      <w:spacing w:after="0" w:line="360" w:lineRule="auto"/>
    </w:pPr>
    <w:rPr>
      <w:rFonts w:ascii="宋体" w:hAnsi="宋体"/>
      <w:szCs w:val="20"/>
    </w:rPr>
  </w:style>
  <w:style w:type="paragraph" w:styleId="815">
    <w:name w:val="正文文本缩进11"/>
    <w:basedOn w:val="802"/>
    <w:next w:val="816"/>
    <w:link w:val="802"/>
    <w:unhideWhenUsed/>
    <w:qFormat/>
    <w:pPr>
      <w:ind w:left="420"/>
      <w:spacing w:after="120"/>
    </w:pPr>
  </w:style>
  <w:style w:type="paragraph" w:styleId="816">
    <w:name w:val="寄信人地址1"/>
    <w:basedOn w:val="802"/>
    <w:next w:val="816"/>
    <w:link w:val="802"/>
    <w:qFormat/>
    <w:rPr>
      <w:rFonts w:ascii="Arial" w:hAnsi="Arial" w:cs="宋体"/>
    </w:rPr>
  </w:style>
  <w:style w:type="character" w:styleId="817">
    <w:name w:val="正文首行缩进 2 Char"/>
    <w:next w:val="817"/>
    <w:link w:val="814"/>
    <w:qFormat/>
    <w:rPr>
      <w:rFonts w:ascii="宋体" w:hAnsi="宋体" w:eastAsia="宋体" w:cs="Times New Roman"/>
      <w:szCs w:val="20"/>
    </w:rPr>
  </w:style>
  <w:style w:type="character" w:styleId="818">
    <w:name w:val="标题 1 Char1"/>
    <w:next w:val="818"/>
    <w:link w:val="803"/>
    <w:uiPriority w:val="9"/>
    <w:qFormat/>
    <w:rPr>
      <w:rFonts w:ascii="Arial" w:hAnsi="Arial" w:eastAsia="Arial" w:cs="Arial"/>
      <w:sz w:val="40"/>
      <w:szCs w:val="40"/>
    </w:rPr>
  </w:style>
  <w:style w:type="character" w:styleId="819">
    <w:name w:val="标题 2 Char1"/>
    <w:next w:val="819"/>
    <w:link w:val="804"/>
    <w:uiPriority w:val="9"/>
    <w:qFormat/>
    <w:rPr>
      <w:rFonts w:ascii="Arial" w:hAnsi="Arial" w:eastAsia="Arial" w:cs="Arial"/>
      <w:sz w:val="34"/>
    </w:rPr>
  </w:style>
  <w:style w:type="character" w:styleId="820">
    <w:name w:val="标题 3 Char1"/>
    <w:next w:val="820"/>
    <w:link w:val="805"/>
    <w:uiPriority w:val="9"/>
    <w:qFormat/>
    <w:rPr>
      <w:rFonts w:ascii="Arial" w:hAnsi="Arial" w:eastAsia="Arial" w:cs="Arial"/>
      <w:sz w:val="30"/>
      <w:szCs w:val="30"/>
    </w:rPr>
  </w:style>
  <w:style w:type="character" w:styleId="821">
    <w:name w:val="标题 4 Char1"/>
    <w:next w:val="821"/>
    <w:link w:val="806"/>
    <w:uiPriority w:val="9"/>
    <w:qFormat/>
    <w:rPr>
      <w:rFonts w:ascii="Arial" w:hAnsi="Arial" w:eastAsia="Arial" w:cs="Arial"/>
      <w:b/>
      <w:bCs/>
      <w:sz w:val="26"/>
      <w:szCs w:val="26"/>
    </w:rPr>
  </w:style>
  <w:style w:type="character" w:styleId="822">
    <w:name w:val="标题 5 Char1"/>
    <w:next w:val="822"/>
    <w:link w:val="807"/>
    <w:uiPriority w:val="9"/>
    <w:qFormat/>
    <w:rPr>
      <w:rFonts w:ascii="Arial" w:hAnsi="Arial" w:eastAsia="Arial" w:cs="Arial"/>
      <w:b/>
      <w:bCs/>
      <w:sz w:val="24"/>
      <w:szCs w:val="24"/>
    </w:rPr>
  </w:style>
  <w:style w:type="character" w:styleId="823">
    <w:name w:val="标题 6 Char1"/>
    <w:next w:val="823"/>
    <w:link w:val="808"/>
    <w:uiPriority w:val="9"/>
    <w:qFormat/>
    <w:rPr>
      <w:rFonts w:ascii="Arial" w:hAnsi="Arial" w:eastAsia="Arial" w:cs="Arial"/>
      <w:b/>
      <w:bCs/>
      <w:sz w:val="22"/>
      <w:szCs w:val="22"/>
    </w:rPr>
  </w:style>
  <w:style w:type="character" w:styleId="824">
    <w:name w:val="标题 7 Char1"/>
    <w:next w:val="824"/>
    <w:link w:val="809"/>
    <w:uiPriority w:val="9"/>
    <w:qFormat/>
    <w:rPr>
      <w:rFonts w:ascii="Arial" w:hAnsi="Arial" w:eastAsia="Arial" w:cs="Arial"/>
      <w:b/>
      <w:bCs/>
      <w:i/>
      <w:iCs/>
      <w:sz w:val="22"/>
      <w:szCs w:val="22"/>
    </w:rPr>
  </w:style>
  <w:style w:type="character" w:styleId="825">
    <w:name w:val="标题 8 Char1"/>
    <w:next w:val="825"/>
    <w:link w:val="810"/>
    <w:uiPriority w:val="9"/>
    <w:qFormat/>
    <w:rPr>
      <w:rFonts w:ascii="Arial" w:hAnsi="Arial" w:eastAsia="Arial" w:cs="Arial"/>
      <w:i/>
      <w:iCs/>
      <w:sz w:val="22"/>
      <w:szCs w:val="22"/>
    </w:rPr>
  </w:style>
  <w:style w:type="character" w:styleId="826">
    <w:name w:val="标题 9 Char1"/>
    <w:next w:val="826"/>
    <w:link w:val="811"/>
    <w:uiPriority w:val="9"/>
    <w:qFormat/>
    <w:rPr>
      <w:rFonts w:ascii="Arial" w:hAnsi="Arial" w:eastAsia="Arial" w:cs="Arial"/>
      <w:i/>
      <w:iCs/>
      <w:sz w:val="21"/>
      <w:szCs w:val="21"/>
    </w:rPr>
  </w:style>
  <w:style w:type="paragraph" w:styleId="827">
    <w:name w:val="目录 7"/>
    <w:basedOn w:val="802"/>
    <w:next w:val="802"/>
    <w:link w:val="802"/>
    <w:uiPriority w:val="39"/>
    <w:unhideWhenUsed/>
    <w:qFormat/>
    <w:pPr>
      <w:ind w:left="1701"/>
      <w:spacing w:after="57"/>
    </w:pPr>
  </w:style>
  <w:style w:type="paragraph" w:styleId="828">
    <w:name w:val="题注"/>
    <w:basedOn w:val="802"/>
    <w:next w:val="802"/>
    <w:link w:val="802"/>
    <w:uiPriority w:val="35"/>
    <w:unhideWhenUsed/>
    <w:qFormat/>
    <w:pPr>
      <w:spacing w:line="276" w:lineRule="auto"/>
    </w:pPr>
    <w:rPr>
      <w:b/>
      <w:bCs/>
      <w:color w:val="4f81bd"/>
      <w:sz w:val="18"/>
      <w:szCs w:val="18"/>
    </w:rPr>
  </w:style>
  <w:style w:type="paragraph" w:styleId="829">
    <w:name w:val="批注文字"/>
    <w:basedOn w:val="802"/>
    <w:next w:val="829"/>
    <w:link w:val="802"/>
    <w:uiPriority w:val="99"/>
    <w:unhideWhenUsed/>
    <w:qFormat/>
    <w:pPr>
      <w:jc w:val="left"/>
    </w:pPr>
  </w:style>
  <w:style w:type="paragraph" w:styleId="830">
    <w:name w:val="正文文本"/>
    <w:basedOn w:val="802"/>
    <w:next w:val="830"/>
    <w:link w:val="802"/>
    <w:uiPriority w:val="99"/>
    <w:qFormat/>
    <w:rPr>
      <w:rFonts w:ascii="华文中宋" w:eastAsia="华文中宋"/>
      <w:bCs/>
      <w:sz w:val="28"/>
    </w:rPr>
  </w:style>
  <w:style w:type="paragraph" w:styleId="831">
    <w:name w:val="索引 4"/>
    <w:basedOn w:val="802"/>
    <w:next w:val="802"/>
    <w:link w:val="802"/>
    <w:uiPriority w:val="99"/>
    <w:qFormat/>
    <w:pPr>
      <w:ind w:left="600"/>
    </w:pPr>
    <w:rPr>
      <w:szCs w:val="24"/>
    </w:rPr>
  </w:style>
  <w:style w:type="paragraph" w:styleId="832">
    <w:name w:val="目录 5"/>
    <w:basedOn w:val="802"/>
    <w:next w:val="802"/>
    <w:link w:val="802"/>
    <w:uiPriority w:val="39"/>
    <w:unhideWhenUsed/>
    <w:qFormat/>
    <w:pPr>
      <w:ind w:left="1134"/>
      <w:spacing w:after="57"/>
    </w:pPr>
  </w:style>
  <w:style w:type="paragraph" w:styleId="833">
    <w:name w:val="目录 3"/>
    <w:basedOn w:val="802"/>
    <w:next w:val="802"/>
    <w:link w:val="802"/>
    <w:uiPriority w:val="39"/>
    <w:unhideWhenUsed/>
    <w:qFormat/>
    <w:pPr>
      <w:ind w:left="567"/>
      <w:spacing w:after="57"/>
    </w:pPr>
  </w:style>
  <w:style w:type="paragraph" w:styleId="834">
    <w:name w:val="纯文本"/>
    <w:basedOn w:val="802"/>
    <w:next w:val="834"/>
    <w:link w:val="802"/>
    <w:qFormat/>
    <w:pPr>
      <w:jc w:val="left"/>
      <w:widowControl/>
    </w:pPr>
    <w:rPr>
      <w:rFonts w:ascii="宋体" w:hAnsi="Courier New"/>
    </w:rPr>
  </w:style>
  <w:style w:type="paragraph" w:styleId="835">
    <w:name w:val="目录 8"/>
    <w:basedOn w:val="802"/>
    <w:next w:val="802"/>
    <w:link w:val="802"/>
    <w:uiPriority w:val="39"/>
    <w:unhideWhenUsed/>
    <w:qFormat/>
    <w:pPr>
      <w:ind w:left="1984"/>
      <w:spacing w:after="57"/>
    </w:pPr>
  </w:style>
  <w:style w:type="paragraph" w:styleId="836">
    <w:name w:val="尾注文本"/>
    <w:basedOn w:val="802"/>
    <w:next w:val="836"/>
    <w:link w:val="837"/>
    <w:uiPriority w:val="99"/>
    <w:unhideWhenUsed/>
    <w:qFormat/>
    <w:rPr>
      <w:sz w:val="20"/>
    </w:rPr>
  </w:style>
  <w:style w:type="character" w:styleId="837">
    <w:name w:val="尾注文本 Char"/>
    <w:next w:val="837"/>
    <w:link w:val="836"/>
    <w:uiPriority w:val="99"/>
    <w:qFormat/>
    <w:rPr>
      <w:sz w:val="20"/>
    </w:rPr>
  </w:style>
  <w:style w:type="paragraph" w:styleId="838">
    <w:name w:val="批注框文本"/>
    <w:basedOn w:val="802"/>
    <w:next w:val="838"/>
    <w:link w:val="839"/>
    <w:uiPriority w:val="99"/>
    <w:unhideWhenUsed/>
    <w:qFormat/>
    <w:rPr>
      <w:sz w:val="18"/>
      <w:szCs w:val="18"/>
    </w:rPr>
  </w:style>
  <w:style w:type="character" w:styleId="839">
    <w:name w:val="批注框文本 Char1"/>
    <w:next w:val="839"/>
    <w:link w:val="838"/>
    <w:uiPriority w:val="99"/>
    <w:semiHidden/>
    <w:qFormat/>
    <w:rPr>
      <w:sz w:val="18"/>
      <w:szCs w:val="18"/>
    </w:rPr>
  </w:style>
  <w:style w:type="paragraph" w:styleId="840">
    <w:name w:val="页脚"/>
    <w:basedOn w:val="802"/>
    <w:next w:val="840"/>
    <w:link w:val="841"/>
    <w:uiPriority w:val="99"/>
    <w:unhideWhenUsed/>
    <w:qFormat/>
    <w:pPr>
      <w:tabs>
        <w:tab w:val="center" w:pos="7143" w:leader="none"/>
        <w:tab w:val="right" w:pos="14287" w:leader="none"/>
      </w:tabs>
    </w:pPr>
  </w:style>
  <w:style w:type="character" w:styleId="841">
    <w:name w:val="页脚 Char1"/>
    <w:next w:val="841"/>
    <w:link w:val="840"/>
    <w:uiPriority w:val="99"/>
    <w:qFormat/>
  </w:style>
  <w:style w:type="paragraph" w:styleId="842">
    <w:name w:val="页眉"/>
    <w:basedOn w:val="802"/>
    <w:next w:val="842"/>
    <w:link w:val="843"/>
    <w:uiPriority w:val="99"/>
    <w:unhideWhenUsed/>
    <w:qFormat/>
    <w:pPr>
      <w:tabs>
        <w:tab w:val="center" w:pos="7143" w:leader="none"/>
        <w:tab w:val="right" w:pos="14287" w:leader="none"/>
      </w:tabs>
    </w:pPr>
  </w:style>
  <w:style w:type="character" w:styleId="843">
    <w:name w:val="页眉 Char1"/>
    <w:next w:val="843"/>
    <w:link w:val="842"/>
    <w:uiPriority w:val="99"/>
    <w:qFormat/>
  </w:style>
  <w:style w:type="paragraph" w:styleId="844">
    <w:name w:val="目录 1"/>
    <w:basedOn w:val="802"/>
    <w:next w:val="802"/>
    <w:link w:val="802"/>
    <w:uiPriority w:val="39"/>
    <w:unhideWhenUsed/>
    <w:qFormat/>
    <w:pPr>
      <w:spacing w:after="57"/>
    </w:pPr>
  </w:style>
  <w:style w:type="paragraph" w:styleId="845">
    <w:name w:val="目录 4"/>
    <w:basedOn w:val="802"/>
    <w:next w:val="802"/>
    <w:link w:val="802"/>
    <w:uiPriority w:val="39"/>
    <w:unhideWhenUsed/>
    <w:qFormat/>
    <w:pPr>
      <w:ind w:left="850"/>
      <w:spacing w:after="57"/>
    </w:pPr>
  </w:style>
  <w:style w:type="paragraph" w:styleId="846">
    <w:name w:val="副标题"/>
    <w:basedOn w:val="802"/>
    <w:next w:val="802"/>
    <w:link w:val="847"/>
    <w:uiPriority w:val="11"/>
    <w:qFormat/>
    <w:pPr>
      <w:spacing w:before="200" w:after="200"/>
    </w:pPr>
    <w:rPr>
      <w:sz w:val="24"/>
      <w:szCs w:val="24"/>
    </w:rPr>
  </w:style>
  <w:style w:type="character" w:styleId="847">
    <w:name w:val="副标题 Char"/>
    <w:next w:val="847"/>
    <w:link w:val="846"/>
    <w:uiPriority w:val="11"/>
    <w:qFormat/>
    <w:rPr>
      <w:sz w:val="24"/>
      <w:szCs w:val="24"/>
    </w:rPr>
  </w:style>
  <w:style w:type="paragraph" w:styleId="848">
    <w:name w:val="脚注文本"/>
    <w:basedOn w:val="802"/>
    <w:next w:val="848"/>
    <w:link w:val="849"/>
    <w:uiPriority w:val="99"/>
    <w:unhideWhenUsed/>
    <w:qFormat/>
    <w:pPr>
      <w:spacing w:after="40"/>
    </w:pPr>
    <w:rPr>
      <w:sz w:val="18"/>
    </w:rPr>
  </w:style>
  <w:style w:type="character" w:styleId="849">
    <w:name w:val="脚注文本 Char"/>
    <w:next w:val="849"/>
    <w:link w:val="848"/>
    <w:uiPriority w:val="99"/>
    <w:qFormat/>
    <w:rPr>
      <w:sz w:val="18"/>
    </w:rPr>
  </w:style>
  <w:style w:type="paragraph" w:styleId="850">
    <w:name w:val="目录 6"/>
    <w:basedOn w:val="802"/>
    <w:next w:val="802"/>
    <w:link w:val="802"/>
    <w:uiPriority w:val="39"/>
    <w:unhideWhenUsed/>
    <w:qFormat/>
    <w:pPr>
      <w:ind w:left="1417"/>
      <w:spacing w:after="57"/>
    </w:pPr>
  </w:style>
  <w:style w:type="paragraph" w:styleId="851">
    <w:name w:val="图表目录"/>
    <w:basedOn w:val="802"/>
    <w:next w:val="802"/>
    <w:link w:val="802"/>
    <w:uiPriority w:val="99"/>
    <w:unhideWhenUsed/>
    <w:qFormat/>
  </w:style>
  <w:style w:type="paragraph" w:styleId="852">
    <w:name w:val="目录 2"/>
    <w:basedOn w:val="802"/>
    <w:next w:val="802"/>
    <w:link w:val="802"/>
    <w:uiPriority w:val="39"/>
    <w:unhideWhenUsed/>
    <w:qFormat/>
    <w:pPr>
      <w:ind w:left="283"/>
      <w:spacing w:after="57"/>
    </w:pPr>
  </w:style>
  <w:style w:type="paragraph" w:styleId="853">
    <w:name w:val="目录 9"/>
    <w:basedOn w:val="802"/>
    <w:next w:val="802"/>
    <w:link w:val="802"/>
    <w:uiPriority w:val="39"/>
    <w:unhideWhenUsed/>
    <w:qFormat/>
    <w:pPr>
      <w:ind w:left="2268"/>
      <w:spacing w:after="57"/>
    </w:pPr>
  </w:style>
  <w:style w:type="paragraph" w:styleId="854">
    <w:name w:val="普通(网站)"/>
    <w:basedOn w:val="802"/>
    <w:next w:val="854"/>
    <w:link w:val="802"/>
    <w:uiPriority w:val="99"/>
    <w:unhideWhenUsed/>
    <w:qFormat/>
    <w:pPr>
      <w:jc w:val="left"/>
      <w:spacing w:beforeAutospacing="1" w:afterAutospacing="1"/>
    </w:pPr>
    <w:rPr>
      <w:sz w:val="24"/>
    </w:rPr>
  </w:style>
  <w:style w:type="paragraph" w:styleId="855">
    <w:name w:val="标题"/>
    <w:basedOn w:val="802"/>
    <w:next w:val="802"/>
    <w:link w:val="856"/>
    <w:uiPriority w:val="10"/>
    <w:qFormat/>
    <w:pPr>
      <w:contextualSpacing/>
      <w:spacing w:before="300" w:after="200"/>
    </w:pPr>
    <w:rPr>
      <w:sz w:val="48"/>
      <w:szCs w:val="48"/>
    </w:rPr>
  </w:style>
  <w:style w:type="character" w:styleId="856">
    <w:name w:val="标题 Char"/>
    <w:next w:val="856"/>
    <w:link w:val="855"/>
    <w:uiPriority w:val="10"/>
    <w:qFormat/>
    <w:rPr>
      <w:sz w:val="48"/>
      <w:szCs w:val="48"/>
    </w:rPr>
  </w:style>
  <w:style w:type="table" w:styleId="857">
    <w:name w:val="网格型"/>
    <w:next w:val="857"/>
    <w:link w:val="802"/>
    <w:uiPriority w:val="59"/>
    <w:qFormat/>
    <w:tblPr/>
  </w:style>
  <w:style w:type="character" w:styleId="858">
    <w:name w:val="要点"/>
    <w:basedOn w:val="812"/>
    <w:next w:val="858"/>
    <w:link w:val="802"/>
    <w:uiPriority w:val="22"/>
    <w:qFormat/>
    <w:rPr>
      <w:b/>
    </w:rPr>
  </w:style>
  <w:style w:type="character" w:styleId="859">
    <w:name w:val="尾注引用"/>
    <w:next w:val="859"/>
    <w:link w:val="802"/>
    <w:uiPriority w:val="99"/>
    <w:unhideWhenUsed/>
    <w:qFormat/>
    <w:rPr>
      <w:vertAlign w:val="superscript"/>
    </w:rPr>
  </w:style>
  <w:style w:type="character" w:styleId="860">
    <w:name w:val="超链接"/>
    <w:next w:val="860"/>
    <w:link w:val="802"/>
    <w:uiPriority w:val="99"/>
    <w:unhideWhenUsed/>
    <w:qFormat/>
    <w:rPr>
      <w:color w:val="0000ff"/>
      <w:u w:val="single"/>
    </w:rPr>
  </w:style>
  <w:style w:type="character" w:styleId="861">
    <w:name w:val="批注引用"/>
    <w:next w:val="861"/>
    <w:link w:val="802"/>
    <w:uiPriority w:val="99"/>
    <w:unhideWhenUsed/>
    <w:qFormat/>
    <w:rPr>
      <w:sz w:val="21"/>
      <w:szCs w:val="21"/>
    </w:rPr>
  </w:style>
  <w:style w:type="character" w:styleId="862">
    <w:name w:val="脚注引用"/>
    <w:next w:val="862"/>
    <w:link w:val="802"/>
    <w:uiPriority w:val="99"/>
    <w:unhideWhenUsed/>
    <w:qFormat/>
    <w:rPr>
      <w:vertAlign w:val="superscript"/>
    </w:rPr>
  </w:style>
  <w:style w:type="paragraph" w:styleId="863">
    <w:name w:val="首行缩进"/>
    <w:basedOn w:val="802"/>
    <w:next w:val="863"/>
    <w:link w:val="802"/>
    <w:qFormat/>
    <w:pPr>
      <w:ind w:firstLine="420"/>
      <w:spacing w:line="360" w:lineRule="auto"/>
    </w:pPr>
    <w:rPr>
      <w:sz w:val="20"/>
    </w:rPr>
  </w:style>
  <w:style w:type="paragraph" w:styleId="864">
    <w:name w:val="标题 21"/>
    <w:basedOn w:val="802"/>
    <w:next w:val="802"/>
    <w:link w:val="865"/>
    <w:qFormat/>
    <w:pPr>
      <w:jc w:val="center"/>
      <w:keepLines/>
      <w:keepNext/>
      <w:spacing w:before="260" w:after="260" w:line="416" w:lineRule="auto"/>
      <w:outlineLvl w:val="1"/>
    </w:pPr>
    <w:rPr>
      <w:rFonts w:ascii="Arial" w:hAnsi="Arial" w:eastAsia="幼圆" w:cs="Arial"/>
      <w:b/>
      <w:bCs/>
      <w:sz w:val="44"/>
      <w:szCs w:val="44"/>
    </w:rPr>
  </w:style>
  <w:style w:type="character" w:styleId="865">
    <w:name w:val="标题 2 Char"/>
    <w:next w:val="865"/>
    <w:link w:val="864"/>
    <w:qFormat/>
    <w:rPr>
      <w:rFonts w:ascii="Arial" w:hAnsi="Arial" w:eastAsia="幼圆" w:cs="Arial"/>
      <w:b/>
      <w:bCs/>
      <w:sz w:val="44"/>
      <w:szCs w:val="44"/>
    </w:rPr>
  </w:style>
  <w:style w:type="character" w:styleId="866">
    <w:name w:val="Heading 1 Char"/>
    <w:basedOn w:val="812"/>
    <w:next w:val="866"/>
    <w:link w:val="802"/>
    <w:uiPriority w:val="9"/>
    <w:qFormat/>
    <w:rPr>
      <w:rFonts w:ascii="Arial" w:hAnsi="Arial" w:eastAsia="Arial" w:cs="Arial"/>
      <w:sz w:val="40"/>
      <w:szCs w:val="40"/>
    </w:rPr>
  </w:style>
  <w:style w:type="character" w:styleId="867">
    <w:name w:val="Heading 2 Char"/>
    <w:basedOn w:val="812"/>
    <w:next w:val="867"/>
    <w:link w:val="802"/>
    <w:uiPriority w:val="9"/>
    <w:qFormat/>
    <w:rPr>
      <w:rFonts w:ascii="Arial" w:hAnsi="Arial" w:eastAsia="Arial" w:cs="Arial"/>
      <w:sz w:val="34"/>
    </w:rPr>
  </w:style>
  <w:style w:type="character" w:styleId="868">
    <w:name w:val="Heading 3 Char"/>
    <w:basedOn w:val="812"/>
    <w:next w:val="868"/>
    <w:link w:val="802"/>
    <w:uiPriority w:val="9"/>
    <w:qFormat/>
    <w:rPr>
      <w:rFonts w:ascii="Arial" w:hAnsi="Arial" w:eastAsia="Arial" w:cs="Arial"/>
      <w:sz w:val="30"/>
      <w:szCs w:val="30"/>
    </w:rPr>
  </w:style>
  <w:style w:type="character" w:styleId="869">
    <w:name w:val="Heading 4 Char"/>
    <w:basedOn w:val="812"/>
    <w:next w:val="869"/>
    <w:link w:val="802"/>
    <w:uiPriority w:val="9"/>
    <w:qFormat/>
    <w:rPr>
      <w:rFonts w:ascii="Arial" w:hAnsi="Arial" w:eastAsia="Arial" w:cs="Arial"/>
      <w:b/>
      <w:bCs/>
      <w:sz w:val="26"/>
      <w:szCs w:val="26"/>
    </w:rPr>
  </w:style>
  <w:style w:type="character" w:styleId="870">
    <w:name w:val="Heading 5 Char"/>
    <w:basedOn w:val="812"/>
    <w:next w:val="870"/>
    <w:link w:val="802"/>
    <w:uiPriority w:val="9"/>
    <w:qFormat/>
    <w:rPr>
      <w:rFonts w:ascii="Arial" w:hAnsi="Arial" w:eastAsia="Arial" w:cs="Arial"/>
      <w:b/>
      <w:bCs/>
      <w:sz w:val="24"/>
      <w:szCs w:val="24"/>
    </w:rPr>
  </w:style>
  <w:style w:type="character" w:styleId="871">
    <w:name w:val="Heading 6 Char"/>
    <w:basedOn w:val="812"/>
    <w:next w:val="871"/>
    <w:link w:val="802"/>
    <w:uiPriority w:val="9"/>
    <w:qFormat/>
    <w:rPr>
      <w:rFonts w:ascii="Arial" w:hAnsi="Arial" w:eastAsia="Arial" w:cs="Arial"/>
      <w:b/>
      <w:bCs/>
      <w:sz w:val="22"/>
      <w:szCs w:val="22"/>
    </w:rPr>
  </w:style>
  <w:style w:type="character" w:styleId="872">
    <w:name w:val="Heading 7 Char"/>
    <w:basedOn w:val="812"/>
    <w:next w:val="872"/>
    <w:link w:val="802"/>
    <w:uiPriority w:val="9"/>
    <w:qFormat/>
    <w:rPr>
      <w:rFonts w:ascii="Arial" w:hAnsi="Arial" w:eastAsia="Arial" w:cs="Arial"/>
      <w:b/>
      <w:bCs/>
      <w:i/>
      <w:iCs/>
      <w:sz w:val="22"/>
      <w:szCs w:val="22"/>
    </w:rPr>
  </w:style>
  <w:style w:type="character" w:styleId="873">
    <w:name w:val="Heading 8 Char"/>
    <w:basedOn w:val="812"/>
    <w:next w:val="873"/>
    <w:link w:val="802"/>
    <w:uiPriority w:val="9"/>
    <w:qFormat/>
    <w:rPr>
      <w:rFonts w:ascii="Arial" w:hAnsi="Arial" w:eastAsia="Arial" w:cs="Arial"/>
      <w:i/>
      <w:iCs/>
      <w:sz w:val="22"/>
      <w:szCs w:val="22"/>
    </w:rPr>
  </w:style>
  <w:style w:type="character" w:styleId="874">
    <w:name w:val="Heading 9 Char"/>
    <w:basedOn w:val="812"/>
    <w:next w:val="874"/>
    <w:link w:val="802"/>
    <w:uiPriority w:val="9"/>
    <w:qFormat/>
    <w:rPr>
      <w:rFonts w:ascii="Arial" w:hAnsi="Arial" w:eastAsia="Arial" w:cs="Arial"/>
      <w:i/>
      <w:iCs/>
      <w:sz w:val="21"/>
      <w:szCs w:val="21"/>
    </w:rPr>
  </w:style>
  <w:style w:type="character" w:styleId="875">
    <w:name w:val="Title Char"/>
    <w:basedOn w:val="812"/>
    <w:next w:val="875"/>
    <w:link w:val="802"/>
    <w:uiPriority w:val="10"/>
    <w:qFormat/>
    <w:rPr>
      <w:sz w:val="48"/>
      <w:szCs w:val="48"/>
    </w:rPr>
  </w:style>
  <w:style w:type="character" w:styleId="876">
    <w:name w:val="Subtitle Char"/>
    <w:basedOn w:val="812"/>
    <w:next w:val="876"/>
    <w:link w:val="802"/>
    <w:uiPriority w:val="11"/>
    <w:qFormat/>
    <w:rPr>
      <w:sz w:val="24"/>
      <w:szCs w:val="24"/>
    </w:rPr>
  </w:style>
  <w:style w:type="character" w:styleId="877">
    <w:name w:val="Quote Char"/>
    <w:next w:val="877"/>
    <w:link w:val="802"/>
    <w:uiPriority w:val="29"/>
    <w:qFormat/>
    <w:rPr>
      <w:i/>
    </w:rPr>
  </w:style>
  <w:style w:type="character" w:styleId="878">
    <w:name w:val="Intense Quote Char"/>
    <w:next w:val="878"/>
    <w:link w:val="802"/>
    <w:uiPriority w:val="30"/>
    <w:qFormat/>
    <w:rPr>
      <w:i/>
    </w:rPr>
  </w:style>
  <w:style w:type="character" w:styleId="879">
    <w:name w:val="Header Char"/>
    <w:basedOn w:val="812"/>
    <w:next w:val="879"/>
    <w:link w:val="802"/>
    <w:uiPriority w:val="99"/>
    <w:qFormat/>
  </w:style>
  <w:style w:type="character" w:styleId="880">
    <w:name w:val="Caption Char"/>
    <w:next w:val="880"/>
    <w:link w:val="802"/>
    <w:uiPriority w:val="99"/>
    <w:qFormat/>
  </w:style>
  <w:style w:type="character" w:styleId="881">
    <w:name w:val="Footnote Text Char"/>
    <w:next w:val="881"/>
    <w:link w:val="802"/>
    <w:uiPriority w:val="99"/>
    <w:qFormat/>
    <w:rPr>
      <w:sz w:val="18"/>
    </w:rPr>
  </w:style>
  <w:style w:type="character" w:styleId="882">
    <w:name w:val="Endnote Text Char"/>
    <w:next w:val="882"/>
    <w:link w:val="802"/>
    <w:uiPriority w:val="99"/>
    <w:qFormat/>
    <w:rPr>
      <w:sz w:val="20"/>
    </w:rPr>
  </w:style>
  <w:style w:type="paragraph" w:styleId="883">
    <w:name w:val="TOC Heading"/>
    <w:next w:val="883"/>
    <w:link w:val="802"/>
    <w:uiPriority w:val="39"/>
    <w:unhideWhenUsed/>
    <w:qFormat/>
    <w:rPr>
      <w:rFonts w:ascii="Times New Roman" w:hAnsi="Times New Roman" w:eastAsia="宋体" w:cs="Times New Roman"/>
    </w:rPr>
  </w:style>
  <w:style w:type="paragraph" w:styleId="884">
    <w:name w:val="List Paragraph"/>
    <w:basedOn w:val="802"/>
    <w:next w:val="884"/>
    <w:link w:val="802"/>
    <w:uiPriority w:val="34"/>
    <w:qFormat/>
    <w:pPr>
      <w:contextualSpacing/>
      <w:ind w:left="720"/>
    </w:pPr>
  </w:style>
  <w:style w:type="paragraph" w:styleId="885">
    <w:name w:val="No Spacing"/>
    <w:next w:val="885"/>
    <w:link w:val="802"/>
    <w:uiPriority w:val="1"/>
    <w:qFormat/>
    <w:rPr>
      <w:rFonts w:ascii="Times New Roman" w:hAnsi="Times New Roman" w:eastAsia="宋体" w:cs="Times New Roman"/>
      <w:lang w:val="en-US" w:eastAsia="zh-CN" w:bidi="ar-SA"/>
    </w:rPr>
  </w:style>
  <w:style w:type="paragraph" w:styleId="886">
    <w:name w:val="Quote"/>
    <w:basedOn w:val="802"/>
    <w:next w:val="802"/>
    <w:link w:val="887"/>
    <w:uiPriority w:val="29"/>
    <w:qFormat/>
    <w:pPr>
      <w:ind w:left="720" w:right="720"/>
    </w:pPr>
    <w:rPr>
      <w:i/>
    </w:rPr>
  </w:style>
  <w:style w:type="character" w:styleId="887">
    <w:name w:val="引用 Char"/>
    <w:next w:val="887"/>
    <w:link w:val="886"/>
    <w:uiPriority w:val="29"/>
    <w:qFormat/>
    <w:rPr>
      <w:i/>
    </w:rPr>
  </w:style>
  <w:style w:type="paragraph" w:styleId="888">
    <w:name w:val="Intense Quote"/>
    <w:basedOn w:val="802"/>
    <w:next w:val="802"/>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明显引用 Char"/>
    <w:next w:val="889"/>
    <w:link w:val="888"/>
    <w:uiPriority w:val="30"/>
    <w:qFormat/>
    <w:rPr>
      <w:i/>
    </w:rPr>
  </w:style>
  <w:style w:type="character" w:styleId="890">
    <w:name w:val="Footer Char"/>
    <w:next w:val="890"/>
    <w:link w:val="802"/>
    <w:uiPriority w:val="99"/>
    <w:qFormat/>
  </w:style>
  <w:style w:type="table" w:styleId="891">
    <w:name w:val="Table Grid Light"/>
    <w:next w:val="891"/>
    <w:link w:val="802"/>
    <w:uiPriority w:val="59"/>
    <w:qFormat/>
    <w:tblPr/>
  </w:style>
  <w:style w:type="table" w:styleId="892">
    <w:name w:val="Plain Table 1"/>
    <w:next w:val="892"/>
    <w:link w:val="802"/>
    <w:uiPriority w:val="59"/>
    <w:qFormat/>
    <w:tblPr/>
  </w:style>
  <w:style w:type="table" w:styleId="893">
    <w:name w:val="Plain Table 2"/>
    <w:next w:val="893"/>
    <w:link w:val="802"/>
    <w:uiPriority w:val="59"/>
    <w:qFormat/>
    <w:tblPr/>
  </w:style>
  <w:style w:type="table" w:styleId="894">
    <w:name w:val="Plain Table 3"/>
    <w:next w:val="894"/>
    <w:link w:val="802"/>
    <w:uiPriority w:val="99"/>
    <w:qFormat/>
    <w:tblPr/>
  </w:style>
  <w:style w:type="table" w:styleId="895">
    <w:name w:val="Plain Table 4"/>
    <w:next w:val="895"/>
    <w:link w:val="802"/>
    <w:uiPriority w:val="99"/>
    <w:qFormat/>
    <w:tblPr/>
  </w:style>
  <w:style w:type="table" w:styleId="896">
    <w:name w:val="Plain Table 5"/>
    <w:next w:val="896"/>
    <w:link w:val="802"/>
    <w:uiPriority w:val="99"/>
    <w:qFormat/>
    <w:tblPr/>
  </w:style>
  <w:style w:type="table" w:styleId="897">
    <w:name w:val="Grid Table 1 Light"/>
    <w:next w:val="897"/>
    <w:link w:val="802"/>
    <w:uiPriority w:val="99"/>
    <w:qFormat/>
    <w:tblPr/>
  </w:style>
  <w:style w:type="table" w:styleId="898">
    <w:name w:val="Grid Table 1 Light - Accent 1"/>
    <w:next w:val="898"/>
    <w:link w:val="802"/>
    <w:uiPriority w:val="99"/>
    <w:qFormat/>
    <w:tblPr/>
  </w:style>
  <w:style w:type="table" w:styleId="899">
    <w:name w:val="Grid Table 1 Light - Accent 2"/>
    <w:next w:val="899"/>
    <w:link w:val="802"/>
    <w:uiPriority w:val="99"/>
    <w:qFormat/>
    <w:tblPr/>
  </w:style>
  <w:style w:type="table" w:styleId="900">
    <w:name w:val="Grid Table 1 Light - Accent 3"/>
    <w:next w:val="900"/>
    <w:link w:val="802"/>
    <w:uiPriority w:val="99"/>
    <w:qFormat/>
    <w:tblPr/>
  </w:style>
  <w:style w:type="table" w:styleId="901">
    <w:name w:val="Grid Table 1 Light - Accent 4"/>
    <w:next w:val="901"/>
    <w:link w:val="802"/>
    <w:uiPriority w:val="99"/>
    <w:qFormat/>
    <w:tblPr/>
  </w:style>
  <w:style w:type="table" w:styleId="902">
    <w:name w:val="Grid Table 1 Light - Accent 5"/>
    <w:next w:val="902"/>
    <w:link w:val="802"/>
    <w:uiPriority w:val="99"/>
    <w:qFormat/>
    <w:tblPr/>
  </w:style>
  <w:style w:type="table" w:styleId="903">
    <w:name w:val="Grid Table 1 Light - Accent 6"/>
    <w:next w:val="903"/>
    <w:link w:val="802"/>
    <w:uiPriority w:val="99"/>
    <w:qFormat/>
    <w:tblPr/>
  </w:style>
  <w:style w:type="table" w:styleId="904">
    <w:name w:val="Grid Table 2"/>
    <w:next w:val="904"/>
    <w:link w:val="802"/>
    <w:uiPriority w:val="99"/>
    <w:qFormat/>
    <w:tblPr/>
  </w:style>
  <w:style w:type="table" w:styleId="905">
    <w:name w:val="Grid Table 2 - Accent 1"/>
    <w:next w:val="905"/>
    <w:link w:val="802"/>
    <w:uiPriority w:val="99"/>
    <w:qFormat/>
    <w:tblPr/>
  </w:style>
  <w:style w:type="table" w:styleId="906">
    <w:name w:val="Grid Table 2 - Accent 2"/>
    <w:next w:val="906"/>
    <w:link w:val="802"/>
    <w:uiPriority w:val="99"/>
    <w:qFormat/>
    <w:tblPr/>
  </w:style>
  <w:style w:type="table" w:styleId="907">
    <w:name w:val="Grid Table 2 - Accent 3"/>
    <w:next w:val="907"/>
    <w:link w:val="802"/>
    <w:uiPriority w:val="99"/>
    <w:qFormat/>
    <w:tblPr/>
  </w:style>
  <w:style w:type="table" w:styleId="908">
    <w:name w:val="Grid Table 2 - Accent 4"/>
    <w:next w:val="908"/>
    <w:link w:val="802"/>
    <w:uiPriority w:val="99"/>
    <w:qFormat/>
    <w:tblPr/>
  </w:style>
  <w:style w:type="table" w:styleId="909">
    <w:name w:val="Grid Table 2 - Accent 5"/>
    <w:next w:val="909"/>
    <w:link w:val="802"/>
    <w:uiPriority w:val="99"/>
    <w:qFormat/>
    <w:tblPr/>
  </w:style>
  <w:style w:type="table" w:styleId="910">
    <w:name w:val="Grid Table 2 - Accent 6"/>
    <w:next w:val="910"/>
    <w:link w:val="802"/>
    <w:uiPriority w:val="99"/>
    <w:qFormat/>
    <w:tblPr/>
  </w:style>
  <w:style w:type="table" w:styleId="911">
    <w:name w:val="Grid Table 3"/>
    <w:next w:val="911"/>
    <w:link w:val="802"/>
    <w:uiPriority w:val="99"/>
    <w:qFormat/>
    <w:tblPr/>
  </w:style>
  <w:style w:type="table" w:styleId="912">
    <w:name w:val="Grid Table 3 - Accent 1"/>
    <w:next w:val="912"/>
    <w:link w:val="802"/>
    <w:uiPriority w:val="99"/>
    <w:qFormat/>
    <w:tblPr/>
  </w:style>
  <w:style w:type="table" w:styleId="913">
    <w:name w:val="Grid Table 3 - Accent 2"/>
    <w:next w:val="913"/>
    <w:link w:val="802"/>
    <w:uiPriority w:val="99"/>
    <w:qFormat/>
    <w:tblPr/>
  </w:style>
  <w:style w:type="table" w:styleId="914">
    <w:name w:val="Grid Table 3 - Accent 3"/>
    <w:next w:val="914"/>
    <w:link w:val="802"/>
    <w:uiPriority w:val="99"/>
    <w:qFormat/>
    <w:tblPr/>
  </w:style>
  <w:style w:type="table" w:styleId="915">
    <w:name w:val="Grid Table 3 - Accent 4"/>
    <w:next w:val="915"/>
    <w:link w:val="802"/>
    <w:uiPriority w:val="99"/>
    <w:qFormat/>
    <w:tblPr/>
  </w:style>
  <w:style w:type="table" w:styleId="916">
    <w:name w:val="Grid Table 3 - Accent 5"/>
    <w:next w:val="916"/>
    <w:link w:val="802"/>
    <w:uiPriority w:val="99"/>
    <w:qFormat/>
    <w:tblPr/>
  </w:style>
  <w:style w:type="table" w:styleId="917">
    <w:name w:val="Grid Table 3 - Accent 6"/>
    <w:next w:val="917"/>
    <w:link w:val="802"/>
    <w:uiPriority w:val="99"/>
    <w:qFormat/>
    <w:tblPr/>
  </w:style>
  <w:style w:type="table" w:styleId="918">
    <w:name w:val="Grid Table 4"/>
    <w:next w:val="918"/>
    <w:link w:val="802"/>
    <w:uiPriority w:val="59"/>
    <w:qFormat/>
    <w:tblPr/>
  </w:style>
  <w:style w:type="table" w:styleId="919">
    <w:name w:val="Grid Table 4 - Accent 1"/>
    <w:next w:val="919"/>
    <w:link w:val="802"/>
    <w:uiPriority w:val="59"/>
    <w:qFormat/>
    <w:tblPr/>
  </w:style>
  <w:style w:type="table" w:styleId="920">
    <w:name w:val="Grid Table 4 - Accent 2"/>
    <w:next w:val="920"/>
    <w:link w:val="802"/>
    <w:uiPriority w:val="59"/>
    <w:qFormat/>
    <w:tblPr/>
  </w:style>
  <w:style w:type="table" w:styleId="921">
    <w:name w:val="Grid Table 4 - Accent 3"/>
    <w:next w:val="921"/>
    <w:link w:val="802"/>
    <w:uiPriority w:val="59"/>
    <w:qFormat/>
    <w:tblPr/>
  </w:style>
  <w:style w:type="table" w:styleId="922">
    <w:name w:val="Grid Table 4 - Accent 4"/>
    <w:next w:val="922"/>
    <w:link w:val="802"/>
    <w:uiPriority w:val="59"/>
    <w:qFormat/>
    <w:tblPr/>
  </w:style>
  <w:style w:type="table" w:styleId="923">
    <w:name w:val="Grid Table 4 - Accent 5"/>
    <w:next w:val="923"/>
    <w:link w:val="802"/>
    <w:uiPriority w:val="59"/>
    <w:qFormat/>
    <w:tblPr/>
  </w:style>
  <w:style w:type="table" w:styleId="924">
    <w:name w:val="Grid Table 4 - Accent 6"/>
    <w:next w:val="924"/>
    <w:link w:val="802"/>
    <w:uiPriority w:val="59"/>
    <w:qFormat/>
    <w:tblPr/>
  </w:style>
  <w:style w:type="table" w:styleId="925">
    <w:name w:val="Grid Table 5 Dark"/>
    <w:next w:val="925"/>
    <w:link w:val="802"/>
    <w:uiPriority w:val="99"/>
    <w:qFormat/>
    <w:tblPr/>
  </w:style>
  <w:style w:type="table" w:styleId="926">
    <w:name w:val="Grid Table 5 Dark- Accent 1"/>
    <w:next w:val="926"/>
    <w:link w:val="802"/>
    <w:uiPriority w:val="99"/>
    <w:qFormat/>
    <w:tblPr/>
  </w:style>
  <w:style w:type="table" w:styleId="927">
    <w:name w:val="Grid Table 5 Dark - Accent 2"/>
    <w:next w:val="927"/>
    <w:link w:val="802"/>
    <w:uiPriority w:val="99"/>
    <w:qFormat/>
    <w:tblPr/>
  </w:style>
  <w:style w:type="table" w:styleId="928">
    <w:name w:val="Grid Table 5 Dark - Accent 3"/>
    <w:next w:val="928"/>
    <w:link w:val="802"/>
    <w:uiPriority w:val="99"/>
    <w:qFormat/>
    <w:tblPr/>
  </w:style>
  <w:style w:type="table" w:styleId="929">
    <w:name w:val="Grid Table 5 Dark- Accent 4"/>
    <w:next w:val="929"/>
    <w:link w:val="802"/>
    <w:uiPriority w:val="99"/>
    <w:qFormat/>
    <w:tblPr/>
  </w:style>
  <w:style w:type="table" w:styleId="930">
    <w:name w:val="Grid Table 5 Dark - Accent 5"/>
    <w:next w:val="930"/>
    <w:link w:val="802"/>
    <w:uiPriority w:val="99"/>
    <w:tblPr/>
  </w:style>
  <w:style w:type="table" w:styleId="931">
    <w:name w:val="Grid Table 5 Dark - Accent 6"/>
    <w:next w:val="931"/>
    <w:link w:val="802"/>
    <w:uiPriority w:val="99"/>
    <w:tblPr/>
  </w:style>
  <w:style w:type="table" w:styleId="932">
    <w:name w:val="Grid Table 6 Colorful"/>
    <w:next w:val="932"/>
    <w:link w:val="802"/>
    <w:uiPriority w:val="99"/>
    <w:qFormat/>
    <w:tblPr/>
  </w:style>
  <w:style w:type="table" w:styleId="933">
    <w:name w:val="Grid Table 6 Colorful - Accent 1"/>
    <w:next w:val="933"/>
    <w:link w:val="802"/>
    <w:uiPriority w:val="99"/>
    <w:qFormat/>
    <w:tblPr/>
  </w:style>
  <w:style w:type="table" w:styleId="934">
    <w:name w:val="Grid Table 6 Colorful - Accent 2"/>
    <w:next w:val="934"/>
    <w:link w:val="802"/>
    <w:uiPriority w:val="99"/>
    <w:tblPr/>
  </w:style>
  <w:style w:type="table" w:styleId="935">
    <w:name w:val="Grid Table 6 Colorful - Accent 3"/>
    <w:next w:val="935"/>
    <w:link w:val="802"/>
    <w:uiPriority w:val="99"/>
    <w:qFormat/>
    <w:tblPr/>
  </w:style>
  <w:style w:type="table" w:styleId="936">
    <w:name w:val="Grid Table 6 Colorful - Accent 4"/>
    <w:next w:val="936"/>
    <w:link w:val="802"/>
    <w:uiPriority w:val="99"/>
    <w:qFormat/>
    <w:tblPr/>
  </w:style>
  <w:style w:type="table" w:styleId="937">
    <w:name w:val="Grid Table 6 Colorful - Accent 5"/>
    <w:next w:val="937"/>
    <w:link w:val="802"/>
    <w:uiPriority w:val="99"/>
    <w:qFormat/>
    <w:tblPr/>
  </w:style>
  <w:style w:type="table" w:styleId="938">
    <w:name w:val="Grid Table 6 Colorful - Accent 6"/>
    <w:next w:val="938"/>
    <w:link w:val="802"/>
    <w:uiPriority w:val="99"/>
    <w:tblPr/>
  </w:style>
  <w:style w:type="table" w:styleId="939">
    <w:name w:val="Grid Table 7 Colorful"/>
    <w:next w:val="939"/>
    <w:link w:val="802"/>
    <w:uiPriority w:val="99"/>
    <w:qFormat/>
    <w:tblPr/>
  </w:style>
  <w:style w:type="table" w:styleId="940">
    <w:name w:val="Grid Table 7 Colorful - Accent 1"/>
    <w:next w:val="940"/>
    <w:link w:val="802"/>
    <w:uiPriority w:val="99"/>
    <w:qFormat/>
    <w:tblPr/>
  </w:style>
  <w:style w:type="table" w:styleId="941">
    <w:name w:val="Grid Table 7 Colorful - Accent 2"/>
    <w:next w:val="941"/>
    <w:link w:val="802"/>
    <w:uiPriority w:val="99"/>
    <w:qFormat/>
    <w:tblPr/>
  </w:style>
  <w:style w:type="table" w:styleId="942">
    <w:name w:val="Grid Table 7 Colorful - Accent 3"/>
    <w:next w:val="942"/>
    <w:link w:val="802"/>
    <w:uiPriority w:val="99"/>
    <w:qFormat/>
    <w:tblPr/>
  </w:style>
  <w:style w:type="table" w:styleId="943">
    <w:name w:val="Grid Table 7 Colorful - Accent 4"/>
    <w:next w:val="943"/>
    <w:link w:val="802"/>
    <w:uiPriority w:val="99"/>
    <w:qFormat/>
    <w:tblPr/>
  </w:style>
  <w:style w:type="table" w:styleId="944">
    <w:name w:val="Grid Table 7 Colorful - Accent 5"/>
    <w:next w:val="944"/>
    <w:link w:val="802"/>
    <w:uiPriority w:val="99"/>
    <w:qFormat/>
    <w:tblPr/>
  </w:style>
  <w:style w:type="table" w:styleId="945">
    <w:name w:val="Grid Table 7 Colorful - Accent 6"/>
    <w:next w:val="945"/>
    <w:link w:val="802"/>
    <w:uiPriority w:val="99"/>
    <w:qFormat/>
    <w:tblPr/>
  </w:style>
  <w:style w:type="table" w:styleId="946">
    <w:name w:val="List Table 1 Light"/>
    <w:next w:val="946"/>
    <w:link w:val="802"/>
    <w:uiPriority w:val="99"/>
    <w:qFormat/>
    <w:tblPr/>
  </w:style>
  <w:style w:type="table" w:styleId="947">
    <w:name w:val="List Table 1 Light - Accent 1"/>
    <w:next w:val="947"/>
    <w:link w:val="802"/>
    <w:uiPriority w:val="99"/>
    <w:qFormat/>
    <w:tblPr/>
  </w:style>
  <w:style w:type="table" w:styleId="948">
    <w:name w:val="List Table 1 Light - Accent 2"/>
    <w:next w:val="948"/>
    <w:link w:val="802"/>
    <w:uiPriority w:val="99"/>
    <w:qFormat/>
    <w:tblPr/>
  </w:style>
  <w:style w:type="table" w:styleId="949">
    <w:name w:val="List Table 1 Light - Accent 3"/>
    <w:next w:val="949"/>
    <w:link w:val="802"/>
    <w:uiPriority w:val="99"/>
    <w:qFormat/>
    <w:tblPr/>
  </w:style>
  <w:style w:type="table" w:styleId="950">
    <w:name w:val="List Table 1 Light - Accent 4"/>
    <w:next w:val="950"/>
    <w:link w:val="802"/>
    <w:uiPriority w:val="99"/>
    <w:qFormat/>
    <w:tblPr/>
  </w:style>
  <w:style w:type="table" w:styleId="951">
    <w:name w:val="List Table 1 Light - Accent 5"/>
    <w:next w:val="951"/>
    <w:link w:val="802"/>
    <w:uiPriority w:val="99"/>
    <w:qFormat/>
    <w:tblPr/>
  </w:style>
  <w:style w:type="table" w:styleId="952">
    <w:name w:val="List Table 1 Light - Accent 6"/>
    <w:next w:val="952"/>
    <w:link w:val="802"/>
    <w:uiPriority w:val="99"/>
    <w:tblPr/>
  </w:style>
  <w:style w:type="table" w:styleId="953">
    <w:name w:val="List Table 2"/>
    <w:next w:val="953"/>
    <w:link w:val="802"/>
    <w:uiPriority w:val="99"/>
    <w:qFormat/>
    <w:tblPr/>
  </w:style>
  <w:style w:type="table" w:styleId="954">
    <w:name w:val="List Table 2 - Accent 1"/>
    <w:next w:val="954"/>
    <w:link w:val="802"/>
    <w:uiPriority w:val="99"/>
    <w:qFormat/>
    <w:tblPr/>
  </w:style>
  <w:style w:type="table" w:styleId="955">
    <w:name w:val="List Table 2 - Accent 2"/>
    <w:next w:val="955"/>
    <w:link w:val="802"/>
    <w:uiPriority w:val="99"/>
    <w:qFormat/>
    <w:tblPr/>
  </w:style>
  <w:style w:type="table" w:styleId="956">
    <w:name w:val="List Table 2 - Accent 3"/>
    <w:next w:val="956"/>
    <w:link w:val="802"/>
    <w:uiPriority w:val="99"/>
    <w:qFormat/>
    <w:tblPr/>
  </w:style>
  <w:style w:type="table" w:styleId="957">
    <w:name w:val="List Table 2 - Accent 4"/>
    <w:next w:val="957"/>
    <w:link w:val="802"/>
    <w:uiPriority w:val="99"/>
    <w:qFormat/>
    <w:tblPr/>
  </w:style>
  <w:style w:type="table" w:styleId="958">
    <w:name w:val="List Table 2 - Accent 5"/>
    <w:next w:val="958"/>
    <w:link w:val="802"/>
    <w:uiPriority w:val="99"/>
    <w:qFormat/>
    <w:tblPr/>
  </w:style>
  <w:style w:type="table" w:styleId="959">
    <w:name w:val="List Table 2 - Accent 6"/>
    <w:next w:val="959"/>
    <w:link w:val="802"/>
    <w:uiPriority w:val="99"/>
    <w:qFormat/>
    <w:tblPr/>
  </w:style>
  <w:style w:type="table" w:styleId="960">
    <w:name w:val="List Table 3"/>
    <w:next w:val="960"/>
    <w:link w:val="802"/>
    <w:uiPriority w:val="99"/>
    <w:qFormat/>
    <w:tblPr/>
  </w:style>
  <w:style w:type="table" w:styleId="961">
    <w:name w:val="List Table 3 - Accent 1"/>
    <w:next w:val="961"/>
    <w:link w:val="802"/>
    <w:uiPriority w:val="99"/>
    <w:qFormat/>
    <w:tblPr/>
  </w:style>
  <w:style w:type="table" w:styleId="962">
    <w:name w:val="List Table 3 - Accent 2"/>
    <w:next w:val="962"/>
    <w:link w:val="802"/>
    <w:uiPriority w:val="99"/>
    <w:qFormat/>
    <w:tblPr/>
  </w:style>
  <w:style w:type="table" w:styleId="963">
    <w:name w:val="List Table 3 - Accent 3"/>
    <w:next w:val="963"/>
    <w:link w:val="802"/>
    <w:uiPriority w:val="99"/>
    <w:qFormat/>
    <w:tblPr/>
  </w:style>
  <w:style w:type="table" w:styleId="964">
    <w:name w:val="List Table 3 - Accent 4"/>
    <w:next w:val="964"/>
    <w:link w:val="802"/>
    <w:uiPriority w:val="99"/>
    <w:qFormat/>
    <w:tblPr/>
  </w:style>
  <w:style w:type="table" w:styleId="965">
    <w:name w:val="List Table 3 - Accent 5"/>
    <w:next w:val="965"/>
    <w:link w:val="802"/>
    <w:uiPriority w:val="99"/>
    <w:qFormat/>
    <w:tblPr/>
  </w:style>
  <w:style w:type="table" w:styleId="966">
    <w:name w:val="List Table 3 - Accent 6"/>
    <w:next w:val="966"/>
    <w:link w:val="802"/>
    <w:uiPriority w:val="99"/>
    <w:qFormat/>
    <w:tblPr/>
  </w:style>
  <w:style w:type="table" w:styleId="967">
    <w:name w:val="List Table 4"/>
    <w:next w:val="967"/>
    <w:link w:val="802"/>
    <w:uiPriority w:val="99"/>
    <w:qFormat/>
    <w:tblPr/>
  </w:style>
  <w:style w:type="table" w:styleId="968">
    <w:name w:val="List Table 4 - Accent 1"/>
    <w:next w:val="968"/>
    <w:link w:val="802"/>
    <w:uiPriority w:val="99"/>
    <w:qFormat/>
    <w:tblPr/>
  </w:style>
  <w:style w:type="table" w:styleId="969">
    <w:name w:val="List Table 4 - Accent 2"/>
    <w:next w:val="969"/>
    <w:link w:val="802"/>
    <w:uiPriority w:val="99"/>
    <w:qFormat/>
    <w:tblPr/>
  </w:style>
  <w:style w:type="table" w:styleId="970">
    <w:name w:val="List Table 4 - Accent 3"/>
    <w:next w:val="970"/>
    <w:link w:val="802"/>
    <w:uiPriority w:val="99"/>
    <w:qFormat/>
    <w:tblPr/>
  </w:style>
  <w:style w:type="table" w:styleId="971">
    <w:name w:val="List Table 4 - Accent 4"/>
    <w:next w:val="971"/>
    <w:link w:val="802"/>
    <w:uiPriority w:val="99"/>
    <w:qFormat/>
    <w:tblPr/>
  </w:style>
  <w:style w:type="table" w:styleId="972">
    <w:name w:val="List Table 4 - Accent 5"/>
    <w:next w:val="972"/>
    <w:link w:val="802"/>
    <w:uiPriority w:val="99"/>
    <w:qFormat/>
    <w:tblPr/>
  </w:style>
  <w:style w:type="table" w:styleId="973">
    <w:name w:val="List Table 4 - Accent 6"/>
    <w:next w:val="973"/>
    <w:link w:val="802"/>
    <w:uiPriority w:val="99"/>
    <w:qFormat/>
    <w:tblPr/>
  </w:style>
  <w:style w:type="table" w:styleId="974">
    <w:name w:val="List Table 5 Dark"/>
    <w:next w:val="974"/>
    <w:link w:val="802"/>
    <w:uiPriority w:val="99"/>
    <w:qFormat/>
    <w:tblPr/>
  </w:style>
  <w:style w:type="table" w:styleId="975">
    <w:name w:val="List Table 5 Dark - Accent 1"/>
    <w:next w:val="975"/>
    <w:link w:val="802"/>
    <w:uiPriority w:val="99"/>
    <w:qFormat/>
    <w:tblPr/>
  </w:style>
  <w:style w:type="table" w:styleId="976">
    <w:name w:val="List Table 5 Dark - Accent 2"/>
    <w:next w:val="976"/>
    <w:link w:val="802"/>
    <w:uiPriority w:val="99"/>
    <w:qFormat/>
    <w:tblPr/>
  </w:style>
  <w:style w:type="table" w:styleId="977">
    <w:name w:val="List Table 5 Dark - Accent 3"/>
    <w:next w:val="977"/>
    <w:link w:val="802"/>
    <w:uiPriority w:val="99"/>
    <w:qFormat/>
    <w:tblPr/>
  </w:style>
  <w:style w:type="table" w:styleId="978">
    <w:name w:val="List Table 5 Dark - Accent 4"/>
    <w:next w:val="978"/>
    <w:link w:val="802"/>
    <w:uiPriority w:val="99"/>
    <w:qFormat/>
    <w:tblPr/>
  </w:style>
  <w:style w:type="table" w:styleId="979">
    <w:name w:val="List Table 5 Dark - Accent 5"/>
    <w:next w:val="979"/>
    <w:link w:val="802"/>
    <w:uiPriority w:val="99"/>
    <w:qFormat/>
    <w:tblPr/>
  </w:style>
  <w:style w:type="table" w:styleId="980">
    <w:name w:val="List Table 5 Dark - Accent 6"/>
    <w:next w:val="980"/>
    <w:link w:val="802"/>
    <w:uiPriority w:val="99"/>
    <w:qFormat/>
    <w:tblPr/>
  </w:style>
  <w:style w:type="table" w:styleId="981">
    <w:name w:val="List Table 6 Colorful"/>
    <w:next w:val="981"/>
    <w:link w:val="802"/>
    <w:uiPriority w:val="99"/>
    <w:qFormat/>
    <w:tblPr/>
  </w:style>
  <w:style w:type="table" w:styleId="982">
    <w:name w:val="List Table 6 Colorful - Accent 1"/>
    <w:next w:val="982"/>
    <w:link w:val="802"/>
    <w:uiPriority w:val="99"/>
    <w:qFormat/>
    <w:tblPr/>
  </w:style>
  <w:style w:type="table" w:styleId="983">
    <w:name w:val="List Table 6 Colorful - Accent 2"/>
    <w:next w:val="983"/>
    <w:link w:val="802"/>
    <w:uiPriority w:val="99"/>
    <w:qFormat/>
    <w:tblPr/>
  </w:style>
  <w:style w:type="table" w:styleId="984">
    <w:name w:val="List Table 6 Colorful - Accent 3"/>
    <w:next w:val="984"/>
    <w:link w:val="802"/>
    <w:uiPriority w:val="99"/>
    <w:qFormat/>
    <w:tblPr/>
  </w:style>
  <w:style w:type="table" w:styleId="985">
    <w:name w:val="List Table 6 Colorful - Accent 4"/>
    <w:next w:val="985"/>
    <w:link w:val="802"/>
    <w:uiPriority w:val="99"/>
    <w:qFormat/>
    <w:tblPr/>
  </w:style>
  <w:style w:type="table" w:styleId="986">
    <w:name w:val="List Table 6 Colorful - Accent 5"/>
    <w:next w:val="986"/>
    <w:link w:val="802"/>
    <w:uiPriority w:val="99"/>
    <w:qFormat/>
    <w:tblPr/>
  </w:style>
  <w:style w:type="table" w:styleId="987">
    <w:name w:val="List Table 6 Colorful - Accent 6"/>
    <w:next w:val="987"/>
    <w:link w:val="802"/>
    <w:uiPriority w:val="99"/>
    <w:qFormat/>
    <w:tblPr/>
  </w:style>
  <w:style w:type="table" w:styleId="988">
    <w:name w:val="List Table 7 Colorful"/>
    <w:next w:val="988"/>
    <w:link w:val="802"/>
    <w:uiPriority w:val="99"/>
    <w:qFormat/>
    <w:tblPr/>
  </w:style>
  <w:style w:type="table" w:styleId="989">
    <w:name w:val="List Table 7 Colorful - Accent 1"/>
    <w:next w:val="989"/>
    <w:link w:val="802"/>
    <w:uiPriority w:val="99"/>
    <w:qFormat/>
    <w:tblPr/>
  </w:style>
  <w:style w:type="table" w:styleId="990">
    <w:name w:val="List Table 7 Colorful - Accent 2"/>
    <w:next w:val="990"/>
    <w:link w:val="802"/>
    <w:uiPriority w:val="99"/>
    <w:qFormat/>
    <w:tblPr/>
  </w:style>
  <w:style w:type="table" w:styleId="991">
    <w:name w:val="List Table 7 Colorful - Accent 3"/>
    <w:next w:val="991"/>
    <w:link w:val="802"/>
    <w:uiPriority w:val="99"/>
    <w:qFormat/>
    <w:tblPr/>
  </w:style>
  <w:style w:type="table" w:styleId="992">
    <w:name w:val="List Table 7 Colorful - Accent 4"/>
    <w:next w:val="992"/>
    <w:link w:val="802"/>
    <w:uiPriority w:val="99"/>
    <w:qFormat/>
    <w:tblPr/>
  </w:style>
  <w:style w:type="table" w:styleId="993">
    <w:name w:val="List Table 7 Colorful - Accent 5"/>
    <w:next w:val="993"/>
    <w:link w:val="802"/>
    <w:uiPriority w:val="99"/>
    <w:qFormat/>
    <w:tblPr/>
  </w:style>
  <w:style w:type="table" w:styleId="994">
    <w:name w:val="List Table 7 Colorful - Accent 6"/>
    <w:next w:val="994"/>
    <w:link w:val="802"/>
    <w:uiPriority w:val="99"/>
    <w:qFormat/>
    <w:tblPr/>
  </w:style>
  <w:style w:type="table" w:styleId="995">
    <w:name w:val="Lined - Accent"/>
    <w:next w:val="995"/>
    <w:link w:val="802"/>
    <w:uiPriority w:val="99"/>
    <w:qFormat/>
    <w:rPr>
      <w:color w:val="404040"/>
    </w:rPr>
    <w:tblPr/>
  </w:style>
  <w:style w:type="table" w:styleId="996">
    <w:name w:val="Lined - Accent 1"/>
    <w:next w:val="996"/>
    <w:link w:val="802"/>
    <w:uiPriority w:val="99"/>
    <w:qFormat/>
    <w:rPr>
      <w:color w:val="404040"/>
    </w:rPr>
    <w:tblPr/>
  </w:style>
  <w:style w:type="table" w:styleId="997">
    <w:name w:val="Lined - Accent 2"/>
    <w:next w:val="997"/>
    <w:link w:val="802"/>
    <w:uiPriority w:val="99"/>
    <w:qFormat/>
    <w:rPr>
      <w:color w:val="404040"/>
    </w:rPr>
    <w:tblPr/>
  </w:style>
  <w:style w:type="table" w:styleId="998">
    <w:name w:val="Lined - Accent 3"/>
    <w:next w:val="998"/>
    <w:link w:val="802"/>
    <w:uiPriority w:val="99"/>
    <w:qFormat/>
    <w:rPr>
      <w:color w:val="404040"/>
    </w:rPr>
    <w:tblPr/>
  </w:style>
  <w:style w:type="table" w:styleId="999">
    <w:name w:val="Lined - Accent 4"/>
    <w:next w:val="999"/>
    <w:link w:val="802"/>
    <w:uiPriority w:val="99"/>
    <w:qFormat/>
    <w:rPr>
      <w:color w:val="404040"/>
    </w:rPr>
    <w:tblPr/>
  </w:style>
  <w:style w:type="table" w:styleId="1000">
    <w:name w:val="Lined - Accent 5"/>
    <w:next w:val="1000"/>
    <w:link w:val="802"/>
    <w:uiPriority w:val="99"/>
    <w:qFormat/>
    <w:rPr>
      <w:color w:val="404040"/>
    </w:rPr>
    <w:tblPr/>
  </w:style>
  <w:style w:type="table" w:styleId="1001">
    <w:name w:val="Lined - Accent 6"/>
    <w:next w:val="1001"/>
    <w:link w:val="802"/>
    <w:uiPriority w:val="99"/>
    <w:qFormat/>
    <w:rPr>
      <w:color w:val="404040"/>
    </w:rPr>
    <w:tblPr/>
  </w:style>
  <w:style w:type="table" w:styleId="1002">
    <w:name w:val="Bordered &amp; Lined - Accent"/>
    <w:next w:val="1002"/>
    <w:link w:val="802"/>
    <w:uiPriority w:val="99"/>
    <w:qFormat/>
    <w:rPr>
      <w:color w:val="404040"/>
    </w:rPr>
    <w:tblPr/>
  </w:style>
  <w:style w:type="table" w:styleId="1003">
    <w:name w:val="Bordered &amp; Lined - Accent 1"/>
    <w:next w:val="1003"/>
    <w:link w:val="802"/>
    <w:uiPriority w:val="99"/>
    <w:qFormat/>
    <w:rPr>
      <w:color w:val="404040"/>
    </w:rPr>
    <w:tblPr/>
  </w:style>
  <w:style w:type="table" w:styleId="1004">
    <w:name w:val="Bordered &amp; Lined - Accent 2"/>
    <w:next w:val="1004"/>
    <w:link w:val="802"/>
    <w:uiPriority w:val="99"/>
    <w:qFormat/>
    <w:rPr>
      <w:color w:val="404040"/>
    </w:rPr>
    <w:tblPr/>
  </w:style>
  <w:style w:type="table" w:styleId="1005">
    <w:name w:val="Bordered &amp; Lined - Accent 3"/>
    <w:next w:val="1005"/>
    <w:link w:val="802"/>
    <w:uiPriority w:val="99"/>
    <w:qFormat/>
    <w:rPr>
      <w:color w:val="404040"/>
    </w:rPr>
    <w:tblPr/>
  </w:style>
  <w:style w:type="table" w:styleId="1006">
    <w:name w:val="Bordered &amp; Lined - Accent 4"/>
    <w:next w:val="1006"/>
    <w:link w:val="802"/>
    <w:uiPriority w:val="99"/>
    <w:qFormat/>
    <w:rPr>
      <w:color w:val="404040"/>
    </w:rPr>
    <w:tblPr/>
  </w:style>
  <w:style w:type="table" w:styleId="1007">
    <w:name w:val="Bordered &amp; Lined - Accent 5"/>
    <w:next w:val="1007"/>
    <w:link w:val="802"/>
    <w:uiPriority w:val="99"/>
    <w:qFormat/>
    <w:rPr>
      <w:color w:val="404040"/>
    </w:rPr>
    <w:tblPr/>
  </w:style>
  <w:style w:type="table" w:styleId="1008">
    <w:name w:val="Bordered &amp; Lined - Accent 6"/>
    <w:next w:val="1008"/>
    <w:link w:val="802"/>
    <w:uiPriority w:val="99"/>
    <w:qFormat/>
    <w:rPr>
      <w:color w:val="404040"/>
    </w:rPr>
    <w:tblPr/>
  </w:style>
  <w:style w:type="table" w:styleId="1009">
    <w:name w:val="Bordered"/>
    <w:next w:val="1009"/>
    <w:link w:val="802"/>
    <w:uiPriority w:val="99"/>
    <w:qFormat/>
    <w:tblPr/>
  </w:style>
  <w:style w:type="table" w:styleId="1010">
    <w:name w:val="Bordered - Accent 1"/>
    <w:next w:val="1010"/>
    <w:link w:val="802"/>
    <w:uiPriority w:val="99"/>
    <w:qFormat/>
    <w:tblPr/>
  </w:style>
  <w:style w:type="table" w:styleId="1011">
    <w:name w:val="Bordered - Accent 2"/>
    <w:next w:val="1011"/>
    <w:link w:val="802"/>
    <w:uiPriority w:val="99"/>
    <w:qFormat/>
    <w:tblPr/>
  </w:style>
  <w:style w:type="table" w:styleId="1012">
    <w:name w:val="Bordered - Accent 3"/>
    <w:next w:val="1012"/>
    <w:link w:val="802"/>
    <w:uiPriority w:val="99"/>
    <w:qFormat/>
    <w:tblPr/>
  </w:style>
  <w:style w:type="table" w:styleId="1013">
    <w:name w:val="Bordered - Accent 4"/>
    <w:next w:val="1013"/>
    <w:link w:val="802"/>
    <w:uiPriority w:val="99"/>
    <w:qFormat/>
    <w:tblPr/>
  </w:style>
  <w:style w:type="table" w:styleId="1014">
    <w:name w:val="Bordered - Accent 5"/>
    <w:next w:val="1014"/>
    <w:link w:val="802"/>
    <w:uiPriority w:val="99"/>
    <w:qFormat/>
    <w:tblPr/>
  </w:style>
  <w:style w:type="table" w:styleId="1015">
    <w:name w:val="Bordered - Accent 6"/>
    <w:next w:val="1015"/>
    <w:link w:val="802"/>
    <w:uiPriority w:val="99"/>
    <w:qFormat/>
    <w:tblPr/>
  </w:style>
  <w:style w:type="paragraph" w:styleId="1016">
    <w:name w:val="TOC 标题1"/>
    <w:next w:val="1016"/>
    <w:link w:val="802"/>
    <w:uiPriority w:val="39"/>
    <w:unhideWhenUsed/>
    <w:qFormat/>
    <w:rPr>
      <w:rFonts w:ascii="Times New Roman" w:hAnsi="Times New Roman" w:eastAsia="宋体" w:cs="Times New Roman"/>
      <w:lang w:val="en-US" w:eastAsia="zh-CN" w:bidi="ar-SA"/>
    </w:rPr>
  </w:style>
  <w:style w:type="paragraph" w:styleId="1017">
    <w:name w:val="标题 11"/>
    <w:basedOn w:val="802"/>
    <w:next w:val="802"/>
    <w:link w:val="1018"/>
    <w:qFormat/>
    <w:pPr>
      <w:jc w:val="center"/>
      <w:keepNext/>
      <w:outlineLvl w:val="0"/>
    </w:pPr>
    <w:rPr>
      <w:rFonts w:ascii="楷体_GB2312" w:eastAsia="楷体_GB2312"/>
      <w:sz w:val="28"/>
      <w:szCs w:val="28"/>
    </w:rPr>
  </w:style>
  <w:style w:type="character" w:styleId="1018">
    <w:name w:val="标题 1 Char"/>
    <w:next w:val="1018"/>
    <w:link w:val="1017"/>
    <w:qFormat/>
    <w:rPr>
      <w:rFonts w:ascii="楷体_GB2312" w:hAnsi="Times New Roman" w:eastAsia="楷体_GB2312" w:cs="Times New Roman"/>
      <w:sz w:val="28"/>
      <w:szCs w:val="28"/>
    </w:rPr>
  </w:style>
  <w:style w:type="paragraph" w:styleId="1019">
    <w:name w:val="标题 31"/>
    <w:basedOn w:val="802"/>
    <w:next w:val="1021"/>
    <w:link w:val="1020"/>
    <w:qFormat/>
    <w:pPr>
      <w:keepLines/>
      <w:keepNext/>
      <w:spacing w:before="260" w:after="260" w:line="416" w:lineRule="auto"/>
      <w:outlineLvl w:val="2"/>
    </w:pPr>
    <w:rPr>
      <w:b/>
      <w:bCs/>
      <w:sz w:val="32"/>
      <w:szCs w:val="32"/>
    </w:rPr>
  </w:style>
  <w:style w:type="character" w:styleId="1020">
    <w:name w:val="标题 3 Char"/>
    <w:next w:val="1020"/>
    <w:link w:val="1019"/>
    <w:qFormat/>
    <w:rPr>
      <w:rFonts w:ascii="Times New Roman" w:hAnsi="Times New Roman" w:eastAsia="宋体" w:cs="Times New Roman"/>
      <w:b/>
      <w:bCs/>
      <w:sz w:val="32"/>
      <w:szCs w:val="32"/>
    </w:rPr>
  </w:style>
  <w:style w:type="paragraph" w:styleId="1021">
    <w:name w:val="正文缩进1"/>
    <w:basedOn w:val="802"/>
    <w:next w:val="1021"/>
    <w:link w:val="1022"/>
    <w:qFormat/>
    <w:pPr>
      <w:ind w:firstLine="420"/>
    </w:pPr>
    <w:rPr>
      <w:szCs w:val="21"/>
    </w:rPr>
  </w:style>
  <w:style w:type="character" w:styleId="1022">
    <w:name w:val="正文缩进 Char"/>
    <w:next w:val="1022"/>
    <w:link w:val="1021"/>
    <w:qFormat/>
    <w:rPr>
      <w:szCs w:val="21"/>
    </w:rPr>
  </w:style>
  <w:style w:type="paragraph" w:styleId="1023">
    <w:name w:val="标题 41"/>
    <w:basedOn w:val="802"/>
    <w:next w:val="1021"/>
    <w:link w:val="1024"/>
    <w:qFormat/>
    <w:pPr>
      <w:keepLines/>
      <w:keepNext/>
      <w:spacing w:before="280" w:after="290" w:line="376" w:lineRule="auto"/>
      <w:outlineLvl w:val="3"/>
    </w:pPr>
    <w:rPr>
      <w:rFonts w:ascii="Arial" w:hAnsi="Arial" w:eastAsia="黑体" w:cs="Arial"/>
      <w:b/>
      <w:bCs/>
      <w:sz w:val="28"/>
      <w:szCs w:val="28"/>
    </w:rPr>
  </w:style>
  <w:style w:type="character" w:styleId="1024">
    <w:name w:val="标题 4 Char"/>
    <w:next w:val="1024"/>
    <w:link w:val="1023"/>
    <w:qFormat/>
    <w:rPr>
      <w:rFonts w:ascii="Arial" w:hAnsi="Arial" w:eastAsia="黑体" w:cs="Arial"/>
      <w:b/>
      <w:bCs/>
      <w:sz w:val="28"/>
      <w:szCs w:val="28"/>
    </w:rPr>
  </w:style>
  <w:style w:type="paragraph" w:styleId="1025">
    <w:name w:val="标题 51"/>
    <w:basedOn w:val="802"/>
    <w:next w:val="1021"/>
    <w:link w:val="1026"/>
    <w:qFormat/>
    <w:pPr>
      <w:keepNext/>
      <w:outlineLvl w:val="4"/>
    </w:pPr>
    <w:rPr>
      <w:rFonts w:ascii="宋体"/>
      <w:color w:val="000000"/>
      <w:sz w:val="28"/>
      <w:szCs w:val="28"/>
    </w:rPr>
  </w:style>
  <w:style w:type="character" w:styleId="1026">
    <w:name w:val="标题 5 Char"/>
    <w:next w:val="1026"/>
    <w:link w:val="1025"/>
    <w:qFormat/>
    <w:rPr>
      <w:rFonts w:ascii="宋体" w:hAnsi="Times New Roman" w:eastAsia="宋体" w:cs="Times New Roman"/>
      <w:color w:val="000000"/>
      <w:sz w:val="28"/>
      <w:szCs w:val="28"/>
    </w:rPr>
  </w:style>
  <w:style w:type="paragraph" w:styleId="1027">
    <w:name w:val="标题 61"/>
    <w:basedOn w:val="802"/>
    <w:next w:val="802"/>
    <w:link w:val="1028"/>
    <w:qFormat/>
    <w:pPr>
      <w:numPr>
        <w:ilvl w:val="5"/>
        <w:numId w:val="1"/>
      </w:numPr>
      <w:keepLines/>
      <w:keepNext/>
      <w:spacing w:before="240" w:after="64" w:line="320" w:lineRule="auto"/>
      <w:outlineLvl w:val="5"/>
    </w:pPr>
    <w:rPr>
      <w:rFonts w:ascii="Arial" w:hAnsi="Arial" w:eastAsia="黑体"/>
      <w:b/>
      <w:bCs/>
      <w:sz w:val="24"/>
      <w:szCs w:val="24"/>
    </w:rPr>
  </w:style>
  <w:style w:type="character" w:styleId="1028">
    <w:name w:val="标题 6 Char"/>
    <w:next w:val="1028"/>
    <w:link w:val="1027"/>
    <w:qFormat/>
    <w:rPr>
      <w:rFonts w:ascii="Arial" w:hAnsi="Arial" w:eastAsia="黑体" w:cs="Times New Roman"/>
      <w:b/>
      <w:bCs/>
      <w:sz w:val="24"/>
      <w:szCs w:val="24"/>
    </w:rPr>
  </w:style>
  <w:style w:type="paragraph" w:styleId="1029">
    <w:name w:val="标题 71"/>
    <w:basedOn w:val="802"/>
    <w:next w:val="802"/>
    <w:link w:val="1030"/>
    <w:qFormat/>
    <w:pPr>
      <w:numPr>
        <w:ilvl w:val="6"/>
        <w:numId w:val="1"/>
      </w:numPr>
      <w:keepLines/>
      <w:keepNext/>
      <w:spacing w:before="240" w:after="64" w:line="320" w:lineRule="auto"/>
      <w:outlineLvl w:val="6"/>
    </w:pPr>
    <w:rPr>
      <w:b/>
      <w:bCs/>
      <w:sz w:val="24"/>
      <w:szCs w:val="24"/>
    </w:rPr>
  </w:style>
  <w:style w:type="character" w:styleId="1030">
    <w:name w:val="标题 7 Char"/>
    <w:next w:val="1030"/>
    <w:link w:val="1029"/>
    <w:qFormat/>
    <w:rPr>
      <w:rFonts w:ascii="Times New Roman" w:hAnsi="Times New Roman" w:eastAsia="宋体" w:cs="Times New Roman"/>
      <w:b/>
      <w:bCs/>
      <w:sz w:val="24"/>
      <w:szCs w:val="24"/>
    </w:rPr>
  </w:style>
  <w:style w:type="paragraph" w:styleId="1031">
    <w:name w:val="标题 81"/>
    <w:basedOn w:val="802"/>
    <w:next w:val="802"/>
    <w:link w:val="1032"/>
    <w:qFormat/>
    <w:pPr>
      <w:numPr>
        <w:ilvl w:val="7"/>
        <w:numId w:val="1"/>
      </w:numPr>
      <w:keepLines/>
      <w:keepNext/>
      <w:spacing w:before="240" w:after="64" w:line="320" w:lineRule="auto"/>
      <w:outlineLvl w:val="7"/>
    </w:pPr>
    <w:rPr>
      <w:rFonts w:ascii="Arial" w:hAnsi="Arial" w:eastAsia="黑体"/>
      <w:sz w:val="24"/>
      <w:szCs w:val="24"/>
    </w:rPr>
  </w:style>
  <w:style w:type="character" w:styleId="1032">
    <w:name w:val="标题 8 Char"/>
    <w:next w:val="1032"/>
    <w:link w:val="1031"/>
    <w:qFormat/>
    <w:rPr>
      <w:rFonts w:ascii="Arial" w:hAnsi="Arial" w:eastAsia="黑体" w:cs="Times New Roman"/>
      <w:sz w:val="24"/>
      <w:szCs w:val="24"/>
    </w:rPr>
  </w:style>
  <w:style w:type="paragraph" w:styleId="1033">
    <w:name w:val="标题 91"/>
    <w:basedOn w:val="802"/>
    <w:next w:val="802"/>
    <w:link w:val="1034"/>
    <w:qFormat/>
    <w:pPr>
      <w:numPr>
        <w:ilvl w:val="8"/>
        <w:numId w:val="1"/>
      </w:numPr>
      <w:keepLines/>
      <w:keepNext/>
      <w:spacing w:before="240" w:after="64" w:line="320" w:lineRule="auto"/>
      <w:outlineLvl w:val="8"/>
    </w:pPr>
    <w:rPr>
      <w:rFonts w:ascii="Arial" w:hAnsi="Arial" w:eastAsia="黑体"/>
      <w:szCs w:val="21"/>
    </w:rPr>
  </w:style>
  <w:style w:type="character" w:styleId="1034">
    <w:name w:val="标题 9 Char"/>
    <w:next w:val="1034"/>
    <w:link w:val="1033"/>
    <w:qFormat/>
    <w:rPr>
      <w:rFonts w:ascii="Arial" w:hAnsi="Arial" w:eastAsia="黑体" w:cs="Times New Roman"/>
      <w:szCs w:val="21"/>
    </w:rPr>
  </w:style>
  <w:style w:type="character" w:styleId="1035">
    <w:name w:val="默认段落字体1"/>
    <w:next w:val="1035"/>
    <w:link w:val="802"/>
    <w:uiPriority w:val="1"/>
    <w:unhideWhenUsed/>
    <w:qFormat/>
  </w:style>
  <w:style w:type="table" w:styleId="1036">
    <w:name w:val="普通表格1"/>
    <w:next w:val="1036"/>
    <w:link w:val="802"/>
    <w:uiPriority w:val="99"/>
    <w:unhideWhenUsed/>
    <w:qFormat/>
    <w:tblPr/>
  </w:style>
  <w:style w:type="paragraph" w:styleId="1037">
    <w:name w:val="列表 31"/>
    <w:basedOn w:val="802"/>
    <w:next w:val="1037"/>
    <w:link w:val="802"/>
    <w:qFormat/>
    <w:pPr>
      <w:ind w:left="100" w:hanging="200"/>
    </w:pPr>
    <w:rPr>
      <w:szCs w:val="21"/>
    </w:rPr>
  </w:style>
  <w:style w:type="paragraph" w:styleId="1038">
    <w:name w:val="目录 71"/>
    <w:basedOn w:val="802"/>
    <w:next w:val="802"/>
    <w:link w:val="802"/>
    <w:semiHidden/>
    <w:qFormat/>
    <w:pPr>
      <w:ind w:left="1260"/>
      <w:jc w:val="left"/>
    </w:pPr>
    <w:rPr>
      <w:szCs w:val="21"/>
    </w:rPr>
  </w:style>
  <w:style w:type="paragraph" w:styleId="1039">
    <w:name w:val="文档结构图1"/>
    <w:basedOn w:val="802"/>
    <w:next w:val="1039"/>
    <w:link w:val="1040"/>
    <w:semiHidden/>
    <w:qFormat/>
    <w:pPr>
      <w:shd w:val="clear" w:color="auto" w:fill="000080"/>
    </w:pPr>
    <w:rPr>
      <w:szCs w:val="21"/>
    </w:rPr>
  </w:style>
  <w:style w:type="character" w:styleId="1040">
    <w:name w:val="文档结构图 Char"/>
    <w:next w:val="1040"/>
    <w:link w:val="1039"/>
    <w:semiHidden/>
    <w:qFormat/>
    <w:rPr>
      <w:rFonts w:ascii="Times New Roman" w:hAnsi="Times New Roman" w:eastAsia="宋体" w:cs="Times New Roman"/>
      <w:szCs w:val="21"/>
      <w:shd w:val="clear" w:color="auto" w:fill="000080"/>
    </w:rPr>
  </w:style>
  <w:style w:type="paragraph" w:styleId="1041">
    <w:name w:val="批注文字1"/>
    <w:basedOn w:val="802"/>
    <w:next w:val="1041"/>
    <w:link w:val="1042"/>
    <w:unhideWhenUsed/>
    <w:qFormat/>
    <w:pPr>
      <w:jc w:val="left"/>
    </w:pPr>
  </w:style>
  <w:style w:type="character" w:styleId="1042">
    <w:name w:val="批注文字 Char"/>
    <w:next w:val="1042"/>
    <w:link w:val="1041"/>
    <w:uiPriority w:val="99"/>
    <w:semiHidden/>
    <w:qFormat/>
  </w:style>
  <w:style w:type="paragraph" w:styleId="1043">
    <w:name w:val="正文文本 31"/>
    <w:basedOn w:val="802"/>
    <w:next w:val="1043"/>
    <w:link w:val="1044"/>
    <w:qFormat/>
    <w:rPr>
      <w:rFonts w:ascii="仿宋_GB2312" w:hAnsi="Arial" w:eastAsia="仿宋_GB2312"/>
      <w:sz w:val="32"/>
      <w:szCs w:val="32"/>
    </w:rPr>
  </w:style>
  <w:style w:type="character" w:styleId="1044">
    <w:name w:val="正文文本 3 Char"/>
    <w:next w:val="1044"/>
    <w:link w:val="1043"/>
    <w:qFormat/>
    <w:rPr>
      <w:rFonts w:ascii="仿宋_GB2312" w:hAnsi="Arial" w:eastAsia="仿宋_GB2312" w:cs="Times New Roman"/>
      <w:sz w:val="32"/>
      <w:szCs w:val="32"/>
    </w:rPr>
  </w:style>
  <w:style w:type="paragraph" w:styleId="1045">
    <w:name w:val="正文文本11"/>
    <w:basedOn w:val="802"/>
    <w:next w:val="1045"/>
    <w:link w:val="1046"/>
    <w:qFormat/>
    <w:rPr>
      <w:rFonts w:ascii="楷体_GB2312" w:hAnsi="Arial" w:eastAsia="楷体_GB2312"/>
      <w:sz w:val="28"/>
      <w:szCs w:val="28"/>
    </w:rPr>
  </w:style>
  <w:style w:type="character" w:styleId="1046">
    <w:name w:val="正文文本 Char"/>
    <w:next w:val="1046"/>
    <w:link w:val="1045"/>
    <w:qFormat/>
    <w:rPr>
      <w:rFonts w:ascii="楷体_GB2312" w:hAnsi="Arial" w:eastAsia="楷体_GB2312" w:cs="Times New Roman"/>
      <w:sz w:val="28"/>
      <w:szCs w:val="28"/>
    </w:rPr>
  </w:style>
  <w:style w:type="paragraph" w:styleId="1047">
    <w:name w:val="正文文本缩进1"/>
    <w:basedOn w:val="802"/>
    <w:next w:val="1047"/>
    <w:link w:val="1048"/>
    <w:unhideWhenUsed/>
    <w:qFormat/>
    <w:pPr>
      <w:ind w:left="420"/>
      <w:spacing w:after="120"/>
    </w:pPr>
  </w:style>
  <w:style w:type="character" w:styleId="1048">
    <w:name w:val="正文文本缩进 Char"/>
    <w:next w:val="1048"/>
    <w:link w:val="1047"/>
    <w:uiPriority w:val="99"/>
    <w:semiHidden/>
    <w:qFormat/>
  </w:style>
  <w:style w:type="paragraph" w:styleId="1049">
    <w:name w:val="列表 21"/>
    <w:basedOn w:val="802"/>
    <w:next w:val="1049"/>
    <w:link w:val="802"/>
    <w:qFormat/>
    <w:pPr>
      <w:ind w:left="100" w:hanging="200"/>
    </w:pPr>
    <w:rPr>
      <w:szCs w:val="21"/>
    </w:rPr>
  </w:style>
  <w:style w:type="paragraph" w:styleId="1050">
    <w:name w:val="目录 51"/>
    <w:basedOn w:val="802"/>
    <w:next w:val="802"/>
    <w:link w:val="802"/>
    <w:semiHidden/>
    <w:qFormat/>
    <w:pPr>
      <w:ind w:left="840"/>
      <w:jc w:val="left"/>
    </w:pPr>
    <w:rPr>
      <w:szCs w:val="21"/>
    </w:rPr>
  </w:style>
  <w:style w:type="paragraph" w:styleId="1051">
    <w:name w:val="目录 31"/>
    <w:basedOn w:val="802"/>
    <w:next w:val="802"/>
    <w:link w:val="802"/>
    <w:semiHidden/>
    <w:qFormat/>
    <w:pPr>
      <w:ind w:left="420"/>
      <w:jc w:val="left"/>
    </w:pPr>
    <w:rPr>
      <w:i/>
      <w:iCs/>
      <w:szCs w:val="24"/>
    </w:rPr>
  </w:style>
  <w:style w:type="paragraph" w:styleId="1052">
    <w:name w:val="纯文本1"/>
    <w:basedOn w:val="802"/>
    <w:next w:val="1052"/>
    <w:link w:val="1053"/>
    <w:qFormat/>
    <w:rPr>
      <w:rFonts w:ascii="宋体" w:hAnsi="Courier New" w:cs="Courier New"/>
      <w:szCs w:val="21"/>
    </w:rPr>
  </w:style>
  <w:style w:type="character" w:styleId="1053">
    <w:name w:val="纯文本 Char"/>
    <w:next w:val="1053"/>
    <w:link w:val="1052"/>
    <w:qFormat/>
    <w:rPr>
      <w:rFonts w:ascii="宋体" w:hAnsi="Courier New" w:eastAsia="宋体" w:cs="Courier New"/>
      <w:szCs w:val="21"/>
    </w:rPr>
  </w:style>
  <w:style w:type="paragraph" w:styleId="1054">
    <w:name w:val="目录 81"/>
    <w:basedOn w:val="802"/>
    <w:next w:val="802"/>
    <w:link w:val="802"/>
    <w:semiHidden/>
    <w:qFormat/>
    <w:pPr>
      <w:ind w:left="1470"/>
      <w:jc w:val="left"/>
    </w:pPr>
    <w:rPr>
      <w:szCs w:val="21"/>
    </w:rPr>
  </w:style>
  <w:style w:type="paragraph" w:styleId="1055">
    <w:name w:val="日期1"/>
    <w:basedOn w:val="802"/>
    <w:next w:val="802"/>
    <w:link w:val="1056"/>
    <w:qFormat/>
    <w:rPr>
      <w:sz w:val="24"/>
      <w:szCs w:val="24"/>
    </w:rPr>
  </w:style>
  <w:style w:type="character" w:styleId="1056">
    <w:name w:val="日期 Char"/>
    <w:next w:val="1056"/>
    <w:link w:val="1055"/>
    <w:qFormat/>
    <w:rPr>
      <w:rFonts w:ascii="Times New Roman" w:hAnsi="Times New Roman" w:eastAsia="宋体" w:cs="Times New Roman"/>
      <w:sz w:val="24"/>
      <w:szCs w:val="24"/>
    </w:rPr>
  </w:style>
  <w:style w:type="paragraph" w:styleId="1057">
    <w:name w:val="正文文本缩进 21"/>
    <w:basedOn w:val="802"/>
    <w:next w:val="1057"/>
    <w:link w:val="1058"/>
    <w:qFormat/>
    <w:pPr>
      <w:ind w:left="630" w:firstLine="645"/>
    </w:pPr>
    <w:rPr>
      <w:rFonts w:ascii="Arial" w:hAnsi="Arial" w:eastAsia="仿宋_GB2312" w:cs="Arial"/>
      <w:sz w:val="32"/>
      <w:szCs w:val="32"/>
    </w:rPr>
  </w:style>
  <w:style w:type="character" w:styleId="1058">
    <w:name w:val="正文文本缩进 2 Char"/>
    <w:next w:val="1058"/>
    <w:link w:val="1057"/>
    <w:qFormat/>
    <w:rPr>
      <w:rFonts w:ascii="Arial" w:hAnsi="Arial" w:eastAsia="仿宋_GB2312" w:cs="Arial"/>
      <w:sz w:val="32"/>
      <w:szCs w:val="32"/>
    </w:rPr>
  </w:style>
  <w:style w:type="paragraph" w:styleId="1059">
    <w:name w:val="批注框文本1"/>
    <w:basedOn w:val="802"/>
    <w:next w:val="1059"/>
    <w:link w:val="1060"/>
    <w:semiHidden/>
    <w:qFormat/>
    <w:rPr>
      <w:sz w:val="18"/>
      <w:szCs w:val="18"/>
    </w:rPr>
  </w:style>
  <w:style w:type="character" w:styleId="1060">
    <w:name w:val="批注框文本 Char"/>
    <w:next w:val="1060"/>
    <w:link w:val="1059"/>
    <w:semiHidden/>
    <w:qFormat/>
    <w:rPr>
      <w:rFonts w:ascii="Times New Roman" w:hAnsi="Times New Roman" w:eastAsia="宋体" w:cs="Times New Roman"/>
      <w:sz w:val="18"/>
      <w:szCs w:val="18"/>
    </w:rPr>
  </w:style>
  <w:style w:type="paragraph" w:styleId="1061">
    <w:name w:val="页脚1"/>
    <w:basedOn w:val="802"/>
    <w:next w:val="1061"/>
    <w:link w:val="1062"/>
    <w:qFormat/>
    <w:pPr>
      <w:jc w:val="left"/>
      <w:tabs>
        <w:tab w:val="center" w:pos="4153" w:leader="none"/>
        <w:tab w:val="right" w:pos="8306" w:leader="none"/>
      </w:tabs>
    </w:pPr>
    <w:rPr>
      <w:sz w:val="18"/>
      <w:szCs w:val="18"/>
    </w:rPr>
  </w:style>
  <w:style w:type="character" w:styleId="1062">
    <w:name w:val="页脚 Char"/>
    <w:next w:val="1062"/>
    <w:link w:val="1061"/>
    <w:qFormat/>
    <w:rPr>
      <w:rFonts w:ascii="Times New Roman" w:hAnsi="Times New Roman" w:eastAsia="宋体" w:cs="Times New Roman"/>
      <w:sz w:val="18"/>
      <w:szCs w:val="18"/>
    </w:rPr>
  </w:style>
  <w:style w:type="paragraph" w:styleId="1063">
    <w:name w:val="页眉1"/>
    <w:basedOn w:val="802"/>
    <w:next w:val="1063"/>
    <w:link w:val="1064"/>
    <w:qFormat/>
    <w:pPr>
      <w:jc w:val="center"/>
      <w:tabs>
        <w:tab w:val="center" w:pos="4153" w:leader="none"/>
        <w:tab w:val="right" w:pos="8306" w:leader="none"/>
      </w:tabs>
      <w:pBdr>
        <w:bottom w:val="single" w:color="000000" w:sz="6" w:space="1"/>
      </w:pBdr>
    </w:pPr>
    <w:rPr>
      <w:sz w:val="18"/>
      <w:szCs w:val="18"/>
    </w:rPr>
  </w:style>
  <w:style w:type="character" w:styleId="1064">
    <w:name w:val="页眉 Char"/>
    <w:next w:val="1064"/>
    <w:link w:val="1063"/>
    <w:qFormat/>
    <w:rPr>
      <w:rFonts w:ascii="Times New Roman" w:hAnsi="Times New Roman" w:eastAsia="宋体" w:cs="Times New Roman"/>
      <w:sz w:val="18"/>
      <w:szCs w:val="18"/>
    </w:rPr>
  </w:style>
  <w:style w:type="paragraph" w:styleId="1065">
    <w:name w:val="目录 11"/>
    <w:basedOn w:val="802"/>
    <w:next w:val="802"/>
    <w:link w:val="802"/>
    <w:semiHidden/>
    <w:qFormat/>
    <w:pPr>
      <w:jc w:val="left"/>
      <w:spacing w:before="120" w:after="120" w:line="400" w:lineRule="exact"/>
      <w:tabs>
        <w:tab w:val="right" w:pos="8720" w:leader="dot"/>
      </w:tabs>
    </w:pPr>
    <w:rPr>
      <w:rFonts w:ascii="宋体" w:hAnsi="宋体"/>
      <w:caps/>
      <w:sz w:val="24"/>
      <w:szCs w:val="24"/>
    </w:rPr>
  </w:style>
  <w:style w:type="paragraph" w:styleId="1066">
    <w:name w:val="目录 41"/>
    <w:basedOn w:val="802"/>
    <w:next w:val="802"/>
    <w:link w:val="802"/>
    <w:semiHidden/>
    <w:qFormat/>
    <w:pPr>
      <w:ind w:left="630"/>
      <w:jc w:val="left"/>
    </w:pPr>
    <w:rPr>
      <w:szCs w:val="21"/>
    </w:rPr>
  </w:style>
  <w:style w:type="paragraph" w:styleId="1067">
    <w:name w:val="列表1"/>
    <w:basedOn w:val="802"/>
    <w:next w:val="1067"/>
    <w:link w:val="802"/>
    <w:qFormat/>
    <w:pPr>
      <w:ind w:left="200" w:hanging="200"/>
    </w:pPr>
    <w:rPr>
      <w:szCs w:val="21"/>
    </w:rPr>
  </w:style>
  <w:style w:type="paragraph" w:styleId="1068">
    <w:name w:val="目录 61"/>
    <w:basedOn w:val="802"/>
    <w:next w:val="802"/>
    <w:link w:val="802"/>
    <w:semiHidden/>
    <w:qFormat/>
    <w:pPr>
      <w:ind w:left="1050"/>
      <w:jc w:val="left"/>
    </w:pPr>
    <w:rPr>
      <w:szCs w:val="21"/>
    </w:rPr>
  </w:style>
  <w:style w:type="paragraph" w:styleId="1069">
    <w:name w:val="正文文本缩进 31"/>
    <w:basedOn w:val="802"/>
    <w:next w:val="1069"/>
    <w:link w:val="1070"/>
    <w:qFormat/>
    <w:pPr>
      <w:ind w:left="645" w:firstLine="645"/>
    </w:pPr>
    <w:rPr>
      <w:rFonts w:ascii="Arial" w:hAnsi="Arial" w:eastAsia="仿宋_GB2312" w:cs="Arial"/>
      <w:color w:val="ffff00"/>
      <w:sz w:val="32"/>
      <w:szCs w:val="32"/>
    </w:rPr>
  </w:style>
  <w:style w:type="character" w:styleId="1070">
    <w:name w:val="正文文本缩进 3 Char"/>
    <w:next w:val="1070"/>
    <w:link w:val="1069"/>
    <w:qFormat/>
    <w:rPr>
      <w:rFonts w:ascii="Arial" w:hAnsi="Arial" w:eastAsia="仿宋_GB2312" w:cs="Arial"/>
      <w:color w:val="ffff00"/>
      <w:sz w:val="32"/>
      <w:szCs w:val="32"/>
    </w:rPr>
  </w:style>
  <w:style w:type="paragraph" w:styleId="1071">
    <w:name w:val="图表目录1"/>
    <w:basedOn w:val="802"/>
    <w:next w:val="802"/>
    <w:link w:val="802"/>
    <w:semiHidden/>
    <w:qFormat/>
    <w:pPr>
      <w:ind w:left="840" w:hanging="420"/>
    </w:pPr>
    <w:rPr>
      <w:szCs w:val="21"/>
    </w:rPr>
  </w:style>
  <w:style w:type="paragraph" w:styleId="1072">
    <w:name w:val="目录 21"/>
    <w:basedOn w:val="802"/>
    <w:next w:val="802"/>
    <w:link w:val="802"/>
    <w:semiHidden/>
    <w:qFormat/>
    <w:pPr>
      <w:ind w:left="210"/>
      <w:jc w:val="left"/>
    </w:pPr>
    <w:rPr>
      <w:smallCaps/>
      <w:szCs w:val="24"/>
    </w:rPr>
  </w:style>
  <w:style w:type="paragraph" w:styleId="1073">
    <w:name w:val="目录 91"/>
    <w:basedOn w:val="802"/>
    <w:next w:val="802"/>
    <w:link w:val="802"/>
    <w:semiHidden/>
    <w:qFormat/>
    <w:pPr>
      <w:ind w:left="1680"/>
      <w:jc w:val="left"/>
    </w:pPr>
    <w:rPr>
      <w:szCs w:val="21"/>
    </w:rPr>
  </w:style>
  <w:style w:type="paragraph" w:styleId="1074">
    <w:name w:val="正文文本 21"/>
    <w:basedOn w:val="802"/>
    <w:next w:val="1074"/>
    <w:link w:val="1075"/>
    <w:qFormat/>
    <w:pPr>
      <w:jc w:val="center"/>
      <w:widowControl/>
    </w:pPr>
    <w:rPr>
      <w:rFonts w:ascii="楷体_GB2312" w:eastAsia="楷体_GB2312"/>
      <w:sz w:val="28"/>
      <w:szCs w:val="28"/>
    </w:rPr>
  </w:style>
  <w:style w:type="character" w:styleId="1075">
    <w:name w:val="正文文本 2 Char"/>
    <w:next w:val="1075"/>
    <w:link w:val="1074"/>
    <w:qFormat/>
    <w:rPr>
      <w:rFonts w:ascii="楷体_GB2312" w:hAnsi="Times New Roman" w:eastAsia="楷体_GB2312" w:cs="Times New Roman"/>
      <w:sz w:val="28"/>
      <w:szCs w:val="28"/>
    </w:rPr>
  </w:style>
  <w:style w:type="paragraph" w:styleId="1076">
    <w:name w:val="普通(网站)1"/>
    <w:basedOn w:val="802"/>
    <w:next w:val="1076"/>
    <w:link w:val="802"/>
    <w:uiPriority w:val="99"/>
    <w:qFormat/>
    <w:pPr>
      <w:jc w:val="left"/>
      <w:spacing w:before="100" w:beforeAutospacing="1" w:after="100" w:afterAutospacing="1"/>
      <w:widowControl/>
    </w:pPr>
    <w:rPr>
      <w:rFonts w:ascii="宋体" w:hAnsi="宋体" w:cs="宋体"/>
      <w:sz w:val="24"/>
      <w:szCs w:val="24"/>
    </w:rPr>
  </w:style>
  <w:style w:type="paragraph" w:styleId="1077">
    <w:name w:val="索引 11"/>
    <w:basedOn w:val="802"/>
    <w:next w:val="802"/>
    <w:link w:val="802"/>
    <w:semiHidden/>
    <w:qFormat/>
    <w:pPr>
      <w:spacing w:line="240" w:lineRule="atLeast"/>
    </w:pPr>
    <w:rPr>
      <w:b/>
      <w:bCs/>
      <w:szCs w:val="21"/>
    </w:rPr>
  </w:style>
  <w:style w:type="paragraph" w:styleId="1078">
    <w:name w:val="批注主题1"/>
    <w:basedOn w:val="1041"/>
    <w:next w:val="1041"/>
    <w:link w:val="1079"/>
    <w:semiHidden/>
    <w:qFormat/>
    <w:rPr>
      <w:b/>
      <w:bCs/>
      <w:szCs w:val="21"/>
    </w:rPr>
  </w:style>
  <w:style w:type="character" w:styleId="1079">
    <w:name w:val="批注主题 Char"/>
    <w:next w:val="1079"/>
    <w:link w:val="1078"/>
    <w:semiHidden/>
    <w:qFormat/>
    <w:rPr>
      <w:rFonts w:ascii="Times New Roman" w:hAnsi="Times New Roman" w:eastAsia="宋体" w:cs="Times New Roman"/>
      <w:b/>
      <w:bCs/>
      <w:szCs w:val="21"/>
    </w:rPr>
  </w:style>
  <w:style w:type="paragraph" w:styleId="1080">
    <w:name w:val="正文首行缩进1"/>
    <w:basedOn w:val="802"/>
    <w:next w:val="1080"/>
    <w:link w:val="1081"/>
    <w:qFormat/>
    <w:pPr>
      <w:ind w:firstLine="200"/>
      <w:spacing w:line="360" w:lineRule="auto"/>
    </w:pPr>
    <w:rPr>
      <w:rFonts w:ascii="仿宋_GB2312" w:eastAsia="仿宋_GB2312"/>
      <w:sz w:val="30"/>
      <w:szCs w:val="30"/>
    </w:rPr>
  </w:style>
  <w:style w:type="character" w:styleId="1081">
    <w:name w:val="正文首行缩进 Char"/>
    <w:next w:val="1081"/>
    <w:link w:val="1080"/>
    <w:qFormat/>
    <w:rPr>
      <w:rFonts w:ascii="仿宋_GB2312" w:hAnsi="Times New Roman" w:eastAsia="仿宋_GB2312" w:cs="Times New Roman"/>
      <w:sz w:val="30"/>
      <w:szCs w:val="30"/>
    </w:rPr>
  </w:style>
  <w:style w:type="table" w:styleId="1082">
    <w:name w:val="网格型1"/>
    <w:basedOn w:val="1036"/>
    <w:next w:val="1082"/>
    <w:link w:val="802"/>
    <w:qFormat/>
    <w:pPr>
      <w:jc w:val="both"/>
      <w:widowControl w:val="off"/>
    </w:pPr>
    <w:tblPr/>
  </w:style>
  <w:style w:type="character" w:styleId="1083">
    <w:name w:val="要点1"/>
    <w:next w:val="1083"/>
    <w:link w:val="802"/>
    <w:qFormat/>
    <w:rPr>
      <w:b/>
      <w:bCs/>
    </w:rPr>
  </w:style>
  <w:style w:type="character" w:styleId="1084">
    <w:name w:val="页码1"/>
    <w:next w:val="1084"/>
    <w:link w:val="802"/>
    <w:qFormat/>
  </w:style>
  <w:style w:type="character" w:styleId="1085">
    <w:name w:val="已访问的超链接1"/>
    <w:next w:val="1085"/>
    <w:link w:val="802"/>
    <w:qFormat/>
    <w:rPr>
      <w:color w:val="800080"/>
      <w:u w:val="single"/>
    </w:rPr>
  </w:style>
  <w:style w:type="character" w:styleId="1086">
    <w:name w:val="超链接1"/>
    <w:next w:val="1086"/>
    <w:link w:val="802"/>
    <w:qFormat/>
    <w:rPr>
      <w:color w:val="0000ff"/>
      <w:u w:val="single"/>
    </w:rPr>
  </w:style>
  <w:style w:type="character" w:styleId="1087">
    <w:name w:val="批注引用1"/>
    <w:next w:val="1087"/>
    <w:link w:val="802"/>
    <w:semiHidden/>
    <w:qFormat/>
    <w:rPr>
      <w:sz w:val="21"/>
      <w:szCs w:val="21"/>
    </w:rPr>
  </w:style>
  <w:style w:type="paragraph" w:styleId="1088">
    <w:name w:val="段"/>
    <w:next w:val="802"/>
    <w:link w:val="802"/>
    <w:qFormat/>
    <w:pPr>
      <w:ind w:firstLine="200"/>
      <w:jc w:val="both"/>
      <w:spacing w:line="360" w:lineRule="auto"/>
    </w:pPr>
    <w:rPr>
      <w:rFonts w:ascii="宋体" w:hAnsi="Calibri" w:eastAsia="宋体" w:cs="Times New Roman"/>
      <w:sz w:val="24"/>
      <w:szCs w:val="22"/>
      <w:lang w:val="en-US" w:eastAsia="zh-CN" w:bidi="ar-SA"/>
    </w:rPr>
  </w:style>
  <w:style w:type="paragraph" w:styleId="1089">
    <w:name w:val="索引 41"/>
    <w:basedOn w:val="802"/>
    <w:next w:val="802"/>
    <w:link w:val="802"/>
    <w:semiHidden/>
    <w:qFormat/>
    <w:pPr>
      <w:ind w:left="1260"/>
    </w:pPr>
    <w:rPr>
      <w:rFonts w:ascii="Calibri" w:hAnsi="Calibri" w:eastAsia="Calibri" w:cs="宋体"/>
      <w:sz w:val="20"/>
      <w:lang w:val="zh-CN"/>
    </w:rPr>
  </w:style>
  <w:style w:type="character" w:styleId="1090">
    <w:name w:val="font5 Char"/>
    <w:next w:val="1090"/>
    <w:link w:val="802"/>
    <w:qFormat/>
    <w:rPr>
      <w:rFonts w:ascii="宋体" w:hAnsi="宋体" w:eastAsia="宋体"/>
      <w:sz w:val="28"/>
      <w:szCs w:val="28"/>
      <w:lang w:val="en-US" w:eastAsia="zh-CN" w:bidi="ar-SA"/>
    </w:rPr>
  </w:style>
  <w:style w:type="character" w:styleId="1091">
    <w:name w:val="二级目录 Char"/>
    <w:next w:val="1091"/>
    <w:link w:val="1092"/>
    <w:qFormat/>
    <w:rPr>
      <w:b/>
      <w:sz w:val="30"/>
      <w:szCs w:val="28"/>
    </w:rPr>
  </w:style>
  <w:style w:type="paragraph" w:styleId="1092">
    <w:name w:val="二级目录"/>
    <w:next w:val="802"/>
    <w:link w:val="1091"/>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93">
    <w:name w:val="列出段落 Char"/>
    <w:next w:val="1093"/>
    <w:link w:val="1094"/>
    <w:qFormat/>
    <w:rPr>
      <w:rFonts w:ascii="Calibri" w:hAnsi="Calibri"/>
      <w:sz w:val="24"/>
      <w:szCs w:val="24"/>
      <w:lang w:eastAsia="en-US" w:bidi="en-US"/>
    </w:rPr>
  </w:style>
  <w:style w:type="paragraph" w:styleId="1094">
    <w:name w:val="列出段落1"/>
    <w:basedOn w:val="802"/>
    <w:next w:val="1094"/>
    <w:link w:val="1093"/>
    <w:qFormat/>
    <w:pPr>
      <w:contextualSpacing/>
      <w:ind w:left="720"/>
      <w:jc w:val="left"/>
      <w:widowControl/>
    </w:pPr>
    <w:rPr>
      <w:rFonts w:ascii="Calibri" w:hAnsi="Calibri"/>
      <w:sz w:val="24"/>
      <w:szCs w:val="24"/>
      <w:lang w:eastAsia="en-US" w:bidi="en-US"/>
    </w:rPr>
  </w:style>
  <w:style w:type="paragraph" w:styleId="1095">
    <w:name w:val="Body Text(ch)"/>
    <w:basedOn w:val="802"/>
    <w:next w:val="1045"/>
    <w:link w:val="802"/>
    <w:qFormat/>
    <w:pPr>
      <w:spacing w:after="120"/>
    </w:pPr>
    <w:rPr>
      <w:rFonts w:ascii="宋体" w:hAnsi="Arial"/>
      <w:bCs/>
      <w:iCs/>
      <w:szCs w:val="24"/>
    </w:rPr>
  </w:style>
  <w:style w:type="paragraph" w:styleId="1096">
    <w:name w:val="xl27"/>
    <w:basedOn w:val="802"/>
    <w:next w:val="1096"/>
    <w:link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name w:val="xl26"/>
    <w:basedOn w:val="802"/>
    <w:next w:val="1097"/>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8">
    <w:name w:val="Char"/>
    <w:basedOn w:val="802"/>
    <w:next w:val="1098"/>
    <w:link w:val="802"/>
    <w:qFormat/>
    <w:pPr>
      <w:ind w:firstLine="200"/>
      <w:tabs>
        <w:tab w:val="left" w:pos="360" w:leader="none"/>
      </w:tabs>
    </w:pPr>
    <w:rPr>
      <w:sz w:val="28"/>
      <w:szCs w:val="30"/>
    </w:rPr>
  </w:style>
  <w:style w:type="paragraph" w:styleId="1099">
    <w:name w:val="Char1"/>
    <w:basedOn w:val="1039"/>
    <w:next w:val="1099"/>
    <w:link w:val="802"/>
    <w:qFormat/>
    <w:rPr>
      <w:rFonts w:ascii="Tahoma" w:hAnsi="Tahoma"/>
      <w:sz w:val="24"/>
      <w:szCs w:val="24"/>
    </w:rPr>
  </w:style>
  <w:style w:type="paragraph" w:styleId="1100">
    <w:name w:val="普通正文"/>
    <w:basedOn w:val="802"/>
    <w:next w:val="1100"/>
    <w:link w:val="802"/>
    <w:qFormat/>
    <w:pPr>
      <w:ind w:firstLine="480"/>
      <w:jc w:val="left"/>
      <w:spacing w:before="120" w:after="120" w:line="360" w:lineRule="auto"/>
    </w:pPr>
    <w:rPr>
      <w:rFonts w:ascii="Arial" w:hAnsi="Arial"/>
      <w:sz w:val="24"/>
      <w:szCs w:val="24"/>
    </w:rPr>
  </w:style>
  <w:style w:type="paragraph" w:styleId="1101">
    <w:name w:val="table_lines"/>
    <w:basedOn w:val="802"/>
    <w:next w:val="1101"/>
    <w:link w:val="802"/>
    <w:qFormat/>
    <w:pPr>
      <w:jc w:val="left"/>
      <w:widowControl/>
    </w:pPr>
    <w:rPr>
      <w:sz w:val="20"/>
      <w:szCs w:val="20"/>
      <w:lang w:val="de-DE" w:eastAsia="de-DE"/>
    </w:rPr>
  </w:style>
  <w:style w:type="paragraph" w:styleId="1102">
    <w:name w:val="附录1"/>
    <w:next w:val="1102"/>
    <w:link w:val="802"/>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03">
    <w:name w:val="font7"/>
    <w:basedOn w:val="802"/>
    <w:next w:val="1103"/>
    <w:link w:val="802"/>
    <w:qFormat/>
    <w:pPr>
      <w:jc w:val="left"/>
      <w:spacing w:before="100" w:beforeAutospacing="1" w:after="100" w:afterAutospacing="1"/>
      <w:widowControl/>
    </w:pPr>
    <w:rPr>
      <w:rFonts w:hint="eastAsia" w:ascii="宋体" w:hAnsi="宋体"/>
      <w:sz w:val="18"/>
      <w:szCs w:val="18"/>
    </w:rPr>
  </w:style>
  <w:style w:type="paragraph" w:styleId="1104">
    <w:name w:val="Char Char Char Char"/>
    <w:basedOn w:val="1039"/>
    <w:next w:val="1104"/>
    <w:link w:val="802"/>
    <w:qFormat/>
    <w:pPr>
      <w:spacing w:line="360" w:lineRule="auto"/>
    </w:pPr>
    <w:rPr>
      <w:rFonts w:ascii="Tahoma" w:hAnsi="Tahoma"/>
      <w:sz w:val="24"/>
      <w:szCs w:val="24"/>
    </w:rPr>
  </w:style>
  <w:style w:type="paragraph" w:styleId="1105">
    <w:name w:val="列出段落2"/>
    <w:basedOn w:val="802"/>
    <w:next w:val="1105"/>
    <w:link w:val="802"/>
    <w:qFormat/>
    <w:pPr>
      <w:contextualSpacing/>
      <w:ind w:left="720"/>
      <w:jc w:val="left"/>
      <w:widowControl/>
    </w:pPr>
    <w:rPr>
      <w:rFonts w:ascii="Calibri" w:hAnsi="Calibri"/>
      <w:sz w:val="24"/>
      <w:szCs w:val="24"/>
      <w:lang w:eastAsia="en-US" w:bidi="en-US"/>
    </w:rPr>
  </w:style>
  <w:style w:type="paragraph" w:styleId="1106">
    <w:name w:val="4"/>
    <w:basedOn w:val="802"/>
    <w:next w:val="1069"/>
    <w:link w:val="802"/>
    <w:qFormat/>
    <w:pPr>
      <w:ind w:firstLine="420"/>
      <w:spacing w:line="360" w:lineRule="auto"/>
    </w:pPr>
    <w:rPr>
      <w:color w:val="ff0000"/>
      <w:sz w:val="24"/>
      <w:szCs w:val="24"/>
    </w:rPr>
  </w:style>
  <w:style w:type="paragraph" w:styleId="1107">
    <w:name w:val="普通 (Web)"/>
    <w:basedOn w:val="802"/>
    <w:next w:val="1107"/>
    <w:link w:val="802"/>
    <w:qFormat/>
    <w:pPr>
      <w:jc w:val="left"/>
      <w:spacing w:before="100" w:beforeAutospacing="1" w:after="100" w:afterAutospacing="1"/>
      <w:widowControl/>
    </w:pPr>
    <w:rPr>
      <w:rFonts w:ascii="宋体" w:hAnsi="宋体"/>
      <w:sz w:val="24"/>
      <w:szCs w:val="24"/>
    </w:rPr>
  </w:style>
  <w:style w:type="paragraph" w:styleId="1108">
    <w:name w:val="Char Char Char Char Char Char Char Char Char Char"/>
    <w:basedOn w:val="802"/>
    <w:next w:val="1108"/>
    <w:link w:val="802"/>
    <w:qFormat/>
    <w:pPr>
      <w:spacing w:line="360" w:lineRule="auto"/>
    </w:pPr>
    <w:rPr>
      <w:sz w:val="24"/>
      <w:szCs w:val="20"/>
    </w:rPr>
  </w:style>
  <w:style w:type="paragraph" w:styleId="1109">
    <w:name w:val="样式1"/>
    <w:basedOn w:val="802"/>
    <w:next w:val="1109"/>
    <w:link w:val="802"/>
    <w:qFormat/>
    <w:pPr>
      <w:numPr>
        <w:ilvl w:val="0"/>
        <w:numId w:val="3"/>
      </w:numPr>
      <w:tabs>
        <w:tab w:val="left" w:pos="709" w:leader="none"/>
      </w:tabs>
    </w:pPr>
    <w:rPr>
      <w:rFonts w:ascii="宋体" w:hAnsi="宋体"/>
      <w:szCs w:val="21"/>
    </w:rPr>
  </w:style>
  <w:style w:type="paragraph" w:styleId="1110">
    <w:name w:val="font6"/>
    <w:basedOn w:val="802"/>
    <w:next w:val="1110"/>
    <w:link w:val="802"/>
    <w:qFormat/>
    <w:pPr>
      <w:jc w:val="left"/>
      <w:spacing w:before="100" w:beforeAutospacing="1" w:after="100" w:afterAutospacing="1"/>
      <w:widowControl/>
    </w:pPr>
    <w:rPr>
      <w:rFonts w:hint="eastAsia" w:ascii="宋体" w:hAnsi="宋体"/>
      <w:sz w:val="28"/>
      <w:szCs w:val="28"/>
      <w:u w:val="single"/>
    </w:rPr>
  </w:style>
  <w:style w:type="paragraph" w:styleId="1111">
    <w:name w:val="xl25"/>
    <w:basedOn w:val="802"/>
    <w:next w:val="1111"/>
    <w:link w:val="8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name w:val="图标"/>
    <w:basedOn w:val="802"/>
    <w:next w:val="802"/>
    <w:link w:val="8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3">
    <w:name w:val="标题3"/>
    <w:basedOn w:val="802"/>
    <w:next w:val="802"/>
    <w:link w:val="802"/>
    <w:qFormat/>
    <w:pPr>
      <w:ind w:firstLine="624"/>
      <w:spacing w:line="590" w:lineRule="atLeast"/>
    </w:pPr>
    <w:rPr>
      <w:rFonts w:ascii="方正黑体_GBK" w:eastAsia="方正黑体_GBK"/>
      <w:sz w:val="32"/>
      <w:szCs w:val="32"/>
    </w:rPr>
  </w:style>
  <w:style w:type="paragraph" w:styleId="1114">
    <w:name w:val="xl24"/>
    <w:basedOn w:val="802"/>
    <w:next w:val="1114"/>
    <w:link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name w:val="xl29"/>
    <w:basedOn w:val="802"/>
    <w:next w:val="1115"/>
    <w:link w:val="8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6">
    <w:name w:val="Char Char Char Char Char Char Char Char"/>
    <w:basedOn w:val="802"/>
    <w:next w:val="1116"/>
    <w:link w:val="802"/>
    <w:qFormat/>
    <w:pPr>
      <w:jc w:val="left"/>
      <w:spacing w:after="160" w:line="240" w:lineRule="exact"/>
      <w:widowControl/>
    </w:pPr>
    <w:rPr>
      <w:rFonts w:ascii="Verdana" w:hAnsi="Verdana"/>
      <w:sz w:val="20"/>
      <w:szCs w:val="20"/>
      <w:lang w:eastAsia="en-US"/>
    </w:rPr>
  </w:style>
  <w:style w:type="paragraph" w:styleId="1117">
    <w:name w:val="xl28"/>
    <w:basedOn w:val="802"/>
    <w:next w:val="1117"/>
    <w:link w:val="8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name w:val="Char Char Char Char Char Char Char Char1"/>
    <w:basedOn w:val="802"/>
    <w:next w:val="1118"/>
    <w:link w:val="802"/>
    <w:qFormat/>
    <w:pPr>
      <w:jc w:val="left"/>
      <w:spacing w:after="160" w:line="240" w:lineRule="exact"/>
      <w:widowControl/>
    </w:pPr>
    <w:rPr>
      <w:rFonts w:ascii="Verdana" w:hAnsi="Verdana"/>
      <w:sz w:val="20"/>
      <w:szCs w:val="20"/>
      <w:lang w:eastAsia="en-US"/>
    </w:rPr>
  </w:style>
  <w:style w:type="paragraph" w:styleId="1119">
    <w:name w:val="xl30"/>
    <w:basedOn w:val="802"/>
    <w:next w:val="1119"/>
    <w:link w:val="802"/>
    <w:qFormat/>
    <w:pPr>
      <w:jc w:val="center"/>
      <w:spacing w:before="100" w:beforeAutospacing="1" w:after="100" w:afterAutospacing="1"/>
      <w:widowControl/>
    </w:pPr>
    <w:rPr>
      <w:rFonts w:ascii="宋体" w:hAnsi="宋体"/>
      <w:b/>
      <w:bCs/>
      <w:sz w:val="36"/>
      <w:szCs w:val="36"/>
    </w:rPr>
  </w:style>
  <w:style w:type="paragraph" w:styleId="1120">
    <w:name w:val="Char Char Char Char1"/>
    <w:basedOn w:val="1039"/>
    <w:next w:val="1120"/>
    <w:link w:val="802"/>
    <w:qFormat/>
    <w:pPr>
      <w:spacing w:line="360" w:lineRule="auto"/>
    </w:pPr>
    <w:rPr>
      <w:rFonts w:ascii="Tahoma" w:hAnsi="Tahoma"/>
      <w:sz w:val="24"/>
      <w:szCs w:val="24"/>
    </w:rPr>
  </w:style>
  <w:style w:type="paragraph" w:styleId="1121">
    <w:name w:val="table_1stline"/>
    <w:basedOn w:val="802"/>
    <w:next w:val="1121"/>
    <w:link w:val="802"/>
    <w:qFormat/>
    <w:pPr>
      <w:jc w:val="left"/>
      <w:spacing w:before="120"/>
      <w:widowControl/>
    </w:pPr>
    <w:rPr>
      <w:bCs/>
      <w:sz w:val="20"/>
      <w:szCs w:val="20"/>
      <w:lang w:val="de-DE" w:eastAsia="de-DE"/>
    </w:rPr>
  </w:style>
  <w:style w:type="paragraph" w:styleId="1122">
    <w:name w:val="font5"/>
    <w:basedOn w:val="802"/>
    <w:next w:val="1122"/>
    <w:link w:val="802"/>
    <w:qFormat/>
    <w:pPr>
      <w:jc w:val="left"/>
      <w:spacing w:before="100" w:beforeAutospacing="1" w:after="100" w:afterAutospacing="1"/>
      <w:widowControl/>
    </w:pPr>
    <w:rPr>
      <w:rFonts w:hint="eastAsia" w:ascii="宋体" w:hAnsi="宋体"/>
      <w:sz w:val="28"/>
      <w:szCs w:val="28"/>
    </w:rPr>
  </w:style>
  <w:style w:type="paragraph" w:styleId="1123">
    <w:name w:val="标题1"/>
    <w:basedOn w:val="802"/>
    <w:next w:val="802"/>
    <w:link w:val="8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4">
    <w:name w:val="修订1"/>
    <w:next w:val="1124"/>
    <w:link w:val="802"/>
    <w:uiPriority w:val="99"/>
    <w:semiHidden/>
    <w:qFormat/>
    <w:rPr>
      <w:rFonts w:ascii="Times New Roman" w:hAnsi="Times New Roman" w:eastAsia="宋体" w:cs="Times New Roman"/>
      <w:sz w:val="21"/>
      <w:szCs w:val="21"/>
      <w:lang w:val="en-US" w:eastAsia="zh-CN" w:bidi="ar-SA"/>
    </w:rPr>
  </w:style>
  <w:style w:type="paragraph" w:styleId="1125">
    <w:name w:val="无间隔1"/>
    <w:next w:val="1125"/>
    <w:link w:val="802"/>
    <w:uiPriority w:val="99"/>
    <w:qFormat/>
    <w:pPr>
      <w:jc w:val="both"/>
      <w:widowControl w:val="off"/>
    </w:pPr>
    <w:rPr>
      <w:rFonts w:ascii="Times New Roman" w:hAnsi="Times New Roman" w:eastAsia="宋体" w:cs="Times New Roman"/>
      <w:sz w:val="21"/>
      <w:szCs w:val="21"/>
      <w:lang w:val="en-US" w:eastAsia="zh-CN" w:bidi="ar-SA"/>
    </w:rPr>
  </w:style>
  <w:style w:type="table" w:styleId="1126">
    <w:name w:val="Table Normal"/>
    <w:next w:val="1126"/>
    <w:link w:val="802"/>
    <w:qFormat/>
    <w:tblPr/>
  </w:style>
  <w:style w:type="paragraph" w:styleId="1127">
    <w:name w:val="正文文本12"/>
    <w:basedOn w:val="802"/>
    <w:next w:val="1127"/>
    <w:link w:val="802"/>
    <w:uiPriority w:val="1"/>
    <w:qFormat/>
    <w:pPr>
      <w:ind w:left="120"/>
    </w:pPr>
    <w:rPr>
      <w:rFonts w:ascii="宋体" w:hAnsi="宋体" w:cs="宋体"/>
      <w:szCs w:val="21"/>
      <w:lang w:val="zh-CN" w:bidi="zh-CN"/>
    </w:rPr>
  </w:style>
  <w:style w:type="paragraph" w:styleId="1128">
    <w:name w:val="正文文本 211"/>
    <w:basedOn w:val="802"/>
    <w:next w:val="1128"/>
    <w:link w:val="802"/>
    <w:uiPriority w:val="99"/>
    <w:qFormat/>
    <w:pPr>
      <w:jc w:val="center"/>
    </w:pPr>
    <w:rPr>
      <w:b/>
      <w:bCs/>
      <w:sz w:val="20"/>
      <w:szCs w:val="20"/>
    </w:rPr>
  </w:style>
  <w:style w:type="paragraph" w:styleId="1129">
    <w:name w:val="正文文本1"/>
    <w:basedOn w:val="802"/>
    <w:next w:val="802"/>
    <w:link w:val="802"/>
    <w:semiHidden/>
    <w:qFormat/>
    <w:rPr>
      <w:rFonts w:ascii="Arial" w:hAnsi="Arial" w:eastAsia="Arial" w:cs="Arial"/>
      <w:szCs w:val="21"/>
      <w:lang w:eastAsia="en-US"/>
    </w:rPr>
  </w:style>
  <w:style w:type="paragraph" w:styleId="1130">
    <w:name w:val="Table Paragraph"/>
    <w:basedOn w:val="802"/>
    <w:next w:val="1130"/>
    <w:link w:val="802"/>
    <w:uiPriority w:val="1"/>
    <w:qFormat/>
    <w:pPr>
      <w:jc w:val="left"/>
    </w:pPr>
    <w:rPr>
      <w:rFonts w:ascii="宋体" w:hAnsi="宋体" w:cs="宋体"/>
      <w:sz w:val="22"/>
      <w:lang w:val="zh-CN" w:bidi="zh-CN"/>
    </w:rPr>
  </w:style>
  <w:style w:type="paragraph" w:styleId="1131">
    <w:name w:val="_Style 6"/>
    <w:basedOn w:val="802"/>
    <w:next w:val="1131"/>
    <w:link w:val="802"/>
    <w:uiPriority w:val="34"/>
    <w:qFormat/>
    <w:pPr>
      <w:ind w:firstLine="420"/>
    </w:pPr>
    <w:rPr>
      <w:szCs w:val="24"/>
    </w:rPr>
  </w:style>
  <w:style w:type="character" w:styleId="9909" w:default="1">
    <w:name w:val="Default Paragraph Font"/>
    <w:uiPriority w:val="1"/>
    <w:semiHidden/>
    <w:unhideWhenUsed/>
  </w:style>
  <w:style w:type="numbering" w:styleId="9910" w:default="1">
    <w:name w:val="No List"/>
    <w:uiPriority w:val="99"/>
    <w:semiHidden/>
    <w:unhideWhenUsed/>
  </w:style>
  <w:style w:type="table" w:styleId="99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齐萌</cp:lastModifiedBy>
  <cp:revision>8</cp:revision>
  <dcterms:created xsi:type="dcterms:W3CDTF">2024-07-04T03:17:00Z</dcterms:created>
  <dcterms:modified xsi:type="dcterms:W3CDTF">2026-07-10T02:30:54Z</dcterms:modified>
</cp:coreProperties>
</file>